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56836D" w14:textId="23CADD58" w:rsidR="00F95D59" w:rsidRPr="00AA3AC9" w:rsidRDefault="00FF03F1" w:rsidP="4E9911E7">
      <w:pPr>
        <w:jc w:val="both"/>
        <w:rPr>
          <w:b/>
          <w:bCs/>
          <w:sz w:val="32"/>
          <w:szCs w:val="32"/>
        </w:rPr>
      </w:pPr>
      <w:r w:rsidRPr="00FF03F1">
        <w:rPr>
          <w:b/>
          <w:bCs/>
          <w:sz w:val="32"/>
          <w:szCs w:val="32"/>
        </w:rPr>
        <w:t>Impact of Spin-Orbit Coupling on Superconductivity in Rhombohedral Graphene</w:t>
      </w:r>
    </w:p>
    <w:p w14:paraId="22952014" w14:textId="11DF88D7" w:rsidR="00811BFF" w:rsidRPr="000D107C" w:rsidRDefault="00811BFF" w:rsidP="00811BFF">
      <w:pPr>
        <w:jc w:val="both"/>
      </w:pPr>
      <w:r w:rsidRPr="000D107C">
        <w:t>Jixiang Yang</w:t>
      </w:r>
      <w:r w:rsidRPr="000D107C">
        <w:rPr>
          <w:vertAlign w:val="superscript"/>
        </w:rPr>
        <w:t>1</w:t>
      </w:r>
      <w:r w:rsidRPr="000D107C">
        <w:t>, Xiaoyan Shi</w:t>
      </w:r>
      <w:r w:rsidRPr="000D107C">
        <w:rPr>
          <w:vertAlign w:val="superscript"/>
        </w:rPr>
        <w:t>2</w:t>
      </w:r>
      <w:r w:rsidRPr="000D107C">
        <w:t>, Shenyong Ye</w:t>
      </w:r>
      <w:r w:rsidRPr="000D107C">
        <w:rPr>
          <w:vertAlign w:val="superscript"/>
        </w:rPr>
        <w:t>1</w:t>
      </w:r>
      <w:r w:rsidRPr="000D107C">
        <w:t>, Chiho Yoon</w:t>
      </w:r>
      <w:r w:rsidRPr="000D107C">
        <w:rPr>
          <w:vertAlign w:val="superscript"/>
        </w:rPr>
        <w:t>2</w:t>
      </w:r>
      <w:r w:rsidRPr="000D107C">
        <w:t xml:space="preserve">, </w:t>
      </w:r>
      <w:r w:rsidR="000D107C" w:rsidRPr="000D107C">
        <w:t>Zhengguang Lu</w:t>
      </w:r>
      <w:r w:rsidR="000D107C" w:rsidRPr="000D107C">
        <w:rPr>
          <w:vertAlign w:val="superscript"/>
        </w:rPr>
        <w:t>1</w:t>
      </w:r>
      <w:r w:rsidR="000D107C" w:rsidRPr="000D107C">
        <w:t>, Vivek Kakani</w:t>
      </w:r>
      <w:r w:rsidR="000D107C" w:rsidRPr="000D107C">
        <w:rPr>
          <w:rFonts w:hint="eastAsia"/>
          <w:vertAlign w:val="superscript"/>
        </w:rPr>
        <w:t>2</w:t>
      </w:r>
      <w:r w:rsidR="000D107C">
        <w:rPr>
          <w:rFonts w:hint="eastAsia"/>
        </w:rPr>
        <w:t>,</w:t>
      </w:r>
      <w:r w:rsidR="000D107C" w:rsidRPr="000D107C">
        <w:t xml:space="preserve"> </w:t>
      </w:r>
      <w:r w:rsidRPr="000D107C">
        <w:t>Tonghang Han</w:t>
      </w:r>
      <w:r w:rsidRPr="000D107C">
        <w:rPr>
          <w:vertAlign w:val="superscript"/>
        </w:rPr>
        <w:t>1</w:t>
      </w:r>
      <w:r w:rsidRPr="000D107C">
        <w:t>, Junseok Seo</w:t>
      </w:r>
      <w:r w:rsidRPr="000D107C">
        <w:rPr>
          <w:vertAlign w:val="superscript"/>
        </w:rPr>
        <w:t>1</w:t>
      </w:r>
      <w:r w:rsidRPr="000D107C">
        <w:t>, Lihan Shi</w:t>
      </w:r>
      <w:r w:rsidRPr="000D107C">
        <w:rPr>
          <w:vertAlign w:val="superscript"/>
        </w:rPr>
        <w:t>1</w:t>
      </w:r>
      <w:r w:rsidRPr="000D107C">
        <w:t>, Kenji Watanabe</w:t>
      </w:r>
      <w:r w:rsidRPr="000D107C">
        <w:rPr>
          <w:vertAlign w:val="superscript"/>
        </w:rPr>
        <w:t>3</w:t>
      </w:r>
      <w:r w:rsidRPr="000D107C">
        <w:t>, Takashi Taniguchi</w:t>
      </w:r>
      <w:r w:rsidRPr="000D107C">
        <w:rPr>
          <w:vertAlign w:val="superscript"/>
        </w:rPr>
        <w:t>4</w:t>
      </w:r>
      <w:r w:rsidRPr="000D107C">
        <w:t>, Fan Zhang</w:t>
      </w:r>
      <w:r w:rsidRPr="000D107C">
        <w:rPr>
          <w:vertAlign w:val="superscript"/>
        </w:rPr>
        <w:t>2</w:t>
      </w:r>
      <w:r w:rsidRPr="000D107C">
        <w:t xml:space="preserve"> and Long Ju</w:t>
      </w:r>
      <w:r w:rsidRPr="000D107C">
        <w:rPr>
          <w:vertAlign w:val="superscript"/>
        </w:rPr>
        <w:t>1</w:t>
      </w:r>
      <w:r w:rsidRPr="000D107C">
        <w:t>* </w:t>
      </w:r>
    </w:p>
    <w:p w14:paraId="4DFC69F8" w14:textId="77777777" w:rsidR="00811BFF" w:rsidRPr="000D107C" w:rsidRDefault="00811BFF" w:rsidP="00811BFF">
      <w:pPr>
        <w:jc w:val="both"/>
      </w:pPr>
      <w:r w:rsidRPr="000D107C">
        <w:rPr>
          <w:vertAlign w:val="superscript"/>
        </w:rPr>
        <w:t>1</w:t>
      </w:r>
      <w:r w:rsidRPr="000D107C">
        <w:t>Department of Physics, Massachusetts Institute of Technology, Cambridge, MA, USA.  </w:t>
      </w:r>
    </w:p>
    <w:p w14:paraId="174BB7B3" w14:textId="6397156C" w:rsidR="00811BFF" w:rsidRPr="000D107C" w:rsidRDefault="00811BFF" w:rsidP="00811BFF">
      <w:pPr>
        <w:jc w:val="both"/>
      </w:pPr>
      <w:r w:rsidRPr="000D107C">
        <w:rPr>
          <w:vertAlign w:val="superscript"/>
        </w:rPr>
        <w:t>2</w:t>
      </w:r>
      <w:r w:rsidRPr="000D107C">
        <w:t>Department of Physics, The University of Texas at Dallas, Richardson, TX, USA </w:t>
      </w:r>
    </w:p>
    <w:p w14:paraId="677A2C9A" w14:textId="57314750" w:rsidR="00811BFF" w:rsidRPr="000D107C" w:rsidRDefault="00811BFF" w:rsidP="00811BFF">
      <w:pPr>
        <w:jc w:val="both"/>
      </w:pPr>
      <w:r w:rsidRPr="000D107C">
        <w:rPr>
          <w:vertAlign w:val="superscript"/>
        </w:rPr>
        <w:t>3</w:t>
      </w:r>
      <w:r w:rsidRPr="000D107C">
        <w:t>Research Center for Electronic and Optical Materials, National Institute for Materials Science, 1-1 Namiki, Tsukuba 305-0044, Japan </w:t>
      </w:r>
    </w:p>
    <w:p w14:paraId="550E0428" w14:textId="08F74806" w:rsidR="00811BFF" w:rsidRPr="000D107C" w:rsidRDefault="00811BFF" w:rsidP="00811BFF">
      <w:pPr>
        <w:jc w:val="both"/>
      </w:pPr>
      <w:r w:rsidRPr="000D107C">
        <w:rPr>
          <w:vertAlign w:val="superscript"/>
        </w:rPr>
        <w:t>4</w:t>
      </w:r>
      <w:r w:rsidRPr="000D107C">
        <w:t xml:space="preserve">Research Center for Materials </w:t>
      </w:r>
      <w:proofErr w:type="spellStart"/>
      <w:r w:rsidRPr="000D107C">
        <w:t>Nanoarchitectonics</w:t>
      </w:r>
      <w:proofErr w:type="spellEnd"/>
      <w:r w:rsidRPr="000D107C">
        <w:t>, National Institute for Materials Science, 1-1 Namiki, Tsukuba 305-0044, Japan </w:t>
      </w:r>
    </w:p>
    <w:p w14:paraId="5E231A34" w14:textId="3ED846D9" w:rsidR="00811BFF" w:rsidRPr="000D107C" w:rsidRDefault="00811BFF" w:rsidP="00811BFF">
      <w:pPr>
        <w:jc w:val="both"/>
      </w:pPr>
      <w:r w:rsidRPr="000D107C">
        <w:t xml:space="preserve">*Corresponding author. Email: </w:t>
      </w:r>
      <w:hyperlink r:id="rId8" w:tgtFrame="_blank" w:history="1">
        <w:r w:rsidRPr="000D107C">
          <w:rPr>
            <w:rStyle w:val="Hyperlink"/>
          </w:rPr>
          <w:t>longju@mit.edu</w:t>
        </w:r>
      </w:hyperlink>
      <w:r w:rsidRPr="000D107C">
        <w:t xml:space="preserve"> </w:t>
      </w:r>
    </w:p>
    <w:p w14:paraId="43087CF8" w14:textId="158BBE1D" w:rsidR="00EA67BD" w:rsidRDefault="00EA67BD" w:rsidP="128E1566">
      <w:pPr>
        <w:jc w:val="both"/>
      </w:pPr>
      <w:bookmarkStart w:id="0" w:name="_Hlk187530656"/>
      <w:r w:rsidRPr="79ADF5B4">
        <w:t xml:space="preserve">Spin-orbit coupling (SOC) has played an important role in many topological and correlated electron materials. In graphene-based systems, SOC induced by </w:t>
      </w:r>
      <w:r w:rsidRPr="00EA67BD">
        <w:t>transition metal dichalcogenide</w:t>
      </w:r>
      <w:r w:rsidRPr="79ADF5B4">
        <w:t xml:space="preserve"> (TMD) at proximity </w:t>
      </w:r>
      <w:r w:rsidR="48700F19">
        <w:t>was</w:t>
      </w:r>
      <w:r w:rsidRPr="79ADF5B4">
        <w:t xml:space="preserve"> shown to </w:t>
      </w:r>
      <w:r w:rsidR="3DC37452">
        <w:t>drive</w:t>
      </w:r>
      <w:r w:rsidRPr="79ADF5B4">
        <w:t xml:space="preserve"> topological states and strengthen superconductivity. However, </w:t>
      </w:r>
      <w:r w:rsidR="000E3DC3">
        <w:rPr>
          <w:rFonts w:hint="eastAsia"/>
        </w:rPr>
        <w:t xml:space="preserve">in </w:t>
      </w:r>
      <w:r w:rsidR="000E3DC3" w:rsidRPr="2061118A">
        <w:t>r</w:t>
      </w:r>
      <w:r w:rsidR="000E3DC3" w:rsidRPr="413060DC">
        <w:t xml:space="preserve">hombohedral </w:t>
      </w:r>
      <w:r w:rsidR="000E3DC3">
        <w:t>multilayer graph</w:t>
      </w:r>
      <w:r w:rsidR="000E3DC3">
        <w:rPr>
          <w:rFonts w:hint="eastAsia"/>
        </w:rPr>
        <w:t xml:space="preserve">ene, </w:t>
      </w:r>
      <w:r w:rsidR="000E3DC3">
        <w:t xml:space="preserve">a robust platform </w:t>
      </w:r>
      <w:r w:rsidR="000E3DC3">
        <w:rPr>
          <w:rFonts w:hint="eastAsia"/>
        </w:rPr>
        <w:t>for</w:t>
      </w:r>
      <w:r w:rsidR="000E3DC3">
        <w:t xml:space="preserve"> electron </w:t>
      </w:r>
      <w:r w:rsidR="000E3DC3">
        <w:rPr>
          <w:rFonts w:hint="eastAsia"/>
        </w:rPr>
        <w:t xml:space="preserve">correlation and </w:t>
      </w:r>
      <w:r w:rsidR="000E3DC3">
        <w:t>topology</w:t>
      </w:r>
      <w:r w:rsidR="000E3DC3">
        <w:rPr>
          <w:rFonts w:hint="eastAsia"/>
        </w:rPr>
        <w:t xml:space="preserve">, </w:t>
      </w:r>
      <w:r w:rsidRPr="79ADF5B4">
        <w:t xml:space="preserve">superconductivity and the role of SOC remain largely unexplored. </w:t>
      </w:r>
      <w:r>
        <w:t>Here we report transport measurements of TMD-proximitized rhombohedral</w:t>
      </w:r>
      <w:r>
        <w:rPr>
          <w:rFonts w:hint="eastAsia"/>
        </w:rPr>
        <w:t xml:space="preserve"> </w:t>
      </w:r>
      <w:r>
        <w:t>trilayer graphene</w:t>
      </w:r>
      <w:r w:rsidRPr="413060DC">
        <w:t xml:space="preserve"> (RTG)</w:t>
      </w:r>
      <w:r>
        <w:t>. We observed a new hole-doped superconducting</w:t>
      </w:r>
      <w:r>
        <w:rPr>
          <w:rFonts w:hint="eastAsia"/>
        </w:rPr>
        <w:t xml:space="preserve"> </w:t>
      </w:r>
      <w:r>
        <w:t xml:space="preserve">state SC4 with </w:t>
      </w:r>
      <w:r w:rsidRPr="1EAC130A">
        <w:rPr>
          <w:i/>
          <w:iCs/>
        </w:rPr>
        <w:t>T</w:t>
      </w:r>
      <w:r w:rsidRPr="1EAC130A">
        <w:rPr>
          <w:i/>
          <w:iCs/>
          <w:vertAlign w:val="subscript"/>
        </w:rPr>
        <w:t>c</w:t>
      </w:r>
      <w:r>
        <w:t xml:space="preserve"> </w:t>
      </w:r>
      <w:r w:rsidR="000E3DC3">
        <w:rPr>
          <w:rFonts w:hint="eastAsia"/>
        </w:rPr>
        <w:t>=</w:t>
      </w:r>
      <w:r w:rsidR="000E3DC3">
        <w:t xml:space="preserve"> </w:t>
      </w:r>
      <w:r>
        <w:t xml:space="preserve">230 </w:t>
      </w:r>
      <w:proofErr w:type="spellStart"/>
      <w:r>
        <w:t>mK.</w:t>
      </w:r>
      <w:proofErr w:type="spellEnd"/>
      <w:r>
        <w:t xml:space="preserve"> On the electron-doped side, we identified a new isospin-symmetry breaking three-quarter-metal</w:t>
      </w:r>
      <w:r w:rsidRPr="79ADF5B4">
        <w:t xml:space="preserve"> (TQM)</w:t>
      </w:r>
      <w:r>
        <w:t xml:space="preserve"> phase</w:t>
      </w:r>
      <w:r w:rsidR="000E3DC3">
        <w:rPr>
          <w:rFonts w:hint="eastAsia"/>
        </w:rPr>
        <w:t xml:space="preserve"> and observed </w:t>
      </w:r>
      <w:r>
        <w:t xml:space="preserve">the </w:t>
      </w:r>
      <w:r w:rsidR="000E3DC3">
        <w:rPr>
          <w:rFonts w:hint="eastAsia"/>
        </w:rPr>
        <w:t xml:space="preserve">nearby weak superconducting </w:t>
      </w:r>
      <w:r>
        <w:t>state SC3</w:t>
      </w:r>
      <w:r w:rsidR="000E3DC3">
        <w:rPr>
          <w:rFonts w:hint="eastAsia"/>
        </w:rPr>
        <w:t xml:space="preserve"> is significantly enhanced</w:t>
      </w:r>
      <w:r>
        <w:t>. Surprisingly, the original</w:t>
      </w:r>
      <w:r>
        <w:rPr>
          <w:rFonts w:hint="eastAsia"/>
        </w:rPr>
        <w:t xml:space="preserve"> </w:t>
      </w:r>
      <w:r>
        <w:t>superconducting state SC1 in bare RTG is strongly suppressed in the presence of TMD</w:t>
      </w:r>
      <w:r w:rsidR="000E3DC3">
        <w:rPr>
          <w:rFonts w:hint="eastAsia"/>
        </w:rPr>
        <w:t xml:space="preserve"> </w:t>
      </w:r>
      <w:r w:rsidR="1EAC130A" w:rsidRPr="1EAC130A">
        <w:rPr>
          <w:rFonts w:ascii="Times New Roman" w:eastAsia="Times New Roman" w:hAnsi="Times New Roman" w:cs="Times New Roman"/>
          <w:color w:val="1A1918"/>
          <w:sz w:val="22"/>
          <w:szCs w:val="22"/>
        </w:rPr>
        <w:t>—</w:t>
      </w:r>
      <w:r>
        <w:br/>
      </w:r>
      <w:r w:rsidR="26BF962A">
        <w:t>opposite to the effect of SOC on all other graphene superconductivities</w:t>
      </w:r>
      <w:r w:rsidRPr="3CAA56FB">
        <w:t xml:space="preserve">. </w:t>
      </w:r>
      <w:r>
        <w:t>Our</w:t>
      </w:r>
      <w:r w:rsidDel="38DCBD61">
        <w:t xml:space="preserve"> </w:t>
      </w:r>
      <w:r w:rsidR="00480CD9">
        <w:rPr>
          <w:rFonts w:hint="eastAsia"/>
        </w:rPr>
        <w:t>o</w:t>
      </w:r>
      <w:r>
        <w:t>bservations form the basis of exploring superconductivity and non-Abelian quasiparticles in rhombohedral graphene devices.</w:t>
      </w:r>
    </w:p>
    <w:bookmarkEnd w:id="0"/>
    <w:p w14:paraId="388B5053" w14:textId="77777777" w:rsidR="00D03CE3" w:rsidRDefault="00D03CE3" w:rsidP="321DD0B6">
      <w:pPr>
        <w:jc w:val="both"/>
      </w:pPr>
    </w:p>
    <w:p w14:paraId="4BB7B75E" w14:textId="77777777" w:rsidR="001C17C8" w:rsidRDefault="001C17C8" w:rsidP="321DD0B6">
      <w:pPr>
        <w:jc w:val="both"/>
      </w:pPr>
    </w:p>
    <w:p w14:paraId="5132A12F" w14:textId="77777777" w:rsidR="00896325" w:rsidRDefault="00896325">
      <w:r>
        <w:br w:type="page"/>
      </w:r>
    </w:p>
    <w:p w14:paraId="102D7280" w14:textId="2D0919E1" w:rsidR="00212CDE" w:rsidRDefault="00CC65D7" w:rsidP="321DD0B6">
      <w:pPr>
        <w:jc w:val="both"/>
      </w:pPr>
      <w:r w:rsidRPr="4D372101">
        <w:lastRenderedPageBreak/>
        <w:t>R</w:t>
      </w:r>
      <w:r w:rsidR="00C331E9" w:rsidRPr="4D372101">
        <w:t>hombohedral</w:t>
      </w:r>
      <w:r w:rsidR="0077071F">
        <w:t xml:space="preserve"> </w:t>
      </w:r>
      <w:r w:rsidR="00C331E9" w:rsidRPr="4D372101">
        <w:t>stack</w:t>
      </w:r>
      <w:r w:rsidR="0077071F">
        <w:t>ed</w:t>
      </w:r>
      <w:r w:rsidR="00C331E9" w:rsidRPr="4D372101">
        <w:t xml:space="preserve"> multilayer graphene</w:t>
      </w:r>
      <w:r w:rsidRPr="4D372101">
        <w:t xml:space="preserve">, </w:t>
      </w:r>
      <w:r w:rsidR="6AEBAF9E">
        <w:t>or</w:t>
      </w:r>
      <w:r w:rsidRPr="4D372101">
        <w:t xml:space="preserve"> ABC-stack</w:t>
      </w:r>
      <w:r w:rsidR="6AEBAF9E">
        <w:t>ed</w:t>
      </w:r>
      <w:r w:rsidRPr="4D372101">
        <w:t xml:space="preserve"> graphene,</w:t>
      </w:r>
      <w:r w:rsidR="00C331E9">
        <w:rPr>
          <w:rFonts w:hint="eastAsia"/>
        </w:rPr>
        <w:t xml:space="preserve"> </w:t>
      </w:r>
      <w:r w:rsidRPr="4D372101">
        <w:t xml:space="preserve">have been </w:t>
      </w:r>
      <w:r w:rsidR="0077071F">
        <w:t xml:space="preserve">experimentally </w:t>
      </w:r>
      <w:r>
        <w:t>demonstrated</w:t>
      </w:r>
      <w:r w:rsidRPr="4D372101">
        <w:t xml:space="preserve"> to be</w:t>
      </w:r>
      <w:r w:rsidR="00C331E9" w:rsidRPr="4D372101">
        <w:t xml:space="preserve"> a</w:t>
      </w:r>
      <w:r w:rsidRPr="4D372101">
        <w:t xml:space="preserve"> promising</w:t>
      </w:r>
      <w:r w:rsidR="00C331E9" w:rsidRPr="4D372101">
        <w:t xml:space="preserve"> platform to study electron correlation and topology</w:t>
      </w:r>
      <w:r w:rsidR="00DE15AB">
        <w:fldChar w:fldCharType="begin"/>
      </w:r>
      <w:r w:rsidR="00BF4618">
        <w:instrText xml:space="preserve"> ADDIN ZOTERO_ITEM CSL_CITATION {"citationID":"5bLSFpEm","properties":{"formattedCitation":"\\super 1\\uc0\\u8211{}11\\nosupersub{}","plainCitation":"1–11","noteIndex":0},"citationItems":[{"id":4521,"uris":["http://zotero.org/users/5406744/items/ZB2NJ9CY"],"itemData":{"id":4521,"type":"article-journal","abstract":"The quantum anomalous Hall effect (QAHE) is a robust topological phenomenon that features quantized Hall resistance at zero magnetic field. We report the QAHE in a rhombohedral pentalayer graphene-monolayer tungsten disulfide (WS2) heterostructure. ...","archive_location":"world","container-title":"Science","DOI":"10.1126/science.adk9749","language":"EN","license":"Copyright © 2024 The Authors, some rights reserved; exclusive licensee American Association for the Advancement of Science. No claim to original U.S. Government Works","note":"publisher: American Association for the Advancement of Science","source":"www.science.org","title":"Large quantum anomalous Hall effect in spin-orbit proximitized rhombohedral graphene","URL":"https://www.science.org/doi/10.1126/science.adk9749","author":[{"family":"Han","given":"Tonghang"},{"family":"Lu","given":"Zhengguang"},{"family":"Yao","given":"Yuxuan"},{"family":"Yang","given":"Jixiang"},{"family":"Seo","given":"Junseok"},{"family":"Yoon","given":"Chiho"},{"family":"Watanabe","given":"Kenji"},{"family":"Taniguchi","given":"Takashi"},{"family":"Fu","given":"Liang"},{"family":"Zhang","given":"Fan"},{"family":"Ju","given":"Long"}],"accessed":{"date-parts":[["2024",7,18]]},"issued":{"date-parts":[["2024",5,10]]}}},{"id":4520,"uris":["http://zotero.org/users/5406744/items/CSG2NE8K"],"itemData":{"id":4520,"type":"article-journal","abstract":"The fractional quantum anomalous Hall effect (FQAHE), the analogue of the fractional quantum Hall effect1 at zero magnetic field, is predicted to exist in topological flat bands under spontaneous time-reversal-symmetry breaking2–6. The demonstration of FQAHE could lead to non-Abelian anyons that form the basis of topological quantum computation7–9. So far, FQAHE has been observed only in twisted MoTe2 at a moiré filling factor v &gt; 1/2 (refs. 10–13). Graphene-based moiré superlattices are believed to host FQAHE with the potential advantage of superior material quality and higher electron mobility. Here we report the observation of integer and fractional QAH effects in a rhombohedral pentalayer graphene–hBN moiré superlattice. At zero magnetic field, we observed plateaus of quantized Hall resistance $${R}_{xy}=\\frac{h}{v{{\\rm{e}}}^{2}}$$at v = 1, 2/3, 3/5, 4/7, 4/9, 3/7 and 2/5 of the moiré superlattice, respectively, accompanied by clear dips in the longitudinal resistance Rxx. Rxy equals $$\\frac{2h}{{{\\rm{e}}}^{2}}$$at v = 1/2 and varies linearly with v, similar to the composite Fermi liquid in the half-filled lowest Landau level at high magnetic fields14–16. By tuning the gate-displacement field D and v, we observed phase transitions from composite Fermi liquid and FQAH states to other correlated electron states. Our system provides an ideal platform for exploring charge fractionalization and (non-Abelian) anyonic braiding at zero magnetic field7–9,17–19, especially considering a lateral junction between FQAHE and superconducting regions in the same device20–22.","container-title":"Nature","DOI":"10.1038/s41586-023-07010-7","ISSN":"1476-4687","issue":"8000","language":"en","license":"2024 The Author(s), under exclusive licence to Springer Nature Limited","note":"publisher: Nature Publishing Group","page":"759-764","source":"www.nature.com","title":"Fractional quantum anomalous Hall effect in multilayer graphene","volume":"626","author":[{"family":"Lu","given":"Zhengguang"},{"family":"Han","given":"Tonghang"},{"family":"Yao","given":"Yuxuan"},{"family":"Reddy","given":"Aidan P."},{"family":"Yang","given":"Jixiang"},{"family":"Seo","given":"Junseok"},{"family":"Watanabe","given":"Kenji"},{"family":"Taniguchi","given":"Takashi"},{"family":"Fu","given":"Liang"},{"family":"Ju","given":"Long"}],"issued":{"date-parts":[["2024",2]]}}},{"id":418,"uris":["http://zotero.org/users/5406744/items/ITXW25CS"],"itemData":{"id":418,"type":"article-journal","container-title":"Nature Physics","DOI":"10.1038/s41567-018-0387-2","ISSN":"1745-2473, 1745-2481","issue":"3","language":"en","page":"237-241","source":"Crossref","title":"Evidence of a gate-tunable Mott insulator in a trilayer graphene moiré superlattice","volume":"15","author":[{"family":"Chen","given":"Guorui"},{"family":"Jiang","given":"Lili"},{"family":"Wu","given":"Shuang"},{"family":"Lyu","given":"Bosai"},{"family":"Li","given":"Hongyuan"},{"family":"Chittari","given":"Bheema Lingam"},{"family":"Watanabe","given":"Kenji"},{"family":"Taniguchi","given":"Takashi"},{"family":"Shi","given":"Zhiwen"},{"family":"Jung","given":"Jeil"},{"family":"Zhang","given":"Yuanbo"},{"family":"Wang","given":"Feng"}],"issued":{"date-parts":[["2019",3]]}}},{"id":929,"uris":["http://zotero.org/users/5406744/items/KV725DTP"],"itemData":{"id":929,"type":"article-journal","abstract":"Ferromagnetism is most common in transition metal compounds where electrons occupy highly localized d orbitals. However, ferromagnetic order may also arise in low-density two-dimensional electron systems1–5. Here we show that gate-tuned van Hove singularities in rhombohedral trilayer graphene6 drive spontaneous ferromagnetic polarization of the electron system into one or more spin and valley flavours. Using capacitance and transport measurements, we observe a cascade of transitions tuned to the density and electronic displacement field between phases in which quantum oscillations have fourfold, twofold or onefold degeneracy, associated with a spin- and valley-degenerate normal metal, spin-polarized ‘half-metal’, and spin- and valley-polarized ‘quarter-metal’, respectively. For electron doping, the salient features of the data are well captured by a phenomenological Stoner model7 that includes valley-anisotropic interactions. For hole filling, we observe a richer phase diagram featuring a delicate interplay of broken symmetries and transitions in the Fermi surface topology. Finally, we introduce a moiré superlattice using a rotationally aligned hexagonal boron nitride substrate5,8. Remarkably, we find that the isospin order is only weakly perturbed, with the moiré potential catalysing the formation of topologically nontrivial gapped states whenever itinerant half- or quarter-metal states occur at half- or quarter-superlattice band filling. Our results show that rhombohedral graphene is an ideal platform for well-controlled tests of many-body theory, and reveal magnetism in moiré materials4,5,9,10 to be fundamentally itinerant in nature.","container-title":"Nature","DOI":"10.1038/s41586-021-03938-w","ISSN":"1476-4687","issue":"7881","language":"en","license":"2021 The Author(s), under exclusive licence to Springer Nature Limited","note":"number: 7881\npublisher: Nature Publishing Group","page":"429-433","source":"www.nature.com","title":"Half- and quarter-metals in rhombohedral trilayer graphene","volume":"598","author":[{"family":"Zhou","given":"Haoxin"},{"family":"Xie","given":"Tian"},{"family":"Ghazaryan","given":"Areg"},{"family":"Holder","given":"Tobias"},{"family":"Ehrets","given":"James R."},{"family":"Spanton","given":"Eric M."},{"family":"Taniguchi","given":"Takashi"},{"family":"Watanabe","given":"Kenji"},{"family":"Berg","given":"Erez"},{"family":"Serbyn","given":"Maksym"},{"family":"Young","given":"Andrea F."}],"issued":{"date-parts":[["2021",10]]}}},{"id":3770,"uris":["http://zotero.org/users/5406744/items/527RMQ9V"],"itemData":{"id":3770,"type":"article-journal","abstract":"To access superconductivity via the electric field effect in a clean, two-dimensional device is a central goal of nanoelectronics. Recently, superconductivity has been realized in graphene moiré heterostructures1–4; however, many of these structures are not mechanically stable, and experiments show signatures of strong disorder. Here we report the observation of superconductivity—manifesting as low or vanishing resistivity at sub-kelvin temperatures—in crystalline rhombohedral trilayer graphene5,6, a structurally metastable carbon allotrope. Superconductivity occurs in two distinct gate-tuned regions (SC1 and SC2), and is deep in the clean limit defined by the ratio of mean free path and superconducting coherence length. Mapping of the normal state Fermi surfaces by quantum oscillations reveals that both superconductors emerge from an annular Fermi sea, and are proximal to an isospin-symmetry-breaking transition where the Fermi surface degeneracy changes7. SC1 emerges from a paramagnetic normal state, whereas SC2 emerges from a spin-polarized, valley-unpolarized half-metal17 and violates the Pauli limit for in-plane magnetic fields by at least one order of magnitude8,9. We discuss our results in view of several mechanisms, including conventional phonon-mediated pairing10,11, pairing due to fluctuations of the proximal isospin order12, and intrinsic instabilities of the annular Fermi liquid13,14. Our observation of superconductivity in a clean and structurally simple two-dimensional metal provides a model system to test competing theoretical models of superconductivity without the complication of modelling disorder, while enabling new classes of field-effect controlled electronic devices based on correlated electron phenomena and ballistic electron transport.","container-title":"Nature","DOI":"10.1038/s41586-021-03926-0","ISSN":"1476-4687","issue":"7881","language":"en","license":"2021 The Author(s), under exclusive licence to Springer Nature Limited","note":"number: 7881\npublisher: Nature Publishing Group","page":"434-438","source":"www.nature.com","title":"Superconductivity in rhombohedral trilayer graphene","volume":"598","author":[{"family":"Zhou","given":"Haoxin"},{"family":"Xie","given":"Tian"},{"family":"Taniguchi","given":"Takashi"},{"family":"Watanabe","given":"Kenji"},{"family":"Young","given":"Andrea F."}],"issued":{"date-parts":[["2021",10]]}}},{"id":862,"uris":["http://zotero.org/users/5406744/items/D6PDUDGF"],"itemData":{"id":862,"type":"article-journal","abstract":"ABC-stacked trilayer graphene/hexagonal boron nitride moiré superlattice (TLG/hBN) has emerged as a playground for correlated electron physics. We report spectroscopy measurements of dual-gated TLG/hBN using Fourier transform infrared photocurrent spectroscopy. We observed a strong optical transition between moiré minibands that narrows continuously as a bandgap is opened by gating, indicating a reduction of the single-particle bandwidth. At half-filling of the valence flat band, a broad absorption peak emerges at ~18 milli–electron volts, indicating direct optical excitation across an emerging Mott gap. Similar photocurrent spectra are observed in two other correlated insulating states at quarter- and half-filling of the first conduction band. Our findings provide key parameters of the Hubbard model for the understanding of electron correlation in TLG/hBN.\n          , \n            The ABCs of ABC graphene\n            \n              Stacking graphene layers on top of each other in particular configurations can have a profound effect on the electronic properties of the resulting material. Spectroscopic methods can be used to study the band structure, but the addition of top layers to control the carrier density and improve sample properties makes such measurements tricky. Yang\n              et al\n              . overcame these challenges and used infrared spectroscopy in dual-gated trilayer graphene stacked in the so-called ABC configuration and encapsulated in hexagonal boron nitride. The researchers mapped out the band structure features created by the stacking and electron correlations and measured the parameters of the many-body model expected to describe this material. The method may be extended to study other related superlattices. —JS\n            \n          , \n            Infrared photocurrent spectroscopy is used to study the band structure of an ABC trilayer graphene superlattice.","container-title":"Science","DOI":"10.1126/science.abg3036","ISSN":"0036-8075, 1095-9203","issue":"6586","journalAbbreviation":"Science","language":"en","page":"1295-1299","source":"DOI.org (Crossref)","title":"Spectroscopy signatures of electron correlations in a trilayer graphene/hBN moiré superlattice","volume":"375","author":[{"family":"Yang","given":"Jixiang"},{"family":"Chen","given":"Guorui"},{"family":"Han","given":"Tianyi"},{"family":"Zhang","given":"Qihang"},{"family":"Zhang","given":"Ya-Hui"},{"family":"Jiang","given":"Lili"},{"family":"Lyu","given":"Bosai"},{"family":"Li","given":"Hongyuan"},{"family":"Watanabe","given":"Kenji"},{"family":"Taniguchi","given":"Takashi"},{"family":"Shi","given":"Zhiwen"},{"family":"Senthil","given":"Todadri"},{"family":"Zhang","given":"Yuanbo"},{"family":"Wang","given":"Feng"},{"family":"Ju","given":"Long"}],"issued":{"date-parts":[["2022",3,18]]}}},{"id":4516,"uris":["http://zotero.org/users/5406744/items/5VRCHC3S"],"itemData":{"id":4516,"type":"article-journal","abstract":"Rhombohedral-stacked multilayer graphene hosts a pair of flat bands touching at zero energy, which should give rise to correlated electron phenomena that can be tuned further by an electric field. Moreover, when electron correlation breaks the isospin symmetry, the valley-dependent Berry phase at zero energy may give rise to topologically non-trivial states. Here we measure electron transport through hexagonal boron nitride-encapsulated pentalayer graphene down to 100 mK. We observed a correlated insulating state with resistance at the megaohm level or greater at charge density n = 0 and displacement field D = 0. Tight-binding calculations predict a metallic ground state under these conditions. By increasing D, we observed a Chern insulator state with C = −5 and two other states with C = −3 at a magnetic field of around 1 T. At high D and n, we observed isospin-polarized quarter- and half-metals. Hence, rhombohedral pentalayer graphene exhibits two different types of Fermi-surface instability, one driven by a pair of flat bands touching at zero energy, and one induced by the Stoner mechanism in a single flat band. Our results establish rhombohedral multilayer graphene as a suitable system for exploring intertwined electron correlation and topology phenomena in natural graphitic materials without the need for moiré superlattice engineering.","container-title":"Nature Nanotechnology","DOI":"10.1038/s41565-023-01520-1","ISSN":"1748-3395","issue":"2","journalAbbreviation":"Nat. Nanotechnol.","language":"en","license":"2023 The Author(s), under exclusive licence to Springer Nature Limited","note":"publisher: Nature Publishing Group","page":"181-187","source":"www.nature.com","title":"Correlated insulator and Chern insulators in pentalayer rhombohedral-stacked graphene","volume":"19","author":[{"family":"Han","given":"Tonghang"},{"family":"Lu","given":"Zhengguang"},{"family":"Scuri","given":"Giovanni"},{"family":"Sung","given":"Jiho"},{"family":"Wang","given":"Jue"},{"family":"Han","given":"Tianyi"},{"family":"Watanabe","given":"Kenji"},{"family":"Taniguchi","given":"Takashi"},{"family":"Park","given":"Hongkun"},{"family":"Ju","given":"Long"}],"issued":{"date-parts":[["2024",2]]}}},{"id":4515,"uris":["http://zotero.org/users/5406744/items/PCPTNME4"],"itemData":{"id":4515,"type":"article-journal","abstract":"Ferroic orders describe spontaneous polarization of spin, charge and lattice degrees of freedom in materials. Materials exhibiting multiple ferroic orders, known as multiferroics, have important parts in multifunctional electrical and magnetic device applications1–4. Two-dimensional materials with honeycomb lattices offer opportunities to engineer unconventional multiferroicity, in which the ferroic orders are driven purely by the orbital degrees of freedom and not by electron spin. These include ferro-valleytricity corresponding to the electron valley5 and ferro-orbital-magnetism6 supported by quantum geometric effects. These orbital multiferroics could offer strong valley–magnetic couplings and large responses to external fields—enabling device applications such as multiple-state memory elements and electric control of the valley and magnetic states. Here we report orbital multiferroicity in pentalayer rhombohedral graphene using low-temperature magneto-transport measurements. We observed anomalous Hall signals Rxy with an exceptionally large Hall angle (tanΘH &gt; 0.6) and orbital magnetic hysteresis at hole doping. There are four such states with different valley polarizations and orbital magnetizations, forming a valley–magnetic quartet. By sweeping the gate electric field E, we observed a butterfly-shaped hysteresis of Rxy connecting the quartet. This hysteresis indicates a ferro-valleytronic order that couples to the composite field E · B (where B is the magnetic field), but not to the individual fields. Tuning E would switch each ferroic order independently and achieve non-volatile switching of them together. Our observations demonstrate a previously unknown type of multiferroics and point to electrically tunable ultralow-power valleytronic and magnetic devices.","container-title":"Nature","DOI":"10.1038/s41586-023-06572-w","ISSN":"1476-4687","issue":"7985","language":"en","license":"2023 The Author(s), under exclusive licence to Springer Nature Limited","note":"publisher: Nature Publishing Group","page":"41-47","source":"www.nature.com","title":"Orbital multiferroicity in pentalayer rhombohedral graphene","volume":"623","author":[{"family":"Han","given":"Tonghang"},{"family":"Lu","given":"Zhengguang"},{"family":"Scuri","given":"Giovanni"},{"family":"Sung","given":"Jiho"},{"family":"Wang","given":"Jue"},{"family":"Han","given":"Tianyi"},{"family":"Watanabe","given":"Kenji"},{"family":"Taniguchi","given":"Takashi"},{"family":"Fu","given":"Liang"},{"family":"Park","given":"Hongkun"},{"family":"Ju","given":"Long"}],"issued":{"date-parts":[["2023",11]]}}},{"id":4514,"uris":["http://zotero.org/users/5406744/items/X382CW32"],"itemData":{"id":4514,"type":"article-journal","abstract":"Interactions among charge carriers in graphene can lead to the spontaneous breaking of multiple degeneracies. When increasing the number of graphene layers following rhombohedral stacking, the dominant role of Coulomb interactions becomes pronounced due to the significant reduction in kinetic energy. In this study, we employ phonon–polariton-assisted near-field infrared imaging to determine the stacking orders of tetralayer graphene devices. Through quantum transport measurements, we observe a range of spontaneous broken-symmetry states and their transitions, which can be finely tuned by carrier density n and electric displacement field D. Specifically, we observe a layer-antiferromagnetic insulator at n = D = 0 with a gap of approximately 15 meV. Increasing D allows for a continuous phase transition from a layer-antiferromagnetic insulator to a layer-polarized insulator. By simultaneously tuning n and D, we observe isospin-polarized metals, including spin–valley-polarized and spin-polarized metals. These transitions are associated with changes in the Fermi surface topology and are consistent with the Stoner criteria. Our findings highlight the efficient fabrication of specially stacked multilayer graphene devices and demonstrate that crystalline multilayer graphene is an ideal platform for investigating a wide range of broken symmetries driven by Coulomb interactions.","container-title":"Nature Nanotechnology","DOI":"10.1038/s41565-023-01558-1","ISSN":"1748-3395","issue":"2","journalAbbreviation":"Nat. Nanotechnol.","language":"en","license":"2023 The Author(s), under exclusive licence to Springer Nature Limited","note":"publisher: Nature Publishing Group","page":"188-195","source":"www.nature.com","title":"Spontaneous broken-symmetry insulator and metals in tetralayer rhombohedral graphene","volume":"19","author":[{"family":"Liu","given":"Kai"},{"family":"Zheng","given":"Jian"},{"family":"Sha","given":"Yating"},{"family":"Lyu","given":"Bosai"},{"family":"Li","given":"Fengping"},{"family":"Park","given":"Youngju"},{"family":"Ren","given":"Yulu"},{"family":"Watanabe","given":"Kenji"},{"family":"Taniguchi","given":"Takashi"},{"family":"Jia","given":"Jinfeng"},{"family":"Luo","given":"Weidong"},{"family":"Shi","given":"Zhiwen"},{"family":"Jung","given":"Jeil"},{"family":"Chen","given":"Guorui"}],"issued":{"date-parts":[["2024",2]]}}},{"id":4510,"uris":["http://zotero.org/users/5406744/items/AGDHR7KR"],"itemData":{"id":4510,"type":"article-journal","abstract":"Non-trivial interacting phases can emerge in elementary materials. As a prime example, continuing advances in device quality have facilitated the observation of a variety of spontaneously ordered quantum states in bilayer graphene. Its natural extension, rhombohedral trilayer graphene—in which the layers are stacked in an ABC fashion—is predicted to host stronger electron–electron interactions than bilayer graphene because of its flatter low-energy bands and larger winding number. Theoretically, five spontaneous quantum Hall phases have been proposed to be candidate electronic ground states. Here we observe evidence for four of the five competing ordered states in interaction-maximized, dual-gated, rhombohedral trilayer graphene. In particular, at small magnetic fields, two states with Chern numbers 3 and 6 can be stabilized at elevated and low perpendicular electric fields, respectively, and both exhibit clear magnetic hysteresis. We also show that the quantum Hall ferromagnets of the zero-energy Landau levels are ferroelectrics with spontaneous layer polarizations even at zero electric field, as evidenced by electric hysteresis.","container-title":"Nature Physics","DOI":"10.1038/s41567-023-02327-6","ISSN":"1745-2481","issue":"3","journalAbbreviation":"Nat. Phys.","language":"en","license":"2024 The Author(s), under exclusive licence to Springer Nature Limited","note":"publisher: Nature Publishing Group","page":"422-427","source":"www.nature.com","title":"Ferroelectric and spontaneous quantum Hall states in intrinsic rhombohedral trilayer graphene","volume":"20","author":[{"family":"Winterer","given":"Felix"},{"family":"Geisenhof","given":"Fabian R."},{"family":"Fernandez","given":"Noelia"},{"family":"Seiler","given":"Anna M."},{"family":"Zhang","given":"Fan"},{"family":"Weitz","given":"R. Thomas"}],"issued":{"date-parts":[["2024",3]]}}},{"id":4517,"uris":["http://zotero.org/users/5406744/items/LZ4U3UKW"],"itemData":{"id":4517,"type":"article-journal","abstract":"Rhombohedral graphene multilayers provide a clean and highly reproducible platform to explore the emergence of superconductivity and magnetism in a strongly interacting electron system. Here we reveal a subtle competition between valley-imbalanced orbital ferromagnets and intervalley-coherent states in which electron wavefunctions in the two momentum-space valleys develop a macroscopically coherent relative phase. We focus on a rhombohedral trilayer in the quarter-metal regime—where there is a single Fermi surface that spontaneously breaks spin and valley-isospin symmetry—and employ local magnetometry and global charge sensing techniques. Comparing the in-plane spin susceptibility of the intervalley-coherent and valley-imbalanced phases reveals the influence of graphene’s intrinsic spin–orbit coupling, which drives the emergence of a distinct correlated phase that is their hybrid. Spin–orbit coupling also suppresses the in-plane magnetic susceptibility of the valley-imbalanced phase, allowing us to extract the spin–orbit-coupling strength of approximately 50 μeV for our hexagonal-boron-nitride-encapsulated graphene system. We discuss the implications of a finite spin–orbit coupling on the spin-triplet superconductors observed in both rhombohedral and twisted graphene multilayers.","container-title":"Nature Physics","DOI":"10.1038/s41567-024-02560-7","ISSN":"1745-2481","journalAbbreviation":"Nat. Phys.","language":"en","license":"2024 The Author(s), under exclusive licence to Springer Nature Limited","note":"publisher: Nature Publishing Group","page":"1-8","source":"www.nature.com","title":"Intervalley coherence and intrinsic spin–orbit coupling in rhombohedral trilayer graphene","author":[{"family":"Arp","given":"Trevor"},{"family":"Sheekey","given":"Owen"},{"family":"Zhou","given":"Haoxin"},{"family":"Tschirhart","given":"C. L."},{"family":"Patterson","given":"Caitlin L."},{"family":"Yoo","given":"H. M."},{"family":"Holleis","given":"Ludwig"},{"family":"Redekop","given":"Evgeny"},{"family":"Babikyan","given":"Grigory"},{"family":"Xie","given":"Tian"},{"family":"Xiao","given":"Jiewen"},{"family":"Vituri","given":"Yaar"},{"family":"Holder","given":"Tobias"},{"family":"Taniguchi","given":"Takashi"},{"family":"Watanabe","given":"Kenji"},{"family":"Huber","given":"Martin E."},{"family":"Berg","given":"Erez"},{"family":"Young","given":"Andrea F."}],"issued":{"date-parts":[["2024",7,1]]}},"label":"page"}],"schema":"https://github.com/citation-style-language/schema/raw/master/csl-citation.json"} </w:instrText>
      </w:r>
      <w:r w:rsidR="00DE15AB">
        <w:fldChar w:fldCharType="separate"/>
      </w:r>
      <w:r w:rsidR="00BF4618" w:rsidRPr="00BF4618">
        <w:rPr>
          <w:rFonts w:ascii="Calibri" w:hAnsi="Calibri" w:cs="Calibri"/>
          <w:kern w:val="0"/>
          <w:vertAlign w:val="superscript"/>
        </w:rPr>
        <w:t>1–11</w:t>
      </w:r>
      <w:r w:rsidR="00DE15AB">
        <w:fldChar w:fldCharType="end"/>
      </w:r>
      <w:r w:rsidR="00C331E9" w:rsidRPr="4D372101">
        <w:t xml:space="preserve">.  </w:t>
      </w:r>
      <w:r w:rsidR="6AEBAF9E">
        <w:t>They host gate-tunable flat electronic bands with large Berry curvature</w:t>
      </w:r>
      <w:r w:rsidR="00F03CC5">
        <w:rPr>
          <w:rFonts w:hint="eastAsia"/>
        </w:rPr>
        <w:t xml:space="preserve"> </w:t>
      </w:r>
      <w:r w:rsidR="00F03CC5">
        <w:t>–</w:t>
      </w:r>
      <w:r w:rsidR="00F03CC5">
        <w:rPr>
          <w:rFonts w:hint="eastAsia"/>
        </w:rPr>
        <w:t xml:space="preserve"> </w:t>
      </w:r>
      <w:r w:rsidR="6AEBAF9E">
        <w:t>simultaneously</w:t>
      </w:r>
      <w:r w:rsidR="00F03CC5">
        <w:rPr>
          <w:rFonts w:hint="eastAsia"/>
        </w:rPr>
        <w:t xml:space="preserve"> </w:t>
      </w:r>
      <w:r w:rsidR="6AEBAF9E">
        <w:t>promoting electron interactions and interaction-induced topological effects</w:t>
      </w:r>
      <w:r w:rsidR="00B75A45">
        <w:fldChar w:fldCharType="begin"/>
      </w:r>
      <w:r w:rsidR="00BF4618">
        <w:instrText xml:space="preserve"> ADDIN ZOTERO_ITEM CSL_CITATION {"citationID":"9htVrmYb","properties":{"formattedCitation":"\\super 12,13\\nosupersub{}","plainCitation":"12,13","noteIndex":0},"citationItems":[{"id":491,"uris":["http://zotero.org/users/5406744/items/P2Q2M4WA"],"itemData":{"id":491,"type":"article-journal","abstract":"The ABC-stacked N-layer-graphene family of two-dimensional electron systems is described at low energies by two remarkably flat bands with Bloch states that have strongly momentum-dependent phase differences between carbon pi-orbital amplitudes on different layers, and large associated momentum space Berry phases. These properties are most easily understood using a simplified model with only nearest-neighbor inter-layer hopping which leads to gapless semiconductor electronic structure, with p^N dispersion in both conduction and valence bands. We report on a study of the electronic band structures of trilayers which uses ab initio density functional theory and k*p theory to fit the parameters of a pi-band tight-binding model. We find that when remote interlayer hopping is retained, the triple Dirac point of the simplified model is split into three single Dirac points located along the three KM directions. External potential differences between top and bottom layers are strongly screened by charge transfer within the trilayer, but still open an energy gap at overall neutrality.","container-title":"Physical Review B","DOI":"10.1103/PhysRevB.82.035409","ISSN":"1098-0121, 1550-235X","issue":"3","journalAbbreviation":"Phys. Rev. B","note":"arXiv: 1004.1481","page":"035409","source":"arXiv.org","title":"Band Structure of ABC-Stacked Graphene Trilayers","volume":"82","author":[{"family":"Zhang","given":"Fan"},{"family":"Sahu","given":"Bhagawan"},{"family":"Min","given":"Hongki"},{"family":"MacDonald","given":"Allan H."}],"issued":{"date-parts":[["2010",7,9]]}}},{"id":4583,"uris":["http://zotero.org/users/5406744/items/ZKDJDUAE"],"itemData":{"id":4583,"type":"article-journal","abstract":"In mean-field theory, bilayer graphene’s massive Dirac fermion model has a family of broken-inversion-symmetry ground states with charge gaps and flavor-dependent spontaneous interlayer charge transfers. We use a lattice Hartree-Fock model to explore the lattice scale physics of graphene bilayers, which has a strong influence on ordering energy scales and on the competition between distinct ordered states. We find that inversion symmetry is still broken in the lattice model and estimate that the transferred areal densities are ~10−5 electrons per carbon atom, that the associated energy gaps are ~10−2 eV, that the ordering condensation energies are ~10−7 eV per carbon atom, and that the differences in energy between competing ordered states is ~10−9 eV per carbon atom. We find that states with a quantized valley Hall effect are lowest in energy, but that the coupling of an external magnetic field to spontaneous orbital moments favors the broken-time-reversal-symmetry states that have quantized anomalous Hall effects. Our theory predicts nonmonotonic behavior of the band gap at neutrality on the potential difference between layers, in qualitative agreement with recent experiments.","container-title":"Physical Review B","DOI":"10.1103/PhysRevB.83.115408","issue":"11","journalAbbreviation":"Phys. Rev. B","note":"publisher: American Physical Society","page":"115408","source":"APS","title":"Lattice theory of pseudospin ferromagnetism in bilayer graphene: Competing interaction-induced quantum Hall states","title-short":"Lattice theory of pseudospin ferromagnetism in bilayer graphene","volume":"83","author":[{"family":"Jung","given":"Jeil"},{"family":"Zhang","given":"Fan"},{"family":"MacDonald","given":"Allan H."}],"issued":{"date-parts":[["2011",3,7]]}}}],"schema":"https://github.com/citation-style-language/schema/raw/master/csl-citation.json"} </w:instrText>
      </w:r>
      <w:r w:rsidR="00B75A45">
        <w:fldChar w:fldCharType="separate"/>
      </w:r>
      <w:r w:rsidR="00BF4618" w:rsidRPr="00BF4618">
        <w:rPr>
          <w:rFonts w:ascii="Calibri" w:hAnsi="Calibri" w:cs="Calibri"/>
          <w:kern w:val="0"/>
          <w:vertAlign w:val="superscript"/>
        </w:rPr>
        <w:t>12,13</w:t>
      </w:r>
      <w:r w:rsidR="00B75A45">
        <w:fldChar w:fldCharType="end"/>
      </w:r>
      <w:r w:rsidR="6AEBAF9E">
        <w:t xml:space="preserve">. </w:t>
      </w:r>
      <w:r w:rsidR="00415ED7" w:rsidRPr="4D372101">
        <w:t xml:space="preserve"> </w:t>
      </w:r>
      <w:r w:rsidR="6AEBAF9E">
        <w:t xml:space="preserve">As a result, a </w:t>
      </w:r>
      <w:r w:rsidR="00415ED7" w:rsidRPr="4D372101">
        <w:t xml:space="preserve">rich plethora </w:t>
      </w:r>
      <w:r w:rsidR="6AEBAF9E">
        <w:t xml:space="preserve">of emergent quantum </w:t>
      </w:r>
      <w:r w:rsidR="00415ED7" w:rsidRPr="4D372101">
        <w:t>phenomena</w:t>
      </w:r>
      <w:r w:rsidR="6AEBAF9E">
        <w:t xml:space="preserve"> has been observed in rhombohedral </w:t>
      </w:r>
      <w:r w:rsidR="00983F77" w:rsidRPr="6EF7791E">
        <w:t xml:space="preserve">multilayer </w:t>
      </w:r>
      <w:r w:rsidR="6AEBAF9E">
        <w:t>graphene devices,</w:t>
      </w:r>
      <w:r w:rsidR="00415ED7" w:rsidRPr="4D372101">
        <w:t xml:space="preserve"> including </w:t>
      </w:r>
      <w:r w:rsidR="00415ED7">
        <w:t>spontaneous</w:t>
      </w:r>
      <w:r w:rsidR="00415ED7" w:rsidRPr="4D372101">
        <w:t xml:space="preserve"> isospin symmetry breaking</w:t>
      </w:r>
      <w:r w:rsidR="00F03CC5">
        <w:fldChar w:fldCharType="begin"/>
      </w:r>
      <w:r w:rsidR="00BF4618">
        <w:instrText xml:space="preserve"> ADDIN ZOTERO_ITEM CSL_CITATION {"citationID":"NtCkdw9z","properties":{"formattedCitation":"\\super 4,7,9,10\\nosupersub{}","plainCitation":"4,7,9,10","noteIndex":0},"citationItems":[{"id":929,"uris":["http://zotero.org/users/5406744/items/KV725DTP"],"itemData":{"id":929,"type":"article-journal","abstract":"Ferromagnetism is most common in transition metal compounds where electrons occupy highly localized d orbitals. However, ferromagnetic order may also arise in low-density two-dimensional electron systems1–5. Here we show that gate-tuned van Hove singularities in rhombohedral trilayer graphene6 drive spontaneous ferromagnetic polarization of the electron system into one or more spin and valley flavours. Using capacitance and transport measurements, we observe a cascade of transitions tuned to the density and electronic displacement field between phases in which quantum oscillations have fourfold, twofold or onefold degeneracy, associated with a spin- and valley-degenerate normal metal, spin-polarized ‘half-metal’, and spin- and valley-polarized ‘quarter-metal’, respectively. For electron doping, the salient features of the data are well captured by a phenomenological Stoner model7 that includes valley-anisotropic interactions. For hole filling, we observe a richer phase diagram featuring a delicate interplay of broken symmetries and transitions in the Fermi surface topology. Finally, we introduce a moiré superlattice using a rotationally aligned hexagonal boron nitride substrate5,8. Remarkably, we find that the isospin order is only weakly perturbed, with the moiré potential catalysing the formation of topologically nontrivial gapped states whenever itinerant half- or quarter-metal states occur at half- or quarter-superlattice band filling. Our results show that rhombohedral graphene is an ideal platform for well-controlled tests of many-body theory, and reveal magnetism in moiré materials4,5,9,10 to be fundamentally itinerant in nature.","container-title":"Nature","DOI":"10.1038/s41586-021-03938-w","ISSN":"1476-4687","issue":"7881","language":"en","license":"2021 The Author(s), under exclusive licence to Springer Nature Limited","note":"number: 7881\npublisher: Nature Publishing Group","page":"429-433","source":"www.nature.com","title":"Half- and quarter-metals in rhombohedral trilayer graphene","volume":"598","author":[{"family":"Zhou","given":"Haoxin"},{"family":"Xie","given":"Tian"},{"family":"Ghazaryan","given":"Areg"},{"family":"Holder","given":"Tobias"},{"family":"Ehrets","given":"James R."},{"family":"Spanton","given":"Eric M."},{"family":"Taniguchi","given":"Takashi"},{"family":"Watanabe","given":"Kenji"},{"family":"Berg","given":"Erez"},{"family":"Serbyn","given":"Maksym"},{"family":"Young","given":"Andrea F."}],"issued":{"date-parts":[["2021",10]]}}},{"id":4516,"uris":["http://zotero.org/users/5406744/items/5VRCHC3S"],"itemData":{"id":4516,"type":"article-journal","abstract":"Rhombohedral-stacked multilayer graphene hosts a pair of flat bands touching at zero energy, which should give rise to correlated electron phenomena that can be tuned further by an electric field. Moreover, when electron correlation breaks the isospin symmetry, the valley-dependent Berry phase at zero energy may give rise to topologically non-trivial states. Here we measure electron transport through hexagonal boron nitride-encapsulated pentalayer graphene down to 100 mK. We observed a correlated insulating state with resistance at the megaohm level or greater at charge density n = 0 and displacement field D = 0. Tight-binding calculations predict a metallic ground state under these conditions. By increasing D, we observed a Chern insulator state with C = −5 and two other states with C = −3 at a magnetic field of around 1 T. At high D and n, we observed isospin-polarized quarter- and half-metals. Hence, rhombohedral pentalayer graphene exhibits two different types of Fermi-surface instability, one driven by a pair of flat bands touching at zero energy, and one induced by the Stoner mechanism in a single flat band. Our results establish rhombohedral multilayer graphene as a suitable system for exploring intertwined electron correlation and topology phenomena in natural graphitic materials without the need for moiré superlattice engineering.","container-title":"Nature Nanotechnology","DOI":"10.1038/s41565-023-01520-1","ISSN":"1748-3395","issue":"2","journalAbbreviation":"Nat. Nanotechnol.","language":"en","license":"2023 The Author(s), under exclusive licence to Springer Nature Limited","note":"publisher: Nature Publishing Group","page":"181-187","source":"www.nature.com","title":"Correlated insulator and Chern insulators in pentalayer rhombohedral-stacked graphene","volume":"19","author":[{"family":"Han","given":"Tonghang"},{"family":"Lu","given":"Zhengguang"},{"family":"Scuri","given":"Giovanni"},{"family":"Sung","given":"Jiho"},{"family":"Wang","given":"Jue"},{"family":"Han","given":"Tianyi"},{"family":"Watanabe","given":"Kenji"},{"family":"Taniguchi","given":"Takashi"},{"family":"Park","given":"Hongkun"},{"family":"Ju","given":"Long"}],"issued":{"date-parts":[["2024",2]]}}},{"id":4514,"uris":["http://zotero.org/users/5406744/items/X382CW32"],"itemData":{"id":4514,"type":"article-journal","abstract":"Interactions among charge carriers in graphene can lead to the spontaneous breaking of multiple degeneracies. When increasing the number of graphene layers following rhombohedral stacking, the dominant role of Coulomb interactions becomes pronounced due to the significant reduction in kinetic energy. In this study, we employ phonon–polariton-assisted near-field infrared imaging to determine the stacking orders of tetralayer graphene devices. Through quantum transport measurements, we observe a range of spontaneous broken-symmetry states and their transitions, which can be finely tuned by carrier density n and electric displacement field D. Specifically, we observe a layer-antiferromagnetic insulator at n = D = 0 with a gap of approximately 15 meV. Increasing D allows for a continuous phase transition from a layer-antiferromagnetic insulator to a layer-polarized insulator. By simultaneously tuning n and D, we observe isospin-polarized metals, including spin–valley-polarized and spin-polarized metals. These transitions are associated with changes in the Fermi surface topology and are consistent with the Stoner criteria. Our findings highlight the efficient fabrication of specially stacked multilayer graphene devices and demonstrate that crystalline multilayer graphene is an ideal platform for investigating a wide range of broken symmetries driven by Coulomb interactions.","container-title":"Nature Nanotechnology","DOI":"10.1038/s41565-023-01558-1","ISSN":"1748-3395","issue":"2","journalAbbreviation":"Nat. Nanotechnol.","language":"en","license":"2023 The Author(s), under exclusive licence to Springer Nature Limited","note":"publisher: Nature Publishing Group","page":"188-195","source":"www.nature.com","title":"Spontaneous broken-symmetry insulator and metals in tetralayer rhombohedral graphene","volume":"19","author":[{"family":"Liu","given":"Kai"},{"family":"Zheng","given":"Jian"},{"family":"Sha","given":"Yating"},{"family":"Lyu","given":"Bosai"},{"family":"Li","given":"Fengping"},{"family":"Park","given":"Youngju"},{"family":"Ren","given":"Yulu"},{"family":"Watanabe","given":"Kenji"},{"family":"Taniguchi","given":"Takashi"},{"family":"Jia","given":"Jinfeng"},{"family":"Luo","given":"Weidong"},{"family":"Shi","given":"Zhiwen"},{"family":"Jung","given":"Jeil"},{"family":"Chen","given":"Guorui"}],"issued":{"date-parts":[["2024",2]]}}},{"id":4510,"uris":["http://zotero.org/users/5406744/items/AGDHR7KR"],"itemData":{"id":4510,"type":"article-journal","abstract":"Non-trivial interacting phases can emerge in elementary materials. As a prime example, continuing advances in device quality have facilitated the observation of a variety of spontaneously ordered quantum states in bilayer graphene. Its natural extension, rhombohedral trilayer graphene—in which the layers are stacked in an ABC fashion—is predicted to host stronger electron–electron interactions than bilayer graphene because of its flatter low-energy bands and larger winding number. Theoretically, five spontaneous quantum Hall phases have been proposed to be candidate electronic ground states. Here we observe evidence for four of the five competing ordered states in interaction-maximized, dual-gated, rhombohedral trilayer graphene. In particular, at small magnetic fields, two states with Chern numbers 3 and 6 can be stabilized at elevated and low perpendicular electric fields, respectively, and both exhibit clear magnetic hysteresis. We also show that the quantum Hall ferromagnets of the zero-energy Landau levels are ferroelectrics with spontaneous layer polarizations even at zero electric field, as evidenced by electric hysteresis.","container-title":"Nature Physics","DOI":"10.1038/s41567-023-02327-6","ISSN":"1745-2481","issue":"3","journalAbbreviation":"Nat. Phys.","language":"en","license":"2024 The Author(s), under exclusive licence to Springer Nature Limited","note":"publisher: Nature Publishing Group","page":"422-427","source":"www.nature.com","title":"Ferroelectric and spontaneous quantum Hall states in intrinsic rhombohedral trilayer graphene","volume":"20","author":[{"family":"Winterer","given":"Felix"},{"family":"Geisenhof","given":"Fabian R."},{"family":"Fernandez","given":"Noelia"},{"family":"Seiler","given":"Anna M."},{"family":"Zhang","given":"Fan"},{"family":"Weitz","given":"R. Thomas"}],"issued":{"date-parts":[["2024",3]]}}}],"schema":"https://github.com/citation-style-language/schema/raw/master/csl-citation.json"} </w:instrText>
      </w:r>
      <w:r w:rsidR="00F03CC5">
        <w:fldChar w:fldCharType="separate"/>
      </w:r>
      <w:r w:rsidR="00BF4618" w:rsidRPr="00BF4618">
        <w:rPr>
          <w:rFonts w:ascii="Calibri" w:hAnsi="Calibri" w:cs="Calibri"/>
          <w:kern w:val="0"/>
          <w:vertAlign w:val="superscript"/>
        </w:rPr>
        <w:t>4,7,9,10</w:t>
      </w:r>
      <w:r w:rsidR="00F03CC5">
        <w:fldChar w:fldCharType="end"/>
      </w:r>
      <w:r w:rsidR="00212CDE" w:rsidRPr="4D372101">
        <w:t xml:space="preserve">, </w:t>
      </w:r>
      <w:r w:rsidR="00DA26C5">
        <w:t xml:space="preserve">unusual </w:t>
      </w:r>
      <w:r w:rsidR="00212CDE" w:rsidRPr="4D372101">
        <w:t>s</w:t>
      </w:r>
      <w:r w:rsidR="00415ED7" w:rsidRPr="4D372101">
        <w:t>uperconductivity</w:t>
      </w:r>
      <w:r w:rsidR="00F03CC5">
        <w:fldChar w:fldCharType="begin"/>
      </w:r>
      <w:r w:rsidR="00FF03F1">
        <w:instrText xml:space="preserve"> ADDIN ZOTERO_ITEM CSL_CITATION {"citationID":"6dsWaKE5","properties":{"formattedCitation":"\\super 5\\nosupersub{}","plainCitation":"5","noteIndex":0},"citationItems":[{"id":3770,"uris":["http://zotero.org/users/5406744/items/527RMQ9V"],"itemData":{"id":3770,"type":"article-journal","abstract":"To access superconductivity via the electric field effect in a clean, two-dimensional device is a central goal of nanoelectronics. Recently, superconductivity has been realized in graphene moiré heterostructures1–4; however, many of these structures are not mechanically stable, and experiments show signatures of strong disorder. Here we report the observation of superconductivity—manifesting as low or vanishing resistivity at sub-kelvin temperatures—in crystalline rhombohedral trilayer graphene5,6, a structurally metastable carbon allotrope. Superconductivity occurs in two distinct gate-tuned regions (SC1 and SC2), and is deep in the clean limit defined by the ratio of mean free path and superconducting coherence length. Mapping of the normal state Fermi surfaces by quantum oscillations reveals that both superconductors emerge from an annular Fermi sea, and are proximal to an isospin-symmetry-breaking transition where the Fermi surface degeneracy changes7. SC1 emerges from a paramagnetic normal state, whereas SC2 emerges from a spin-polarized, valley-unpolarized half-metal17 and violates the Pauli limit for in-plane magnetic fields by at least one order of magnitude8,9. We discuss our results in view of several mechanisms, including conventional phonon-mediated pairing10,11, pairing due to fluctuations of the proximal isospin order12, and intrinsic instabilities of the annular Fermi liquid13,14. Our observation of superconductivity in a clean and structurally simple two-dimensional metal provides a model system to test competing theoretical models of superconductivity without the complication of modelling disorder, while enabling new classes of field-effect controlled electronic devices based on correlated electron phenomena and ballistic electron transport.","container-title":"Nature","DOI":"10.1038/s41586-021-03926-0","ISSN":"1476-4687","issue":"7881","language":"en","license":"2021 The Author(s), under exclusive licence to Springer Nature Limited","note":"number: 7881\npublisher: Nature Publishing Group","page":"434-438","source":"www.nature.com","title":"Superconductivity in rhombohedral trilayer graphene","volume":"598","author":[{"family":"Zhou","given":"Haoxin"},{"family":"Xie","given":"Tian"},{"family":"Taniguchi","given":"Takashi"},{"family":"Watanabe","given":"Kenji"},{"family":"Young","given":"Andrea F."}],"issued":{"date-parts":[["2021",10]]}}}],"schema":"https://github.com/citation-style-language/schema/raw/master/csl-citation.json"} </w:instrText>
      </w:r>
      <w:r w:rsidR="00F03CC5">
        <w:fldChar w:fldCharType="separate"/>
      </w:r>
      <w:r w:rsidR="00FF03F1" w:rsidRPr="00FF03F1">
        <w:rPr>
          <w:rFonts w:ascii="Calibri" w:hAnsi="Calibri" w:cs="Calibri"/>
          <w:kern w:val="0"/>
          <w:vertAlign w:val="superscript"/>
        </w:rPr>
        <w:t>5</w:t>
      </w:r>
      <w:r w:rsidR="00F03CC5">
        <w:fldChar w:fldCharType="end"/>
      </w:r>
      <w:r w:rsidR="00415ED7" w:rsidRPr="4D372101">
        <w:t>, and orbital multiferroicity</w:t>
      </w:r>
      <w:r w:rsidR="00F03CC5">
        <w:fldChar w:fldCharType="begin"/>
      </w:r>
      <w:r w:rsidR="00FF03F1">
        <w:instrText xml:space="preserve"> ADDIN ZOTERO_ITEM CSL_CITATION {"citationID":"oGyvguMG","properties":{"formattedCitation":"\\super 8\\nosupersub{}","plainCitation":"8","noteIndex":0},"citationItems":[{"id":4515,"uris":["http://zotero.org/users/5406744/items/PCPTNME4"],"itemData":{"id":4515,"type":"article-journal","abstract":"Ferroic orders describe spontaneous polarization of spin, charge and lattice degrees of freedom in materials. Materials exhibiting multiple ferroic orders, known as multiferroics, have important parts in multifunctional electrical and magnetic device applications1–4. Two-dimensional materials with honeycomb lattices offer opportunities to engineer unconventional multiferroicity, in which the ferroic orders are driven purely by the orbital degrees of freedom and not by electron spin. These include ferro-valleytricity corresponding to the electron valley5 and ferro-orbital-magnetism6 supported by quantum geometric effects. These orbital multiferroics could offer strong valley–magnetic couplings and large responses to external fields—enabling device applications such as multiple-state memory elements and electric control of the valley and magnetic states. Here we report orbital multiferroicity in pentalayer rhombohedral graphene using low-temperature magneto-transport measurements. We observed anomalous Hall signals Rxy with an exceptionally large Hall angle (tanΘH &gt; 0.6) and orbital magnetic hysteresis at hole doping. There are four such states with different valley polarizations and orbital magnetizations, forming a valley–magnetic quartet. By sweeping the gate electric field E, we observed a butterfly-shaped hysteresis of Rxy connecting the quartet. This hysteresis indicates a ferro-valleytronic order that couples to the composite field E · B (where B is the magnetic field), but not to the individual fields. Tuning E would switch each ferroic order independently and achieve non-volatile switching of them together. Our observations demonstrate a previously unknown type of multiferroics and point to electrically tunable ultralow-power valleytronic and magnetic devices.","container-title":"Nature","DOI":"10.1038/s41586-023-06572-w","ISSN":"1476-4687","issue":"7985","language":"en","license":"2023 The Author(s), under exclusive licence to Springer Nature Limited","note":"publisher: Nature Publishing Group","page":"41-47","source":"www.nature.com","title":"Orbital multiferroicity in pentalayer rhombohedral graphene","volume":"623","author":[{"family":"Han","given":"Tonghang"},{"family":"Lu","given":"Zhengguang"},{"family":"Scuri","given":"Giovanni"},{"family":"Sung","given":"Jiho"},{"family":"Wang","given":"Jue"},{"family":"Han","given":"Tianyi"},{"family":"Watanabe","given":"Kenji"},{"family":"Taniguchi","given":"Takashi"},{"family":"Fu","given":"Liang"},{"family":"Park","given":"Hongkun"},{"family":"Ju","given":"Long"}],"issued":{"date-parts":[["2023",11]]}}}],"schema":"https://github.com/citation-style-language/schema/raw/master/csl-citation.json"} </w:instrText>
      </w:r>
      <w:r w:rsidR="00F03CC5">
        <w:fldChar w:fldCharType="separate"/>
      </w:r>
      <w:r w:rsidR="00FF03F1" w:rsidRPr="00FF03F1">
        <w:rPr>
          <w:rFonts w:ascii="Calibri" w:hAnsi="Calibri" w:cs="Calibri"/>
          <w:kern w:val="0"/>
          <w:vertAlign w:val="superscript"/>
        </w:rPr>
        <w:t>8</w:t>
      </w:r>
      <w:r w:rsidR="00F03CC5">
        <w:fldChar w:fldCharType="end"/>
      </w:r>
      <w:r w:rsidR="00415ED7" w:rsidRPr="4D372101">
        <w:t xml:space="preserve">. </w:t>
      </w:r>
      <w:r w:rsidR="6AEBAF9E">
        <w:t xml:space="preserve">By forming an additional </w:t>
      </w:r>
      <w:r w:rsidR="00415ED7" w:rsidRPr="4D372101">
        <w:t>moir</w:t>
      </w:r>
      <w:r w:rsidR="00C015D4" w:rsidRPr="00C015D4">
        <w:t>é</w:t>
      </w:r>
      <w:r w:rsidR="00415ED7" w:rsidRPr="4D372101">
        <w:t xml:space="preserve"> superlattice</w:t>
      </w:r>
      <w:r w:rsidR="002B2AC3" w:rsidRPr="4D372101">
        <w:t xml:space="preserve"> </w:t>
      </w:r>
      <w:r w:rsidR="6AEBAF9E">
        <w:t>with</w:t>
      </w:r>
      <w:r w:rsidR="002B2AC3" w:rsidRPr="4D372101">
        <w:t xml:space="preserve"> </w:t>
      </w:r>
      <w:r w:rsidR="00F60A95" w:rsidRPr="4D372101">
        <w:t>a</w:t>
      </w:r>
      <w:r w:rsidR="002B2AC3" w:rsidRPr="4D372101">
        <w:t xml:space="preserve"> nearby hexagonal boron nitride (hBN)</w:t>
      </w:r>
      <w:r w:rsidR="6AEBAF9E">
        <w:t xml:space="preserve"> or proximitized by WS</w:t>
      </w:r>
      <w:r w:rsidR="6AEBAF9E" w:rsidRPr="00E44A69">
        <w:rPr>
          <w:vertAlign w:val="subscript"/>
        </w:rPr>
        <w:t>2</w:t>
      </w:r>
      <w:r w:rsidR="00415ED7" w:rsidRPr="4D372101">
        <w:t xml:space="preserve">, </w:t>
      </w:r>
      <w:r w:rsidR="6AEBAF9E">
        <w:t>integer</w:t>
      </w:r>
      <w:r w:rsidR="008B75D3">
        <w:fldChar w:fldCharType="begin"/>
      </w:r>
      <w:r w:rsidR="00E41BB7">
        <w:instrText xml:space="preserve"> ADDIN ZOTERO_ITEM CSL_CITATION {"citationID":"iEbALvgX","properties":{"formattedCitation":"\\super 1\\nosupersub{}","plainCitation":"1","noteIndex":0},"citationItems":[{"id":4521,"uris":["http://zotero.org/users/5406744/items/ZB2NJ9CY"],"itemData":{"id":4521,"type":"article-journal","abstract":"The quantum anomalous Hall effect (QAHE) is a robust topological phenomenon that features quantized Hall resistance at zero magnetic field. We report the QAHE in a rhombohedral pentalayer graphene-monolayer tungsten disulfide (WS2) heterostructure. ...","archive_location":"world","container-title":"Science","DOI":"10.1126/science.adk9749","language":"EN","license":"Copyright © 2024 The Authors, some rights reserved; exclusive licensee American Association for the Advancement of Science. No claim to original U.S. Government Works","note":"publisher: American Association for the Advancement of Science","source":"www.science.org","title":"Large quantum anomalous Hall effect in spin-orbit proximitized rhombohedral graphene","URL":"https://www.science.org/doi/10.1126/science.adk9749","author":[{"family":"Han","given":"Tonghang"},{"family":"Lu","given":"Zhengguang"},{"family":"Yao","given":"Yuxuan"},{"family":"Yang","given":"Jixiang"},{"family":"Seo","given":"Junseok"},{"family":"Yoon","given":"Chiho"},{"family":"Watanabe","given":"Kenji"},{"family":"Taniguchi","given":"Takashi"},{"family":"Fu","given":"Liang"},{"family":"Zhang","given":"Fan"},{"family":"Ju","given":"Long"}],"accessed":{"date-parts":[["2024",7,18]]},"issued":{"date-parts":[["2024",5,10]]}}}],"schema":"https://github.com/citation-style-language/schema/raw/master/csl-citation.json"} </w:instrText>
      </w:r>
      <w:r w:rsidR="008B75D3">
        <w:fldChar w:fldCharType="separate"/>
      </w:r>
      <w:r w:rsidR="00C54B30" w:rsidRPr="00C54B30">
        <w:rPr>
          <w:rFonts w:ascii="Calibri" w:hAnsi="Calibri" w:cs="Calibri"/>
          <w:kern w:val="0"/>
          <w:vertAlign w:val="superscript"/>
        </w:rPr>
        <w:t>1</w:t>
      </w:r>
      <w:r w:rsidR="008B75D3">
        <w:fldChar w:fldCharType="end"/>
      </w:r>
      <w:r w:rsidR="6AEBAF9E">
        <w:t xml:space="preserve"> and fractional quantum anomalous Hall effects</w:t>
      </w:r>
      <w:r w:rsidR="008B75D3">
        <w:fldChar w:fldCharType="begin"/>
      </w:r>
      <w:r w:rsidR="00FF03F1">
        <w:instrText xml:space="preserve"> ADDIN ZOTERO_ITEM CSL_CITATION {"citationID":"dBkB6PCJ","properties":{"formattedCitation":"\\super 2\\nosupersub{}","plainCitation":"2","noteIndex":0},"citationItems":[{"id":4520,"uris":["http://zotero.org/users/5406744/items/CSG2NE8K"],"itemData":{"id":4520,"type":"article-journal","abstract":"The fractional quantum anomalous Hall effect (FQAHE), the analogue of the fractional quantum Hall effect1 at zero magnetic field, is predicted to exist in topological flat bands under spontaneous time-reversal-symmetry breaking2–6. The demonstration of FQAHE could lead to non-Abelian anyons that form the basis of topological quantum computation7–9. So far, FQAHE has been observed only in twisted MoTe2 at a moiré filling factor v &gt; 1/2 (refs. 10–13). Graphene-based moiré superlattices are believed to host FQAHE with the potential advantage of superior material quality and higher electron mobility. Here we report the observation of integer and fractional QAH effects in a rhombohedral pentalayer graphene–hBN moiré superlattice. At zero magnetic field, we observed plateaus of quantized Hall resistance $${R}_{xy}=\\frac{h}{v{{\\rm{e}}}^{2}}$$at v = 1, 2/3, 3/5, 4/7, 4/9, 3/7 and 2/5 of the moiré superlattice, respectively, accompanied by clear dips in the longitudinal resistance Rxx. Rxy equals $$\\frac{2h}{{{\\rm{e}}}^{2}}$$at v = 1/2 and varies linearly with v, similar to the composite Fermi liquid in the half-filled lowest Landau level at high magnetic fields14–16. By tuning the gate-displacement field D and v, we observed phase transitions from composite Fermi liquid and FQAH states to other correlated electron states. Our system provides an ideal platform for exploring charge fractionalization and (non-Abelian) anyonic braiding at zero magnetic field7–9,17–19, especially considering a lateral junction between FQAHE and superconducting regions in the same device20–22.","container-title":"Nature","DOI":"10.1038/s41586-023-07010-7","ISSN":"1476-4687","issue":"8000","language":"en","license":"2024 The Author(s), under exclusive licence to Springer Nature Limited","note":"publisher: Nature Publishing Group","page":"759-764","source":"www.nature.com","title":"Fractional quantum anomalous Hall effect in multilayer graphene","volume":"626","author":[{"family":"Lu","given":"Zhengguang"},{"family":"Han","given":"Tonghang"},{"family":"Yao","given":"Yuxuan"},{"family":"Reddy","given":"Aidan P."},{"family":"Yang","given":"Jixiang"},{"family":"Seo","given":"Junseok"},{"family":"Watanabe","given":"Kenji"},{"family":"Taniguchi","given":"Takashi"},{"family":"Fu","given":"Liang"},{"family":"Ju","given":"Long"}],"issued":{"date-parts":[["2024",2]]}}}],"schema":"https://github.com/citation-style-language/schema/raw/master/csl-citation.json"} </w:instrText>
      </w:r>
      <w:r w:rsidR="008B75D3">
        <w:fldChar w:fldCharType="separate"/>
      </w:r>
      <w:r w:rsidR="00FF03F1" w:rsidRPr="00FF03F1">
        <w:rPr>
          <w:rFonts w:ascii="Calibri" w:hAnsi="Calibri" w:cs="Calibri"/>
          <w:kern w:val="0"/>
          <w:vertAlign w:val="superscript"/>
        </w:rPr>
        <w:t>2</w:t>
      </w:r>
      <w:r w:rsidR="008B75D3">
        <w:fldChar w:fldCharType="end"/>
      </w:r>
      <w:r w:rsidR="6AEBAF9E">
        <w:t xml:space="preserve"> (IQAHE and FQAHE) have been demonstrated. The IQAHE and FQAHE provide an exciting opportunity to engineer </w:t>
      </w:r>
      <w:r w:rsidR="00212CDE" w:rsidRPr="4D372101">
        <w:t xml:space="preserve">non-abelian </w:t>
      </w:r>
      <w:r w:rsidR="6AEBAF9E">
        <w:t>quasiparticles such as Majorana fermions and parafermions</w:t>
      </w:r>
      <w:r w:rsidR="009F7562">
        <w:fldChar w:fldCharType="begin"/>
      </w:r>
      <w:r w:rsidR="00BF4618">
        <w:instrText xml:space="preserve"> ADDIN ZOTERO_ITEM CSL_CITATION {"citationID":"PPE1PoXw","properties":{"formattedCitation":"\\super 14,15\\nosupersub{}","plainCitation":"14,15","noteIndex":0},"citationItems":[{"id":4617,"uris":["http://zotero.org/users/5406744/items/J2BNB98T"],"itemData":{"id":4617,"type":"article","abstract":"Motivated by the recent discovery of fractional quantum anomalous Hall states in moir\\'e systems, we consider the possibility of realizing non-Abelian phases in topological minibands. We study a family of moir\\'e systems, skyrmion Chern band (SCB) models, which can be realized in two-dimensional semiconductor/magnetic skyrmion heterostructures and also capture the essence of twisted transition metal dichalcogenide (TMD) homobilayers. We show using many-body exact diagonalization that, in spite of strong Berry curvature variations in momentum space, the non-Abelian Moore-Read state can be realized at half filling of the second miniband. These results demonstrate the feasibility of non-Abelian fractionalization in moir\\'e systems without Landau levels and shed light on the desirable conditions for their realization. In particular, we highlight the prospect of realizing the Moore-Read state in twisted semiconductor bilayers.","DOI":"10.48550/arXiv.2403.00059","note":"arXiv:2403.00059 [cond-mat]","number":"arXiv:2403.00059","publisher":"arXiv","source":"arXiv.org","title":"Non-Abelian fractionalization in topological minibands","URL":"http://arxiv.org/abs/2403.00059","author":[{"family":"Reddy","given":"Aidan P."},{"family":"Paul","given":"Nisarga"},{"family":"Abouelkomsan","given":"Ahmed"},{"family":"Fu","given":"Liang"}],"accessed":{"date-parts":[["2024",7,31]]},"issued":{"date-parts":[["2024",5,30]]}}},{"id":4615,"uris":["http://zotero.org/users/5406744/items/5RMEPSAA"],"itemData":{"id":4615,"type":"article-journal","abstract":"More than 40 years after the discovery of the quantum Hall effect, the investigation of new variants of this phenomenon and of the exotic physics they represent is still a lively research topic. In this Viewpoint, five scientists involved in the very recent discovery of a new type of Hall effect — the fractional quantum anomalous Hall effect — discuss their results and their implications.","container-title":"Nature Reviews Materials","DOI":"10.1038/s41578-024-00694-x","ISSN":"2058-8437","issue":"7","journalAbbreviation":"Nat Rev Mater","language":"en","license":"2024 Springer Nature Limited","note":"publisher: Nature Publishing Group","page":"455-459","source":"www.nature.com","title":"The fractional quantum anomalous Hall effect","volume":"9","author":[{"family":"Ju","given":"Long"},{"family":"MacDonald","given":"Allan H."},{"family":"Mak","given":"Kin Fai"},{"family":"Shan","given":"Jie"},{"family":"Xu","given":"Xiaodong"}],"issued":{"date-parts":[["2024",7]]}}}],"schema":"https://github.com/citation-style-language/schema/raw/master/csl-citation.json"} </w:instrText>
      </w:r>
      <w:r w:rsidR="009F7562">
        <w:fldChar w:fldCharType="separate"/>
      </w:r>
      <w:r w:rsidR="00BF4618" w:rsidRPr="00BF4618">
        <w:rPr>
          <w:rFonts w:ascii="Calibri" w:hAnsi="Calibri" w:cs="Calibri"/>
          <w:kern w:val="0"/>
          <w:vertAlign w:val="superscript"/>
        </w:rPr>
        <w:t>14,15</w:t>
      </w:r>
      <w:r w:rsidR="009F7562">
        <w:fldChar w:fldCharType="end"/>
      </w:r>
      <w:r w:rsidR="6AEBAF9E">
        <w:t xml:space="preserve"> by </w:t>
      </w:r>
      <w:proofErr w:type="spellStart"/>
      <w:r w:rsidR="008B4351" w:rsidRPr="4D372101">
        <w:t>proximitiz</w:t>
      </w:r>
      <w:r w:rsidR="6AEBAF9E">
        <w:t>ing</w:t>
      </w:r>
      <w:proofErr w:type="spellEnd"/>
      <w:r w:rsidR="008B4351" w:rsidRPr="4D372101">
        <w:t xml:space="preserve"> </w:t>
      </w:r>
      <w:r w:rsidR="6AEBAF9E">
        <w:t>with</w:t>
      </w:r>
      <w:r w:rsidR="008B4351" w:rsidRPr="4D372101">
        <w:t xml:space="preserve"> </w:t>
      </w:r>
      <w:r w:rsidRPr="4D372101">
        <w:t xml:space="preserve">a superconductor – </w:t>
      </w:r>
      <w:r w:rsidR="6AEBAF9E">
        <w:t xml:space="preserve">ideas </w:t>
      </w:r>
      <w:r w:rsidR="5BE58D12">
        <w:t>that</w:t>
      </w:r>
      <w:r w:rsidR="6AEBAF9E">
        <w:t xml:space="preserve"> were conceived for realizing topological quantum computation based on integer and fractional quantum Hall effects but have been hindered by the incompatibility of superconductivity and magnetic field. </w:t>
      </w:r>
    </w:p>
    <w:p w14:paraId="52B2B3AD" w14:textId="281827F5" w:rsidR="00212CDE" w:rsidRPr="004C0AB0" w:rsidRDefault="6EA77C65" w:rsidP="5BE58D12">
      <w:pPr>
        <w:ind w:firstLine="720"/>
        <w:jc w:val="both"/>
      </w:pPr>
      <w:r>
        <w:t>In addition to IQAHE and FQAHE, rhombohedral graphene has been demonstrated to host superconductivity. The co-existence of topological states and superconductivity</w:t>
      </w:r>
      <w:r w:rsidR="00DA26C5">
        <w:t xml:space="preserve"> at zero magnetic field</w:t>
      </w:r>
      <w:r>
        <w:t xml:space="preserve"> points to the possibility of gate-defined junctions between adjacent regions within the same material, which avoids many </w:t>
      </w:r>
      <w:r w:rsidR="00DA26C5">
        <w:t xml:space="preserve">unwanted </w:t>
      </w:r>
      <w:r>
        <w:t xml:space="preserve">issues when different topological and superconducting materials are interfaced. </w:t>
      </w:r>
      <w:r w:rsidR="00B8432E" w:rsidRPr="4D372101">
        <w:t>So far,</w:t>
      </w:r>
      <w:r w:rsidR="00212CDE" w:rsidRPr="4D372101">
        <w:t xml:space="preserve"> superconductivity is </w:t>
      </w:r>
      <w:r w:rsidR="00212CDE" w:rsidRPr="4D372101">
        <w:rPr>
          <w:color w:val="000000" w:themeColor="text1"/>
        </w:rPr>
        <w:t xml:space="preserve">only observed in </w:t>
      </w:r>
      <w:r w:rsidR="00AC4DB4">
        <w:rPr>
          <w:rFonts w:hint="eastAsia"/>
          <w:color w:val="000000" w:themeColor="text1"/>
        </w:rPr>
        <w:t xml:space="preserve">bilayer </w:t>
      </w:r>
      <w:r w:rsidR="000947F1">
        <w:rPr>
          <w:rFonts w:hint="eastAsia"/>
          <w:color w:val="000000" w:themeColor="text1"/>
        </w:rPr>
        <w:t>graphen</w:t>
      </w:r>
      <w:r w:rsidR="00AC4DB4">
        <w:rPr>
          <w:rFonts w:hint="eastAsia"/>
          <w:color w:val="000000" w:themeColor="text1"/>
        </w:rPr>
        <w:t>e</w:t>
      </w:r>
      <w:r w:rsidR="00D829C5">
        <w:rPr>
          <w:color w:val="000000" w:themeColor="text1"/>
        </w:rPr>
        <w:fldChar w:fldCharType="begin"/>
      </w:r>
      <w:r w:rsidR="00BF4618">
        <w:rPr>
          <w:color w:val="000000" w:themeColor="text1"/>
        </w:rPr>
        <w:instrText xml:space="preserve"> ADDIN ZOTERO_ITEM CSL_CITATION {"citationID":"jB43ps4H","properties":{"formattedCitation":"\\super 16\\nosupersub{}","plainCitation":"16","noteIndex":0},"citationItems":[{"id":927,"uris":["http://zotero.org/users/5406744/items/D4D5KACK"],"itemData":{"id":927,"type":"article-journal","container-title":"Science","DOI":"10.1126/science.abm8386","issue":"6582","note":"publisher: American Association for the Advancement of Science","page":"774-778","source":"science.org (Atypon)","title":"Isospin magnetism and spin-polarized superconductivity in Bernal bilayer graphene","volume":"375","author":[{"family":"Zhou","given":"Haoxin"},{"family":"Holleis","given":"Ludwig"},{"family":"Saito","given":"Yu"},{"family":"Cohen","given":"Liam"},{"family":"Huynh","given":"William"},{"family":"Patterson","given":"Caitlin L."},{"family":"Yang","given":"Fangyuan"},{"family":"Taniguchi","given":"Takashi"},{"family":"Watanabe","given":"Kenji"},{"family":"Young","given":"Andrea F."}],"issued":{"date-parts":[["2022",2,18]]}}}],"schema":"https://github.com/citation-style-language/schema/raw/master/csl-citation.json"} </w:instrText>
      </w:r>
      <w:r w:rsidR="00D829C5">
        <w:rPr>
          <w:color w:val="000000" w:themeColor="text1"/>
        </w:rPr>
        <w:fldChar w:fldCharType="separate"/>
      </w:r>
      <w:r w:rsidR="00BF4618" w:rsidRPr="00BF4618">
        <w:rPr>
          <w:rFonts w:ascii="Calibri" w:hAnsi="Calibri" w:cs="Calibri"/>
          <w:kern w:val="0"/>
          <w:vertAlign w:val="superscript"/>
        </w:rPr>
        <w:t>16</w:t>
      </w:r>
      <w:r w:rsidR="00D829C5">
        <w:rPr>
          <w:color w:val="000000" w:themeColor="text1"/>
        </w:rPr>
        <w:fldChar w:fldCharType="end"/>
      </w:r>
      <w:r w:rsidR="00AC4DB4">
        <w:rPr>
          <w:rFonts w:hint="eastAsia"/>
          <w:color w:val="000000" w:themeColor="text1"/>
        </w:rPr>
        <w:t xml:space="preserve"> and </w:t>
      </w:r>
      <w:r w:rsidRPr="6EA77C65">
        <w:rPr>
          <w:color w:val="000000" w:themeColor="text1"/>
        </w:rPr>
        <w:t xml:space="preserve">bare </w:t>
      </w:r>
      <w:r w:rsidR="00212CDE" w:rsidRPr="4D372101">
        <w:rPr>
          <w:color w:val="000000" w:themeColor="text1"/>
        </w:rPr>
        <w:t>rhombohedral trilayer graphene</w:t>
      </w:r>
      <w:r w:rsidR="004C0AB0" w:rsidRPr="4D372101">
        <w:rPr>
          <w:color w:val="000000" w:themeColor="text1"/>
        </w:rPr>
        <w:t xml:space="preserve"> (RTG)</w:t>
      </w:r>
      <w:r w:rsidR="00F03CC5">
        <w:rPr>
          <w:color w:val="000000" w:themeColor="text1"/>
        </w:rPr>
        <w:fldChar w:fldCharType="begin"/>
      </w:r>
      <w:r w:rsidR="00BF4618">
        <w:rPr>
          <w:color w:val="000000" w:themeColor="text1"/>
        </w:rPr>
        <w:instrText xml:space="preserve"> ADDIN ZOTERO_ITEM CSL_CITATION {"citationID":"cLJcYM8u","properties":{"formattedCitation":"\\super 5,17\\nosupersub{}","plainCitation":"5,17","noteIndex":0},"citationItems":[{"id":3770,"uris":["http://zotero.org/users/5406744/items/527RMQ9V"],"itemData":{"id":3770,"type":"article-journal","abstract":"To access superconductivity via the electric field effect in a clean, two-dimensional device is a central goal of nanoelectronics. Recently, superconductivity has been realized in graphene moiré heterostructures1–4; however, many of these structures are not mechanically stable, and experiments show signatures of strong disorder. Here we report the observation of superconductivity—manifesting as low or vanishing resistivity at sub-kelvin temperatures—in crystalline rhombohedral trilayer graphene5,6, a structurally metastable carbon allotrope. Superconductivity occurs in two distinct gate-tuned regions (SC1 and SC2), and is deep in the clean limit defined by the ratio of mean free path and superconducting coherence length. Mapping of the normal state Fermi surfaces by quantum oscillations reveals that both superconductors emerge from an annular Fermi sea, and are proximal to an isospin-symmetry-breaking transition where the Fermi surface degeneracy changes7. SC1 emerges from a paramagnetic normal state, whereas SC2 emerges from a spin-polarized, valley-unpolarized half-metal17 and violates the Pauli limit for in-plane magnetic fields by at least one order of magnitude8,9. We discuss our results in view of several mechanisms, including conventional phonon-mediated pairing10,11, pairing due to fluctuations of the proximal isospin order12, and intrinsic instabilities of the annular Fermi liquid13,14. Our observation of superconductivity in a clean and structurally simple two-dimensional metal provides a model system to test competing theoretical models of superconductivity without the complication of modelling disorder, while enabling new classes of field-effect controlled electronic devices based on correlated electron phenomena and ballistic electron transport.","container-title":"Nature","DOI":"10.1038/s41586-021-03926-0","ISSN":"1476-4687","issue":"7881","language":"en","license":"2021 The Author(s), under exclusive licence to Springer Nature Limited","note":"number: 7881\npublisher: Nature Publishing Group","page":"434-438","source":"www.nature.com","title":"Superconductivity in rhombohedral trilayer graphene","volume":"598","author":[{"family":"Zhou","given":"Haoxin"},{"family":"Xie","given":"Tian"},{"family":"Taniguchi","given":"Takashi"},{"family":"Watanabe","given":"Kenji"},{"family":"Young","given":"Andrea F."}],"issued":{"date-parts":[["2021",10]]}}},{"id":3774,"uris":["http://zotero.org/users/5406744/items/P2QD7P89"],"itemData":{"id":3774,"type":"thesis","abstract":"This work studies the Van Hove singularity induced novel electronic phenomena in rhombohedral trilayer graphene, including magnetism and superconductivity. Rhombohedral trilayer graphene is a two dimensional crystal where three layers of carbon honeycomb lattice are stacked to form a rhombohedral lattice in its three dimensional extension. The energy band structure of rhombohedral trilayer graphene features van Hove singularities, saddle points in the energy band structure where the density of states diverges. A perpendicular electrical field can be applied to induce interlayer potential and to open up an energy gap at the charge neutrality point. The gap opening modulates the density of states profile, making the divergence at the van Hove singularity robust against fluctuations from finite temperature and disorder effects. Like many other systems, the diverged density of states induces Fermi surface instability. On the one hand, it drives spontaneous ferromagnetic polarization of the electron system into one or more spin- and valley flavors. On the other hand, it allows the bounded states where electrons couple into pairs to have significant lower energy than the normal ground states, leading to superconductivity observable at the experimentally reached temperature. In this work, we fabricated dual graphite-gated rhombohedral trilayer graphene van der Waals heterostructures that allow cryogenic electrical transport measurement and penetration field capacitance measurements and systematically studied the gate voltage modulated magnetic phase transitions and superconductivity. A rigid band model is built that well captures the spin- and valley- phases. For superconductivity, we provided several possible explanations. In addition to gate voltages, we also induced a moiré potential to the system by aligning the lattice of the rhombohedral trilayer graphene with the dielectric material hexagonal boron nitride. We found that while the moiré potential only affect the electronic phase diagram on a perturbative level, several novel phenomena including the breaking of lattice symmetry is induced.","language":"en","publisher":"UC Santa Barbara","source":"escholarship.org","title":"Ferromagnetism and Superconductivity in Rhombohedral Trilayer Graphene","URL":"https://escholarship.org/uc/item/4k36g8qk","author":[{"family":"Zhou","given":"Haoxin"}],"accessed":{"date-parts":[["2023",7,23]]},"issued":{"date-parts":[["2021"]]}}}],"schema":"https://github.com/citation-style-language/schema/raw/master/csl-citation.json"} </w:instrText>
      </w:r>
      <w:r w:rsidR="00F03CC5">
        <w:rPr>
          <w:color w:val="000000" w:themeColor="text1"/>
        </w:rPr>
        <w:fldChar w:fldCharType="separate"/>
      </w:r>
      <w:r w:rsidR="00BF4618" w:rsidRPr="00BF4618">
        <w:rPr>
          <w:rFonts w:ascii="Calibri" w:hAnsi="Calibri" w:cs="Calibri"/>
          <w:kern w:val="0"/>
          <w:vertAlign w:val="superscript"/>
        </w:rPr>
        <w:t>5,17</w:t>
      </w:r>
      <w:r w:rsidR="00F03CC5">
        <w:rPr>
          <w:color w:val="000000" w:themeColor="text1"/>
        </w:rPr>
        <w:fldChar w:fldCharType="end"/>
      </w:r>
      <w:r w:rsidRPr="6EA77C65">
        <w:rPr>
          <w:color w:val="000000" w:themeColor="text1"/>
        </w:rPr>
        <w:t xml:space="preserve">. </w:t>
      </w:r>
      <w:r w:rsidR="008B4351" w:rsidRPr="4D372101">
        <w:t xml:space="preserve"> </w:t>
      </w:r>
      <w:r>
        <w:t xml:space="preserve">Previous experiments revealed a constructive </w:t>
      </w:r>
      <w:r w:rsidR="00DA26C5">
        <w:t xml:space="preserve">impact </w:t>
      </w:r>
      <w:r>
        <w:t>of spin-orbit-coupling (SOC) on superconductivity, in both crystalline</w:t>
      </w:r>
      <w:r w:rsidR="008B75D3">
        <w:fldChar w:fldCharType="begin"/>
      </w:r>
      <w:r w:rsidR="00BF4618">
        <w:instrText xml:space="preserve"> ADDIN ZOTERO_ITEM CSL_CITATION {"citationID":"x7s3D5bb","properties":{"formattedCitation":"\\super 18\\uc0\\u8211{}21\\nosupersub{}","plainCitation":"18–21","noteIndex":0},"citationItems":[{"id":1752,"uris":["http://zotero.org/users/5406744/items/5ITGK7BD"],"itemData":{"id":1752,"type":"article-journal","container-title":"Nature","DOI":"10.1038/s41586-022-05446-x","ISSN":"0028-0836, 1476-4687","issue":"7943","journalAbbreviation":"Nature","language":"en","page":"268-273","source":"DOI.org (Crossref)","title":"Enhanced superconductivity in spin–orbit proximitized bilayer graphene","volume":"613","author":[{"family":"Zhang","given":"Yiran"},{"family":"Polski","given":"Robert"},{"family":"Thomson","given":"Alex"},{"family":"Lantagne-Hurtubise","given":"Étienne"},{"family":"Lewandowski","given":"Cyprian"},{"family":"Zhou","given":"Haoxin"},{"family":"Watanabe","given":"Kenji"},{"family":"Taniguchi","given":"Takashi"},{"family":"Alicea","given":"Jason"},{"family":"Nadj-Perge","given":"Stevan"}],"issued":{"date-parts":[["2023",1,12]]}}},{"id":4319,"uris":["http://zotero.org/users/5406744/items/XZ6TC7XV"],"itemData":{"id":4319,"type":"article","abstract":"Superconductivity is a ubiquitous feature of graphite allotropes, having been observed in Bernal bilayers, rhombohedral trilayers, and a wide variety of angle-misaligned multilayers. Despite significant differences in the electronic structure across these systems, supporting the graphite layer on a WSe$_2$ substrate has been consistently observed to expand the range of superconductivity in carrier density and temperature. Here, we report the observation of two distinct superconducting states (denoted SC$_1$ and SC$_2$) in Bernal bilayer graphene with strong proximity-induced Ising spin-orbit coupling. Quantum oscillations show that while the normal state of SC$_1$ is consistent with the single-particle band structure, SC$_2$ emerges from a nematic normal state with broken rotational symmetry. Both superconductors are robust to in-plane magnetic fields, violating the paramagnetic limit as expected for spin-valley locked Ising superconductors. Our results show that the enhancement of superconductivity in WSe$_2$ supported graphite allotropes can be directly linked to Ising spin orbit coupling, which favors valley-balanced ground states with time-reversal symmetric Fermi surfaces friendly to superconducting pairing.","note":"arXiv:2303.00742 [cond-mat]","number":"arXiv:2303.00742","publisher":"arXiv","source":"arXiv.org","title":"Ising Superconductivity and Nematicity in Bernal Bilayer Graphene with Strong Spin Orbit Coupling","URL":"http://arxiv.org/abs/2303.00742","author":[{"family":"Holleis","given":"Ludwig"},{"family":"Patterson","given":"Caitlin L."},{"family":"Zhang","given":"Yiran"},{"family":"Yoo","given":"Heun Mo"},{"family":"Zhou","given":"Haoxin"},{"family":"Taniguchi","given":"Takashi"},{"family":"Watanabe","given":"Kenji"},{"family":"Nadj-Perge","given":"Stevan"},{"family":"Young","given":"Andrea F."}],"accessed":{"date-parts":[["2024",1,10]]},"issued":{"date-parts":[["2023",3,1]]}}},{"id":4721,"uris":["http://zotero.org/users/5406744/items/BB4QM5H2"],"itemData":{"id":4721,"type":"article","abstract":"The relative twist angle between layers of near-lattice-matched van der Waals materials is critical for the emergent correlated phenomena associated with moire flat bands. However, the concept of angle rotation control is not exclusive to moir\\'e superlattices in which electrons directly experience a twist-angle-dependent periodic potential. Instead, it can also be employed to induce programmable symmetry-breaking perturbations with the goal of stabilizing desired correlated states. Here, we experimentally demonstrate `moireless' twist-tuning of superconductivity together with other correlated orders in Bernal bilayer graphene proximitized by tungsten diselenide. The alignment between the two materials systematically controls the strength of the induced Ising spin-orbit coupling (SOC), profoundly altering the phase diagram. As Ising SOC is increased, superconductivity onsets at a higher displacement field and features a higher critical temperature, reaching up to 0.5K. Within the main superconducting dome and in the strong Ising SOC limit, we find an unusual phase transition characterized by a nematic redistribution of holes among trigonally warped Fermi pockets and enhanced resilience to in-plane magnetic fields. The behavior of the superconducting phase is well captured by our theoretical model, which emphasizes the role of interband interactions between Fermi pockets arising due to interaction-enhanced symmetry breaking. Moreover, we identify two additional superconducting regions, one of which descends from an inter-valley coherent normal state and exhibits a Pauli-limit violation ratio exceeding 40, among the highest for all known superconductors. Our results provide new insights into ultra-clean graphene-based superconductors and underscore the potential of utilizing moireless-twist engineering across a range of van der Waals heterostructures.","DOI":"10.48550/arXiv.2408.10335","note":"arXiv:2408.10335 [cond-mat]","number":"arXiv:2408.10335","publisher":"arXiv","source":"arXiv.org","title":"Twist-Programmable Superconductivity in Spin-Orbit Coupled Bilayer Graphene","URL":"http://arxiv.org/abs/2408.10335","author":[{"family":"Zhang","given":"Yiran"},{"family":"Shavit","given":"Gal"},{"family":"Ma","given":"Huiyang"},{"family":"Han","given":"Youngjoon"},{"family":"Watanabe","given":"Kenji"},{"family":"Taniguchi","given":"Takashi"},{"family":"Hsieh","given":"David"},{"family":"Lewandowski","given":"Cyprian"},{"family":"Oppen","given":"Felix","non-dropping-particle":"von"},{"family":"Oreg","given":"Yuval"},{"family":"Nadj-Perge","given":"Stevan"}],"accessed":{"date-parts":[["2024",8,27]]},"issued":{"date-parts":[["2024",8,19]]}}},{"id":4497,"uris":["http://zotero.org/users/5406744/items/NVDV6TNX"],"itemData":{"id":4497,"type":"article-journal","abstract":"Graphene-based, high-quality, two-dimensional electronic systems have emerged as a highly tunable platform for studying superconductivity1–21. Specifically, superconductivity has been observed in both electron- and hole-doped twisted graphene moiré systems1–17, whereas in crystalline graphene systems, superconductivity has so far been observed only in hole-doped rhombohedral trilayer graphene (RTG)18 and hole-doped Bernal bilayer graphene (BBG)19–21. Recently, enhanced superconductivity has been demonstrated20,21 in BBG because of the proximity to a monolayer WSe2. Here we report the observation of superconductivity and a series of flavour-symmetry-breaking phases in electron- and hole-doped BBG/WSe2 devices by electrostatic doping. The strength of the observed superconductivity is tunable by applied vertical electric fields. The maximum Berezinskii–Kosterlitz−Thouless transition temperature for the electron- and hole-doped superconductivity is about 210 mK and 400 mK, respectively. Superconductivities emerge only when the applied electric fields drive the BBG electron or hole wavefunctions towards the WSe2 layer, underscoring the importance of the WSe2 layer in the observed superconductivity. The hole-doped superconductivity violates the Pauli paramagnetic limit, consistent with an Ising-like superconductor. By contrast, the electron-doped superconductivity obeys the Pauli limit, although the proximity-induced Ising spin–orbit coupling is also notable in the conduction band. Our findings highlight the rich physics associated with the conduction band in BBG, paving the way for further studies into the superconducting mechanisms of crystalline graphene and the development of superconductor devices based on BBG.","container-title":"Nature","DOI":"10.1038/s41586-024-07584-w","ISSN":"1476-4687","issue":"8020","language":"en","license":"2024 The Author(s), under exclusive licence to Springer Nature Limited","note":"publisher: Nature Publishing Group","page":"300-306","source":"www.nature.com","title":"Tunable superconductivity in electron- and hole-doped Bernal bilayer graphene","volume":"631","author":[{"family":"Li","given":"Chushan"},{"family":"Xu","given":"Fan"},{"family":"Li","given":"Bohao"},{"family":"Li","given":"Jiayi"},{"family":"Li","given":"Guoan"},{"family":"Watanabe","given":"Kenji"},{"family":"Taniguchi","given":"Takashi"},{"family":"Tong","given":"Bingbing"},{"family":"Shen","given":"Jie"},{"family":"Lu","given":"Li"},{"family":"Jia","given":"Jinfeng"},{"family":"Wu","given":"Fengcheng"},{"family":"Liu","given":"Xiaoxue"},{"family":"Li","given":"Tingxin"}],"issued":{"date-parts":[["2024",7]]}}}],"schema":"https://github.com/citation-style-language/schema/raw/master/csl-citation.json"} </w:instrText>
      </w:r>
      <w:r w:rsidR="008B75D3">
        <w:fldChar w:fldCharType="separate"/>
      </w:r>
      <w:r w:rsidR="00BF4618" w:rsidRPr="00BF4618">
        <w:rPr>
          <w:rFonts w:ascii="Calibri" w:hAnsi="Calibri" w:cs="Calibri"/>
          <w:kern w:val="0"/>
          <w:vertAlign w:val="superscript"/>
        </w:rPr>
        <w:t>18–21</w:t>
      </w:r>
      <w:r w:rsidR="008B75D3">
        <w:fldChar w:fldCharType="end"/>
      </w:r>
      <w:r>
        <w:t xml:space="preserve"> and twisted graphene</w:t>
      </w:r>
      <w:r w:rsidR="008B75D3">
        <w:fldChar w:fldCharType="begin"/>
      </w:r>
      <w:r w:rsidR="00BF4618">
        <w:instrText xml:space="preserve"> ADDIN ZOTERO_ITEM CSL_CITATION {"citationID":"dBDmcxYE","properties":{"formattedCitation":"\\super 22\\uc0\\u8211{}24\\nosupersub{}","plainCitation":"22–24","noteIndex":0},"citationItems":[{"id":1107,"uris":["http://zotero.org/users/5406744/items/SBKT6KFN"],"itemData":{"id":1107,"type":"article-journal","abstract":"Magic-angle twisted bilayer graphene (TBG), with rotational misalignment close to 1.1 degrees, features isolated flat electronic bands that host a rich phase diagram of correlated insulating, superconducting, ferromagnetic and topological phases1–6. Correlated insulators and superconductivity have been previously observed only for angles within 0.1 degree of the magic angle and occur in adjacent or overlapping electron-density ranges; nevertheless, the origins of these states and the relation between them remain unclear, owing to their sensitivity to microscopic details. Beyond twist angle and strain, the dependence of the TBG phase diagram on the alignment4,6 and thickness of the insulating hexagonal boron nitride (hBN)7,8 used to encapsulate the graphene sheets indicates the importance of the microscopic dielectric environment. Here we show that adding an insulating tungsten diselenide (WSe2) monolayer between the hBN and the TBG stabilizes superconductivity at twist angles much smaller than the magic angle. For the smallest twist angle of 0.79 degrees, superconductivity is still observed despite the TBG exhibiting metallic behaviour across the whole range of electron densities. Finite-magnetic-field measurements further reveal weak antilocalization signatures as well as breaking of fourfold spin–valley symmetry, consistent with spin–orbit coupling induced in the TBG via its proximity to WSe2. Our results constrain theoretical explanations for the emergence of superconductivity in TBG and open up avenues towards engineering quantum phases in moiré systems.","container-title":"Nature","DOI":"10.1038/s41586-020-2473-8","ISSN":"1476-4687","issue":"7816","language":"en","license":"2020 The Author(s), under exclusive licence to Springer Nature Limited","note":"number: 7816\npublisher: Nature Publishing Group","page":"379-384","source":"www.nature.com","title":"Superconductivity in metallic twisted bilayer graphene stabilized by WSe2","volume":"583","author":[{"family":"Arora","given":"Harpreet Singh"},{"family":"Polski","given":"Robert"},{"family":"Zhang","given":"Yiran"},{"family":"Thomson","given":"Alex"},{"family":"Choi","given":"Youngjoon"},{"family":"Kim","given":"Hyunjin"},{"family":"Lin","given":"Zhong"},{"family":"Wilson","given":"Ilham Zaky"},{"family":"Xu","given":"Xiaodong"},{"family":"Chu","given":"Jiun-Haw"},{"family":"Watanabe","given":"Kenji"},{"family":"Taniguchi","given":"Takashi"},{"family":"Alicea","given":"Jason"},{"family":"Nadj-Perge","given":"Stevan"}],"issued":{"date-parts":[["2020",7]]}}},{"id":3996,"uris":["http://zotero.org/users/5406744/items/7ZZHI37G"],"itemData":{"id":3996,"type":"article-journal","abstract":"Identifying the essential components of superconductivity in graphene-based systems remains a critical problem in two-dimensional materials research. This field is connected to the mysteries that underpin investigations of unconventional superconductivity in condensed-matter physics. Superconductivity has been observed in magic-angle twisted stacks of monolayer graphene but conspicuously not in twisted stacks of bilayer graphene, although both systems host topological flat bands and symmetry-broken states. Here we report the discovery of superconductivity in twisted double bilayer graphene (TDBG) in proximity to WSe2. Samples with twist angles 1.24° and 1.37° superconduct in small pockets of the gate-tuned phase diagram within the valence and conduction band, respectively. Superconductivity emerges from unpolarized phases near van Hove singularities and next to regions with broken isospin symmetry. Our results show the correlation between a high density of states and the emergence of superconductivity in TDBG while revealing a possible role for isospin fluctuations in the pairing.","container-title":"Nature Materials","DOI":"10.1038/s41563-023-01653-7","ISSN":"1476-4660","journalAbbreviation":"Nat. Mater.","language":"en","license":"2023 The Author(s), under exclusive licence to Springer Nature Limited","note":"publisher: Nature Publishing Group","page":"1-6","source":"www.nature.com","title":"Superconductivity in twisted double bilayer graphene stabilized by WSe2","author":[{"family":"Su","given":"Ruiheng"},{"family":"Kuiri","given":"Manabendra"},{"family":"Watanabe","given":"Kenji"},{"family":"Taniguchi","given":"Takashi"},{"family":"Folk","given":"Joshua"}],"issued":{"date-parts":[["2023",8,28]]}}},{"id":4597,"uris":["http://zotero.org/users/5406744/items/GF95BK94"],"itemData":{"id":4597,"type":"article-journal","abstract":"Graphene moiré superlattices show an abundance of correlated insulating, topological, and superconducting phases. Whereas the origins of strong correlations and nontrivial topology can be directly linked to flat bands, the nature of superconductivity remains enigmatic. We demonstrate that magic-angle devices made of twisted tri-, quadri-, and pentalayer graphene placed on monolayer tungsten diselenide exhibit flavor polarization and superconductivity. We also observe insulating states in the tril- and quadrilayer arising at finite electric displacement fields. As the number of layers increases, superconductivity emerges over an enhanced filling-factor range, and in the pentalayer it extends well beyond the filling of four electrons per moiré unit cell. Our results highlight the role of the interplay between flat and more dispersive bands in extending superconducting regions in graphene moiré superlattices.","container-title":"Science","DOI":"10.1126/science.abn8585","issue":"6614","note":"publisher: American Association for the Advancement of Science","page":"1538-1543","source":"science.org (Atypon)","title":"Promotion of superconductivity in magic-angle graphene multilayers","volume":"377","author":[{"family":"Zhang","given":"Yiran"},{"family":"Polski","given":"Robert"},{"family":"Lewandowski","given":"Cyprian"},{"family":"Thomson","given":"Alex"},{"family":"Peng","given":"Yang"},{"family":"Choi","given":"Youngjoon"},{"family":"Kim","given":"Hyunjin"},{"family":"Watanabe","given":"Kenji"},{"family":"Taniguchi","given":"Takashi"},{"family":"Alicea","given":"Jason"},{"family":"Oppen","given":"Felix","non-dropping-particle":"von"},{"family":"Refael","given":"Gil"},{"family":"Nadj-Perge","given":"Stevan"}],"issued":{"date-parts":[["2022",9,30]]}}}],"schema":"https://github.com/citation-style-language/schema/raw/master/csl-citation.json"} </w:instrText>
      </w:r>
      <w:r w:rsidR="008B75D3">
        <w:fldChar w:fldCharType="separate"/>
      </w:r>
      <w:r w:rsidR="00BF4618" w:rsidRPr="00BF4618">
        <w:rPr>
          <w:rFonts w:ascii="Calibri" w:hAnsi="Calibri" w:cs="Calibri"/>
          <w:kern w:val="0"/>
          <w:vertAlign w:val="superscript"/>
        </w:rPr>
        <w:t>22–24</w:t>
      </w:r>
      <w:r w:rsidR="008B75D3">
        <w:fldChar w:fldCharType="end"/>
      </w:r>
      <w:r>
        <w:t xml:space="preserve">: either the critical temperature </w:t>
      </w:r>
      <w:r w:rsidRPr="00E44A69">
        <w:rPr>
          <w:i/>
          <w:iCs/>
        </w:rPr>
        <w:t>T</w:t>
      </w:r>
      <w:r w:rsidRPr="00E44A69">
        <w:rPr>
          <w:i/>
          <w:iCs/>
          <w:vertAlign w:val="subscript"/>
        </w:rPr>
        <w:t>c</w:t>
      </w:r>
      <w:r>
        <w:t xml:space="preserve"> can be enhanced or non-superconducting devices can be converted to superconducting when WSe</w:t>
      </w:r>
      <w:r w:rsidRPr="00D829C5">
        <w:rPr>
          <w:vertAlign w:val="subscript"/>
        </w:rPr>
        <w:t>2</w:t>
      </w:r>
      <w:r>
        <w:t xml:space="preserve"> is introduced to the proximity of graphene. The same proximity-induced SOC has led to the observation of</w:t>
      </w:r>
      <w:r w:rsidR="001D0697" w:rsidRPr="4D372101">
        <w:t xml:space="preserve"> </w:t>
      </w:r>
      <w:r>
        <w:t xml:space="preserve">a </w:t>
      </w:r>
      <w:r w:rsidR="001D0697" w:rsidRPr="4D372101">
        <w:t>large</w:t>
      </w:r>
      <w:r w:rsidR="5BE58D12">
        <w:t>-</w:t>
      </w:r>
      <w:r w:rsidR="001D0697" w:rsidRPr="4D372101">
        <w:t>Chern</w:t>
      </w:r>
      <w:r w:rsidR="5BE58D12">
        <w:t>-</w:t>
      </w:r>
      <w:r w:rsidR="001D0697" w:rsidRPr="4D372101">
        <w:t>number quantum anomalous Hall effect</w:t>
      </w:r>
      <w:r>
        <w:t xml:space="preserve"> in</w:t>
      </w:r>
      <w:r w:rsidR="00FC66C8">
        <w:rPr>
          <w:rFonts w:hint="eastAsia"/>
        </w:rPr>
        <w:t xml:space="preserve"> </w:t>
      </w:r>
      <w:r>
        <w:t>rhombohedral pentalayer graphene/WS</w:t>
      </w:r>
      <w:r w:rsidRPr="6EA77C65">
        <w:rPr>
          <w:vertAlign w:val="subscript"/>
        </w:rPr>
        <w:t xml:space="preserve">2 </w:t>
      </w:r>
      <w:r w:rsidRPr="6EA77C65">
        <w:t>heterostructure</w:t>
      </w:r>
      <w:r w:rsidR="00FC66C8">
        <w:rPr>
          <w:rFonts w:hint="eastAsia"/>
        </w:rPr>
        <w:t>s</w:t>
      </w:r>
      <w:r w:rsidR="003F42BA">
        <w:fldChar w:fldCharType="begin"/>
      </w:r>
      <w:r w:rsidR="00E41BB7">
        <w:instrText xml:space="preserve"> ADDIN ZOTERO_ITEM CSL_CITATION {"citationID":"JXGmmyNs","properties":{"formattedCitation":"\\super 1\\nosupersub{}","plainCitation":"1","noteIndex":0},"citationItems":[{"id":4521,"uris":["http://zotero.org/users/5406744/items/ZB2NJ9CY"],"itemData":{"id":4521,"type":"article-journal","abstract":"The quantum anomalous Hall effect (QAHE) is a robust topological phenomenon that features quantized Hall resistance at zero magnetic field. We report the QAHE in a rhombohedral pentalayer graphene-monolayer tungsten disulfide (WS2) heterostructure. ...","archive_location":"world","container-title":"Science","DOI":"10.1126/science.adk9749","language":"EN","license":"Copyright © 2024 The Authors, some rights reserved; exclusive licensee American Association for the Advancement of Science. No claim to original U.S. Government Works","note":"publisher: American Association for the Advancement of Science","source":"www.science.org","title":"Large quantum anomalous Hall effect in spin-orbit proximitized rhombohedral graphene","URL":"https://www.science.org/doi/10.1126/science.adk9749","author":[{"family":"Han","given":"Tonghang"},{"family":"Lu","given":"Zhengguang"},{"family":"Yao","given":"Yuxuan"},{"family":"Yang","given":"Jixiang"},{"family":"Seo","given":"Junseok"},{"family":"Yoon","given":"Chiho"},{"family":"Watanabe","given":"Kenji"},{"family":"Taniguchi","given":"Takashi"},{"family":"Fu","given":"Liang"},{"family":"Zhang","given":"Fan"},{"family":"Ju","given":"Long"}],"accessed":{"date-parts":[["2024",7,18]]},"issued":{"date-parts":[["2024",5,10]]}}}],"schema":"https://github.com/citation-style-language/schema/raw/master/csl-citation.json"} </w:instrText>
      </w:r>
      <w:r w:rsidR="003F42BA">
        <w:fldChar w:fldCharType="separate"/>
      </w:r>
      <w:r w:rsidR="00C54B30" w:rsidRPr="00C54B30">
        <w:rPr>
          <w:rFonts w:ascii="Calibri" w:hAnsi="Calibri" w:cs="Calibri"/>
          <w:kern w:val="0"/>
          <w:vertAlign w:val="superscript"/>
        </w:rPr>
        <w:t>1</w:t>
      </w:r>
      <w:r w:rsidR="003F42BA">
        <w:fldChar w:fldCharType="end"/>
      </w:r>
      <w:r w:rsidR="001D0697" w:rsidRPr="4D372101">
        <w:t>. Therefore, u</w:t>
      </w:r>
      <w:r>
        <w:t>nderstanding the role of SOC in rhombohedral graphene superconductivity is a pressing task for both fundamental physics and device applications.</w:t>
      </w:r>
    </w:p>
    <w:p w14:paraId="3C595113" w14:textId="46D29FAC" w:rsidR="00CC65D7" w:rsidRDefault="5BE58D12" w:rsidP="5BE58D12">
      <w:pPr>
        <w:ind w:firstLine="720"/>
        <w:jc w:val="both"/>
      </w:pPr>
      <w:r>
        <w:t xml:space="preserve">Here we report electron transport study of superconductivity in RTG proximitized by transition metal dichalcogenide (TMD) layers. We fabricated three high-quality RTG devices (see </w:t>
      </w:r>
      <w:r w:rsidR="00F02363">
        <w:rPr>
          <w:rFonts w:hint="eastAsia"/>
        </w:rPr>
        <w:t>Methods</w:t>
      </w:r>
      <w:r>
        <w:t xml:space="preserve"> for details). Data from device D1 (RTG encapsulated by 1L-WS</w:t>
      </w:r>
      <w:r w:rsidRPr="5BE58D12">
        <w:rPr>
          <w:vertAlign w:val="subscript"/>
        </w:rPr>
        <w:t>2</w:t>
      </w:r>
      <w:r>
        <w:t>) and D2 (RTG encapsulated by 2L-WSe</w:t>
      </w:r>
      <w:r w:rsidRPr="5BE58D12">
        <w:rPr>
          <w:vertAlign w:val="subscript"/>
        </w:rPr>
        <w:t>2</w:t>
      </w:r>
      <w:r>
        <w:t>) show consistent results, and D3 (RTG proximitized by only one 2L-WSe</w:t>
      </w:r>
      <w:r w:rsidRPr="5BE58D12">
        <w:rPr>
          <w:vertAlign w:val="subscript"/>
        </w:rPr>
        <w:t>2</w:t>
      </w:r>
      <w:r>
        <w:t xml:space="preserve">) is used as a control device to compare the effects of SOC in different scenarios. We observed </w:t>
      </w:r>
      <w:r w:rsidR="00DA26C5">
        <w:t>diverse impacts</w:t>
      </w:r>
      <w:r>
        <w:t xml:space="preserve"> of SOC on different superconducting states</w:t>
      </w:r>
      <w:r w:rsidR="00F56D81">
        <w:t>:</w:t>
      </w:r>
      <w:r>
        <w:t xml:space="preserve"> </w:t>
      </w:r>
      <w:r w:rsidR="00F56D81">
        <w:t xml:space="preserve">producing a new superconducting state inaccessible in bare RTG, enhancing </w:t>
      </w:r>
      <w:r w:rsidR="00FC2FCE">
        <w:t>the</w:t>
      </w:r>
      <w:r w:rsidR="00F56D81">
        <w:t xml:space="preserve"> superconducting state vague in bare RTG, and eliminating </w:t>
      </w:r>
      <w:r w:rsidR="00FC2FCE">
        <w:t>the</w:t>
      </w:r>
      <w:r w:rsidR="00F56D81">
        <w:t xml:space="preserve"> superconducting state </w:t>
      </w:r>
      <w:r w:rsidR="00FC2FCE">
        <w:t>prominent</w:t>
      </w:r>
      <w:r w:rsidR="00F56D81">
        <w:t xml:space="preserve"> in bare RTG</w:t>
      </w:r>
      <w:r>
        <w:t>.</w:t>
      </w:r>
      <w:r w:rsidR="00FC2FCE">
        <w:t xml:space="preserve"> </w:t>
      </w:r>
      <w:r w:rsidR="004723C1">
        <w:t>Close to</w:t>
      </w:r>
      <w:r w:rsidR="001C4164">
        <w:t xml:space="preserve"> the enhanced state</w:t>
      </w:r>
      <w:r w:rsidR="00FC2FCE">
        <w:t>, we</w:t>
      </w:r>
      <w:r w:rsidR="004723C1">
        <w:t xml:space="preserve"> also</w:t>
      </w:r>
      <w:r w:rsidR="00FC2FCE">
        <w:t xml:space="preserve"> observe a three-quarter-metal state, an unprecedented Stoner phase</w:t>
      </w:r>
      <w:r w:rsidR="001909AB">
        <w:t xml:space="preserve"> </w:t>
      </w:r>
      <w:r w:rsidR="00FC66C8">
        <w:rPr>
          <w:rFonts w:hint="eastAsia"/>
        </w:rPr>
        <w:t xml:space="preserve">that </w:t>
      </w:r>
      <w:r w:rsidR="005E641D">
        <w:t>has</w:t>
      </w:r>
      <w:r w:rsidR="00FC66C8">
        <w:rPr>
          <w:rFonts w:hint="eastAsia"/>
        </w:rPr>
        <w:t xml:space="preserve"> </w:t>
      </w:r>
      <w:r w:rsidR="001909AB">
        <w:t xml:space="preserve">never </w:t>
      </w:r>
      <w:r w:rsidR="005E641D">
        <w:rPr>
          <w:rFonts w:hint="eastAsia"/>
        </w:rPr>
        <w:t xml:space="preserve">been </w:t>
      </w:r>
      <w:r w:rsidR="001909AB">
        <w:t xml:space="preserve">observed before. </w:t>
      </w:r>
      <w:r w:rsidR="00FC2FCE">
        <w:t xml:space="preserve"> </w:t>
      </w:r>
    </w:p>
    <w:p w14:paraId="39FD0470" w14:textId="24B49274" w:rsidR="007143C2" w:rsidRPr="00CD71B2" w:rsidRDefault="5BC7F8A9" w:rsidP="4D372101">
      <w:pPr>
        <w:jc w:val="both"/>
        <w:rPr>
          <w:rFonts w:ascii="Calibri" w:hAnsi="Calibri" w:cs="Calibri"/>
          <w:sz w:val="32"/>
          <w:szCs w:val="32"/>
        </w:rPr>
      </w:pPr>
      <w:r w:rsidRPr="5BC7F8A9">
        <w:rPr>
          <w:rFonts w:ascii="Arial" w:eastAsia="Arial" w:hAnsi="Arial" w:cs="Arial"/>
          <w:b/>
          <w:bCs/>
          <w:color w:val="000000" w:themeColor="text1"/>
          <w:sz w:val="32"/>
          <w:szCs w:val="32"/>
        </w:rPr>
        <w:lastRenderedPageBreak/>
        <w:t xml:space="preserve">Superconductivities in </w:t>
      </w:r>
      <w:r w:rsidRPr="5BC7F8A9">
        <w:rPr>
          <w:rFonts w:ascii="Arial" w:hAnsi="Arial" w:cs="Arial"/>
          <w:b/>
          <w:bCs/>
          <w:color w:val="000000" w:themeColor="text1"/>
          <w:sz w:val="32"/>
          <w:szCs w:val="32"/>
        </w:rPr>
        <w:t>TMD</w:t>
      </w:r>
      <w:r w:rsidRPr="5BC7F8A9">
        <w:rPr>
          <w:rFonts w:ascii="Arial" w:eastAsia="Arial" w:hAnsi="Arial" w:cs="Arial"/>
          <w:b/>
          <w:bCs/>
          <w:color w:val="000000" w:themeColor="text1"/>
          <w:sz w:val="32"/>
          <w:szCs w:val="32"/>
        </w:rPr>
        <w:t xml:space="preserve">-encapsulated </w:t>
      </w:r>
      <w:r w:rsidRPr="5BC7F8A9">
        <w:rPr>
          <w:rFonts w:ascii="Arial" w:hAnsi="Arial" w:cs="Arial"/>
          <w:b/>
          <w:bCs/>
          <w:color w:val="000000" w:themeColor="text1"/>
          <w:sz w:val="32"/>
          <w:szCs w:val="32"/>
        </w:rPr>
        <w:t>RTG</w:t>
      </w:r>
    </w:p>
    <w:p w14:paraId="2456A09C" w14:textId="183D19E3" w:rsidR="00EE6833" w:rsidRDefault="5BE58D12" w:rsidP="4D372101">
      <w:pPr>
        <w:jc w:val="both"/>
      </w:pPr>
      <w:r>
        <w:t>Figure 1a shows the device structure of D1, where RTG is encapsulated by two monolayer WS</w:t>
      </w:r>
      <w:r w:rsidRPr="5BE58D12">
        <w:rPr>
          <w:vertAlign w:val="subscript"/>
        </w:rPr>
        <w:t>2</w:t>
      </w:r>
      <w:r>
        <w:t>. The top WS</w:t>
      </w:r>
      <w:r w:rsidRPr="5BE58D12">
        <w:rPr>
          <w:vertAlign w:val="subscript"/>
        </w:rPr>
        <w:t>2</w:t>
      </w:r>
      <w:r>
        <w:t xml:space="preserve"> is rotated from the bottom WS</w:t>
      </w:r>
      <w:r w:rsidRPr="5BE58D12">
        <w:rPr>
          <w:vertAlign w:val="subscript"/>
        </w:rPr>
        <w:t>2</w:t>
      </w:r>
      <w:r>
        <w:t xml:space="preserve"> by 180°, which preserves the overall inversion symmetry. </w:t>
      </w:r>
      <w:r w:rsidRPr="00E44A69">
        <w:t>Figure 1b</w:t>
      </w:r>
      <w:r>
        <w:t xml:space="preserve"> shows the longitudinal resistance </w:t>
      </w:r>
      <w:r w:rsidRPr="5BE58D12">
        <w:rPr>
          <w:i/>
          <w:iCs/>
        </w:rPr>
        <w:t>R</w:t>
      </w:r>
      <w:r w:rsidRPr="5BE58D12">
        <w:rPr>
          <w:i/>
          <w:iCs/>
          <w:vertAlign w:val="subscript"/>
        </w:rPr>
        <w:t>xx</w:t>
      </w:r>
      <w:r>
        <w:t xml:space="preserve"> as a function of </w:t>
      </w:r>
      <w:r w:rsidRPr="5BE58D12">
        <w:rPr>
          <w:i/>
          <w:iCs/>
        </w:rPr>
        <w:t>n</w:t>
      </w:r>
      <w:r>
        <w:t xml:space="preserve"> and </w:t>
      </w:r>
      <w:r w:rsidRPr="5BE58D12">
        <w:rPr>
          <w:i/>
          <w:iCs/>
        </w:rPr>
        <w:t>D</w:t>
      </w:r>
      <w:r>
        <w:t xml:space="preserve">, measured in D1 at base temperature of 10 </w:t>
      </w:r>
      <w:proofErr w:type="spellStart"/>
      <w:r>
        <w:t>mK.</w:t>
      </w:r>
      <w:proofErr w:type="spellEnd"/>
      <w:r>
        <w:t xml:space="preserve"> Two states with vanishing </w:t>
      </w:r>
      <w:r w:rsidRPr="00E44A69">
        <w:rPr>
          <w:i/>
          <w:iCs/>
        </w:rPr>
        <w:t>R</w:t>
      </w:r>
      <w:r w:rsidRPr="00E44A69">
        <w:rPr>
          <w:i/>
          <w:iCs/>
          <w:vertAlign w:val="subscript"/>
        </w:rPr>
        <w:t>xx</w:t>
      </w:r>
      <w:r>
        <w:t xml:space="preserve"> can be seen on the electron- and hole-doped sides respectively, as pointed by orange and green arrows. The phase diagram is mostly symmetric </w:t>
      </w:r>
      <w:r w:rsidR="001909AB">
        <w:t xml:space="preserve">with respect to the </w:t>
      </w:r>
      <w:r w:rsidRPr="5BE58D12">
        <w:rPr>
          <w:i/>
          <w:iCs/>
        </w:rPr>
        <w:t>D</w:t>
      </w:r>
      <w:r w:rsidR="001909AB">
        <w:rPr>
          <w:i/>
          <w:iCs/>
        </w:rPr>
        <w:t xml:space="preserve"> </w:t>
      </w:r>
      <w:r w:rsidR="001909AB" w:rsidRPr="00AC4DB4">
        <w:t>= 0 line</w:t>
      </w:r>
      <w:r w:rsidRPr="00AC4DB4">
        <w:t>,</w:t>
      </w:r>
      <w:r w:rsidRPr="5BE58D12">
        <w:rPr>
          <w:i/>
          <w:iCs/>
        </w:rPr>
        <w:t xml:space="preserve"> </w:t>
      </w:r>
      <w:r>
        <w:t>except for the regions where contact resistance is big. This observation is consistent with the inversion-symmetric configuration of our device.</w:t>
      </w:r>
      <w:r w:rsidR="00896325">
        <w:rPr>
          <w:rFonts w:hint="eastAsia"/>
        </w:rPr>
        <w:t xml:space="preserve"> </w:t>
      </w:r>
      <w:r w:rsidR="00882E1E">
        <w:rPr>
          <w:rFonts w:hint="eastAsia"/>
        </w:rPr>
        <w:t xml:space="preserve">The data from Device D2 is shown in Extended Data Fig.1 and </w:t>
      </w:r>
      <w:r w:rsidR="00882E1E">
        <w:t>has</w:t>
      </w:r>
      <w:r w:rsidR="00882E1E">
        <w:rPr>
          <w:rFonts w:hint="eastAsia"/>
        </w:rPr>
        <w:t xml:space="preserve"> </w:t>
      </w:r>
      <w:r w:rsidR="00882E1E">
        <w:t>qualitatively</w:t>
      </w:r>
      <w:r w:rsidR="00882E1E">
        <w:rPr>
          <w:rFonts w:hint="eastAsia"/>
        </w:rPr>
        <w:t xml:space="preserve"> </w:t>
      </w:r>
      <w:r w:rsidR="00882E1E">
        <w:t>the same</w:t>
      </w:r>
      <w:r w:rsidR="00882E1E">
        <w:rPr>
          <w:rFonts w:hint="eastAsia"/>
        </w:rPr>
        <w:t xml:space="preserve"> behavior. </w:t>
      </w:r>
      <w:r>
        <w:t>We will thus focus on only the two quadrants with (+</w:t>
      </w:r>
      <w:r w:rsidRPr="5BE58D12">
        <w:rPr>
          <w:i/>
          <w:iCs/>
        </w:rPr>
        <w:t>n</w:t>
      </w:r>
      <w:r>
        <w:t>, +</w:t>
      </w:r>
      <w:r w:rsidRPr="5BE58D12">
        <w:rPr>
          <w:i/>
          <w:iCs/>
        </w:rPr>
        <w:t>D</w:t>
      </w:r>
      <w:r>
        <w:t>) and (-</w:t>
      </w:r>
      <w:r w:rsidRPr="5BE58D12">
        <w:rPr>
          <w:i/>
          <w:iCs/>
        </w:rPr>
        <w:t>n</w:t>
      </w:r>
      <w:r>
        <w:t>, -</w:t>
      </w:r>
      <w:r w:rsidRPr="5BE58D12">
        <w:rPr>
          <w:i/>
          <w:iCs/>
        </w:rPr>
        <w:t>D</w:t>
      </w:r>
      <w:r>
        <w:t xml:space="preserve">) in the following sections.  </w:t>
      </w:r>
    </w:p>
    <w:p w14:paraId="25FF1F3D" w14:textId="55A716D5" w:rsidR="00550D20" w:rsidRDefault="5BE58D12" w:rsidP="5BE58D12">
      <w:pPr>
        <w:ind w:firstLine="720"/>
        <w:jc w:val="both"/>
      </w:pPr>
      <w:r>
        <w:t xml:space="preserve">Figure 1c shows the differential resistance </w:t>
      </w:r>
      <w:proofErr w:type="spellStart"/>
      <w:r>
        <w:t>d</w:t>
      </w:r>
      <w:r w:rsidRPr="5BE58D12">
        <w:rPr>
          <w:i/>
          <w:iCs/>
        </w:rPr>
        <w:t>V</w:t>
      </w:r>
      <w:proofErr w:type="spellEnd"/>
      <w:r>
        <w:t>/</w:t>
      </w:r>
      <w:proofErr w:type="spellStart"/>
      <w:r>
        <w:t>d</w:t>
      </w:r>
      <w:r w:rsidRPr="5BE58D12">
        <w:rPr>
          <w:i/>
          <w:iCs/>
        </w:rPr>
        <w:t>I</w:t>
      </w:r>
      <w:proofErr w:type="spellEnd"/>
      <w:r>
        <w:t xml:space="preserve"> as a function of direct current </w:t>
      </w:r>
      <w:r w:rsidRPr="5BE58D12">
        <w:rPr>
          <w:i/>
          <w:iCs/>
        </w:rPr>
        <w:t>I</w:t>
      </w:r>
      <w:r w:rsidRPr="5BE58D12">
        <w:rPr>
          <w:i/>
          <w:iCs/>
          <w:vertAlign w:val="subscript"/>
        </w:rPr>
        <w:t>DC</w:t>
      </w:r>
      <w:r>
        <w:t xml:space="preserve"> measured at the orange </w:t>
      </w:r>
      <w:r w:rsidR="00641E41">
        <w:rPr>
          <w:rFonts w:hint="eastAsia"/>
        </w:rPr>
        <w:t>dot</w:t>
      </w:r>
      <w:r>
        <w:t xml:space="preserve"> and at the green </w:t>
      </w:r>
      <w:r w:rsidR="00641E41">
        <w:rPr>
          <w:rFonts w:hint="eastAsia"/>
        </w:rPr>
        <w:t>square</w:t>
      </w:r>
      <w:r>
        <w:t xml:space="preserve"> in Fig. 1</w:t>
      </w:r>
      <w:r w:rsidRPr="00E44A69">
        <w:t>b</w:t>
      </w:r>
      <w:r>
        <w:t xml:space="preserve">. At small </w:t>
      </w:r>
      <w:r w:rsidR="00882E1E">
        <w:t>currents</w:t>
      </w:r>
      <w:r>
        <w:t>, the resistance remains close to zero, while clear peaks can be seen at the threshold current</w:t>
      </w:r>
      <w:r w:rsidR="001909AB">
        <w:t>s</w:t>
      </w:r>
      <w:r>
        <w:t xml:space="preserve"> in both curves. Figure 1d shows the temperature dependence of </w:t>
      </w:r>
      <w:r w:rsidRPr="5BE58D12">
        <w:rPr>
          <w:i/>
          <w:iCs/>
        </w:rPr>
        <w:t>R</w:t>
      </w:r>
      <w:r w:rsidRPr="5BE58D12">
        <w:rPr>
          <w:i/>
          <w:iCs/>
          <w:vertAlign w:val="subscript"/>
        </w:rPr>
        <w:t>xx</w:t>
      </w:r>
      <w:r>
        <w:t xml:space="preserve"> in these two states, where sharp drops at ~100 </w:t>
      </w:r>
      <w:proofErr w:type="spellStart"/>
      <w:r>
        <w:t>mk</w:t>
      </w:r>
      <w:proofErr w:type="spellEnd"/>
      <w:r>
        <w:t xml:space="preserve"> and ~200 </w:t>
      </w:r>
      <w:proofErr w:type="spellStart"/>
      <w:r>
        <w:t>mK</w:t>
      </w:r>
      <w:proofErr w:type="spellEnd"/>
      <w:r>
        <w:t xml:space="preserve"> can be seen as </w:t>
      </w:r>
      <w:r w:rsidRPr="00E44A69">
        <w:rPr>
          <w:i/>
          <w:iCs/>
        </w:rPr>
        <w:t>T</w:t>
      </w:r>
      <w:r>
        <w:t xml:space="preserve"> is decreased. </w:t>
      </w:r>
    </w:p>
    <w:p w14:paraId="1499480E" w14:textId="6BA67D2B" w:rsidR="000B5F3A" w:rsidRPr="00837075" w:rsidRDefault="007263D5" w:rsidP="5BE58D12">
      <w:pPr>
        <w:ind w:firstLine="720"/>
        <w:jc w:val="both"/>
        <w:rPr>
          <w:color w:val="FF0000"/>
        </w:rPr>
      </w:pPr>
      <w:r w:rsidRPr="5BE58D12">
        <w:t>Based on these observations</w:t>
      </w:r>
      <w:r w:rsidR="00BC7896" w:rsidRPr="4D372101">
        <w:t xml:space="preserve">, we </w:t>
      </w:r>
      <w:r w:rsidRPr="5BE58D12">
        <w:t>conclude that</w:t>
      </w:r>
      <w:r w:rsidR="00BC7896" w:rsidRPr="4D372101">
        <w:t xml:space="preserve"> these two low-</w:t>
      </w:r>
      <w:r w:rsidR="001909AB">
        <w:t>resistance</w:t>
      </w:r>
      <w:r w:rsidR="001909AB" w:rsidRPr="4D372101">
        <w:t xml:space="preserve"> </w:t>
      </w:r>
      <w:r w:rsidR="00BC7896" w:rsidRPr="4D372101">
        <w:t xml:space="preserve">states </w:t>
      </w:r>
      <w:r w:rsidRPr="5BE58D12">
        <w:t>correspond to</w:t>
      </w:r>
      <w:r w:rsidRPr="4D372101">
        <w:t xml:space="preserve"> </w:t>
      </w:r>
      <w:r w:rsidR="00BC7896" w:rsidRPr="4D372101">
        <w:t>superconductors. We label the electron-</w:t>
      </w:r>
      <w:r w:rsidRPr="5BE58D12">
        <w:t>doped one</w:t>
      </w:r>
      <w:r w:rsidR="00BC7896" w:rsidRPr="4D372101">
        <w:t xml:space="preserve"> (</w:t>
      </w:r>
      <w:r w:rsidR="00BC7896" w:rsidRPr="51342F7D">
        <w:rPr>
          <w:i/>
          <w:iCs/>
        </w:rPr>
        <w:t>n</w:t>
      </w:r>
      <w:r w:rsidR="00BC7896" w:rsidRPr="4D372101">
        <w:t>&gt;0)</w:t>
      </w:r>
      <w:r w:rsidR="00BC7896" w:rsidRPr="00BC7896">
        <w:rPr>
          <w:rFonts w:hint="eastAsia"/>
        </w:rPr>
        <w:t xml:space="preserve"> </w:t>
      </w:r>
      <w:r w:rsidR="00BC7896" w:rsidRPr="4D372101">
        <w:t>as SC3</w:t>
      </w:r>
      <w:r w:rsidRPr="5BE58D12">
        <w:t xml:space="preserve"> and the hol</w:t>
      </w:r>
      <w:r w:rsidR="00644C9E">
        <w:rPr>
          <w:rFonts w:hint="eastAsia"/>
        </w:rPr>
        <w:t>e</w:t>
      </w:r>
      <w:r w:rsidRPr="5BE58D12">
        <w:t>-doped</w:t>
      </w:r>
      <w:r w:rsidR="001909AB">
        <w:t xml:space="preserve"> one</w:t>
      </w:r>
      <w:r w:rsidRPr="5BE58D12">
        <w:t xml:space="preserve"> (</w:t>
      </w:r>
      <w:r w:rsidRPr="00E44A69">
        <w:rPr>
          <w:i/>
          <w:iCs/>
        </w:rPr>
        <w:t>n</w:t>
      </w:r>
      <w:r w:rsidRPr="5BE58D12">
        <w:t>&lt;0) as SC4</w:t>
      </w:r>
      <w:r w:rsidR="00BC7896" w:rsidRPr="4D372101">
        <w:t xml:space="preserve">, following the </w:t>
      </w:r>
      <w:r w:rsidR="008F25EB" w:rsidRPr="4D372101">
        <w:t xml:space="preserve">previous </w:t>
      </w:r>
      <w:r w:rsidR="00BC7896" w:rsidRPr="4D372101">
        <w:t xml:space="preserve">convention of </w:t>
      </w:r>
      <w:r w:rsidR="008F25EB" w:rsidRPr="4D372101">
        <w:t>RTG</w:t>
      </w:r>
      <w:r w:rsidR="00BC7896" w:rsidRPr="4D372101">
        <w:t xml:space="preserve"> </w:t>
      </w:r>
      <w:r w:rsidRPr="5BE58D12">
        <w:t xml:space="preserve">without </w:t>
      </w:r>
      <w:r w:rsidR="00BC7896" w:rsidRPr="4D372101">
        <w:t>TMD</w:t>
      </w:r>
      <w:r w:rsidRPr="5BE58D12">
        <w:t xml:space="preserve"> proximation</w:t>
      </w:r>
      <w:r w:rsidR="003F42BA">
        <w:fldChar w:fldCharType="begin"/>
      </w:r>
      <w:r w:rsidR="00BF4618">
        <w:instrText xml:space="preserve"> ADDIN ZOTERO_ITEM CSL_CITATION {"citationID":"j3Obum91","properties":{"formattedCitation":"\\super 5,17\\nosupersub{}","plainCitation":"5,17","noteIndex":0},"citationItems":[{"id":3770,"uris":["http://zotero.org/users/5406744/items/527RMQ9V"],"itemData":{"id":3770,"type":"article-journal","abstract":"To access superconductivity via the electric field effect in a clean, two-dimensional device is a central goal of nanoelectronics. Recently, superconductivity has been realized in graphene moiré heterostructures1–4; however, many of these structures are not mechanically stable, and experiments show signatures of strong disorder. Here we report the observation of superconductivity—manifesting as low or vanishing resistivity at sub-kelvin temperatures—in crystalline rhombohedral trilayer graphene5,6, a structurally metastable carbon allotrope. Superconductivity occurs in two distinct gate-tuned regions (SC1 and SC2), and is deep in the clean limit defined by the ratio of mean free path and superconducting coherence length. Mapping of the normal state Fermi surfaces by quantum oscillations reveals that both superconductors emerge from an annular Fermi sea, and are proximal to an isospin-symmetry-breaking transition where the Fermi surface degeneracy changes7. SC1 emerges from a paramagnetic normal state, whereas SC2 emerges from a spin-polarized, valley-unpolarized half-metal17 and violates the Pauli limit for in-plane magnetic fields by at least one order of magnitude8,9. We discuss our results in view of several mechanisms, including conventional phonon-mediated pairing10,11, pairing due to fluctuations of the proximal isospin order12, and intrinsic instabilities of the annular Fermi liquid13,14. Our observation of superconductivity in a clean and structurally simple two-dimensional metal provides a model system to test competing theoretical models of superconductivity without the complication of modelling disorder, while enabling new classes of field-effect controlled electronic devices based on correlated electron phenomena and ballistic electron transport.","container-title":"Nature","DOI":"10.1038/s41586-021-03926-0","ISSN":"1476-4687","issue":"7881","language":"en","license":"2021 The Author(s), under exclusive licence to Springer Nature Limited","note":"number: 7881\npublisher: Nature Publishing Group","page":"434-438","source":"www.nature.com","title":"Superconductivity in rhombohedral trilayer graphene","volume":"598","author":[{"family":"Zhou","given":"Haoxin"},{"family":"Xie","given":"Tian"},{"family":"Taniguchi","given":"Takashi"},{"family":"Watanabe","given":"Kenji"},{"family":"Young","given":"Andrea F."}],"issued":{"date-parts":[["2021",10]]}}},{"id":3774,"uris":["http://zotero.org/users/5406744/items/P2QD7P89"],"itemData":{"id":3774,"type":"thesis","abstract":"This work studies the Van Hove singularity induced novel electronic phenomena in rhombohedral trilayer graphene, including magnetism and superconductivity. Rhombohedral trilayer graphene is a two dimensional crystal where three layers of carbon honeycomb lattice are stacked to form a rhombohedral lattice in its three dimensional extension. The energy band structure of rhombohedral trilayer graphene features van Hove singularities, saddle points in the energy band structure where the density of states diverges. A perpendicular electrical field can be applied to induce interlayer potential and to open up an energy gap at the charge neutrality point. The gap opening modulates the density of states profile, making the divergence at the van Hove singularity robust against fluctuations from finite temperature and disorder effects. Like many other systems, the diverged density of states induces Fermi surface instability. On the one hand, it drives spontaneous ferromagnetic polarization of the electron system into one or more spin- and valley flavors. On the other hand, it allows the bounded states where electrons couple into pairs to have significant lower energy than the normal ground states, leading to superconductivity observable at the experimentally reached temperature. In this work, we fabricated dual graphite-gated rhombohedral trilayer graphene van der Waals heterostructures that allow cryogenic electrical transport measurement and penetration field capacitance measurements and systematically studied the gate voltage modulated magnetic phase transitions and superconductivity. A rigid band model is built that well captures the spin- and valley- phases. For superconductivity, we provided several possible explanations. In addition to gate voltages, we also induced a moiré potential to the system by aligning the lattice of the rhombohedral trilayer graphene with the dielectric material hexagonal boron nitride. We found that while the moiré potential only affect the electronic phase diagram on a perturbative level, several novel phenomena including the breaking of lattice symmetry is induced.","language":"en","publisher":"UC Santa Barbara","source":"escholarship.org","title":"Ferromagnetism and Superconductivity in Rhombohedral Trilayer Graphene","URL":"https://escholarship.org/uc/item/4k36g8qk","author":[{"family":"Zhou","given":"Haoxin"}],"accessed":{"date-parts":[["2023",7,23]]},"issued":{"date-parts":[["2021"]]}}}],"schema":"https://github.com/citation-style-language/schema/raw/master/csl-citation.json"} </w:instrText>
      </w:r>
      <w:r w:rsidR="003F42BA">
        <w:fldChar w:fldCharType="separate"/>
      </w:r>
      <w:r w:rsidR="00BF4618" w:rsidRPr="00BF4618">
        <w:rPr>
          <w:rFonts w:ascii="Calibri" w:hAnsi="Calibri" w:cs="Calibri"/>
          <w:kern w:val="0"/>
          <w:vertAlign w:val="superscript"/>
        </w:rPr>
        <w:t>5,17</w:t>
      </w:r>
      <w:r w:rsidR="003F42BA">
        <w:fldChar w:fldCharType="end"/>
      </w:r>
      <w:r w:rsidR="00BC7896">
        <w:rPr>
          <w:rFonts w:hint="eastAsia"/>
        </w:rPr>
        <w:t>.</w:t>
      </w:r>
      <w:r w:rsidR="00431EC9" w:rsidRPr="00431EC9">
        <w:rPr>
          <w:rFonts w:hint="eastAsia"/>
        </w:rPr>
        <w:t xml:space="preserve"> </w:t>
      </w:r>
      <w:r w:rsidR="00431EC9">
        <w:t>Remarkably</w:t>
      </w:r>
      <w:r w:rsidR="00431EC9" w:rsidRPr="4D372101">
        <w:t xml:space="preserve">, the most prominent superconducting state in </w:t>
      </w:r>
      <w:r w:rsidR="008F25EB" w:rsidRPr="4D372101">
        <w:t>RTG</w:t>
      </w:r>
      <w:r w:rsidR="00431EC9" w:rsidRPr="4D372101">
        <w:t xml:space="preserve"> without TMD, SC</w:t>
      </w:r>
      <w:r w:rsidR="00431EC9">
        <w:t>1, is</w:t>
      </w:r>
      <w:r w:rsidR="00431EC9" w:rsidRPr="4D372101">
        <w:t xml:space="preserve"> missing </w:t>
      </w:r>
      <w:r w:rsidRPr="5BE58D12">
        <w:t>from</w:t>
      </w:r>
      <w:r w:rsidRPr="4D372101">
        <w:t xml:space="preserve"> </w:t>
      </w:r>
      <w:r w:rsidR="00431EC9" w:rsidRPr="4D372101">
        <w:t>the phase diagram</w:t>
      </w:r>
      <w:r w:rsidR="00642AD5">
        <w:rPr>
          <w:rFonts w:hint="eastAsia"/>
        </w:rPr>
        <w:t>, highlighted by the grey dashed rectangles in Fig. 1b</w:t>
      </w:r>
      <w:r w:rsidR="00431EC9" w:rsidRPr="4D372101">
        <w:t>.</w:t>
      </w:r>
      <w:r w:rsidR="000B5F3A" w:rsidRPr="4D372101">
        <w:t xml:space="preserve"> The critical temperature </w:t>
      </w:r>
      <w:r w:rsidR="000B5F3A" w:rsidRPr="51342F7D">
        <w:rPr>
          <w:i/>
          <w:iCs/>
        </w:rPr>
        <w:t>T</w:t>
      </w:r>
      <w:r w:rsidR="000B5F3A" w:rsidRPr="51342F7D">
        <w:rPr>
          <w:i/>
          <w:iCs/>
          <w:vertAlign w:val="subscript"/>
        </w:rPr>
        <w:t>c</w:t>
      </w:r>
      <w:r w:rsidR="000B5F3A" w:rsidRPr="007263D5">
        <w:t>,</w:t>
      </w:r>
      <w:r w:rsidR="000B5F3A" w:rsidRPr="4D372101">
        <w:t xml:space="preserve"> defined </w:t>
      </w:r>
      <w:r w:rsidRPr="5BE58D12">
        <w:t>as</w:t>
      </w:r>
      <w:r w:rsidRPr="4D372101">
        <w:t xml:space="preserve"> </w:t>
      </w:r>
      <w:r w:rsidR="000B5F3A" w:rsidRPr="4D372101">
        <w:t xml:space="preserve">the temperature at which </w:t>
      </w:r>
      <w:r w:rsidR="000B5F3A" w:rsidRPr="51342F7D">
        <w:rPr>
          <w:i/>
          <w:iCs/>
        </w:rPr>
        <w:t>R</w:t>
      </w:r>
      <w:r w:rsidR="000B5F3A" w:rsidRPr="51342F7D">
        <w:rPr>
          <w:i/>
          <w:iCs/>
          <w:vertAlign w:val="subscript"/>
        </w:rPr>
        <w:t>xx</w:t>
      </w:r>
      <w:r w:rsidR="000B5F3A" w:rsidRPr="4D372101">
        <w:t xml:space="preserve"> </w:t>
      </w:r>
      <w:r w:rsidRPr="5BE58D12">
        <w:t>decreases to</w:t>
      </w:r>
      <w:r w:rsidR="000B5F3A" w:rsidRPr="4D372101">
        <w:t xml:space="preserve"> </w:t>
      </w:r>
      <w:r w:rsidR="000B5F3A">
        <w:t>hal</w:t>
      </w:r>
      <w:r w:rsidR="000B5F3A" w:rsidRPr="4D372101">
        <w:t xml:space="preserve">f of the normal state resistance </w:t>
      </w:r>
      <w:proofErr w:type="spellStart"/>
      <w:proofErr w:type="gramStart"/>
      <w:r w:rsidR="000B5F3A" w:rsidRPr="51342F7D">
        <w:rPr>
          <w:i/>
          <w:iCs/>
        </w:rPr>
        <w:t>R</w:t>
      </w:r>
      <w:r w:rsidR="000B5F3A" w:rsidRPr="51342F7D">
        <w:rPr>
          <w:i/>
          <w:iCs/>
          <w:vertAlign w:val="subscript"/>
        </w:rPr>
        <w:t>xx,n</w:t>
      </w:r>
      <w:proofErr w:type="spellEnd"/>
      <w:proofErr w:type="gramEnd"/>
      <w:r w:rsidR="000B5F3A" w:rsidRPr="4D372101">
        <w:t xml:space="preserve">, is 104 </w:t>
      </w:r>
      <w:proofErr w:type="spellStart"/>
      <w:r w:rsidR="000B5F3A" w:rsidRPr="4D372101">
        <w:t>mK</w:t>
      </w:r>
      <w:proofErr w:type="spellEnd"/>
      <w:r w:rsidR="000B5F3A" w:rsidRPr="4D372101">
        <w:t xml:space="preserve"> for SC3 and 186 </w:t>
      </w:r>
      <w:proofErr w:type="spellStart"/>
      <w:r w:rsidR="000B5F3A" w:rsidRPr="4D372101">
        <w:t>mK</w:t>
      </w:r>
      <w:proofErr w:type="spellEnd"/>
      <w:r w:rsidR="000B5F3A" w:rsidRPr="4D372101">
        <w:t xml:space="preserve"> for SC4 </w:t>
      </w:r>
      <w:r w:rsidRPr="5BE58D12">
        <w:t xml:space="preserve">as labeled </w:t>
      </w:r>
      <w:r w:rsidR="000B5F3A" w:rsidRPr="4D372101">
        <w:t xml:space="preserve">in </w:t>
      </w:r>
      <w:r w:rsidR="000B5F3A" w:rsidRPr="5BFAFC05">
        <w:t>Fig.</w:t>
      </w:r>
      <w:r w:rsidR="5BFAFC05" w:rsidRPr="5BFAFC05">
        <w:t xml:space="preserve"> </w:t>
      </w:r>
      <w:r w:rsidR="000B5F3A" w:rsidRPr="5BFAFC05">
        <w:t xml:space="preserve">1d. </w:t>
      </w:r>
      <w:r w:rsidR="00846613" w:rsidRPr="4D372101">
        <w:t xml:space="preserve">In </w:t>
      </w:r>
      <w:r w:rsidRPr="5BE58D12">
        <w:t xml:space="preserve">Extended Data </w:t>
      </w:r>
      <w:r w:rsidR="00846613" w:rsidRPr="5BFAFC05">
        <w:t>Fig.</w:t>
      </w:r>
      <w:r w:rsidR="5BFAFC05" w:rsidRPr="5BFAFC05">
        <w:t xml:space="preserve"> </w:t>
      </w:r>
      <w:r w:rsidR="00846613" w:rsidRPr="5BFAFC05">
        <w:t>2e&amp;</w:t>
      </w:r>
      <w:r w:rsidR="00846613" w:rsidRPr="00E44A69">
        <w:t>f</w:t>
      </w:r>
      <w:r w:rsidR="00846613" w:rsidRPr="4D372101">
        <w:t>, w</w:t>
      </w:r>
      <w:r w:rsidR="00837075" w:rsidRPr="4D372101">
        <w:t xml:space="preserve">e also determined the </w:t>
      </w:r>
      <w:proofErr w:type="spellStart"/>
      <w:r w:rsidR="00095BC5" w:rsidRPr="00095BC5">
        <w:t>Berezinskii</w:t>
      </w:r>
      <w:proofErr w:type="spellEnd"/>
      <w:r w:rsidR="00095BC5" w:rsidRPr="00095BC5">
        <w:t>–</w:t>
      </w:r>
      <w:proofErr w:type="spellStart"/>
      <w:r w:rsidR="00095BC5" w:rsidRPr="00095BC5">
        <w:t>Kosterlitz</w:t>
      </w:r>
      <w:proofErr w:type="spellEnd"/>
      <w:r w:rsidR="00095BC5" w:rsidRPr="00095BC5">
        <w:t>–Thouless transition</w:t>
      </w:r>
      <w:r w:rsidR="00837075" w:rsidRPr="4D372101">
        <w:t xml:space="preserve"> temperature </w:t>
      </w:r>
      <w:r w:rsidR="00095BC5" w:rsidRPr="51342F7D">
        <w:rPr>
          <w:i/>
          <w:iCs/>
        </w:rPr>
        <w:t>T</w:t>
      </w:r>
      <w:r w:rsidR="00095BC5" w:rsidRPr="51342F7D">
        <w:rPr>
          <w:i/>
          <w:iCs/>
          <w:vertAlign w:val="subscript"/>
        </w:rPr>
        <w:t>BKT</w:t>
      </w:r>
      <w:r w:rsidR="00095BC5">
        <w:rPr>
          <w:rFonts w:hint="eastAsia"/>
        </w:rPr>
        <w:t xml:space="preserve"> </w:t>
      </w:r>
      <w:r w:rsidR="00837075" w:rsidRPr="4D372101">
        <w:t xml:space="preserve">to be </w:t>
      </w:r>
      <w:r w:rsidR="00846613" w:rsidRPr="4D372101">
        <w:t xml:space="preserve">85 </w:t>
      </w:r>
      <w:proofErr w:type="spellStart"/>
      <w:r w:rsidR="00846613" w:rsidRPr="4D372101">
        <w:t>mK</w:t>
      </w:r>
      <w:proofErr w:type="spellEnd"/>
      <w:r w:rsidR="00837075" w:rsidRPr="4D372101">
        <w:t xml:space="preserve"> for SC3 and</w:t>
      </w:r>
      <w:r w:rsidR="00846613" w:rsidRPr="4D372101">
        <w:t xml:space="preserve"> 173 </w:t>
      </w:r>
      <w:proofErr w:type="spellStart"/>
      <w:r w:rsidR="00846613" w:rsidRPr="4D372101">
        <w:t>mK</w:t>
      </w:r>
      <w:proofErr w:type="spellEnd"/>
      <w:r w:rsidR="00837075" w:rsidRPr="4D372101">
        <w:t xml:space="preserve"> for SC4</w:t>
      </w:r>
      <w:r w:rsidR="00846613">
        <w:rPr>
          <w:rFonts w:hint="eastAsia"/>
        </w:rPr>
        <w:t>.</w:t>
      </w:r>
      <w:r w:rsidR="000B5F3A" w:rsidRPr="00E57407">
        <w:rPr>
          <w:rFonts w:hint="eastAsia"/>
        </w:rPr>
        <w:t xml:space="preserve"> </w:t>
      </w:r>
    </w:p>
    <w:p w14:paraId="3A84766F" w14:textId="0FB0056B" w:rsidR="0051461B" w:rsidRDefault="51342F7D" w:rsidP="51342F7D">
      <w:pPr>
        <w:ind w:firstLine="720"/>
        <w:jc w:val="both"/>
      </w:pPr>
      <w:r>
        <w:t>In the following, we will discuss each of SC4, SC3</w:t>
      </w:r>
      <w:r w:rsidR="00894079">
        <w:rPr>
          <w:rFonts w:hint="eastAsia"/>
        </w:rPr>
        <w:t>,</w:t>
      </w:r>
      <w:r>
        <w:t xml:space="preserve"> and SC1 in detail. The</w:t>
      </w:r>
      <w:r w:rsidR="00894079">
        <w:rPr>
          <w:rFonts w:hint="eastAsia"/>
        </w:rPr>
        <w:t xml:space="preserve"> superconducting state</w:t>
      </w:r>
      <w:r>
        <w:t xml:space="preserve"> SC2 observed previously at ~26 mK</w:t>
      </w:r>
      <w:r w:rsidR="00240565">
        <w:fldChar w:fldCharType="begin"/>
      </w:r>
      <w:r w:rsidR="00FF03F1">
        <w:instrText xml:space="preserve"> ADDIN ZOTERO_ITEM CSL_CITATION {"citationID":"GCCAPyIo","properties":{"formattedCitation":"\\super 5\\nosupersub{}","plainCitation":"5","noteIndex":0},"citationItems":[{"id":3770,"uris":["http://zotero.org/users/5406744/items/527RMQ9V"],"itemData":{"id":3770,"type":"article-journal","abstract":"To access superconductivity via the electric field effect in a clean, two-dimensional device is a central goal of nanoelectronics. Recently, superconductivity has been realized in graphene moiré heterostructures1–4; however, many of these structures are not mechanically stable, and experiments show signatures of strong disorder. Here we report the observation of superconductivity—manifesting as low or vanishing resistivity at sub-kelvin temperatures—in crystalline rhombohedral trilayer graphene5,6, a structurally metastable carbon allotrope. Superconductivity occurs in two distinct gate-tuned regions (SC1 and SC2), and is deep in the clean limit defined by the ratio of mean free path and superconducting coherence length. Mapping of the normal state Fermi surfaces by quantum oscillations reveals that both superconductors emerge from an annular Fermi sea, and are proximal to an isospin-symmetry-breaking transition where the Fermi surface degeneracy changes7. SC1 emerges from a paramagnetic normal state, whereas SC2 emerges from a spin-polarized, valley-unpolarized half-metal17 and violates the Pauli limit for in-plane magnetic fields by at least one order of magnitude8,9. We discuss our results in view of several mechanisms, including conventional phonon-mediated pairing10,11, pairing due to fluctuations of the proximal isospin order12, and intrinsic instabilities of the annular Fermi liquid13,14. Our observation of superconductivity in a clean and structurally simple two-dimensional metal provides a model system to test competing theoretical models of superconductivity without the complication of modelling disorder, while enabling new classes of field-effect controlled electronic devices based on correlated electron phenomena and ballistic electron transport.","container-title":"Nature","DOI":"10.1038/s41586-021-03926-0","ISSN":"1476-4687","issue":"7881","language":"en","license":"2021 The Author(s), under exclusive licence to Springer Nature Limited","note":"number: 7881\npublisher: Nature Publishing Group","page":"434-438","source":"www.nature.com","title":"Superconductivity in rhombohedral trilayer graphene","volume":"598","author":[{"family":"Zhou","given":"Haoxin"},{"family":"Xie","given":"Tian"},{"family":"Taniguchi","given":"Takashi"},{"family":"Watanabe","given":"Kenji"},{"family":"Young","given":"Andrea F."}],"issued":{"date-parts":[["2021",10]]}}}],"schema":"https://github.com/citation-style-language/schema/raw/master/csl-citation.json"} </w:instrText>
      </w:r>
      <w:r w:rsidR="00240565">
        <w:fldChar w:fldCharType="separate"/>
      </w:r>
      <w:r w:rsidR="00FF03F1" w:rsidRPr="00FF03F1">
        <w:rPr>
          <w:rFonts w:ascii="Calibri" w:hAnsi="Calibri" w:cs="Calibri"/>
          <w:kern w:val="0"/>
          <w:vertAlign w:val="superscript"/>
        </w:rPr>
        <w:t>5</w:t>
      </w:r>
      <w:r w:rsidR="00240565">
        <w:fldChar w:fldCharType="end"/>
      </w:r>
      <w:r>
        <w:t xml:space="preserve"> is also missing in our data. However, it could be due to our electronic temperature </w:t>
      </w:r>
      <w:r w:rsidR="004147DB">
        <w:t>not being</w:t>
      </w:r>
      <w:r>
        <w:t xml:space="preserve"> low enough.</w:t>
      </w:r>
    </w:p>
    <w:p w14:paraId="76B8FFD4" w14:textId="27AC5D1A" w:rsidR="001C4D1E" w:rsidRPr="0015434C" w:rsidRDefault="51342F7D" w:rsidP="4D372101">
      <w:pPr>
        <w:jc w:val="both"/>
        <w:rPr>
          <w:b/>
          <w:bCs/>
          <w:sz w:val="32"/>
          <w:szCs w:val="32"/>
        </w:rPr>
      </w:pPr>
      <w:r w:rsidRPr="51342F7D">
        <w:rPr>
          <w:b/>
          <w:bCs/>
          <w:sz w:val="32"/>
          <w:szCs w:val="32"/>
        </w:rPr>
        <w:t>New Superconducting State SC4 Induced by SOC</w:t>
      </w:r>
    </w:p>
    <w:p w14:paraId="4FE0DC0F" w14:textId="37BEC0AA" w:rsidR="00913D55" w:rsidRDefault="51342F7D" w:rsidP="28E3F25A">
      <w:pPr>
        <w:jc w:val="both"/>
      </w:pPr>
      <w:r>
        <w:t xml:space="preserve">To study </w:t>
      </w:r>
      <w:r w:rsidR="001909AB">
        <w:t>the critical roles played by the proximitized SOC in</w:t>
      </w:r>
      <w:r>
        <w:t xml:space="preserve"> the superconducting states, we compare three scenarios realized in devices D1-D3: with TMD on both sides of RTG (Scenario 1), with TMD on one side while charges are polarized to the layer of RTG close to the TMD by </w:t>
      </w:r>
      <w:r w:rsidRPr="00E44A69">
        <w:rPr>
          <w:i/>
          <w:iCs/>
        </w:rPr>
        <w:t>D</w:t>
      </w:r>
      <w:r>
        <w:t xml:space="preserve"> (Scenario 2), and with TMD on one side but charges are polarized to the layer of RTG far away from the TMD by </w:t>
      </w:r>
      <w:r w:rsidRPr="00E44A69">
        <w:rPr>
          <w:i/>
          <w:iCs/>
        </w:rPr>
        <w:t>D</w:t>
      </w:r>
      <w:r>
        <w:t xml:space="preserve"> (Scenario 3). The SOC effect is expected to be weaker in Scenario 3 than in Scenario 2, as has been demonstrated in bilayer graphene</w:t>
      </w:r>
      <w:r w:rsidR="00240565">
        <w:fldChar w:fldCharType="begin"/>
      </w:r>
      <w:r w:rsidR="00BF4618">
        <w:instrText xml:space="preserve"> ADDIN ZOTERO_ITEM CSL_CITATION {"citationID":"QlihbOQs","properties":{"formattedCitation":"\\super 18\\uc0\\u8211{}21\\nosupersub{}","plainCitation":"18–21","noteIndex":0},"citationItems":[{"id":1752,"uris":["http://zotero.org/users/5406744/items/5ITGK7BD"],"itemData":{"id":1752,"type":"article-journal","container-title":"Nature","DOI":"10.1038/s41586-022-05446-x","ISSN":"0028-0836, 1476-4687","issue":"7943","journalAbbreviation":"Nature","language":"en","page":"268-273","source":"DOI.org (Crossref)","title":"Enhanced superconductivity in spin–orbit proximitized bilayer graphene","volume":"613","author":[{"family":"Zhang","given":"Yiran"},{"family":"Polski","given":"Robert"},{"family":"Thomson","given":"Alex"},{"family":"Lantagne-Hurtubise","given":"Étienne"},{"family":"Lewandowski","given":"Cyprian"},{"family":"Zhou","given":"Haoxin"},{"family":"Watanabe","given":"Kenji"},{"family":"Taniguchi","given":"Takashi"},{"family":"Alicea","given":"Jason"},{"family":"Nadj-Perge","given":"Stevan"}],"issued":{"date-parts":[["2023",1,12]]}}},{"id":4319,"uris":["http://zotero.org/users/5406744/items/XZ6TC7XV"],"itemData":{"id":4319,"type":"article","abstract":"Superconductivity is a ubiquitous feature of graphite allotropes, having been observed in Bernal bilayers, rhombohedral trilayers, and a wide variety of angle-misaligned multilayers. Despite significant differences in the electronic structure across these systems, supporting the graphite layer on a WSe$_2$ substrate has been consistently observed to expand the range of superconductivity in carrier density and temperature. Here, we report the observation of two distinct superconducting states (denoted SC$_1$ and SC$_2$) in Bernal bilayer graphene with strong proximity-induced Ising spin-orbit coupling. Quantum oscillations show that while the normal state of SC$_1$ is consistent with the single-particle band structure, SC$_2$ emerges from a nematic normal state with broken rotational symmetry. Both superconductors are robust to in-plane magnetic fields, violating the paramagnetic limit as expected for spin-valley locked Ising superconductors. Our results show that the enhancement of superconductivity in WSe$_2$ supported graphite allotropes can be directly linked to Ising spin orbit coupling, which favors valley-balanced ground states with time-reversal symmetric Fermi surfaces friendly to superconducting pairing.","note":"arXiv:2303.00742 [cond-mat]","number":"arXiv:2303.00742","publisher":"arXiv","source":"arXiv.org","title":"Ising Superconductivity and Nematicity in Bernal Bilayer Graphene with Strong Spin Orbit Coupling","URL":"http://arxiv.org/abs/2303.00742","author":[{"family":"Holleis","given":"Ludwig"},{"family":"Patterson","given":"Caitlin L."},{"family":"Zhang","given":"Yiran"},{"family":"Yoo","given":"Heun Mo"},{"family":"Zhou","given":"Haoxin"},{"family":"Taniguchi","given":"Takashi"},{"family":"Watanabe","given":"Kenji"},{"family":"Nadj-Perge","given":"Stevan"},{"family":"Young","given":"Andrea F."}],"accessed":{"date-parts":[["2024",1,10]]},"issued":{"date-parts":[["2023",3,1]]}}},{"id":4721,"uris":["http://zotero.org/users/5406744/items/BB4QM5H2"],"itemData":{"id":4721,"type":"article","abstract":"The relative twist angle between layers of near-lattice-matched van der Waals materials is critical for the emergent correlated phenomena associated with moire flat bands. However, the concept of angle rotation control is not exclusive to moir\\'e superlattices in which electrons directly experience a twist-angle-dependent periodic potential. Instead, it can also be employed to induce programmable symmetry-breaking perturbations with the goal of stabilizing desired correlated states. Here, we experimentally demonstrate `moireless' twist-tuning of superconductivity together with other correlated orders in Bernal bilayer graphene proximitized by tungsten diselenide. The alignment between the two materials systematically controls the strength of the induced Ising spin-orbit coupling (SOC), profoundly altering the phase diagram. As Ising SOC is increased, superconductivity onsets at a higher displacement field and features a higher critical temperature, reaching up to 0.5K. Within the main superconducting dome and in the strong Ising SOC limit, we find an unusual phase transition characterized by a nematic redistribution of holes among trigonally warped Fermi pockets and enhanced resilience to in-plane magnetic fields. The behavior of the superconducting phase is well captured by our theoretical model, which emphasizes the role of interband interactions between Fermi pockets arising due to interaction-enhanced symmetry breaking. Moreover, we identify two additional superconducting regions, one of which descends from an inter-valley coherent normal state and exhibits a Pauli-limit violation ratio exceeding 40, among the highest for all known superconductors. Our results provide new insights into ultra-clean graphene-based superconductors and underscore the potential of utilizing moireless-twist engineering across a range of van der Waals heterostructures.","DOI":"10.48550/arXiv.2408.10335","note":"arXiv:2408.10335 [cond-mat]","number":"arXiv:2408.10335","publisher":"arXiv","source":"arXiv.org","title":"Twist-Programmable Superconductivity in Spin-Orbit Coupled Bilayer Graphene","URL":"http://arxiv.org/abs/2408.10335","author":[{"family":"Zhang","given":"Yiran"},{"family":"Shavit","given":"Gal"},{"family":"Ma","given":"Huiyang"},{"family":"Han","given":"Youngjoon"},{"family":"Watanabe","given":"Kenji"},{"family":"Taniguchi","given":"Takashi"},{"family":"Hsieh","given":"David"},{"family":"Lewandowski","given":"Cyprian"},{"family":"Oppen","given":"Felix","non-dropping-particle":"von"},{"family":"Oreg","given":"Yuval"},{"family":"Nadj-Perge","given":"Stevan"}],"accessed":{"date-parts":[["2024",8,27]]},"issued":{"date-parts":[["2024",8,19]]}}},{"id":4497,"uris":["http://zotero.org/users/5406744/items/NVDV6TNX"],"itemData":{"id":4497,"type":"article-journal","abstract":"Graphene-based, high-quality, two-dimensional electronic systems have emerged as a highly tunable platform for studying superconductivity1–21. Specifically, superconductivity has been observed in both electron- and hole-doped twisted graphene moiré systems1–17, whereas in crystalline graphene systems, superconductivity has so far been observed only in hole-doped rhombohedral trilayer graphene (RTG)18 and hole-doped Bernal bilayer graphene (BBG)19–21. Recently, enhanced superconductivity has been demonstrated20,21 in BBG because of the proximity to a monolayer WSe2. Here we report the observation of superconductivity and a series of flavour-symmetry-breaking phases in electron- and hole-doped BBG/WSe2 devices by electrostatic doping. The strength of the observed superconductivity is tunable by applied vertical electric fields. The maximum Berezinskii–Kosterlitz−Thouless transition temperature for the electron- and hole-doped superconductivity is about 210 mK and 400 mK, respectively. Superconductivities emerge only when the applied electric fields drive the BBG electron or hole wavefunctions towards the WSe2 layer, underscoring the importance of the WSe2 layer in the observed superconductivity. The hole-doped superconductivity violates the Pauli paramagnetic limit, consistent with an Ising-like superconductor. By contrast, the electron-doped superconductivity obeys the Pauli limit, although the proximity-induced Ising spin–orbit coupling is also notable in the conduction band. Our findings highlight the rich physics associated with the conduction band in BBG, paving the way for further studies into the superconducting mechanisms of crystalline graphene and the development of superconductor devices based on BBG.","container-title":"Nature","DOI":"10.1038/s41586-024-07584-w","ISSN":"1476-4687","issue":"8020","language":"en","license":"2024 The Author(s), under exclusive licence to Springer Nature Limited","note":"publisher: Nature Publishing Group","page":"300-306","source":"www.nature.com","title":"Tunable superconductivity in electron- and hole-doped Bernal bilayer graphene","volume":"631","author":[{"family":"Li","given":"Chushan"},{"family":"Xu","given":"Fan"},{"family":"Li","given":"Bohao"},{"family":"Li","given":"Jiayi"},{"family":"Li","given":"Guoan"},{"family":"Watanabe","given":"Kenji"},{"family":"Taniguchi","given":"Takashi"},{"family":"Tong","given":"Bingbing"},{"family":"Shen","given":"Jie"},{"family":"Lu","given":"Li"},{"family":"Jia","given":"Jinfeng"},{"family":"Wu","given":"Fengcheng"},{"family":"Liu","given":"Xiaoxue"},{"family":"Li","given":"Tingxin"}],"issued":{"date-parts":[["2024",7]]}}}],"schema":"https://github.com/citation-style-language/schema/raw/master/csl-citation.json"} </w:instrText>
      </w:r>
      <w:r w:rsidR="00240565">
        <w:fldChar w:fldCharType="separate"/>
      </w:r>
      <w:r w:rsidR="00BF4618" w:rsidRPr="00BF4618">
        <w:rPr>
          <w:rFonts w:ascii="Calibri" w:hAnsi="Calibri" w:cs="Calibri"/>
          <w:kern w:val="0"/>
          <w:vertAlign w:val="superscript"/>
        </w:rPr>
        <w:t>18–21</w:t>
      </w:r>
      <w:r w:rsidR="00240565">
        <w:fldChar w:fldCharType="end"/>
      </w:r>
      <w:r>
        <w:t>.</w:t>
      </w:r>
    </w:p>
    <w:p w14:paraId="665A036A" w14:textId="04F11E48" w:rsidR="005F6727" w:rsidRDefault="41613C53" w:rsidP="001909AB">
      <w:pPr>
        <w:ind w:firstLine="720"/>
        <w:jc w:val="both"/>
      </w:pPr>
      <w:r>
        <w:lastRenderedPageBreak/>
        <w:t>We first examine SC4. Figure 2a</w:t>
      </w:r>
      <w:r w:rsidRPr="41613C53">
        <w:rPr>
          <w:b/>
          <w:bCs/>
        </w:rPr>
        <w:t xml:space="preserve"> </w:t>
      </w:r>
      <w:r>
        <w:t xml:space="preserve">(D2, </w:t>
      </w:r>
      <w:r w:rsidRPr="41613C53">
        <w:rPr>
          <w:i/>
          <w:iCs/>
        </w:rPr>
        <w:t>D</w:t>
      </w:r>
      <w:r>
        <w:t xml:space="preserve">&lt;0), 2b (D3, </w:t>
      </w:r>
      <w:r w:rsidRPr="41613C53">
        <w:rPr>
          <w:i/>
          <w:iCs/>
        </w:rPr>
        <w:t>D</w:t>
      </w:r>
      <w:r>
        <w:t xml:space="preserve">&gt;0), and 2c (D3, </w:t>
      </w:r>
      <w:r w:rsidRPr="41613C53">
        <w:rPr>
          <w:i/>
          <w:iCs/>
        </w:rPr>
        <w:t>D</w:t>
      </w:r>
      <w:r>
        <w:t xml:space="preserve">&lt;0) show </w:t>
      </w:r>
      <w:r w:rsidRPr="41613C53">
        <w:rPr>
          <w:i/>
          <w:iCs/>
        </w:rPr>
        <w:t>R</w:t>
      </w:r>
      <w:r w:rsidRPr="41613C53">
        <w:rPr>
          <w:i/>
          <w:iCs/>
          <w:vertAlign w:val="subscript"/>
        </w:rPr>
        <w:t>xx</w:t>
      </w:r>
      <w:r>
        <w:t xml:space="preserve"> as a function of </w:t>
      </w:r>
      <w:r w:rsidRPr="41613C53">
        <w:rPr>
          <w:i/>
          <w:iCs/>
        </w:rPr>
        <w:t>n</w:t>
      </w:r>
      <w:r>
        <w:t xml:space="preserve"> and </w:t>
      </w:r>
      <w:r w:rsidRPr="41613C53">
        <w:rPr>
          <w:i/>
          <w:iCs/>
        </w:rPr>
        <w:t>D</w:t>
      </w:r>
      <w:r>
        <w:t xml:space="preserve"> corresponding to these three scenarios. Note that we flip the y-axis in Fig. 2b for a better comparison with the other two panels. Insets illustrate the corresponding sample configurations and the </w:t>
      </w:r>
      <w:r w:rsidR="001909AB">
        <w:t xml:space="preserve">layer-polarizations </w:t>
      </w:r>
      <w:r>
        <w:t xml:space="preserve">of the holes. SC4 occupies a large region in Fig. 2a, a smaller </w:t>
      </w:r>
      <w:r w:rsidR="00300150">
        <w:rPr>
          <w:rFonts w:hint="eastAsia"/>
        </w:rPr>
        <w:t>and</w:t>
      </w:r>
      <w:r>
        <w:t xml:space="preserve"> more resistive region in Fig. 2b, but is missing from Fig. 2c. Although the resistance doesn’t touch zero in Fig. 2b, we confirm it is a superconducting state by</w:t>
      </w:r>
      <w:r w:rsidR="001909AB">
        <w:t xml:space="preserve"> examining</w:t>
      </w:r>
      <w:r>
        <w:t xml:space="preserve"> the non-linear </w:t>
      </w:r>
      <w:r w:rsidRPr="41613C53">
        <w:rPr>
          <w:i/>
          <w:iCs/>
        </w:rPr>
        <w:t>I</w:t>
      </w:r>
      <w:r>
        <w:t>-</w:t>
      </w:r>
      <w:r w:rsidRPr="41613C53">
        <w:rPr>
          <w:i/>
          <w:iCs/>
        </w:rPr>
        <w:t>V</w:t>
      </w:r>
      <w:r>
        <w:t xml:space="preserve"> behavior in the differential resistance measurement (see Extended Data Fig</w:t>
      </w:r>
      <w:r w:rsidR="000100A1">
        <w:rPr>
          <w:rFonts w:hint="eastAsia"/>
        </w:rPr>
        <w:t>.</w:t>
      </w:r>
      <w:r>
        <w:t xml:space="preserve"> </w:t>
      </w:r>
      <w:r w:rsidR="00882E1E">
        <w:rPr>
          <w:rFonts w:hint="eastAsia"/>
        </w:rPr>
        <w:t>3</w:t>
      </w:r>
      <w:r>
        <w:t xml:space="preserve">f). </w:t>
      </w:r>
      <w:r w:rsidR="001909AB">
        <w:t>This</w:t>
      </w:r>
      <w:r>
        <w:t xml:space="preserve"> clearly demonstrates a gradually induced SC4 state by</w:t>
      </w:r>
      <w:r w:rsidR="001909AB">
        <w:t xml:space="preserve"> increasing</w:t>
      </w:r>
      <w:r>
        <w:t xml:space="preserve"> the proximitized SOC effect, </w:t>
      </w:r>
      <w:r w:rsidR="001909AB">
        <w:t xml:space="preserve">and </w:t>
      </w:r>
      <w:r>
        <w:t xml:space="preserve">Fig. 2a shows the strongest superconductivity. The critical temperature </w:t>
      </w:r>
      <w:r w:rsidRPr="41613C53">
        <w:rPr>
          <w:i/>
          <w:iCs/>
        </w:rPr>
        <w:t>T</w:t>
      </w:r>
      <w:r w:rsidRPr="41613C53">
        <w:rPr>
          <w:i/>
          <w:iCs/>
          <w:vertAlign w:val="subscript"/>
        </w:rPr>
        <w:t>c</w:t>
      </w:r>
      <w:r>
        <w:t xml:space="preserve"> </w:t>
      </w:r>
      <w:r w:rsidR="001909AB">
        <w:t>indeed increases</w:t>
      </w:r>
      <w:r>
        <w:t xml:space="preserve"> from </w:t>
      </w:r>
      <w:r w:rsidR="001909AB">
        <w:t xml:space="preserve">30 </w:t>
      </w:r>
      <w:proofErr w:type="spellStart"/>
      <w:r>
        <w:t>mK</w:t>
      </w:r>
      <w:proofErr w:type="spellEnd"/>
      <w:r>
        <w:t xml:space="preserve"> to around </w:t>
      </w:r>
      <w:r w:rsidR="001909AB">
        <w:t xml:space="preserve">234 </w:t>
      </w:r>
      <w:proofErr w:type="spellStart"/>
      <w:r>
        <w:t>mK</w:t>
      </w:r>
      <w:proofErr w:type="spellEnd"/>
      <w:r>
        <w:t xml:space="preserve"> (see Extended Data Fig</w:t>
      </w:r>
      <w:r w:rsidR="000100A1">
        <w:rPr>
          <w:rFonts w:hint="eastAsia"/>
        </w:rPr>
        <w:t>.</w:t>
      </w:r>
      <w:r>
        <w:t xml:space="preserve"> </w:t>
      </w:r>
      <w:r w:rsidR="00882E1E">
        <w:rPr>
          <w:rFonts w:hint="eastAsia"/>
        </w:rPr>
        <w:t>3</w:t>
      </w:r>
      <w:r>
        <w:t xml:space="preserve">e) from Fig. </w:t>
      </w:r>
      <w:r w:rsidR="001909AB">
        <w:t xml:space="preserve">2b </w:t>
      </w:r>
      <w:r>
        <w:t xml:space="preserve">to Fig. </w:t>
      </w:r>
      <w:r w:rsidR="001909AB">
        <w:t>2a</w:t>
      </w:r>
      <w:r>
        <w:t xml:space="preserve">. We </w:t>
      </w:r>
      <w:r w:rsidR="001F2EC5">
        <w:rPr>
          <w:rFonts w:hint="eastAsia"/>
        </w:rPr>
        <w:t>emphasize</w:t>
      </w:r>
      <w:r w:rsidR="001F2EC5">
        <w:t xml:space="preserve"> </w:t>
      </w:r>
      <w:r>
        <w:t xml:space="preserve">that SC4 is a new superconducting state induced by the TMD layer, instead of the previously reported SC1 in RTG shifted to another </w:t>
      </w:r>
      <w:r w:rsidRPr="41613C53">
        <w:rPr>
          <w:i/>
          <w:iCs/>
        </w:rPr>
        <w:t>n</w:t>
      </w:r>
      <w:r>
        <w:t xml:space="preserve"> &amp; </w:t>
      </w:r>
      <w:r w:rsidRPr="41613C53">
        <w:rPr>
          <w:i/>
          <w:iCs/>
        </w:rPr>
        <w:t>D</w:t>
      </w:r>
      <w:r>
        <w:t xml:space="preserve"> position. This is because in D3, we observe the SC1 coexisting with SC4 (Fig. 2b and Fig. 4a) when </w:t>
      </w:r>
      <w:r w:rsidRPr="41613C53">
        <w:rPr>
          <w:i/>
          <w:iCs/>
        </w:rPr>
        <w:t>D</w:t>
      </w:r>
      <w:r>
        <w:t xml:space="preserve">&gt;0, but they are not connected in </w:t>
      </w:r>
      <w:r w:rsidRPr="41613C53">
        <w:rPr>
          <w:i/>
          <w:iCs/>
        </w:rPr>
        <w:t>n</w:t>
      </w:r>
      <w:r>
        <w:t>-</w:t>
      </w:r>
      <w:r w:rsidRPr="41613C53">
        <w:rPr>
          <w:i/>
          <w:iCs/>
        </w:rPr>
        <w:t>D</w:t>
      </w:r>
      <w:r>
        <w:t xml:space="preserve"> map. </w:t>
      </w:r>
    </w:p>
    <w:p w14:paraId="0F573EBC" w14:textId="4BFFFAD8" w:rsidR="00E4093B" w:rsidRDefault="4F6B3D90" w:rsidP="46D49E37">
      <w:pPr>
        <w:ind w:firstLine="720"/>
        <w:jc w:val="both"/>
      </w:pPr>
      <w:r>
        <w:t xml:space="preserve">Next, we explore the magnetic field dependence of SC4 in D2. </w:t>
      </w:r>
      <w:r w:rsidRPr="00E44A69">
        <w:t>Fig</w:t>
      </w:r>
      <w:r w:rsidR="000100A1">
        <w:rPr>
          <w:rFonts w:hint="eastAsia"/>
        </w:rPr>
        <w:t>ure</w:t>
      </w:r>
      <w:r w:rsidRPr="00E44A69">
        <w:t xml:space="preserve"> 2d</w:t>
      </w:r>
      <w:r>
        <w:t xml:space="preserve"> shows </w:t>
      </w:r>
      <w:r w:rsidRPr="4F6B3D90">
        <w:rPr>
          <w:i/>
          <w:iCs/>
        </w:rPr>
        <w:t>R</w:t>
      </w:r>
      <w:r w:rsidRPr="4F6B3D90">
        <w:rPr>
          <w:i/>
          <w:iCs/>
          <w:vertAlign w:val="subscript"/>
        </w:rPr>
        <w:t>xx</w:t>
      </w:r>
      <w:r>
        <w:t xml:space="preserve"> as a function of </w:t>
      </w:r>
      <w:r w:rsidR="009E6D6E">
        <w:t xml:space="preserve">carrier density </w:t>
      </w:r>
      <w:r w:rsidRPr="4F6B3D90">
        <w:rPr>
          <w:i/>
          <w:iCs/>
        </w:rPr>
        <w:t>n</w:t>
      </w:r>
      <w:r>
        <w:t xml:space="preserve"> and out-of-plane magnetic field </w:t>
      </w:r>
      <w:r w:rsidRPr="4F6B3D90">
        <w:rPr>
          <w:i/>
          <w:iCs/>
        </w:rPr>
        <w:t>B</w:t>
      </w:r>
      <w:r w:rsidRPr="4F6B3D90">
        <w:rPr>
          <w:rFonts w:ascii="Cambria Math" w:hAnsi="Cambria Math" w:cs="Cambria Math"/>
          <w:vertAlign w:val="subscript"/>
        </w:rPr>
        <w:t>⊥</w:t>
      </w:r>
      <w:r>
        <w:t xml:space="preserve">, measured at </w:t>
      </w:r>
      <w:r w:rsidRPr="4F6B3D90">
        <w:rPr>
          <w:i/>
          <w:iCs/>
        </w:rPr>
        <w:t>D</w:t>
      </w:r>
      <w:r w:rsidRPr="4F6B3D90">
        <w:t>/</w:t>
      </w:r>
      <w:r w:rsidRPr="4F6B3D90">
        <w:rPr>
          <w:i/>
          <w:iCs/>
          <w:color w:val="000000" w:themeColor="text1"/>
        </w:rPr>
        <w:t>ε</w:t>
      </w:r>
      <w:r w:rsidRPr="4F6B3D90">
        <w:rPr>
          <w:i/>
          <w:iCs/>
          <w:color w:val="000000" w:themeColor="text1"/>
          <w:vertAlign w:val="subscript"/>
        </w:rPr>
        <w:t>0</w:t>
      </w:r>
      <w:r>
        <w:t xml:space="preserve"> = -0.165 V/nm which corresponds to the green dash line in </w:t>
      </w:r>
      <w:r w:rsidRPr="00E44A69">
        <w:t>Fig. 2a</w:t>
      </w:r>
      <w:r>
        <w:t xml:space="preserve"> (</w:t>
      </w:r>
      <w:r w:rsidR="009E6D6E">
        <w:rPr>
          <w:rFonts w:hint="eastAsia"/>
        </w:rPr>
        <w:t>s</w:t>
      </w:r>
      <w:r>
        <w:t xml:space="preserve">ee Extended Data Fig. 2a&amp;c for the Fraunhofer interference pattern of </w:t>
      </w:r>
      <w:proofErr w:type="spellStart"/>
      <w:r>
        <w:t>dV</w:t>
      </w:r>
      <w:proofErr w:type="spellEnd"/>
      <w:r>
        <w:t>/</w:t>
      </w:r>
      <w:proofErr w:type="spellStart"/>
      <w:r>
        <w:t>dI</w:t>
      </w:r>
      <w:proofErr w:type="spellEnd"/>
      <w:r>
        <w:t xml:space="preserve">.) The critical field </w:t>
      </w:r>
      <w:proofErr w:type="spellStart"/>
      <w:proofErr w:type="gramStart"/>
      <w:r w:rsidRPr="4F6B3D90">
        <w:rPr>
          <w:i/>
          <w:iCs/>
        </w:rPr>
        <w:t>B</w:t>
      </w:r>
      <w:r w:rsidRPr="4F6B3D90">
        <w:rPr>
          <w:i/>
          <w:iCs/>
          <w:vertAlign w:val="subscript"/>
        </w:rPr>
        <w:t>c</w:t>
      </w:r>
      <w:proofErr w:type="spellEnd"/>
      <w:r w:rsidRPr="4F6B3D90">
        <w:rPr>
          <w:i/>
          <w:iCs/>
          <w:vertAlign w:val="subscript"/>
        </w:rPr>
        <w:t>,</w:t>
      </w:r>
      <w:r w:rsidRPr="4F6B3D90">
        <w:rPr>
          <w:rFonts w:ascii="Cambria Math" w:hAnsi="Cambria Math" w:cs="Cambria Math"/>
          <w:vertAlign w:val="subscript"/>
        </w:rPr>
        <w:t>⊥</w:t>
      </w:r>
      <w:proofErr w:type="gramEnd"/>
      <w:r>
        <w:t xml:space="preserve"> is ~20 </w:t>
      </w:r>
      <w:proofErr w:type="spellStart"/>
      <w:r>
        <w:t>mT.</w:t>
      </w:r>
      <w:proofErr w:type="spellEnd"/>
      <w:r>
        <w:t xml:space="preserve"> Figure 2e</w:t>
      </w:r>
      <w:r w:rsidRPr="4F6B3D90">
        <w:rPr>
          <w:b/>
          <w:bCs/>
          <w:color w:val="FF0000"/>
        </w:rPr>
        <w:t xml:space="preserve"> </w:t>
      </w:r>
      <w:r>
        <w:t xml:space="preserve">shows the in-plane magnetic field </w:t>
      </w:r>
      <w:r w:rsidRPr="4F6B3D90">
        <w:rPr>
          <w:i/>
          <w:iCs/>
        </w:rPr>
        <w:t>B</w:t>
      </w:r>
      <w:r w:rsidRPr="4F6B3D90">
        <w:rPr>
          <w:vertAlign w:val="subscript"/>
        </w:rPr>
        <w:t>‖</w:t>
      </w:r>
      <w:r>
        <w:t xml:space="preserve"> dependence of </w:t>
      </w:r>
      <w:r w:rsidRPr="4F6B3D90">
        <w:rPr>
          <w:i/>
          <w:iCs/>
        </w:rPr>
        <w:t>R</w:t>
      </w:r>
      <w:r w:rsidRPr="4F6B3D90">
        <w:rPr>
          <w:i/>
          <w:iCs/>
          <w:vertAlign w:val="subscript"/>
        </w:rPr>
        <w:t>xx</w:t>
      </w:r>
      <w:r>
        <w:t xml:space="preserve"> as a function of </w:t>
      </w:r>
      <w:r w:rsidRPr="4F6B3D90">
        <w:rPr>
          <w:i/>
          <w:iCs/>
        </w:rPr>
        <w:t>n</w:t>
      </w:r>
      <w:r>
        <w:t xml:space="preserve">, measured at </w:t>
      </w:r>
      <w:r w:rsidR="004F2C95">
        <w:rPr>
          <w:rFonts w:hint="eastAsia"/>
        </w:rPr>
        <w:t xml:space="preserve">the </w:t>
      </w:r>
      <w:r>
        <w:t xml:space="preserve">same </w:t>
      </w:r>
      <w:r w:rsidRPr="00E44A69">
        <w:rPr>
          <w:i/>
          <w:iCs/>
        </w:rPr>
        <w:t>D</w:t>
      </w:r>
      <w:r>
        <w:t xml:space="preserve"> as in Fig. 2d. We can compare the in-plane critical field </w:t>
      </w:r>
      <w:proofErr w:type="spellStart"/>
      <w:proofErr w:type="gramStart"/>
      <w:r w:rsidRPr="4F6B3D90">
        <w:rPr>
          <w:i/>
          <w:iCs/>
        </w:rPr>
        <w:t>B</w:t>
      </w:r>
      <w:r w:rsidRPr="4F6B3D90">
        <w:rPr>
          <w:i/>
          <w:iCs/>
          <w:vertAlign w:val="subscript"/>
        </w:rPr>
        <w:t>c</w:t>
      </w:r>
      <w:proofErr w:type="spellEnd"/>
      <w:r w:rsidRPr="4F6B3D90">
        <w:rPr>
          <w:vertAlign w:val="subscript"/>
        </w:rPr>
        <w:t>,‖</w:t>
      </w:r>
      <w:proofErr w:type="gramEnd"/>
      <w:r>
        <w:t xml:space="preserve"> with the Pauli-limit extracted from the critical temperature</w:t>
      </w:r>
      <w:r w:rsidR="00C124EB">
        <w:rPr>
          <w:rFonts w:hint="eastAsia"/>
        </w:rPr>
        <w:t xml:space="preserve"> (see Extended Data Fig.4c)</w:t>
      </w:r>
      <w:r w:rsidRPr="4F6B3D90">
        <w:rPr>
          <w:i/>
          <w:iCs/>
        </w:rPr>
        <w:t xml:space="preserve"> B</w:t>
      </w:r>
      <w:r w:rsidRPr="4F6B3D90">
        <w:rPr>
          <w:i/>
          <w:iCs/>
          <w:vertAlign w:val="subscript"/>
        </w:rPr>
        <w:t>P</w:t>
      </w:r>
      <w:r>
        <w:t xml:space="preserve"> = </w:t>
      </w:r>
      <w:r w:rsidRPr="4F6B3D90">
        <w:rPr>
          <w:i/>
          <w:iCs/>
        </w:rPr>
        <w:t>T</w:t>
      </w:r>
      <w:r w:rsidRPr="4F6B3D90">
        <w:rPr>
          <w:i/>
          <w:iCs/>
          <w:vertAlign w:val="subscript"/>
        </w:rPr>
        <w:t>c</w:t>
      </w:r>
      <w:r w:rsidRPr="4F6B3D90">
        <w:rPr>
          <w:i/>
          <w:iCs/>
        </w:rPr>
        <w:t xml:space="preserve"> </w:t>
      </w:r>
      <w:r>
        <w:t xml:space="preserve">× 1.86 T/K, and the Pauli-limit violation ratio (PVR) </w:t>
      </w:r>
      <w:proofErr w:type="spellStart"/>
      <w:r w:rsidRPr="4F6B3D90">
        <w:rPr>
          <w:i/>
          <w:iCs/>
        </w:rPr>
        <w:t>B</w:t>
      </w:r>
      <w:r w:rsidRPr="4F6B3D90">
        <w:rPr>
          <w:i/>
          <w:iCs/>
          <w:vertAlign w:val="subscript"/>
        </w:rPr>
        <w:t>c</w:t>
      </w:r>
      <w:proofErr w:type="spellEnd"/>
      <w:r w:rsidRPr="4F6B3D90">
        <w:rPr>
          <w:vertAlign w:val="subscript"/>
        </w:rPr>
        <w:t>,‖</w:t>
      </w:r>
      <w:r w:rsidR="00201339">
        <w:rPr>
          <w:rFonts w:hint="eastAsia"/>
        </w:rPr>
        <w:t>/</w:t>
      </w:r>
      <w:r w:rsidR="00201339" w:rsidRPr="4F6B3D90">
        <w:rPr>
          <w:i/>
          <w:iCs/>
        </w:rPr>
        <w:t>B</w:t>
      </w:r>
      <w:r w:rsidR="00201339" w:rsidRPr="4F6B3D90">
        <w:rPr>
          <w:i/>
          <w:iCs/>
          <w:vertAlign w:val="subscript"/>
        </w:rPr>
        <w:t>P</w:t>
      </w:r>
      <w:r w:rsidR="00201339">
        <w:t xml:space="preserve"> </w:t>
      </w:r>
      <w:r>
        <w:t>is plotted in Fig. 2f.</w:t>
      </w:r>
      <w:r w:rsidRPr="4F6B3D90">
        <w:rPr>
          <w:b/>
          <w:bCs/>
          <w:color w:val="FF0000"/>
        </w:rPr>
        <w:t xml:space="preserve"> </w:t>
      </w:r>
      <w:r>
        <w:t>The PVR is ~1 near the high-</w:t>
      </w:r>
      <w:r w:rsidRPr="00E44A69">
        <w:rPr>
          <w:i/>
          <w:iCs/>
        </w:rPr>
        <w:t>n</w:t>
      </w:r>
      <w:r>
        <w:t xml:space="preserve"> </w:t>
      </w:r>
      <w:r w:rsidR="00C124EB">
        <w:t>end but</w:t>
      </w:r>
      <w:r>
        <w:t xml:space="preserve"> gradually increases to ~3 at the low-</w:t>
      </w:r>
      <w:r w:rsidRPr="00E44A69">
        <w:rPr>
          <w:i/>
          <w:iCs/>
        </w:rPr>
        <w:t>n</w:t>
      </w:r>
      <w:r>
        <w:t xml:space="preserve"> end.</w:t>
      </w:r>
    </w:p>
    <w:p w14:paraId="30C4D412" w14:textId="5C2A23FA" w:rsidR="00BB3EBC" w:rsidRDefault="4F6B3D90" w:rsidP="4F6B3D90">
      <w:pPr>
        <w:ind w:firstLine="720"/>
        <w:jc w:val="both"/>
      </w:pPr>
      <w:r>
        <w:t>From Ginzburg-Landau theory, we estimate the</w:t>
      </w:r>
      <w:r w:rsidR="005F7EB3">
        <w:t xml:space="preserve"> superconducting</w:t>
      </w:r>
      <w:r>
        <w:t xml:space="preserve"> coherence length of </w:t>
      </w:r>
      <w:r w:rsidR="00765915">
        <w:rPr>
          <w:rFonts w:hint="eastAsia"/>
        </w:rPr>
        <w:t>SC4</w:t>
      </w:r>
      <w:r>
        <w:t xml:space="preserve"> by</w:t>
      </w:r>
      <w:r w:rsidRPr="4F6B3D90">
        <w:rPr>
          <w:i/>
          <w:iCs/>
        </w:rPr>
        <w:t xml:space="preserve"> </w:t>
      </w:r>
      <w:r w:rsidRPr="4F6B3D90">
        <w:rPr>
          <w:rFonts w:eastAsia="DengXian"/>
          <w:i/>
          <w:iCs/>
        </w:rPr>
        <w:t xml:space="preserve">ξ </w:t>
      </w:r>
      <w:r w:rsidRPr="4F6B3D90">
        <w:rPr>
          <w:rFonts w:eastAsia="DengXian"/>
        </w:rPr>
        <w:t>= (</w:t>
      </w:r>
      <w:r w:rsidRPr="4F6B3D90">
        <w:rPr>
          <w:rFonts w:eastAsia="DengXian"/>
          <w:i/>
          <w:iCs/>
        </w:rPr>
        <w:t>Ф</w:t>
      </w:r>
      <w:r w:rsidRPr="4F6B3D90">
        <w:rPr>
          <w:rFonts w:eastAsia="DengXian"/>
          <w:vertAlign w:val="subscript"/>
        </w:rPr>
        <w:t>0</w:t>
      </w:r>
      <w:r w:rsidRPr="4F6B3D90">
        <w:rPr>
          <w:rFonts w:eastAsia="DengXian"/>
        </w:rPr>
        <w:t>/2π</w:t>
      </w:r>
      <w:proofErr w:type="spellStart"/>
      <w:proofErr w:type="gramStart"/>
      <w:r w:rsidRPr="4F6B3D90">
        <w:rPr>
          <w:i/>
          <w:iCs/>
        </w:rPr>
        <w:t>B</w:t>
      </w:r>
      <w:r w:rsidRPr="4F6B3D90">
        <w:rPr>
          <w:i/>
          <w:iCs/>
          <w:vertAlign w:val="subscript"/>
        </w:rPr>
        <w:t>c</w:t>
      </w:r>
      <w:proofErr w:type="spellEnd"/>
      <w:r w:rsidRPr="4F6B3D90">
        <w:rPr>
          <w:i/>
          <w:iCs/>
          <w:vertAlign w:val="subscript"/>
        </w:rPr>
        <w:t>,</w:t>
      </w:r>
      <w:r w:rsidRPr="4F6B3D90">
        <w:rPr>
          <w:rFonts w:ascii="Cambria Math" w:hAnsi="Cambria Math" w:cs="Cambria Math"/>
          <w:vertAlign w:val="subscript"/>
        </w:rPr>
        <w:t>⊥</w:t>
      </w:r>
      <w:proofErr w:type="gramEnd"/>
      <w:r w:rsidRPr="4F6B3D90">
        <w:rPr>
          <w:rFonts w:eastAsia="DengXian"/>
        </w:rPr>
        <w:t>)</w:t>
      </w:r>
      <w:r w:rsidRPr="4F6B3D90">
        <w:rPr>
          <w:rFonts w:eastAsia="DengXian"/>
          <w:vertAlign w:val="superscript"/>
        </w:rPr>
        <w:t xml:space="preserve">1/2 </w:t>
      </w:r>
      <w:r w:rsidRPr="4F6B3D90">
        <w:rPr>
          <w:rFonts w:eastAsia="DengXian"/>
        </w:rPr>
        <w:t>~</w:t>
      </w:r>
      <w:r>
        <w:t xml:space="preserve"> 120 nm</w:t>
      </w:r>
      <w:r w:rsidR="00026FA2">
        <w:rPr>
          <w:rFonts w:hint="eastAsia"/>
        </w:rPr>
        <w:t xml:space="preserve">, where </w:t>
      </w:r>
      <w:r w:rsidR="00026FA2" w:rsidRPr="4F6B3D90">
        <w:rPr>
          <w:rFonts w:eastAsia="DengXian"/>
          <w:i/>
          <w:iCs/>
        </w:rPr>
        <w:t>Ф</w:t>
      </w:r>
      <w:r w:rsidR="00026FA2" w:rsidRPr="00026FA2">
        <w:rPr>
          <w:vertAlign w:val="subscript"/>
        </w:rPr>
        <w:t>0</w:t>
      </w:r>
      <w:r w:rsidR="00026FA2" w:rsidRPr="00026FA2">
        <w:t xml:space="preserve"> is the </w:t>
      </w:r>
      <w:r w:rsidR="00026FA2">
        <w:rPr>
          <w:rFonts w:hint="eastAsia"/>
        </w:rPr>
        <w:t>magnetic</w:t>
      </w:r>
      <w:r w:rsidR="00026FA2" w:rsidRPr="00026FA2">
        <w:t xml:space="preserve"> flux quantum</w:t>
      </w:r>
      <w:r>
        <w:t xml:space="preserve">. On the other hand, we estimate the mean free path </w:t>
      </w:r>
      <w:r w:rsidRPr="4F6B3D90">
        <w:rPr>
          <w:i/>
          <w:iCs/>
        </w:rPr>
        <w:t>l</w:t>
      </w:r>
      <w:r>
        <w:t xml:space="preserve"> from the Drude model </w:t>
      </w:r>
      <w:r w:rsidRPr="4F6B3D90">
        <w:rPr>
          <w:i/>
          <w:iCs/>
        </w:rPr>
        <w:t>R</w:t>
      </w:r>
      <w:r>
        <w:t xml:space="preserve"> = (</w:t>
      </w:r>
      <w:r w:rsidRPr="4F6B3D90">
        <w:rPr>
          <w:i/>
          <w:iCs/>
        </w:rPr>
        <w:t>h</w:t>
      </w:r>
      <w:r>
        <w:t>/</w:t>
      </w:r>
      <w:r w:rsidRPr="4F6B3D90">
        <w:rPr>
          <w:i/>
          <w:iCs/>
        </w:rPr>
        <w:t>e</w:t>
      </w:r>
      <w:r w:rsidRPr="4F6B3D90">
        <w:rPr>
          <w:vertAlign w:val="superscript"/>
        </w:rPr>
        <w:t>2</w:t>
      </w:r>
      <w:r>
        <w:t>) × (</w:t>
      </w:r>
      <w:r w:rsidRPr="4F6B3D90">
        <w:rPr>
          <w:i/>
          <w:iCs/>
        </w:rPr>
        <w:t>L</w:t>
      </w:r>
      <w:r>
        <w:t>/</w:t>
      </w:r>
      <w:r w:rsidRPr="4F6B3D90">
        <w:rPr>
          <w:i/>
          <w:iCs/>
        </w:rPr>
        <w:t>W</w:t>
      </w:r>
      <w:r>
        <w:t>) × (1/4</w:t>
      </w:r>
      <w:r w:rsidRPr="4F6B3D90">
        <w:rPr>
          <w:i/>
          <w:iCs/>
        </w:rPr>
        <w:t>k</w:t>
      </w:r>
      <w:r w:rsidRPr="4F6B3D90">
        <w:rPr>
          <w:i/>
          <w:iCs/>
          <w:vertAlign w:val="subscript"/>
        </w:rPr>
        <w:t>F</w:t>
      </w:r>
      <w:r w:rsidRPr="4F6B3D90">
        <w:rPr>
          <w:i/>
          <w:iCs/>
        </w:rPr>
        <w:t>l</w:t>
      </w:r>
      <w:r>
        <w:t xml:space="preserve">), where </w:t>
      </w:r>
      <w:r w:rsidRPr="4F6B3D90">
        <w:rPr>
          <w:i/>
          <w:iCs/>
        </w:rPr>
        <w:t>h</w:t>
      </w:r>
      <w:r>
        <w:t xml:space="preserve"> is Planck’s constant, </w:t>
      </w:r>
      <w:proofErr w:type="spellStart"/>
      <w:r w:rsidRPr="4F6B3D90">
        <w:rPr>
          <w:i/>
          <w:iCs/>
        </w:rPr>
        <w:t>k</w:t>
      </w:r>
      <w:r w:rsidRPr="4F6B3D90">
        <w:rPr>
          <w:i/>
          <w:iCs/>
          <w:vertAlign w:val="subscript"/>
        </w:rPr>
        <w:t>F</w:t>
      </w:r>
      <w:proofErr w:type="spellEnd"/>
      <w:r>
        <w:t xml:space="preserve"> is Fermi wave vector, </w:t>
      </w:r>
      <w:r w:rsidRPr="4F6B3D90">
        <w:rPr>
          <w:i/>
          <w:iCs/>
        </w:rPr>
        <w:t>L</w:t>
      </w:r>
      <w:r>
        <w:t xml:space="preserve"> and </w:t>
      </w:r>
      <w:r w:rsidRPr="4F6B3D90">
        <w:rPr>
          <w:i/>
          <w:iCs/>
        </w:rPr>
        <w:t>W</w:t>
      </w:r>
      <w:r>
        <w:t xml:space="preserve"> are the length and the width of the sample. For SC4, the ratio </w:t>
      </w:r>
      <w:r w:rsidRPr="4F6B3D90">
        <w:rPr>
          <w:i/>
          <w:iCs/>
        </w:rPr>
        <w:t>d</w:t>
      </w:r>
      <w:r>
        <w:t xml:space="preserve"> = </w:t>
      </w:r>
      <w:r w:rsidRPr="4F6B3D90">
        <w:rPr>
          <w:rFonts w:eastAsia="DengXian"/>
          <w:i/>
          <w:iCs/>
        </w:rPr>
        <w:t>ξ</w:t>
      </w:r>
      <w:r>
        <w:t>/l is ~ 0.4 for D2 and ~ 0.3 for D1, deep in the clean limit (</w:t>
      </w:r>
      <w:r w:rsidRPr="4F6B3D90">
        <w:rPr>
          <w:i/>
          <w:iCs/>
        </w:rPr>
        <w:t>d</w:t>
      </w:r>
      <w:r>
        <w:t>&lt;1), suggesting unconventional superconductivity. The large PVR here is reminiscent of Ising superconductivity in TMD</w:t>
      </w:r>
      <w:r w:rsidR="4A8F77B3">
        <w:fldChar w:fldCharType="begin"/>
      </w:r>
      <w:r w:rsidR="00BF4618">
        <w:instrText xml:space="preserve"> ADDIN ZOTERO_ITEM CSL_CITATION {"citationID":"jASaSmVB","properties":{"formattedCitation":"\\super 25\\uc0\\u8211{}27\\nosupersub{}","plainCitation":"25–27","noteIndex":0},"citationItems":[{"id":4500,"uris":["http://zotero.org/users/5406744/items/A3732CMK"],"itemData":{"id":4500,"type":"article-journal","abstract":"The Zeeman effect, which is usually detrimental to superconductivity, can be strongly protective when an effective Zeeman field from intrinsic spin-orbit coupling locks the spins of Cooper pairs in a direction orthogonal to an external magnetic field. We performed magnetotransport experiments with ionic-gated molybdenum disulfide transistors, in which gating prepared individual superconducting states with different carrier dopings, and measured an in-plane critical field Bc2 far beyond the Pauli paramagnetic limit, consistent with Zeeman-protected superconductivity. The gating-enhanced Bc2 is more than an order of magnitude larger than it is in the bulk superconducting phases, where the effective Zeeman field is weakened by interlayer coupling. Our study provides experimental evidence of an Ising superconductor, in which spins of the pairing electrons are strongly pinned by an effective Zeeman field.","container-title":"Science","DOI":"10.1126/science.aab2277","issue":"6266","note":"publisher: American Association for the Advancement of Science","page":"1353-1357","source":"science.org (Atypon)","title":"Evidence for two-dimensional Ising superconductivity in gated MoS2","volume":"350","author":[{"family":"Lu","given":"J. M."},{"family":"Zheliuk","given":"O."},{"family":"Leermakers","given":"I."},{"family":"Yuan","given":"N. F. Q."},{"family":"Zeitler","given":"U."},{"family":"Law","given":"K. T."},{"family":"Ye","given":"J. T."}],"issued":{"date-parts":[["2015",12,11]]}}},{"id":4498,"uris":["http://zotero.org/users/5406744/items/QGNFTWYI"],"itemData":{"id":4498,"type":"article-journal","abstract":"The electric-field-induced superconducting properties of MoS2 are investigated by means of magneto-transport measurements, uncovering evidence of spin–momentum locking.","container-title":"Nature Physics","DOI":"10.1038/nphys3580","ISSN":"1745-2481","issue":"2","journalAbbreviation":"Nature Phys","language":"en","license":"2015 Springer Nature Limited","note":"publisher: Nature Publishing Group","page":"144-149","source":"www.nature.com","title":"Superconductivity protected by spin–valley locking in ion-gated MoS2","volume":"12","author":[{"family":"Saito","given":"Yu"},{"family":"Nakamura","given":"Yasuharu"},{"family":"Bahramy","given":"Mohammad Saeed"},{"family":"Kohama","given":"Yoshimitsu"},{"family":"Ye","given":"Jianting"},{"family":"Kasahara","given":"Yuichi"},{"family":"Nakagawa","given":"Yuji"},{"family":"Onga","given":"Masaru"},{"family":"Tokunaga","given":"Masashi"},{"family":"Nojima","given":"Tsutomu"},{"family":"Yanase","given":"Youichi"},{"family":"Iwasa","given":"Yoshihiro"}],"issued":{"date-parts":[["2016",2]]}}},{"id":2837,"uris":["http://zotero.org/users/5406744/items/XF75U3KX"],"itemData":{"id":2837,"type":"article-journal","abstract":"The superconducting properties of NbSe2 as it approaches the monolayer limit are investigated by means of magnetotransport measurements, uncovering evidence of spin–momentum locking.","container-title":"Nature Physics","DOI":"10.1038/nphys3538","ISSN":"1745-2481","issue":"2","journalAbbreviation":"Nature Phys","language":"en","license":"2015 Nature Publishing Group","note":"number: 2\npublisher: Nature Publishing Group","page":"139-143","source":"www.nature.com","title":"Ising pairing in superconducting NbSe2 atomic layers","volume":"12","author":[{"family":"Xi","given":"Xiaoxiang"},{"family":"Wang","given":"Zefang"},{"family":"Zhao","given":"Weiwei"},{"family":"Park","given":"Ju-Hyun"},{"family":"Law","given":"Kam Tuen"},{"family":"Berger","given":"Helmuth"},{"family":"Forró","given":"László"},{"family":"Shan","given":"Jie"},{"family":"Mak","given":"Kin Fai"}],"issued":{"date-parts":[["2016",2]]}}}],"schema":"https://github.com/citation-style-language/schema/raw/master/csl-citation.json"} </w:instrText>
      </w:r>
      <w:r w:rsidR="4A8F77B3">
        <w:fldChar w:fldCharType="separate"/>
      </w:r>
      <w:r w:rsidR="00BF4618" w:rsidRPr="00BF4618">
        <w:rPr>
          <w:rFonts w:ascii="Calibri" w:hAnsi="Calibri" w:cs="Calibri"/>
          <w:kern w:val="0"/>
          <w:vertAlign w:val="superscript"/>
        </w:rPr>
        <w:t>25–27</w:t>
      </w:r>
      <w:r w:rsidR="4A8F77B3">
        <w:fldChar w:fldCharType="end"/>
      </w:r>
      <w:r>
        <w:t xml:space="preserve">, where the effective Ising SOC field </w:t>
      </w:r>
      <w:r w:rsidRPr="4F6B3D90">
        <w:rPr>
          <w:rFonts w:eastAsia="DengXian"/>
          <w:i/>
          <w:iCs/>
          <w:color w:val="000000" w:themeColor="text1"/>
        </w:rPr>
        <w:t>B</w:t>
      </w:r>
      <w:r w:rsidRPr="4F6B3D90">
        <w:rPr>
          <w:rFonts w:eastAsia="DengXian"/>
          <w:i/>
          <w:iCs/>
          <w:color w:val="000000" w:themeColor="text1"/>
          <w:vertAlign w:val="subscript"/>
        </w:rPr>
        <w:t>SO</w:t>
      </w:r>
      <w:r w:rsidRPr="4F6B3D90">
        <w:rPr>
          <w:rFonts w:eastAsia="DengXian"/>
          <w:color w:val="000000" w:themeColor="text1"/>
        </w:rPr>
        <w:t xml:space="preserve"> = </w:t>
      </w:r>
      <w:proofErr w:type="spellStart"/>
      <w:r w:rsidRPr="4F6B3D90">
        <w:rPr>
          <w:rFonts w:eastAsia="DengXian"/>
          <w:i/>
          <w:iCs/>
          <w:color w:val="000000" w:themeColor="text1"/>
        </w:rPr>
        <w:t>λ</w:t>
      </w:r>
      <w:r w:rsidRPr="4F6B3D90">
        <w:rPr>
          <w:rFonts w:eastAsia="DengXian"/>
          <w:i/>
          <w:iCs/>
          <w:color w:val="000000" w:themeColor="text1"/>
          <w:vertAlign w:val="subscript"/>
        </w:rPr>
        <w:t>I</w:t>
      </w:r>
      <w:proofErr w:type="spellEnd"/>
      <w:r w:rsidRPr="4F6B3D90">
        <w:rPr>
          <w:rFonts w:eastAsia="DengXian"/>
          <w:color w:val="000000" w:themeColor="text1"/>
        </w:rPr>
        <w:t>/2</w:t>
      </w:r>
      <w:r w:rsidRPr="4F6B3D90">
        <w:rPr>
          <w:rFonts w:eastAsia="DengXian"/>
          <w:i/>
          <w:iCs/>
          <w:color w:val="000000" w:themeColor="text1"/>
        </w:rPr>
        <w:t>gμ</w:t>
      </w:r>
      <w:r w:rsidRPr="4F6B3D90">
        <w:rPr>
          <w:rFonts w:eastAsia="DengXian"/>
          <w:i/>
          <w:iCs/>
          <w:color w:val="000000" w:themeColor="text1"/>
          <w:vertAlign w:val="subscript"/>
        </w:rPr>
        <w:t>B</w:t>
      </w:r>
      <w:r>
        <w:t xml:space="preserve"> “locks” the spin</w:t>
      </w:r>
      <w:r w:rsidR="00765915">
        <w:rPr>
          <w:rFonts w:hint="eastAsia"/>
        </w:rPr>
        <w:t>s</w:t>
      </w:r>
      <w:r>
        <w:t xml:space="preserve"> to the out-of-plane direction. We can extract the Ising-SOC strength </w:t>
      </w:r>
      <w:proofErr w:type="spellStart"/>
      <w:r w:rsidRPr="4F6B3D90">
        <w:rPr>
          <w:rFonts w:eastAsia="DengXian"/>
          <w:i/>
          <w:iCs/>
          <w:color w:val="000000" w:themeColor="text1"/>
        </w:rPr>
        <w:t>λ</w:t>
      </w:r>
      <w:r w:rsidRPr="4F6B3D90">
        <w:rPr>
          <w:rFonts w:eastAsia="DengXian"/>
          <w:i/>
          <w:iCs/>
          <w:color w:val="000000" w:themeColor="text1"/>
          <w:vertAlign w:val="subscript"/>
        </w:rPr>
        <w:t>I</w:t>
      </w:r>
      <w:proofErr w:type="spellEnd"/>
      <w:r>
        <w:t xml:space="preserve"> ~ 0.6 meV by</w:t>
      </w:r>
      <w:r w:rsidRPr="4F6B3D90">
        <w:rPr>
          <w:color w:val="4471C4"/>
        </w:rPr>
        <w:t xml:space="preserve"> </w:t>
      </w:r>
      <w:r>
        <w:t xml:space="preserve">measuring the temperature dependence of SC4 at different </w:t>
      </w:r>
      <w:r w:rsidRPr="4F6B3D90">
        <w:rPr>
          <w:i/>
          <w:iCs/>
        </w:rPr>
        <w:t>B</w:t>
      </w:r>
      <w:r w:rsidRPr="4F6B3D90">
        <w:rPr>
          <w:vertAlign w:val="subscript"/>
        </w:rPr>
        <w:t>‖</w:t>
      </w:r>
      <w:r w:rsidRPr="4F6B3D90">
        <w:rPr>
          <w:color w:val="4471C4"/>
        </w:rPr>
        <w:t xml:space="preserve"> </w:t>
      </w:r>
      <w:r>
        <w:t xml:space="preserve">(see Extended Data </w:t>
      </w:r>
      <w:r w:rsidR="001F2EC5">
        <w:t>Fig</w:t>
      </w:r>
      <w:r w:rsidR="001F2EC5">
        <w:rPr>
          <w:rFonts w:hint="eastAsia"/>
        </w:rPr>
        <w:t>.</w:t>
      </w:r>
      <w:r w:rsidR="001F2EC5" w:rsidRPr="4F6B3D90">
        <w:rPr>
          <w:b/>
          <w:bCs/>
        </w:rPr>
        <w:t xml:space="preserve"> </w:t>
      </w:r>
      <w:r w:rsidR="00C124EB">
        <w:rPr>
          <w:rFonts w:hint="eastAsia"/>
        </w:rPr>
        <w:t>5</w:t>
      </w:r>
      <w:r>
        <w:t>), which is similar to previous results in TMD-proximitized graphene-based systems</w:t>
      </w:r>
      <w:r w:rsidR="4A8F77B3">
        <w:fldChar w:fldCharType="begin"/>
      </w:r>
      <w:r w:rsidR="00BF4618">
        <w:instrText xml:space="preserve"> ADDIN ZOTERO_ITEM CSL_CITATION {"citationID":"Uqi6DRAB","properties":{"formattedCitation":"\\super 18,19,28\\uc0\\u8211{}33\\nosupersub{}","plainCitation":"18,19,28–33","noteIndex":0},"citationItems":[{"id":1752,"uris":["http://zotero.org/users/5406744/items/5ITGK7BD"],"itemData":{"id":1752,"type":"article-journal","container-title":"Nature","DOI":"10.1038/s41586-022-05446-x","ISSN":"0028-0836, 1476-4687","issue":"7943","journalAbbreviation":"Nature","language":"en","page":"268-273","source":"DOI.org (Crossref)","title":"Enhanced superconductivity in spin–orbit proximitized bilayer graphene","volume":"613","author":[{"family":"Zhang","given":"Yiran"},{"family":"Polski","given":"Robert"},{"family":"Thomson","given":"Alex"},{"family":"Lantagne-Hurtubise","given":"Étienne"},{"family":"Lewandowski","given":"Cyprian"},{"family":"Zhou","given":"Haoxin"},{"family":"Watanabe","given":"Kenji"},{"family":"Taniguchi","given":"Takashi"},{"family":"Alicea","given":"Jason"},{"family":"Nadj-Perge","given":"Stevan"}],"issued":{"date-parts":[["2023",1,12]]}}},{"id":4319,"uris":["http://zotero.org/users/5406744/items/XZ6TC7XV"],"itemData":{"id":4319,"type":"article","abstract":"Superconductivity is a ubiquitous feature of graphite allotropes, having been observed in Bernal bilayers, rhombohedral trilayers, and a wide variety of angle-misaligned multilayers. Despite significant differences in the electronic structure across these systems, supporting the graphite layer on a WSe$_2$ substrate has been consistently observed to expand the range of superconductivity in carrier density and temperature. Here, we report the observation of two distinct superconducting states (denoted SC$_1$ and SC$_2$) in Bernal bilayer graphene with strong proximity-induced Ising spin-orbit coupling. Quantum oscillations show that while the normal state of SC$_1$ is consistent with the single-particle band structure, SC$_2$ emerges from a nematic normal state with broken rotational symmetry. Both superconductors are robust to in-plane magnetic fields, violating the paramagnetic limit as expected for spin-valley locked Ising superconductors. Our results show that the enhancement of superconductivity in WSe$_2$ supported graphite allotropes can be directly linked to Ising spin orbit coupling, which favors valley-balanced ground states with time-reversal symmetric Fermi surfaces friendly to superconducting pairing.","note":"arXiv:2303.00742 [cond-mat]","number":"arXiv:2303.00742","publisher":"arXiv","source":"arXiv.org","title":"Ising Superconductivity and Nematicity in Bernal Bilayer Graphene with Strong Spin Orbit Coupling","URL":"http://arxiv.org/abs/2303.00742","author":[{"family":"Holleis","given":"Ludwig"},{"family":"Patterson","given":"Caitlin L."},{"family":"Zhang","given":"Yiran"},{"family":"Yoo","given":"Heun Mo"},{"family":"Zhou","given":"Haoxin"},{"family":"Taniguchi","given":"Takashi"},{"family":"Watanabe","given":"Kenji"},{"family":"Nadj-Perge","given":"Stevan"},{"family":"Young","given":"Andrea F."}],"accessed":{"date-parts":[["2024",1,10]]},"issued":{"date-parts":[["2023",3,1]]}}},{"id":1475,"uris":["http://zotero.org/users/5406744/items/632CM8C7"],"itemData":{"id":1475,"type":"article-journal","abstract":"Spin–orbit coupling (SOC) is the key to realizing time-reversal-invariant topological phases of matter1,2. SOC was predicted by Kane and Mele3 to stabilize a quantum spin Hall insulator; however, the weak intrinsic SOC in monolayer graphene4–7 has precluded experimental observation in this material. Here we exploit a layer-selective proximity effect—achieved via a van der Waals contact with a semiconducting transition-metal dichalcogenide8–21—to engineer Kane–Mele SOC in ultra clean bilayer graphene. Using high-resolution capacitance measurements to probe the bulk electronic compressibility, we find that SOC leads to the formation of a distinct, incompressible, gapped phase at charge neutrality. The experimental data agree quantitatively with a simple theoretical model in which the new phase results from SOC-driven band inversion. In contrast to Kane–Mele SOC in monolayer graphene, the inverted phase is not expected to be a time-reversal-invariant topological insulator, despite being separated from conventional band insulators by electric-field-tuned phase transitions where crystal symmetry mandates that the bulk gap must close22. Our electrical transport measurements reveal that the inverted phase has a conductivity of approximately e2/h (where e is the electron charge and h Planck’s constant), which is suppressed by exceptionally small in-plane magnetic fields. The high conductivity and anomalous magnetoresistance are consistent with theoretical models that predict helical edge states within the inverted phase that are protected from backscattering by an emergent spin symmetry that remains robust even for large Rashba SOC. Our results pave the way for proximity engineering of strong topological insulators as well as correlated quantum phases in the strong spin–orbit regime in graphene heterostructures.","container-title":"Nature","DOI":"10.1038/s41586-019-1304-2","ISSN":"1476-4687","issue":"7763","language":"en","license":"2019 The Author(s), under exclusive licence to Springer Nature Limited","note":"number: 7763\npublisher: Nature Publishing Group","page":"85-89","source":"www.nature.com","title":"Spin–orbit-driven band inversion in bilayer graphene by the van der Waals proximity effect","volume":"571","author":[{"family":"Island","given":"J. O."},{"family":"Cui","given":"X."},{"family":"Lewandowski","given":"C."},{"family":"Khoo","given":"J. Y."},{"family":"Spanton","given":"E. M."},{"family":"Zhou","given":"H."},{"family":"Rhodes","given":"D."},{"family":"Hone","given":"J. C."},{"family":"Taniguchi","given":"T."},{"family":"Watanabe","given":"K."},{"family":"Levitov","given":"L. S."},{"family":"Zaletel","given":"M. P."},{"family":"Young","given":"A. F."}],"issued":{"date-parts":[["2019",7]]}}},{"id":1487,"uris":["http://zotero.org/users/5406744/items/T6B2NSB4"],"itemData":{"id":1487,"type":"article-journal","abstract":"We study proximity-induced spin–orbit coupling (SOC) in bilayer graphene/few-layer WSe2 heterostructure devices. Contact mode atomic force microscopy (AFM) cleaning yields ultraclean interfaces and high-mobility devices. In a perpendicular magnetic field, we measure the quantum Hall effect to determine the Landau level structure in the presence of out-of-plane Ising and in-plane Rashba SOC. A distinct Landau level crossing pattern emerges when tuning the charge density and displacement field independently with dual gates, originating from a layer-selective SOC proximity effect. Analyzing the Landau level crossings and measured inter-Landau level energy gaps yields the proximity-induced SOC energy scale. The Ising SOC is </w:instrText>
      </w:r>
      <w:r w:rsidR="00BF4618">
        <w:rPr>
          <w:rFonts w:ascii="Cambria Math" w:hAnsi="Cambria Math" w:cs="Cambria Math"/>
        </w:rPr>
        <w:instrText>∼</w:instrText>
      </w:r>
      <w:r w:rsidR="00BF4618">
        <w:instrText xml:space="preserve">2.2 meV, 100 times higher than the intrinsic SOC in graphene, whereas its sign is consistent with theories predicting a dependence of SOC on interlayer twist angle. The Rashba SOC is </w:instrText>
      </w:r>
      <w:r w:rsidR="00BF4618">
        <w:rPr>
          <w:rFonts w:ascii="Cambria Math" w:hAnsi="Cambria Math" w:cs="Cambria Math"/>
        </w:rPr>
        <w:instrText>∼</w:instrText>
      </w:r>
      <w:r w:rsidR="00BF4618">
        <w:instrText xml:space="preserve">15 meV. Finally, we infer the magnetic field dependence of the inter-Landau level Coulomb interactions. These ultraclean bilayer graphene/WSe2 heterostructures provide a high mobility system with the potential to realize novel topological electronic states and manipulate spins in nanostructures.","container-title":"Nano Letters","DOI":"10.1021/acs.nanolett.9b02445","ISSN":"1530-6984","issue":"10","journalAbbreviation":"Nano Lett.","note":"publisher: American Chemical Society","page":"7028-7034","source":"ACS Publications","title":"Quantum Hall Effect Measurement of Spin–Orbit Coupling Strengths in Ultraclean Bilayer Graphene/WSe2 Heterostructures","volume":"19","author":[{"family":"Wang","given":"Dongying"},{"family":"Che","given":"Shi"},{"family":"Cao","given":"Guixin"},{"family":"Lyu","given":"Rui"},{"family":"Watanabe","given":"Kenji"},{"family":"Taniguchi","given":"Takashi"},{"family":"Lau","given":"Chun Ning"},{"family":"Bockrath","given":"Marc"}],"issued":{"date-parts":[["2019",10,9]]}}},{"id":1498,"uris":["http://zotero.org/users/5406744/items/48QRZZ4D"],"itemData":{"id":1498,"type":"article-journal","container-title":"Physical Review B","DOI":"10.1103/PhysRevB.104.L201301","ISSN":"2469-9950, 2469-9969","issue":"20","journalAbbreviation":"Phys. Rev. B","language":"en","page":"L201301","source":"DOI.org (Crossref)","title":"Spin-orbit coupling and interactions in quantum Hall states of graphene/ WSe 2 heterobilayers","volume":"104","author":[{"family":"Wang","given":"Dongying"},{"family":"Karaki","given":"Mohammed"},{"family":"Mazzucca","given":"Nicholas"},{"family":"Tian","given":"Haidong"},{"family":"Cao","given":"Guixin"},{"family":"Lau","given":"ChunNing"},{"family":"Lu","given":"Yuan-Ming"},{"family":"Bockrath","given":"Marc"},{"family":"Watanabe","given":"Kenji"},{"family":"Taniguchi","given":"Takashi"}],"issued":{"date-parts":[["2021",11,19]]}}},{"id":1480,"uris":["http://zotero.org/users/5406744/items/LUP4RAB8"],"itemData":{"id":1480,"type":"article-journal","container-title":"Science","DOI":"10.1126/science.abh2889","issue":"6579","note":"publisher: American Association for the Advancement of Science","page":"437-441","source":"science.org (Atypon)","title":"Spin-orbit–driven ferromagnetism at half moiré filling in magic-angle twisted bilayer graphene","volume":"375","author":[{"family":"Lin","given":"Jiang-Xiazi"},{"family":"Zhang","given":"Ya-Hui"},{"family":"Morissette","given":"Erin"},{"family":"Wang","given":"Zhi"},{"family":"Liu","given":"Song"},{"family":"Rhodes","given":"Daniel"},{"family":"Watanabe","given":"K."},{"family":"Taniguchi","given":"T."},{"family":"Hone","given":"James"},{"family":"Li","given":"J. I. A."}],"issued":{"date-parts":[["2022",1,28]]}}},{"id":4496,"uris":["http://zotero.org/users/5406744/items/CIMXPG53"],"itemData":{"id":4496,"type":"article-journal","abstract":"We report a systematic study on strong enhancement of spin-orbit interaction (SOI) in graphene induced by transition-metal dichalcogenides (TMDs). Low-temperature magnetotoransport measurements of graphene proximitized to different TMDs (monolayer and bulk WSe2,WS2, and monolayer MoS2) all exhibit weak antilocalization peaks, a signature of strong SOI induced in graphene. The amplitudes of the induced SOI are different for different materials and thickness, and we find that monolayer WSe2 and WS2 can induce much stronger SOI than bulk WSe2,WS2, and monolayer MoS2. The estimated spin-orbit (SO) scattering strength for graphene/monolayer WSe2 and graphene/monolayer WS2 reaches </w:instrText>
      </w:r>
      <w:r w:rsidR="00BF4618">
        <w:rPr>
          <w:rFonts w:ascii="Cambria Math" w:hAnsi="Cambria Math" w:cs="Cambria Math"/>
        </w:rPr>
        <w:instrText>∼</w:instrText>
      </w:r>
      <w:r w:rsidR="00BF4618">
        <w:instrText xml:space="preserve">10 meV, whereas for graphene/bulk WSe2, graphene/bulk WS2, and graphene/monolayer MoS2, it is around 1 meV or less. We also discuss the symmetry and type of the induced SOI in detail, especially focusing on the identification of intrinsic (Kane-Mele) and valley-Zeeman (VZ) SOI by determining the dominant spin relaxation mechanism. Our findings pave the way for realizing the quantum spin Hall (QSH) state in graphene.","container-title":"Physical Review B","DOI":"10.1103/PhysRevB.99.245402","issue":"24","journalAbbreviation":"Phys. Rev. B","note":"publisher: American Physical Society","page":"245402","source":"APS","title":"Spin-orbit interaction induced in graphene by transition metal dichalcogenides","volume":"99","author":[{"family":"Wakamura","given":"T."},{"family":"Reale","given":"F."},{"family":"Palczynski","given":"P."},{"family":"Zhao","given":"M. Q."},{"family":"Johnson","given":"A. T. C."},{"family":"Guéron","given":"S."},{"family":"Mattevi","given":"C."},{"family":"Ouerghi","given":"A."},{"family":"Bouchiat","given":"H."}],"issued":{"date-parts":[["2019",6,4]]}}},{"id":4581,"uris":["http://zotero.org/users/5406744/items/ARBPU8UY"],"itemData":{"id":4581,"type":"article-journal","abstract":"Interfacial interactions allow the electronic properties of graphene to be modified, as recently demonstrated by the appearance of satellite Dirac cones in graphene on hexagonal boron nitride substrates. Ongoing research strives to explore interfacial interactions with other materials to engineer targeted electronic properties. Here we show that with a tungsten disulfide (WS2) substrate, the strength of the spin–orbit interaction (SOI) in graphene is very strongly enhanced. The induced SOI leads to a pronounced low-temperature weak anti-localization effect and to a spin-relaxation time two to three orders of magnitude smaller than in graphene on conventional substrates. To interpret our findings we have performed first-principle electronic structure calculations, which confirm that carriers in graphene on WS2 experience a strong SOI and allow us to extract a spin-dependent low-energy effective Hamiltonian. Our analysis shows that the use of WS2 substrates opens a possible new route to access topological states of matter in graphene-based systems.","container-title":"Nature Communications","DOI":"10.1038/ncomms9339","ISSN":"2041-1723","issue":"1","journalAbbreviation":"Nat Commun","language":"en","license":"2015 The Author(s)","note":"publisher: Nature Publishing Group","page":"8339","source":"www.nature.com","title":"Strong interface-induced spin–orbit interaction in graphene on WS2","volume":"6","author":[{"family":"Wang","given":"Zhe"},{"family":"Ki","given":"Dong-Keun"},{"family":"Chen","given":"Hua"},{"family":"Berger","given":"Helmuth"},{"family":"MacDonald","given":"Allan H."},{"family":"Morpurgo","given":"Alberto F."}],"issued":{"date-parts":[["2015",9,22]]}}}],"schema":"https://github.com/citation-style-language/schema/raw/master/csl-citation.json"} </w:instrText>
      </w:r>
      <w:r w:rsidR="4A8F77B3">
        <w:fldChar w:fldCharType="separate"/>
      </w:r>
      <w:r w:rsidR="00BF4618" w:rsidRPr="00BF4618">
        <w:rPr>
          <w:rFonts w:ascii="Calibri" w:hAnsi="Calibri" w:cs="Calibri"/>
          <w:kern w:val="0"/>
          <w:vertAlign w:val="superscript"/>
        </w:rPr>
        <w:t>18,19,28–33</w:t>
      </w:r>
      <w:r w:rsidR="4A8F77B3">
        <w:fldChar w:fldCharType="end"/>
      </w:r>
      <w:r>
        <w:t>.</w:t>
      </w:r>
    </w:p>
    <w:p w14:paraId="755841B0" w14:textId="0BB51F00" w:rsidR="002578CD" w:rsidRDefault="788BB32C" w:rsidP="4F6B3D90">
      <w:pPr>
        <w:ind w:firstLine="720"/>
        <w:jc w:val="both"/>
      </w:pPr>
      <w:r>
        <w:t xml:space="preserve">We further characterize SC4 by measuring the quantum oscillations of </w:t>
      </w:r>
      <w:r w:rsidRPr="788BB32C">
        <w:rPr>
          <w:i/>
          <w:iCs/>
        </w:rPr>
        <w:t>R</w:t>
      </w:r>
      <w:r w:rsidRPr="788BB32C">
        <w:rPr>
          <w:i/>
          <w:iCs/>
          <w:vertAlign w:val="subscript"/>
        </w:rPr>
        <w:t>xx</w:t>
      </w:r>
      <w:r>
        <w:t xml:space="preserve"> </w:t>
      </w:r>
      <w:r w:rsidR="00765915">
        <w:rPr>
          <w:rFonts w:hint="eastAsia"/>
        </w:rPr>
        <w:t>with</w:t>
      </w:r>
      <w:r w:rsidR="00765915">
        <w:t xml:space="preserve"> </w:t>
      </w:r>
      <w:r w:rsidRPr="788BB32C">
        <w:rPr>
          <w:i/>
          <w:iCs/>
        </w:rPr>
        <w:t>B</w:t>
      </w:r>
      <w:r w:rsidRPr="788BB32C">
        <w:rPr>
          <w:rFonts w:ascii="Cambria Math" w:hAnsi="Cambria Math" w:cs="Cambria Math"/>
          <w:vertAlign w:val="subscript"/>
        </w:rPr>
        <w:t>⊥</w:t>
      </w:r>
      <w:r>
        <w:t xml:space="preserve"> up to 1 T, as shown in Fig. 2g. </w:t>
      </w:r>
      <w:r w:rsidR="00765915">
        <w:rPr>
          <w:rFonts w:hint="eastAsia"/>
        </w:rPr>
        <w:t>We perform the fermiology</w:t>
      </w:r>
      <w:r w:rsidR="00765915">
        <w:fldChar w:fldCharType="begin"/>
      </w:r>
      <w:r w:rsidR="00BF4618">
        <w:instrText xml:space="preserve"> ADDIN ZOTERO_ITEM CSL_CITATION {"citationID":"3tIKLCS7","properties":{"formattedCitation":"\\super 4,34\\nosupersub{}","plainCitation":"4,34","noteIndex":0},"citationItems":[{"id":929,"uris":["http://zotero.org/users/5406744/items/KV725DTP"],"itemData":{"id":929,"type":"article-journal","abstract":"Ferromagnetism is most common in transition metal compounds where electrons occupy highly localized d orbitals. However, ferromagnetic order may also arise in low-density two-dimensional electron systems1–5. Here we show that gate-tuned van Hove singularities in rhombohedral trilayer graphene6 drive spontaneous ferromagnetic polarization of the electron system into one or more spin and valley flavours. Using capacitance and transport measurements, we observe a cascade of transitions tuned to the density and electronic displacement field between phases in which quantum oscillations have fourfold, twofold or onefold degeneracy, associated with a spin- and valley-degenerate normal metal, spin-polarized ‘half-metal’, and spin- and valley-polarized ‘quarter-metal’, respectively. For electron doping, the salient features of the data are well captured by a phenomenological Stoner model7 that includes valley-anisotropic interactions. For hole filling, we observe a richer phase diagram featuring a delicate interplay of broken symmetries and transitions in the Fermi surface topology. Finally, we introduce a moiré superlattice using a rotationally aligned hexagonal boron nitride substrate5,8. Remarkably, we find that the isospin order is only weakly perturbed, with the moiré potential catalysing the formation of topologically nontrivial gapped states whenever itinerant half- or quarter-metal states occur at half- or quarter-superlattice band filling. Our results show that rhombohedral graphene is an ideal platform for well-controlled tests of many-body theory, and reveal magnetism in moiré materials4,5,9,10 to be fundamentally itinerant in nature.","container-title":"Nature","DOI":"10.1038/s41586-021-03938-w","ISSN":"1476-4687","issue":"7881","language":"en","license":"2021 The Author(s), under exclusive licence to Springer Nature Limited","note":"number: 7881\npublisher: Nature Publishing Group","page":"429-433","source":"www.nature.com","title":"Half- and quarter-metals in rhombohedral trilayer graphene","volume":"598","author":[{"family":"Zhou","given":"Haoxin"},{"family":"Xie","given":"Tian"},{"family":"Ghazaryan","given":"Areg"},{"family":"Holder","given":"Tobias"},{"family":"Ehrets","given":"James R."},{"family":"Spanton","given":"Eric M."},{"family":"Taniguchi","given":"Takashi"},{"family":"Watanabe","given":"Kenji"},{"family":"Berg","given":"Erez"},{"family":"Serbyn","given":"Maksym"},{"family":"Young","given":"Andrea F."}],"issued":{"date-parts":[["2021",10]]}}},{"id":1114,"uris":["http://zotero.org/users/5406744/items/UMV82UXR"],"itemData":{"id":1114,"type":"article-journal","abstract":"Emergent phenomena arising from the collective behaviour of electrons is expected when Coulomb interactions dominate over the kinetic energy, and one way to create this situation is to reduce the electronic bandwidth. Bernal-stacked bilayer graphene intrinsically supports saddle points in the band structure that are predicted to host a variety of spontaneous symmetry-broken states1–7. Here we show that bilayer graphene displays a cascade of symmetry-broken states with spontaneous spin and valley isospin ordering at zero magnetic field. We independently tune the carrier density and electric displacement field to explore the phase space of isospin order. Itinerant ferromagnetic states emerge near the conduction and valence band edges with complete spin and valley polarization. At larger hole densities, twofold degenerate quantum oscillations manifest in an additional symmetry-broken state that is enhanced by the application of an in-plane magnetic field. Both symmetry-broken states display enhanced layer polarization, suggesting a coupling to the layer degree of freedom1,7. These states occur in the absence of a moiré superlattice and are intrinsic to natural graphene bilayers. Therefore, we demonstrate that bilayer graphene represents a related but distinct approach to produce collective behaviour from flat dispersion, complementary to engineered moiré structures.","container-title":"Nature Physics","DOI":"10.1038/s41567-022-01616-w","ISSN":"1745-2481","journalAbbreviation":"Nat. Phys.","language":"en","license":"2022 The Author(s), under exclusive licence to Springer Nature Limited","note":"publisher: Nature Publishing Group","page":"1-5","source":"www.nature.com","title":"Cascade of isospin phase transitions in Bernal-stacked bilayer graphene at zero magnetic field","author":[{"family":"Barrera","given":"Sergio C.","non-dropping-particle":"de la"},{"family":"Aronson","given":"Samuel"},{"family":"Zheng","given":"Zhiren"},{"family":"Watanabe","given":"Kenji"},{"family":"Taniguchi","given":"Takashi"},{"family":"Ma","given":"Qiong"},{"family":"Jarillo-Herrero","given":"Pablo"},{"family":"Ashoori","given":"Raymond"}],"issued":{"date-parts":[["2022",6,2]]}}}],"schema":"https://github.com/citation-style-language/schema/raw/master/csl-citation.json"} </w:instrText>
      </w:r>
      <w:r w:rsidR="00765915">
        <w:fldChar w:fldCharType="separate"/>
      </w:r>
      <w:r w:rsidR="00BF4618" w:rsidRPr="00BF4618">
        <w:rPr>
          <w:rFonts w:ascii="Calibri" w:hAnsi="Calibri" w:cs="Calibri"/>
          <w:kern w:val="0"/>
          <w:vertAlign w:val="superscript"/>
        </w:rPr>
        <w:t>4,34</w:t>
      </w:r>
      <w:r w:rsidR="00765915">
        <w:fldChar w:fldCharType="end"/>
      </w:r>
      <w:r w:rsidR="00765915">
        <w:rPr>
          <w:rFonts w:hint="eastAsia"/>
        </w:rPr>
        <w:t xml:space="preserve"> analysis in </w:t>
      </w:r>
      <w:r>
        <w:t>Fig</w:t>
      </w:r>
      <w:r w:rsidR="00765915">
        <w:rPr>
          <w:rFonts w:hint="eastAsia"/>
        </w:rPr>
        <w:t>.</w:t>
      </w:r>
      <w:r w:rsidR="00AC4DB4">
        <w:rPr>
          <w:rFonts w:hint="eastAsia"/>
        </w:rPr>
        <w:t xml:space="preserve"> </w:t>
      </w:r>
      <w:r>
        <w:t>2h</w:t>
      </w:r>
      <w:r w:rsidR="00765915">
        <w:rPr>
          <w:rFonts w:hint="eastAsia"/>
        </w:rPr>
        <w:t>, which</w:t>
      </w:r>
      <w:r>
        <w:t xml:space="preserve"> shows the fast Fourier-Transform (FFT) amplitude of </w:t>
      </w:r>
      <w:r w:rsidRPr="788BB32C">
        <w:rPr>
          <w:i/>
          <w:iCs/>
        </w:rPr>
        <w:t>R</w:t>
      </w:r>
      <w:r w:rsidRPr="788BB32C">
        <w:rPr>
          <w:i/>
          <w:iCs/>
          <w:vertAlign w:val="subscript"/>
        </w:rPr>
        <w:t>xx</w:t>
      </w:r>
      <w:r>
        <w:t>(1/</w:t>
      </w:r>
      <w:r w:rsidRPr="788BB32C">
        <w:rPr>
          <w:i/>
          <w:iCs/>
        </w:rPr>
        <w:t>B</w:t>
      </w:r>
      <w:r w:rsidRPr="788BB32C">
        <w:rPr>
          <w:rFonts w:ascii="Cambria Math" w:hAnsi="Cambria Math" w:cs="Cambria Math"/>
          <w:vertAlign w:val="subscript"/>
        </w:rPr>
        <w:t>⊥</w:t>
      </w:r>
      <w:r>
        <w:t xml:space="preserve">), as a function of the normalized frequency </w:t>
      </w:r>
      <w:proofErr w:type="spellStart"/>
      <w:r w:rsidRPr="788BB32C">
        <w:rPr>
          <w:i/>
          <w:iCs/>
        </w:rPr>
        <w:t>f</w:t>
      </w:r>
      <w:r w:rsidRPr="788BB32C">
        <w:rPr>
          <w:rFonts w:eastAsia="DengXian"/>
          <w:i/>
          <w:iCs/>
          <w:vertAlign w:val="subscript"/>
        </w:rPr>
        <w:t>ν</w:t>
      </w:r>
      <w:proofErr w:type="spellEnd"/>
      <w:r>
        <w:t xml:space="preserve"> = </w:t>
      </w:r>
      <w:r w:rsidRPr="788BB32C">
        <w:rPr>
          <w:i/>
          <w:iCs/>
        </w:rPr>
        <w:t>f</w:t>
      </w:r>
      <w:r w:rsidRPr="788BB32C">
        <w:rPr>
          <w:vertAlign w:val="subscript"/>
        </w:rPr>
        <w:t>1/</w:t>
      </w:r>
      <w:r w:rsidRPr="788BB32C">
        <w:rPr>
          <w:i/>
          <w:iCs/>
          <w:vertAlign w:val="subscript"/>
        </w:rPr>
        <w:t>B</w:t>
      </w:r>
      <w:r>
        <w:t>/</w:t>
      </w:r>
      <w:r w:rsidRPr="788BB32C">
        <w:rPr>
          <w:rFonts w:eastAsia="DengXian"/>
          <w:i/>
          <w:iCs/>
        </w:rPr>
        <w:t>Ф</w:t>
      </w:r>
      <w:r w:rsidRPr="788BB32C">
        <w:rPr>
          <w:rFonts w:eastAsia="DengXian"/>
          <w:vertAlign w:val="subscript"/>
        </w:rPr>
        <w:t>0</w:t>
      </w:r>
      <w:r w:rsidRPr="788BB32C">
        <w:rPr>
          <w:rFonts w:eastAsia="DengXian"/>
          <w:i/>
          <w:iCs/>
        </w:rPr>
        <w:t>n</w:t>
      </w:r>
      <w:r w:rsidRPr="788BB32C">
        <w:rPr>
          <w:rFonts w:eastAsia="DengXian"/>
          <w:i/>
          <w:iCs/>
          <w:vertAlign w:val="subscript"/>
        </w:rPr>
        <w:t>e</w:t>
      </w:r>
      <w:r w:rsidRPr="788BB32C">
        <w:rPr>
          <w:rFonts w:eastAsia="DengXian"/>
          <w:i/>
          <w:iCs/>
        </w:rPr>
        <w:t xml:space="preserve"> </w:t>
      </w:r>
      <w:r>
        <w:t xml:space="preserve">and displacement field </w:t>
      </w:r>
      <w:r w:rsidRPr="788BB32C">
        <w:rPr>
          <w:i/>
          <w:iCs/>
        </w:rPr>
        <w:t>D</w:t>
      </w:r>
      <w:r>
        <w:t xml:space="preserve">, measured at </w:t>
      </w:r>
      <w:r w:rsidRPr="788BB32C">
        <w:rPr>
          <w:i/>
          <w:iCs/>
        </w:rPr>
        <w:t>n</w:t>
      </w:r>
      <w:r>
        <w:t xml:space="preserve"> = -0.76×10</w:t>
      </w:r>
      <w:r w:rsidRPr="788BB32C">
        <w:rPr>
          <w:vertAlign w:val="superscript"/>
        </w:rPr>
        <w:t>12</w:t>
      </w:r>
      <w:r>
        <w:t xml:space="preserve"> cm</w:t>
      </w:r>
      <w:r w:rsidRPr="788BB32C">
        <w:rPr>
          <w:vertAlign w:val="superscript"/>
        </w:rPr>
        <w:t>-2</w:t>
      </w:r>
      <w:r>
        <w:t xml:space="preserve"> (corresponding to the orange </w:t>
      </w:r>
      <w:r>
        <w:lastRenderedPageBreak/>
        <w:t xml:space="preserve">dash line in Fig. 2a). The white arrow marks the corresponding </w:t>
      </w:r>
      <w:r w:rsidRPr="788BB32C">
        <w:rPr>
          <w:i/>
          <w:iCs/>
        </w:rPr>
        <w:t>D</w:t>
      </w:r>
      <w:r>
        <w:t xml:space="preserve">-range where SC4 exists at </w:t>
      </w:r>
      <w:r w:rsidRPr="788BB32C">
        <w:rPr>
          <w:i/>
          <w:iCs/>
        </w:rPr>
        <w:t>B</w:t>
      </w:r>
      <w:r>
        <w:t xml:space="preserve">=0 T. Separated by the grey dash </w:t>
      </w:r>
      <w:proofErr w:type="gramStart"/>
      <w:r>
        <w:t>line,</w:t>
      </w:r>
      <w:proofErr w:type="gramEnd"/>
      <w:r>
        <w:t xml:space="preserve"> we can clearly resolve two different phases in Fig. 2h with different FFT spectra. At large |</w:t>
      </w:r>
      <w:r w:rsidRPr="788BB32C">
        <w:rPr>
          <w:i/>
          <w:iCs/>
        </w:rPr>
        <w:t>D</w:t>
      </w:r>
      <w:r>
        <w:t xml:space="preserve">|, there is one single frequency </w:t>
      </w:r>
      <w:proofErr w:type="spellStart"/>
      <w:r w:rsidRPr="788BB32C">
        <w:rPr>
          <w:i/>
          <w:iCs/>
        </w:rPr>
        <w:t>f</w:t>
      </w:r>
      <w:r w:rsidRPr="788BB32C">
        <w:rPr>
          <w:rFonts w:eastAsia="DengXian"/>
          <w:i/>
          <w:iCs/>
          <w:vertAlign w:val="subscript"/>
        </w:rPr>
        <w:t>ν</w:t>
      </w:r>
      <w:proofErr w:type="spellEnd"/>
      <w:r>
        <w:t xml:space="preserve"> = 1/2. At small |</w:t>
      </w:r>
      <w:r w:rsidRPr="788BB32C">
        <w:rPr>
          <w:i/>
          <w:iCs/>
        </w:rPr>
        <w:t>D</w:t>
      </w:r>
      <w:r>
        <w:t xml:space="preserve">|, there are two frequencies </w:t>
      </w:r>
      <w:r w:rsidRPr="788BB32C">
        <w:rPr>
          <w:i/>
          <w:iCs/>
        </w:rPr>
        <w:t>f</w:t>
      </w:r>
      <w:r w:rsidRPr="788BB32C">
        <w:rPr>
          <w:i/>
          <w:iCs/>
          <w:vertAlign w:val="subscript"/>
        </w:rPr>
        <w:t>1</w:t>
      </w:r>
      <w:r>
        <w:t xml:space="preserve"> and </w:t>
      </w:r>
      <w:r w:rsidRPr="788BB32C">
        <w:rPr>
          <w:i/>
          <w:iCs/>
        </w:rPr>
        <w:t>f</w:t>
      </w:r>
      <w:r w:rsidRPr="788BB32C">
        <w:rPr>
          <w:i/>
          <w:iCs/>
          <w:vertAlign w:val="subscript"/>
        </w:rPr>
        <w:t xml:space="preserve">2 </w:t>
      </w:r>
      <w:r>
        <w:t>that add up to 1/2 (</w:t>
      </w:r>
      <w:r w:rsidR="009006BC">
        <w:rPr>
          <w:rFonts w:hint="eastAsia"/>
        </w:rPr>
        <w:t>s</w:t>
      </w:r>
      <w:r>
        <w:t xml:space="preserve">ee Extended Data Fig. </w:t>
      </w:r>
      <w:r w:rsidR="00C124EB">
        <w:rPr>
          <w:rFonts w:hint="eastAsia"/>
        </w:rPr>
        <w:t>6</w:t>
      </w:r>
      <w:r w:rsidR="001F2EC5">
        <w:rPr>
          <w:rFonts w:hint="eastAsia"/>
        </w:rPr>
        <w:t>d</w:t>
      </w:r>
      <w:r>
        <w:t>)</w:t>
      </w:r>
      <w:r w:rsidR="009006BC">
        <w:rPr>
          <w:rFonts w:hint="eastAsia"/>
        </w:rPr>
        <w:t>.</w:t>
      </w:r>
    </w:p>
    <w:p w14:paraId="3E049B10" w14:textId="23739CCE" w:rsidR="003D6F1C" w:rsidRPr="009B245F" w:rsidRDefault="788BB32C" w:rsidP="00CC20E7">
      <w:pPr>
        <w:ind w:firstLine="720"/>
        <w:jc w:val="both"/>
      </w:pPr>
      <w:r>
        <w:t>The phase at large |</w:t>
      </w:r>
      <w:r w:rsidRPr="788BB32C">
        <w:rPr>
          <w:i/>
          <w:iCs/>
        </w:rPr>
        <w:t>D</w:t>
      </w:r>
      <w:r>
        <w:t>| with a single</w:t>
      </w:r>
      <w:r w:rsidR="0000175C">
        <w:rPr>
          <w:rFonts w:hint="eastAsia"/>
        </w:rPr>
        <w:t xml:space="preserve"> frequency</w:t>
      </w:r>
      <w:r>
        <w:t xml:space="preserve"> </w:t>
      </w:r>
      <w:proofErr w:type="spellStart"/>
      <w:r w:rsidRPr="788BB32C">
        <w:rPr>
          <w:i/>
          <w:iCs/>
        </w:rPr>
        <w:t>f</w:t>
      </w:r>
      <w:r w:rsidRPr="788BB32C">
        <w:rPr>
          <w:rFonts w:eastAsia="DengXian"/>
          <w:i/>
          <w:iCs/>
          <w:vertAlign w:val="subscript"/>
        </w:rPr>
        <w:t>ν</w:t>
      </w:r>
      <w:proofErr w:type="spellEnd"/>
      <w:r>
        <w:t xml:space="preserve"> = 1/2 corresponds to the half-metal (HM) phase where two out of four isospin flavors are populated, as illustrated in Fig. 2i. This is similar to RTG without TMD</w:t>
      </w:r>
      <w:r w:rsidR="009E2E15">
        <w:fldChar w:fldCharType="begin"/>
      </w:r>
      <w:r w:rsidR="00FF03F1">
        <w:instrText xml:space="preserve"> ADDIN ZOTERO_ITEM CSL_CITATION {"citationID":"ddb9Nojh","properties":{"formattedCitation":"\\super 4,5\\nosupersub{}","plainCitation":"4,5","noteIndex":0},"citationItems":[{"id":929,"uris":["http://zotero.org/users/5406744/items/KV725DTP"],"itemData":{"id":929,"type":"article-journal","abstract":"Ferromagnetism is most common in transition metal compounds where electrons occupy highly localized d orbitals. However, ferromagnetic order may also arise in low-density two-dimensional electron systems1–5. Here we show that gate-tuned van Hove singularities in rhombohedral trilayer graphene6 drive spontaneous ferromagnetic polarization of the electron system into one or more spin and valley flavours. Using capacitance and transport measurements, we observe a cascade of transitions tuned to the density and electronic displacement field between phases in which quantum oscillations have fourfold, twofold or onefold degeneracy, associated with a spin- and valley-degenerate normal metal, spin-polarized ‘half-metal’, and spin- and valley-polarized ‘quarter-metal’, respectively. For electron doping, the salient features of the data are well captured by a phenomenological Stoner model7 that includes valley-anisotropic interactions. For hole filling, we observe a richer phase diagram featuring a delicate interplay of broken symmetries and transitions in the Fermi surface topology. Finally, we introduce a moiré superlattice using a rotationally aligned hexagonal boron nitride substrate5,8. Remarkably, we find that the isospin order is only weakly perturbed, with the moiré potential catalysing the formation of topologically nontrivial gapped states whenever itinerant half- or quarter-metal states occur at half- or quarter-superlattice band filling. Our results show that rhombohedral graphene is an ideal platform for well-controlled tests of many-body theory, and reveal magnetism in moiré materials4,5,9,10 to be fundamentally itinerant in nature.","container-title":"Nature","DOI":"10.1038/s41586-021-03938-w","ISSN":"1476-4687","issue":"7881","language":"en","license":"2021 The Author(s), under exclusive licence to Springer Nature Limited","note":"number: 7881\npublisher: Nature Publishing Group","page":"429-433","source":"www.nature.com","title":"Half- and quarter-metals in rhombohedral trilayer graphene","volume":"598","author":[{"family":"Zhou","given":"Haoxin"},{"family":"Xie","given":"Tian"},{"family":"Ghazaryan","given":"Areg"},{"family":"Holder","given":"Tobias"},{"family":"Ehrets","given":"James R."},{"family":"Spanton","given":"Eric M."},{"family":"Taniguchi","given":"Takashi"},{"family":"Watanabe","given":"Kenji"},{"family":"Berg","given":"Erez"},{"family":"Serbyn","given":"Maksym"},{"family":"Young","given":"Andrea F."}],"issued":{"date-parts":[["2021",10]]}}},{"id":3770,"uris":["http://zotero.org/users/5406744/items/527RMQ9V"],"itemData":{"id":3770,"type":"article-journal","abstract":"To access superconductivity via the electric field effect in a clean, two-dimensional device is a central goal of nanoelectronics. Recently, superconductivity has been realized in graphene moiré heterostructures1–4; however, many of these structures are not mechanically stable, and experiments show signatures of strong disorder. Here we report the observation of superconductivity—manifesting as low or vanishing resistivity at sub-kelvin temperatures—in crystalline rhombohedral trilayer graphene5,6, a structurally metastable carbon allotrope. Superconductivity occurs in two distinct gate-tuned regions (SC1 and SC2), and is deep in the clean limit defined by the ratio of mean free path and superconducting coherence length. Mapping of the normal state Fermi surfaces by quantum oscillations reveals that both superconductors emerge from an annular Fermi sea, and are proximal to an isospin-symmetry-breaking transition where the Fermi surface degeneracy changes7. SC1 emerges from a paramagnetic normal state, whereas SC2 emerges from a spin-polarized, valley-unpolarized half-metal17 and violates the Pauli limit for in-plane magnetic fields by at least one order of magnitude8,9. We discuss our results in view of several mechanisms, including conventional phonon-mediated pairing10,11, pairing due to fluctuations of the proximal isospin order12, and intrinsic instabilities of the annular Fermi liquid13,14. Our observation of superconductivity in a clean and structurally simple two-dimensional metal provides a model system to test competing theoretical models of superconductivity without the complication of modelling disorder, while enabling new classes of field-effect controlled electronic devices based on correlated electron phenomena and ballistic electron transport.","container-title":"Nature","DOI":"10.1038/s41586-021-03926-0","ISSN":"1476-4687","issue":"7881","language":"en","license":"2021 The Author(s), under exclusive licence to Springer Nature Limited","note":"number: 7881\npublisher: Nature Publishing Group","page":"434-438","source":"www.nature.com","title":"Superconductivity in rhombohedral trilayer graphene","volume":"598","author":[{"family":"Zhou","given":"Haoxin"},{"family":"Xie","given":"Tian"},{"family":"Taniguchi","given":"Takashi"},{"family":"Watanabe","given":"Kenji"},{"family":"Young","given":"Andrea F."}],"issued":{"date-parts":[["2021",10]]}}}],"schema":"https://github.com/citation-style-language/schema/raw/master/csl-citation.json"} </w:instrText>
      </w:r>
      <w:r w:rsidR="009E2E15">
        <w:fldChar w:fldCharType="separate"/>
      </w:r>
      <w:r w:rsidR="00FF03F1" w:rsidRPr="00FF03F1">
        <w:rPr>
          <w:rFonts w:ascii="Calibri" w:hAnsi="Calibri" w:cs="Calibri"/>
          <w:kern w:val="0"/>
          <w:vertAlign w:val="superscript"/>
        </w:rPr>
        <w:t>4,5</w:t>
      </w:r>
      <w:r w:rsidR="009E2E15">
        <w:fldChar w:fldCharType="end"/>
      </w:r>
      <w:r>
        <w:t xml:space="preserve">. The phase at </w:t>
      </w:r>
      <w:r w:rsidR="00CB4225">
        <w:rPr>
          <w:rFonts w:hint="eastAsia"/>
        </w:rPr>
        <w:t>small</w:t>
      </w:r>
      <w:r w:rsidR="00CB4225">
        <w:t xml:space="preserve"> </w:t>
      </w:r>
      <w:r>
        <w:t>|</w:t>
      </w:r>
      <w:r w:rsidRPr="788BB32C">
        <w:rPr>
          <w:i/>
          <w:iCs/>
        </w:rPr>
        <w:t>D</w:t>
      </w:r>
      <w:r>
        <w:t xml:space="preserve">| features a partially-isospin-polarization (PIP) and small populations of the other two isospin flavors. </w:t>
      </w:r>
      <w:r w:rsidR="001D12A0">
        <w:rPr>
          <w:rFonts w:hint="eastAsia"/>
        </w:rPr>
        <w:t xml:space="preserve">Specifically, we have </w:t>
      </w:r>
      <w:r w:rsidR="001D12A0" w:rsidRPr="788BB32C">
        <w:rPr>
          <w:i/>
          <w:iCs/>
        </w:rPr>
        <w:t>f</w:t>
      </w:r>
      <w:r w:rsidR="001D12A0" w:rsidRPr="788BB32C">
        <w:rPr>
          <w:i/>
          <w:iCs/>
          <w:vertAlign w:val="subscript"/>
        </w:rPr>
        <w:t>1</w:t>
      </w:r>
      <w:r w:rsidR="001D12A0" w:rsidRPr="00FE6D9C">
        <w:rPr>
          <w:rFonts w:hint="eastAsia"/>
        </w:rPr>
        <w:t>+</w:t>
      </w:r>
      <w:r w:rsidR="001D12A0" w:rsidRPr="00FE6D9C">
        <w:rPr>
          <w:rFonts w:hint="eastAsia"/>
          <w:i/>
          <w:iCs/>
        </w:rPr>
        <w:t>f</w:t>
      </w:r>
      <w:r w:rsidR="001D12A0" w:rsidRPr="00FE6D9C">
        <w:rPr>
          <w:rFonts w:hint="eastAsia"/>
          <w:i/>
          <w:iCs/>
          <w:vertAlign w:val="subscript"/>
        </w:rPr>
        <w:t>2</w:t>
      </w:r>
      <w:r w:rsidR="001D12A0">
        <w:rPr>
          <w:rFonts w:hint="eastAsia"/>
        </w:rPr>
        <w:t xml:space="preserve"> = 1/2 instead of 3</w:t>
      </w:r>
      <w:r w:rsidR="001D12A0" w:rsidRPr="6312E694">
        <w:t>×</w:t>
      </w:r>
      <w:r w:rsidR="001D12A0" w:rsidRPr="788BB32C">
        <w:rPr>
          <w:i/>
          <w:iCs/>
        </w:rPr>
        <w:t>f</w:t>
      </w:r>
      <w:r w:rsidR="001D12A0" w:rsidRPr="788BB32C">
        <w:rPr>
          <w:i/>
          <w:iCs/>
          <w:vertAlign w:val="subscript"/>
        </w:rPr>
        <w:t>1</w:t>
      </w:r>
      <w:r w:rsidR="001D12A0" w:rsidRPr="00AC4DB4">
        <w:t>+</w:t>
      </w:r>
      <w:r w:rsidR="001D12A0" w:rsidRPr="00AC4DB4">
        <w:rPr>
          <w:i/>
          <w:iCs/>
        </w:rPr>
        <w:t>f</w:t>
      </w:r>
      <w:r w:rsidR="001D12A0" w:rsidRPr="00AC4DB4">
        <w:rPr>
          <w:i/>
          <w:iCs/>
          <w:vertAlign w:val="subscript"/>
        </w:rPr>
        <w:t>2</w:t>
      </w:r>
      <w:r w:rsidR="001D12A0">
        <w:rPr>
          <w:rFonts w:hint="eastAsia"/>
        </w:rPr>
        <w:t xml:space="preserve"> = 1/2,</w:t>
      </w:r>
      <w:r>
        <w:t xml:space="preserve"> strongly suggest</w:t>
      </w:r>
      <w:r w:rsidR="00D87778">
        <w:rPr>
          <w:rFonts w:hint="eastAsia"/>
        </w:rPr>
        <w:t>ing</w:t>
      </w:r>
      <w:r>
        <w:t xml:space="preserve"> a nematic phase</w:t>
      </w:r>
      <w:r w:rsidR="4A8F77B3">
        <w:fldChar w:fldCharType="begin"/>
      </w:r>
      <w:r w:rsidR="00BF4618">
        <w:instrText xml:space="preserve"> ADDIN ZOTERO_ITEM CSL_CITATION {"citationID":"Ge1zB25N","properties":{"formattedCitation":"\\super 18\\uc0\\u8211{}20,35\\nosupersub{}","plainCitation":"18–20,35","noteIndex":0},"citationItems":[{"id":1752,"uris":["http://zotero.org/users/5406744/items/5ITGK7BD"],"itemData":{"id":1752,"type":"article-journal","container-title":"Nature","DOI":"10.1038/s41586-022-05446-x","ISSN":"0028-0836, 1476-4687","issue":"7943","journalAbbreviation":"Nature","language":"en","page":"268-273","source":"DOI.org (Crossref)","title":"Enhanced superconductivity in spin–orbit proximitized bilayer graphene","volume":"613","author":[{"family":"Zhang","given":"Yiran"},{"family":"Polski","given":"Robert"},{"family":"Thomson","given":"Alex"},{"family":"Lantagne-Hurtubise","given":"Étienne"},{"family":"Lewandowski","given":"Cyprian"},{"family":"Zhou","given":"Haoxin"},{"family":"Watanabe","given":"Kenji"},{"family":"Taniguchi","given":"Takashi"},{"family":"Alicea","given":"Jason"},{"family":"Nadj-Perge","given":"Stevan"}],"issued":{"date-parts":[["2023",1,12]]}}},{"id":4319,"uris":["http://zotero.org/users/5406744/items/XZ6TC7XV"],"itemData":{"id":4319,"type":"article","abstract":"Superconductivity is a ubiquitous feature of graphite allotropes, having been observed in Bernal bilayers, rhombohedral trilayers, and a wide variety of angle-misaligned multilayers. Despite significant differences in the electronic structure across these systems, supporting the graphite layer on a WSe$_2$ substrate has been consistently observed to expand the range of superconductivity in carrier density and temperature. Here, we report the observation of two distinct superconducting states (denoted SC$_1$ and SC$_2$) in Bernal bilayer graphene with strong proximity-induced Ising spin-orbit coupling. Quantum oscillations show that while the normal state of SC$_1$ is consistent with the single-particle band structure, SC$_2$ emerges from a nematic normal state with broken rotational symmetry. Both superconductors are robust to in-plane magnetic fields, violating the paramagnetic limit as expected for spin-valley locked Ising superconductors. Our results show that the enhancement of superconductivity in WSe$_2$ supported graphite allotropes can be directly linked to Ising spin orbit coupling, which favors valley-balanced ground states with time-reversal symmetric Fermi surfaces friendly to superconducting pairing.","note":"arXiv:2303.00742 [cond-mat]","number":"arXiv:2303.00742","publisher":"arXiv","source":"arXiv.org","title":"Ising Superconductivity and Nematicity in Bernal Bilayer Graphene with Strong Spin Orbit Coupling","URL":"http://arxiv.org/abs/2303.00742","author":[{"family":"Holleis","given":"Ludwig"},{"family":"Patterson","given":"Caitlin L."},{"family":"Zhang","given":"Yiran"},{"family":"Yoo","given":"Heun Mo"},{"family":"Zhou","given":"Haoxin"},{"family":"Taniguchi","given":"Takashi"},{"family":"Watanabe","given":"Kenji"},{"family":"Nadj-Perge","given":"Stevan"},{"family":"Young","given":"Andrea F."}],"accessed":{"date-parts":[["2024",1,10]]},"issued":{"date-parts":[["2023",3,1]]}}},{"id":4721,"uris":["http://zotero.org/users/5406744/items/BB4QM5H2"],"itemData":{"id":4721,"type":"article","abstract":"The relative twist angle between layers of near-lattice-matched van der Waals materials is critical for the emergent correlated phenomena associated with moire flat bands. However, the concept of angle rotation control is not exclusive to moir\\'e superlattices in which electrons directly experience a twist-angle-dependent periodic potential. Instead, it can also be employed to induce programmable symmetry-breaking perturbations with the goal of stabilizing desired correlated states. Here, we experimentally demonstrate `moireless' twist-tuning of superconductivity together with other correlated orders in Bernal bilayer graphene proximitized by tungsten diselenide. The alignment between the two materials systematically controls the strength of the induced Ising spin-orbit coupling (SOC), profoundly altering the phase diagram. As Ising SOC is increased, superconductivity onsets at a higher displacement field and features a higher critical temperature, reaching up to 0.5K. Within the main superconducting dome and in the strong Ising SOC limit, we find an unusual phase transition characterized by a nematic redistribution of holes among trigonally warped Fermi pockets and enhanced resilience to in-plane magnetic fields. The behavior of the superconducting phase is well captured by our theoretical model, which emphasizes the role of interband interactions between Fermi pockets arising due to interaction-enhanced symmetry breaking. Moreover, we identify two additional superconducting regions, one of which descends from an inter-valley coherent normal state and exhibits a Pauli-limit violation ratio exceeding 40, among the highest for all known superconductors. Our results provide new insights into ultra-clean graphene-based superconductors and underscore the potential of utilizing moireless-twist engineering across a range of van der Waals heterostructures.","DOI":"10.48550/arXiv.2408.10335","note":"arXiv:2408.10335 [cond-mat]","number":"arXiv:2408.10335","publisher":"arXiv","source":"arXiv.org","title":"Twist-Programmable Superconductivity in Spin-Orbit Coupled Bilayer Graphene","URL":"http://arxiv.org/abs/2408.10335","author":[{"family":"Zhang","given":"Yiran"},{"family":"Shavit","given":"Gal"},{"family":"Ma","given":"Huiyang"},{"family":"Han","given":"Youngjoon"},{"family":"Watanabe","given":"Kenji"},{"family":"Taniguchi","given":"Takashi"},{"family":"Hsieh","given":"David"},{"family":"Lewandowski","given":"Cyprian"},{"family":"Oppen","given":"Felix","non-dropping-particle":"von"},{"family":"Oreg","given":"Yuval"},{"family":"Nadj-Perge","given":"Stevan"}],"accessed":{"date-parts":[["2024",8,27]]},"issued":{"date-parts":[["2024",8,19]]}}},{"id":3753,"uris":["http://zotero.org/users/5406744/items/3PDJ5PKD"],"itemData":{"id":3753,"type":"article-journal","abstract":"Strongly interacting electrons in solid-state systems often display multiple broken symmetries in the ground state. The interplay between different order parameters can give rise to a rich phase diagram. We report on the identification of intertwined phases with broken rotational symmetry in magic-angle twisted bilayer graphene (TBG). Using transverse resistance measurements, we find a strongly anisotropic phase located in a “wedge” above the underdoped region of the superconducting dome. Upon its crossing with the superconducting dome, a reduction of the critical temperature is observed. Furthermore, the superconducting state exhibits an anisotropic response to a direction-dependent in-plane magnetic field, revealing nematic ordering across the entire superconducting dome. These results indicate that nematic fluctuations might play an important role in the low-temperature phases of magic-angle TBG.","container-title":"Science","DOI":"10.1126/science.abc2836","issue":"6539","note":"publisher: American Association for the Advancement of Science","page":"264-271","source":"science.org (Atypon)","title":"Nematicity and competing orders in superconducting magic-angle graphene","volume":"372","author":[{"family":"Cao","given":"Yuan"},{"family":"Rodan-Legrain","given":"Daniel"},{"family":"Park","given":"Jeong Min"},{"family":"Yuan","given":"Noah F. Q."},{"family":"Watanabe","given":"Kenji"},{"family":"Taniguchi","given":"Takashi"},{"family":"Fernandes","given":"Rafael M."},{"family":"Fu","given":"Liang"},{"family":"Jarillo-Herrero","given":"Pablo"}],"issued":{"date-parts":[["2021",4,16]]}}}],"schema":"https://github.com/citation-style-language/schema/raw/master/csl-citation.json"} </w:instrText>
      </w:r>
      <w:r w:rsidR="4A8F77B3">
        <w:fldChar w:fldCharType="separate"/>
      </w:r>
      <w:r w:rsidR="00BF4618" w:rsidRPr="00BF4618">
        <w:rPr>
          <w:rFonts w:ascii="Calibri" w:hAnsi="Calibri" w:cs="Calibri"/>
          <w:kern w:val="0"/>
          <w:vertAlign w:val="superscript"/>
        </w:rPr>
        <w:t>18–20,35</w:t>
      </w:r>
      <w:r w:rsidR="4A8F77B3">
        <w:fldChar w:fldCharType="end"/>
      </w:r>
      <w:r>
        <w:t>, where the three-fold rotation symmetry</w:t>
      </w:r>
      <w:r w:rsidR="001D12A0">
        <w:fldChar w:fldCharType="begin"/>
      </w:r>
      <w:r w:rsidR="00BF4618">
        <w:instrText xml:space="preserve"> ADDIN ZOTERO_ITEM CSL_CITATION {"citationID":"Igg4bVFh","properties":{"formattedCitation":"\\super 12,36\\nosupersub{}","plainCitation":"12,36","noteIndex":0},"citationItems":[{"id":601,"uris":["http://zotero.org/users/5406744/items/5PV9NA5C"],"itemData":{"id":601,"type":"article-journal","container-title":"Physical Review B","DOI":"10.1103/PhysRevB.80.165409","ISSN":"1098-0121, 1550-235X","issue":"16","journalAbbreviation":"Phys. Rev. B","language":"en","page":"165409","source":"DOI.org (Crossref)","title":"Trigonal warping and Berry’s phase N π in ABC-stacked multilayer graphene","volume":"80","author":[{"family":"Koshino","given":"Mikito"},{"family":"McCann","given":"Edward"}],"issued":{"date-parts":[["2009",10,12]]}}},{"id":491,"uris":["http://zotero.org/users/5406744/items/P2Q2M4WA"],"itemData":{"id":491,"type":"article-journal","abstract":"The ABC-stacked N-layer-graphene family of two-dimensional electron systems is described at low energies by two remarkably flat bands with Bloch states that have strongly momentum-dependent phase differences between carbon pi-orbital amplitudes on different layers, and large associated momentum space Berry phases. These properties are most easily understood using a simplified model with only nearest-neighbor inter-layer hopping which leads to gapless semiconductor electronic structure, with p^N dispersion in both conduction and valence bands. We report on a study of the electronic band structures of trilayers which uses ab initio density functional theory and k*p theory to fit the parameters of a pi-band tight-binding model. We find that when remote interlayer hopping is retained, the triple Dirac point of the simplified model is split into three single Dirac points located along the three KM directions. External potential differences between top and bottom layers are strongly screened by charge transfer within the trilayer, but still open an energy gap at overall neutrality.","container-title":"Physical Review B","DOI":"10.1103/PhysRevB.82.035409","ISSN":"1098-0121, 1550-235X","issue":"3","journalAbbreviation":"Phys. Rev. B","note":"arXiv: 1004.1481","page":"035409","source":"arXiv.org","title":"Band Structure of ABC-Stacked Graphene Trilayers","volume":"82","author":[{"family":"Zhang","given":"Fan"},{"family":"Sahu","given":"Bhagawan"},{"family":"Min","given":"Hongki"},{"family":"MacDonald","given":"Allan H."}],"issued":{"date-parts":[["2010",7,9]]}}}],"schema":"https://github.com/citation-style-language/schema/raw/master/csl-citation.json"} </w:instrText>
      </w:r>
      <w:r w:rsidR="001D12A0">
        <w:fldChar w:fldCharType="separate"/>
      </w:r>
      <w:r w:rsidR="00BF4618" w:rsidRPr="00BF4618">
        <w:rPr>
          <w:rFonts w:ascii="Calibri" w:hAnsi="Calibri" w:cs="Calibri"/>
          <w:kern w:val="0"/>
          <w:vertAlign w:val="superscript"/>
        </w:rPr>
        <w:t>12,36</w:t>
      </w:r>
      <w:r w:rsidR="001D12A0">
        <w:fldChar w:fldCharType="end"/>
      </w:r>
      <w:r>
        <w:t xml:space="preserve"> is spontaneously broken by electron-electron interactions. </w:t>
      </w:r>
    </w:p>
    <w:p w14:paraId="774C4E0D" w14:textId="3192504A" w:rsidR="001C4D1E" w:rsidRPr="0015434C" w:rsidRDefault="7F699997" w:rsidP="4D372101">
      <w:pPr>
        <w:jc w:val="both"/>
        <w:rPr>
          <w:b/>
          <w:bCs/>
          <w:sz w:val="32"/>
          <w:szCs w:val="32"/>
        </w:rPr>
      </w:pPr>
      <w:r w:rsidRPr="7F699997">
        <w:rPr>
          <w:b/>
          <w:bCs/>
          <w:sz w:val="32"/>
          <w:szCs w:val="32"/>
        </w:rPr>
        <w:t>Superconducting State SC3 Enhanced by SOC</w:t>
      </w:r>
    </w:p>
    <w:p w14:paraId="63860276" w14:textId="4747DE61" w:rsidR="00AC2B73" w:rsidRDefault="15A40741" w:rsidP="005555A7">
      <w:pPr>
        <w:jc w:val="both"/>
      </w:pPr>
      <w:r>
        <w:t xml:space="preserve">Figure 3a-c show the zoomed-in phase diagram of SC3 corresponding to Scenario 1–3 </w:t>
      </w:r>
      <w:r w:rsidR="00CB4225">
        <w:rPr>
          <w:rFonts w:hint="eastAsia"/>
        </w:rPr>
        <w:t>in</w:t>
      </w:r>
      <w:r w:rsidR="00CB4225">
        <w:t xml:space="preserve"> </w:t>
      </w:r>
      <w:r>
        <w:t>D1 and D3. In Fig. 3c</w:t>
      </w:r>
      <w:r w:rsidRPr="15A40741">
        <w:rPr>
          <w:b/>
          <w:bCs/>
        </w:rPr>
        <w:t xml:space="preserve"> </w:t>
      </w:r>
      <w:r>
        <w:t xml:space="preserve">(Scenario 3), a narrow </w:t>
      </w:r>
      <w:bookmarkStart w:id="1" w:name="_Int_ue1bQUur"/>
      <w:proofErr w:type="spellStart"/>
      <w:r>
        <w:t>stripe</w:t>
      </w:r>
      <w:bookmarkEnd w:id="1"/>
      <w:proofErr w:type="spellEnd"/>
      <w:r>
        <w:t xml:space="preserve"> of faint resistance local minimum is highlighted by the dotted box. Temperature dependence of </w:t>
      </w:r>
      <w:r w:rsidRPr="15A40741">
        <w:rPr>
          <w:i/>
          <w:iCs/>
        </w:rPr>
        <w:t>R</w:t>
      </w:r>
      <w:r w:rsidRPr="15A40741">
        <w:rPr>
          <w:i/>
          <w:iCs/>
          <w:vertAlign w:val="subscript"/>
        </w:rPr>
        <w:t>xx</w:t>
      </w:r>
      <w:r>
        <w:t xml:space="preserve"> and differential resistance </w:t>
      </w:r>
      <w:proofErr w:type="spellStart"/>
      <w:r>
        <w:t>d</w:t>
      </w:r>
      <w:r w:rsidRPr="15A40741">
        <w:rPr>
          <w:i/>
          <w:iCs/>
        </w:rPr>
        <w:t>V</w:t>
      </w:r>
      <w:proofErr w:type="spellEnd"/>
      <w:r>
        <w:t>/</w:t>
      </w:r>
      <w:proofErr w:type="spellStart"/>
      <w:r>
        <w:t>d</w:t>
      </w:r>
      <w:r w:rsidRPr="15A40741">
        <w:rPr>
          <w:i/>
          <w:iCs/>
        </w:rPr>
        <w:t>I</w:t>
      </w:r>
      <w:proofErr w:type="spellEnd"/>
      <w:r>
        <w:t xml:space="preserve"> (see Extended Data Fig. </w:t>
      </w:r>
      <w:r w:rsidR="00882E1E">
        <w:rPr>
          <w:rFonts w:hint="eastAsia"/>
        </w:rPr>
        <w:t>3</w:t>
      </w:r>
      <w:r>
        <w:t xml:space="preserve">i&amp;j) indicate that </w:t>
      </w:r>
      <w:r w:rsidRPr="15A40741">
        <w:rPr>
          <w:i/>
          <w:iCs/>
        </w:rPr>
        <w:t>T</w:t>
      </w:r>
      <w:r w:rsidRPr="15A40741">
        <w:rPr>
          <w:i/>
          <w:iCs/>
          <w:vertAlign w:val="subscript"/>
        </w:rPr>
        <w:t>c</w:t>
      </w:r>
      <w:r>
        <w:t xml:space="preserve"> is lower than our base electronic temperature. By applying </w:t>
      </w:r>
      <w:r w:rsidRPr="15A40741">
        <w:rPr>
          <w:i/>
          <w:iCs/>
        </w:rPr>
        <w:t>D</w:t>
      </w:r>
      <w:r>
        <w:t>&lt;0 in the same device, a more well-defined superconducting emerges, as can be seen from the large zero resistance region in Fig. 3b and the clear drop</w:t>
      </w:r>
      <w:r w:rsidR="00A91F8F">
        <w:rPr>
          <w:rFonts w:hint="eastAsia"/>
        </w:rPr>
        <w:t xml:space="preserve"> of </w:t>
      </w:r>
      <w:r w:rsidR="00A91F8F" w:rsidRPr="00A91F8F">
        <w:rPr>
          <w:rFonts w:hint="eastAsia"/>
          <w:i/>
          <w:iCs/>
        </w:rPr>
        <w:t>R</w:t>
      </w:r>
      <w:r w:rsidR="00A91F8F" w:rsidRPr="00A91F8F">
        <w:rPr>
          <w:i/>
          <w:iCs/>
          <w:vertAlign w:val="subscript"/>
        </w:rPr>
        <w:softHyphen/>
      </w:r>
      <w:r w:rsidR="00A91F8F" w:rsidRPr="00A91F8F">
        <w:rPr>
          <w:rFonts w:hint="eastAsia"/>
          <w:i/>
          <w:iCs/>
          <w:vertAlign w:val="subscript"/>
        </w:rPr>
        <w:t>xx</w:t>
      </w:r>
      <w:r>
        <w:t xml:space="preserve"> at a </w:t>
      </w:r>
      <w:r w:rsidRPr="15A40741">
        <w:rPr>
          <w:i/>
          <w:iCs/>
        </w:rPr>
        <w:t>T</w:t>
      </w:r>
      <w:r w:rsidRPr="15A40741">
        <w:rPr>
          <w:i/>
          <w:iCs/>
          <w:vertAlign w:val="subscript"/>
        </w:rPr>
        <w:t>c</w:t>
      </w:r>
      <w:r>
        <w:t xml:space="preserve"> of ~84 </w:t>
      </w:r>
      <w:proofErr w:type="spellStart"/>
      <w:r>
        <w:t>mK</w:t>
      </w:r>
      <w:proofErr w:type="spellEnd"/>
      <w:r>
        <w:t xml:space="preserve"> (see Extended Data Fig. </w:t>
      </w:r>
      <w:r w:rsidR="00882E1E">
        <w:rPr>
          <w:rFonts w:hint="eastAsia"/>
        </w:rPr>
        <w:t>3</w:t>
      </w:r>
      <w:r>
        <w:t>g&amp;h). Finally, in Fig. 3a</w:t>
      </w:r>
      <w:r w:rsidRPr="15A40741">
        <w:rPr>
          <w:b/>
          <w:bCs/>
        </w:rPr>
        <w:t xml:space="preserve"> </w:t>
      </w:r>
      <w:r>
        <w:t xml:space="preserve">(Scenario 1), the </w:t>
      </w:r>
      <w:r w:rsidRPr="15A40741">
        <w:rPr>
          <w:i/>
          <w:iCs/>
        </w:rPr>
        <w:t>n</w:t>
      </w:r>
      <w:r>
        <w:t>-</w:t>
      </w:r>
      <w:r w:rsidRPr="15A40741">
        <w:rPr>
          <w:i/>
          <w:iCs/>
        </w:rPr>
        <w:t>D</w:t>
      </w:r>
      <w:r>
        <w:t xml:space="preserve"> phase space of SC3 is further enlarged, and the highest </w:t>
      </w:r>
      <w:r w:rsidRPr="15A40741">
        <w:rPr>
          <w:i/>
          <w:iCs/>
        </w:rPr>
        <w:t>T</w:t>
      </w:r>
      <w:r w:rsidRPr="15A40741">
        <w:rPr>
          <w:i/>
          <w:iCs/>
          <w:vertAlign w:val="subscript"/>
        </w:rPr>
        <w:t>c</w:t>
      </w:r>
      <w:r>
        <w:t xml:space="preserve"> ~104 </w:t>
      </w:r>
      <w:proofErr w:type="spellStart"/>
      <w:r>
        <w:t>mK</w:t>
      </w:r>
      <w:proofErr w:type="spellEnd"/>
      <w:r>
        <w:t xml:space="preserve"> is </w:t>
      </w:r>
      <w:r w:rsidR="00CB4225">
        <w:rPr>
          <w:rFonts w:hint="eastAsia"/>
        </w:rPr>
        <w:t xml:space="preserve">also </w:t>
      </w:r>
      <w:r>
        <w:t xml:space="preserve">further enhanced. </w:t>
      </w:r>
    </w:p>
    <w:p w14:paraId="194EF137" w14:textId="5A4CC4AA" w:rsidR="00CB4225" w:rsidRDefault="0FEA8259">
      <w:pPr>
        <w:ind w:firstLine="720"/>
        <w:jc w:val="both"/>
      </w:pPr>
      <w:r>
        <w:t>Our observations in Scenario 3 are similar to those in RTG without TMD</w:t>
      </w:r>
      <w:r w:rsidR="2EF2D92E">
        <w:fldChar w:fldCharType="begin"/>
      </w:r>
      <w:r w:rsidR="00BF4618">
        <w:instrText xml:space="preserve"> ADDIN ZOTERO_ITEM CSL_CITATION {"citationID":"7sJav8SI","properties":{"formattedCitation":"\\super 17\\nosupersub{}","plainCitation":"17","noteIndex":0},"citationItems":[{"id":3774,"uris":["http://zotero.org/users/5406744/items/P2QD7P89"],"itemData":{"id":3774,"type":"thesis","abstract":"This work studies the Van Hove singularity induced novel electronic phenomena in rhombohedral trilayer graphene, including magnetism and superconductivity. Rhombohedral trilayer graphene is a two dimensional crystal where three layers of carbon honeycomb lattice are stacked to form a rhombohedral lattice in its three dimensional extension. The energy band structure of rhombohedral trilayer graphene features van Hove singularities, saddle points in the energy band structure where the density of states diverges. A perpendicular electrical field can be applied to induce interlayer potential and to open up an energy gap at the charge neutrality point. The gap opening modulates the density of states profile, making the divergence at the van Hove singularity robust against fluctuations from finite temperature and disorder effects. Like many other systems, the diverged density of states induces Fermi surface instability. On the one hand, it drives spontaneous ferromagnetic polarization of the electron system into one or more spin- and valley flavors. On the other hand, it allows the bounded states where electrons couple into pairs to have significant lower energy than the normal ground states, leading to superconductivity observable at the experimentally reached temperature. In this work, we fabricated dual graphite-gated rhombohedral trilayer graphene van der Waals heterostructures that allow cryogenic electrical transport measurement and penetration field capacitance measurements and systematically studied the gate voltage modulated magnetic phase transitions and superconductivity. A rigid band model is built that well captures the spin- and valley- phases. For superconductivity, we provided several possible explanations. In addition to gate voltages, we also induced a moiré potential to the system by aligning the lattice of the rhombohedral trilayer graphene with the dielectric material hexagonal boron nitride. We found that while the moiré potential only affect the electronic phase diagram on a perturbative level, several novel phenomena including the breaking of lattice symmetry is induced.","language":"en","publisher":"UC Santa Barbara","source":"escholarship.org","title":"Ferromagnetism and Superconductivity in Rhombohedral Trilayer Graphene","URL":"https://escholarship.org/uc/item/4k36g8qk","author":[{"family":"Zhou","given":"Haoxin"}],"accessed":{"date-parts":[["2023",7,23]]},"issued":{"date-parts":[["2021"]]}}}],"schema":"https://github.com/citation-style-language/schema/raw/master/csl-citation.json"} </w:instrText>
      </w:r>
      <w:r w:rsidR="2EF2D92E">
        <w:fldChar w:fldCharType="separate"/>
      </w:r>
      <w:r w:rsidR="00BF4618" w:rsidRPr="00BF4618">
        <w:rPr>
          <w:rFonts w:ascii="Calibri" w:hAnsi="Calibri" w:cs="Calibri"/>
          <w:kern w:val="0"/>
          <w:vertAlign w:val="superscript"/>
        </w:rPr>
        <w:t>17</w:t>
      </w:r>
      <w:r w:rsidR="2EF2D92E">
        <w:fldChar w:fldCharType="end"/>
      </w:r>
      <w:r>
        <w:t xml:space="preserve">. By introducing the SOC effect, this SC3 state is significantly enhanced: </w:t>
      </w:r>
      <w:r w:rsidRPr="0FEA8259">
        <w:rPr>
          <w:i/>
          <w:iCs/>
        </w:rPr>
        <w:t>T</w:t>
      </w:r>
      <w:r w:rsidRPr="0FEA8259">
        <w:rPr>
          <w:i/>
          <w:iCs/>
          <w:vertAlign w:val="subscript"/>
        </w:rPr>
        <w:t>c</w:t>
      </w:r>
      <w:r>
        <w:t xml:space="preserve"> </w:t>
      </w:r>
      <w:r w:rsidR="00CB4225">
        <w:rPr>
          <w:rFonts w:hint="eastAsia"/>
        </w:rPr>
        <w:t xml:space="preserve">is </w:t>
      </w:r>
      <w:r>
        <w:t xml:space="preserve">promoted by ~ 5 times, and the superconducting phase space is enlarged by hundreds of times. These observations are aligned </w:t>
      </w:r>
      <w:r w:rsidR="00CB4225">
        <w:rPr>
          <w:rFonts w:hint="eastAsia"/>
        </w:rPr>
        <w:t xml:space="preserve">with </w:t>
      </w:r>
      <w:r>
        <w:t>previous reports, in which TMD proximation can enhance the superconductivities in graphene devices</w:t>
      </w:r>
      <w:r w:rsidR="009E2E15">
        <w:fldChar w:fldCharType="begin"/>
      </w:r>
      <w:r w:rsidR="00BF4618">
        <w:instrText xml:space="preserve"> ADDIN ZOTERO_ITEM CSL_CITATION {"citationID":"R5FvvI7U","properties":{"formattedCitation":"\\super 18\\uc0\\u8211{}24\\nosupersub{}","plainCitation":"18–24","noteIndex":0},"citationItems":[{"id":1752,"uris":["http://zotero.org/users/5406744/items/5ITGK7BD"],"itemData":{"id":1752,"type":"article-journal","container-title":"Nature","DOI":"10.1038/s41586-022-05446-x","ISSN":"0028-0836, 1476-4687","issue":"7943","journalAbbreviation":"Nature","language":"en","page":"268-273","source":"DOI.org (Crossref)","title":"Enhanced superconductivity in spin–orbit proximitized bilayer graphene","volume":"613","author":[{"family":"Zhang","given":"Yiran"},{"family":"Polski","given":"Robert"},{"family":"Thomson","given":"Alex"},{"family":"Lantagne-Hurtubise","given":"Étienne"},{"family":"Lewandowski","given":"Cyprian"},{"family":"Zhou","given":"Haoxin"},{"family":"Watanabe","given":"Kenji"},{"family":"Taniguchi","given":"Takashi"},{"family":"Alicea","given":"Jason"},{"family":"Nadj-Perge","given":"Stevan"}],"issued":{"date-parts":[["2023",1,12]]}}},{"id":4319,"uris":["http://zotero.org/users/5406744/items/XZ6TC7XV"],"itemData":{"id":4319,"type":"article","abstract":"Superconductivity is a ubiquitous feature of graphite allotropes, having been observed in Bernal bilayers, rhombohedral trilayers, and a wide variety of angle-misaligned multilayers. Despite significant differences in the electronic structure across these systems, supporting the graphite layer on a WSe$_2$ substrate has been consistently observed to expand the range of superconductivity in carrier density and temperature. Here, we report the observation of two distinct superconducting states (denoted SC$_1$ and SC$_2$) in Bernal bilayer graphene with strong proximity-induced Ising spin-orbit coupling. Quantum oscillations show that while the normal state of SC$_1$ is consistent with the single-particle band structure, SC$_2$ emerges from a nematic normal state with broken rotational symmetry. Both superconductors are robust to in-plane magnetic fields, violating the paramagnetic limit as expected for spin-valley locked Ising superconductors. Our results show that the enhancement of superconductivity in WSe$_2$ supported graphite allotropes can be directly linked to Ising spin orbit coupling, which favors valley-balanced ground states with time-reversal symmetric Fermi surfaces friendly to superconducting pairing.","note":"arXiv:2303.00742 [cond-mat]","number":"arXiv:2303.00742","publisher":"arXiv","source":"arXiv.org","title":"Ising Superconductivity and Nematicity in Bernal Bilayer Graphene with Strong Spin Orbit Coupling","URL":"http://arxiv.org/abs/2303.00742","author":[{"family":"Holleis","given":"Ludwig"},{"family":"Patterson","given":"Caitlin L."},{"family":"Zhang","given":"Yiran"},{"family":"Yoo","given":"Heun Mo"},{"family":"Zhou","given":"Haoxin"},{"family":"Taniguchi","given":"Takashi"},{"family":"Watanabe","given":"Kenji"},{"family":"Nadj-Perge","given":"Stevan"},{"family":"Young","given":"Andrea F."}],"accessed":{"date-parts":[["2024",1,10]]},"issued":{"date-parts":[["2023",3,1]]}}},{"id":4721,"uris":["http://zotero.org/users/5406744/items/BB4QM5H2"],"itemData":{"id":4721,"type":"article","abstract":"The relative twist angle between layers of near-lattice-matched van der Waals materials is critical for the emergent correlated phenomena associated with moire flat bands. However, the concept of angle rotation control is not exclusive to moir\\'e superlattices in which electrons directly experience a twist-angle-dependent periodic potential. Instead, it can also be employed to induce programmable symmetry-breaking perturbations with the goal of stabilizing desired correlated states. Here, we experimentally demonstrate `moireless' twist-tuning of superconductivity together with other correlated orders in Bernal bilayer graphene proximitized by tungsten diselenide. The alignment between the two materials systematically controls the strength of the induced Ising spin-orbit coupling (SOC), profoundly altering the phase diagram. As Ising SOC is increased, superconductivity onsets at a higher displacement field and features a higher critical temperature, reaching up to 0.5K. Within the main superconducting dome and in the strong Ising SOC limit, we find an unusual phase transition characterized by a nematic redistribution of holes among trigonally warped Fermi pockets and enhanced resilience to in-plane magnetic fields. The behavior of the superconducting phase is well captured by our theoretical model, which emphasizes the role of interband interactions between Fermi pockets arising due to interaction-enhanced symmetry breaking. Moreover, we identify two additional superconducting regions, one of which descends from an inter-valley coherent normal state and exhibits a Pauli-limit violation ratio exceeding 40, among the highest for all known superconductors. Our results provide new insights into ultra-clean graphene-based superconductors and underscore the potential of utilizing moireless-twist engineering across a range of van der Waals heterostructures.","DOI":"10.48550/arXiv.2408.10335","note":"arXiv:2408.10335 [cond-mat]","number":"arXiv:2408.10335","publisher":"arXiv","source":"arXiv.org","title":"Twist-Programmable Superconductivity in Spin-Orbit Coupled Bilayer Graphene","URL":"http://arxiv.org/abs/2408.10335","author":[{"family":"Zhang","given":"Yiran"},{"family":"Shavit","given":"Gal"},{"family":"Ma","given":"Huiyang"},{"family":"Han","given":"Youngjoon"},{"family":"Watanabe","given":"Kenji"},{"family":"Taniguchi","given":"Takashi"},{"family":"Hsieh","given":"David"},{"family":"Lewandowski","given":"Cyprian"},{"family":"Oppen","given":"Felix","non-dropping-particle":"von"},{"family":"Oreg","given":"Yuval"},{"family":"Nadj-Perge","given":"Stevan"}],"accessed":{"date-parts":[["2024",8,27]]},"issued":{"date-parts":[["2024",8,19]]}}},{"id":4497,"uris":["http://zotero.org/users/5406744/items/NVDV6TNX"],"itemData":{"id":4497,"type":"article-journal","abstract":"Graphene-based, high-quality, two-dimensional electronic systems have emerged as a highly tunable platform for studying superconductivity1–21. Specifically, superconductivity has been observed in both electron- and hole-doped twisted graphene moiré systems1–17, whereas in crystalline graphene systems, superconductivity has so far been observed only in hole-doped rhombohedral trilayer graphene (RTG)18 and hole-doped Bernal bilayer graphene (BBG)19–21. Recently, enhanced superconductivity has been demonstrated20,21 in BBG because of the proximity to a monolayer WSe2. Here we report the observation of superconductivity and a series of flavour-symmetry-breaking phases in electron- and hole-doped BBG/WSe2 devices by electrostatic doping. The strength of the observed superconductivity is tunable by applied vertical electric fields. The maximum Berezinskii–Kosterlitz−Thouless transition temperature for the electron- and hole-doped superconductivity is about 210 mK and 400 mK, respectively. Superconductivities emerge only when the applied electric fields drive the BBG electron or hole wavefunctions towards the WSe2 layer, underscoring the importance of the WSe2 layer in the observed superconductivity. The hole-doped superconductivity violates the Pauli paramagnetic limit, consistent with an Ising-like superconductor. By contrast, the electron-doped superconductivity obeys the Pauli limit, although the proximity-induced Ising spin–orbit coupling is also notable in the conduction band. Our findings highlight the rich physics associated with the conduction band in BBG, paving the way for further studies into the superconducting mechanisms of crystalline graphene and the development of superconductor devices based on BBG.","container-title":"Nature","DOI":"10.1038/s41586-024-07584-w","ISSN":"1476-4687","issue":"8020","language":"en","license":"2024 The Author(s), under exclusive licence to Springer Nature Limited","note":"publisher: Nature Publishing Group","page":"300-306","source":"www.nature.com","title":"Tunable superconductivity in electron- and hole-doped Bernal bilayer graphene","volume":"631","author":[{"family":"Li","given":"Chushan"},{"family":"Xu","given":"Fan"},{"family":"Li","given":"Bohao"},{"family":"Li","given":"Jiayi"},{"family":"Li","given":"Guoan"},{"family":"Watanabe","given":"Kenji"},{"family":"Taniguchi","given":"Takashi"},{"family":"Tong","given":"Bingbing"},{"family":"Shen","given":"Jie"},{"family":"Lu","given":"Li"},{"family":"Jia","given":"Jinfeng"},{"family":"Wu","given":"Fengcheng"},{"family":"Liu","given":"Xiaoxue"},{"family":"Li","given":"Tingxin"}],"issued":{"date-parts":[["2024",7]]}}},{"id":1107,"uris":["http://zotero.org/users/5406744/items/SBKT6KFN"],"itemData":{"id":1107,"type":"article-journal","abstract":"Magic-angle twisted bilayer graphene (TBG), with rotational misalignment close to 1.1 degrees, features isolated flat electronic bands that host a rich phase diagram of correlated insulating, superconducting, ferromagnetic and topological phases1–6. Correlated insulators and superconductivity have been previously observed only for angles within 0.1 degree of the magic angle and occur in adjacent or overlapping electron-density ranges; nevertheless, the origins of these states and the relation between them remain unclear, owing to their sensitivity to microscopic details. Beyond twist angle and strain, the dependence of the TBG phase diagram on the alignment4,6 and thickness of the insulating hexagonal boron nitride (hBN)7,8 used to encapsulate the graphene sheets indicates the importance of the microscopic dielectric environment. Here we show that adding an insulating tungsten diselenide (WSe2) monolayer between the hBN and the TBG stabilizes superconductivity at twist angles much smaller than the magic angle. For the smallest twist angle of 0.79 degrees, superconductivity is still observed despite the TBG exhibiting metallic behaviour across the whole range of electron densities. Finite-magnetic-field measurements further reveal weak antilocalization signatures as well as breaking of fourfold spin–valley symmetry, consistent with spin–orbit coupling induced in the TBG via its proximity to WSe2. Our results constrain theoretical explanations for the emergence of superconductivity in TBG and open up avenues towards engineering quantum phases in moiré systems.","container-title":"Nature","DOI":"10.1038/s41586-020-2473-8","ISSN":"1476-4687","issue":"7816","language":"en","license":"2020 The Author(s), under exclusive licence to Springer Nature Limited","note":"number: 7816\npublisher: Nature Publishing Group","page":"379-384","source":"www.nature.com","title":"Superconductivity in metallic twisted bilayer graphene stabilized by WSe2","volume":"583","author":[{"family":"Arora","given":"Harpreet Singh"},{"family":"Polski","given":"Robert"},{"family":"Zhang","given":"Yiran"},{"family":"Thomson","given":"Alex"},{"family":"Choi","given":"Youngjoon"},{"family":"Kim","given":"Hyunjin"},{"family":"Lin","given":"Zhong"},{"family":"Wilson","given":"Ilham Zaky"},{"family":"Xu","given":"Xiaodong"},{"family":"Chu","given":"Jiun-Haw"},{"family":"Watanabe","given":"Kenji"},{"family":"Taniguchi","given":"Takashi"},{"family":"Alicea","given":"Jason"},{"family":"Nadj-Perge","given":"Stevan"}],"issued":{"date-parts":[["2020",7]]}}},{"id":3996,"uris":["http://zotero.org/users/5406744/items/7ZZHI37G"],"itemData":{"id":3996,"type":"article-journal","abstract":"Identifying the essential components of superconductivity in graphene-based systems remains a critical problem in two-dimensional materials research. This field is connected to the mysteries that underpin investigations of unconventional superconductivity in condensed-matter physics. Superconductivity has been observed in magic-angle twisted stacks of monolayer graphene but conspicuously not in twisted stacks of bilayer graphene, although both systems host topological flat bands and symmetry-broken states. Here we report the discovery of superconductivity in twisted double bilayer graphene (TDBG) in proximity to WSe2. Samples with twist angles 1.24° and 1.37° superconduct in small pockets of the gate-tuned phase diagram within the valence and conduction band, respectively. Superconductivity emerges from unpolarized phases near van Hove singularities and next to regions with broken isospin symmetry. Our results show the correlation between a high density of states and the emergence of superconductivity in TDBG while revealing a possible role for isospin fluctuations in the pairing.","container-title":"Nature Materials","DOI":"10.1038/s41563-023-01653-7","ISSN":"1476-4660","journalAbbreviation":"Nat. Mater.","language":"en","license":"2023 The Author(s), under exclusive licence to Springer Nature Limited","note":"publisher: Nature Publishing Group","page":"1-6","source":"www.nature.com","title":"Superconductivity in twisted double bilayer graphene stabilized by WSe2","author":[{"family":"Su","given":"Ruiheng"},{"family":"Kuiri","given":"Manabendra"},{"family":"Watanabe","given":"Kenji"},{"family":"Taniguchi","given":"Takashi"},{"family":"Folk","given":"Joshua"}],"issued":{"date-parts":[["2023",8,28]]}}},{"id":4597,"uris":["http://zotero.org/users/5406744/items/GF95BK94"],"itemData":{"id":4597,"type":"article-journal","abstract":"Graphene moiré superlattices show an abundance of correlated insulating, topological, and superconducting phases. Whereas the origins of strong correlations and nontrivial topology can be directly linked to flat bands, the nature of superconductivity remains enigmatic. We demonstrate that magic-angle devices made of twisted tri-, quadri-, and pentalayer graphene placed on monolayer tungsten diselenide exhibit flavor polarization and superconductivity. We also observe insulating states in the tril- and quadrilayer arising at finite electric displacement fields. As the number of layers increases, superconductivity emerges over an enhanced filling-factor range, and in the pentalayer it extends well beyond the filling of four electrons per moiré unit cell. Our results highlight the role of the interplay between flat and more dispersive bands in extending superconducting regions in graphene moiré superlattices.","container-title":"Science","DOI":"10.1126/science.abn8585","issue":"6614","note":"publisher: American Association for the Advancement of Science","page":"1538-1543","source":"science.org (Atypon)","title":"Promotion of superconductivity in magic-angle graphene multilayers","volume":"377","author":[{"family":"Zhang","given":"Yiran"},{"family":"Polski","given":"Robert"},{"family":"Lewandowski","given":"Cyprian"},{"family":"Thomson","given":"Alex"},{"family":"Peng","given":"Yang"},{"family":"Choi","given":"Youngjoon"},{"family":"Kim","given":"Hyunjin"},{"family":"Watanabe","given":"Kenji"},{"family":"Taniguchi","given":"Takashi"},{"family":"Alicea","given":"Jason"},{"family":"Oppen","given":"Felix","non-dropping-particle":"von"},{"family":"Refael","given":"Gil"},{"family":"Nadj-Perge","given":"Stevan"}],"issued":{"date-parts":[["2022",9,30]]}}}],"schema":"https://github.com/citation-style-language/schema/raw/master/csl-citation.json"} </w:instrText>
      </w:r>
      <w:r w:rsidR="009E2E15">
        <w:fldChar w:fldCharType="separate"/>
      </w:r>
      <w:r w:rsidR="00BF4618" w:rsidRPr="00BF4618">
        <w:rPr>
          <w:rFonts w:ascii="Calibri" w:hAnsi="Calibri" w:cs="Calibri"/>
          <w:kern w:val="0"/>
          <w:vertAlign w:val="superscript"/>
        </w:rPr>
        <w:t>18–24</w:t>
      </w:r>
      <w:r w:rsidR="009E2E15">
        <w:fldChar w:fldCharType="end"/>
      </w:r>
      <w:r>
        <w:t>. Figure 3d shows the out-of-plane magnetic field dependence of SC3 in D1, measured at</w:t>
      </w:r>
      <w:r w:rsidRPr="0FEA8259">
        <w:rPr>
          <w:i/>
          <w:iCs/>
        </w:rPr>
        <w:t xml:space="preserve"> D</w:t>
      </w:r>
      <w:r w:rsidRPr="0FEA8259">
        <w:t>/</w:t>
      </w:r>
      <w:r w:rsidRPr="0FEA8259">
        <w:rPr>
          <w:rFonts w:ascii="Cambria Math" w:eastAsia="Cambria Math" w:hAnsi="Cambria Math" w:cs="Cambria Math"/>
          <w:i/>
          <w:iCs/>
          <w:color w:val="000000" w:themeColor="text1"/>
          <w:sz w:val="22"/>
          <w:szCs w:val="22"/>
        </w:rPr>
        <w:t>ε</w:t>
      </w:r>
      <w:r w:rsidRPr="0FEA8259">
        <w:rPr>
          <w:rFonts w:ascii="Cambria Math" w:eastAsia="Cambria Math" w:hAnsi="Cambria Math" w:cs="Cambria Math"/>
          <w:i/>
          <w:iCs/>
          <w:color w:val="000000" w:themeColor="text1"/>
          <w:sz w:val="22"/>
          <w:szCs w:val="22"/>
          <w:vertAlign w:val="subscript"/>
        </w:rPr>
        <w:t>0</w:t>
      </w:r>
      <w:r>
        <w:t xml:space="preserve"> = 0.18 V/nm (the orange dashed line in Fig. 3a, where the </w:t>
      </w:r>
      <w:r w:rsidRPr="0FEA8259">
        <w:rPr>
          <w:i/>
          <w:iCs/>
        </w:rPr>
        <w:t>T</w:t>
      </w:r>
      <w:r w:rsidRPr="0FEA8259">
        <w:rPr>
          <w:i/>
          <w:iCs/>
          <w:vertAlign w:val="subscript"/>
        </w:rPr>
        <w:t xml:space="preserve">c </w:t>
      </w:r>
      <w:r w:rsidRPr="00E44A69">
        <w:t>is</w:t>
      </w:r>
      <w:r w:rsidRPr="0FEA8259">
        <w:rPr>
          <w:i/>
          <w:iCs/>
          <w:vertAlign w:val="subscript"/>
        </w:rPr>
        <w:t xml:space="preserve"> </w:t>
      </w:r>
      <w:r>
        <w:t xml:space="preserve">highest). The critical field </w:t>
      </w:r>
      <w:proofErr w:type="spellStart"/>
      <w:proofErr w:type="gramStart"/>
      <w:r w:rsidRPr="0FEA8259">
        <w:rPr>
          <w:i/>
          <w:iCs/>
        </w:rPr>
        <w:t>B</w:t>
      </w:r>
      <w:r w:rsidRPr="0FEA8259">
        <w:rPr>
          <w:i/>
          <w:iCs/>
          <w:vertAlign w:val="subscript"/>
        </w:rPr>
        <w:t>c</w:t>
      </w:r>
      <w:proofErr w:type="spellEnd"/>
      <w:r w:rsidRPr="0FEA8259">
        <w:rPr>
          <w:i/>
          <w:iCs/>
          <w:vertAlign w:val="subscript"/>
        </w:rPr>
        <w:t>,</w:t>
      </w:r>
      <w:r w:rsidRPr="0FEA8259">
        <w:rPr>
          <w:rFonts w:ascii="Cambria Math" w:hAnsi="Cambria Math" w:cs="Cambria Math"/>
          <w:vertAlign w:val="subscript"/>
        </w:rPr>
        <w:t>⊥</w:t>
      </w:r>
      <w:proofErr w:type="gramEnd"/>
      <w:r w:rsidRPr="0FEA8259">
        <w:rPr>
          <w:rFonts w:ascii="Cambria Math" w:hAnsi="Cambria Math" w:cs="Cambria Math"/>
          <w:vertAlign w:val="subscript"/>
        </w:rPr>
        <w:t xml:space="preserve"> </w:t>
      </w:r>
      <w:r>
        <w:t xml:space="preserve">is around 6 </w:t>
      </w:r>
      <w:proofErr w:type="spellStart"/>
      <w:r>
        <w:t>mT</w:t>
      </w:r>
      <w:proofErr w:type="spellEnd"/>
      <w:r>
        <w:t xml:space="preserve">, and the normal state resistance </w:t>
      </w:r>
      <w:proofErr w:type="spellStart"/>
      <w:r w:rsidRPr="0FEA8259">
        <w:rPr>
          <w:i/>
          <w:iCs/>
        </w:rPr>
        <w:t>R</w:t>
      </w:r>
      <w:r w:rsidRPr="0FEA8259">
        <w:rPr>
          <w:i/>
          <w:iCs/>
          <w:vertAlign w:val="subscript"/>
        </w:rPr>
        <w:t>xx,n</w:t>
      </w:r>
      <w:proofErr w:type="spellEnd"/>
      <w:r>
        <w:t xml:space="preserve"> is around 250 Ω, resulting in </w:t>
      </w:r>
      <w:r w:rsidRPr="0FEA8259">
        <w:rPr>
          <w:i/>
          <w:iCs/>
        </w:rPr>
        <w:t>l</w:t>
      </w:r>
      <w:r>
        <w:t xml:space="preserve"> ~ 310 nm and </w:t>
      </w:r>
      <w:r w:rsidRPr="0FEA8259">
        <w:rPr>
          <w:rFonts w:eastAsia="DengXian"/>
          <w:i/>
          <w:iCs/>
        </w:rPr>
        <w:t>ξ</w:t>
      </w:r>
      <w:r>
        <w:t xml:space="preserve"> ~ 220 nm. The ratio </w:t>
      </w:r>
      <w:r w:rsidRPr="0FEA8259">
        <w:rPr>
          <w:i/>
          <w:iCs/>
        </w:rPr>
        <w:t>d</w:t>
      </w:r>
      <w:r>
        <w:t>=</w:t>
      </w:r>
      <w:r w:rsidRPr="0FEA8259">
        <w:rPr>
          <w:rFonts w:eastAsia="DengXian"/>
          <w:i/>
          <w:iCs/>
        </w:rPr>
        <w:t xml:space="preserve"> ξ</w:t>
      </w:r>
      <w:r>
        <w:t>/</w:t>
      </w:r>
      <w:r w:rsidRPr="0FEA8259">
        <w:rPr>
          <w:i/>
          <w:iCs/>
        </w:rPr>
        <w:t>l</w:t>
      </w:r>
      <w:r>
        <w:t xml:space="preserve"> is ~ 0.7, indicating that SC3 is at the crossover between the clean limit and the dirty limit. Figure 3e shows the fermiology analysis of states along the same orange dashed line in Fig. 3a (see Extended Data Fig. </w:t>
      </w:r>
      <w:r w:rsidR="00C124EB">
        <w:rPr>
          <w:rFonts w:hint="eastAsia"/>
        </w:rPr>
        <w:t>7</w:t>
      </w:r>
      <w:r w:rsidR="007C24AB">
        <w:rPr>
          <w:rFonts w:hint="eastAsia"/>
        </w:rPr>
        <w:t>a</w:t>
      </w:r>
      <w:r>
        <w:t xml:space="preserve"> for the corresponding quantum oscillation data). At densities lower than SC3, the Fourier spectrum features a single frequency </w:t>
      </w:r>
      <w:proofErr w:type="spellStart"/>
      <w:r w:rsidRPr="0FEA8259">
        <w:rPr>
          <w:i/>
          <w:iCs/>
        </w:rPr>
        <w:t>f</w:t>
      </w:r>
      <w:r w:rsidRPr="0FEA8259">
        <w:rPr>
          <w:rFonts w:eastAsia="DengXian"/>
          <w:i/>
          <w:iCs/>
          <w:vertAlign w:val="subscript"/>
        </w:rPr>
        <w:t>ν</w:t>
      </w:r>
      <w:proofErr w:type="spellEnd"/>
      <w:r>
        <w:t xml:space="preserve"> = 1/2. At densities higher than SC3, we observe two frequencies</w:t>
      </w:r>
      <w:r w:rsidR="000100A1">
        <w:rPr>
          <w:rFonts w:hint="eastAsia"/>
        </w:rPr>
        <w:t xml:space="preserve"> slightly above and below</w:t>
      </w:r>
      <w:r>
        <w:t xml:space="preserve"> </w:t>
      </w:r>
      <w:proofErr w:type="spellStart"/>
      <w:r w:rsidRPr="0FEA8259">
        <w:rPr>
          <w:i/>
          <w:iCs/>
        </w:rPr>
        <w:t>f</w:t>
      </w:r>
      <w:r w:rsidRPr="0FEA8259">
        <w:rPr>
          <w:rFonts w:eastAsia="DengXian"/>
          <w:i/>
          <w:iCs/>
          <w:vertAlign w:val="subscript"/>
        </w:rPr>
        <w:t>ν</w:t>
      </w:r>
      <w:proofErr w:type="spellEnd"/>
      <w:r>
        <w:t xml:space="preserve"> = 1/3. In the </w:t>
      </w:r>
      <w:r w:rsidR="00286BD5">
        <w:rPr>
          <w:rFonts w:hint="eastAsia"/>
        </w:rPr>
        <w:t>intermediate density range</w:t>
      </w:r>
      <w:r>
        <w:t xml:space="preserve">, the main frequency gradually decreases from 1/2 </w:t>
      </w:r>
      <w:r w:rsidR="000100A1">
        <w:rPr>
          <w:rFonts w:hint="eastAsia"/>
        </w:rPr>
        <w:t>and finally jumps to 1/3</w:t>
      </w:r>
      <w:r>
        <w:t xml:space="preserve">, accompanied by emerging </w:t>
      </w:r>
      <w:r w:rsidR="00CB4225">
        <w:rPr>
          <w:rFonts w:hint="eastAsia"/>
        </w:rPr>
        <w:t xml:space="preserve">FFT </w:t>
      </w:r>
      <w:r>
        <w:t>weights at the low-frequency limit.</w:t>
      </w:r>
    </w:p>
    <w:p w14:paraId="654B5243" w14:textId="64921F31" w:rsidR="00796597" w:rsidRDefault="0FEA8259" w:rsidP="00AC4DB4">
      <w:pPr>
        <w:ind w:firstLine="720"/>
        <w:jc w:val="both"/>
      </w:pPr>
      <w:r>
        <w:t xml:space="preserve">These data suggest that SC3 resides at the boundary </w:t>
      </w:r>
      <w:r w:rsidR="000100A1">
        <w:rPr>
          <w:rFonts w:hint="eastAsia"/>
        </w:rPr>
        <w:t>of</w:t>
      </w:r>
      <w:r w:rsidR="000100A1">
        <w:t xml:space="preserve"> </w:t>
      </w:r>
      <w:r>
        <w:t>a</w:t>
      </w:r>
      <w:r w:rsidR="00985151">
        <w:rPr>
          <w:rFonts w:hint="eastAsia"/>
        </w:rPr>
        <w:t>n</w:t>
      </w:r>
      <w:r>
        <w:t xml:space="preserve"> HM phase and </w:t>
      </w:r>
      <w:r w:rsidR="000100A1">
        <w:rPr>
          <w:rFonts w:hint="eastAsia"/>
        </w:rPr>
        <w:t xml:space="preserve">near </w:t>
      </w:r>
      <w:r>
        <w:t xml:space="preserve">an unbalanced three-quarter-metal (TQM) phase, as shown in Fig. 3f. The splitting in frequencies in </w:t>
      </w:r>
      <w:r>
        <w:lastRenderedPageBreak/>
        <w:t xml:space="preserve">the latter phase can be explained by a small difference in the exact sizes of the three pockets. This new TQM phase can be further revealed by the fermiology analysis at </w:t>
      </w:r>
      <w:r w:rsidRPr="0FEA8259">
        <w:rPr>
          <w:i/>
          <w:iCs/>
        </w:rPr>
        <w:t>D</w:t>
      </w:r>
      <w:r w:rsidRPr="0FEA8259">
        <w:t>/</w:t>
      </w:r>
      <w:r w:rsidRPr="0FEA8259">
        <w:rPr>
          <w:rFonts w:ascii="Cambria Math" w:eastAsia="Cambria Math" w:hAnsi="Cambria Math" w:cs="Cambria Math"/>
          <w:i/>
          <w:iCs/>
          <w:color w:val="000000" w:themeColor="text1"/>
          <w:sz w:val="22"/>
          <w:szCs w:val="22"/>
        </w:rPr>
        <w:t>ε</w:t>
      </w:r>
      <w:r w:rsidRPr="0FEA8259">
        <w:rPr>
          <w:rFonts w:ascii="Cambria Math" w:eastAsia="Cambria Math" w:hAnsi="Cambria Math" w:cs="Cambria Math"/>
          <w:i/>
          <w:iCs/>
          <w:color w:val="000000" w:themeColor="text1"/>
          <w:sz w:val="22"/>
          <w:szCs w:val="22"/>
          <w:vertAlign w:val="subscript"/>
        </w:rPr>
        <w:t>0</w:t>
      </w:r>
      <w:r>
        <w:t xml:space="preserve"> = 0.10 V/nm (corresponding to the green dashed line in Fig. 3a), as shown in Fig</w:t>
      </w:r>
      <w:r w:rsidR="000100A1">
        <w:rPr>
          <w:rFonts w:hint="eastAsia"/>
        </w:rPr>
        <w:t>.</w:t>
      </w:r>
      <w:r>
        <w:t xml:space="preserve"> 3g&amp;h. A single frequency at 1/3 dominates the white-shaded region in Fig. 3</w:t>
      </w:r>
      <w:r w:rsidRPr="00E44A69">
        <w:t>h</w:t>
      </w:r>
      <w:r>
        <w:t xml:space="preserve"> and confirms the three-fold degeneracy of Fermi surface in the TQM phase</w:t>
      </w:r>
      <w:r w:rsidR="00242D1C">
        <w:rPr>
          <w:rFonts w:hint="eastAsia"/>
        </w:rPr>
        <w:t xml:space="preserve"> (</w:t>
      </w:r>
      <w:r w:rsidR="00242D1C">
        <w:t>also</w:t>
      </w:r>
      <w:r w:rsidR="00242D1C">
        <w:rPr>
          <w:rFonts w:hint="eastAsia"/>
        </w:rPr>
        <w:t xml:space="preserve"> see Extended Data Fig. </w:t>
      </w:r>
      <w:r w:rsidR="00C124EB">
        <w:rPr>
          <w:rFonts w:hint="eastAsia"/>
        </w:rPr>
        <w:t>8</w:t>
      </w:r>
      <w:r w:rsidR="00242D1C">
        <w:rPr>
          <w:rFonts w:hint="eastAsia"/>
        </w:rPr>
        <w:t>c for data from D2)</w:t>
      </w:r>
      <w:r>
        <w:t xml:space="preserve">. We also observed an anomalous Hall signal in the TQM phase (see Extended Data Fig. </w:t>
      </w:r>
      <w:r w:rsidR="00C124EB">
        <w:rPr>
          <w:rFonts w:hint="eastAsia"/>
        </w:rPr>
        <w:t>8</w:t>
      </w:r>
      <w:r>
        <w:t xml:space="preserve">f), which suggests </w:t>
      </w:r>
      <w:r w:rsidR="00242D1C">
        <w:rPr>
          <w:rFonts w:hint="eastAsia"/>
        </w:rPr>
        <w:t xml:space="preserve">a </w:t>
      </w:r>
      <w:r>
        <w:t xml:space="preserve">valley polarization. </w:t>
      </w:r>
    </w:p>
    <w:p w14:paraId="4B0D832E" w14:textId="4BC59209" w:rsidR="0FEA8259" w:rsidRDefault="0FEA8259" w:rsidP="00050403">
      <w:pPr>
        <w:ind w:firstLine="720"/>
        <w:jc w:val="both"/>
        <w:rPr>
          <w:color w:val="0070C0"/>
        </w:rPr>
      </w:pPr>
      <w:r w:rsidRPr="00AC4DB4">
        <w:t xml:space="preserve">This is the first observation of a TQM phase </w:t>
      </w:r>
      <w:r w:rsidR="000100A1">
        <w:rPr>
          <w:rFonts w:hint="eastAsia"/>
        </w:rPr>
        <w:t xml:space="preserve">in </w:t>
      </w:r>
      <w:r w:rsidRPr="00AC4DB4">
        <w:t xml:space="preserve">any graphene-based systems. It complements the </w:t>
      </w:r>
      <w:r w:rsidR="000100A1">
        <w:rPr>
          <w:rFonts w:hint="eastAsia"/>
        </w:rPr>
        <w:t>quarter</w:t>
      </w:r>
      <w:r w:rsidR="00BC4630">
        <w:rPr>
          <w:rFonts w:hint="eastAsia"/>
        </w:rPr>
        <w:t xml:space="preserve"> </w:t>
      </w:r>
      <w:r w:rsidR="000100A1">
        <w:rPr>
          <w:rFonts w:hint="eastAsia"/>
        </w:rPr>
        <w:t>metal (</w:t>
      </w:r>
      <w:r w:rsidRPr="00AC4DB4">
        <w:t>QM</w:t>
      </w:r>
      <w:r w:rsidR="000100A1">
        <w:rPr>
          <w:rFonts w:hint="eastAsia"/>
        </w:rPr>
        <w:t>)</w:t>
      </w:r>
      <w:r w:rsidRPr="00AC4DB4">
        <w:t xml:space="preserve">, HM, and </w:t>
      </w:r>
      <w:r w:rsidR="00FA69FF">
        <w:t>full metal</w:t>
      </w:r>
      <w:r w:rsidR="00FA69FF" w:rsidRPr="00AC4DB4">
        <w:t xml:space="preserve"> </w:t>
      </w:r>
      <w:r w:rsidRPr="00AC4DB4">
        <w:t>observed previously and satisfies the natural expectation of the Stoner mechanism of the spontaneous isospin polarization.</w:t>
      </w:r>
      <w:r w:rsidR="00E44A69" w:rsidRPr="00AC4DB4">
        <w:t xml:space="preserve"> </w:t>
      </w:r>
      <w:r w:rsidR="00E44A69" w:rsidRPr="00E44A69">
        <w:rPr>
          <w:rFonts w:ascii="Calibri" w:hAnsi="Calibri" w:cs="Calibri"/>
        </w:rPr>
        <w:t>Our observation can be qualitatively explained by a self-consistent Hartree-Fock mean-field theory (see Methods). Figure</w:t>
      </w:r>
      <w:r w:rsidR="009E2E15">
        <w:rPr>
          <w:rFonts w:ascii="Calibri" w:hAnsi="Calibri" w:cs="Calibri" w:hint="eastAsia"/>
        </w:rPr>
        <w:t xml:space="preserve"> 3i</w:t>
      </w:r>
      <w:r w:rsidR="00E44A69" w:rsidRPr="00E44A69">
        <w:rPr>
          <w:rFonts w:ascii="Calibri" w:hAnsi="Calibri" w:cs="Calibri"/>
        </w:rPr>
        <w:t xml:space="preserve"> contrasts the phase diagrams with and without TMD-induced Ising SOC</w:t>
      </w:r>
      <w:r w:rsidR="009E2E15">
        <w:rPr>
          <w:rFonts w:ascii="Calibri" w:hAnsi="Calibri" w:cs="Calibri"/>
        </w:rPr>
        <w:fldChar w:fldCharType="begin"/>
      </w:r>
      <w:r w:rsidR="00BF4618">
        <w:rPr>
          <w:rFonts w:ascii="Calibri" w:hAnsi="Calibri" w:cs="Calibri"/>
        </w:rPr>
        <w:instrText xml:space="preserve"> ADDIN ZOTERO_ITEM CSL_CITATION {"citationID":"431fxV4L","properties":{"formattedCitation":"\\super 33\\nosupersub{}","plainCitation":"33","noteIndex":0},"citationItems":[{"id":4581,"uris":["http://zotero.org/users/5406744/items/ARBPU8UY"],"itemData":{"id":4581,"type":"article-journal","abstract":"Interfacial interactions allow the electronic properties of graphene to be modified, as recently demonstrated by the appearance of satellite Dirac cones in graphene on hexagonal boron nitride substrates. Ongoing research strives to explore interfacial interactions with other materials to engineer targeted electronic properties. Here we show that with a tungsten disulfide (WS2) substrate, the strength of the spin–orbit interaction (SOI) in graphene is very strongly enhanced. The induced SOI leads to a pronounced low-temperature weak anti-localization effect and to a spin-relaxation time two to three orders of magnitude smaller than in graphene on conventional substrates. To interpret our findings we have performed first-principle electronic structure calculations, which confirm that carriers in graphene on WS2 experience a strong SOI and allow us to extract a spin-dependent low-energy effective Hamiltonian. Our analysis shows that the use of WS2 substrates opens a possible new route to access topological states of matter in graphene-based systems.","container-title":"Nature Communications","DOI":"10.1038/ncomms9339","ISSN":"2041-1723","issue":"1","journalAbbreviation":"Nat Commun","language":"en","license":"2015 The Author(s)","note":"publisher: Nature Publishing Group","page":"8339","source":"www.nature.com","title":"Strong interface-induced spin–orbit interaction in graphene on WS2","volume":"6","author":[{"family":"Wang","given":"Zhe"},{"family":"Ki","given":"Dong-Keun"},{"family":"Chen","given":"Hua"},{"family":"Berger","given":"Helmuth"},{"family":"MacDonald","given":"Allan H."},{"family":"Morpurgo","given":"Alberto F."}],"issued":{"date-parts":[["2015",9,22]]}}}],"schema":"https://github.com/citation-style-language/schema/raw/master/csl-citation.json"} </w:instrText>
      </w:r>
      <w:r w:rsidR="009E2E15">
        <w:rPr>
          <w:rFonts w:ascii="Calibri" w:hAnsi="Calibri" w:cs="Calibri"/>
        </w:rPr>
        <w:fldChar w:fldCharType="separate"/>
      </w:r>
      <w:r w:rsidR="00BF4618" w:rsidRPr="00BF4618">
        <w:rPr>
          <w:rFonts w:ascii="Calibri" w:hAnsi="Calibri" w:cs="Calibri"/>
          <w:kern w:val="0"/>
          <w:vertAlign w:val="superscript"/>
        </w:rPr>
        <w:t>33</w:t>
      </w:r>
      <w:r w:rsidR="009E2E15">
        <w:rPr>
          <w:rFonts w:ascii="Calibri" w:hAnsi="Calibri" w:cs="Calibri"/>
        </w:rPr>
        <w:fldChar w:fldCharType="end"/>
      </w:r>
      <w:r w:rsidR="00E44A69" w:rsidRPr="00E44A69">
        <w:rPr>
          <w:rFonts w:ascii="Calibri" w:hAnsi="Calibri" w:cs="Calibri"/>
        </w:rPr>
        <w:t xml:space="preserve">. </w:t>
      </w:r>
      <w:r w:rsidR="00E44A69" w:rsidRPr="008C0AB5">
        <w:rPr>
          <w:rFonts w:ascii="Calibri" w:hAnsi="Calibri" w:cs="Calibri"/>
        </w:rPr>
        <w:t>In the absence of any SOC, the trigonally warped Fermi pockets</w:t>
      </w:r>
      <w:r w:rsidR="009E2E15" w:rsidRPr="008C0AB5">
        <w:rPr>
          <w:rFonts w:ascii="Calibri" w:hAnsi="Calibri" w:cs="Calibri"/>
        </w:rPr>
        <w:fldChar w:fldCharType="begin"/>
      </w:r>
      <w:r w:rsidR="00BF4618">
        <w:rPr>
          <w:rFonts w:ascii="Calibri" w:hAnsi="Calibri" w:cs="Calibri"/>
        </w:rPr>
        <w:instrText xml:space="preserve"> ADDIN ZOTERO_ITEM CSL_CITATION {"citationID":"f7VIvtaP","properties":{"formattedCitation":"\\super 12\\nosupersub{}","plainCitation":"12","noteIndex":0},"citationItems":[{"id":491,"uris":["http://zotero.org/users/5406744/items/P2Q2M4WA"],"itemData":{"id":491,"type":"article-journal","abstract":"The ABC-stacked N-layer-graphene family of two-dimensional electron systems is described at low energies by two remarkably flat bands with Bloch states that have strongly momentum-dependent phase differences between carbon pi-orbital amplitudes on different layers, and large associated momentum space Berry phases. These properties are most easily understood using a simplified model with only nearest-neighbor inter-layer hopping which leads to gapless semiconductor electronic structure, with p^N dispersion in both conduction and valence bands. We report on a study of the electronic band structures of trilayers which uses ab initio density functional theory and k*p theory to fit the parameters of a pi-band tight-binding model. We find that when remote interlayer hopping is retained, the triple Dirac point of the simplified model is split into three single Dirac points located along the three KM directions. External potential differences between top and bottom layers are strongly screened by charge transfer within the trilayer, but still open an energy gap at overall neutrality.","container-title":"Physical Review B","DOI":"10.1103/PhysRevB.82.035409","ISSN":"1098-0121, 1550-235X","issue":"3","journalAbbreviation":"Phys. Rev. B","note":"arXiv: 1004.1481","page":"035409","source":"arXiv.org","title":"Band Structure of ABC-Stacked Graphene Trilayers","volume":"82","author":[{"family":"Zhang","given":"Fan"},{"family":"Sahu","given":"Bhagawan"},{"family":"Min","given":"Hongki"},{"family":"MacDonald","given":"Allan H."}],"issued":{"date-parts":[["2010",7,9]]}}}],"schema":"https://github.com/citation-style-language/schema/raw/master/csl-citation.json"} </w:instrText>
      </w:r>
      <w:r w:rsidR="009E2E15" w:rsidRPr="008C0AB5">
        <w:rPr>
          <w:rFonts w:ascii="Calibri" w:hAnsi="Calibri" w:cs="Calibri"/>
        </w:rPr>
        <w:fldChar w:fldCharType="separate"/>
      </w:r>
      <w:r w:rsidR="00BF4618" w:rsidRPr="00BF4618">
        <w:rPr>
          <w:rFonts w:ascii="Calibri" w:hAnsi="Calibri" w:cs="Calibri"/>
          <w:kern w:val="0"/>
          <w:vertAlign w:val="superscript"/>
        </w:rPr>
        <w:t>12</w:t>
      </w:r>
      <w:r w:rsidR="009E2E15" w:rsidRPr="008C0AB5">
        <w:rPr>
          <w:rFonts w:ascii="Calibri" w:hAnsi="Calibri" w:cs="Calibri"/>
        </w:rPr>
        <w:fldChar w:fldCharType="end"/>
      </w:r>
      <w:r w:rsidR="00E44A69" w:rsidRPr="008C0AB5">
        <w:rPr>
          <w:rFonts w:ascii="Calibri" w:hAnsi="Calibri" w:cs="Calibri"/>
        </w:rPr>
        <w:t xml:space="preserve"> prefer a valley</w:t>
      </w:r>
      <w:r w:rsidR="00242D1C" w:rsidRPr="008C0AB5">
        <w:rPr>
          <w:rFonts w:ascii="Calibri" w:hAnsi="Calibri" w:cs="Calibri" w:hint="eastAsia"/>
        </w:rPr>
        <w:t>-</w:t>
      </w:r>
      <w:r w:rsidR="00E44A69" w:rsidRPr="008C0AB5">
        <w:rPr>
          <w:rFonts w:ascii="Calibri" w:hAnsi="Calibri" w:cs="Calibri"/>
        </w:rPr>
        <w:t xml:space="preserve"> and spin</w:t>
      </w:r>
      <w:r w:rsidR="00242D1C" w:rsidRPr="008C0AB5">
        <w:rPr>
          <w:rFonts w:ascii="Calibri" w:hAnsi="Calibri" w:cs="Calibri" w:hint="eastAsia"/>
        </w:rPr>
        <w:t>-</w:t>
      </w:r>
      <w:r w:rsidR="00E44A69" w:rsidRPr="008C0AB5">
        <w:rPr>
          <w:rFonts w:ascii="Calibri" w:hAnsi="Calibri" w:cs="Calibri"/>
        </w:rPr>
        <w:t xml:space="preserve">polarized </w:t>
      </w:r>
      <w:r w:rsidR="000100A1" w:rsidRPr="008C0AB5">
        <w:rPr>
          <w:rFonts w:ascii="Calibri" w:hAnsi="Calibri" w:cs="Calibri" w:hint="eastAsia"/>
        </w:rPr>
        <w:t>QM</w:t>
      </w:r>
      <w:r w:rsidR="00E44A69" w:rsidRPr="008C0AB5">
        <w:rPr>
          <w:rFonts w:ascii="Calibri" w:hAnsi="Calibri" w:cs="Calibri"/>
        </w:rPr>
        <w:t xml:space="preserve"> phase, whereas the valley-interchange interaction tends to favor a valley-coherent and spin</w:t>
      </w:r>
      <w:r w:rsidR="00242D1C" w:rsidRPr="008C0AB5">
        <w:rPr>
          <w:rFonts w:ascii="Calibri" w:hAnsi="Calibri" w:cs="Calibri" w:hint="eastAsia"/>
        </w:rPr>
        <w:t>-</w:t>
      </w:r>
      <w:r w:rsidR="00E44A69" w:rsidRPr="008C0AB5">
        <w:rPr>
          <w:rFonts w:ascii="Calibri" w:hAnsi="Calibri" w:cs="Calibri"/>
        </w:rPr>
        <w:t xml:space="preserve">polarized </w:t>
      </w:r>
      <w:r w:rsidR="000100A1" w:rsidRPr="008C0AB5">
        <w:rPr>
          <w:rFonts w:ascii="Calibri" w:hAnsi="Calibri" w:cs="Calibri" w:hint="eastAsia"/>
        </w:rPr>
        <w:t>QM</w:t>
      </w:r>
      <w:r w:rsidR="00E44A69" w:rsidRPr="008C0AB5">
        <w:rPr>
          <w:rFonts w:ascii="Calibri" w:hAnsi="Calibri" w:cs="Calibri"/>
        </w:rPr>
        <w:t xml:space="preserve"> phase</w:t>
      </w:r>
      <w:r w:rsidR="00AE3D2F" w:rsidRPr="008C0AB5">
        <w:rPr>
          <w:rFonts w:ascii="Calibri" w:hAnsi="Calibri" w:cs="Calibri"/>
        </w:rPr>
        <w:t xml:space="preserve"> and a spin</w:t>
      </w:r>
      <w:r w:rsidR="00AE3D2F" w:rsidRPr="008C0AB5">
        <w:rPr>
          <w:rFonts w:ascii="Calibri" w:hAnsi="Calibri" w:cs="Calibri" w:hint="eastAsia"/>
        </w:rPr>
        <w:t>-</w:t>
      </w:r>
      <w:r w:rsidR="00AE3D2F" w:rsidRPr="008C0AB5">
        <w:rPr>
          <w:rFonts w:ascii="Calibri" w:hAnsi="Calibri" w:cs="Calibri"/>
        </w:rPr>
        <w:t>polarized but valley</w:t>
      </w:r>
      <w:r w:rsidR="00AE3D2F" w:rsidRPr="008C0AB5">
        <w:rPr>
          <w:rFonts w:ascii="Calibri" w:hAnsi="Calibri" w:cs="Calibri" w:hint="eastAsia"/>
        </w:rPr>
        <w:t>-</w:t>
      </w:r>
      <w:r w:rsidR="00AE3D2F" w:rsidRPr="008C0AB5">
        <w:rPr>
          <w:rFonts w:ascii="Calibri" w:hAnsi="Calibri" w:cs="Calibri"/>
        </w:rPr>
        <w:t xml:space="preserve">unpolarized </w:t>
      </w:r>
      <w:r w:rsidR="00AE3D2F" w:rsidRPr="008C0AB5">
        <w:rPr>
          <w:rFonts w:ascii="Calibri" w:hAnsi="Calibri" w:cs="Calibri" w:hint="eastAsia"/>
        </w:rPr>
        <w:t>HM</w:t>
      </w:r>
      <w:r w:rsidR="00AE3D2F" w:rsidRPr="008C0AB5">
        <w:rPr>
          <w:rFonts w:ascii="Calibri" w:hAnsi="Calibri" w:cs="Calibri"/>
        </w:rPr>
        <w:t xml:space="preserve"> phase</w:t>
      </w:r>
      <w:r w:rsidR="00E44A69" w:rsidRPr="008C0AB5">
        <w:rPr>
          <w:rFonts w:ascii="Calibri" w:hAnsi="Calibri" w:cs="Calibri"/>
        </w:rPr>
        <w:t xml:space="preserve">. Notably, the </w:t>
      </w:r>
      <w:r w:rsidR="000100A1" w:rsidRPr="008C0AB5">
        <w:rPr>
          <w:rFonts w:ascii="Calibri" w:hAnsi="Calibri" w:cs="Calibri" w:hint="eastAsia"/>
        </w:rPr>
        <w:t>TQM</w:t>
      </w:r>
      <w:r w:rsidR="00E44A69" w:rsidRPr="008C0AB5">
        <w:rPr>
          <w:rFonts w:ascii="Calibri" w:hAnsi="Calibri" w:cs="Calibri"/>
        </w:rPr>
        <w:t xml:space="preserve"> phase does not exhibit a significantly lower energy. In the presence of Ising SOC, the non-interacting phase </w:t>
      </w:r>
      <w:r w:rsidR="00423A6C" w:rsidRPr="008C0AB5">
        <w:rPr>
          <w:rFonts w:ascii="Calibri" w:hAnsi="Calibri" w:cs="Calibri"/>
        </w:rPr>
        <w:t>has</w:t>
      </w:r>
      <w:r w:rsidR="00E44A69" w:rsidRPr="008C0AB5">
        <w:rPr>
          <w:rFonts w:ascii="Calibri" w:hAnsi="Calibri" w:cs="Calibri"/>
        </w:rPr>
        <w:t xml:space="preserve"> a</w:t>
      </w:r>
      <w:r w:rsidR="002E7402" w:rsidRPr="008C0AB5">
        <w:rPr>
          <w:rFonts w:ascii="Calibri" w:hAnsi="Calibri" w:cs="Calibri" w:hint="eastAsia"/>
        </w:rPr>
        <w:t>n</w:t>
      </w:r>
      <w:r w:rsidR="00E44A69" w:rsidRPr="008C0AB5">
        <w:rPr>
          <w:rFonts w:ascii="Calibri" w:hAnsi="Calibri" w:cs="Calibri"/>
        </w:rPr>
        <w:t xml:space="preserve"> </w:t>
      </w:r>
      <w:r w:rsidR="000100A1" w:rsidRPr="008C0AB5">
        <w:rPr>
          <w:rFonts w:ascii="Calibri" w:hAnsi="Calibri" w:cs="Calibri" w:hint="eastAsia"/>
        </w:rPr>
        <w:t>HM</w:t>
      </w:r>
      <w:r w:rsidR="00423A6C" w:rsidRPr="008C0AB5">
        <w:rPr>
          <w:rFonts w:ascii="Calibri" w:hAnsi="Calibri" w:cs="Calibri"/>
        </w:rPr>
        <w:t>-like isospin splitting</w:t>
      </w:r>
      <w:r w:rsidR="00E44A69" w:rsidRPr="008C0AB5">
        <w:rPr>
          <w:rFonts w:ascii="Calibri" w:hAnsi="Calibri" w:cs="Calibri"/>
        </w:rPr>
        <w:t xml:space="preserve"> with out-of-plane spin quantization. With interactions, </w:t>
      </w:r>
      <w:r w:rsidR="002F5FCD" w:rsidRPr="008C0AB5">
        <w:rPr>
          <w:rFonts w:ascii="Calibri" w:hAnsi="Calibri" w:cs="Calibri"/>
        </w:rPr>
        <w:t>the</w:t>
      </w:r>
      <w:r w:rsidR="00E44A69" w:rsidRPr="008C0AB5">
        <w:rPr>
          <w:rFonts w:ascii="Calibri" w:hAnsi="Calibri" w:cs="Calibri"/>
        </w:rPr>
        <w:t xml:space="preserve"> valley</w:t>
      </w:r>
      <w:r w:rsidR="00242D1C" w:rsidRPr="008C0AB5">
        <w:rPr>
          <w:rFonts w:ascii="Calibri" w:hAnsi="Calibri" w:cs="Calibri" w:hint="eastAsia"/>
        </w:rPr>
        <w:t>-</w:t>
      </w:r>
      <w:r w:rsidR="00E44A69" w:rsidRPr="008C0AB5">
        <w:rPr>
          <w:rFonts w:ascii="Calibri" w:hAnsi="Calibri" w:cs="Calibri"/>
        </w:rPr>
        <w:t xml:space="preserve"> and out-of-plane spin</w:t>
      </w:r>
      <w:r w:rsidR="00242D1C" w:rsidRPr="008C0AB5">
        <w:rPr>
          <w:rFonts w:ascii="Calibri" w:hAnsi="Calibri" w:cs="Calibri" w:hint="eastAsia"/>
        </w:rPr>
        <w:t>-</w:t>
      </w:r>
      <w:r w:rsidR="00E44A69" w:rsidRPr="008C0AB5">
        <w:rPr>
          <w:rFonts w:ascii="Calibri" w:hAnsi="Calibri" w:cs="Calibri"/>
        </w:rPr>
        <w:t>polarized</w:t>
      </w:r>
      <w:r w:rsidR="00423A6C" w:rsidRPr="008C0AB5">
        <w:rPr>
          <w:rFonts w:ascii="Calibri" w:hAnsi="Calibri" w:cs="Calibri"/>
        </w:rPr>
        <w:t xml:space="preserve"> phases become more dominant in</w:t>
      </w:r>
      <w:r w:rsidR="002F5FCD" w:rsidRPr="008C0AB5">
        <w:rPr>
          <w:rFonts w:ascii="Calibri" w:hAnsi="Calibri" w:cs="Calibri"/>
        </w:rPr>
        <w:t xml:space="preserve"> both</w:t>
      </w:r>
      <w:r w:rsidR="00423A6C" w:rsidRPr="008C0AB5">
        <w:rPr>
          <w:rFonts w:ascii="Calibri" w:hAnsi="Calibri" w:cs="Calibri"/>
        </w:rPr>
        <w:t xml:space="preserve"> the QM and TQM regimes</w:t>
      </w:r>
      <w:r w:rsidR="00E44A69" w:rsidRPr="008C0AB5">
        <w:rPr>
          <w:rFonts w:ascii="Calibri" w:hAnsi="Calibri" w:cs="Calibri"/>
        </w:rPr>
        <w:t xml:space="preserve">, </w:t>
      </w:r>
      <w:r w:rsidR="00E44A69" w:rsidRPr="00320666">
        <w:rPr>
          <w:rFonts w:ascii="Calibri" w:hAnsi="Calibri" w:cs="Calibri"/>
        </w:rPr>
        <w:t xml:space="preserve">whereas the </w:t>
      </w:r>
      <w:r w:rsidR="000100A1" w:rsidRPr="00320666">
        <w:rPr>
          <w:rFonts w:ascii="Calibri" w:hAnsi="Calibri" w:cs="Calibri" w:hint="eastAsia"/>
        </w:rPr>
        <w:t>HM</w:t>
      </w:r>
      <w:r w:rsidR="00E44A69" w:rsidRPr="00320666">
        <w:rPr>
          <w:rFonts w:ascii="Calibri" w:hAnsi="Calibri" w:cs="Calibri"/>
        </w:rPr>
        <w:t xml:space="preserve"> phase is either valley</w:t>
      </w:r>
      <w:r w:rsidR="00242D1C" w:rsidRPr="00320666">
        <w:rPr>
          <w:rFonts w:ascii="Calibri" w:hAnsi="Calibri" w:cs="Calibri" w:hint="eastAsia"/>
        </w:rPr>
        <w:t>-</w:t>
      </w:r>
      <w:r w:rsidR="00E44A69" w:rsidRPr="00320666">
        <w:rPr>
          <w:rFonts w:ascii="Calibri" w:hAnsi="Calibri" w:cs="Calibri"/>
        </w:rPr>
        <w:t>unpolarized but spin</w:t>
      </w:r>
      <w:r w:rsidR="00242D1C" w:rsidRPr="00320666">
        <w:rPr>
          <w:rFonts w:ascii="Calibri" w:hAnsi="Calibri" w:cs="Calibri" w:hint="eastAsia"/>
        </w:rPr>
        <w:t>-</w:t>
      </w:r>
      <w:r w:rsidR="00E44A69" w:rsidRPr="00320666">
        <w:rPr>
          <w:rFonts w:ascii="Calibri" w:hAnsi="Calibri" w:cs="Calibri"/>
        </w:rPr>
        <w:t>canted towards the plane when a relative</w:t>
      </w:r>
      <w:r w:rsidR="000F22C4" w:rsidRPr="00320666">
        <w:rPr>
          <w:rFonts w:ascii="Calibri" w:hAnsi="Calibri" w:cs="Calibri" w:hint="eastAsia"/>
        </w:rPr>
        <w:t>ly</w:t>
      </w:r>
      <w:r w:rsidR="00E44A69" w:rsidRPr="00320666">
        <w:rPr>
          <w:rFonts w:ascii="Calibri" w:hAnsi="Calibri" w:cs="Calibri"/>
        </w:rPr>
        <w:t xml:space="preserve"> large valley-interchange interaction is adopted, or time-reversal invariant and adiabatically connected to the non-interacting phase when the SOC is sufficiently large.</w:t>
      </w:r>
      <w:r w:rsidR="00E44A69" w:rsidRPr="00E44A69">
        <w:rPr>
          <w:rFonts w:ascii="Calibri" w:hAnsi="Calibri" w:cs="Calibri"/>
        </w:rPr>
        <w:t xml:space="preserve"> Nevertheless, these results are consistent with our observation of anomalous Hall effect in the </w:t>
      </w:r>
      <w:r w:rsidR="000100A1">
        <w:rPr>
          <w:rFonts w:ascii="Calibri" w:hAnsi="Calibri" w:cs="Calibri" w:hint="eastAsia"/>
        </w:rPr>
        <w:t>QM and TQM</w:t>
      </w:r>
      <w:r w:rsidR="00E44A69" w:rsidRPr="00E44A69">
        <w:rPr>
          <w:rFonts w:ascii="Calibri" w:hAnsi="Calibri" w:cs="Calibri"/>
        </w:rPr>
        <w:t xml:space="preserve"> phases. Evidently, the Ising SOC stabilizes the </w:t>
      </w:r>
      <w:r w:rsidR="000100A1">
        <w:rPr>
          <w:rFonts w:ascii="Calibri" w:hAnsi="Calibri" w:cs="Calibri" w:hint="eastAsia"/>
        </w:rPr>
        <w:t>TQM</w:t>
      </w:r>
      <w:r w:rsidR="00E44A69" w:rsidRPr="00E44A69">
        <w:rPr>
          <w:rFonts w:ascii="Calibri" w:hAnsi="Calibri" w:cs="Calibri"/>
        </w:rPr>
        <w:t xml:space="preserve"> phase by lowering its total energy and widening its density range.</w:t>
      </w:r>
    </w:p>
    <w:p w14:paraId="213F7CF2" w14:textId="17DFC700" w:rsidR="001C4D1E" w:rsidRPr="0015434C" w:rsidRDefault="4F6B3D90" w:rsidP="4D372101">
      <w:pPr>
        <w:jc w:val="both"/>
        <w:rPr>
          <w:b/>
          <w:bCs/>
          <w:sz w:val="32"/>
          <w:szCs w:val="32"/>
        </w:rPr>
      </w:pPr>
      <w:r w:rsidRPr="4F6B3D90">
        <w:rPr>
          <w:b/>
          <w:bCs/>
          <w:sz w:val="32"/>
          <w:szCs w:val="32"/>
        </w:rPr>
        <w:t>Superconducting State SC1 Suppressed by SOC</w:t>
      </w:r>
    </w:p>
    <w:p w14:paraId="60B6CFF7" w14:textId="20C2DE11" w:rsidR="00E12D82" w:rsidRDefault="0FEA8259" w:rsidP="51342F7D">
      <w:pPr>
        <w:jc w:val="both"/>
      </w:pPr>
      <w:r>
        <w:t>Lastly, we explore SC1, which was the most prominent superconducting state in RTG without TMD</w:t>
      </w:r>
      <w:r w:rsidR="00242D1C">
        <w:fldChar w:fldCharType="begin"/>
      </w:r>
      <w:r w:rsidR="00BF4618">
        <w:instrText xml:space="preserve"> ADDIN ZOTERO_ITEM CSL_CITATION {"citationID":"TqAwmlF5","properties":{"formattedCitation":"\\super 5,17\\nosupersub{}","plainCitation":"5,17","noteIndex":0},"citationItems":[{"id":3770,"uris":["http://zotero.org/users/5406744/items/527RMQ9V"],"itemData":{"id":3770,"type":"article-journal","abstract":"To access superconductivity via the electric field effect in a clean, two-dimensional device is a central goal of nanoelectronics. Recently, superconductivity has been realized in graphene moiré heterostructures1–4; however, many of these structures are not mechanically stable, and experiments show signatures of strong disorder. Here we report the observation of superconductivity—manifesting as low or vanishing resistivity at sub-kelvin temperatures—in crystalline rhombohedral trilayer graphene5,6, a structurally metastable carbon allotrope. Superconductivity occurs in two distinct gate-tuned regions (SC1 and SC2), and is deep in the clean limit defined by the ratio of mean free path and superconducting coherence length. Mapping of the normal state Fermi surfaces by quantum oscillations reveals that both superconductors emerge from an annular Fermi sea, and are proximal to an isospin-symmetry-breaking transition where the Fermi surface degeneracy changes7. SC1 emerges from a paramagnetic normal state, whereas SC2 emerges from a spin-polarized, valley-unpolarized half-metal17 and violates the Pauli limit for in-plane magnetic fields by at least one order of magnitude8,9. We discuss our results in view of several mechanisms, including conventional phonon-mediated pairing10,11, pairing due to fluctuations of the proximal isospin order12, and intrinsic instabilities of the annular Fermi liquid13,14. Our observation of superconductivity in a clean and structurally simple two-dimensional metal provides a model system to test competing theoretical models of superconductivity without the complication of modelling disorder, while enabling new classes of field-effect controlled electronic devices based on correlated electron phenomena and ballistic electron transport.","container-title":"Nature","DOI":"10.1038/s41586-021-03926-0","ISSN":"1476-4687","issue":"7881","language":"en","license":"2021 The Author(s), under exclusive licence to Springer Nature Limited","note":"number: 7881\npublisher: Nature Publishing Group","page":"434-438","source":"www.nature.com","title":"Superconductivity in rhombohedral trilayer graphene","volume":"598","author":[{"family":"Zhou","given":"Haoxin"},{"family":"Xie","given":"Tian"},{"family":"Taniguchi","given":"Takashi"},{"family":"Watanabe","given":"Kenji"},{"family":"Young","given":"Andrea F."}],"issued":{"date-parts":[["2021",10]]}}},{"id":3774,"uris":["http://zotero.org/users/5406744/items/P2QD7P89"],"itemData":{"id":3774,"type":"thesis","abstract":"This work studies the Van Hove singularity induced novel electronic phenomena in rhombohedral trilayer graphene, including magnetism and superconductivity. Rhombohedral trilayer graphene is a two dimensional crystal where three layers of carbon honeycomb lattice are stacked to form a rhombohedral lattice in its three dimensional extension. The energy band structure of rhombohedral trilayer graphene features van Hove singularities, saddle points in the energy band structure where the density of states diverges. A perpendicular electrical field can be applied to induce interlayer potential and to open up an energy gap at the charge neutrality point. The gap opening modulates the density of states profile, making the divergence at the van Hove singularity robust against fluctuations from finite temperature and disorder effects. Like many other systems, the diverged density of states induces Fermi surface instability. On the one hand, it drives spontaneous ferromagnetic polarization of the electron system into one or more spin- and valley flavors. On the other hand, it allows the bounded states where electrons couple into pairs to have significant lower energy than the normal ground states, leading to superconductivity observable at the experimentally reached temperature. In this work, we fabricated dual graphite-gated rhombohedral trilayer graphene van der Waals heterostructures that allow cryogenic electrical transport measurement and penetration field capacitance measurements and systematically studied the gate voltage modulated magnetic phase transitions and superconductivity. A rigid band model is built that well captures the spin- and valley- phases. For superconductivity, we provided several possible explanations. In addition to gate voltages, we also induced a moiré potential to the system by aligning the lattice of the rhombohedral trilayer graphene with the dielectric material hexagonal boron nitride. We found that while the moiré potential only affect the electronic phase diagram on a perturbative level, several novel phenomena including the breaking of lattice symmetry is induced.","language":"en","publisher":"UC Santa Barbara","source":"escholarship.org","title":"Ferromagnetism and Superconductivity in Rhombohedral Trilayer Graphene","URL":"https://escholarship.org/uc/item/4k36g8qk","author":[{"family":"Zhou","given":"Haoxin"}],"accessed":{"date-parts":[["2023",7,23]]},"issued":{"date-parts":[["2021"]]}}}],"schema":"https://github.com/citation-style-language/schema/raw/master/csl-citation.json"} </w:instrText>
      </w:r>
      <w:r w:rsidR="00242D1C">
        <w:fldChar w:fldCharType="separate"/>
      </w:r>
      <w:r w:rsidR="00BF4618" w:rsidRPr="00BF4618">
        <w:rPr>
          <w:rFonts w:ascii="Calibri" w:hAnsi="Calibri" w:cs="Calibri"/>
          <w:kern w:val="0"/>
          <w:vertAlign w:val="superscript"/>
        </w:rPr>
        <w:t>5,17</w:t>
      </w:r>
      <w:r w:rsidR="00242D1C">
        <w:fldChar w:fldCharType="end"/>
      </w:r>
      <w:r>
        <w:t xml:space="preserve">. Figure 4a-c show the </w:t>
      </w:r>
      <w:r w:rsidRPr="0FEA8259">
        <w:rPr>
          <w:i/>
          <w:iCs/>
        </w:rPr>
        <w:t>n</w:t>
      </w:r>
      <w:r>
        <w:t>-</w:t>
      </w:r>
      <w:r w:rsidRPr="0FEA8259">
        <w:rPr>
          <w:i/>
          <w:iCs/>
        </w:rPr>
        <w:t>D</w:t>
      </w:r>
      <w:r>
        <w:t xml:space="preserve"> maps of </w:t>
      </w:r>
      <w:r w:rsidRPr="0FEA8259">
        <w:rPr>
          <w:i/>
          <w:iCs/>
        </w:rPr>
        <w:t>R</w:t>
      </w:r>
      <w:r w:rsidRPr="0FEA8259">
        <w:rPr>
          <w:i/>
          <w:iCs/>
          <w:vertAlign w:val="subscript"/>
        </w:rPr>
        <w:t>xx</w:t>
      </w:r>
      <w:r>
        <w:t xml:space="preserve"> near the HM phase in Scenario 1-3. Two dark blue regions can be seen in Fig. 4</w:t>
      </w:r>
      <w:r w:rsidRPr="00AC4DB4">
        <w:t>b</w:t>
      </w:r>
      <w:r>
        <w:t xml:space="preserve"> and 4c, but not in Fig. 4a. Figure 4d shows the </w:t>
      </w:r>
      <w:proofErr w:type="spellStart"/>
      <w:r>
        <w:t>d</w:t>
      </w:r>
      <w:r w:rsidRPr="0FEA8259">
        <w:rPr>
          <w:i/>
          <w:iCs/>
        </w:rPr>
        <w:t>V</w:t>
      </w:r>
      <w:proofErr w:type="spellEnd"/>
      <w:r>
        <w:t>/</w:t>
      </w:r>
      <w:proofErr w:type="spellStart"/>
      <w:r>
        <w:t>d</w:t>
      </w:r>
      <w:r w:rsidRPr="0FEA8259">
        <w:rPr>
          <w:i/>
          <w:iCs/>
        </w:rPr>
        <w:t>I</w:t>
      </w:r>
      <w:proofErr w:type="spellEnd"/>
      <w:r>
        <w:t xml:space="preserve"> versus </w:t>
      </w:r>
      <w:r w:rsidRPr="0FEA8259">
        <w:rPr>
          <w:i/>
          <w:iCs/>
        </w:rPr>
        <w:t>I</w:t>
      </w:r>
      <w:r w:rsidRPr="0FEA8259">
        <w:rPr>
          <w:i/>
          <w:iCs/>
          <w:vertAlign w:val="subscript"/>
        </w:rPr>
        <w:t>DC</w:t>
      </w:r>
      <w:r>
        <w:t xml:space="preserve">, at similar </w:t>
      </w:r>
      <w:r w:rsidRPr="0FEA8259">
        <w:rPr>
          <w:i/>
          <w:iCs/>
        </w:rPr>
        <w:t>n</w:t>
      </w:r>
      <w:r>
        <w:t xml:space="preserve"> &amp; </w:t>
      </w:r>
      <w:r w:rsidRPr="0FEA8259">
        <w:rPr>
          <w:i/>
          <w:iCs/>
        </w:rPr>
        <w:t>D</w:t>
      </w:r>
      <w:r>
        <w:t xml:space="preserve"> in all three scenarios (corresponding to the black, blue, and red markers in Fig. 4a –c</w:t>
      </w:r>
      <w:r w:rsidR="00242D1C">
        <w:rPr>
          <w:rFonts w:hint="eastAsia"/>
        </w:rPr>
        <w:t>,</w:t>
      </w:r>
      <w:r>
        <w:t xml:space="preserve"> respectively). The blue and red curves show non-linear </w:t>
      </w:r>
      <w:r w:rsidRPr="0FEA8259">
        <w:rPr>
          <w:i/>
          <w:iCs/>
        </w:rPr>
        <w:t>I</w:t>
      </w:r>
      <w:r>
        <w:t>-</w:t>
      </w:r>
      <w:r w:rsidRPr="0FEA8259">
        <w:rPr>
          <w:i/>
          <w:iCs/>
        </w:rPr>
        <w:t>V</w:t>
      </w:r>
      <w:r>
        <w:t xml:space="preserve"> behavior, which is absent from the black curve. Figure 4e shows the temperature dependence of </w:t>
      </w:r>
      <w:r w:rsidRPr="0FEA8259">
        <w:rPr>
          <w:i/>
          <w:iCs/>
        </w:rPr>
        <w:t>R</w:t>
      </w:r>
      <w:r w:rsidRPr="0FEA8259">
        <w:rPr>
          <w:i/>
          <w:iCs/>
          <w:vertAlign w:val="subscript"/>
        </w:rPr>
        <w:t>xx</w:t>
      </w:r>
      <w:r>
        <w:t xml:space="preserve"> at the same position, which reveals a drop of </w:t>
      </w:r>
      <w:r w:rsidRPr="0FEA8259">
        <w:rPr>
          <w:i/>
          <w:iCs/>
        </w:rPr>
        <w:t>R</w:t>
      </w:r>
      <w:r w:rsidRPr="0FEA8259">
        <w:rPr>
          <w:i/>
          <w:iCs/>
          <w:vertAlign w:val="subscript"/>
        </w:rPr>
        <w:t>xx</w:t>
      </w:r>
      <w:r>
        <w:t xml:space="preserve"> </w:t>
      </w:r>
      <w:r w:rsidR="003C2262">
        <w:rPr>
          <w:rFonts w:hint="eastAsia"/>
        </w:rPr>
        <w:t xml:space="preserve">again </w:t>
      </w:r>
      <w:r>
        <w:t>only in the blue and red curves.</w:t>
      </w:r>
    </w:p>
    <w:p w14:paraId="51B2FF5E" w14:textId="6CB442D6" w:rsidR="00CE52E0" w:rsidRDefault="0FEA8259" w:rsidP="0FEA8259">
      <w:pPr>
        <w:ind w:firstLine="720"/>
        <w:jc w:val="both"/>
      </w:pPr>
      <w:r>
        <w:t xml:space="preserve">These observations confirm that the low resistive states in Fig. 4b and 4c are superconductors, similar to the SC1 observed in RTG without TMD. However, SC1 disappears when a stronger SOC is introduced, as shown in Fig. 4a. This is in direct contrast to all previous studies of TMD-proximitized graphene superconductors.  Even when a weak SOC is introduced, </w:t>
      </w:r>
      <w:r>
        <w:lastRenderedPageBreak/>
        <w:t xml:space="preserve">the </w:t>
      </w:r>
      <w:r w:rsidRPr="0FEA8259">
        <w:rPr>
          <w:i/>
          <w:iCs/>
        </w:rPr>
        <w:t>T</w:t>
      </w:r>
      <w:r w:rsidRPr="0FEA8259">
        <w:rPr>
          <w:i/>
          <w:iCs/>
          <w:vertAlign w:val="subscript"/>
        </w:rPr>
        <w:t>c</w:t>
      </w:r>
      <w:r>
        <w:t xml:space="preserve"> of SC1 is slightly suppressed (57 </w:t>
      </w:r>
      <w:proofErr w:type="spellStart"/>
      <w:r>
        <w:t>mK</w:t>
      </w:r>
      <w:proofErr w:type="spellEnd"/>
      <w:r>
        <w:t xml:space="preserve"> in Scenario 2 versus 65 </w:t>
      </w:r>
      <w:proofErr w:type="spellStart"/>
      <w:r>
        <w:t>mK</w:t>
      </w:r>
      <w:proofErr w:type="spellEnd"/>
      <w:r>
        <w:t xml:space="preserve"> in Scenario 3). We note this suppression is different from observed in AB-stacked bilayer graphene/WSe</w:t>
      </w:r>
      <w:r w:rsidRPr="009A424A">
        <w:rPr>
          <w:vertAlign w:val="subscript"/>
        </w:rPr>
        <w:t>2</w:t>
      </w:r>
      <w:r w:rsidR="00305CCD">
        <w:rPr>
          <w:vertAlign w:val="subscript"/>
        </w:rPr>
        <w:fldChar w:fldCharType="begin"/>
      </w:r>
      <w:r w:rsidR="00BF4618">
        <w:rPr>
          <w:vertAlign w:val="subscript"/>
        </w:rPr>
        <w:instrText xml:space="preserve"> ADDIN ZOTERO_ITEM CSL_CITATION {"citationID":"WnZKqDIE","properties":{"formattedCitation":"\\super 18\\uc0\\u8211{}21\\nosupersub{}","plainCitation":"18–21","noteIndex":0},"citationItems":[{"id":1752,"uris":["http://zotero.org/users/5406744/items/5ITGK7BD"],"itemData":{"id":1752,"type":"article-journal","container-title":"Nature","DOI":"10.1038/s41586-022-05446-x","ISSN":"0028-0836, 1476-4687","issue":"7943","journalAbbreviation":"Nature","language":"en","page":"268-273","source":"DOI.org (Crossref)","title":"Enhanced superconductivity in spin–orbit proximitized bilayer graphene","volume":"613","author":[{"family":"Zhang","given":"Yiran"},{"family":"Polski","given":"Robert"},{"family":"Thomson","given":"Alex"},{"family":"Lantagne-Hurtubise","given":"Étienne"},{"family":"Lewandowski","given":"Cyprian"},{"family":"Zhou","given":"Haoxin"},{"family":"Watanabe","given":"Kenji"},{"family":"Taniguchi","given":"Takashi"},{"family":"Alicea","given":"Jason"},{"family":"Nadj-Perge","given":"Stevan"}],"issued":{"date-parts":[["2023",1,12]]}}},{"id":4319,"uris":["http://zotero.org/users/5406744/items/XZ6TC7XV"],"itemData":{"id":4319,"type":"article","abstract":"Superconductivity is a ubiquitous feature of graphite allotropes, having been observed in Bernal bilayers, rhombohedral trilayers, and a wide variety of angle-misaligned multilayers. Despite significant differences in the electronic structure across these systems, supporting the graphite layer on a WSe$_2$ substrate has been consistently observed to expand the range of superconductivity in carrier density and temperature. Here, we report the observation of two distinct superconducting states (denoted SC$_1$ and SC$_2$) in Bernal bilayer graphene with strong proximity-induced Ising spin-orbit coupling. Quantum oscillations show that while the normal state of SC$_1$ is consistent with the single-particle band structure, SC$_2$ emerges from a nematic normal state with broken rotational symmetry. Both superconductors are robust to in-plane magnetic fields, violating the paramagnetic limit as expected for spin-valley locked Ising superconductors. Our results show that the enhancement of superconductivity in WSe$_2$ supported graphite allotropes can be directly linked to Ising spin orbit coupling, which favors valley-balanced ground states with time-reversal symmetric Fermi surfaces friendly to superconducting pairing.","note":"arXiv:2303.00742 [cond-mat]","number":"arXiv:2303.00742","publisher":"arXiv","source":"arXiv.org","title":"Ising Superconductivity and Nematicity in Bernal Bilayer Graphene with Strong Spin Orbit Coupling","URL":"http://arxiv.org/abs/2303.00742","author":[{"family":"Holleis","given":"Ludwig"},{"family":"Patterson","given":"Caitlin L."},{"family":"Zhang","given":"Yiran"},{"family":"Yoo","given":"Heun Mo"},{"family":"Zhou","given":"Haoxin"},{"family":"Taniguchi","given":"Takashi"},{"family":"Watanabe","given":"Kenji"},{"family":"Nadj-Perge","given":"Stevan"},{"family":"Young","given":"Andrea F."}],"accessed":{"date-parts":[["2024",1,10]]},"issued":{"date-parts":[["2023",3,1]]}}},{"id":4721,"uris":["http://zotero.org/users/5406744/items/BB4QM5H2"],"itemData":{"id":4721,"type":"article","abstract":"The relative twist angle between layers of near-lattice-matched van der Waals materials is critical for the emergent correlated phenomena associated with moire flat bands. However, the concept of angle rotation control is not exclusive to moir\\'e superlattices in which electrons directly experience a twist-angle-dependent periodic potential. Instead, it can also be employed to induce programmable symmetry-breaking perturbations with the goal of stabilizing desired correlated states. Here, we experimentally demonstrate `moireless' twist-tuning of superconductivity together with other correlated orders in Bernal bilayer graphene proximitized by tungsten diselenide. The alignment between the two materials systematically controls the strength of the induced Ising spin-orbit coupling (SOC), profoundly altering the phase diagram. As Ising SOC is increased, superconductivity onsets at a higher displacement field and features a higher critical temperature, reaching up to 0.5K. Within the main superconducting dome and in the strong Ising SOC limit, we find an unusual phase transition characterized by a nematic redistribution of holes among trigonally warped Fermi pockets and enhanced resilience to in-plane magnetic fields. The behavior of the superconducting phase is well captured by our theoretical model, which emphasizes the role of interband interactions between Fermi pockets arising due to interaction-enhanced symmetry breaking. Moreover, we identify two additional superconducting regions, one of which descends from an inter-valley coherent normal state and exhibits a Pauli-limit violation ratio exceeding 40, among the highest for all known superconductors. Our results provide new insights into ultra-clean graphene-based superconductors and underscore the potential of utilizing moireless-twist engineering across a range of van der Waals heterostructures.","DOI":"10.48550/arXiv.2408.10335","note":"arXiv:2408.10335 [cond-mat]","number":"arXiv:2408.10335","publisher":"arXiv","source":"arXiv.org","title":"Twist-Programmable Superconductivity in Spin-Orbit Coupled Bilayer Graphene","URL":"http://arxiv.org/abs/2408.10335","author":[{"family":"Zhang","given":"Yiran"},{"family":"Shavit","given":"Gal"},{"family":"Ma","given":"Huiyang"},{"family":"Han","given":"Youngjoon"},{"family":"Watanabe","given":"Kenji"},{"family":"Taniguchi","given":"Takashi"},{"family":"Hsieh","given":"David"},{"family":"Lewandowski","given":"Cyprian"},{"family":"Oppen","given":"Felix","non-dropping-particle":"von"},{"family":"Oreg","given":"Yuval"},{"family":"Nadj-Perge","given":"Stevan"}],"accessed":{"date-parts":[["2024",8,27]]},"issued":{"date-parts":[["2024",8,19]]}}},{"id":4497,"uris":["http://zotero.org/users/5406744/items/NVDV6TNX"],"itemData":{"id":4497,"type":"article-journal","abstract":"Graphene-based, high-quality, two-dimensional electronic systems have emerged as a highly tunable platform for studying superconductivity1–21. Specifically, superconductivity has been observed in both electron- and hole-doped twisted graphene moiré systems1–17, whereas in crystalline graphene systems, superconductivity has so far been observed only in hole-doped rhombohedral trilayer graphene (RTG)18 and hole-doped Bernal bilayer graphene (BBG)19–21. Recently, enhanced superconductivity has been demonstrated20,21 in BBG because of the proximity to a monolayer WSe2. Here we report the observation of superconductivity and a series of flavour-symmetry-breaking phases in electron- and hole-doped BBG/WSe2 devices by electrostatic doping. The strength of the observed superconductivity is tunable by applied vertical electric fields. The maximum Berezinskii–Kosterlitz−Thouless transition temperature for the electron- and hole-doped superconductivity is about 210 mK and 400 mK, respectively. Superconductivities emerge only when the applied electric fields drive the BBG electron or hole wavefunctions towards the WSe2 layer, underscoring the importance of the WSe2 layer in the observed superconductivity. The hole-doped superconductivity violates the Pauli paramagnetic limit, consistent with an Ising-like superconductor. By contrast, the electron-doped superconductivity obeys the Pauli limit, although the proximity-induced Ising spin–orbit coupling is also notable in the conduction band. Our findings highlight the rich physics associated with the conduction band in BBG, paving the way for further studies into the superconducting mechanisms of crystalline graphene and the development of superconductor devices based on BBG.","container-title":"Nature","DOI":"10.1038/s41586-024-07584-w","ISSN":"1476-4687","issue":"8020","language":"en","license":"2024 The Author(s), under exclusive licence to Springer Nature Limited","note":"publisher: Nature Publishing Group","page":"300-306","source":"www.nature.com","title":"Tunable superconductivity in electron- and hole-doped Bernal bilayer graphene","volume":"631","author":[{"family":"Li","given":"Chushan"},{"family":"Xu","given":"Fan"},{"family":"Li","given":"Bohao"},{"family":"Li","given":"Jiayi"},{"family":"Li","given":"Guoan"},{"family":"Watanabe","given":"Kenji"},{"family":"Taniguchi","given":"Takashi"},{"family":"Tong","given":"Bingbing"},{"family":"Shen","given":"Jie"},{"family":"Lu","given":"Li"},{"family":"Jia","given":"Jinfeng"},{"family":"Wu","given":"Fengcheng"},{"family":"Liu","given":"Xiaoxue"},{"family":"Li","given":"Tingxin"}],"issued":{"date-parts":[["2024",7]]}}}],"schema":"https://github.com/citation-style-language/schema/raw/master/csl-citation.json"} </w:instrText>
      </w:r>
      <w:r w:rsidR="00305CCD">
        <w:rPr>
          <w:vertAlign w:val="subscript"/>
        </w:rPr>
        <w:fldChar w:fldCharType="separate"/>
      </w:r>
      <w:r w:rsidR="00BF4618" w:rsidRPr="00BF4618">
        <w:rPr>
          <w:rFonts w:ascii="Calibri" w:hAnsi="Calibri" w:cs="Calibri"/>
          <w:kern w:val="0"/>
          <w:vertAlign w:val="superscript"/>
        </w:rPr>
        <w:t>18–21</w:t>
      </w:r>
      <w:r w:rsidR="00305CCD">
        <w:rPr>
          <w:vertAlign w:val="subscript"/>
        </w:rPr>
        <w:fldChar w:fldCharType="end"/>
      </w:r>
      <w:r>
        <w:t xml:space="preserve">, where superconductivity is enhanced in </w:t>
      </w:r>
      <w:r w:rsidRPr="009A424A">
        <w:rPr>
          <w:i/>
          <w:iCs/>
        </w:rPr>
        <w:t>T</w:t>
      </w:r>
      <w:r w:rsidRPr="009A424A">
        <w:rPr>
          <w:i/>
          <w:iCs/>
          <w:vertAlign w:val="subscript"/>
        </w:rPr>
        <w:t>c</w:t>
      </w:r>
      <w:r>
        <w:t xml:space="preserve"> </w:t>
      </w:r>
      <w:r w:rsidR="00294273">
        <w:rPr>
          <w:rFonts w:hint="eastAsia"/>
        </w:rPr>
        <w:t>but</w:t>
      </w:r>
      <w:r>
        <w:t xml:space="preserve"> shifted to a higher range of </w:t>
      </w:r>
      <w:r w:rsidRPr="009A424A">
        <w:rPr>
          <w:i/>
          <w:iCs/>
        </w:rPr>
        <w:t>D</w:t>
      </w:r>
      <w:r>
        <w:t>. In our experiment, SC1 is completely eliminated from the phase diagram instead of being shifted</w:t>
      </w:r>
      <w:r w:rsidR="007C24AB">
        <w:rPr>
          <w:rFonts w:hint="eastAsia"/>
        </w:rPr>
        <w:t xml:space="preserve"> (see</w:t>
      </w:r>
      <w:r w:rsidR="00242D1C">
        <w:rPr>
          <w:rFonts w:hint="eastAsia"/>
        </w:rPr>
        <w:t xml:space="preserve"> the full phase diagram in</w:t>
      </w:r>
      <w:r w:rsidR="007C24AB">
        <w:rPr>
          <w:rFonts w:hint="eastAsia"/>
        </w:rPr>
        <w:t xml:space="preserve"> Extended Data Fig.</w:t>
      </w:r>
      <w:r w:rsidR="00C124EB">
        <w:rPr>
          <w:rFonts w:hint="eastAsia"/>
        </w:rPr>
        <w:t>9</w:t>
      </w:r>
      <w:r w:rsidR="007C24AB">
        <w:rPr>
          <w:rFonts w:hint="eastAsia"/>
        </w:rPr>
        <w:t>)</w:t>
      </w:r>
      <w:r>
        <w:t>.</w:t>
      </w:r>
    </w:p>
    <w:p w14:paraId="537C5E8B" w14:textId="7468526A" w:rsidR="009266D4" w:rsidRDefault="009266D4" w:rsidP="0FEA8259">
      <w:pPr>
        <w:ind w:firstLine="720"/>
        <w:jc w:val="both"/>
      </w:pPr>
      <w:r>
        <w:rPr>
          <w:rFonts w:hint="eastAsia"/>
        </w:rPr>
        <w:t xml:space="preserve">Figure 4f </w:t>
      </w:r>
      <w:r w:rsidR="007C24AB">
        <w:rPr>
          <w:rFonts w:hint="eastAsia"/>
        </w:rPr>
        <w:t>(also see Extended Data Fig.</w:t>
      </w:r>
      <w:r w:rsidR="00934FE8">
        <w:rPr>
          <w:rFonts w:hint="eastAsia"/>
        </w:rPr>
        <w:t>6</w:t>
      </w:r>
      <w:r w:rsidR="007C24AB">
        <w:rPr>
          <w:rFonts w:hint="eastAsia"/>
        </w:rPr>
        <w:t xml:space="preserve">c) </w:t>
      </w:r>
      <w:r>
        <w:rPr>
          <w:rFonts w:hint="eastAsia"/>
        </w:rPr>
        <w:t xml:space="preserve">shows the fermiology </w:t>
      </w:r>
      <w:r w:rsidR="00286BD5">
        <w:rPr>
          <w:rFonts w:hint="eastAsia"/>
        </w:rPr>
        <w:t xml:space="preserve">analysis </w:t>
      </w:r>
      <w:r>
        <w:rPr>
          <w:rFonts w:hint="eastAsia"/>
        </w:rPr>
        <w:t>in D</w:t>
      </w:r>
      <w:r w:rsidR="00286BD5">
        <w:rPr>
          <w:rFonts w:hint="eastAsia"/>
        </w:rPr>
        <w:t>1 near the expected SC1 state (the black dashed line in Fig.4a). On the low-</w:t>
      </w:r>
      <w:r w:rsidR="00242D1C" w:rsidRPr="00ED16F7">
        <w:rPr>
          <w:i/>
          <w:iCs/>
        </w:rPr>
        <w:t>n</w:t>
      </w:r>
      <w:r w:rsidR="00286BD5">
        <w:rPr>
          <w:rFonts w:hint="eastAsia"/>
        </w:rPr>
        <w:t xml:space="preserve"> side, FFT </w:t>
      </w:r>
      <w:r w:rsidR="00305CCD">
        <w:rPr>
          <w:rFonts w:hint="eastAsia"/>
        </w:rPr>
        <w:t>weights</w:t>
      </w:r>
      <w:r w:rsidR="00286BD5">
        <w:rPr>
          <w:rFonts w:hint="eastAsia"/>
        </w:rPr>
        <w:t xml:space="preserve"> </w:t>
      </w:r>
      <w:r w:rsidR="00305CCD">
        <w:rPr>
          <w:rFonts w:hint="eastAsia"/>
        </w:rPr>
        <w:t>only exist in the low-frequency limit</w:t>
      </w:r>
      <w:r w:rsidR="002825E7">
        <w:rPr>
          <w:rFonts w:hint="eastAsia"/>
        </w:rPr>
        <w:t xml:space="preserve">. </w:t>
      </w:r>
      <w:r w:rsidR="002825E7">
        <w:t>O</w:t>
      </w:r>
      <w:r w:rsidR="002825E7">
        <w:rPr>
          <w:rFonts w:hint="eastAsia"/>
        </w:rPr>
        <w:t>n the high-</w:t>
      </w:r>
      <w:r w:rsidR="00242D1C" w:rsidRPr="00ED16F7">
        <w:rPr>
          <w:i/>
          <w:iCs/>
        </w:rPr>
        <w:t>n</w:t>
      </w:r>
      <w:r w:rsidR="002825E7">
        <w:rPr>
          <w:rFonts w:hint="eastAsia"/>
        </w:rPr>
        <w:t xml:space="preserve"> side where SC1 is expected, we observe </w:t>
      </w:r>
      <w:r w:rsidR="002825E7">
        <w:t>multiple</w:t>
      </w:r>
      <w:r w:rsidR="002825E7">
        <w:rPr>
          <w:rFonts w:hint="eastAsia"/>
        </w:rPr>
        <w:t xml:space="preserve"> FFT peaks above </w:t>
      </w:r>
      <w:r w:rsidR="002825E7" w:rsidRPr="26D95A99">
        <w:rPr>
          <w:i/>
          <w:iCs/>
        </w:rPr>
        <w:t>f</w:t>
      </w:r>
      <w:r w:rsidR="002825E7">
        <w:rPr>
          <w:rFonts w:eastAsia="DengXian" w:hint="eastAsia"/>
          <w:i/>
          <w:iCs/>
          <w:vertAlign w:val="subscript"/>
        </w:rPr>
        <w:t>1</w:t>
      </w:r>
      <w:r w:rsidR="002825E7">
        <w:t xml:space="preserve"> = 0</w:t>
      </w:r>
      <w:r w:rsidR="002825E7">
        <w:rPr>
          <w:rFonts w:hint="eastAsia"/>
        </w:rPr>
        <w:t xml:space="preserve">, above </w:t>
      </w:r>
      <w:r w:rsidR="002825E7" w:rsidRPr="26D95A99">
        <w:rPr>
          <w:i/>
          <w:iCs/>
        </w:rPr>
        <w:t>f</w:t>
      </w:r>
      <w:r w:rsidR="002825E7">
        <w:rPr>
          <w:rFonts w:eastAsia="DengXian" w:hint="eastAsia"/>
          <w:i/>
          <w:iCs/>
          <w:vertAlign w:val="subscript"/>
        </w:rPr>
        <w:t>2</w:t>
      </w:r>
      <w:r w:rsidR="002825E7">
        <w:t xml:space="preserve"> =</w:t>
      </w:r>
      <w:r w:rsidR="002825E7">
        <w:rPr>
          <w:rFonts w:hint="eastAsia"/>
        </w:rPr>
        <w:t xml:space="preserve">1/4, and above </w:t>
      </w:r>
      <w:r w:rsidR="002825E7" w:rsidRPr="26D95A99">
        <w:rPr>
          <w:i/>
          <w:iCs/>
        </w:rPr>
        <w:t>f</w:t>
      </w:r>
      <w:r w:rsidR="002825E7">
        <w:rPr>
          <w:rFonts w:eastAsia="DengXian" w:hint="eastAsia"/>
          <w:i/>
          <w:iCs/>
          <w:vertAlign w:val="subscript"/>
        </w:rPr>
        <w:t>3</w:t>
      </w:r>
      <w:r w:rsidR="002825E7">
        <w:t xml:space="preserve"> = </w:t>
      </w:r>
      <w:r w:rsidR="002825E7">
        <w:rPr>
          <w:rFonts w:hint="eastAsia"/>
        </w:rPr>
        <w:t xml:space="preserve">1/2. </w:t>
      </w:r>
      <w:r w:rsidR="002825E7">
        <w:t>A</w:t>
      </w:r>
      <w:r w:rsidR="002825E7">
        <w:rPr>
          <w:rFonts w:hint="eastAsia"/>
        </w:rPr>
        <w:t>s |</w:t>
      </w:r>
      <w:r w:rsidR="002825E7" w:rsidRPr="00FD7004">
        <w:rPr>
          <w:rFonts w:hint="eastAsia"/>
          <w:i/>
          <w:iCs/>
        </w:rPr>
        <w:t>n</w:t>
      </w:r>
      <w:r w:rsidR="002825E7">
        <w:rPr>
          <w:rFonts w:hint="eastAsia"/>
        </w:rPr>
        <w:t xml:space="preserve">| increases, they are all approaching </w:t>
      </w:r>
      <w:r w:rsidR="002825E7">
        <w:t>0</w:t>
      </w:r>
      <w:r w:rsidR="002825E7">
        <w:rPr>
          <w:rFonts w:hint="eastAsia"/>
        </w:rPr>
        <w:t>, 1/4, and 1/2</w:t>
      </w:r>
      <w:r w:rsidR="00F2566A">
        <w:rPr>
          <w:rFonts w:hint="eastAsia"/>
        </w:rPr>
        <w:t>,</w:t>
      </w:r>
      <w:r w:rsidR="002825E7">
        <w:rPr>
          <w:rFonts w:hint="eastAsia"/>
        </w:rPr>
        <w:t xml:space="preserve"> respectively. </w:t>
      </w:r>
    </w:p>
    <w:p w14:paraId="7CBE4349" w14:textId="240A30DF" w:rsidR="00BA26E4" w:rsidRPr="009232C6" w:rsidRDefault="002825E7" w:rsidP="009232C6">
      <w:pPr>
        <w:ind w:firstLine="720"/>
        <w:jc w:val="both"/>
      </w:pPr>
      <w:r>
        <w:rPr>
          <w:rFonts w:hint="eastAsia"/>
        </w:rPr>
        <w:t xml:space="preserve">Similar to RTG without TMD, here our results also suggest annular Fermi surfaces in the expected SC1 density range. Notice that </w:t>
      </w:r>
      <w:r w:rsidRPr="26D95A99">
        <w:rPr>
          <w:i/>
          <w:iCs/>
        </w:rPr>
        <w:t>f</w:t>
      </w:r>
      <w:r w:rsidRPr="26D95A99">
        <w:rPr>
          <w:rFonts w:eastAsia="DengXian"/>
          <w:i/>
          <w:iCs/>
          <w:vertAlign w:val="subscript"/>
        </w:rPr>
        <w:t>2</w:t>
      </w:r>
      <w:r w:rsidR="00305CCD" w:rsidRPr="00AC4DB4">
        <w:rPr>
          <w:rFonts w:eastAsia="DengXian"/>
          <w:i/>
          <w:iCs/>
        </w:rPr>
        <w:t xml:space="preserve"> </w:t>
      </w:r>
      <w:r>
        <w:t>–</w:t>
      </w:r>
      <w:r w:rsidR="00305CCD">
        <w:rPr>
          <w:rFonts w:hint="eastAsia"/>
        </w:rPr>
        <w:t xml:space="preserve"> </w:t>
      </w:r>
      <w:r w:rsidRPr="26D95A99">
        <w:rPr>
          <w:i/>
          <w:iCs/>
        </w:rPr>
        <w:t>f</w:t>
      </w:r>
      <w:r w:rsidRPr="26D95A99">
        <w:rPr>
          <w:i/>
          <w:iCs/>
          <w:vertAlign w:val="subscript"/>
        </w:rPr>
        <w:t>1</w:t>
      </w:r>
      <w:r w:rsidR="00305CCD" w:rsidRPr="00AC4DB4">
        <w:rPr>
          <w:i/>
          <w:iCs/>
        </w:rPr>
        <w:t xml:space="preserve"> </w:t>
      </w:r>
      <w:r w:rsidRPr="002825E7">
        <w:t>=</w:t>
      </w:r>
      <w:r w:rsidR="00305CCD">
        <w:rPr>
          <w:rFonts w:hint="eastAsia"/>
        </w:rPr>
        <w:t xml:space="preserve"> </w:t>
      </w:r>
      <w:r w:rsidRPr="00AC4DB4">
        <w:t>1/4,</w:t>
      </w:r>
      <w:r>
        <w:rPr>
          <w:rFonts w:hint="eastAsia"/>
        </w:rPr>
        <w:t xml:space="preserve"> indicating all four isospin flavors</w:t>
      </w:r>
      <w:r w:rsidR="007B3618">
        <w:rPr>
          <w:rFonts w:hint="eastAsia"/>
        </w:rPr>
        <w:t xml:space="preserve"> are</w:t>
      </w:r>
      <w:r>
        <w:rPr>
          <w:rFonts w:hint="eastAsia"/>
        </w:rPr>
        <w:t xml:space="preserve"> almost equally occupied, while the FFT peaks near </w:t>
      </w:r>
      <w:r w:rsidRPr="26D95A99">
        <w:rPr>
          <w:i/>
          <w:iCs/>
        </w:rPr>
        <w:t>f</w:t>
      </w:r>
      <w:r w:rsidRPr="00AC4DB4">
        <w:rPr>
          <w:vertAlign w:val="subscript"/>
        </w:rPr>
        <w:t>3</w:t>
      </w:r>
      <w:r>
        <w:rPr>
          <w:rFonts w:hint="eastAsia"/>
        </w:rPr>
        <w:t xml:space="preserve"> can be understood as the higher harmonics of </w:t>
      </w:r>
      <w:r w:rsidRPr="26D95A99">
        <w:rPr>
          <w:i/>
          <w:iCs/>
        </w:rPr>
        <w:t>f</w:t>
      </w:r>
      <w:r w:rsidRPr="26D95A99">
        <w:rPr>
          <w:rFonts w:eastAsia="DengXian"/>
          <w:i/>
          <w:iCs/>
          <w:vertAlign w:val="subscript"/>
        </w:rPr>
        <w:t>2</w:t>
      </w:r>
      <w:r>
        <w:rPr>
          <w:rFonts w:hint="eastAsia"/>
        </w:rPr>
        <w:t xml:space="preserve">. </w:t>
      </w:r>
      <w:r w:rsidR="00305CCD">
        <w:rPr>
          <w:rFonts w:hint="eastAsia"/>
        </w:rPr>
        <w:t xml:space="preserve">However, if we carefully compare the FFT spectra in Fig.4f </w:t>
      </w:r>
      <w:r w:rsidR="007B3618">
        <w:rPr>
          <w:rFonts w:hint="eastAsia"/>
        </w:rPr>
        <w:t>with</w:t>
      </w:r>
      <w:r w:rsidR="00305CCD">
        <w:rPr>
          <w:rFonts w:hint="eastAsia"/>
        </w:rPr>
        <w:t xml:space="preserve"> </w:t>
      </w:r>
      <w:r w:rsidR="004319DE">
        <w:rPr>
          <w:rFonts w:hint="eastAsia"/>
        </w:rPr>
        <w:t>R</w:t>
      </w:r>
      <w:r w:rsidR="00305CCD">
        <w:rPr>
          <w:rFonts w:hint="eastAsia"/>
        </w:rPr>
        <w:t>ef</w:t>
      </w:r>
      <w:r w:rsidR="00AC4DB4">
        <w:rPr>
          <w:rFonts w:hint="eastAsia"/>
        </w:rPr>
        <w:t>[</w:t>
      </w:r>
      <w:r w:rsidR="004319DE" w:rsidRPr="00FD7004">
        <w:fldChar w:fldCharType="begin"/>
      </w:r>
      <w:r w:rsidR="00FF03F1" w:rsidRPr="00FD7004">
        <w:instrText xml:space="preserve"> ADDIN ZOTERO_ITEM CSL_CITATION {"citationID":"mCSrE3FY","properties":{"formattedCitation":"\\super 5\\nosupersub{}","plainCitation":"5","noteIndex":0},"citationItems":[{"id":3770,"uris":["http://zotero.org/users/5406744/items/527RMQ9V"],"itemData":{"id":3770,"type":"article-journal","abstract":"To access superconductivity via the electric field effect in a clean, two-dimensional device is a central goal of nanoelectronics. Recently, superconductivity has been realized in graphene moiré heterostructures1–4; however, many of these structures are not mechanically stable, and experiments show signatures of strong disorder. Here we report the observation of superconductivity—manifesting as low or vanishing resistivity at sub-kelvin temperatures—in crystalline rhombohedral trilayer graphene5,6, a structurally metastable carbon allotrope. Superconductivity occurs in two distinct gate-tuned regions (SC1 and SC2), and is deep in the clean limit defined by the ratio of mean free path and superconducting coherence length. Mapping of the normal state Fermi surfaces by quantum oscillations reveals that both superconductors emerge from an annular Fermi sea, and are proximal to an isospin-symmetry-breaking transition where the Fermi surface degeneracy changes7. SC1 emerges from a paramagnetic normal state, whereas SC2 emerges from a spin-polarized, valley-unpolarized half-metal17 and violates the Pauli limit for in-plane magnetic fields by at least one order of magnitude8,9. We discuss our results in view of several mechanisms, including conventional phonon-mediated pairing10,11, pairing due to fluctuations of the proximal isospin order12, and intrinsic instabilities of the annular Fermi liquid13,14. Our observation of superconductivity in a clean and structurally simple two-dimensional metal provides a model system to test competing theoretical models of superconductivity without the complication of modelling disorder, while enabling new classes of field-effect controlled electronic devices based on correlated electron phenomena and ballistic electron transport.","container-title":"Nature","DOI":"10.1038/s41586-021-03926-0","ISSN":"1476-4687","issue":"7881","language":"en","license":"2021 The Author(s), under exclusive licence to Springer Nature Limited","note":"number: 7881\npublisher: Nature Publishing Group","page":"434-438","source":"www.nature.com","title":"Superconductivity in rhombohedral trilayer graphene","volume":"598","author":[{"family":"Zhou","given":"Haoxin"},{"family":"Xie","given":"Tian"},{"family":"Taniguchi","given":"Takashi"},{"family":"Watanabe","given":"Kenji"},{"family":"Young","given":"Andrea F."}],"issued":{"date-parts":[["2021",10]]}}}],"schema":"https://github.com/citation-style-language/schema/raw/master/csl-citation.json"} </w:instrText>
      </w:r>
      <w:r w:rsidR="004319DE" w:rsidRPr="00FD7004">
        <w:fldChar w:fldCharType="separate"/>
      </w:r>
      <w:r w:rsidR="00FF03F1" w:rsidRPr="00FD7004">
        <w:rPr>
          <w:rFonts w:ascii="Calibri" w:hAnsi="Calibri" w:cs="Calibri"/>
          <w:kern w:val="0"/>
        </w:rPr>
        <w:t>5</w:t>
      </w:r>
      <w:r w:rsidR="004319DE" w:rsidRPr="00FD7004">
        <w:fldChar w:fldCharType="end"/>
      </w:r>
      <w:r w:rsidR="00AC4DB4">
        <w:rPr>
          <w:rFonts w:hint="eastAsia"/>
        </w:rPr>
        <w:t>]</w:t>
      </w:r>
      <w:r w:rsidR="00305CCD">
        <w:rPr>
          <w:rFonts w:hint="eastAsia"/>
        </w:rPr>
        <w:t xml:space="preserve">, we notice two major differences: </w:t>
      </w:r>
      <w:r w:rsidR="00564A41">
        <w:rPr>
          <w:rFonts w:hint="eastAsia"/>
        </w:rPr>
        <w:t>first</w:t>
      </w:r>
      <w:r w:rsidR="00305CCD">
        <w:rPr>
          <w:rFonts w:hint="eastAsia"/>
        </w:rPr>
        <w:t>, we should expect a PIP phase in RTG without TMD on the low-</w:t>
      </w:r>
      <w:r w:rsidR="007B3618" w:rsidRPr="00ED16F7">
        <w:rPr>
          <w:i/>
          <w:iCs/>
        </w:rPr>
        <w:t>n</w:t>
      </w:r>
      <w:r w:rsidR="00305CCD">
        <w:rPr>
          <w:rFonts w:hint="eastAsia"/>
        </w:rPr>
        <w:t xml:space="preserve"> side, where FFT weights should be seen both in the low-frequency limit and below </w:t>
      </w:r>
      <w:proofErr w:type="spellStart"/>
      <w:r w:rsidR="00305CCD" w:rsidRPr="26D95A99">
        <w:rPr>
          <w:i/>
          <w:iCs/>
        </w:rPr>
        <w:t>f</w:t>
      </w:r>
      <w:r w:rsidR="00305CCD" w:rsidRPr="26D95A99">
        <w:rPr>
          <w:rFonts w:eastAsia="DengXian"/>
          <w:i/>
          <w:iCs/>
          <w:vertAlign w:val="subscript"/>
        </w:rPr>
        <w:t>ν</w:t>
      </w:r>
      <w:proofErr w:type="spellEnd"/>
      <w:r w:rsidR="00305CCD">
        <w:t xml:space="preserve"> = 1/</w:t>
      </w:r>
      <w:r w:rsidR="00305CCD">
        <w:rPr>
          <w:rFonts w:hint="eastAsia"/>
        </w:rPr>
        <w:t xml:space="preserve">2. </w:t>
      </w:r>
      <w:r w:rsidR="00305CCD">
        <w:t>I</w:t>
      </w:r>
      <w:r w:rsidR="00305CCD">
        <w:rPr>
          <w:rFonts w:hint="eastAsia"/>
        </w:rPr>
        <w:t xml:space="preserve">n our results, the peak near </w:t>
      </w:r>
      <w:proofErr w:type="spellStart"/>
      <w:r w:rsidR="00305CCD" w:rsidRPr="26D95A99">
        <w:rPr>
          <w:i/>
          <w:iCs/>
        </w:rPr>
        <w:t>f</w:t>
      </w:r>
      <w:r w:rsidR="00305CCD" w:rsidRPr="26D95A99">
        <w:rPr>
          <w:rFonts w:eastAsia="DengXian"/>
          <w:i/>
          <w:iCs/>
          <w:vertAlign w:val="subscript"/>
        </w:rPr>
        <w:t>ν</w:t>
      </w:r>
      <w:proofErr w:type="spellEnd"/>
      <w:r w:rsidR="00305CCD">
        <w:t xml:space="preserve"> = 1/</w:t>
      </w:r>
      <w:r w:rsidR="00305CCD">
        <w:rPr>
          <w:rFonts w:hint="eastAsia"/>
        </w:rPr>
        <w:t xml:space="preserve">2 is missing. </w:t>
      </w:r>
      <w:r w:rsidR="00564A41">
        <w:rPr>
          <w:rFonts w:hint="eastAsia"/>
        </w:rPr>
        <w:t xml:space="preserve">Second, we have 3-4 branches both near </w:t>
      </w:r>
      <w:r w:rsidR="00112390" w:rsidRPr="26D95A99">
        <w:rPr>
          <w:i/>
          <w:iCs/>
        </w:rPr>
        <w:t>f</w:t>
      </w:r>
      <w:r w:rsidR="00112390">
        <w:rPr>
          <w:rFonts w:eastAsia="DengXian" w:hint="eastAsia"/>
          <w:i/>
          <w:iCs/>
          <w:vertAlign w:val="subscript"/>
        </w:rPr>
        <w:t>1</w:t>
      </w:r>
      <w:r w:rsidR="00112390">
        <w:t xml:space="preserve"> = 0</w:t>
      </w:r>
      <w:r w:rsidR="00112390">
        <w:rPr>
          <w:rFonts w:hint="eastAsia"/>
        </w:rPr>
        <w:t xml:space="preserve"> and near </w:t>
      </w:r>
      <w:r w:rsidR="00112390" w:rsidRPr="26D95A99">
        <w:rPr>
          <w:i/>
          <w:iCs/>
        </w:rPr>
        <w:t>f</w:t>
      </w:r>
      <w:r w:rsidR="00112390">
        <w:rPr>
          <w:rFonts w:eastAsia="DengXian" w:hint="eastAsia"/>
          <w:i/>
          <w:iCs/>
          <w:vertAlign w:val="subscript"/>
        </w:rPr>
        <w:t>2</w:t>
      </w:r>
      <w:r w:rsidR="00112390">
        <w:t xml:space="preserve"> = </w:t>
      </w:r>
      <w:r w:rsidR="00112390">
        <w:rPr>
          <w:rFonts w:hint="eastAsia"/>
        </w:rPr>
        <w:t xml:space="preserve">1/4, while in RTG without TMD there are only two. We attribute these differences to the imbalance between isospins and thus </w:t>
      </w:r>
      <w:r w:rsidR="00416AB0">
        <w:rPr>
          <w:rFonts w:hint="eastAsia"/>
        </w:rPr>
        <w:t xml:space="preserve">a </w:t>
      </w:r>
      <w:r w:rsidR="002702B6">
        <w:t>more</w:t>
      </w:r>
      <w:r w:rsidR="00112390">
        <w:rPr>
          <w:rFonts w:hint="eastAsia"/>
        </w:rPr>
        <w:t xml:space="preserve"> </w:t>
      </w:r>
      <w:r w:rsidR="00B75A45">
        <w:t>complex</w:t>
      </w:r>
      <w:r w:rsidR="00112390">
        <w:rPr>
          <w:rFonts w:hint="eastAsia"/>
        </w:rPr>
        <w:t xml:space="preserve"> Fermi surface structure caused by </w:t>
      </w:r>
      <w:r w:rsidR="00FA69FF">
        <w:t xml:space="preserve">the interplay between electron-electron interactions and </w:t>
      </w:r>
      <w:r w:rsidR="00112390">
        <w:rPr>
          <w:rFonts w:hint="eastAsia"/>
        </w:rPr>
        <w:t xml:space="preserve">SOC induced by TMD. </w:t>
      </w:r>
    </w:p>
    <w:p w14:paraId="2E9B42AE" w14:textId="452021D2" w:rsidR="00E12D82" w:rsidRPr="0015434C" w:rsidRDefault="2EF2D92E" w:rsidP="4D372101">
      <w:pPr>
        <w:jc w:val="both"/>
        <w:rPr>
          <w:b/>
          <w:bCs/>
          <w:sz w:val="32"/>
          <w:szCs w:val="32"/>
        </w:rPr>
      </w:pPr>
      <w:r w:rsidRPr="2EF2D92E">
        <w:rPr>
          <w:b/>
          <w:bCs/>
          <w:sz w:val="32"/>
          <w:szCs w:val="32"/>
        </w:rPr>
        <w:t>Discussions</w:t>
      </w:r>
    </w:p>
    <w:p w14:paraId="52C46F95" w14:textId="2DE7DDEF" w:rsidR="00047D88" w:rsidRDefault="75AA1910" w:rsidP="75AA1910">
      <w:pPr>
        <w:jc w:val="both"/>
      </w:pPr>
      <w:r>
        <w:t>Table 1 summarizes the critical temperatures of SC1, SC3, and SC4 measured in D1-</w:t>
      </w:r>
      <w:r w:rsidR="005B3FB9">
        <w:rPr>
          <w:rFonts w:hint="eastAsia"/>
        </w:rPr>
        <w:t>D</w:t>
      </w:r>
      <w:r>
        <w:t xml:space="preserve">3 and </w:t>
      </w:r>
      <w:r w:rsidR="00C44D40">
        <w:rPr>
          <w:rFonts w:hint="eastAsia"/>
        </w:rPr>
        <w:t xml:space="preserve">from </w:t>
      </w:r>
      <w:r>
        <w:t>previous reports</w:t>
      </w:r>
      <w:r w:rsidR="2EF2D92E">
        <w:fldChar w:fldCharType="begin"/>
      </w:r>
      <w:r w:rsidR="00BF4618">
        <w:instrText xml:space="preserve"> ADDIN ZOTERO_ITEM CSL_CITATION {"citationID":"cT1VErRO","properties":{"formattedCitation":"\\super 5,17\\nosupersub{}","plainCitation":"5,17","noteIndex":0},"citationItems":[{"id":3770,"uris":["http://zotero.org/users/5406744/items/527RMQ9V"],"itemData":{"id":3770,"type":"article-journal","abstract":"To access superconductivity via the electric field effect in a clean, two-dimensional device is a central goal of nanoelectronics. Recently, superconductivity has been realized in graphene moiré heterostructures1–4; however, many of these structures are not mechanically stable, and experiments show signatures of strong disorder. Here we report the observation of superconductivity—manifesting as low or vanishing resistivity at sub-kelvin temperatures—in crystalline rhombohedral trilayer graphene5,6, a structurally metastable carbon allotrope. Superconductivity occurs in two distinct gate-tuned regions (SC1 and SC2), and is deep in the clean limit defined by the ratio of mean free path and superconducting coherence length. Mapping of the normal state Fermi surfaces by quantum oscillations reveals that both superconductors emerge from an annular Fermi sea, and are proximal to an isospin-symmetry-breaking transition where the Fermi surface degeneracy changes7. SC1 emerges from a paramagnetic normal state, whereas SC2 emerges from a spin-polarized, valley-unpolarized half-metal17 and violates the Pauli limit for in-plane magnetic fields by at least one order of magnitude8,9. We discuss our results in view of several mechanisms, including conventional phonon-mediated pairing10,11, pairing due to fluctuations of the proximal isospin order12, and intrinsic instabilities of the annular Fermi liquid13,14. Our observation of superconductivity in a clean and structurally simple two-dimensional metal provides a model system to test competing theoretical models of superconductivity without the complication of modelling disorder, while enabling new classes of field-effect controlled electronic devices based on correlated electron phenomena and ballistic electron transport.","container-title":"Nature","DOI":"10.1038/s41586-021-03926-0","ISSN":"1476-4687","issue":"7881","language":"en","license":"2021 The Author(s), under exclusive licence to Springer Nature Limited","note":"number: 7881\npublisher: Nature Publishing Group","page":"434-438","source":"www.nature.com","title":"Superconductivity in rhombohedral trilayer graphene","volume":"598","author":[{"family":"Zhou","given":"Haoxin"},{"family":"Xie","given":"Tian"},{"family":"Taniguchi","given":"Takashi"},{"family":"Watanabe","given":"Kenji"},{"family":"Young","given":"Andrea F."}],"issued":{"date-parts":[["2021",10]]}}},{"id":3774,"uris":["http://zotero.org/users/5406744/items/P2QD7P89"],"itemData":{"id":3774,"type":"thesis","abstract":"This work studies the Van Hove singularity induced novel electronic phenomena in rhombohedral trilayer graphene, including magnetism and superconductivity. Rhombohedral trilayer graphene is a two dimensional crystal where three layers of carbon honeycomb lattice are stacked to form a rhombohedral lattice in its three dimensional extension. The energy band structure of rhombohedral trilayer graphene features van Hove singularities, saddle points in the energy band structure where the density of states diverges. A perpendicular electrical field can be applied to induce interlayer potential and to open up an energy gap at the charge neutrality point. The gap opening modulates the density of states profile, making the divergence at the van Hove singularity robust against fluctuations from finite temperature and disorder effects. Like many other systems, the diverged density of states induces Fermi surface instability. On the one hand, it drives spontaneous ferromagnetic polarization of the electron system into one or more spin- and valley flavors. On the other hand, it allows the bounded states where electrons couple into pairs to have significant lower energy than the normal ground states, leading to superconductivity observable at the experimentally reached temperature. In this work, we fabricated dual graphite-gated rhombohedral trilayer graphene van der Waals heterostructures that allow cryogenic electrical transport measurement and penetration field capacitance measurements and systematically studied the gate voltage modulated magnetic phase transitions and superconductivity. A rigid band model is built that well captures the spin- and valley- phases. For superconductivity, we provided several possible explanations. In addition to gate voltages, we also induced a moiré potential to the system by aligning the lattice of the rhombohedral trilayer graphene with the dielectric material hexagonal boron nitride. We found that while the moiré potential only affect the electronic phase diagram on a perturbative level, several novel phenomena including the breaking of lattice symmetry is induced.","language":"en","publisher":"UC Santa Barbara","source":"escholarship.org","title":"Ferromagnetism and Superconductivity in Rhombohedral Trilayer Graphene","URL":"https://escholarship.org/uc/item/4k36g8qk","author":[{"family":"Zhou","given":"Haoxin"}],"accessed":{"date-parts":[["2023",7,23]]},"issued":{"date-parts":[["2021"]]}}}],"schema":"https://github.com/citation-style-language/schema/raw/master/csl-citation.json"} </w:instrText>
      </w:r>
      <w:r w:rsidR="2EF2D92E">
        <w:fldChar w:fldCharType="separate"/>
      </w:r>
      <w:r w:rsidR="00BF4618" w:rsidRPr="00BF4618">
        <w:rPr>
          <w:rFonts w:ascii="Calibri" w:hAnsi="Calibri" w:cs="Calibri"/>
          <w:kern w:val="0"/>
          <w:vertAlign w:val="superscript"/>
        </w:rPr>
        <w:t>5,17</w:t>
      </w:r>
      <w:r w:rsidR="2EF2D92E">
        <w:fldChar w:fldCharType="end"/>
      </w:r>
      <w:r>
        <w:t xml:space="preserve">. They correspond to the three scenarios we </w:t>
      </w:r>
      <w:r w:rsidR="00C44D40">
        <w:rPr>
          <w:rFonts w:hint="eastAsia"/>
        </w:rPr>
        <w:t xml:space="preserve">have </w:t>
      </w:r>
      <w:r>
        <w:t>discussed: Scenario 1 with strong SOC (D1 and D2), Scenario 2 with weak SOC (D3 when carriers are close to TMD</w:t>
      </w:r>
      <w:r w:rsidR="0039149F">
        <w:t>),</w:t>
      </w:r>
      <w:r>
        <w:t xml:space="preserve"> and Scenario 3 with negligible SOC (D3 when carriers are far away from TMD and RTG without TMD). As SOC gets stronger and stronger, </w:t>
      </w:r>
      <w:r w:rsidR="00FA69FF">
        <w:t xml:space="preserve">SC4 emerges, </w:t>
      </w:r>
      <w:r>
        <w:t xml:space="preserve">SC3 </w:t>
      </w:r>
      <w:r w:rsidR="00FA69FF">
        <w:t>becomes</w:t>
      </w:r>
      <w:r>
        <w:t xml:space="preserve"> enhanced, </w:t>
      </w:r>
      <w:r w:rsidR="00FA69FF">
        <w:t xml:space="preserve">but </w:t>
      </w:r>
      <w:r>
        <w:t>SC1 is suppressed</w:t>
      </w:r>
      <w:r w:rsidR="00FA69FF">
        <w:t xml:space="preserve"> or even eliminated</w:t>
      </w:r>
      <w:r>
        <w:t>. We note that the difference between SOC strength in Scenario 1 and Scenario 2 is likely due to different twist angles between RTG and TMD</w:t>
      </w:r>
      <w:r w:rsidR="00931E3F">
        <w:fldChar w:fldCharType="begin"/>
      </w:r>
      <w:r w:rsidR="00BF4618">
        <w:instrText xml:space="preserve"> ADDIN ZOTERO_ITEM CSL_CITATION {"citationID":"dwfSo9Ot","properties":{"formattedCitation":"\\super 20,37\\uc0\\u8211{}39\\nosupersub{}","plainCitation":"20,37–39","noteIndex":0},"citationItems":[{"id":4343,"uris":["http://zotero.org/users/5406744/items/NAV9NYFX"],"itemData":{"id":4343,"type":"article-journal","container-title":"Physical Review B","DOI":"10.1103/PhysRevB.108.235166","ISSN":"2469-9950, 2469-9969","issue":"23","journalAbbreviation":"Phys. Rev. B","language":"en","page":"235166","source":"DOI.org (Crossref)","title":"Twist- and gate-tunable proximity spin-orbit coupling, spin relaxation anisotropy, and charge-to-spin conversion in heterostructures of graphene and transition metal dichalcogenides","volume":"108","author":[{"family":"Zollner","given":"Klaus"},{"family":"João","given":"Simão M."},{"family":"Nikolić","given":"Branislav K."},{"family":"Fabian","given":"Jaroslav"}],"issued":{"date-parts":[["2023",12,22]]}}},{"id":1673,"uris":["http://zotero.org/users/5406744/items/8H8JIVD7"],"itemData":{"id":1673,"type":"article-journal","abstract":"We theoretically study the proximity spin-orbit coupling (SOC) in graphene on a transition-metal dichalcogenides (TMDC) monolayer stacked with arbitrary twist angles. We find that the relative rotation greatly enhances the spin splitting of graphene, typically by a few to ten times compared to the nonrotated geometry, and the maximum splitting is achieved around 20</w:instrText>
      </w:r>
      <w:r w:rsidR="00BF4618">
        <w:rPr>
          <w:rFonts w:ascii="Cambria Math" w:hAnsi="Cambria Math" w:cs="Cambria Math"/>
        </w:rPr>
        <w:instrText>∘</w:instrText>
      </w:r>
      <w:r w:rsidR="00BF4618">
        <w:instrText xml:space="preserve">. The induced SOC can be changed from the Zeeman type to the Rashba type by rotation. The spin splitting is also quite sensitive to the gate-induced potential, and it sharply rises when the graphene's Dirac point is shifted toward the TMDC band. The theoretical method does not need the exact lattice matching and it is applicable to any incommensurate bilayer systems. It is useful for the twist-angle engineering of a variety of van der Waals proximity effects.","container-title":"Physical Review B","DOI":"10.1103/PhysRevB.99.075438","issue":"7","journalAbbreviation":"Phys. Rev. B","note":"publisher: American Physical Society","page":"075438","source":"APS","title":"Twist-angle dependence of the proximity spin-orbit coupling in graphene on transition-metal dichalcogenides","volume":"99","author":[{"family":"Li","given":"Yang"},{"family":"Koshino","given":"Mikito"}],"issued":{"date-parts":[["2019",2,28]]}}},{"id":1496,"uris":["http://zotero.org/users/5406744/items/IJGS5G5J"],"itemData":{"id":1496,"type":"article-journal","container-title":"Physical Review B","DOI":"10.1103/PhysRevB.105.115126","ISSN":"2469-9950, 2469-9969","issue":"11","journalAbbreviation":"Phys. Rev. B","language":"en","page":"115126","source":"DOI.org (Crossref)","title":"Proximity spin-orbit and exchange coupling in ABA and ABC trilayer graphene van der Waals heterostructures","volume":"105","author":[{"family":"Zollner","given":"Klaus"},{"family":"Gmitra","given":"Martin"},{"family":"Fabian","given":"Jaroslav"}],"issued":{"date-parts":[["2022",3,21]]}}},{"id":4721,"uris":["http://zotero.org/users/5406744/items/BB4QM5H2"],"itemData":{"id":4721,"type":"article","abstract":"The relative twist angle between layers of near-lattice-matched van der Waals materials is critical for the emergent correlated phenomena associated with moire flat bands. However, the concept of angle rotation control is not exclusive to moir\\'e superlattices in which electrons directly experience a twist-angle-dependent periodic potential. Instead, it can also be employed to induce programmable symmetry-breaking perturbations with the goal of stabilizing desired correlated states. Here, we experimentally demonstrate `moireless' twist-tuning of superconductivity together with other correlated orders in Bernal bilayer graphene proximitized by tungsten diselenide. The alignment between the two materials systematically controls the strength of the induced Ising spin-orbit coupling (SOC), profoundly altering the phase diagram. As Ising SOC is increased, superconductivity onsets at a higher displacement field and features a higher critical temperature, reaching up to 0.5K. Within the main superconducting dome and in the strong Ising SOC limit, we find an unusual phase transition characterized by a nematic redistribution of holes among trigonally warped Fermi pockets and enhanced resilience to in-plane magnetic fields. The behavior of the superconducting phase is well captured by our theoretical model, which emphasizes the role of interband interactions between Fermi pockets arising due to interaction-enhanced symmetry breaking. Moreover, we identify two additional superconducting regions, one of which descends from an inter-valley coherent normal state and exhibits a Pauli-limit violation ratio exceeding 40, among the highest for all known superconductors. Our results provide new insights into ultra-clean graphene-based superconductors and underscore the potential of utilizing moireless-twist engineering across a range of van der Waals heterostructures.","DOI":"10.48550/arXiv.2408.10335","note":"arXiv:2408.10335 [cond-mat]","number":"arXiv:2408.10335","publisher":"arXiv","source":"arXiv.org","title":"Twist-Programmable Superconductivity in Spin-Orbit Coupled Bilayer Graphene","URL":"http://arxiv.org/abs/2408.10335","author":[{"family":"Zhang","given":"Yiran"},{"family":"Shavit","given":"Gal"},{"family":"Ma","given":"Huiyang"},{"family":"Han","given":"Youngjoon"},{"family":"Watanabe","given":"Kenji"},{"family":"Taniguchi","given":"Takashi"},{"family":"Hsieh","given":"David"},{"family":"Lewandowski","given":"Cyprian"},{"family":"Oppen","given":"Felix","non-dropping-particle":"von"},{"family":"Oreg","given":"Yuval"},{"family":"Nadj-Perge","given":"Stevan"}],"accessed":{"date-parts":[["2024",8,27]]},"issued":{"date-parts":[["2024",8,19]]}}}],"schema":"https://github.com/citation-style-language/schema/raw/master/csl-citation.json"} </w:instrText>
      </w:r>
      <w:r w:rsidR="00931E3F">
        <w:fldChar w:fldCharType="separate"/>
      </w:r>
      <w:r w:rsidR="00BF4618" w:rsidRPr="00BF4618">
        <w:rPr>
          <w:rFonts w:ascii="Calibri" w:hAnsi="Calibri" w:cs="Calibri"/>
          <w:kern w:val="0"/>
          <w:vertAlign w:val="superscript"/>
        </w:rPr>
        <w:t>20,37–39</w:t>
      </w:r>
      <w:r w:rsidR="00931E3F">
        <w:fldChar w:fldCharType="end"/>
      </w:r>
      <w:r>
        <w:t xml:space="preserve">. </w:t>
      </w:r>
      <w:r w:rsidR="00E260AE">
        <w:rPr>
          <w:rFonts w:hint="eastAsia"/>
        </w:rPr>
        <w:t xml:space="preserve">The </w:t>
      </w:r>
      <w:r w:rsidR="00DE2B5C">
        <w:rPr>
          <w:rFonts w:hint="eastAsia"/>
        </w:rPr>
        <w:t>emergence of SC4 and the enhancement of</w:t>
      </w:r>
      <w:r>
        <w:t xml:space="preserve"> </w:t>
      </w:r>
      <w:r w:rsidR="00DE2B5C">
        <w:rPr>
          <w:rFonts w:hint="eastAsia"/>
        </w:rPr>
        <w:t xml:space="preserve">SC3 by </w:t>
      </w:r>
      <w:r>
        <w:t xml:space="preserve">SOC, as well as </w:t>
      </w:r>
      <w:r w:rsidR="00E140D1">
        <w:rPr>
          <w:rFonts w:hint="eastAsia"/>
        </w:rPr>
        <w:t>the</w:t>
      </w:r>
      <w:r>
        <w:t xml:space="preserve"> location</w:t>
      </w:r>
      <w:r w:rsidR="00C44D40">
        <w:rPr>
          <w:rFonts w:hint="eastAsia"/>
        </w:rPr>
        <w:t>s</w:t>
      </w:r>
      <w:r>
        <w:t xml:space="preserve"> </w:t>
      </w:r>
      <w:r w:rsidR="00E140D1">
        <w:rPr>
          <w:rFonts w:hint="eastAsia"/>
        </w:rPr>
        <w:t xml:space="preserve">of SC3 and SC4 </w:t>
      </w:r>
      <w:r>
        <w:t>at the phase boundary of different isospin-symmetry-broken phases, are aligned with superconductivities reported in (bare and TMD-proximitized) bilayer graphene</w:t>
      </w:r>
      <w:r w:rsidR="001D7A3C">
        <w:fldChar w:fldCharType="begin"/>
      </w:r>
      <w:r w:rsidR="004F3F63">
        <w:instrText xml:space="preserve"> ADDIN ZOTERO_ITEM CSL_CITATION {"citationID":"VfPQ8wCc","properties":{"formattedCitation":"\\super 16,18\\uc0\\u8211{}21\\nosupersub{}","plainCitation":"16,18–21","noteIndex":0},"citationItems":[{"id":1752,"uris":["http://zotero.org/users/5406744/items/5ITGK7BD"],"itemData":{"id":1752,"type":"article-journal","container-title":"Nature","DOI":"10.1038/s41586-022-05446-x","ISSN":"0028-0836, 1476-4687","issue":"7943","journalAbbreviation":"Nature","language":"en","page":"268-273","source":"DOI.org (Crossref)","title":"Enhanced superconductivity in spin–orbit proximitized bilayer graphene","volume":"613","author":[{"family":"Zhang","given":"Yiran"},{"family":"Polski","given":"Robert"},{"family":"Thomson","given":"Alex"},{"family":"Lantagne-Hurtubise","given":"Étienne"},{"family":"Lewandowski","given":"Cyprian"},{"family":"Zhou","given":"Haoxin"},{"family":"Watanabe","given":"Kenji"},{"family":"Taniguchi","given":"Takashi"},{"family":"Alicea","given":"Jason"},{"family":"Nadj-Perge","given":"Stevan"}],"issued":{"date-parts":[["2023",1,12]]}}},{"id":4319,"uris":["http://zotero.org/users/5406744/items/XZ6TC7XV"],"itemData":{"id":4319,"type":"article","abstract":"Superconductivity is a ubiquitous feature of graphite allotropes, having been observed in Bernal bilayers, rhombohedral trilayers, and a wide variety of angle-misaligned multilayers. Despite significant differences in the electronic structure across these systems, supporting the graphite layer on a WSe$_2$ substrate has been consistently observed to expand the range of superconductivity in carrier density and temperature. Here, we report the observation of two distinct superconducting states (denoted SC$_1$ and SC$_2$) in Bernal bilayer graphene with strong proximity-induced Ising spin-orbit coupling. Quantum oscillations show that while the normal state of SC$_1$ is consistent with the single-particle band structure, SC$_2$ emerges from a nematic normal state with broken rotational symmetry. Both superconductors are robust to in-plane magnetic fields, violating the paramagnetic limit as expected for spin-valley locked Ising superconductors. Our results show that the enhancement of superconductivity in WSe$_2$ supported graphite allotropes can be directly linked to Ising spin orbit coupling, which favors valley-balanced ground states with time-reversal symmetric Fermi surfaces friendly to superconducting pairing.","note":"arXiv:2303.00742 [cond-mat]","number":"arXiv:2303.00742","publisher":"arXiv","source":"arXiv.org","title":"Ising Superconductivity and Nematicity in Bernal Bilayer Graphene with Strong Spin Orbit Coupling","URL":"http://arxiv.org/abs/2303.00742","author":[{"family":"Holleis","given":"Ludwig"},{"family":"Patterson","given":"Caitlin L."},{"family":"Zhang","given":"Yiran"},{"family":"Yoo","given":"Heun Mo"},{"family":"Zhou","given":"Haoxin"},{"family":"Taniguchi","given":"Takashi"},{"family":"Watanabe","given":"Kenji"},{"family":"Nadj-Perge","given":"Stevan"},{"family":"Young","given":"Andrea F."}],"accessed":{"date-parts":[["2024",1,10]]},"issued":{"date-parts":[["2023",3,1]]}}},{"id":4497,"uris":["http://zotero.org/users/5406744/items/NVDV6TNX"],"itemData":{"id":4497,"type":"article-journal","abstract":"Graphene-based, high-quality, two-dimensional electronic systems have emerged as a highly tunable platform for studying superconductivity1–21. Specifically, superconductivity has been observed in both electron- and hole-doped twisted graphene moiré systems1–17, whereas in crystalline graphene systems, superconductivity has so far been observed only in hole-doped rhombohedral trilayer graphene (RTG)18 and hole-doped Bernal bilayer graphene (BBG)19–21. Recently, enhanced superconductivity has been demonstrated20,21 in BBG because of the proximity to a monolayer WSe2. Here we report the observation of superconductivity and a series of flavour-symmetry-breaking phases in electron- and hole-doped BBG/WSe2 devices by electrostatic doping. The strength of the observed superconductivity is tunable by applied vertical electric fields. The maximum Berezinskii–Kosterlitz−Thouless transition temperature for the electron- and hole-doped superconductivity is about 210 mK and 400 mK, respectively. Superconductivities emerge only when the applied electric fields drive the BBG electron or hole wavefunctions towards the WSe2 layer, underscoring the importance of the WSe2 layer in the observed superconductivity. The hole-doped superconductivity violates the Pauli paramagnetic limit, consistent with an Ising-like superconductor. By contrast, the electron-doped superconductivity obeys the Pauli limit, although the proximity-induced Ising spin–orbit coupling is also notable in the conduction band. Our findings highlight the rich physics associated with the conduction band in BBG, paving the way for further studies into the superconducting mechanisms of crystalline graphene and the development of superconductor devices based on BBG.","container-title":"Nature","DOI":"10.1038/s41586-024-07584-w","ISSN":"1476-4687","issue":"8020","language":"en","license":"2024 The Author(s), under exclusive licence to Springer Nature Limited","note":"publisher: Nature Publishing Group","page":"300-306","source":"www.nature.com","title":"Tunable superconductivity in electron- and hole-doped Bernal bilayer graphene","volume":"631","author":[{"family":"Li","given":"Chushan"},{"family":"Xu","given":"Fan"},{"family":"Li","given":"Bohao"},{"family":"Li","given":"Jiayi"},{"family":"Li","given":"Guoan"},{"family":"Watanabe","given":"Kenji"},{"family":"Taniguchi","given":"Takashi"},{"family":"Tong","given":"Bingbing"},{"family":"Shen","given":"Jie"},{"family":"Lu","given":"Li"},{"family":"Jia","given":"Jinfeng"},{"family":"Wu","given":"Fengcheng"},{"family":"Liu","given":"Xiaoxue"},{"family":"Li","given":"Tingxin"}],"issued":{"date-parts":[["2024",7]]}}},{"id":927,"uris":["http://zotero.org/users/5406744/items/D4D5KACK"],"itemData":{"id":927,"type":"article-journal","container-title":"Science","DOI":"10.1126/science.abm8386","issue":"6582","note":"publisher: American Association for the Advancement of Science","page":"774-778","source":"science.org (Atypon)","title":"Isospin magnetism and spin-polarized superconductivity in Bernal bilayer graphene","volume":"375","author":[{"family":"Zhou","given":"Haoxin"},{"family":"Holleis","given":"Ludwig"},{"family":"Saito","given":"Yu"},{"family":"Cohen","given":"Liam"},{"family":"Huynh","given":"William"},{"family":"Patterson","given":"Caitlin L."},{"family":"Yang","given":"Fangyuan"},{"family":"Taniguchi","given":"Takashi"},{"family":"Watanabe","given":"Kenji"},{"family":"Young","given":"Andrea F."}],"issued":{"date-parts":[["2022",2,18]]}}},{"id":4721,"uris":["http://zotero.org/users/5406744/items/BB4QM5H2"],"itemData":{"id":4721,"type":"article","abstract":"The relative twist angle between layers of near-lattice-matched van der Waals materials is critical for the emergent correlated phenomena associated with moire flat bands. However, the concept of angle rotation control is not exclusive to moir\\'e superlattices in which electrons directly experience a twist-angle-dependent periodic potential. Instead, it can also be employed to induce programmable symmetry-breaking perturbations with the goal of stabilizing desired correlated states. Here, we experimentally demonstrate `moireless' twist-tuning of superconductivity together with other correlated orders in Bernal bilayer graphene proximitized by tungsten diselenide. The alignment between the two materials systematically controls the strength of the induced Ising spin-orbit coupling (SOC), profoundly altering the phase diagram. As Ising SOC is increased, superconductivity onsets at a higher displacement field and features a higher critical temperature, reaching up to 0.5K. Within the main superconducting dome and in the strong Ising SOC limit, we find an unusual phase transition characterized by a nematic redistribution of holes among trigonally warped Fermi pockets and enhanced resilience to in-plane magnetic fields. The behavior of the superconducting phase is well captured by our theoretical model, which emphasizes the role of interband interactions between Fermi pockets arising due to interaction-enhanced symmetry breaking. Moreover, we identify two additional superconducting regions, one of which descends from an inter-valley coherent normal state and exhibits a Pauli-limit violation ratio exceeding 40, among the highest for all known superconductors. Our results provide new insights into ultra-clean graphene-based superconductors and underscore the potential of utilizing moireless-twist engineering across a range of van der Waals heterostructures.","DOI":"10.48550/arXiv.2408.10335","note":"arXiv:2408.10335 [cond-mat]","number":"arXiv:2408.10335","publisher":"arXiv","source":"arXiv.org","title":"Twist-Programmable Superconductivity in Spin-Orbit Coupled Bilayer Graphene","URL":"http://arxiv.org/abs/2408.10335","author":[{"family":"Zhang","given":"Yiran"},{"family":"Shavit","given":"Gal"},{"family":"Ma","given":"Huiyang"},{"family":"Han","given":"Youngjoon"},{"family":"Watanabe","given":"Kenji"},{"family":"Taniguchi","given":"Takashi"},{"family":"Hsieh","given":"David"},{"family":"Lewandowski","given":"Cyprian"},{"family":"Oppen","given":"Felix","non-dropping-particle":"von"},{"family":"Oreg","given":"Yuval"},{"family":"Nadj-Perge","given":"Stevan"}],"accessed":{"date-parts":[["2024",8,27]]},"issued":{"date-parts":[["2024",8,19]]}}}],"schema":"https://github.com/citation-style-language/schema/raw/master/csl-citation.json"} </w:instrText>
      </w:r>
      <w:r w:rsidR="001D7A3C">
        <w:fldChar w:fldCharType="separate"/>
      </w:r>
      <w:r w:rsidR="004F3F63" w:rsidRPr="004F3F63">
        <w:rPr>
          <w:rFonts w:ascii="Calibri" w:hAnsi="Calibri" w:cs="Calibri"/>
          <w:kern w:val="0"/>
          <w:vertAlign w:val="superscript"/>
        </w:rPr>
        <w:t>16,18–21</w:t>
      </w:r>
      <w:r w:rsidR="001D7A3C">
        <w:fldChar w:fldCharType="end"/>
      </w:r>
      <w:r>
        <w:t xml:space="preserve"> and bare RTG</w:t>
      </w:r>
      <w:r w:rsidR="001D7A3C">
        <w:fldChar w:fldCharType="begin"/>
      </w:r>
      <w:r w:rsidR="00BF4618">
        <w:instrText xml:space="preserve"> ADDIN ZOTERO_ITEM CSL_CITATION {"citationID":"uL4EDK6T","properties":{"formattedCitation":"\\super 5,17\\nosupersub{}","plainCitation":"5,17","noteIndex":0},"citationItems":[{"id":3770,"uris":["http://zotero.org/users/5406744/items/527RMQ9V"],"itemData":{"id":3770,"type":"article-journal","abstract":"To access superconductivity via the electric field effect in a clean, two-dimensional device is a central goal of nanoelectronics. Recently, superconductivity has been realized in graphene moiré heterostructures1–4; however, many of these structures are not mechanically stable, and experiments show signatures of strong disorder. Here we report the observation of superconductivity—manifesting as low or vanishing resistivity at sub-kelvin temperatures—in crystalline rhombohedral trilayer graphene5,6, a structurally metastable carbon allotrope. Superconductivity occurs in two distinct gate-tuned regions (SC1 and SC2), and is deep in the clean limit defined by the ratio of mean free path and superconducting coherence length. Mapping of the normal state Fermi surfaces by quantum oscillations reveals that both superconductors emerge from an annular Fermi sea, and are proximal to an isospin-symmetry-breaking transition where the Fermi surface degeneracy changes7. SC1 emerges from a paramagnetic normal state, whereas SC2 emerges from a spin-polarized, valley-unpolarized half-metal17 and violates the Pauli limit for in-plane magnetic fields by at least one order of magnitude8,9. We discuss our results in view of several mechanisms, including conventional phonon-mediated pairing10,11, pairing due to fluctuations of the proximal isospin order12, and intrinsic instabilities of the annular Fermi liquid13,14. Our observation of superconductivity in a clean and structurally simple two-dimensional metal provides a model system to test competing theoretical models of superconductivity without the complication of modelling disorder, while enabling new classes of field-effect controlled electronic devices based on correlated electron phenomena and ballistic electron transport.","container-title":"Nature","DOI":"10.1038/s41586-021-03926-0","ISSN":"1476-4687","issue":"7881","language":"en","license":"2021 The Author(s), under exclusive licence to Springer Nature Limited","note":"number: 7881\npublisher: Nature Publishing Group","page":"434-438","source":"www.nature.com","title":"Superconductivity in rhombohedral trilayer graphene","volume":"598","author":[{"family":"Zhou","given":"Haoxin"},{"family":"Xie","given":"Tian"},{"family":"Taniguchi","given":"Takashi"},{"family":"Watanabe","given":"Kenji"},{"family":"Young","given":"Andrea F."}],"issued":{"date-parts":[["2021",10]]}}},{"id":3774,"uris":["http://zotero.org/users/5406744/items/P2QD7P89"],"itemData":{"id":3774,"type":"thesis","abstract":"This work studies the Van Hove singularity induced novel electronic phenomena in rhombohedral trilayer graphene, including magnetism and superconductivity. Rhombohedral trilayer graphene is a two dimensional crystal where three layers of carbon honeycomb lattice are stacked to form a rhombohedral lattice in its three dimensional extension. The energy band structure of rhombohedral trilayer graphene features van Hove singularities, saddle points in the energy band structure where the density of states diverges. A perpendicular electrical field can be applied to induce interlayer potential and to open up an energy gap at the charge neutrality point. The gap opening modulates the density of states profile, making the divergence at the van Hove singularity robust against fluctuations from finite temperature and disorder effects. Like many other systems, the diverged density of states induces Fermi surface instability. On the one hand, it drives spontaneous ferromagnetic polarization of the electron system into one or more spin- and valley flavors. On the other hand, it allows the bounded states where electrons couple into pairs to have significant lower energy than the normal ground states, leading to superconductivity observable at the experimentally reached temperature. In this work, we fabricated dual graphite-gated rhombohedral trilayer graphene van der Waals heterostructures that allow cryogenic electrical transport measurement and penetration field capacitance measurements and systematically studied the gate voltage modulated magnetic phase transitions and superconductivity. A rigid band model is built that well captures the spin- and valley- phases. For superconductivity, we provided several possible explanations. In addition to gate voltages, we also induced a moiré potential to the system by aligning the lattice of the rhombohedral trilayer graphene with the dielectric material hexagonal boron nitride. We found that while the moiré potential only affect the electronic phase diagram on a perturbative level, several novel phenomena including the breaking of lattice symmetry is induced.","language":"en","publisher":"UC Santa Barbara","source":"escholarship.org","title":"Ferromagnetism and Superconductivity in Rhombohedral Trilayer Graphene","URL":"https://escholarship.org/uc/item/4k36g8qk","author":[{"family":"Zhou","given":"Haoxin"}],"accessed":{"date-parts":[["2023",7,23]]},"issued":{"date-parts":[["2021"]]}}}],"schema":"https://github.com/citation-style-language/schema/raw/master/csl-citation.json"} </w:instrText>
      </w:r>
      <w:r w:rsidR="001D7A3C">
        <w:fldChar w:fldCharType="separate"/>
      </w:r>
      <w:r w:rsidR="00BF4618" w:rsidRPr="00BF4618">
        <w:rPr>
          <w:rFonts w:ascii="Calibri" w:hAnsi="Calibri" w:cs="Calibri"/>
          <w:kern w:val="0"/>
          <w:vertAlign w:val="superscript"/>
        </w:rPr>
        <w:t>5,17</w:t>
      </w:r>
      <w:r w:rsidR="001D7A3C">
        <w:fldChar w:fldCharType="end"/>
      </w:r>
      <w:r>
        <w:t xml:space="preserve">. </w:t>
      </w:r>
    </w:p>
    <w:p w14:paraId="66D5B00F" w14:textId="53BC14D8" w:rsidR="00BA26E4" w:rsidRPr="002E1167" w:rsidRDefault="0EFF3AFE" w:rsidP="0EFF3AFE">
      <w:pPr>
        <w:ind w:firstLine="720"/>
        <w:jc w:val="both"/>
      </w:pPr>
      <w:r w:rsidRPr="0EFF3AFE">
        <w:t>The suppression of SC1 by SOC effect is, however, contradictory to the current understanding of the role of SOC in both crystalline</w:t>
      </w:r>
      <w:r w:rsidR="001D12A0">
        <w:fldChar w:fldCharType="begin"/>
      </w:r>
      <w:r w:rsidR="004F3F63">
        <w:instrText xml:space="preserve"> ADDIN ZOTERO_ITEM CSL_CITATION {"citationID":"NquIk3Eu","properties":{"formattedCitation":"\\super 18\\uc0\\u8211{}21,40\\uc0\\u8211{}43\\nosupersub{}","plainCitation":"18–21,40–43","noteIndex":0},"citationItems":[{"id":1752,"uris":["http://zotero.org/users/5406744/items/5ITGK7BD"],"itemData":{"id":1752,"type":"article-journal","container-title":"Nature","DOI":"10.1038/s41586-022-05446-x","ISSN":"0028-0836, 1476-4687","issue":"7943","journalAbbreviation":"Nature","language":"en","page":"268-273","source":"DOI.org (Crossref)","title":"Enhanced superconductivity in spin–orbit proximitized bilayer graphene","volume":"613","author":[{"family":"Zhang","given":"Yiran"},{"family":"Polski","given":"Robert"},{"family":"Thomson","given":"Alex"},{"family":"Lantagne-Hurtubise","given":"Étienne"},{"family":"Lewandowski","given":"Cyprian"},{"family":"Zhou","given":"Haoxin"},{"family":"Watanabe","given":"Kenji"},{"family":"Taniguchi","given":"Takashi"},{"family":"Alicea","given":"Jason"},{"family":"Nadj-Perge","given":"Stevan"}],"issued":{"date-parts":[["2023",1,12]]}}},{"id":4319,"uris":["http://zotero.org/users/5406744/items/XZ6TC7XV"],"itemData":{"id":4319,"type":"article","abstract":"Superconductivity is a ubiquitous feature of graphite allotropes, having been observed in Bernal bilayers, rhombohedral trilayers, and a wide variety of angle-misaligned multilayers. Despite significant differences in the electronic structure across these systems, supporting the graphite layer on a WSe$_2$ substrate has been consistently observed to expand the range of superconductivity in carrier density and temperature. Here, we report the observation of two distinct superconducting states (denoted SC$_1$ and SC$_2$) in Bernal bilayer graphene with strong proximity-induced Ising spin-orbit coupling. Quantum oscillations show that while the normal state of SC$_1$ is consistent with the single-particle band structure, SC$_2$ emerges from a nematic normal state with broken rotational symmetry. Both superconductors are robust to in-plane magnetic fields, violating the paramagnetic limit as expected for spin-valley locked Ising superconductors. Our results show that the enhancement of superconductivity in WSe$_2$ supported graphite allotropes can be directly linked to Ising spin orbit coupling, which favors valley-balanced ground states with time-reversal symmetric Fermi surfaces friendly to superconducting pairing.","note":"arXiv:2303.00742 [cond-mat]","number":"arXiv:2303.00742","publisher":"arXiv","source":"arXiv.org","title":"Ising Superconductivity and Nematicity in Bernal Bilayer Graphene with Strong Spin Orbit Coupling","URL":"http://arxiv.org/abs/2303.00742","author":[{"family":"Holleis","given":"Ludwig"},{"family":"Patterson","given":"Caitlin L."},{"family":"Zhang","given":"Yiran"},{"family":"Yoo","given":"Heun Mo"},{"family":"Zhou","given":"Haoxin"},{"family":"Taniguchi","given":"Takashi"},{"family":"Watanabe","given":"Kenji"},{"family":"Nadj-Perge","given":"Stevan"},{"family":"Young","given":"Andrea F."}],"accessed":{"date-parts":[["2024",1,10]]},"issued":{"date-parts":[["2023",3,1]]}},"label":"page"},{"id":4721,"uris":["http://zotero.org/users/5406744/items/BB4QM5H2"],"itemData":{"id":4721,"type":"article","abstract":"The relative twist angle between layers of near-lattice-matched van der Waals materials is critical for the emergent correlated phenomena associated with moire flat bands. However, the concept of angle rotation control is not exclusive to moir\\'e superlattices in which electrons directly experience a twist-angle-dependent periodic potential. Instead, it can also be employed to induce programmable symmetry-breaking perturbations with the goal of stabilizing desired correlated states. Here, we experimentally demonstrate `moireless' twist-tuning of superconductivity together with other correlated orders in Bernal bilayer graphene proximitized by tungsten diselenide. The alignment between the two materials systematically controls the strength of the induced Ising spin-orbit coupling (SOC), profoundly altering the phase diagram. As Ising SOC is increased, superconductivity onsets at a higher displacement field and features a higher critical temperature, reaching up to 0.5K. Within the main superconducting dome and in the strong Ising SOC limit, we find an unusual phase transition characterized by a nematic redistribution of holes among trigonally warped Fermi pockets and enhanced resilience to in-plane magnetic fields. The behavior of the superconducting phase is well captured by our theoretical model, which emphasizes the role of interband interactions between Fermi pockets arising due to interaction-enhanced symmetry breaking. Moreover, we identify two additional superconducting regions, one of which descends from an inter-valley coherent normal state and exhibits a Pauli-limit violation ratio exceeding 40, among the highest for all known superconductors. Our results provide new insights into ultra-clean graphene-based superconductors and underscore the potential of utilizing moireless-twist engineering across a range of van der Waals heterostructures.","DOI":"10.48550/arXiv.2408.10335","note":"arXiv:2408.10335 [cond-mat]","number":"arXiv:2408.10335","publisher":"arXiv","source":"arXiv.org","title":"Twist-Programmable Superconductivity in Spin-Orbit Coupled Bilayer Graphene","URL":"http://arxiv.org/abs/2408.10335","author":[{"family":"Zhang","given":"Yiran"},{"family":"Shavit","given":"Gal"},{"family":"Ma","given":"Huiyang"},{"family":"Han","given":"Youngjoon"},{"family":"Watanabe","given":"Kenji"},{"family":"Taniguchi","given":"Takashi"},{"family":"Hsieh","given":"David"},{"family":"Lewandowski","given":"Cyprian"},{"family":"Oppen","given":"Felix","non-dropping-particle":"von"},{"family":"Oreg","given":"Yuval"},{"family":"Nadj-Perge","given":"Stevan"}],"accessed":{"date-parts":[["2024",8,27]]},"issued":{"date-parts":[["2024",8,19]]}}},{"id":4497,"uris":["http://zotero.org/users/5406744/items/NVDV6TNX"],"itemData":{"id":4497,"type":"article-journal","abstract":"Graphene-based, high-quality, two-dimensional electronic systems have emerged as a highly tunable platform for studying superconductivity1–21. Specifically, superconductivity has been observed in both electron- and hole-doped twisted graphene moiré systems1–17, whereas in crystalline graphene systems, superconductivity has so far been observed only in hole-doped rhombohedral trilayer graphene (RTG)18 and hole-doped Bernal bilayer graphene (BBG)19–21. Recently, enhanced superconductivity has been demonstrated20,21 in BBG because of the proximity to a monolayer WSe2. Here we report the observation of superconductivity and a series of flavour-symmetry-breaking phases in electron- and hole-doped BBG/WSe2 devices by electrostatic doping. The strength of the observed superconductivity is tunable by applied vertical electric fields. The maximum Berezinskii–Kosterlitz−Thouless transition temperature for the electron- and hole-doped superconductivity is about 210 mK and 400 mK, respectively. Superconductivities emerge only when the applied electric fields drive the BBG electron or hole wavefunctions towards the WSe2 layer, underscoring the importance of the WSe2 layer in the observed superconductivity. The hole-doped superconductivity violates the Pauli paramagnetic limit, consistent with an Ising-like superconductor. By contrast, the electron-doped superconductivity obeys the Pauli limit, although the proximity-induced Ising spin–orbit coupling is also notable in the conduction band. Our findings highlight the rich physics associated with the conduction band in BBG, paving the way for further studies into the superconducting mechanisms of crystalline graphene and the development of superconductor devices based on BBG.","container-title":"Nature","DOI":"10.1038/s41586-024-07584-w","ISSN":"1476-4687","issue":"8020","language":"en","license":"2024 The Author(s), under exclusive licence to Springer Nature Limited","note":"publisher: Nature Publishing Group","page":"300-306","source":"www.nature.com","title":"Tunable superconductivity in electron- and hole-doped Bernal bilayer graphene","volume":"631","author":[{"family":"Li","given":"Chushan"},{"family":"Xu","given":"Fan"},{"family":"Li","given":"Bohao"},{"family":"Li","given":"Jiayi"},{"family":"Li","given":"Guoan"},{"family":"Watanabe","given":"Kenji"},{"family":"Taniguchi","given":"Takashi"},{"family":"Tong","given":"Bingbing"},{"family":"Shen","given":"Jie"},{"family":"Lu","given":"Li"},{"family":"Jia","given":"Jinfeng"},{"family":"Wu","given":"Fengcheng"},{"family":"Liu","given":"Xiaoxue"},{"family":"Li","given":"Tingxin"}],"issued":{"date-parts":[["2024",7]]}}},{"id":4508,"uris":["http://zotero.org/users/5406744/items/KBKJWPL6"],"itemData":{"id":4508,"type":"article-journal","abstract":"Recent experimental discovery of flavor symmetry breaking metallic phases in Bernal-stacked bilayer graphene points to the strongly interacting nature of electrons near the top (bottom) of its valence (conduction) band. Superconductivity was also observed in between these symmetry breaking phases when the graphene bilayer is placed under a small in-plane magnetic field or in close proximity to a monolayer WSe2 substrate. Here we address the correlated nature of the band edge electrons and obtain the quantum phase diagram of their many-body ground states incorporating the effect of proximity induced spin-orbit coupling. We find that in addition to the spin/valley flavor polarized half and quarter metallic states, two types of intervalley coherent phases emerge near the phase boundaries between the flavor polarized metals. Both spin-orbit coupling and in-plane magnetic field disfavor the spin-unpolarized valley coherent phase. Our findings suggest possible competition between intervalley coherence and superconducting orders, arising from the intriguing correlation effects in bilayer graphene in the presence of spin-orbit coupling.","container-title":"Physical Review B","DOI":"10.1103/PhysRevB.107.L201119","issue":"20","journalAbbreviation":"Phys. Rev. B","note":"publisher: American Physical Society","page":"L201119","source":"APS","title":"Flavor symmetry breaking in spin-orbit coupled bilayer graphene","volume":"107","author":[{"family":"Xie","given":"Ming"},{"family":"Das Sarma","given":"Sankar"}],"issued":{"date-parts":[["2023",5,30]]}}},{"id":4491,"uris":["http://zotero.org/users/5406744/items/PY536P7J"],"itemData":{"id":4491,"type":"article","abstract":"Rhombohedral graphene multilayers host various broken-symmetry metallic phases as well as superconductors whose pairing mechanism and order parameter symmetry remain unsettled. Strikingly, experiments have revealed prominent new superconducting regions in rhombohedral bilayer and trilayer graphene devices with proximity-induced Ising spin-orbit coupling. We propose that these superconductors descend from a common spin-canted normal state that spontaneously breaks a U(1) spin symmetry and thus supports a gapless (Goldstone) magnon mode. In particular, we develop a scenario wherein pairing in the spin-canted state emerges from a novel type of magnon-mediated attraction: Contrary to conventional mechanisms that involve the exchange of a single boson, we show that second-order processes that exchange two magnons are dominant and produce an $s$-wave pairing interaction featuring a unique logarithmic low-frequency divergence. This low-frequency divergence disappears when spin-orbit coupling vanishes, providing a promising explanation for spin-orbit-enabled pairing. Numerous other experimental observations -- including nontrivial dependence of superconductivity on the spin-orbit coupling strength, in-plane magnetic fields, and Fermi surface structure -- also naturally follow from our scenario.","DOI":"10.48550/arXiv.2406.17036","note":"arXiv:2406.17036 [cond-mat]","number":"arXiv:2406.17036","publisher":"arXiv","source":"arXiv.org","title":"Superconductivity from spin-canting fluctuations in rhombohedral graphene","URL":"http://arxiv.org/abs/2406.17036","author":[{"family":"Dong","given":"Zhiyu"},{"family":"Lantagne-Hurtubise","given":"Étienne"},{"family":"Alicea","given":"Jason"}],"accessed":{"date-parts":[["2024",7,18]]},"issued":{"date-parts":[["2024",6,24]]}},"label":"page"},{"id":"U3Qiqgwr/RFzdON9t","uris":["http://zotero.org/users/5406744/items/HDVT9R7S"],"itemData":{"id":1499,"type":"article","abstract":"Motivated by a recent experiment [arXiv:2205.05087], we investigate a possible mechanism that enhances superconductivity in hole-doped Bernal bilayer graphene due to a proximate WSe$_2$ monolayer. We show that the virtual tunneling between WSe$_2$ and Bernal bilayer graphene, which is known to induce Ising spin-orbit-orbit coupling, can generate an additional attraction between two holes, providing an explanation for enhancing superconductivity in Bernal bilayer graphene. Using the microscopic interlayer tunneling, we derive the Ising spin-orbit coupling and the effective attraction as functions of the twist angle between Bernal bilayer graphene and WSe$_2$ monolayer. Our theory provides an intuitive and physical explanation for the intertwined relation between Ising spin-orbit coupling and superconductivity enhancement, which should motivate future studies.","note":"arXiv:2206.09922 [cond-mat]","number":"arXiv:2206.09922","publisher":"arXiv","source":"arXiv.org","title":"Enhanced superconductivity through virtual tunneling in Bernal bilayer graphene coupled to WSe$_2$","URL":"http://arxiv.org/abs/2206.09922","author":[{"family":"Chou","given":"Yang-Zhi"},{"family":"Wu","given":"Fengcheng"},{"family":"Sarma","given":"Sankar Das"}],"accessed":{"date-parts":[["2022",10,16]]},"issued":{"date-parts":[["2022",7,11]]}}},{"id":4509,"uris":["http://zotero.org/users/5406744/items/3PE587S2"],"itemData":{"id":4509,"type":"article-journal","abstract":"We consider the origin of superconductivity found recently in Bernal bilayer graphene at the onset of isospin-polarized order, trying to infer the pairing mechanism and superconducting order from the measurements available to date. The superconductivity is induced by a parallel magnetic field and persists well above the Pauli limit, indicating an unconventional scenario of quantum-critical pairing, where soft fluctuations of isospin give rise to spin-triplet superconductivity. We consider the scenario in which the pairing interaction is entirely repulsive, which stands in contrast to the typical quantum-critical pairing mechanisms. Superconductivity emerges through a “transformer” mechanism where, in the presence of an in-plane magnetic field, the incipient valley polarization converts a frequency-independent repulsion into one with a strong nonmonotonic frequency dependence. Such an interaction enables a nonzero solution for the pairing gap function that changes sign as a function of frequency. The same mechanism holds at zero field in the presence of spin-orbit coupling, providing a likely explanation for the recently observed superconductivity in bilayer graphene on the WSe2 monolayer.","container-title":"Physical Review B","DOI":"10.1103/PhysRevB.107.174512","issue":"17","journalAbbreviation":"Phys. Rev. B","note":"publisher: American Physical Society","page":"174512","source":"APS","title":"Transformer spin-triplet superconductivity at the onset of isospin order in bilayer graphene","volume":"107","author":[{"family":"Dong","given":"Zhiyu"},{"family":"Chubukov","given":"Andrey V."},{"family":"Levitov","given":"Leonid"}],"issued":{"date-parts":[["2023",5,11]]}},"label":"page"}],"schema":"https://github.com/citation-style-language/schema/raw/master/csl-citation.json"} </w:instrText>
      </w:r>
      <w:r w:rsidR="001D12A0">
        <w:fldChar w:fldCharType="separate"/>
      </w:r>
      <w:r w:rsidR="00BF4618" w:rsidRPr="00BF4618">
        <w:rPr>
          <w:rFonts w:ascii="Calibri" w:hAnsi="Calibri" w:cs="Calibri"/>
          <w:kern w:val="0"/>
          <w:vertAlign w:val="superscript"/>
        </w:rPr>
        <w:t>18–21,40–43</w:t>
      </w:r>
      <w:r w:rsidR="001D12A0">
        <w:fldChar w:fldCharType="end"/>
      </w:r>
      <w:r w:rsidRPr="0EFF3AFE">
        <w:t xml:space="preserve"> and twisted graphene devices</w:t>
      </w:r>
      <w:r w:rsidR="004304C0">
        <w:fldChar w:fldCharType="begin"/>
      </w:r>
      <w:r w:rsidR="00BF4618">
        <w:instrText xml:space="preserve"> ADDIN ZOTERO_ITEM CSL_CITATION {"citationID":"U1eRizso","properties":{"formattedCitation":"\\super 22\\uc0\\u8211{}24,44\\nosupersub{}","plainCitation":"22–24,44","noteIndex":0},"citationItems":[{"id":1107,"uris":["http://zotero.org/users/5406744/items/SBKT6KFN"],"itemData":{"id":1107,"type":"article-journal","abstract":"Magic-angle twisted bilayer graphene (TBG), with rotational misalignment close to 1.1 degrees, features isolated flat electronic bands that host a rich phase diagram of correlated insulating, superconducting, ferromagnetic and topological phases1–6. Correlated insulators and superconductivity have been previously observed only for angles within 0.1 degree of the magic angle and occur in adjacent or overlapping electron-density ranges; nevertheless, the origins of these states and the relation between them remain unclear, owing to their sensitivity to microscopic details. Beyond twist angle and strain, the dependence of the TBG phase diagram on the alignment4,6 and thickness of the insulating hexagonal boron nitride (hBN)7,8 used to encapsulate the graphene sheets indicates the importance of the microscopic dielectric environment. Here we show that adding an insulating tungsten diselenide (WSe2) monolayer between the hBN and the TBG stabilizes superconductivity at twist angles much smaller than the magic angle. For the smallest twist angle of 0.79 degrees, superconductivity is still observed despite the TBG exhibiting metallic behaviour across the whole range of electron densities. Finite-magnetic-field measurements further reveal weak antilocalization signatures as well as breaking of fourfold spin–valley symmetry, consistent with spin–orbit coupling induced in the TBG via its proximity to WSe2. Our results constrain theoretical explanations for the emergence of superconductivity in TBG and open up avenues towards engineering quantum phases in moiré systems.","container-title":"Nature","DOI":"10.1038/s41586-020-2473-8","ISSN":"1476-4687","issue":"7816","language":"en","license":"2020 The Author(s), under exclusive licence to Springer Nature Limited","note":"number: 7816\npublisher: Nature Publishing Group","page":"379-384","source":"www.nature.com","title":"Superconductivity in metallic twisted bilayer graphene stabilized by WSe2","volume":"583","author":[{"family":"Arora","given":"Harpreet Singh"},{"family":"Polski","given":"Robert"},{"family":"Zhang","given":"Yiran"},{"family":"Thomson","given":"Alex"},{"family":"Choi","given":"Youngjoon"},{"family":"Kim","given":"Hyunjin"},{"family":"Lin","given":"Zhong"},{"family":"Wilson","given":"Ilham Zaky"},{"family":"Xu","given":"Xiaodong"},{"family":"Chu","given":"Jiun-Haw"},{"family":"Watanabe","given":"Kenji"},{"family":"Taniguchi","given":"Takashi"},{"family":"Alicea","given":"Jason"},{"family":"Nadj-Perge","given":"Stevan"}],"issued":{"date-parts":[["2020",7]]}}},{"id":3996,"uris":["http://zotero.org/users/5406744/items/7ZZHI37G"],"itemData":{"id":3996,"type":"article-journal","abstract":"Identifying the essential components of superconductivity in graphene-based systems remains a critical problem in two-dimensional materials research. This field is connected to the mysteries that underpin investigations of unconventional superconductivity in condensed-matter physics. Superconductivity has been observed in magic-angle twisted stacks of monolayer graphene but conspicuously not in twisted stacks of bilayer graphene, although both systems host topological flat bands and symmetry-broken states. Here we report the discovery of superconductivity in twisted double bilayer graphene (TDBG) in proximity to WSe2. Samples with twist angles 1.24° and 1.37° superconduct in small pockets of the gate-tuned phase diagram within the valence and conduction band, respectively. Superconductivity emerges from unpolarized phases near van Hove singularities and next to regions with broken isospin symmetry. Our results show the correlation between a high density of states and the emergence of superconductivity in TDBG while revealing a possible role for isospin fluctuations in the pairing.","container-title":"Nature Materials","DOI":"10.1038/s41563-023-01653-7","ISSN":"1476-4660","journalAbbreviation":"Nat. Mater.","language":"en","license":"2023 The Author(s), under exclusive licence to Springer Nature Limited","note":"publisher: Nature Publishing Group","page":"1-6","source":"www.nature.com","title":"Superconductivity in twisted double bilayer graphene stabilized by WSe2","author":[{"family":"Su","given":"Ruiheng"},{"family":"Kuiri","given":"Manabendra"},{"family":"Watanabe","given":"Kenji"},{"family":"Taniguchi","given":"Takashi"},{"family":"Folk","given":"Joshua"}],"issued":{"date-parts":[["2023",8,28]]}}},{"id":4597,"uris":["http://zotero.org/users/5406744/items/GF95BK94"],"itemData":{"id":4597,"type":"article-journal","abstract":"Graphene moiré superlattices show an abundance of correlated insulating, topological, and superconducting phases. Whereas the origins of strong correlations and nontrivial topology can be directly linked to flat bands, the nature of superconductivity remains enigmatic. We demonstrate that magic-angle devices made of twisted tri-, quadri-, and pentalayer graphene placed on monolayer tungsten diselenide exhibit flavor polarization and superconductivity. We also observe insulating states in the tril- and quadrilayer arising at finite electric displacement fields. As the number of layers increases, superconductivity emerges over an enhanced filling-factor range, and in the pentalayer it extends well beyond the filling of four electrons per moiré unit cell. Our results highlight the role of the interplay between flat and more dispersive bands in extending superconducting regions in graphene moiré superlattices.","container-title":"Science","DOI":"10.1126/science.abn8585","issue":"6614","note":"publisher: American Association for the Advancement of Science","page":"1538-1543","source":"science.org (Atypon)","title":"Promotion of superconductivity in magic-angle graphene multilayers","volume":"377","author":[{"family":"Zhang","given":"Yiran"},{"family":"Polski","given":"Robert"},{"family":"Lewandowski","given":"Cyprian"},{"family":"Thomson","given":"Alex"},{"family":"Peng","given":"Yang"},{"family":"Choi","given":"Youngjoon"},{"family":"Kim","given":"Hyunjin"},{"family":"Watanabe","given":"Kenji"},{"family":"Taniguchi","given":"Takashi"},{"family":"Alicea","given":"Jason"},{"family":"Oppen","given":"Felix","non-dropping-particle":"von"},{"family":"Refael","given":"Gil"},{"family":"Nadj-Perge","given":"Stevan"}],"issued":{"date-parts":[["2022",9,30]]}}},{"id":4487,"uris":["http://zotero.org/users/5406744/items/CPBRV33N"],"itemData":{"id":4487,"type":"article-journal","abstract":"We study theoretically the magic-angle twisted bilayer graphene with proximity-induced Ising and Rashba spin-orbit couplings on the top layer. Topological flat bands (with three distinct phases) are generically realized by the spin-orbit couplings. Using a mean field analysis, we find that (partial) valley polarization prevails for a wide range of doping, suppressing</w:instrText>
      </w:r>
      <w:r w:rsidR="00BF4618">
        <w:rPr>
          <w:rFonts w:hint="eastAsia"/>
        </w:rPr>
        <w:instrText xml:space="preserve"> the usual superconductivity with a pairing between time-reversal partners. Remarkably, we uncover that observable unconventional intervalley interband phonon-mediated superconductivity (with the highest </w:instrText>
      </w:r>
      <w:r w:rsidR="00BF4618">
        <w:rPr>
          <w:rFonts w:ascii="Cambria Math" w:hAnsi="Cambria Math" w:cs="Cambria Math"/>
        </w:rPr>
        <w:instrText>𝑇𝑐</w:instrText>
      </w:r>
      <w:r w:rsidR="00BF4618">
        <w:rPr>
          <w:rFonts w:hint="eastAsia"/>
        </w:rPr>
        <w:instrText>≈</w:instrText>
      </w:r>
      <w:r w:rsidR="00BF4618">
        <w:rPr>
          <w:rFonts w:hint="eastAsia"/>
        </w:rPr>
        <w:instrText>1.2K) can coexist with strong valley imbalance</w:instrText>
      </w:r>
      <w:r w:rsidR="00BF4618">
        <w:instrText xml:space="preserve"> due to the approximate Fermi-surface nesting between two flat bands not related by time-reversal symmetry, and the dominant pairing is an intersublattice Ising pairing, corresponding to a mixture of </w:instrText>
      </w:r>
      <w:r w:rsidR="00BF4618">
        <w:rPr>
          <w:rFonts w:ascii="Cambria Math" w:hAnsi="Cambria Math" w:cs="Cambria Math"/>
        </w:rPr>
        <w:instrText>𝑝</w:instrText>
      </w:r>
      <w:r w:rsidR="00BF4618">
        <w:instrText xml:space="preserve"> and </w:instrText>
      </w:r>
      <w:r w:rsidR="00BF4618">
        <w:rPr>
          <w:rFonts w:ascii="Cambria Math" w:hAnsi="Cambria Math" w:cs="Cambria Math"/>
        </w:rPr>
        <w:instrText>𝑑</w:instrText>
      </w:r>
      <w:r w:rsidR="00BF4618">
        <w:instrText xml:space="preserve"> waves. In contrast, the intrasublattice Ising phonon-mediated superconductivity with </w:instrText>
      </w:r>
      <w:r w:rsidR="00BF4618">
        <w:rPr>
          <w:rFonts w:ascii="Cambria Math" w:hAnsi="Cambria Math" w:cs="Cambria Math"/>
        </w:rPr>
        <w:instrText>𝑠</w:instrText>
      </w:r>
      <w:r w:rsidR="00BF4618">
        <w:instrText xml:space="preserve">- and </w:instrText>
      </w:r>
      <w:r w:rsidR="00BF4618">
        <w:rPr>
          <w:rFonts w:ascii="Cambria Math" w:hAnsi="Cambria Math" w:cs="Cambria Math"/>
        </w:rPr>
        <w:instrText>𝑓</w:instrText>
      </w:r>
      <w:r w:rsidR="00BF4618">
        <w:instrText xml:space="preserve">-wave mixing emerges in the absence of valley imbalance. Our work reveals an unprecedented route of realizing unconventional superconductivity.","container-title":"Physical Review B","DOI":"10.1103/PhysRevB.110.L041108","issue":"4","journalAbbreviation":"Phys. Rev. B","note":"publisher: American Physical Society","page":"L041108","source":"APS","title":"Topological flat bands, valley polarization, and interband superconductivity in magic-angle twisted bilayer graphene with proximitized spin-orbit couplings","volume":"110","author":[{"family":"Chou","given":"Yang-Zhi"},{"family":"Tan","given":"Yuting"},{"family":"Wu","given":"Fengcheng"},{"family":"Das Sarma","given":"Sankar"}],"issued":{"date-parts":[["2024",7,1]]}}}],"schema":"https://github.com/citation-style-language/schema/raw/master/csl-citation.json"} </w:instrText>
      </w:r>
      <w:r w:rsidR="004304C0">
        <w:fldChar w:fldCharType="separate"/>
      </w:r>
      <w:r w:rsidR="00BF4618" w:rsidRPr="00BF4618">
        <w:rPr>
          <w:rFonts w:ascii="Calibri" w:hAnsi="Calibri" w:cs="Calibri"/>
          <w:kern w:val="0"/>
          <w:vertAlign w:val="superscript"/>
        </w:rPr>
        <w:t>22–24,44</w:t>
      </w:r>
      <w:r w:rsidR="004304C0">
        <w:fldChar w:fldCharType="end"/>
      </w:r>
      <w:r w:rsidRPr="0EFF3AFE">
        <w:t xml:space="preserve">. SOC preserves the time-reversal-symmetry, so it should not suppress the </w:t>
      </w:r>
      <w:r w:rsidR="00AC7E54">
        <w:rPr>
          <w:rFonts w:hint="eastAsia"/>
        </w:rPr>
        <w:t xml:space="preserve">SC1, which is </w:t>
      </w:r>
      <w:r w:rsidR="004304C0">
        <w:t>believed</w:t>
      </w:r>
      <w:r w:rsidR="00AC7E54">
        <w:rPr>
          <w:rFonts w:hint="eastAsia"/>
        </w:rPr>
        <w:t xml:space="preserve"> to be a</w:t>
      </w:r>
      <w:r w:rsidR="00C9204A">
        <w:rPr>
          <w:rFonts w:hint="eastAsia"/>
        </w:rPr>
        <w:t>n</w:t>
      </w:r>
      <w:r w:rsidR="00AC7E54">
        <w:rPr>
          <w:rFonts w:hint="eastAsia"/>
        </w:rPr>
        <w:t xml:space="preserve"> </w:t>
      </w:r>
      <w:r w:rsidRPr="0EFF3AFE">
        <w:t xml:space="preserve">s-wave </w:t>
      </w:r>
      <w:r w:rsidR="00AC7E54" w:rsidRPr="0EFF3AFE">
        <w:t>superconduct</w:t>
      </w:r>
      <w:r w:rsidR="00AC7E54">
        <w:rPr>
          <w:rFonts w:hint="eastAsia"/>
        </w:rPr>
        <w:t>or</w:t>
      </w:r>
      <w:r w:rsidR="00FC68B0">
        <w:fldChar w:fldCharType="begin"/>
      </w:r>
      <w:r w:rsidR="00BF4618">
        <w:instrText xml:space="preserve"> ADDIN ZOTERO_ITEM CSL_CITATION {"citationID":"vnpGM1Eo","properties":{"formattedCitation":"\\super 45\\uc0\\u8211{}49\\nosupersub{}","plainCitation":"45–49","noteIndex":0},"citationItems":[{"id":4501,"uris":["http://zotero.org/users/5406744/items/CHBY9N3V"],"itemData":{"id":4501,"type":"article-journal","abstract":"Spin excitations that soften near the onset of magnetic order have long been known to act as “paramagnon” pairing glue that can drive superconductivity. Recent findings of superconductivity in graphene bilayers and trilayers, occurring in the proximity of different itinerant ordered phases polarized in isospin (spin and valley), have motivated us to conduct a comprehensive study of an isospin extension of the paramagnon pairing mechanism in the vicinity of different isospin orders. In each case, we identify a soft mode, associated with the order-parameter fluctuations, that mediates pairing interaction. The pairing interaction is proportional to the susceptibility of the corresponding spin/valley order parameter given diagrammatically by summation of the contributions most strongly divergent at the onset of the isospin orders. This interaction is not always attractive, but if it is, it gives rise to an enhancement of superconducting </w:instrText>
      </w:r>
      <w:r w:rsidR="00BF4618">
        <w:rPr>
          <w:rFonts w:ascii="Cambria Math" w:hAnsi="Cambria Math" w:cs="Cambria Math"/>
        </w:rPr>
        <w:instrText>𝑇𝑐</w:instrText>
      </w:r>
      <w:r w:rsidR="00BF4618">
        <w:instrText xml:space="preserve"> in an appropriate pairing channel. In the cases when the pairing interaction is attractive, it leads to the formation of a superconducting state which can be either spin triplet and valley singlet or vice versa, depending on the specific isospin order type. These findings demonstrate that the occurrence of superconductivity in the vicinity of an itinerant magnetic phase is a generic phenomenon, closely mirroring experimental observations.","container-title":"Physical Review B","DOI":"10.1103/PhysRevB.108.134503","issue":"13","journalAbbreviation":"Phys. Rev. B","note":"publisher: American Physical Society","page":"134503","source":"APS","title":"Superconductivity near spin and valley orders in graphene multilayers","volume":"108","author":[{"family":"Dong","given":"Zhiyu"},{"family":"Levitov","given":"Leonid"},{"family":"Chubukov","given":"Andrey V."}],"issued":{"date-parts":[["2023",10,13]]}},"label":"page"},{"id":4612,"uris":["http://zotero.org/users/5406744/items/AS97XSYR"],"itemData":{"id":4612,"type":"article-journal","abstract":"Motivated by recent experiments on ABC-stacked rhombohedral trilayer graphene (RTG), which observed spin-valley symmetry breaking and superconductivity, we study instabilities of the RTG metallic state to symmetry-breaking orders. We find that interactions select the intervalley coherent order (IVC) as the preferred ordering channel over a wide range, whose theoretically determined phase boundaries agree well with experiments on both the hole- and electron-doped sides. The Fermi surfaces near van Hove singularities admit partial nesting between valleys, which promotes both intervalley superconductivity and IVC fluctuations. We investigate the interplay between these fluctuations and the Hunds (intervalley spin) interaction using a renormalization group approach. For antiferromagnetic Hund's coupling, intervalley pairing appears in the spin-singlet channel with enhanced </w:instrText>
      </w:r>
      <w:r w:rsidR="00BF4618">
        <w:rPr>
          <w:rFonts w:ascii="Cambria Math" w:hAnsi="Cambria Math" w:cs="Cambria Math"/>
        </w:rPr>
        <w:instrText>𝑇𝑐</w:instrText>
      </w:r>
      <w:r w:rsidR="00BF4618">
        <w:instrText xml:space="preserve"> that scales with the dimensionless coupling </w:instrText>
      </w:r>
      <w:r w:rsidR="00BF4618">
        <w:rPr>
          <w:rFonts w:ascii="Cambria Math" w:hAnsi="Cambria Math" w:cs="Cambria Math"/>
        </w:rPr>
        <w:instrText>𝑔</w:instrText>
      </w:r>
      <w:r w:rsidR="00BF4618">
        <w:instrText xml:space="preserve"> as </w:instrText>
      </w:r>
      <w:r w:rsidR="00BF4618">
        <w:rPr>
          <w:rFonts w:ascii="Cambria Math" w:hAnsi="Cambria Math" w:cs="Cambria Math"/>
        </w:rPr>
        <w:instrText>𝑇𝑐∼</w:instrText>
      </w:r>
      <w:r w:rsidR="00BF4618">
        <w:instrText>exp</w:instrText>
      </w:r>
      <w:r w:rsidR="00BF4618">
        <w:rPr>
          <w:rFonts w:ascii="Cambria Math" w:hAnsi="Cambria Math" w:cs="Cambria Math"/>
        </w:rPr>
        <w:instrText>⁡</w:instrText>
      </w:r>
      <w:r w:rsidR="00BF4618">
        <w:instrText>(</w:instrText>
      </w:r>
      <w:r w:rsidR="00BF4618">
        <w:rPr>
          <w:rFonts w:ascii="Calibri" w:hAnsi="Calibri" w:cs="Calibri"/>
        </w:rPr>
        <w:instrText>−</w:instrText>
      </w:r>
      <w:r w:rsidR="00BF4618">
        <w:instrText>1/</w:instrText>
      </w:r>
      <w:r w:rsidR="00BF4618">
        <w:rPr>
          <w:rFonts w:hint="eastAsia"/>
        </w:rPr>
        <w:instrText>√</w:instrText>
      </w:r>
      <w:r w:rsidR="00BF4618">
        <w:rPr>
          <w:rFonts w:ascii="Cambria Math" w:hAnsi="Cambria Math" w:cs="Cambria Math"/>
        </w:rPr>
        <w:instrText>𝑔</w:instrText>
      </w:r>
      <w:r w:rsidR="00BF4618">
        <w:instrText>), compared to the standard exp</w:instrText>
      </w:r>
      <w:r w:rsidR="00BF4618">
        <w:rPr>
          <w:rFonts w:ascii="Cambria Math" w:hAnsi="Cambria Math" w:cs="Cambria Math"/>
        </w:rPr>
        <w:instrText>⁡</w:instrText>
      </w:r>
      <w:r w:rsidR="00BF4618">
        <w:instrText>(</w:instrText>
      </w:r>
      <w:r w:rsidR="00BF4618">
        <w:rPr>
          <w:rFonts w:ascii="Calibri" w:hAnsi="Calibri" w:cs="Calibri"/>
        </w:rPr>
        <w:instrText>−</w:instrText>
      </w:r>
      <w:r w:rsidR="00BF4618">
        <w:instrText>1/</w:instrText>
      </w:r>
      <w:r w:rsidR="00BF4618">
        <w:rPr>
          <w:rFonts w:ascii="Cambria Math" w:hAnsi="Cambria Math" w:cs="Cambria Math"/>
        </w:rPr>
        <w:instrText>𝑔</w:instrText>
      </w:r>
      <w:r w:rsidR="00BF4618">
        <w:instrText xml:space="preserve">) scaling. In its simplest form, this scenario assumes a sign change in the Hund's coupling on increasing hole doping. On the other hand, the calculation incorporates breaking of the independent spin rotations between valleys from the start, and strongly selects spin-singlet over spin-triplet pairing, and naturally occurs in proximity to the IVC, consistent with observations.","container-title":"Physical Review B","DOI":"10.1103/PhysRevB.105.134524","issue":"13","journalAbbreviation":"Phys. Rev. B","note":"publisher: American Physical Society","page":"134524","source":"APS","title":"Kohn-Luttinger superconductivity and intervalley coherence in rhombohedral trilayer graphene","volume":"105","author":[{"family":"You","given":"Yi-Zhuang"},{"family":"Vishwanath","given":"Ashvin"}],"issued":{"date-parts":[["2022",4,29]]}},"label":"page"},{"id":4396,"uris":["http://zotero.org/users/5406744/items/NMAC4WVU"],"itemData":{"id":4396,"type":"article-journal","abstract":"Superconductivity was recently discovered in rhombohedral trilayer graphene (RTG) in the absence of a moiré potential. Superconductivity is observed proximate to a metallic state with reduced isospin symmetry, but it remains unknown whether this is a coincidence or a key ingredient for superconductivity. Using a Hartree-Fock analysis and constraints from experiments, we argue that the symmetry breaking is inter-valley coherent (IVC) in nature. We evaluate IVC fluctuations as a possible pairing glue, and find that they lead to chiral unconventional superconductivity when the fluctuations are strong. We further elucidate how the inter-valley Hund’s coupling determines the spin-structure of the IVC ground state and breaks the degeneracy between spin-singlet and triplet superconductivity. Remarkably, if the normal state is spin-unpolarized, we find that a ferromagnetic Hund’s coupling favors spin-singlet superconductivity, in agreement with experiments. Instead, if the normal state is spin-polarized, then IVC fluctuations lead to spin-triplet pairing.","container-title":"Nature Communications","DOI":"10.1038/s41467-022-33561-w","ISSN":"2041-1723","issue":"1","journalAbbreviation":"Nat Commun","language":"en","license":"2022 The Author(s)","note":"publisher: Nature Publishing Group","page":"6013","source":"www.nature.com","title":"Inter-valley coherent order and isospin fluctuation mediated superconductivity in rhombohedral trilayer graphene","volume":"13","author":[{"family":"Chatterjee","given":"Shubhayu"},{"family":"Wang","given":"Taige"},{"family":"Berg","given":"Erez"},{"family":"Zaletel","given":"Michael P."}],"issued":{"date-parts":[["2022",10,12]]}}},{"id":4505,"uris":["http://zotero.org/users/5406744/items/VCG8MNQH"],"itemData":{"id":4505,"type":"article-journal","abstract":"We study the emergence of superconductivity in rhombohedral trilayer graphene due purely to the long-range Coulomb repulsion. This repulsive-interaction-driven phase in rhombohedral trilayer graphene (RTG) is significantly different from those found in twisted bilayer and trilayer graphenes. In the latter case, the nontrivial momentum-space geometry of the Bloch wave functions contributes to an effective attractive electron–electron interaction; this allows for less modulated order parameters and for spin-singlet pairing. In RTG, we instead find spin-triplet superconductivity with critical temperatures up to </w:instrText>
      </w:r>
      <w:r w:rsidR="00BF4618">
        <w:rPr>
          <w:rFonts w:ascii="Cambria Math" w:hAnsi="Cambria Math" w:cs="Cambria Math"/>
        </w:rPr>
        <w:instrText>∼</w:instrText>
      </w:r>
      <w:r w:rsidR="00BF4618">
        <w:instrText xml:space="preserve">0.15 K. The critical temperatures strongly depend on electron filling and peak where the density of states diverge. The order parameter shows a significant modulation within each valley pocket of the Fermi surface.","container-title":"Physical Review B","DOI":"10.1103/PhysRevB.105.075432","issue":"7","journalAbbreviation":"Phys. Rev. B","note":"publisher: American Physical Society","page":"075432","source":"APS","title":"Superconductivity from repulsive interactions in rhombohedral trilayer graphene: A Kohn-Luttinger-like mechanism","title-short":"Superconductivity from repulsive interactions in rhombohedral trilayer graphene","volume":"105","author":[{"family":"Cea","given":"Tommaso"},{"family":"Pantaleón","given":"Pierre A."},{"family":"Phong","given":"Võ Tiến"},{"family":"Guinea","given":"Francisco"}],"issued":{"date-parts":[["2022",2,25]]}}},{"id":4727,"uris":["http://zotero.org/users/5406744/items/ZNDHFS8U"],"itemData":{"id":4727,"type":"article-journal","abstract":"Motivated by the observation of two distinct superconducting phases in the moiréless </w:instrText>
      </w:r>
      <w:r w:rsidR="00BF4618">
        <w:rPr>
          <w:rFonts w:ascii="Cambria Math" w:hAnsi="Cambria Math" w:cs="Cambria Math"/>
        </w:rPr>
        <w:instrText>𝐴⁢𝐵⁢𝐶</w:instrText>
      </w:r>
      <w:r w:rsidR="00BF4618">
        <w:instrText xml:space="preserve">-stacked rhombohedral trilayer graphene, we investigate the electron-acoustic-phonon coupling as a possible pairing mechanism. We predict the existence of superconductivity with the highest </w:instrText>
      </w:r>
      <w:r w:rsidR="00BF4618">
        <w:rPr>
          <w:rFonts w:ascii="Cambria Math" w:hAnsi="Cambria Math" w:cs="Cambria Math"/>
        </w:rPr>
        <w:instrText>𝑇𝑐∼</w:instrText>
      </w:r>
      <w:r w:rsidR="00BF4618">
        <w:instrText xml:space="preserve">3 K near the Van Hove singularity. Away from the Van Hove singularity, </w:instrText>
      </w:r>
      <w:r w:rsidR="00BF4618">
        <w:rPr>
          <w:rFonts w:ascii="Cambria Math" w:hAnsi="Cambria Math" w:cs="Cambria Math"/>
        </w:rPr>
        <w:instrText>𝑇𝑐</w:instrText>
      </w:r>
      <w:r w:rsidR="00BF4618">
        <w:instrText xml:space="preserve"> remains finite in a wide range of doping. In our model, the </w:instrText>
      </w:r>
      <w:r w:rsidR="00BF4618">
        <w:rPr>
          <w:rFonts w:ascii="Cambria Math" w:hAnsi="Cambria Math" w:cs="Cambria Math"/>
        </w:rPr>
        <w:instrText>𝑠</w:instrText>
      </w:r>
      <w:r w:rsidR="00BF4618">
        <w:instrText xml:space="preserve">-wave spin-singlet and </w:instrText>
      </w:r>
      <w:r w:rsidR="00BF4618">
        <w:rPr>
          <w:rFonts w:ascii="Cambria Math" w:hAnsi="Cambria Math" w:cs="Cambria Math"/>
        </w:rPr>
        <w:instrText>𝑓</w:instrText>
      </w:r>
      <w:r w:rsidR="00BF4618">
        <w:instrText xml:space="preserve">-wave spin-triplet pairings yield the same </w:instrText>
      </w:r>
      <w:r w:rsidR="00BF4618">
        <w:rPr>
          <w:rFonts w:ascii="Cambria Math" w:hAnsi="Cambria Math" w:cs="Cambria Math"/>
        </w:rPr>
        <w:instrText>𝑇𝑐</w:instrText>
      </w:r>
      <w:r w:rsidR="00BF4618">
        <w:instrText xml:space="preserve">, while other pairing states have negligible </w:instrText>
      </w:r>
      <w:r w:rsidR="00BF4618">
        <w:rPr>
          <w:rFonts w:ascii="Cambria Math" w:hAnsi="Cambria Math" w:cs="Cambria Math"/>
        </w:rPr>
        <w:instrText>𝑇𝑐</w:instrText>
      </w:r>
      <w:r w:rsidR="00BF4618">
        <w:instrText xml:space="preserve">. Our theory provides a simple explanation for the two distinct superconducting phases in the experiment and suggests that superconductivity and other interaction-driven phases (e.g., ferromagnetism) can have different origins.","container-title":"Physical Review Letters","DOI":"10.1103/PhysRevLett.127.187001","issue":"18","journalAbbreviation":"Phys. Rev. Lett.","note":"publisher: American Physical Society","page":"187001","source":"APS","title":"Acoustic-Phonon-Mediated Superconductivity in Rhombohedral Trilayer Graphene","volume":"127","author":[{"family":"Chou","given":"Yang-Zhi"},{"family":"Wu","given":"Fengcheng"},{"family":"Sau","given":"Jay D."},{"family":"Das Sarma","given":"Sankar"}],"issued":{"date-parts":[["2021",10,25]]}},"label":"page"}],"schema":"https://github.com/citation-style-language/schema/raw/master/csl-citation.json"} </w:instrText>
      </w:r>
      <w:r w:rsidR="00FC68B0">
        <w:fldChar w:fldCharType="separate"/>
      </w:r>
      <w:r w:rsidR="00BF4618" w:rsidRPr="00BF4618">
        <w:rPr>
          <w:rFonts w:ascii="Calibri" w:hAnsi="Calibri" w:cs="Calibri"/>
          <w:kern w:val="0"/>
          <w:vertAlign w:val="superscript"/>
        </w:rPr>
        <w:t>45–49</w:t>
      </w:r>
      <w:r w:rsidR="00FC68B0">
        <w:fldChar w:fldCharType="end"/>
      </w:r>
      <w:r w:rsidRPr="0EFF3AFE">
        <w:t>.  Phenomenologically, SC1</w:t>
      </w:r>
      <w:r w:rsidR="00C44D40">
        <w:rPr>
          <w:rFonts w:hint="eastAsia"/>
        </w:rPr>
        <w:t xml:space="preserve"> in RTG without TMD</w:t>
      </w:r>
      <w:r w:rsidRPr="0EFF3AFE">
        <w:t xml:space="preserve"> resides at </w:t>
      </w:r>
      <w:r w:rsidRPr="0EFF3AFE">
        <w:lastRenderedPageBreak/>
        <w:t xml:space="preserve">the boundary </w:t>
      </w:r>
      <w:r w:rsidR="00E260AE">
        <w:rPr>
          <w:rFonts w:hint="eastAsia"/>
        </w:rPr>
        <w:t>of</w:t>
      </w:r>
      <w:r w:rsidRPr="0EFF3AFE">
        <w:t xml:space="preserve"> a</w:t>
      </w:r>
      <w:r w:rsidR="002E7402">
        <w:rPr>
          <w:rFonts w:hint="eastAsia"/>
        </w:rPr>
        <w:t>n</w:t>
      </w:r>
      <w:r w:rsidRPr="0EFF3AFE">
        <w:t xml:space="preserve"> HM phase which is believed to be spin-polarized and valley-unpolarized</w:t>
      </w:r>
      <w:r w:rsidR="39626A4F" w:rsidRPr="0EFF3AFE">
        <w:rPr>
          <w:color w:val="0070C0"/>
        </w:rPr>
        <w:fldChar w:fldCharType="begin"/>
      </w:r>
      <w:r w:rsidR="00BF4618">
        <w:rPr>
          <w:color w:val="0070C0"/>
        </w:rPr>
        <w:instrText xml:space="preserve"> ADDIN ZOTERO_ITEM CSL_CITATION {"citationID":"lczCRvCo","properties":{"formattedCitation":"\\super 4,11\\nosupersub{}","plainCitation":"4,11","noteIndex":0},"citationItems":[{"id":929,"uris":["http://zotero.org/users/5406744/items/KV725DTP"],"itemData":{"id":929,"type":"article-journal","abstract":"Ferromagnetism is most common in transition metal compounds where electrons occupy highly localized d orbitals. However, ferromagnetic order may also arise in low-density two-dimensional electron systems1–5. Here we show that gate-tuned van Hove singularities in rhombohedral trilayer graphene6 drive spontaneous ferromagnetic polarization of the electron system into one or more spin and valley flavours. Using capacitance and transport measurements, we observe a cascade of transitions tuned to the density and electronic displacement field between phases in which quantum oscillations have fourfold, twofold or onefold degeneracy, associated with a spin- and valley-degenerate normal metal, spin-polarized ‘half-metal’, and spin- and valley-polarized ‘quarter-metal’, respectively. For electron doping, the salient features of the data are well captured by a phenomenological Stoner model7 that includes valley-anisotropic interactions. For hole filling, we observe a richer phase diagram featuring a delicate interplay of broken symmetries and transitions in the Fermi surface topology. Finally, we introduce a moiré superlattice using a rotationally aligned hexagonal boron nitride substrate5,8. Remarkably, we find that the isospin order is only weakly perturbed, with the moiré potential catalysing the formation of topologically nontrivial gapped states whenever itinerant half- or quarter-metal states occur at half- or quarter-superlattice band filling. Our results show that rhombohedral graphene is an ideal platform for well-controlled tests of many-body theory, and reveal magnetism in moiré materials4,5,9,10 to be fundamentally itinerant in nature.","container-title":"Nature","DOI":"10.1038/s41586-021-03938-w","ISSN":"1476-4687","issue":"7881","language":"en","license":"2021 The Author(s), under exclusive licence to Springer Nature Limited","note":"number: 7881\npublisher: Nature Publishing Group","page":"429-433","source":"www.nature.com","title":"Half- and quarter-metals in rhombohedral trilayer graphene","volume":"598","author":[{"family":"Zhou","given":"Haoxin"},{"family":"Xie","given":"Tian"},{"family":"Ghazaryan","given":"Areg"},{"family":"Holder","given":"Tobias"},{"family":"Ehrets","given":"James R."},{"family":"Spanton","given":"Eric M."},{"family":"Taniguchi","given":"Takashi"},{"family":"Watanabe","given":"Kenji"},{"family":"Berg","given":"Erez"},{"family":"Serbyn","given":"Maksym"},{"family":"Young","given":"Andrea F."}],"issued":{"date-parts":[["2021",10]]}}},{"id":4517,"uris":["http://zotero.org/users/5406744/items/LZ4U3UKW"],"itemData":{"id":4517,"type":"article-journal","abstract":"Rhombohedral graphene multilayers provide a clean and highly reproducible platform to explore the emergence of superconductivity and magnetism in a strongly interacting electron system. Here we reveal a subtle competition between valley-imbalanced orbital ferromagnets and intervalley-coherent states in which electron wavefunctions in the two momentum-space valleys develop a macroscopically coherent relative phase. We focus on a rhombohedral trilayer in the quarter-metal regime—where there is a single Fermi surface that spontaneously breaks spin and valley-isospin symmetry—and employ local magnetometry and global charge sensing techniques. Comparing the in-plane spin susceptibility of the intervalley-coherent and valley-imbalanced phases reveals the influence of graphene’s intrinsic spin–orbit coupling, which drives the emergence of a distinct correlated phase that is their hybrid. Spin–orbit coupling also suppresses the in-plane magnetic susceptibility of the valley-imbalanced phase, allowing us to extract the spin–orbit-coupling strength of approximately 50 μeV for our hexagonal-boron-nitride-encapsulated graphene system. We discuss the implications of a finite spin–orbit coupling on the spin-triplet superconductors observed in both rhombohedral and twisted graphene multilayers.","container-title":"Nature Physics","DOI":"10.1038/s41567-024-02560-7","ISSN":"1745-2481","journalAbbreviation":"Nat. Phys.","language":"en","license":"2024 The Author(s), under exclusive licence to Springer Nature Limited","note":"publisher: Nature Publishing Group","page":"1-8","source":"www.nature.com","title":"Intervalley coherence and intrinsic spin–orbit coupling in rhombohedral trilayer graphene","author":[{"family":"Arp","given":"Trevor"},{"family":"Sheekey","given":"Owen"},{"family":"Zhou","given":"Haoxin"},{"family":"Tschirhart","given":"C. L."},{"family":"Patterson","given":"Caitlin L."},{"family":"Yoo","given":"H. M."},{"family":"Holleis","given":"Ludwig"},{"family":"Redekop","given":"Evgeny"},{"family":"Babikyan","given":"Grigory"},{"family":"Xie","given":"Tian"},{"family":"Xiao","given":"Jiewen"},{"family":"Vituri","given":"Yaar"},{"family":"Holder","given":"Tobias"},{"family":"Taniguchi","given":"Takashi"},{"family":"Watanabe","given":"Kenji"},{"family":"Huber","given":"Martin E."},{"family":"Berg","given":"Erez"},{"family":"Young","given":"Andrea F."}],"issued":{"date-parts":[["2024",7,1]]}}}],"schema":"https://github.com/citation-style-language/schema/raw/master/csl-citation.json"} </w:instrText>
      </w:r>
      <w:r w:rsidR="39626A4F" w:rsidRPr="0EFF3AFE">
        <w:rPr>
          <w:color w:val="0070C0"/>
        </w:rPr>
        <w:fldChar w:fldCharType="separate"/>
      </w:r>
      <w:r w:rsidR="00BF4618" w:rsidRPr="00BF4618">
        <w:rPr>
          <w:rFonts w:ascii="Calibri" w:hAnsi="Calibri" w:cs="Calibri"/>
          <w:kern w:val="0"/>
          <w:vertAlign w:val="superscript"/>
        </w:rPr>
        <w:t>4,11</w:t>
      </w:r>
      <w:r w:rsidR="39626A4F" w:rsidRPr="0EFF3AFE">
        <w:rPr>
          <w:color w:val="0070C0"/>
        </w:rPr>
        <w:fldChar w:fldCharType="end"/>
      </w:r>
      <w:r w:rsidRPr="0EFF3AFE">
        <w:t>. With the Ising-type SOC effect from TMD (which tends to have both spin and valley unpolarized</w:t>
      </w:r>
      <w:r w:rsidR="00FA69FF">
        <w:t>, a</w:t>
      </w:r>
      <w:r w:rsidR="000A45B7">
        <w:t>lso</w:t>
      </w:r>
      <w:r w:rsidR="00FA69FF">
        <w:t xml:space="preserve"> suggested by our aforementioned calculations for the HM phase</w:t>
      </w:r>
      <w:r w:rsidRPr="0EFF3AFE">
        <w:t xml:space="preserve">), </w:t>
      </w:r>
      <w:r w:rsidR="00C44D40">
        <w:rPr>
          <w:rFonts w:hint="eastAsia"/>
        </w:rPr>
        <w:t>the original</w:t>
      </w:r>
      <w:r w:rsidR="00C44D40" w:rsidRPr="0EFF3AFE">
        <w:t xml:space="preserve"> </w:t>
      </w:r>
      <w:r w:rsidRPr="0EFF3AFE">
        <w:t>HM phase becomes less favored, and the isospin fluctuation is suppressed. These effects are likely to eliminate the superconductivity state SC1. Our experiment reveals</w:t>
      </w:r>
      <w:r w:rsidR="003B667D">
        <w:rPr>
          <w:rFonts w:hint="eastAsia"/>
        </w:rPr>
        <w:t xml:space="preserve"> the</w:t>
      </w:r>
      <w:r w:rsidRPr="0EFF3AFE">
        <w:t xml:space="preserve"> </w:t>
      </w:r>
      <w:r w:rsidR="00FA69FF">
        <w:t>diverse impacts</w:t>
      </w:r>
      <w:r w:rsidRPr="0EFF3AFE">
        <w:t xml:space="preserve"> of SOC on graphene superconductivity and call</w:t>
      </w:r>
      <w:r w:rsidR="002E522C">
        <w:rPr>
          <w:rFonts w:hint="eastAsia"/>
        </w:rPr>
        <w:t>s</w:t>
      </w:r>
      <w:r w:rsidRPr="0EFF3AFE">
        <w:t xml:space="preserve"> for more theoretical and experimental efforts to understand </w:t>
      </w:r>
      <w:r w:rsidR="00FA69FF">
        <w:t xml:space="preserve">and exploit </w:t>
      </w:r>
      <w:r w:rsidRPr="0EFF3AFE">
        <w:t xml:space="preserve">it. </w:t>
      </w:r>
    </w:p>
    <w:p w14:paraId="7FE11844" w14:textId="7229746E" w:rsidR="008C415F" w:rsidRDefault="0EFF3AFE" w:rsidP="0EFF3AFE">
      <w:pPr>
        <w:ind w:firstLine="720"/>
        <w:jc w:val="both"/>
      </w:pPr>
      <w:bookmarkStart w:id="2" w:name="_Hlk182930256"/>
      <w:r>
        <w:t xml:space="preserve">The SC3 and SC4 in our RTG/TMD devices reside at much lower </w:t>
      </w:r>
      <w:r w:rsidRPr="0EFF3AFE">
        <w:rPr>
          <w:i/>
          <w:iCs/>
        </w:rPr>
        <w:t>D</w:t>
      </w:r>
      <w:r>
        <w:t>-fields than those in bilayer graphene and bare RTG</w:t>
      </w:r>
      <w:r w:rsidR="00C44D40">
        <w:rPr>
          <w:rFonts w:hint="eastAsia"/>
        </w:rPr>
        <w:t xml:space="preserve">, </w:t>
      </w:r>
      <w:r>
        <w:t xml:space="preserve">facilitating device applications by avoiding the risk of gate-leakage. The co-existence of enhanced superconductivity and topological phases in rhombohedral multilayer graphene/TMD offers intriguing possibilities of engineering non-abelian quasiparticles for topological quantum computation. </w:t>
      </w:r>
      <w:r w:rsidR="00FA0CC6">
        <w:t>There are at least three directions to be explored in split-gate-defined lateral junctions</w:t>
      </w:r>
      <w:r w:rsidR="00FA0CC6">
        <w:rPr>
          <w:rFonts w:hint="eastAsia"/>
        </w:rPr>
        <w:t>.</w:t>
      </w:r>
      <w:r w:rsidR="00FA0CC6">
        <w:t xml:space="preserve"> </w:t>
      </w:r>
      <w:r w:rsidR="00FA0CC6">
        <w:rPr>
          <w:rFonts w:hint="eastAsia"/>
        </w:rPr>
        <w:t>Firstly, we can</w:t>
      </w:r>
      <w:r w:rsidR="00FA0CC6">
        <w:t xml:space="preserve"> combin</w:t>
      </w:r>
      <w:r w:rsidR="00FA0CC6">
        <w:rPr>
          <w:rFonts w:hint="eastAsia"/>
        </w:rPr>
        <w:t>e</w:t>
      </w:r>
      <w:r w:rsidR="00FA0CC6">
        <w:t xml:space="preserve"> superconductivity with a fractional QAH state in a moiré superlattice setting</w:t>
      </w:r>
      <w:r w:rsidR="00FA0CC6">
        <w:rPr>
          <w:rFonts w:hint="eastAsia"/>
        </w:rPr>
        <w:t>.</w:t>
      </w:r>
      <w:r w:rsidR="00FA0CC6">
        <w:t xml:space="preserve"> </w:t>
      </w:r>
      <w:r w:rsidR="00FA0CC6">
        <w:rPr>
          <w:rFonts w:hint="eastAsia"/>
        </w:rPr>
        <w:t>Secondly,</w:t>
      </w:r>
      <w:r w:rsidR="00FA0CC6">
        <w:t xml:space="preserve"> </w:t>
      </w:r>
      <w:r w:rsidR="00FA0CC6">
        <w:rPr>
          <w:rFonts w:hint="eastAsia"/>
        </w:rPr>
        <w:t xml:space="preserve">we can </w:t>
      </w:r>
      <w:r w:rsidR="00FA0CC6">
        <w:t>combin</w:t>
      </w:r>
      <w:r w:rsidR="00FA0CC6">
        <w:rPr>
          <w:rFonts w:hint="eastAsia"/>
        </w:rPr>
        <w:t>e</w:t>
      </w:r>
      <w:r w:rsidR="00FA0CC6">
        <w:t xml:space="preserve"> superconductivity with an integer QAH state in a </w:t>
      </w:r>
      <w:proofErr w:type="spellStart"/>
      <w:r w:rsidR="00FA0CC6">
        <w:t>moiréless</w:t>
      </w:r>
      <w:proofErr w:type="spellEnd"/>
      <w:r w:rsidR="00FA0CC6">
        <w:t xml:space="preserve"> setting</w:t>
      </w:r>
      <w:r w:rsidR="00FA0CC6" w:rsidRPr="00A71A17">
        <w:t xml:space="preserve">. </w:t>
      </w:r>
      <w:r w:rsidR="00FA0CC6">
        <w:rPr>
          <w:rFonts w:hint="eastAsia"/>
        </w:rPr>
        <w:t xml:space="preserve">Thirdly, we can also </w:t>
      </w:r>
      <w:r w:rsidR="00FA0CC6" w:rsidRPr="00A71A17">
        <w:t>combin</w:t>
      </w:r>
      <w:r w:rsidR="00FA0CC6">
        <w:rPr>
          <w:rFonts w:hint="eastAsia"/>
        </w:rPr>
        <w:t>e</w:t>
      </w:r>
      <w:r w:rsidR="00FA0CC6" w:rsidRPr="00A71A17">
        <w:t xml:space="preserve"> </w:t>
      </w:r>
      <w:r w:rsidR="006D6081" w:rsidRPr="00A71A17">
        <w:rPr>
          <w:rFonts w:hint="eastAsia"/>
        </w:rPr>
        <w:t>superconductivity</w:t>
      </w:r>
      <w:r w:rsidRPr="00A71A17">
        <w:t xml:space="preserve"> with </w:t>
      </w:r>
      <w:r w:rsidR="006D6081" w:rsidRPr="00A71A17">
        <w:rPr>
          <w:rFonts w:hint="eastAsia"/>
        </w:rPr>
        <w:t>a</w:t>
      </w:r>
      <w:r w:rsidRPr="00A71A17">
        <w:t xml:space="preserve"> quantum spin Hall </w:t>
      </w:r>
      <w:r w:rsidR="000A45B7" w:rsidRPr="00A71A17">
        <w:t>state</w:t>
      </w:r>
      <w:r w:rsidR="000A45B7" w:rsidRPr="00A71A17">
        <w:fldChar w:fldCharType="begin"/>
      </w:r>
      <w:r w:rsidR="00BF4618">
        <w:instrText xml:space="preserve"> ADDIN ZOTERO_ITEM CSL_CITATION {"citationID":"9u9KWsW5","properties":{"formattedCitation":"\\super 50\\uc0\\u8211{}52\\nosupersub{}","plainCitation":"50–52","noteIndex":0},"citationItems":[{"id":4327,"uris":["http://zotero.org/users/5406744/items/7HMZB24P"],"itemData":{"id":4327,"type":"article-journal","abstract":"We study junctions between superconductors mediated by the edge states of a quantum-spin-Hall insulator. We show that such junctions exhibit a fractional Josephson effect, in which the current phase relation has a 4π rather than a 2π periodicity. This effect is a consequence of the conservation of fermion parity—the number of electron mod 2—in a superconducting junction and is closely related to the Z2 topological structure of the quantum-spin</w:instrText>
      </w:r>
      <w:r w:rsidR="00BF4618">
        <w:rPr>
          <w:rFonts w:hint="eastAsia"/>
        </w:rPr>
        <w:instrText>-Hall insulator. Inelastic processes, which violate the conservation of fermion parity, lead to telegraph noise in the equilibrium supercurrent. We predict that the low-frequency noise due these processes diverges exponentially with temperature T as T</w:instrText>
      </w:r>
      <w:r w:rsidR="00BF4618">
        <w:rPr>
          <w:rFonts w:hint="eastAsia"/>
        </w:rPr>
        <w:instrText>→</w:instrText>
      </w:r>
      <w:r w:rsidR="00BF4618">
        <w:rPr>
          <w:rFonts w:hint="eastAsia"/>
        </w:rPr>
        <w:instrText xml:space="preserve">0. </w:instrText>
      </w:r>
      <w:r w:rsidR="00BF4618">
        <w:instrText>Possible experiments on HgCdTe quantum wells will be discussed.","container-title":"Physical Review B","DOI":"10.1103/PhysRevB.79.161408","issue":"16","journalAbbreviation":"Phys. Rev. B","note":"publisher: American Physical Society","page":"161408","source":"APS","title":"Josephson current and noise at a superconductor/quantum-spin-Hall-insulator/superconductor junction","volume":"79","author":[{"family":"Fu","given":"Liang"},{"family":"Kane","given":"C. L."}],"issued":{"date-parts":[["2009",4,28]]}}},{"id":4624,"uris":["http://zotero.org/users/5406744/items/EV9R8LY5"],"itemData":{"id":4624,"type":"article-journal","abstract":"We study the Josephson junction mediated by the quantum spin Hall edge states and show that electron-electron interactions lead to a dissipationless fractional Josephson effect in the presence of time-reversal symmetry. Surprisingly, the periodicity is 8</w:instrText>
      </w:r>
      <w:r w:rsidR="00BF4618">
        <w:rPr>
          <w:rFonts w:ascii="Cambria Math" w:hAnsi="Cambria Math" w:cs="Cambria Math"/>
        </w:rPr>
        <w:instrText>⁢𝜋</w:instrText>
      </w:r>
      <w:r w:rsidR="00BF4618">
        <w:instrText xml:space="preserve">, corresponding to a Josephson frequency </w:instrText>
      </w:r>
      <w:r w:rsidR="00BF4618">
        <w:rPr>
          <w:rFonts w:ascii="Cambria Math" w:hAnsi="Cambria Math" w:cs="Cambria Math"/>
        </w:rPr>
        <w:instrText>𝑒⁢𝑉</w:instrText>
      </w:r>
      <w:r w:rsidR="00BF4618">
        <w:instrText>/2</w:instrText>
      </w:r>
      <w:r w:rsidR="00BF4618">
        <w:rPr>
          <w:rFonts w:ascii="Cambria Math" w:hAnsi="Cambria Math" w:cs="Cambria Math"/>
        </w:rPr>
        <w:instrText>⁢ℏ</w:instrText>
      </w:r>
      <w:r w:rsidR="00BF4618">
        <w:instrText xml:space="preserve">. We estimate the magnitude of interaction-induced many-body level splitting responsible for this effect and argue that it can be measured by using tunneling spectroscopy. For strong interactions we show that the Josephson effect is associated with the weak tunneling of charge </w:instrText>
      </w:r>
      <w:r w:rsidR="00BF4618">
        <w:rPr>
          <w:rFonts w:ascii="Cambria Math" w:hAnsi="Cambria Math" w:cs="Cambria Math"/>
        </w:rPr>
        <w:instrText>𝑒</w:instrText>
      </w:r>
      <w:r w:rsidR="00BF4618">
        <w:instrText xml:space="preserve">/2 quasiparticles between the superconductors. Our theory describes a fourfold ground state degeneracy that is similar to that of coupled “fractional” Majorana modes but is protected by time-reversal symmetry.","container-title":"Physical Review Letters","DOI":"10.1103/PhysRevLett.113.036401","issue":"3","journalAbbreviation":"Phys. Rev. Lett.","note":"publisher: American Physical Society","page":"036401","source":"APS","title":"Time-Reversal-Invariant ${Z}_{4}$ Fractional Josephson Effect","volume":"113","author":[{"family":"Zhang","given":"Fan"},{"family":"Kane","given":"C. L."}],"issued":{"date-parts":[["2014",7,14]]}}},{"id":4835,"uris":["http://zotero.org/users/5406744/items/WWI33SNF"],"itemData":{"id":4835,"type":"article-journal","container-title":"Physical Review B","DOI":"10.1103/PhysRevB.91.081406","ISSN":"1098-0121, 1550-235X","issue":"8","journalAbbreviation":"Phys. Rev. B","language":"en","license":"http://link.aps.org/licenses/aps-default-license","page":"081406","source":"DOI.org (Crossref)","title":"Non-Abelian parafermions in time-reversal-invariant interacting helical systems","volume":"91","author":[{"family":"Orth","given":"Christoph P."},{"family":"Tiwari","given":"Rakesh P."},{"family":"Meng","given":"Tobias"},{"family":"Schmidt","given":"Thomas L."}],"issued":{"date-parts":[["2015",2,25]]}}}],"schema":"https://github.com/citation-style-language/schema/raw/master/csl-citation.json"} </w:instrText>
      </w:r>
      <w:r w:rsidR="000A45B7" w:rsidRPr="00A71A17">
        <w:fldChar w:fldCharType="separate"/>
      </w:r>
      <w:r w:rsidR="00BF4618" w:rsidRPr="00BF4618">
        <w:rPr>
          <w:rFonts w:ascii="Calibri" w:hAnsi="Calibri" w:cs="Calibri"/>
          <w:kern w:val="0"/>
          <w:vertAlign w:val="superscript"/>
        </w:rPr>
        <w:t>50–52</w:t>
      </w:r>
      <w:r w:rsidR="000A45B7" w:rsidRPr="00A71A17">
        <w:fldChar w:fldCharType="end"/>
      </w:r>
      <w:r w:rsidR="006D6081" w:rsidRPr="00A71A17">
        <w:rPr>
          <w:rFonts w:hint="eastAsia"/>
        </w:rPr>
        <w:t xml:space="preserve">. Especially, for </w:t>
      </w:r>
      <w:r w:rsidR="00F840C3" w:rsidRPr="00A71A17">
        <w:rPr>
          <w:rFonts w:hint="eastAsia"/>
        </w:rPr>
        <w:t>TMD/RTG/TMD devices</w:t>
      </w:r>
      <w:r w:rsidR="006D6081" w:rsidRPr="00A71A17">
        <w:rPr>
          <w:rFonts w:hint="eastAsia"/>
        </w:rPr>
        <w:t>, when the inversion symmetry is preserved</w:t>
      </w:r>
      <w:r w:rsidR="00560039" w:rsidRPr="00A71A17">
        <w:rPr>
          <w:rFonts w:hint="eastAsia"/>
        </w:rPr>
        <w:t xml:space="preserve"> (our devices D1 and D2 are exactly designed in this way)</w:t>
      </w:r>
      <w:r w:rsidR="006D6081" w:rsidRPr="00A71A17">
        <w:rPr>
          <w:rFonts w:hint="eastAsia"/>
        </w:rPr>
        <w:t>,  a quantum spin Hall state has been predicted</w:t>
      </w:r>
      <w:r w:rsidR="00C44D40" w:rsidRPr="00A71A17">
        <w:fldChar w:fldCharType="begin"/>
      </w:r>
      <w:r w:rsidR="00BF4618">
        <w:instrText xml:space="preserve"> ADDIN ZOTERO_ITEM CSL_CITATION {"citationID":"vPmVnlro","properties":{"formattedCitation":"\\super 53,54\\nosupersub{}","plainCitation":"53,54","noteIndex":0},"citationItems":[{"id":1551,"uris":["http://zotero.org/users/5406744/items/GXFDNB6P"],"itemData":{"id":1551,"type":"article","abstract":"We analyze the phase diagram of multilayer-graphene sandwiched between identical transition metal dichalcogenides. Recently realized in all van-der-Wall heterostructures, these sandwiches induce sizable (1-15 meV) spin orbit coupling in the graphene, offering a way to engineer topological band-structures in a pristine and gate-tunable platform. We find a rich phase diagram that depends on the number of layers $N$ and the gate-tunable perpendicular electric field. For $N &gt; 1$ and odd, the system is a strong 2D topological insulator with a gap equal to the strength of proximity-induced Ising spin-orbit coupling, which reverts to a trivial phase at moderate electric fields. For $N$-even, the low energy bands exhibit a recently proposed form of \"fragile\" crystalline topology, as well as electric-field tuned symmetry-protected phase transitions between distinct atomic insulators. Hence AB-stacked bilayer and ABC-stacked trilayer graphene are predicted to provide controllable experimental realizations of fragile and strong topology.","DOI":"10.48550/arXiv.1901.01294","note":"arXiv:1901.01294 [cond-mat]","number":"arXiv:1901.01294","publisher":"arXiv","source":"arXiv.org","title":"The gate-tunable strong and fragile topology of multilayer-graphene on a transition metal dichalcogenide","URL":"http://arxiv.org/abs/1901.01294","author":[{"family":"Zaletel","given":"Michael P."},{"family":"Khoo","given":"Jun Yong"}],"accessed":{"date-parts":[["2022",10,20]]},"issued":{"dat</w:instrText>
      </w:r>
      <w:r w:rsidR="00BF4618">
        <w:rPr>
          <w:rFonts w:hint="eastAsia"/>
        </w:rPr>
        <w:instrText xml:space="preserve">e-parts":[["2019",1,8]]}}},{"id":4586,"uris":["http://zotero.org/users/5406744/items/NRYP6WE4"],"itemData":{"id":4586,"type":"article-journal","abstract":"Chirally stacked </w:instrText>
      </w:r>
      <w:r w:rsidR="00BF4618">
        <w:rPr>
          <w:rFonts w:ascii="Cambria Math" w:hAnsi="Cambria Math" w:cs="Cambria Math"/>
        </w:rPr>
        <w:instrText>𝑁</w:instrText>
      </w:r>
      <w:r w:rsidR="00BF4618">
        <w:rPr>
          <w:rFonts w:hint="eastAsia"/>
        </w:rPr>
        <w:instrText xml:space="preserve">-layer graphene systems with </w:instrText>
      </w:r>
      <w:r w:rsidR="00BF4618">
        <w:rPr>
          <w:rFonts w:ascii="Cambria Math" w:hAnsi="Cambria Math" w:cs="Cambria Math"/>
        </w:rPr>
        <w:instrText>𝑁</w:instrText>
      </w:r>
      <w:r w:rsidR="00BF4618">
        <w:rPr>
          <w:rFonts w:hint="eastAsia"/>
        </w:rPr>
        <w:instrText>≥</w:instrText>
      </w:r>
      <w:r w:rsidR="00BF4618">
        <w:rPr>
          <w:rFonts w:hint="eastAsia"/>
        </w:rPr>
        <w:instrText>2 exhibit a variety of distinct broken symmetry s</w:instrText>
      </w:r>
      <w:r w:rsidR="00BF4618">
        <w:instrText>tates in which charge density contributions from different spins and valleys are spontaneously transferred between layers. We explain how these states are distinguished by their charge, spin, and valley Hall conductivities, by their orbital magnetizations, and by their edge state properties. We argue that valley Hall states have [</w:instrText>
      </w:r>
      <w:r w:rsidR="00BF4618">
        <w:rPr>
          <w:rFonts w:ascii="Cambria Math" w:hAnsi="Cambria Math" w:cs="Cambria Math"/>
        </w:rPr>
        <w:instrText>𝑁</w:instrText>
      </w:r>
      <w:r w:rsidR="00BF4618">
        <w:instrText xml:space="preserve">/2] edge channels per spin valley.","container-title":"Physical Review Letters","DOI":"10.1103/PhysRevLett.106.156801","issue":"15","journalAbbreviation":"Phys. Rev. Lett.","note":"publisher: American Physical Society","page":"156801","source":"APS","title":"Spontaneous Quantum Hall States in Chirally Stacked Few-Layer Graphene Systems","volume":"106","author":[{"family":"Zhang","given":"Fan"},{"family":"Jung","given":"Jeil"},{"family":"Fiete","given":"Gregory A."},{"family":"Niu","given":"Qian"},{"family":"MacDonald","given":"Allan H."}],"issued":{"date-parts":[["2011",4,11]]}}}],"schema":"https://github.com/citation-style-language/schema/raw/master/csl-citation.json"} </w:instrText>
      </w:r>
      <w:r w:rsidR="00C44D40" w:rsidRPr="00A71A17">
        <w:fldChar w:fldCharType="separate"/>
      </w:r>
      <w:r w:rsidR="00BF4618" w:rsidRPr="00BF4618">
        <w:rPr>
          <w:rFonts w:ascii="Calibri" w:hAnsi="Calibri" w:cs="Calibri"/>
          <w:kern w:val="0"/>
          <w:vertAlign w:val="superscript"/>
        </w:rPr>
        <w:t>53,54</w:t>
      </w:r>
      <w:r w:rsidR="00C44D40" w:rsidRPr="00A71A17">
        <w:fldChar w:fldCharType="end"/>
      </w:r>
      <w:r w:rsidRPr="00A71A17">
        <w:t xml:space="preserve"> to </w:t>
      </w:r>
      <w:r w:rsidR="00615543" w:rsidRPr="00A71A17">
        <w:t>exist</w:t>
      </w:r>
      <w:r w:rsidRPr="00A71A17">
        <w:t xml:space="preserve"> </w:t>
      </w:r>
      <w:r w:rsidR="006D6081" w:rsidRPr="00A71A17">
        <w:t>at charge neutrality</w:t>
      </w:r>
      <w:r w:rsidR="006D6081" w:rsidRPr="00A71A17">
        <w:rPr>
          <w:rFonts w:hint="eastAsia"/>
        </w:rPr>
        <w:t xml:space="preserve"> near </w:t>
      </w:r>
      <w:r w:rsidR="006D6081" w:rsidRPr="00A71A17">
        <w:rPr>
          <w:rFonts w:hint="eastAsia"/>
          <w:i/>
          <w:iCs/>
        </w:rPr>
        <w:t>D</w:t>
      </w:r>
      <w:r w:rsidR="006D6081" w:rsidRPr="00A71A17">
        <w:rPr>
          <w:rFonts w:hint="eastAsia"/>
        </w:rPr>
        <w:t xml:space="preserve"> = 0</w:t>
      </w:r>
      <w:r w:rsidRPr="00A71A17">
        <w:t xml:space="preserve">. </w:t>
      </w:r>
      <w:r w:rsidR="00F840C3" w:rsidRPr="00A71A17">
        <w:rPr>
          <w:rFonts w:hint="eastAsia"/>
        </w:rPr>
        <w:t xml:space="preserve">Moreover, the </w:t>
      </w:r>
      <w:r w:rsidR="00F840C3" w:rsidRPr="00A71A17">
        <w:t>required</w:t>
      </w:r>
      <w:r w:rsidR="00F840C3" w:rsidRPr="00A71A17">
        <w:rPr>
          <w:rFonts w:hint="eastAsia"/>
        </w:rPr>
        <w:t xml:space="preserve"> Coulomb interaction is indeed evidently strong in this </w:t>
      </w:r>
      <w:r w:rsidR="00F840C3" w:rsidRPr="00A71A17">
        <w:t>system</w:t>
      </w:r>
      <w:r w:rsidR="00F840C3" w:rsidRPr="00A71A17">
        <w:rPr>
          <w:rFonts w:hint="eastAsia"/>
        </w:rPr>
        <w:t>.</w:t>
      </w:r>
      <w:r w:rsidR="00F840C3">
        <w:rPr>
          <w:rFonts w:hint="eastAsia"/>
        </w:rPr>
        <w:t xml:space="preserve"> </w:t>
      </w:r>
      <w:r>
        <w:t xml:space="preserve">Our results pave the </w:t>
      </w:r>
      <w:r w:rsidR="00C44D40">
        <w:t xml:space="preserve">foundation </w:t>
      </w:r>
      <w:r>
        <w:t xml:space="preserve">to </w:t>
      </w:r>
      <w:r w:rsidR="009266D4">
        <w:t>explore</w:t>
      </w:r>
      <w:r>
        <w:t xml:space="preserve"> these </w:t>
      </w:r>
      <w:r w:rsidR="00181D06">
        <w:t xml:space="preserve">rare </w:t>
      </w:r>
      <w:r>
        <w:t>opportunities in a family of crystalline materials</w:t>
      </w:r>
      <w:r w:rsidR="00181D06">
        <w:t xml:space="preserve"> with rich physics and simple chemistry</w:t>
      </w:r>
      <w:r>
        <w:t xml:space="preserve">. </w:t>
      </w:r>
    </w:p>
    <w:p w14:paraId="7A00F805" w14:textId="77777777" w:rsidR="004F0905" w:rsidRPr="006B6819" w:rsidRDefault="004F0905" w:rsidP="004F0905">
      <w:pPr>
        <w:jc w:val="both"/>
        <w:rPr>
          <w:rFonts w:ascii="Calibri" w:hAnsi="Calibri" w:cs="Calibri"/>
          <w:b/>
          <w:bCs/>
          <w:sz w:val="32"/>
          <w:szCs w:val="32"/>
        </w:rPr>
      </w:pPr>
      <w:r w:rsidRPr="006B6819">
        <w:rPr>
          <w:rFonts w:ascii="Calibri" w:hAnsi="Calibri" w:cs="Calibri"/>
          <w:b/>
          <w:bCs/>
          <w:sz w:val="32"/>
          <w:szCs w:val="32"/>
        </w:rPr>
        <w:t>Acknowledgement</w:t>
      </w:r>
      <w:r>
        <w:rPr>
          <w:rFonts w:ascii="Calibri" w:hAnsi="Calibri" w:cs="Calibri" w:hint="eastAsia"/>
          <w:b/>
          <w:bCs/>
          <w:sz w:val="32"/>
          <w:szCs w:val="32"/>
        </w:rPr>
        <w:t>s</w:t>
      </w:r>
    </w:p>
    <w:p w14:paraId="3BCAE5BE" w14:textId="33D13A26" w:rsidR="004F0905" w:rsidRDefault="004F0905" w:rsidP="004F0905">
      <w:pPr>
        <w:jc w:val="both"/>
      </w:pPr>
      <w:r w:rsidRPr="00F0560C">
        <w:t>We acknowledge helpful discussions with T. Senthil, E. Berg, A. Stern</w:t>
      </w:r>
      <w:r w:rsidRPr="00F0560C">
        <w:rPr>
          <w:rFonts w:hint="eastAsia"/>
        </w:rPr>
        <w:t>, L. Levitov,</w:t>
      </w:r>
      <w:r w:rsidRPr="00F0560C">
        <w:t xml:space="preserve"> </w:t>
      </w:r>
      <w:r w:rsidRPr="00F0560C">
        <w:rPr>
          <w:rFonts w:hint="eastAsia"/>
        </w:rPr>
        <w:t xml:space="preserve">Z. Dong, T. Wang, </w:t>
      </w:r>
      <w:r w:rsidRPr="00F0560C">
        <w:t xml:space="preserve">and J. Alicea. </w:t>
      </w:r>
      <w:r w:rsidRPr="00F0560C">
        <w:rPr>
          <w:rFonts w:hint="eastAsia"/>
        </w:rPr>
        <w:t xml:space="preserve">We thank </w:t>
      </w:r>
      <w:r w:rsidRPr="00F0560C">
        <w:t>D</w:t>
      </w:r>
      <w:r w:rsidRPr="00F0560C">
        <w:rPr>
          <w:rFonts w:hint="eastAsia"/>
        </w:rPr>
        <w:t>.</w:t>
      </w:r>
      <w:r w:rsidRPr="00F0560C">
        <w:t xml:space="preserve"> Zumbühl</w:t>
      </w:r>
      <w:r w:rsidRPr="00F0560C">
        <w:rPr>
          <w:rFonts w:hint="eastAsia"/>
        </w:rPr>
        <w:t xml:space="preserve">, A. </w:t>
      </w:r>
      <w:r w:rsidRPr="00F0560C">
        <w:t>Cotton</w:t>
      </w:r>
      <w:r w:rsidRPr="00F0560C">
        <w:rPr>
          <w:rFonts w:hint="eastAsia"/>
        </w:rPr>
        <w:t>, O. Sedeh, M. Xu, H. Weldeyesus, C. Scheller, and Z. Hadjri for assistance in measurement during the revision process.</w:t>
      </w:r>
      <w:r>
        <w:rPr>
          <w:rFonts w:hint="eastAsia"/>
        </w:rPr>
        <w:t xml:space="preserve"> </w:t>
      </w:r>
      <w:r w:rsidRPr="006B6819">
        <w:t xml:space="preserve">L.J. acknowledges support from a Sloan Fellowship. </w:t>
      </w:r>
      <w:r w:rsidR="00C3749D">
        <w:rPr>
          <w:rFonts w:hint="eastAsia"/>
        </w:rPr>
        <w:t>J.Y. and J.S.</w:t>
      </w:r>
      <w:r w:rsidRPr="006B6819">
        <w:t xml:space="preserve"> </w:t>
      </w:r>
      <w:r w:rsidR="00C3749D">
        <w:rPr>
          <w:rFonts w:hint="eastAsia"/>
        </w:rPr>
        <w:t>were</w:t>
      </w:r>
      <w:r w:rsidRPr="006B6819">
        <w:t xml:space="preserve"> supported by NSF grant DMR-2414725</w:t>
      </w:r>
      <w:r w:rsidR="00C3749D">
        <w:rPr>
          <w:rFonts w:hint="eastAsia"/>
        </w:rPr>
        <w:t>. T.H. was supported by NSF grant</w:t>
      </w:r>
      <w:r w:rsidRPr="006B6819">
        <w:t xml:space="preserve"> DMR-2225925. The device fabrication of this work was carried out at the Harvard Center for Nanoscale Systems and MIT. Nano. </w:t>
      </w:r>
      <w:r w:rsidR="00EB65E7" w:rsidRPr="00EB65E7">
        <w:t>The data analysis and writing were supported by the Nano &amp; Material Technology Development Program through the National Research Foundation of Korea</w:t>
      </w:r>
      <w:r w:rsidR="00EB65E7">
        <w:rPr>
          <w:rFonts w:hint="eastAsia"/>
        </w:rPr>
        <w:t xml:space="preserve"> </w:t>
      </w:r>
      <w:r w:rsidR="00EB65E7" w:rsidRPr="00EB65E7">
        <w:t>(NRF) funded by Ministry of Science and ICT(RS-2024-004447252)</w:t>
      </w:r>
      <w:r w:rsidR="00EB65E7">
        <w:rPr>
          <w:rFonts w:hint="eastAsia"/>
        </w:rPr>
        <w:t>.</w:t>
      </w:r>
      <w:r w:rsidR="00EB65E7" w:rsidRPr="00EB65E7">
        <w:t xml:space="preserve"> </w:t>
      </w:r>
      <w:r w:rsidRPr="006B6819">
        <w:t xml:space="preserve">K.W. and T.T. acknowledge support from the JSPS KAKENHI (grants 20H00354, 21H05233, and 23H02052) and World Premier International Research Center Initiative (WPI), MEXT, Japan. C.Y. and F.Z. were supported by NSF under grants DMR-2414726, DMR-1945351, DMR-2105139, and DMR-2324033; they </w:t>
      </w:r>
      <w:r w:rsidR="00DA241F">
        <w:rPr>
          <w:rFonts w:hint="eastAsia"/>
        </w:rPr>
        <w:t xml:space="preserve">also </w:t>
      </w:r>
      <w:r w:rsidRPr="006B6819">
        <w:t xml:space="preserve">acknowledge the Texas Advanced Computing Center (TACC) for providing resources that have contributed to the research results reported in this work. </w:t>
      </w:r>
    </w:p>
    <w:p w14:paraId="7BCC76BC" w14:textId="77777777" w:rsidR="003504E6" w:rsidRPr="00FB7939" w:rsidRDefault="003504E6" w:rsidP="003504E6">
      <w:pPr>
        <w:jc w:val="both"/>
        <w:rPr>
          <w:b/>
          <w:bCs/>
          <w:sz w:val="32"/>
          <w:szCs w:val="32"/>
        </w:rPr>
      </w:pPr>
      <w:r w:rsidRPr="00FB7939">
        <w:rPr>
          <w:b/>
          <w:bCs/>
          <w:sz w:val="32"/>
          <w:szCs w:val="32"/>
        </w:rPr>
        <w:t xml:space="preserve">Author </w:t>
      </w:r>
      <w:r>
        <w:rPr>
          <w:rFonts w:hint="eastAsia"/>
          <w:b/>
          <w:bCs/>
          <w:sz w:val="32"/>
          <w:szCs w:val="32"/>
        </w:rPr>
        <w:t>C</w:t>
      </w:r>
      <w:r w:rsidRPr="00FB7939">
        <w:rPr>
          <w:b/>
          <w:bCs/>
          <w:sz w:val="32"/>
          <w:szCs w:val="32"/>
        </w:rPr>
        <w:t>ontributions</w:t>
      </w:r>
    </w:p>
    <w:p w14:paraId="6DF4100B" w14:textId="77777777" w:rsidR="003504E6" w:rsidRPr="006B6819" w:rsidRDefault="003504E6" w:rsidP="003504E6">
      <w:pPr>
        <w:jc w:val="both"/>
      </w:pPr>
      <w:r w:rsidRPr="006B6819">
        <w:lastRenderedPageBreak/>
        <w:t>L.J. supervised the project. J.Y., X.S.</w:t>
      </w:r>
      <w:r>
        <w:rPr>
          <w:rFonts w:hint="eastAsia"/>
        </w:rPr>
        <w:t>, Z.L., and V.K.</w:t>
      </w:r>
      <w:r w:rsidRPr="006B6819">
        <w:t xml:space="preserve"> performed the </w:t>
      </w:r>
      <w:r>
        <w:rPr>
          <w:rFonts w:hint="eastAsia"/>
        </w:rPr>
        <w:t>DC</w:t>
      </w:r>
      <w:r w:rsidRPr="006B6819">
        <w:t xml:space="preserve"> magneto-transport measurement. J.Y., S.Y., T.H. and L.S. fabricated the devices. J.S., Z.L., and T.H. helped with installing and testing the dilution refrigerator. K.W. and T.T. grew hBN crystals. C.Y. and F.Z. performed the theoretical calculations. All authors discussed the results and wrote the paper. </w:t>
      </w:r>
    </w:p>
    <w:p w14:paraId="471858AD" w14:textId="77777777" w:rsidR="003504E6" w:rsidRPr="00FB7939" w:rsidRDefault="003504E6" w:rsidP="003504E6">
      <w:pPr>
        <w:jc w:val="both"/>
        <w:rPr>
          <w:b/>
          <w:bCs/>
          <w:sz w:val="32"/>
          <w:szCs w:val="32"/>
        </w:rPr>
      </w:pPr>
      <w:r w:rsidRPr="00FB7939">
        <w:rPr>
          <w:b/>
          <w:bCs/>
          <w:sz w:val="32"/>
          <w:szCs w:val="32"/>
        </w:rPr>
        <w:t xml:space="preserve">Competing </w:t>
      </w:r>
      <w:r>
        <w:rPr>
          <w:rFonts w:hint="eastAsia"/>
          <w:b/>
          <w:bCs/>
          <w:sz w:val="32"/>
          <w:szCs w:val="32"/>
        </w:rPr>
        <w:t>I</w:t>
      </w:r>
      <w:r w:rsidRPr="00FB7939">
        <w:rPr>
          <w:b/>
          <w:bCs/>
          <w:sz w:val="32"/>
          <w:szCs w:val="32"/>
        </w:rPr>
        <w:t>nterests</w:t>
      </w:r>
    </w:p>
    <w:p w14:paraId="4ECC017C" w14:textId="336044E0" w:rsidR="003504E6" w:rsidRDefault="003504E6" w:rsidP="004F0905">
      <w:pPr>
        <w:jc w:val="both"/>
        <w:rPr>
          <w:b/>
          <w:bCs/>
        </w:rPr>
      </w:pPr>
      <w:r w:rsidRPr="006B6819">
        <w:t xml:space="preserve">The authors declare no competing financial </w:t>
      </w:r>
      <w:r>
        <w:rPr>
          <w:rFonts w:hint="eastAsia"/>
        </w:rPr>
        <w:t xml:space="preserve">or non-financial </w:t>
      </w:r>
      <w:r w:rsidRPr="006B6819">
        <w:t>interests.</w:t>
      </w:r>
      <w:r w:rsidRPr="005F1E8E">
        <w:rPr>
          <w:b/>
          <w:bCs/>
        </w:rPr>
        <w:t xml:space="preserve"> </w:t>
      </w:r>
    </w:p>
    <w:p w14:paraId="170FB0C1" w14:textId="77777777" w:rsidR="00724202" w:rsidRDefault="00724202" w:rsidP="00724202">
      <w:pPr>
        <w:jc w:val="both"/>
        <w:rPr>
          <w:b/>
          <w:bCs/>
          <w:sz w:val="32"/>
          <w:szCs w:val="32"/>
        </w:rPr>
      </w:pPr>
      <w:r w:rsidRPr="00D03CE3">
        <w:rPr>
          <w:b/>
          <w:bCs/>
          <w:sz w:val="32"/>
          <w:szCs w:val="32"/>
        </w:rPr>
        <w:t>Figure Legends / Captions</w:t>
      </w:r>
    </w:p>
    <w:p w14:paraId="4FFCACA9" w14:textId="77777777" w:rsidR="00724202" w:rsidRPr="00D03CE3" w:rsidRDefault="00724202" w:rsidP="00724202">
      <w:pPr>
        <w:jc w:val="both"/>
        <w:rPr>
          <w:b/>
          <w:bCs/>
          <w:sz w:val="32"/>
          <w:szCs w:val="32"/>
        </w:rPr>
      </w:pPr>
      <w:r>
        <w:rPr>
          <w:noProof/>
        </w:rPr>
        <w:drawing>
          <wp:inline distT="0" distB="0" distL="0" distR="0" wp14:anchorId="0E3F2F80" wp14:editId="3C7A59AD">
            <wp:extent cx="5943600" cy="5720080"/>
            <wp:effectExtent l="0" t="0" r="0" b="0"/>
            <wp:docPr id="1063913013" name="Picture 1" descr="A collage of images of different colors and shap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913013" name="Picture 1" descr="A collage of images of different colors and shapes&#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5720080"/>
                    </a:xfrm>
                    <a:prstGeom prst="rect">
                      <a:avLst/>
                    </a:prstGeom>
                    <a:noFill/>
                    <a:ln>
                      <a:noFill/>
                    </a:ln>
                  </pic:spPr>
                </pic:pic>
              </a:graphicData>
            </a:graphic>
          </wp:inline>
        </w:drawing>
      </w:r>
    </w:p>
    <w:p w14:paraId="2B78B35A" w14:textId="77777777" w:rsidR="00724202" w:rsidRDefault="00724202" w:rsidP="00724202">
      <w:pPr>
        <w:jc w:val="both"/>
        <w:rPr>
          <w:i/>
          <w:iCs/>
        </w:rPr>
      </w:pPr>
      <w:r w:rsidRPr="51342F7D">
        <w:rPr>
          <w:b/>
          <w:bCs/>
          <w:i/>
          <w:iCs/>
        </w:rPr>
        <w:lastRenderedPageBreak/>
        <w:t>Figure 1. Superconductivity in WS</w:t>
      </w:r>
      <w:r w:rsidRPr="51342F7D">
        <w:rPr>
          <w:b/>
          <w:bCs/>
          <w:i/>
          <w:iCs/>
          <w:vertAlign w:val="subscript"/>
        </w:rPr>
        <w:t>2</w:t>
      </w:r>
      <w:r w:rsidRPr="51342F7D">
        <w:rPr>
          <w:b/>
          <w:bCs/>
          <w:i/>
          <w:iCs/>
        </w:rPr>
        <w:t>-encapsulated rhombohedral trilayer graphene (D1). a</w:t>
      </w:r>
      <w:r w:rsidRPr="51342F7D">
        <w:rPr>
          <w:i/>
          <w:iCs/>
        </w:rPr>
        <w:t>. Illustration of the device structure. RTG is encapsulated by two flakes of monolayer WS</w:t>
      </w:r>
      <w:r w:rsidRPr="51342F7D">
        <w:rPr>
          <w:i/>
          <w:iCs/>
          <w:vertAlign w:val="subscript"/>
        </w:rPr>
        <w:t>2</w:t>
      </w:r>
      <w:r w:rsidRPr="51342F7D">
        <w:rPr>
          <w:i/>
          <w:iCs/>
        </w:rPr>
        <w:t xml:space="preserve"> that are 180° rotated from each other. Top and bottom graphite gates (not shown) are employed to independently tune the carrier density n and the gate displacement field D, the latter of which is defined as positive when pointing downward. </w:t>
      </w:r>
      <w:r w:rsidRPr="51342F7D">
        <w:rPr>
          <w:b/>
          <w:bCs/>
          <w:i/>
          <w:iCs/>
        </w:rPr>
        <w:t>b</w:t>
      </w:r>
      <w:r w:rsidRPr="51342F7D">
        <w:rPr>
          <w:i/>
          <w:iCs/>
        </w:rPr>
        <w:t>. Four-terminal resistance R</w:t>
      </w:r>
      <w:r w:rsidRPr="51342F7D">
        <w:rPr>
          <w:i/>
          <w:iCs/>
          <w:vertAlign w:val="subscript"/>
        </w:rPr>
        <w:t>xx</w:t>
      </w:r>
      <w:r w:rsidRPr="51342F7D">
        <w:rPr>
          <w:i/>
          <w:iCs/>
        </w:rPr>
        <w:t xml:space="preserve"> as a function of n and D, featuring superconducting states SC3 and SC4 pointed by orange and green arrows, respectively. </w:t>
      </w:r>
      <w:r>
        <w:rPr>
          <w:rFonts w:hint="eastAsia"/>
          <w:i/>
          <w:iCs/>
        </w:rPr>
        <w:t xml:space="preserve">Grey </w:t>
      </w:r>
      <w:r w:rsidRPr="51342F7D">
        <w:rPr>
          <w:i/>
          <w:iCs/>
        </w:rPr>
        <w:t xml:space="preserve">dashed rectangles outline the region where SC1 in bare </w:t>
      </w:r>
      <w:r>
        <w:rPr>
          <w:rFonts w:hint="eastAsia"/>
          <w:i/>
          <w:iCs/>
        </w:rPr>
        <w:t>RTG</w:t>
      </w:r>
      <w:r w:rsidRPr="51342F7D">
        <w:rPr>
          <w:i/>
          <w:iCs/>
        </w:rPr>
        <w:t xml:space="preserve"> was reported but missing in this device. </w:t>
      </w:r>
      <w:proofErr w:type="gramStart"/>
      <w:r w:rsidRPr="51342F7D">
        <w:rPr>
          <w:i/>
          <w:iCs/>
        </w:rPr>
        <w:t>Inset</w:t>
      </w:r>
      <w:proofErr w:type="gramEnd"/>
      <w:r w:rsidRPr="51342F7D">
        <w:rPr>
          <w:i/>
          <w:iCs/>
        </w:rPr>
        <w:t>: optical image of the device, where ‘TG’ and ‘BG’ correspond to top and bottom gates, respectively. R</w:t>
      </w:r>
      <w:r w:rsidRPr="51342F7D">
        <w:rPr>
          <w:i/>
          <w:iCs/>
          <w:vertAlign w:val="subscript"/>
        </w:rPr>
        <w:t>xx</w:t>
      </w:r>
      <w:r w:rsidRPr="51342F7D">
        <w:rPr>
          <w:i/>
          <w:iCs/>
        </w:rPr>
        <w:t xml:space="preserve"> is measured by passing current between electrodes ‘S’ and ‘D’ and reading voltage between electrodes ‘1’ and ‘2’. </w:t>
      </w:r>
      <w:r w:rsidRPr="51342F7D">
        <w:rPr>
          <w:b/>
          <w:bCs/>
          <w:i/>
          <w:iCs/>
        </w:rPr>
        <w:t>c</w:t>
      </w:r>
      <w:r w:rsidRPr="51342F7D">
        <w:rPr>
          <w:i/>
          <w:iCs/>
        </w:rPr>
        <w:t xml:space="preserve">. Differential resistance </w:t>
      </w:r>
      <w:proofErr w:type="spellStart"/>
      <w:r w:rsidRPr="51342F7D">
        <w:rPr>
          <w:i/>
          <w:iCs/>
        </w:rPr>
        <w:t>dV</w:t>
      </w:r>
      <w:proofErr w:type="spellEnd"/>
      <w:r w:rsidRPr="51342F7D">
        <w:rPr>
          <w:i/>
          <w:iCs/>
        </w:rPr>
        <w:t>/</w:t>
      </w:r>
      <w:proofErr w:type="spellStart"/>
      <w:r w:rsidRPr="51342F7D">
        <w:rPr>
          <w:i/>
          <w:iCs/>
        </w:rPr>
        <w:t>dI</w:t>
      </w:r>
      <w:proofErr w:type="spellEnd"/>
      <w:r w:rsidRPr="51342F7D">
        <w:rPr>
          <w:i/>
          <w:iCs/>
        </w:rPr>
        <w:t xml:space="preserve"> as a function of the direct current I</w:t>
      </w:r>
      <w:r w:rsidRPr="51342F7D">
        <w:rPr>
          <w:i/>
          <w:iCs/>
          <w:vertAlign w:val="subscript"/>
        </w:rPr>
        <w:t>DC</w:t>
      </w:r>
      <w:r w:rsidRPr="51342F7D">
        <w:rPr>
          <w:i/>
          <w:iCs/>
        </w:rPr>
        <w:t xml:space="preserve"> for SC3 and SC4, measured at positions corresponding to the square and the dot in </w:t>
      </w:r>
      <w:r w:rsidRPr="51342F7D">
        <w:rPr>
          <w:b/>
          <w:bCs/>
          <w:i/>
          <w:iCs/>
        </w:rPr>
        <w:t>b</w:t>
      </w:r>
      <w:r w:rsidRPr="51342F7D">
        <w:rPr>
          <w:i/>
          <w:iCs/>
        </w:rPr>
        <w:t>. </w:t>
      </w:r>
      <w:r w:rsidRPr="51342F7D">
        <w:rPr>
          <w:b/>
          <w:bCs/>
          <w:i/>
          <w:iCs/>
        </w:rPr>
        <w:t>d</w:t>
      </w:r>
      <w:r w:rsidRPr="51342F7D">
        <w:rPr>
          <w:i/>
          <w:iCs/>
        </w:rPr>
        <w:t>. Temperature dependence of R</w:t>
      </w:r>
      <w:r w:rsidRPr="51342F7D">
        <w:rPr>
          <w:i/>
          <w:iCs/>
          <w:vertAlign w:val="subscript"/>
        </w:rPr>
        <w:t>xx</w:t>
      </w:r>
      <w:r w:rsidRPr="51342F7D">
        <w:rPr>
          <w:i/>
          <w:iCs/>
        </w:rPr>
        <w:t> measured for the same state as in </w:t>
      </w:r>
      <w:r w:rsidRPr="51342F7D">
        <w:rPr>
          <w:b/>
          <w:bCs/>
          <w:i/>
          <w:iCs/>
        </w:rPr>
        <w:t>c</w:t>
      </w:r>
      <w:r w:rsidRPr="51342F7D">
        <w:rPr>
          <w:i/>
          <w:iCs/>
        </w:rPr>
        <w:t>.</w:t>
      </w:r>
    </w:p>
    <w:p w14:paraId="2905F62F" w14:textId="6963BA44" w:rsidR="00724202" w:rsidRDefault="00724202" w:rsidP="00724202">
      <w:pPr>
        <w:jc w:val="both"/>
        <w:rPr>
          <w:i/>
          <w:iCs/>
        </w:rPr>
      </w:pPr>
      <w:r>
        <w:rPr>
          <w:noProof/>
        </w:rPr>
        <w:drawing>
          <wp:inline distT="0" distB="0" distL="0" distR="0" wp14:anchorId="7BFD3CB0" wp14:editId="6B307160">
            <wp:extent cx="5943600" cy="4957445"/>
            <wp:effectExtent l="0" t="0" r="0" b="0"/>
            <wp:docPr id="132493783" name="Picture 2" descr="A collage of images of a person's bod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93783" name="Picture 2" descr="A collage of images of a person's body&#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4957445"/>
                    </a:xfrm>
                    <a:prstGeom prst="rect">
                      <a:avLst/>
                    </a:prstGeom>
                    <a:noFill/>
                    <a:ln>
                      <a:noFill/>
                    </a:ln>
                  </pic:spPr>
                </pic:pic>
              </a:graphicData>
            </a:graphic>
          </wp:inline>
        </w:drawing>
      </w:r>
    </w:p>
    <w:p w14:paraId="50854302" w14:textId="77777777" w:rsidR="00724202" w:rsidRDefault="00724202" w:rsidP="00724202">
      <w:pPr>
        <w:jc w:val="both"/>
        <w:rPr>
          <w:i/>
          <w:iCs/>
        </w:rPr>
      </w:pPr>
      <w:r w:rsidRPr="4E362CC5">
        <w:rPr>
          <w:b/>
          <w:bCs/>
          <w:i/>
          <w:iCs/>
        </w:rPr>
        <w:t>Figure 2. TMD-proximity-induced new superconducting state SC4. a-c,</w:t>
      </w:r>
      <w:r w:rsidRPr="4E362CC5">
        <w:rPr>
          <w:i/>
          <w:iCs/>
        </w:rPr>
        <w:t xml:space="preserve"> R</w:t>
      </w:r>
      <w:r w:rsidRPr="4E362CC5">
        <w:rPr>
          <w:i/>
          <w:iCs/>
          <w:vertAlign w:val="subscript"/>
        </w:rPr>
        <w:t>xx</w:t>
      </w:r>
      <w:r w:rsidRPr="4E362CC5">
        <w:rPr>
          <w:i/>
          <w:iCs/>
        </w:rPr>
        <w:t xml:space="preserve"> as a function of n and D in the region where SC4 is observed in D1 &amp; D2 for Scenario 1-3, as illustrated by the </w:t>
      </w:r>
      <w:proofErr w:type="gramStart"/>
      <w:r w:rsidRPr="4E362CC5">
        <w:rPr>
          <w:i/>
          <w:iCs/>
        </w:rPr>
        <w:t>insets</w:t>
      </w:r>
      <w:proofErr w:type="gramEnd"/>
      <w:r w:rsidRPr="4E362CC5">
        <w:rPr>
          <w:i/>
          <w:iCs/>
        </w:rPr>
        <w:t xml:space="preserve">: at </w:t>
      </w:r>
      <w:r w:rsidRPr="4E362CC5">
        <w:rPr>
          <w:i/>
          <w:iCs/>
        </w:rPr>
        <w:lastRenderedPageBreak/>
        <w:t>D &lt; 0 in D2, at D &gt; 0 in device D3, and at D &lt; 0 in device D3. Device D3 has RTG proximitized by WSe</w:t>
      </w:r>
      <w:r w:rsidRPr="4E362CC5">
        <w:rPr>
          <w:i/>
          <w:iCs/>
          <w:vertAlign w:val="subscript"/>
        </w:rPr>
        <w:t>2</w:t>
      </w:r>
      <w:r w:rsidRPr="4E362CC5">
        <w:rPr>
          <w:i/>
          <w:iCs/>
        </w:rPr>
        <w:t xml:space="preserve"> on the top. A weak SC4 state is observed</w:t>
      </w:r>
      <w:r w:rsidRPr="4E362CC5">
        <w:rPr>
          <w:b/>
          <w:bCs/>
          <w:i/>
          <w:iCs/>
        </w:rPr>
        <w:t> </w:t>
      </w:r>
      <w:r w:rsidRPr="4E362CC5">
        <w:rPr>
          <w:i/>
          <w:iCs/>
        </w:rPr>
        <w:t>when holes are close to WSe</w:t>
      </w:r>
      <w:r w:rsidRPr="4E362CC5">
        <w:rPr>
          <w:i/>
          <w:iCs/>
          <w:vertAlign w:val="subscript"/>
        </w:rPr>
        <w:t>2</w:t>
      </w:r>
      <w:r w:rsidRPr="4E362CC5">
        <w:rPr>
          <w:i/>
          <w:iCs/>
        </w:rPr>
        <w:t xml:space="preserve"> while SC4 is missing when holes are far from WSe</w:t>
      </w:r>
      <w:r w:rsidRPr="4E362CC5">
        <w:rPr>
          <w:i/>
          <w:iCs/>
          <w:vertAlign w:val="subscript"/>
        </w:rPr>
        <w:t xml:space="preserve">2 </w:t>
      </w:r>
      <w:r w:rsidRPr="4E362CC5">
        <w:rPr>
          <w:i/>
          <w:iCs/>
        </w:rPr>
        <w:t>in D3. </w:t>
      </w:r>
      <w:r w:rsidRPr="4E362CC5">
        <w:rPr>
          <w:b/>
          <w:bCs/>
          <w:i/>
          <w:iCs/>
        </w:rPr>
        <w:t xml:space="preserve">d </w:t>
      </w:r>
      <w:r w:rsidRPr="4E362CC5">
        <w:rPr>
          <w:i/>
          <w:iCs/>
        </w:rPr>
        <w:t>&amp;</w:t>
      </w:r>
      <w:r w:rsidRPr="4E362CC5">
        <w:rPr>
          <w:b/>
          <w:bCs/>
          <w:i/>
          <w:iCs/>
        </w:rPr>
        <w:t xml:space="preserve"> e,</w:t>
      </w:r>
      <w:r w:rsidRPr="4E362CC5">
        <w:rPr>
          <w:i/>
          <w:iCs/>
        </w:rPr>
        <w:t> The dependence of R</w:t>
      </w:r>
      <w:r w:rsidRPr="4E362CC5">
        <w:rPr>
          <w:i/>
          <w:iCs/>
          <w:vertAlign w:val="subscript"/>
        </w:rPr>
        <w:t>xx </w:t>
      </w:r>
      <w:r w:rsidRPr="4E362CC5">
        <w:rPr>
          <w:i/>
          <w:iCs/>
        </w:rPr>
        <w:t>on out-of-plane magnetic field B</w:t>
      </w:r>
      <w:r w:rsidRPr="4E362CC5">
        <w:rPr>
          <w:rFonts w:ascii="Cambria Math" w:hAnsi="Cambria Math" w:cs="Cambria Math"/>
          <w:i/>
          <w:iCs/>
          <w:vertAlign w:val="subscript"/>
        </w:rPr>
        <w:t>⊥</w:t>
      </w:r>
      <w:r w:rsidRPr="4E362CC5">
        <w:rPr>
          <w:i/>
          <w:iCs/>
        </w:rPr>
        <w:t xml:space="preserve"> and in-plane magnetic field B</w:t>
      </w:r>
      <w:r w:rsidRPr="4E362CC5">
        <w:rPr>
          <w:i/>
          <w:iCs/>
          <w:vertAlign w:val="subscript"/>
        </w:rPr>
        <w:t>‖</w:t>
      </w:r>
      <w:r w:rsidRPr="4E362CC5">
        <w:rPr>
          <w:i/>
          <w:iCs/>
        </w:rPr>
        <w:t xml:space="preserve">, measured along the green dash line in </w:t>
      </w:r>
      <w:r w:rsidRPr="4E362CC5">
        <w:rPr>
          <w:b/>
          <w:bCs/>
          <w:i/>
          <w:iCs/>
        </w:rPr>
        <w:t>a</w:t>
      </w:r>
      <w:r w:rsidRPr="4E362CC5">
        <w:rPr>
          <w:i/>
          <w:iCs/>
        </w:rPr>
        <w:t>. </w:t>
      </w:r>
      <w:r w:rsidRPr="4E362CC5">
        <w:rPr>
          <w:b/>
          <w:bCs/>
          <w:i/>
          <w:iCs/>
        </w:rPr>
        <w:t>f</w:t>
      </w:r>
      <w:r w:rsidRPr="4E362CC5">
        <w:rPr>
          <w:i/>
          <w:iCs/>
        </w:rPr>
        <w:t xml:space="preserve">, Calculated Pauli-limit Violation Ratio (PVR) </w:t>
      </w:r>
      <w:proofErr w:type="spellStart"/>
      <w:r w:rsidRPr="4E362CC5">
        <w:rPr>
          <w:i/>
          <w:iCs/>
        </w:rPr>
        <w:t>B</w:t>
      </w:r>
      <w:r w:rsidRPr="4E362CC5">
        <w:rPr>
          <w:i/>
          <w:iCs/>
          <w:vertAlign w:val="subscript"/>
        </w:rPr>
        <w:t>c</w:t>
      </w:r>
      <w:proofErr w:type="spellEnd"/>
      <w:r w:rsidRPr="4E362CC5">
        <w:rPr>
          <w:i/>
          <w:iCs/>
          <w:vertAlign w:val="subscript"/>
        </w:rPr>
        <w:t>,‖</w:t>
      </w:r>
      <w:r w:rsidRPr="4E362CC5">
        <w:rPr>
          <w:i/>
          <w:iCs/>
        </w:rPr>
        <w:t>/B</w:t>
      </w:r>
      <w:r w:rsidRPr="4E362CC5">
        <w:rPr>
          <w:i/>
          <w:iCs/>
          <w:vertAlign w:val="subscript"/>
        </w:rPr>
        <w:t>P</w:t>
      </w:r>
      <w:r w:rsidRPr="4E362CC5">
        <w:rPr>
          <w:i/>
          <w:iCs/>
        </w:rPr>
        <w:t xml:space="preserve"> as a function of density n, where B</w:t>
      </w:r>
      <w:r w:rsidRPr="4E362CC5">
        <w:rPr>
          <w:i/>
          <w:iCs/>
          <w:vertAlign w:val="subscript"/>
        </w:rPr>
        <w:t>P</w:t>
      </w:r>
      <w:r w:rsidRPr="4E362CC5">
        <w:rPr>
          <w:i/>
          <w:iCs/>
        </w:rPr>
        <w:t xml:space="preserve"> = T</w:t>
      </w:r>
      <w:r w:rsidRPr="4E362CC5">
        <w:rPr>
          <w:i/>
          <w:iCs/>
          <w:vertAlign w:val="subscript"/>
        </w:rPr>
        <w:t>c</w:t>
      </w:r>
      <w:r w:rsidRPr="4E362CC5">
        <w:rPr>
          <w:i/>
          <w:iCs/>
        </w:rPr>
        <w:t xml:space="preserve"> × 1.86 T/K. PVR is slightly above 1 on the high-density side, but gradually increases to &gt;3 on the low-density side. </w:t>
      </w:r>
      <w:r w:rsidRPr="4E362CC5">
        <w:rPr>
          <w:b/>
          <w:bCs/>
          <w:i/>
          <w:iCs/>
        </w:rPr>
        <w:t>g</w:t>
      </w:r>
      <w:r w:rsidRPr="4E362CC5">
        <w:rPr>
          <w:i/>
          <w:iCs/>
        </w:rPr>
        <w:t>, </w:t>
      </w:r>
      <w:proofErr w:type="gramStart"/>
      <w:r w:rsidRPr="4E362CC5">
        <w:rPr>
          <w:i/>
          <w:iCs/>
        </w:rPr>
        <w:t>The</w:t>
      </w:r>
      <w:proofErr w:type="gramEnd"/>
      <w:r w:rsidRPr="4E362CC5">
        <w:rPr>
          <w:i/>
          <w:iCs/>
        </w:rPr>
        <w:t xml:space="preserve"> dependence of R</w:t>
      </w:r>
      <w:r w:rsidRPr="4E362CC5">
        <w:rPr>
          <w:i/>
          <w:iCs/>
          <w:vertAlign w:val="subscript"/>
        </w:rPr>
        <w:t>xx</w:t>
      </w:r>
      <w:r w:rsidRPr="4E362CC5">
        <w:rPr>
          <w:i/>
          <w:iCs/>
        </w:rPr>
        <w:t xml:space="preserve"> on B</w:t>
      </w:r>
      <w:r w:rsidRPr="4E362CC5">
        <w:rPr>
          <w:rFonts w:ascii="Cambria Math" w:hAnsi="Cambria Math" w:cs="Cambria Math"/>
          <w:i/>
          <w:iCs/>
          <w:vertAlign w:val="subscript"/>
        </w:rPr>
        <w:t>⊥</w:t>
      </w:r>
      <w:r w:rsidRPr="4E362CC5">
        <w:rPr>
          <w:i/>
          <w:iCs/>
        </w:rPr>
        <w:t xml:space="preserve"> up to 1 T, measured along the orange dash line in </w:t>
      </w:r>
      <w:r w:rsidRPr="4E362CC5">
        <w:rPr>
          <w:b/>
          <w:bCs/>
          <w:i/>
          <w:iCs/>
        </w:rPr>
        <w:t>a</w:t>
      </w:r>
      <w:r w:rsidRPr="4E362CC5">
        <w:rPr>
          <w:i/>
          <w:iCs/>
        </w:rPr>
        <w:t>.  </w:t>
      </w:r>
      <w:r w:rsidRPr="4E362CC5">
        <w:rPr>
          <w:b/>
          <w:bCs/>
          <w:i/>
          <w:iCs/>
        </w:rPr>
        <w:t>h</w:t>
      </w:r>
      <w:r w:rsidRPr="4E362CC5">
        <w:rPr>
          <w:i/>
          <w:iCs/>
        </w:rPr>
        <w:t>, Fourier transform of R</w:t>
      </w:r>
      <w:r w:rsidRPr="4E362CC5">
        <w:rPr>
          <w:i/>
          <w:iCs/>
          <w:vertAlign w:val="subscript"/>
        </w:rPr>
        <w:t>xx</w:t>
      </w:r>
      <w:r w:rsidRPr="4E362CC5">
        <w:rPr>
          <w:i/>
          <w:iCs/>
        </w:rPr>
        <w:t>(1/B</w:t>
      </w:r>
      <w:r w:rsidRPr="4E362CC5">
        <w:rPr>
          <w:rFonts w:ascii="Cambria Math" w:hAnsi="Cambria Math" w:cs="Cambria Math"/>
          <w:i/>
          <w:iCs/>
          <w:vertAlign w:val="subscript"/>
        </w:rPr>
        <w:t>⊥</w:t>
      </w:r>
      <w:r w:rsidRPr="4E362CC5">
        <w:rPr>
          <w:i/>
          <w:iCs/>
        </w:rPr>
        <w:t>), where f</w:t>
      </w:r>
      <w:r w:rsidRPr="4E362CC5">
        <w:rPr>
          <w:i/>
          <w:iCs/>
          <w:vertAlign w:val="subscript"/>
          <w:lang w:val="el-GR"/>
        </w:rPr>
        <w:t>ν</w:t>
      </w:r>
      <w:r w:rsidRPr="4E362CC5">
        <w:rPr>
          <w:i/>
          <w:iCs/>
        </w:rPr>
        <w:t xml:space="preserve"> is defined as f</w:t>
      </w:r>
      <w:r w:rsidRPr="4E362CC5">
        <w:rPr>
          <w:i/>
          <w:iCs/>
          <w:vertAlign w:val="subscript"/>
        </w:rPr>
        <w:t>1/B</w:t>
      </w:r>
      <w:r w:rsidRPr="4E362CC5">
        <w:rPr>
          <w:i/>
          <w:iCs/>
        </w:rPr>
        <w:t>/</w:t>
      </w:r>
      <w:proofErr w:type="gramStart"/>
      <w:r w:rsidRPr="4E362CC5">
        <w:rPr>
          <w:i/>
          <w:iCs/>
          <w:lang w:val="el-GR"/>
        </w:rPr>
        <w:t>φ</w:t>
      </w:r>
      <w:r w:rsidRPr="4E362CC5">
        <w:rPr>
          <w:i/>
          <w:iCs/>
          <w:vertAlign w:val="subscript"/>
        </w:rPr>
        <w:t>0</w:t>
      </w:r>
      <w:r w:rsidRPr="4E362CC5">
        <w:rPr>
          <w:i/>
          <w:iCs/>
        </w:rPr>
        <w:t>n</w:t>
      </w:r>
      <w:r w:rsidRPr="4E362CC5">
        <w:rPr>
          <w:i/>
          <w:iCs/>
          <w:vertAlign w:val="subscript"/>
        </w:rPr>
        <w:t>e</w:t>
      </w:r>
      <w:proofErr w:type="gramEnd"/>
      <w:r w:rsidRPr="4E362CC5">
        <w:rPr>
          <w:i/>
          <w:iCs/>
        </w:rPr>
        <w:t>. The grey dash line marks the phase boundary between the half-metal phase and the PIP phase. The white arrow outlines the range of n corresponding SC4. </w:t>
      </w:r>
      <w:proofErr w:type="spellStart"/>
      <w:r w:rsidRPr="4E362CC5">
        <w:rPr>
          <w:b/>
          <w:bCs/>
          <w:i/>
          <w:iCs/>
        </w:rPr>
        <w:t>i</w:t>
      </w:r>
      <w:proofErr w:type="spellEnd"/>
      <w:r w:rsidRPr="4E362CC5">
        <w:rPr>
          <w:i/>
          <w:iCs/>
        </w:rPr>
        <w:t xml:space="preserve">, Illustration of the Fermi surfaces in the half-metal phase and the PIP phase deduced from </w:t>
      </w:r>
      <w:r w:rsidRPr="4E362CC5">
        <w:rPr>
          <w:b/>
          <w:bCs/>
          <w:i/>
          <w:iCs/>
        </w:rPr>
        <w:t>h</w:t>
      </w:r>
      <w:r w:rsidRPr="4E362CC5">
        <w:rPr>
          <w:i/>
          <w:iCs/>
        </w:rPr>
        <w:t>.</w:t>
      </w:r>
    </w:p>
    <w:p w14:paraId="39055981" w14:textId="0BFE3BB9" w:rsidR="00724202" w:rsidRPr="00CC20E7" w:rsidRDefault="00724202" w:rsidP="00724202">
      <w:pPr>
        <w:jc w:val="both"/>
        <w:rPr>
          <w:i/>
          <w:iCs/>
        </w:rPr>
      </w:pPr>
      <w:r>
        <w:rPr>
          <w:noProof/>
        </w:rPr>
        <w:drawing>
          <wp:inline distT="0" distB="0" distL="0" distR="0" wp14:anchorId="7F1BDA9C" wp14:editId="410B57B4">
            <wp:extent cx="5943600" cy="4957445"/>
            <wp:effectExtent l="0" t="0" r="0" b="0"/>
            <wp:docPr id="462183679" name="Picture 3" descr="A collage of images of different colo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183679" name="Picture 3" descr="A collage of images of different colors&#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600" cy="4957445"/>
                    </a:xfrm>
                    <a:prstGeom prst="rect">
                      <a:avLst/>
                    </a:prstGeom>
                    <a:noFill/>
                    <a:ln>
                      <a:noFill/>
                    </a:ln>
                  </pic:spPr>
                </pic:pic>
              </a:graphicData>
            </a:graphic>
          </wp:inline>
        </w:drawing>
      </w:r>
    </w:p>
    <w:p w14:paraId="2368903A" w14:textId="77777777" w:rsidR="00724202" w:rsidRDefault="00724202" w:rsidP="00724202">
      <w:pPr>
        <w:jc w:val="both"/>
        <w:rPr>
          <w:i/>
          <w:iCs/>
        </w:rPr>
      </w:pPr>
      <w:r w:rsidRPr="0FEA8259">
        <w:rPr>
          <w:b/>
          <w:bCs/>
          <w:i/>
          <w:iCs/>
        </w:rPr>
        <w:t>Figure 3. TMD-proximity-enhanced superconducting state SC3 and new symmetry-broken three-quarter-metal phase. a-c</w:t>
      </w:r>
      <w:r w:rsidRPr="0FEA8259">
        <w:rPr>
          <w:i/>
          <w:iCs/>
        </w:rPr>
        <w:t>, R</w:t>
      </w:r>
      <w:r w:rsidRPr="0FEA8259">
        <w:rPr>
          <w:i/>
          <w:iCs/>
          <w:vertAlign w:val="subscript"/>
        </w:rPr>
        <w:t>xx</w:t>
      </w:r>
      <w:r w:rsidRPr="0FEA8259">
        <w:rPr>
          <w:i/>
          <w:iCs/>
        </w:rPr>
        <w:t xml:space="preserve"> as a function of n and D near SC3 for Scenario 1-3: at D&gt;0 in D1, at D&lt;0 in D3, and at D&gt;0 in D3. </w:t>
      </w:r>
      <w:proofErr w:type="gramStart"/>
      <w:r w:rsidRPr="0FEA8259">
        <w:rPr>
          <w:i/>
          <w:iCs/>
        </w:rPr>
        <w:t>Insets</w:t>
      </w:r>
      <w:proofErr w:type="gramEnd"/>
      <w:r w:rsidRPr="0FEA8259">
        <w:rPr>
          <w:i/>
          <w:iCs/>
        </w:rPr>
        <w:t xml:space="preserve"> illustrate the sample structures and carrier distributions. </w:t>
      </w:r>
      <w:r w:rsidRPr="0FEA8259">
        <w:rPr>
          <w:i/>
          <w:iCs/>
        </w:rPr>
        <w:lastRenderedPageBreak/>
        <w:t xml:space="preserve">In </w:t>
      </w:r>
      <w:r w:rsidRPr="0FEA8259">
        <w:rPr>
          <w:b/>
          <w:bCs/>
          <w:i/>
          <w:iCs/>
        </w:rPr>
        <w:t>c</w:t>
      </w:r>
      <w:r w:rsidRPr="0FEA8259">
        <w:rPr>
          <w:i/>
          <w:iCs/>
        </w:rPr>
        <w:t xml:space="preserve">, a black dotted box is plotted to highlight the relatively weak SC3. The SC3 is getting more enhanced from </w:t>
      </w:r>
      <w:r w:rsidRPr="0FEA8259">
        <w:rPr>
          <w:b/>
          <w:bCs/>
          <w:i/>
          <w:iCs/>
        </w:rPr>
        <w:t>c</w:t>
      </w:r>
      <w:r w:rsidRPr="0FEA8259">
        <w:rPr>
          <w:i/>
          <w:iCs/>
        </w:rPr>
        <w:t xml:space="preserve"> to </w:t>
      </w:r>
      <w:r w:rsidRPr="0FEA8259">
        <w:rPr>
          <w:b/>
          <w:bCs/>
          <w:i/>
          <w:iCs/>
        </w:rPr>
        <w:t>a</w:t>
      </w:r>
      <w:r w:rsidRPr="0FEA8259">
        <w:rPr>
          <w:i/>
          <w:iCs/>
        </w:rPr>
        <w:t xml:space="preserve"> as the effective SOC gets stronger. </w:t>
      </w:r>
      <w:r w:rsidRPr="0FEA8259">
        <w:rPr>
          <w:b/>
          <w:bCs/>
          <w:i/>
          <w:iCs/>
        </w:rPr>
        <w:t>d</w:t>
      </w:r>
      <w:r w:rsidRPr="0FEA8259">
        <w:rPr>
          <w:i/>
          <w:iCs/>
        </w:rPr>
        <w:t>, Out-of-plane magnetic field B</w:t>
      </w:r>
      <w:r w:rsidRPr="0FEA8259">
        <w:rPr>
          <w:rFonts w:ascii="Cambria Math" w:hAnsi="Cambria Math" w:cs="Cambria Math"/>
          <w:vertAlign w:val="subscript"/>
        </w:rPr>
        <w:t>⊥</w:t>
      </w:r>
      <w:r w:rsidRPr="0FEA8259">
        <w:rPr>
          <w:i/>
          <w:iCs/>
        </w:rPr>
        <w:t xml:space="preserve"> dependence of R</w:t>
      </w:r>
      <w:r w:rsidRPr="0FEA8259">
        <w:rPr>
          <w:i/>
          <w:iCs/>
          <w:vertAlign w:val="subscript"/>
        </w:rPr>
        <w:t>xx</w:t>
      </w:r>
      <w:r w:rsidRPr="0FEA8259">
        <w:rPr>
          <w:i/>
          <w:iCs/>
        </w:rPr>
        <w:t xml:space="preserve"> in D1, measured along the </w:t>
      </w:r>
      <w:r>
        <w:rPr>
          <w:i/>
          <w:iCs/>
        </w:rPr>
        <w:t>orange</w:t>
      </w:r>
      <w:r w:rsidRPr="0FEA8259">
        <w:rPr>
          <w:i/>
          <w:iCs/>
        </w:rPr>
        <w:t xml:space="preserve"> dash line in </w:t>
      </w:r>
      <w:r w:rsidRPr="0FEA8259">
        <w:rPr>
          <w:b/>
          <w:bCs/>
          <w:i/>
          <w:iCs/>
        </w:rPr>
        <w:t>a</w:t>
      </w:r>
      <w:r w:rsidRPr="0FEA8259">
        <w:rPr>
          <w:i/>
          <w:iCs/>
        </w:rPr>
        <w:t>. </w:t>
      </w:r>
      <w:r w:rsidRPr="0FEA8259">
        <w:rPr>
          <w:b/>
          <w:bCs/>
          <w:i/>
          <w:iCs/>
        </w:rPr>
        <w:t>e</w:t>
      </w:r>
      <w:r w:rsidRPr="0FEA8259">
        <w:rPr>
          <w:i/>
          <w:iCs/>
        </w:rPr>
        <w:t>, Fourier transform of R</w:t>
      </w:r>
      <w:r w:rsidRPr="0FEA8259">
        <w:rPr>
          <w:i/>
          <w:iCs/>
          <w:vertAlign w:val="subscript"/>
        </w:rPr>
        <w:t>xx</w:t>
      </w:r>
      <w:r w:rsidRPr="0FEA8259">
        <w:rPr>
          <w:i/>
          <w:iCs/>
        </w:rPr>
        <w:t>(1/B</w:t>
      </w:r>
      <w:r w:rsidRPr="0FEA8259">
        <w:rPr>
          <w:rFonts w:ascii="Cambria Math" w:hAnsi="Cambria Math" w:cs="Cambria Math"/>
          <w:vertAlign w:val="subscript"/>
        </w:rPr>
        <w:t>⊥</w:t>
      </w:r>
      <w:r w:rsidRPr="0FEA8259">
        <w:rPr>
          <w:i/>
          <w:iCs/>
        </w:rPr>
        <w:t>), measured up to B</w:t>
      </w:r>
      <w:r w:rsidRPr="0FEA8259">
        <w:rPr>
          <w:rFonts w:ascii="Cambria Math" w:hAnsi="Cambria Math" w:cs="Cambria Math"/>
          <w:vertAlign w:val="subscript"/>
        </w:rPr>
        <w:t>⊥</w:t>
      </w:r>
      <w:r w:rsidRPr="0FEA8259">
        <w:rPr>
          <w:rFonts w:ascii="Cambria Math" w:hAnsi="Cambria Math" w:cs="Cambria Math"/>
          <w:i/>
          <w:iCs/>
          <w:vertAlign w:val="subscript"/>
        </w:rPr>
        <w:t xml:space="preserve"> </w:t>
      </w:r>
      <w:r w:rsidRPr="0FEA8259">
        <w:rPr>
          <w:i/>
          <w:iCs/>
        </w:rPr>
        <w:t xml:space="preserve">= 1.2 T along the </w:t>
      </w:r>
      <w:r>
        <w:rPr>
          <w:i/>
          <w:iCs/>
        </w:rPr>
        <w:t>orange</w:t>
      </w:r>
      <w:r w:rsidRPr="0FEA8259">
        <w:rPr>
          <w:i/>
          <w:iCs/>
        </w:rPr>
        <w:t xml:space="preserve"> dash line in </w:t>
      </w:r>
      <w:r w:rsidRPr="0FEA8259">
        <w:rPr>
          <w:b/>
          <w:bCs/>
          <w:i/>
          <w:iCs/>
        </w:rPr>
        <w:t>a</w:t>
      </w:r>
      <w:r w:rsidRPr="0FEA8259">
        <w:rPr>
          <w:i/>
          <w:iCs/>
        </w:rPr>
        <w:t xml:space="preserve">. The two vertical grey dash lines mark the phase boundaries between the half-metal (HM) phase, the PIP phase, and the three-quarter-metal (TQM) phase. The white arrow outlines the range of n corresponding to SC3. </w:t>
      </w:r>
      <w:r w:rsidRPr="0FEA8259">
        <w:rPr>
          <w:b/>
          <w:bCs/>
          <w:i/>
          <w:iCs/>
        </w:rPr>
        <w:t xml:space="preserve">f, </w:t>
      </w:r>
      <w:r w:rsidRPr="0FEA8259">
        <w:rPr>
          <w:i/>
          <w:iCs/>
        </w:rPr>
        <w:t>Illustration of the Fermi surface in the HM phase and the TQM phase. </w:t>
      </w:r>
      <w:r w:rsidRPr="0FEA8259">
        <w:rPr>
          <w:b/>
          <w:bCs/>
          <w:i/>
          <w:iCs/>
        </w:rPr>
        <w:t>g</w:t>
      </w:r>
      <w:r w:rsidRPr="0FEA8259">
        <w:rPr>
          <w:i/>
          <w:iCs/>
        </w:rPr>
        <w:t xml:space="preserve">, </w:t>
      </w:r>
      <w:proofErr w:type="gramStart"/>
      <w:r w:rsidRPr="0FEA8259">
        <w:rPr>
          <w:i/>
          <w:iCs/>
        </w:rPr>
        <w:t>The</w:t>
      </w:r>
      <w:proofErr w:type="gramEnd"/>
      <w:r w:rsidRPr="0FEA8259">
        <w:rPr>
          <w:i/>
          <w:iCs/>
        </w:rPr>
        <w:t xml:space="preserve"> dependence of R</w:t>
      </w:r>
      <w:r w:rsidRPr="0FEA8259">
        <w:rPr>
          <w:i/>
          <w:iCs/>
          <w:vertAlign w:val="subscript"/>
        </w:rPr>
        <w:t>xx</w:t>
      </w:r>
      <w:r w:rsidRPr="0FEA8259">
        <w:rPr>
          <w:i/>
          <w:iCs/>
        </w:rPr>
        <w:t xml:space="preserve"> on B</w:t>
      </w:r>
      <w:r w:rsidRPr="0FEA8259">
        <w:rPr>
          <w:rFonts w:ascii="Cambria Math" w:hAnsi="Cambria Math" w:cs="Cambria Math"/>
          <w:vertAlign w:val="subscript"/>
        </w:rPr>
        <w:t>⊥</w:t>
      </w:r>
      <w:r w:rsidRPr="0FEA8259">
        <w:rPr>
          <w:i/>
          <w:iCs/>
        </w:rPr>
        <w:t xml:space="preserve"> up to 1 T, measured along the green dash line in </w:t>
      </w:r>
      <w:r w:rsidRPr="0FEA8259">
        <w:rPr>
          <w:b/>
          <w:bCs/>
          <w:i/>
          <w:iCs/>
        </w:rPr>
        <w:t>a</w:t>
      </w:r>
      <w:r w:rsidRPr="0FEA8259">
        <w:rPr>
          <w:i/>
          <w:iCs/>
        </w:rPr>
        <w:t xml:space="preserve">. </w:t>
      </w:r>
      <w:r w:rsidRPr="0FEA8259">
        <w:rPr>
          <w:b/>
          <w:bCs/>
          <w:i/>
          <w:iCs/>
        </w:rPr>
        <w:t>h</w:t>
      </w:r>
      <w:r w:rsidRPr="0FEA8259">
        <w:rPr>
          <w:i/>
          <w:iCs/>
        </w:rPr>
        <w:t>, Fourier transform of R</w:t>
      </w:r>
      <w:r w:rsidRPr="0FEA8259">
        <w:rPr>
          <w:i/>
          <w:iCs/>
          <w:vertAlign w:val="subscript"/>
        </w:rPr>
        <w:t>xx</w:t>
      </w:r>
      <w:r w:rsidRPr="0FEA8259">
        <w:rPr>
          <w:i/>
          <w:iCs/>
        </w:rPr>
        <w:t xml:space="preserve"> data in </w:t>
      </w:r>
      <w:r w:rsidRPr="0FEA8259">
        <w:rPr>
          <w:b/>
          <w:bCs/>
          <w:i/>
          <w:iCs/>
        </w:rPr>
        <w:t>g</w:t>
      </w:r>
      <w:r w:rsidRPr="0FEA8259">
        <w:rPr>
          <w:i/>
          <w:iCs/>
        </w:rPr>
        <w:t>. The red dash line corresponds to f</w:t>
      </w:r>
      <w:r w:rsidRPr="0FEA8259">
        <w:rPr>
          <w:i/>
          <w:iCs/>
          <w:vertAlign w:val="subscript"/>
          <w:lang w:val="el-GR"/>
        </w:rPr>
        <w:t>ν</w:t>
      </w:r>
      <w:r w:rsidRPr="0FEA8259">
        <w:rPr>
          <w:i/>
          <w:iCs/>
          <w:lang w:val="el-GR"/>
        </w:rPr>
        <w:t xml:space="preserve"> </w:t>
      </w:r>
      <w:r w:rsidRPr="0FEA8259">
        <w:rPr>
          <w:i/>
          <w:iCs/>
        </w:rPr>
        <w:t>= 1/3, and the white-shaded box highlights the new TQM phase. </w:t>
      </w:r>
      <w:proofErr w:type="spellStart"/>
      <w:r w:rsidRPr="0FEA8259">
        <w:rPr>
          <w:b/>
          <w:bCs/>
          <w:i/>
          <w:iCs/>
        </w:rPr>
        <w:t>i</w:t>
      </w:r>
      <w:proofErr w:type="spellEnd"/>
      <w:r w:rsidRPr="0FEA8259">
        <w:rPr>
          <w:i/>
          <w:iCs/>
        </w:rPr>
        <w:t>,</w:t>
      </w:r>
      <w:r>
        <w:rPr>
          <w:rFonts w:hint="eastAsia"/>
          <w:i/>
          <w:iCs/>
        </w:rPr>
        <w:t xml:space="preserve"> </w:t>
      </w:r>
      <w:r w:rsidRPr="00E44A69">
        <w:rPr>
          <w:i/>
          <w:iCs/>
        </w:rPr>
        <w:t xml:space="preserve">Phase diagrams without any SOC (top) and with Ising SOC of 2 meV (bottom) obtained by a self-consistent Hartree-Fock theory. The calculated ground states in the red, yellow, and green shaded regions are </w:t>
      </w:r>
      <w:proofErr w:type="gramStart"/>
      <w:r w:rsidRPr="00E44A69">
        <w:rPr>
          <w:i/>
          <w:iCs/>
        </w:rPr>
        <w:t>quarter-metal</w:t>
      </w:r>
      <w:proofErr w:type="gramEnd"/>
      <w:r w:rsidRPr="00E44A69">
        <w:rPr>
          <w:i/>
          <w:iCs/>
        </w:rPr>
        <w:t xml:space="preserve"> (QM), HM, and TQM phases, respectively. PIP phases appear around the phase boundaries. Evidently, the Ising SOC stabilizes the TQM phase by lowering its total energy and widening its density range.</w:t>
      </w:r>
    </w:p>
    <w:p w14:paraId="1993AC0A" w14:textId="6AFEE99F" w:rsidR="00724202" w:rsidRPr="000C40BA" w:rsidRDefault="00724202" w:rsidP="00724202">
      <w:pPr>
        <w:jc w:val="both"/>
        <w:rPr>
          <w:i/>
          <w:iCs/>
          <w:color w:val="FF0000"/>
        </w:rPr>
      </w:pPr>
      <w:r>
        <w:rPr>
          <w:noProof/>
        </w:rPr>
        <w:drawing>
          <wp:inline distT="0" distB="0" distL="0" distR="0" wp14:anchorId="0176433F" wp14:editId="70066987">
            <wp:extent cx="5943600" cy="3300730"/>
            <wp:effectExtent l="0" t="0" r="0" b="0"/>
            <wp:docPr id="1161761673" name="Picture 4" descr="A collage of graphs and diagr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761673" name="Picture 4" descr="A collage of graphs and diagrams&#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3600" cy="3300730"/>
                    </a:xfrm>
                    <a:prstGeom prst="rect">
                      <a:avLst/>
                    </a:prstGeom>
                    <a:noFill/>
                    <a:ln>
                      <a:noFill/>
                    </a:ln>
                  </pic:spPr>
                </pic:pic>
              </a:graphicData>
            </a:graphic>
          </wp:inline>
        </w:drawing>
      </w:r>
    </w:p>
    <w:p w14:paraId="7D71B524" w14:textId="77777777" w:rsidR="00724202" w:rsidRPr="000C40BA" w:rsidRDefault="00724202" w:rsidP="00724202">
      <w:pPr>
        <w:rPr>
          <w:noProof/>
        </w:rPr>
      </w:pPr>
      <w:r w:rsidRPr="0FEA8259">
        <w:rPr>
          <w:b/>
          <w:bCs/>
          <w:i/>
          <w:iCs/>
        </w:rPr>
        <w:t>Figure 4. TMD-proximity-suppressed superconducting state SC1.  a-c,</w:t>
      </w:r>
      <w:r w:rsidRPr="0FEA8259">
        <w:rPr>
          <w:i/>
          <w:iCs/>
        </w:rPr>
        <w:t xml:space="preserve"> R</w:t>
      </w:r>
      <w:r w:rsidRPr="0FEA8259">
        <w:rPr>
          <w:i/>
          <w:iCs/>
          <w:vertAlign w:val="subscript"/>
        </w:rPr>
        <w:t>xx</w:t>
      </w:r>
      <w:r w:rsidRPr="0FEA8259">
        <w:rPr>
          <w:i/>
          <w:iCs/>
        </w:rPr>
        <w:t xml:space="preserve"> as a function of n and D near the expected SC1 state for Scenario 1-3: at D&lt;0 in D1, at D&gt;0 in D3, and at D&lt;0 in D3. </w:t>
      </w:r>
      <w:proofErr w:type="gramStart"/>
      <w:r w:rsidRPr="0FEA8259">
        <w:rPr>
          <w:i/>
          <w:iCs/>
        </w:rPr>
        <w:t>Insets</w:t>
      </w:r>
      <w:proofErr w:type="gramEnd"/>
      <w:r w:rsidRPr="0FEA8259">
        <w:rPr>
          <w:i/>
          <w:iCs/>
        </w:rPr>
        <w:t xml:space="preserve"> illustrate the sample structures and carrier distributions. SC1 can be observed in </w:t>
      </w:r>
      <w:r w:rsidRPr="0FEA8259">
        <w:rPr>
          <w:b/>
          <w:bCs/>
          <w:i/>
          <w:iCs/>
        </w:rPr>
        <w:t>b</w:t>
      </w:r>
      <w:r w:rsidRPr="0FEA8259">
        <w:rPr>
          <w:i/>
          <w:iCs/>
        </w:rPr>
        <w:t xml:space="preserve"> &amp; </w:t>
      </w:r>
      <w:r w:rsidRPr="0FEA8259">
        <w:rPr>
          <w:b/>
          <w:bCs/>
          <w:i/>
          <w:iCs/>
        </w:rPr>
        <w:t>c</w:t>
      </w:r>
      <w:r w:rsidRPr="0FEA8259">
        <w:rPr>
          <w:i/>
          <w:iCs/>
        </w:rPr>
        <w:t xml:space="preserve">, but not in </w:t>
      </w:r>
      <w:r w:rsidRPr="0FEA8259">
        <w:rPr>
          <w:b/>
          <w:bCs/>
          <w:i/>
          <w:iCs/>
        </w:rPr>
        <w:t>a</w:t>
      </w:r>
      <w:r w:rsidRPr="0FEA8259">
        <w:rPr>
          <w:i/>
          <w:iCs/>
        </w:rPr>
        <w:t xml:space="preserve">. In </w:t>
      </w:r>
      <w:r w:rsidRPr="0FEA8259">
        <w:rPr>
          <w:b/>
          <w:bCs/>
          <w:i/>
          <w:iCs/>
        </w:rPr>
        <w:t>c</w:t>
      </w:r>
      <w:r w:rsidRPr="0FEA8259">
        <w:rPr>
          <w:i/>
          <w:iCs/>
        </w:rPr>
        <w:t xml:space="preserve">, SC1 starts to develop at a lower |D| than </w:t>
      </w:r>
      <w:r w:rsidRPr="0FEA8259">
        <w:rPr>
          <w:b/>
          <w:bCs/>
          <w:i/>
          <w:iCs/>
        </w:rPr>
        <w:t>b</w:t>
      </w:r>
      <w:r w:rsidRPr="0FEA8259">
        <w:rPr>
          <w:i/>
          <w:iCs/>
        </w:rPr>
        <w:t xml:space="preserve">. </w:t>
      </w:r>
      <w:r w:rsidRPr="0FEA8259">
        <w:rPr>
          <w:b/>
          <w:bCs/>
          <w:i/>
          <w:iCs/>
        </w:rPr>
        <w:t>d,</w:t>
      </w:r>
      <w:r w:rsidRPr="0FEA8259">
        <w:rPr>
          <w:i/>
          <w:iCs/>
        </w:rPr>
        <w:t xml:space="preserve"> Differential resistance </w:t>
      </w:r>
      <w:proofErr w:type="spellStart"/>
      <w:r w:rsidRPr="0FEA8259">
        <w:rPr>
          <w:i/>
          <w:iCs/>
        </w:rPr>
        <w:t>dV</w:t>
      </w:r>
      <w:proofErr w:type="spellEnd"/>
      <w:r w:rsidRPr="0FEA8259">
        <w:rPr>
          <w:i/>
          <w:iCs/>
        </w:rPr>
        <w:t>/</w:t>
      </w:r>
      <w:proofErr w:type="spellStart"/>
      <w:r w:rsidRPr="0FEA8259">
        <w:rPr>
          <w:i/>
          <w:iCs/>
        </w:rPr>
        <w:t>dI</w:t>
      </w:r>
      <w:proofErr w:type="spellEnd"/>
      <w:r w:rsidRPr="0FEA8259">
        <w:rPr>
          <w:i/>
          <w:iCs/>
        </w:rPr>
        <w:t xml:space="preserve"> as a function of the direct current I</w:t>
      </w:r>
      <w:r w:rsidRPr="0FEA8259">
        <w:rPr>
          <w:i/>
          <w:iCs/>
          <w:vertAlign w:val="subscript"/>
        </w:rPr>
        <w:t>DC</w:t>
      </w:r>
      <w:r w:rsidRPr="0FEA8259">
        <w:rPr>
          <w:i/>
          <w:iCs/>
        </w:rPr>
        <w:t xml:space="preserve">, measured at n &amp; D positions represented by the markers in </w:t>
      </w:r>
      <w:r w:rsidRPr="0FEA8259">
        <w:rPr>
          <w:b/>
          <w:bCs/>
          <w:i/>
          <w:iCs/>
        </w:rPr>
        <w:t>a-c</w:t>
      </w:r>
      <w:r w:rsidRPr="0FEA8259">
        <w:rPr>
          <w:i/>
          <w:iCs/>
        </w:rPr>
        <w:t>. No non-linear I-V behavior is observed in dual-side-TMD sample D1. </w:t>
      </w:r>
      <w:r w:rsidRPr="0FEA8259">
        <w:rPr>
          <w:b/>
          <w:bCs/>
          <w:i/>
          <w:iCs/>
        </w:rPr>
        <w:t>e</w:t>
      </w:r>
      <w:r w:rsidRPr="0FEA8259">
        <w:rPr>
          <w:i/>
          <w:iCs/>
        </w:rPr>
        <w:t>, Temperature dependence of R</w:t>
      </w:r>
      <w:r w:rsidRPr="0FEA8259">
        <w:rPr>
          <w:i/>
          <w:iCs/>
          <w:vertAlign w:val="subscript"/>
        </w:rPr>
        <w:t>xx</w:t>
      </w:r>
      <w:r w:rsidRPr="0FEA8259">
        <w:rPr>
          <w:i/>
          <w:iCs/>
        </w:rPr>
        <w:t xml:space="preserve">, measured at same position </w:t>
      </w:r>
      <w:proofErr w:type="gramStart"/>
      <w:r w:rsidRPr="0FEA8259">
        <w:rPr>
          <w:i/>
          <w:iCs/>
        </w:rPr>
        <w:t xml:space="preserve">as </w:t>
      </w:r>
      <w:r w:rsidRPr="0FEA8259">
        <w:rPr>
          <w:b/>
          <w:bCs/>
          <w:i/>
          <w:iCs/>
        </w:rPr>
        <w:t>d</w:t>
      </w:r>
      <w:proofErr w:type="gramEnd"/>
      <w:r w:rsidRPr="0FEA8259">
        <w:rPr>
          <w:i/>
          <w:iCs/>
        </w:rPr>
        <w:t>. Again, no obvious drops of R</w:t>
      </w:r>
      <w:r w:rsidRPr="0FEA8259">
        <w:rPr>
          <w:i/>
          <w:iCs/>
          <w:vertAlign w:val="subscript"/>
        </w:rPr>
        <w:t>xx</w:t>
      </w:r>
      <w:r w:rsidRPr="0FEA8259">
        <w:rPr>
          <w:i/>
          <w:iCs/>
        </w:rPr>
        <w:t xml:space="preserve"> can be resolved when </w:t>
      </w:r>
      <w:proofErr w:type="gramStart"/>
      <w:r w:rsidRPr="0FEA8259">
        <w:rPr>
          <w:i/>
          <w:iCs/>
        </w:rPr>
        <w:lastRenderedPageBreak/>
        <w:t>temperature</w:t>
      </w:r>
      <w:proofErr w:type="gramEnd"/>
      <w:r w:rsidRPr="0FEA8259">
        <w:rPr>
          <w:i/>
          <w:iCs/>
        </w:rPr>
        <w:t xml:space="preserve"> is decreasing. </w:t>
      </w:r>
      <w:r w:rsidRPr="0FEA8259">
        <w:rPr>
          <w:b/>
          <w:bCs/>
          <w:i/>
          <w:iCs/>
        </w:rPr>
        <w:t>f</w:t>
      </w:r>
      <w:r w:rsidRPr="0FEA8259">
        <w:rPr>
          <w:i/>
          <w:iCs/>
        </w:rPr>
        <w:t>, Fourier transform of R</w:t>
      </w:r>
      <w:r w:rsidRPr="0FEA8259">
        <w:rPr>
          <w:i/>
          <w:iCs/>
          <w:vertAlign w:val="subscript"/>
        </w:rPr>
        <w:t>xx</w:t>
      </w:r>
      <w:r w:rsidRPr="0FEA8259">
        <w:rPr>
          <w:i/>
          <w:iCs/>
        </w:rPr>
        <w:t>(1/B</w:t>
      </w:r>
      <w:r w:rsidRPr="0FEA8259">
        <w:rPr>
          <w:rFonts w:ascii="SimSun" w:eastAsia="SimSun" w:hAnsi="SimSun" w:cs="SimSun"/>
          <w:vertAlign w:val="subscript"/>
        </w:rPr>
        <w:t>⊥</w:t>
      </w:r>
      <w:r w:rsidRPr="0FEA8259">
        <w:rPr>
          <w:i/>
          <w:iCs/>
        </w:rPr>
        <w:t xml:space="preserve">) in D1, measured at the black dash lines in </w:t>
      </w:r>
      <w:r w:rsidRPr="0FEA8259">
        <w:rPr>
          <w:b/>
          <w:bCs/>
          <w:i/>
          <w:iCs/>
        </w:rPr>
        <w:t>a</w:t>
      </w:r>
      <w:r w:rsidRPr="0FEA8259">
        <w:rPr>
          <w:i/>
          <w:iCs/>
        </w:rPr>
        <w:t xml:space="preserve">. The grey dash line </w:t>
      </w:r>
      <w:proofErr w:type="gramStart"/>
      <w:r w:rsidRPr="0FEA8259">
        <w:rPr>
          <w:i/>
          <w:iCs/>
        </w:rPr>
        <w:t xml:space="preserve">in </w:t>
      </w:r>
      <w:r w:rsidRPr="0FEA8259">
        <w:rPr>
          <w:b/>
          <w:bCs/>
          <w:i/>
          <w:iCs/>
        </w:rPr>
        <w:t>f</w:t>
      </w:r>
      <w:proofErr w:type="gramEnd"/>
      <w:r w:rsidRPr="0FEA8259">
        <w:rPr>
          <w:i/>
          <w:iCs/>
        </w:rPr>
        <w:t xml:space="preserve"> highlights the sudden change in Fermiology, corresponding to the resistive state near the half metal phase. The white arrow marks the range of the expected SC1 phase. </w:t>
      </w:r>
    </w:p>
    <w:p w14:paraId="12AD17DB" w14:textId="77777777" w:rsidR="00724202" w:rsidRPr="003504E6" w:rsidRDefault="00724202" w:rsidP="004F0905">
      <w:pPr>
        <w:jc w:val="both"/>
        <w:rPr>
          <w:b/>
          <w:bCs/>
        </w:rPr>
      </w:pPr>
    </w:p>
    <w:bookmarkEnd w:id="2"/>
    <w:p w14:paraId="5CAA3690" w14:textId="77777777" w:rsidR="00C90066" w:rsidRDefault="00C90066" w:rsidP="00D03CE3">
      <w:pPr>
        <w:jc w:val="both"/>
        <w:rPr>
          <w:b/>
          <w:bCs/>
          <w:sz w:val="32"/>
          <w:szCs w:val="32"/>
        </w:rPr>
      </w:pPr>
      <w:r>
        <w:rPr>
          <w:rFonts w:hint="eastAsia"/>
          <w:b/>
          <w:bCs/>
          <w:sz w:val="32"/>
          <w:szCs w:val="32"/>
        </w:rPr>
        <w:t>Tables</w:t>
      </w:r>
    </w:p>
    <w:tbl>
      <w:tblPr>
        <w:tblStyle w:val="TableGrid"/>
        <w:tblW w:w="0" w:type="auto"/>
        <w:tblLook w:val="0420" w:firstRow="1" w:lastRow="0" w:firstColumn="0" w:lastColumn="0" w:noHBand="0" w:noVBand="1"/>
      </w:tblPr>
      <w:tblGrid>
        <w:gridCol w:w="832"/>
        <w:gridCol w:w="1542"/>
        <w:gridCol w:w="1094"/>
        <w:gridCol w:w="1303"/>
        <w:gridCol w:w="1810"/>
        <w:gridCol w:w="1430"/>
        <w:gridCol w:w="1339"/>
      </w:tblGrid>
      <w:tr w:rsidR="00C90066" w14:paraId="07D6DCE7" w14:textId="77777777" w:rsidTr="00DA30D6">
        <w:trPr>
          <w:trHeight w:val="525"/>
        </w:trPr>
        <w:tc>
          <w:tcPr>
            <w:tcW w:w="832" w:type="dxa"/>
            <w:vMerge w:val="restart"/>
          </w:tcPr>
          <w:p w14:paraId="730BFD28" w14:textId="77777777" w:rsidR="00C90066" w:rsidRPr="162D7C5E" w:rsidRDefault="00C90066" w:rsidP="00DA30D6">
            <w:pPr>
              <w:jc w:val="both"/>
              <w:rPr>
                <w:b/>
                <w:bCs/>
              </w:rPr>
            </w:pPr>
            <w:r>
              <w:rPr>
                <w:rFonts w:hint="eastAsia"/>
                <w:b/>
                <w:bCs/>
              </w:rPr>
              <w:t>SC states</w:t>
            </w:r>
          </w:p>
        </w:tc>
        <w:tc>
          <w:tcPr>
            <w:tcW w:w="1542" w:type="dxa"/>
            <w:vMerge w:val="restart"/>
          </w:tcPr>
          <w:p w14:paraId="2DFBD0BB" w14:textId="77777777" w:rsidR="00C90066" w:rsidRPr="162D7C5E" w:rsidRDefault="00C90066" w:rsidP="00DA30D6">
            <w:pPr>
              <w:jc w:val="both"/>
              <w:rPr>
                <w:b/>
                <w:bCs/>
              </w:rPr>
            </w:pPr>
            <w:r>
              <w:rPr>
                <w:rFonts w:hint="eastAsia"/>
                <w:b/>
                <w:bCs/>
              </w:rPr>
              <w:t>configuration</w:t>
            </w:r>
          </w:p>
        </w:tc>
        <w:tc>
          <w:tcPr>
            <w:tcW w:w="2397" w:type="dxa"/>
            <w:gridSpan w:val="2"/>
          </w:tcPr>
          <w:p w14:paraId="308370AC" w14:textId="77777777" w:rsidR="00C90066" w:rsidRPr="2EF2D92E" w:rsidRDefault="00C90066" w:rsidP="00DA30D6">
            <w:pPr>
              <w:jc w:val="both"/>
              <w:rPr>
                <w:b/>
                <w:bCs/>
              </w:rPr>
            </w:pPr>
            <w:r>
              <w:rPr>
                <w:rFonts w:hint="eastAsia"/>
                <w:b/>
                <w:bCs/>
              </w:rPr>
              <w:t>Scenario 1 (Strong SOC)</w:t>
            </w:r>
          </w:p>
        </w:tc>
        <w:tc>
          <w:tcPr>
            <w:tcW w:w="1810" w:type="dxa"/>
          </w:tcPr>
          <w:p w14:paraId="3D864F0D" w14:textId="77777777" w:rsidR="00C90066" w:rsidRPr="2EF2D92E" w:rsidRDefault="00C90066" w:rsidP="00DA30D6">
            <w:pPr>
              <w:jc w:val="both"/>
              <w:rPr>
                <w:b/>
                <w:bCs/>
              </w:rPr>
            </w:pPr>
            <w:r>
              <w:rPr>
                <w:rFonts w:hint="eastAsia"/>
                <w:b/>
                <w:bCs/>
              </w:rPr>
              <w:t>Scenario 2 (intermediate SOC)</w:t>
            </w:r>
          </w:p>
        </w:tc>
        <w:tc>
          <w:tcPr>
            <w:tcW w:w="2769" w:type="dxa"/>
            <w:gridSpan w:val="2"/>
          </w:tcPr>
          <w:p w14:paraId="64937405" w14:textId="77777777" w:rsidR="00C90066" w:rsidRPr="2EF2D92E" w:rsidRDefault="00C90066" w:rsidP="00DA30D6">
            <w:pPr>
              <w:jc w:val="both"/>
              <w:rPr>
                <w:b/>
                <w:bCs/>
              </w:rPr>
            </w:pPr>
            <w:r>
              <w:rPr>
                <w:rFonts w:hint="eastAsia"/>
                <w:b/>
                <w:bCs/>
              </w:rPr>
              <w:t>Scenario 3 (negligible SOC)</w:t>
            </w:r>
          </w:p>
        </w:tc>
      </w:tr>
      <w:tr w:rsidR="00C90066" w14:paraId="0CEB6C72" w14:textId="77777777" w:rsidTr="00DA30D6">
        <w:trPr>
          <w:trHeight w:val="525"/>
        </w:trPr>
        <w:tc>
          <w:tcPr>
            <w:tcW w:w="832" w:type="dxa"/>
            <w:vMerge/>
          </w:tcPr>
          <w:p w14:paraId="58E551C6" w14:textId="77777777" w:rsidR="00C90066" w:rsidRDefault="00C90066" w:rsidP="00DA30D6">
            <w:pPr>
              <w:jc w:val="both"/>
            </w:pPr>
          </w:p>
        </w:tc>
        <w:tc>
          <w:tcPr>
            <w:tcW w:w="1542" w:type="dxa"/>
            <w:vMerge/>
          </w:tcPr>
          <w:p w14:paraId="707EFA2F" w14:textId="77777777" w:rsidR="00C90066" w:rsidRDefault="00C90066" w:rsidP="00DA30D6">
            <w:pPr>
              <w:spacing w:after="160" w:line="278" w:lineRule="auto"/>
              <w:jc w:val="both"/>
            </w:pPr>
          </w:p>
        </w:tc>
        <w:tc>
          <w:tcPr>
            <w:tcW w:w="1094" w:type="dxa"/>
          </w:tcPr>
          <w:p w14:paraId="5250D46F" w14:textId="77777777" w:rsidR="00C90066" w:rsidRDefault="00C90066" w:rsidP="00DA30D6">
            <w:pPr>
              <w:spacing w:after="160" w:line="278" w:lineRule="auto"/>
              <w:jc w:val="both"/>
            </w:pPr>
            <w:r w:rsidRPr="2EF2D92E">
              <w:rPr>
                <w:b/>
                <w:bCs/>
              </w:rPr>
              <w:t>D1: 2-side WS</w:t>
            </w:r>
            <w:r w:rsidRPr="2EF2D92E">
              <w:rPr>
                <w:b/>
                <w:bCs/>
                <w:vertAlign w:val="subscript"/>
              </w:rPr>
              <w:t xml:space="preserve">2 </w:t>
            </w:r>
          </w:p>
        </w:tc>
        <w:tc>
          <w:tcPr>
            <w:tcW w:w="1303" w:type="dxa"/>
          </w:tcPr>
          <w:p w14:paraId="01F28DCE" w14:textId="77777777" w:rsidR="00C90066" w:rsidRDefault="00C90066" w:rsidP="00DA30D6">
            <w:pPr>
              <w:spacing w:after="160" w:line="278" w:lineRule="auto"/>
              <w:jc w:val="both"/>
            </w:pPr>
            <w:r w:rsidRPr="2EF2D92E">
              <w:rPr>
                <w:b/>
                <w:bCs/>
              </w:rPr>
              <w:t>D2: 2-side WSe</w:t>
            </w:r>
            <w:r w:rsidRPr="2EF2D92E">
              <w:rPr>
                <w:b/>
                <w:bCs/>
                <w:vertAlign w:val="subscript"/>
              </w:rPr>
              <w:t>2</w:t>
            </w:r>
            <w:r w:rsidRPr="2EF2D92E">
              <w:rPr>
                <w:b/>
                <w:bCs/>
              </w:rPr>
              <w:t xml:space="preserve"> </w:t>
            </w:r>
          </w:p>
        </w:tc>
        <w:tc>
          <w:tcPr>
            <w:tcW w:w="1810" w:type="dxa"/>
          </w:tcPr>
          <w:p w14:paraId="5136C564" w14:textId="77777777" w:rsidR="00C90066" w:rsidRDefault="00C90066" w:rsidP="00DA30D6">
            <w:pPr>
              <w:spacing w:after="160" w:line="278" w:lineRule="auto"/>
              <w:jc w:val="both"/>
            </w:pPr>
            <w:r w:rsidRPr="2EF2D92E">
              <w:rPr>
                <w:b/>
                <w:bCs/>
              </w:rPr>
              <w:t xml:space="preserve">D3: top WSe2, </w:t>
            </w:r>
            <w:proofErr w:type="gramStart"/>
            <w:r w:rsidRPr="2EF2D92E">
              <w:rPr>
                <w:b/>
                <w:bCs/>
              </w:rPr>
              <w:t>close-side</w:t>
            </w:r>
            <w:proofErr w:type="gramEnd"/>
            <w:r w:rsidRPr="2EF2D92E">
              <w:rPr>
                <w:b/>
                <w:bCs/>
              </w:rPr>
              <w:t xml:space="preserve"> </w:t>
            </w:r>
          </w:p>
        </w:tc>
        <w:tc>
          <w:tcPr>
            <w:tcW w:w="1430" w:type="dxa"/>
          </w:tcPr>
          <w:p w14:paraId="3D3F77F4" w14:textId="77777777" w:rsidR="00C90066" w:rsidRDefault="00C90066" w:rsidP="00DA30D6">
            <w:pPr>
              <w:spacing w:after="160" w:line="278" w:lineRule="auto"/>
              <w:jc w:val="both"/>
            </w:pPr>
            <w:r w:rsidRPr="2EF2D92E">
              <w:rPr>
                <w:b/>
                <w:bCs/>
              </w:rPr>
              <w:t xml:space="preserve">D3: top WSe2, far-side </w:t>
            </w:r>
          </w:p>
        </w:tc>
        <w:tc>
          <w:tcPr>
            <w:tcW w:w="1339" w:type="dxa"/>
          </w:tcPr>
          <w:p w14:paraId="46E9A854" w14:textId="77777777" w:rsidR="00C90066" w:rsidRDefault="00C90066" w:rsidP="00DA30D6">
            <w:pPr>
              <w:spacing w:after="160" w:line="278" w:lineRule="auto"/>
              <w:jc w:val="both"/>
            </w:pPr>
            <w:r w:rsidRPr="2EF2D92E">
              <w:rPr>
                <w:b/>
                <w:bCs/>
              </w:rPr>
              <w:t>w/o TMD</w:t>
            </w:r>
            <w:r w:rsidRPr="2EF2D92E">
              <w:rPr>
                <w:b/>
                <w:bCs/>
                <w:vertAlign w:val="superscript"/>
              </w:rPr>
              <w:t>*</w:t>
            </w:r>
          </w:p>
        </w:tc>
      </w:tr>
      <w:tr w:rsidR="00C90066" w14:paraId="3528BB19" w14:textId="77777777" w:rsidTr="00DA30D6">
        <w:trPr>
          <w:trHeight w:val="420"/>
        </w:trPr>
        <w:tc>
          <w:tcPr>
            <w:tcW w:w="2374" w:type="dxa"/>
            <w:gridSpan w:val="2"/>
          </w:tcPr>
          <w:p w14:paraId="3EAC014B" w14:textId="77777777" w:rsidR="00C90066" w:rsidRDefault="00C90066" w:rsidP="00DA30D6">
            <w:pPr>
              <w:spacing w:after="160" w:line="278" w:lineRule="auto"/>
              <w:jc w:val="both"/>
            </w:pPr>
            <w:r w:rsidRPr="2EF2D92E">
              <w:rPr>
                <w:b/>
                <w:bCs/>
              </w:rPr>
              <w:t>SC1</w:t>
            </w:r>
          </w:p>
        </w:tc>
        <w:tc>
          <w:tcPr>
            <w:tcW w:w="1094" w:type="dxa"/>
          </w:tcPr>
          <w:p w14:paraId="67BA76B5" w14:textId="77777777" w:rsidR="00C90066" w:rsidRDefault="00C90066" w:rsidP="00DA30D6">
            <w:pPr>
              <w:spacing w:after="160" w:line="278" w:lineRule="auto"/>
              <w:jc w:val="both"/>
            </w:pPr>
            <w:r>
              <w:t>---</w:t>
            </w:r>
          </w:p>
        </w:tc>
        <w:tc>
          <w:tcPr>
            <w:tcW w:w="1303" w:type="dxa"/>
          </w:tcPr>
          <w:p w14:paraId="7768DD22" w14:textId="77777777" w:rsidR="00C90066" w:rsidRDefault="00C90066" w:rsidP="00DA30D6">
            <w:pPr>
              <w:spacing w:after="160" w:line="278" w:lineRule="auto"/>
              <w:jc w:val="both"/>
            </w:pPr>
            <w:r>
              <w:t>---</w:t>
            </w:r>
          </w:p>
        </w:tc>
        <w:tc>
          <w:tcPr>
            <w:tcW w:w="1810" w:type="dxa"/>
          </w:tcPr>
          <w:p w14:paraId="0CF86A53" w14:textId="77777777" w:rsidR="00C90066" w:rsidRDefault="00C90066" w:rsidP="00DA30D6">
            <w:pPr>
              <w:spacing w:after="160" w:line="278" w:lineRule="auto"/>
              <w:jc w:val="both"/>
            </w:pPr>
            <w:r>
              <w:t xml:space="preserve">57 </w:t>
            </w:r>
          </w:p>
        </w:tc>
        <w:tc>
          <w:tcPr>
            <w:tcW w:w="1430" w:type="dxa"/>
          </w:tcPr>
          <w:p w14:paraId="3113A721" w14:textId="77777777" w:rsidR="00C90066" w:rsidRDefault="00C90066" w:rsidP="00DA30D6">
            <w:pPr>
              <w:spacing w:after="160" w:line="278" w:lineRule="auto"/>
              <w:jc w:val="both"/>
            </w:pPr>
            <w:r>
              <w:t xml:space="preserve">65 </w:t>
            </w:r>
          </w:p>
        </w:tc>
        <w:tc>
          <w:tcPr>
            <w:tcW w:w="1339" w:type="dxa"/>
          </w:tcPr>
          <w:p w14:paraId="59FF6093" w14:textId="77777777" w:rsidR="00C90066" w:rsidRDefault="00C90066" w:rsidP="00DA30D6">
            <w:pPr>
              <w:spacing w:after="160" w:line="278" w:lineRule="auto"/>
              <w:jc w:val="both"/>
            </w:pPr>
            <w:r>
              <w:t xml:space="preserve">115 </w:t>
            </w:r>
          </w:p>
        </w:tc>
      </w:tr>
      <w:tr w:rsidR="00C90066" w14:paraId="52859D2A" w14:textId="77777777" w:rsidTr="00DA30D6">
        <w:trPr>
          <w:trHeight w:val="465"/>
        </w:trPr>
        <w:tc>
          <w:tcPr>
            <w:tcW w:w="2374" w:type="dxa"/>
            <w:gridSpan w:val="2"/>
          </w:tcPr>
          <w:p w14:paraId="769E83CC" w14:textId="77777777" w:rsidR="00C90066" w:rsidRDefault="00C90066" w:rsidP="00DA30D6">
            <w:pPr>
              <w:spacing w:after="160" w:line="278" w:lineRule="auto"/>
              <w:jc w:val="both"/>
            </w:pPr>
            <w:r w:rsidRPr="2EF2D92E">
              <w:rPr>
                <w:b/>
                <w:bCs/>
              </w:rPr>
              <w:t>SC3</w:t>
            </w:r>
          </w:p>
        </w:tc>
        <w:tc>
          <w:tcPr>
            <w:tcW w:w="1094" w:type="dxa"/>
          </w:tcPr>
          <w:p w14:paraId="3A332185" w14:textId="77777777" w:rsidR="00C90066" w:rsidRDefault="00C90066" w:rsidP="00DA30D6">
            <w:pPr>
              <w:spacing w:after="160" w:line="278" w:lineRule="auto"/>
              <w:jc w:val="both"/>
            </w:pPr>
            <w:r>
              <w:t xml:space="preserve">104 </w:t>
            </w:r>
          </w:p>
        </w:tc>
        <w:tc>
          <w:tcPr>
            <w:tcW w:w="1303" w:type="dxa"/>
          </w:tcPr>
          <w:p w14:paraId="5699C142" w14:textId="77777777" w:rsidR="00C90066" w:rsidRDefault="00C90066" w:rsidP="00DA30D6">
            <w:pPr>
              <w:spacing w:after="160" w:line="278" w:lineRule="auto"/>
              <w:jc w:val="both"/>
            </w:pPr>
            <w:r>
              <w:t xml:space="preserve">96 </w:t>
            </w:r>
          </w:p>
        </w:tc>
        <w:tc>
          <w:tcPr>
            <w:tcW w:w="1810" w:type="dxa"/>
          </w:tcPr>
          <w:p w14:paraId="6397E7ED" w14:textId="77777777" w:rsidR="00C90066" w:rsidRDefault="00C90066" w:rsidP="00DA30D6">
            <w:pPr>
              <w:spacing w:after="160" w:line="278" w:lineRule="auto"/>
              <w:jc w:val="both"/>
            </w:pPr>
            <w:r>
              <w:t xml:space="preserve">84 </w:t>
            </w:r>
          </w:p>
        </w:tc>
        <w:tc>
          <w:tcPr>
            <w:tcW w:w="1430" w:type="dxa"/>
          </w:tcPr>
          <w:p w14:paraId="55A95EF7" w14:textId="77777777" w:rsidR="00C90066" w:rsidRDefault="00C90066" w:rsidP="00DA30D6">
            <w:pPr>
              <w:spacing w:after="160" w:line="278" w:lineRule="auto"/>
              <w:jc w:val="both"/>
            </w:pPr>
            <w:r>
              <w:t xml:space="preserve">~ 20 </w:t>
            </w:r>
          </w:p>
        </w:tc>
        <w:tc>
          <w:tcPr>
            <w:tcW w:w="1339" w:type="dxa"/>
          </w:tcPr>
          <w:p w14:paraId="5DAD0AD6" w14:textId="77777777" w:rsidR="00C90066" w:rsidRDefault="00C90066" w:rsidP="00DA30D6">
            <w:pPr>
              <w:spacing w:after="160" w:line="278" w:lineRule="auto"/>
              <w:jc w:val="both"/>
            </w:pPr>
            <w:r>
              <w:t xml:space="preserve">33 </w:t>
            </w:r>
          </w:p>
        </w:tc>
      </w:tr>
      <w:tr w:rsidR="00C90066" w14:paraId="00731D02" w14:textId="77777777" w:rsidTr="00DA30D6">
        <w:trPr>
          <w:trHeight w:val="450"/>
        </w:trPr>
        <w:tc>
          <w:tcPr>
            <w:tcW w:w="2374" w:type="dxa"/>
            <w:gridSpan w:val="2"/>
          </w:tcPr>
          <w:p w14:paraId="6AEB43E6" w14:textId="77777777" w:rsidR="00C90066" w:rsidRDefault="00C90066" w:rsidP="00DA30D6">
            <w:pPr>
              <w:spacing w:after="160" w:line="278" w:lineRule="auto"/>
              <w:jc w:val="both"/>
            </w:pPr>
            <w:r w:rsidRPr="2EF2D92E">
              <w:rPr>
                <w:b/>
                <w:bCs/>
              </w:rPr>
              <w:t>SC4</w:t>
            </w:r>
          </w:p>
        </w:tc>
        <w:tc>
          <w:tcPr>
            <w:tcW w:w="1094" w:type="dxa"/>
          </w:tcPr>
          <w:p w14:paraId="5E98C11E" w14:textId="77777777" w:rsidR="00C90066" w:rsidRDefault="00C90066" w:rsidP="00DA30D6">
            <w:pPr>
              <w:spacing w:after="160" w:line="278" w:lineRule="auto"/>
              <w:jc w:val="both"/>
            </w:pPr>
            <w:r>
              <w:t xml:space="preserve">186 </w:t>
            </w:r>
          </w:p>
        </w:tc>
        <w:tc>
          <w:tcPr>
            <w:tcW w:w="1303" w:type="dxa"/>
          </w:tcPr>
          <w:p w14:paraId="253591C3" w14:textId="77777777" w:rsidR="00C90066" w:rsidRDefault="00C90066" w:rsidP="00DA30D6">
            <w:pPr>
              <w:spacing w:after="160" w:line="278" w:lineRule="auto"/>
              <w:jc w:val="both"/>
            </w:pPr>
            <w:r>
              <w:t xml:space="preserve">234 </w:t>
            </w:r>
          </w:p>
        </w:tc>
        <w:tc>
          <w:tcPr>
            <w:tcW w:w="1810" w:type="dxa"/>
          </w:tcPr>
          <w:p w14:paraId="1325B4F8" w14:textId="77777777" w:rsidR="00C90066" w:rsidRDefault="00C90066" w:rsidP="00DA30D6">
            <w:pPr>
              <w:spacing w:after="160" w:line="278" w:lineRule="auto"/>
              <w:jc w:val="both"/>
            </w:pPr>
            <w:r>
              <w:t xml:space="preserve">~ 30 </w:t>
            </w:r>
          </w:p>
        </w:tc>
        <w:tc>
          <w:tcPr>
            <w:tcW w:w="1430" w:type="dxa"/>
          </w:tcPr>
          <w:p w14:paraId="289C3A61" w14:textId="77777777" w:rsidR="00C90066" w:rsidRDefault="00C90066" w:rsidP="00DA30D6">
            <w:pPr>
              <w:spacing w:after="160" w:line="278" w:lineRule="auto"/>
              <w:jc w:val="both"/>
            </w:pPr>
            <w:r>
              <w:t>---</w:t>
            </w:r>
          </w:p>
        </w:tc>
        <w:tc>
          <w:tcPr>
            <w:tcW w:w="1339" w:type="dxa"/>
          </w:tcPr>
          <w:p w14:paraId="0C785C21" w14:textId="77777777" w:rsidR="00C90066" w:rsidRDefault="00C90066" w:rsidP="00DA30D6">
            <w:pPr>
              <w:spacing w:after="160" w:line="278" w:lineRule="auto"/>
              <w:jc w:val="both"/>
            </w:pPr>
            <w:r>
              <w:t>---</w:t>
            </w:r>
          </w:p>
        </w:tc>
      </w:tr>
    </w:tbl>
    <w:p w14:paraId="5B2C7FFC" w14:textId="77777777" w:rsidR="00C90066" w:rsidRDefault="00C90066" w:rsidP="00C90066">
      <w:pPr>
        <w:jc w:val="both"/>
      </w:pPr>
    </w:p>
    <w:p w14:paraId="48488764" w14:textId="5849E321" w:rsidR="00C90066" w:rsidRPr="00C90066" w:rsidRDefault="00C90066" w:rsidP="00D03CE3">
      <w:pPr>
        <w:jc w:val="both"/>
      </w:pPr>
      <w:r w:rsidRPr="009A424A">
        <w:rPr>
          <w:b/>
          <w:bCs/>
          <w:i/>
          <w:iCs/>
        </w:rPr>
        <w:t xml:space="preserve">Table.1 Summary of </w:t>
      </w:r>
      <w:r w:rsidRPr="75AA1910">
        <w:rPr>
          <w:b/>
          <w:bCs/>
          <w:i/>
          <w:iCs/>
        </w:rPr>
        <w:t>T</w:t>
      </w:r>
      <w:r w:rsidRPr="75AA1910">
        <w:rPr>
          <w:b/>
          <w:bCs/>
          <w:i/>
          <w:iCs/>
          <w:vertAlign w:val="subscript"/>
        </w:rPr>
        <w:t>c</w:t>
      </w:r>
      <w:r w:rsidRPr="009A424A">
        <w:rPr>
          <w:b/>
          <w:bCs/>
          <w:i/>
          <w:iCs/>
        </w:rPr>
        <w:t xml:space="preserve"> </w:t>
      </w:r>
      <w:r w:rsidRPr="75AA1910">
        <w:rPr>
          <w:b/>
          <w:bCs/>
          <w:i/>
          <w:iCs/>
        </w:rPr>
        <w:t>(</w:t>
      </w:r>
      <w:proofErr w:type="spellStart"/>
      <w:r w:rsidRPr="75AA1910">
        <w:rPr>
          <w:b/>
          <w:bCs/>
          <w:i/>
          <w:iCs/>
        </w:rPr>
        <w:t>mK</w:t>
      </w:r>
      <w:proofErr w:type="spellEnd"/>
      <w:r w:rsidRPr="75AA1910">
        <w:rPr>
          <w:b/>
          <w:bCs/>
          <w:i/>
          <w:iCs/>
        </w:rPr>
        <w:t>) in different configurations. </w:t>
      </w:r>
      <w:r w:rsidRPr="75AA1910">
        <w:rPr>
          <w:i/>
          <w:iCs/>
        </w:rPr>
        <w:t>We define T</w:t>
      </w:r>
      <w:r w:rsidRPr="75AA1910">
        <w:rPr>
          <w:i/>
          <w:iCs/>
          <w:vertAlign w:val="subscript"/>
        </w:rPr>
        <w:t>c</w:t>
      </w:r>
      <w:r w:rsidRPr="009A424A">
        <w:rPr>
          <w:i/>
          <w:iCs/>
        </w:rPr>
        <w:t xml:space="preserve"> as the temperature at where </w:t>
      </w:r>
      <w:r w:rsidRPr="75AA1910">
        <w:rPr>
          <w:i/>
          <w:iCs/>
        </w:rPr>
        <w:t>R</w:t>
      </w:r>
      <w:r w:rsidRPr="75AA1910">
        <w:rPr>
          <w:i/>
          <w:iCs/>
          <w:vertAlign w:val="subscript"/>
        </w:rPr>
        <w:t>xx</w:t>
      </w:r>
      <w:r w:rsidRPr="75AA1910">
        <w:rPr>
          <w:i/>
          <w:iCs/>
        </w:rPr>
        <w:t xml:space="preserve"> falls below 50% of the normal state resistance. Those T</w:t>
      </w:r>
      <w:r w:rsidRPr="75AA1910">
        <w:rPr>
          <w:i/>
          <w:iCs/>
          <w:vertAlign w:val="subscript"/>
        </w:rPr>
        <w:t>c</w:t>
      </w:r>
      <w:r w:rsidRPr="75AA1910">
        <w:rPr>
          <w:i/>
          <w:iCs/>
        </w:rPr>
        <w:t xml:space="preserve"> marked with a wavy line are based on a rough estimation, due to the corresponding superconducting states not fully developed even at the base temperature of our experiment. Dash lines correspond to the absence of superconductivity. Data for the SC1 and SC3 in RTG without TMD (marked with *) are adapted from </w:t>
      </w:r>
      <w:r>
        <w:rPr>
          <w:rFonts w:hint="eastAsia"/>
          <w:i/>
          <w:iCs/>
        </w:rPr>
        <w:t>literatures</w:t>
      </w:r>
      <w:r>
        <w:fldChar w:fldCharType="begin"/>
      </w:r>
      <w:r w:rsidR="00BF4618">
        <w:instrText xml:space="preserve"> ADDIN ZOTERO_ITEM CSL_CITATION {"citationID":"zBok5YLX","properties":{"formattedCitation":"\\super 5,17\\nosupersub{}","plainCitation":"5,17","noteIndex":0},"citationItems":[{"id":3770,"uris":["http://zotero.org/users/5406744/items/527RMQ9V"],"itemData":{"id":3770,"type":"article-journal","abstract":"To access superconductivity via the electric field effect in a clean, two-dimensional device is a central goal of nanoelectronics. Recently, superconductivity has been realized in graphene moiré heterostructures1–4; however, many of these structures are not mechanically stable, and experiments show signatures of strong disorder. Here we report the observation of superconductivity—manifesting as low or vanishing resistivity at sub-kelvin temperatures—in crystalline rhombohedral trilayer graphene5,6, a structurally metastable carbon allotrope. Superconductivity occurs in two distinct gate-tuned regions (SC1 and SC2), and is deep in the clean limit defined by the ratio of mean free path and superconducting coherence length. Mapping of the normal state Fermi surfaces by quantum oscillations reveals that both superconductors emerge from an annular Fermi sea, and are proximal to an isospin-symmetry-breaking transition where the Fermi surface degeneracy changes7. SC1 emerges from a paramagnetic normal state, whereas SC2 emerges from a spin-polarized, valley-unpolarized half-metal17 and violates the Pauli limit for in-plane magnetic fields by at least one order of magnitude8,9. We discuss our results in view of several mechanisms, including conventional phonon-mediated pairing10,11, pairing due to fluctuations of the proximal isospin order12, and intrinsic instabilities of the annular Fermi liquid13,14. Our observation of superconductivity in a clean and structurally simple two-dimensional metal provides a model system to test competing theoretical models of superconductivity without the complication of modelling disorder, while enabling new classes of field-effect controlled electronic devices based on correlated electron phenomena and ballistic electron transport.","container-title":"Nature","DOI":"10.1038/s41586-021-03926-0","ISSN":"1476-4687","issue":"7881","language":"en","license":"2021 The Author(s), under exclusive licence to Springer Nature Limited","note":"number: 7881\npublisher: Nature Publishing Group","page":"434-438","source":"www.nature.com","title":"Superconductivity in rhombohedral trilayer graphene","volume":"598","author":[{"family":"Zhou","given":"Haoxin"},{"family":"Xie","given":"Tian"},{"family":"Taniguchi","given":"Takashi"},{"family":"Watanabe","given":"Kenji"},{"family":"Young","given":"Andrea F."}],"issued":{"date-parts":[["2021",10]]}}},{"id":3774,"uris":["http://zotero.org/users/5406744/items/P2QD7P89"],"itemData":{"id":3774,"type":"thesis","abstract":"This work studies the Van Hove singularity induced novel electronic phenomena in rhombohedral trilayer graphene, including magnetism and superconductivity. Rhombohedral trilayer graphene is a two dimensional crystal where three layers of carbon honeycomb lattice are stacked to form a rhombohedral lattice in its three dimensional extension. The energy band structure of rhombohedral trilayer graphene features van Hove singularities, saddle points in the energy band structure where the density of states diverges. A perpendicular electrical field can be applied to induce interlayer potential and to open up an energy gap at the charge neutrality point. The gap opening modulates the density of states profile, making the divergence at the van Hove singularity robust against fluctuations from finite temperature and disorder effects. Like many other systems, the diverged density of states induces Fermi surface instability. On the one hand, it drives spontaneous ferromagnetic polarization of the electron system into one or more spin- and valley flavors. On the other hand, it allows the bounded states where electrons couple into pairs to have significant lower energy than the normal ground states, leading to superconductivity observable at the experimentally reached temperature. In this work, we fabricated dual graphite-gated rhombohedral trilayer graphene van der Waals heterostructures that allow cryogenic electrical transport measurement and penetration field capacitance measurements and systematically studied the gate voltage modulated magnetic phase transitions and superconductivity. A rigid band model is built that well captures the spin- and valley- phases. For superconductivity, we provided several possible explanations. In addition to gate voltages, we also induced a moiré potential to the system by aligning the lattice of the rhombohedral trilayer graphene with the dielectric material hexagonal boron nitride. We found that while the moiré potential only affect the electronic phase diagram on a perturbative level, several novel phenomena including the breaking of lattice symmetry is induced.","language":"en","publisher":"UC Santa Barbara","source":"escholarship.org","title":"Ferromagnetism and Superconductivity in Rhombohedral Trilayer Graphene","URL":"https://escholarship.org/uc/item/4k36g8qk","author":[{"family":"Zhou","given":"Haoxin"}],"accessed":{"date-parts":[["2023",7,23]]},"issued":{"date-parts":[["2021"]]}}}],"schema":"https://github.com/citation-style-language/schema/raw/master/csl-citation.json"} </w:instrText>
      </w:r>
      <w:r>
        <w:fldChar w:fldCharType="separate"/>
      </w:r>
      <w:r w:rsidR="00BF4618" w:rsidRPr="00BF4618">
        <w:rPr>
          <w:rFonts w:ascii="Calibri" w:hAnsi="Calibri" w:cs="Calibri"/>
          <w:kern w:val="0"/>
          <w:vertAlign w:val="superscript"/>
        </w:rPr>
        <w:t>5,17</w:t>
      </w:r>
      <w:r>
        <w:fldChar w:fldCharType="end"/>
      </w:r>
      <w:r w:rsidRPr="75AA1910">
        <w:rPr>
          <w:i/>
          <w:iCs/>
        </w:rPr>
        <w:t>.</w:t>
      </w:r>
    </w:p>
    <w:p w14:paraId="4677D18E" w14:textId="0669EC34" w:rsidR="009C55F4" w:rsidRDefault="39626A4F" w:rsidP="4D372101">
      <w:pPr>
        <w:jc w:val="both"/>
        <w:rPr>
          <w:b/>
          <w:bCs/>
          <w:sz w:val="32"/>
          <w:szCs w:val="32"/>
        </w:rPr>
      </w:pPr>
      <w:r w:rsidRPr="39626A4F">
        <w:rPr>
          <w:b/>
          <w:bCs/>
          <w:sz w:val="32"/>
          <w:szCs w:val="32"/>
        </w:rPr>
        <w:t>Reference</w:t>
      </w:r>
    </w:p>
    <w:p w14:paraId="50E391A1" w14:textId="77777777" w:rsidR="004F3F63" w:rsidRDefault="009C55F4" w:rsidP="004F3F63">
      <w:pPr>
        <w:pStyle w:val="Bibliography"/>
      </w:pPr>
      <w:r>
        <w:fldChar w:fldCharType="begin"/>
      </w:r>
      <w:r w:rsidR="004F1BB8">
        <w:instrText xml:space="preserve"> ADDIN ZOTERO_BIBL {"uncited":[],"omitted":[],"custom":[]} CSL_BIBLIOGRAPHY </w:instrText>
      </w:r>
      <w:r>
        <w:fldChar w:fldCharType="separate"/>
      </w:r>
      <w:r w:rsidR="004F3F63">
        <w:t>1.</w:t>
      </w:r>
      <w:r w:rsidR="004F3F63">
        <w:tab/>
        <w:t xml:space="preserve">Han, T. </w:t>
      </w:r>
      <w:r w:rsidR="004F3F63">
        <w:rPr>
          <w:i/>
          <w:iCs/>
        </w:rPr>
        <w:t>et al.</w:t>
      </w:r>
      <w:r w:rsidR="004F3F63">
        <w:t xml:space="preserve"> Large quantum anomalous Hall effect in spin-orbit proximitized rhombohedral graphene. </w:t>
      </w:r>
      <w:r w:rsidR="004F3F63">
        <w:rPr>
          <w:i/>
          <w:iCs/>
        </w:rPr>
        <w:t>Science</w:t>
      </w:r>
      <w:r w:rsidR="004F3F63">
        <w:t xml:space="preserve"> (2024) doi:10.1126/science.adk9749.</w:t>
      </w:r>
    </w:p>
    <w:p w14:paraId="45569CEA" w14:textId="77777777" w:rsidR="004F3F63" w:rsidRDefault="004F3F63" w:rsidP="004F3F63">
      <w:pPr>
        <w:pStyle w:val="Bibliography"/>
      </w:pPr>
      <w:r>
        <w:t>2.</w:t>
      </w:r>
      <w:r>
        <w:tab/>
        <w:t xml:space="preserve">Lu, Z. </w:t>
      </w:r>
      <w:r>
        <w:rPr>
          <w:i/>
          <w:iCs/>
        </w:rPr>
        <w:t>et al.</w:t>
      </w:r>
      <w:r>
        <w:t xml:space="preserve"> Fractional quantum anomalous Hall effect in multilayer graphene. </w:t>
      </w:r>
      <w:r>
        <w:rPr>
          <w:i/>
          <w:iCs/>
        </w:rPr>
        <w:t>Nature</w:t>
      </w:r>
      <w:r>
        <w:t xml:space="preserve"> </w:t>
      </w:r>
      <w:r>
        <w:rPr>
          <w:b/>
          <w:bCs/>
        </w:rPr>
        <w:t>626</w:t>
      </w:r>
      <w:r>
        <w:t>, 759–764 (2024).</w:t>
      </w:r>
    </w:p>
    <w:p w14:paraId="26CE852A" w14:textId="77777777" w:rsidR="004F3F63" w:rsidRDefault="004F3F63" w:rsidP="004F3F63">
      <w:pPr>
        <w:pStyle w:val="Bibliography"/>
      </w:pPr>
      <w:r>
        <w:t>3.</w:t>
      </w:r>
      <w:r>
        <w:tab/>
        <w:t xml:space="preserve">Chen, G. </w:t>
      </w:r>
      <w:r>
        <w:rPr>
          <w:i/>
          <w:iCs/>
        </w:rPr>
        <w:t>et al.</w:t>
      </w:r>
      <w:r>
        <w:t xml:space="preserve"> Evidence of a gate-tunable Mott insulator in a trilayer graphene moiré superlattice. </w:t>
      </w:r>
      <w:r>
        <w:rPr>
          <w:i/>
          <w:iCs/>
        </w:rPr>
        <w:t>Nat. Phys.</w:t>
      </w:r>
      <w:r>
        <w:t xml:space="preserve"> </w:t>
      </w:r>
      <w:r>
        <w:rPr>
          <w:b/>
          <w:bCs/>
        </w:rPr>
        <w:t>15</w:t>
      </w:r>
      <w:r>
        <w:t>, 237–241 (2019).</w:t>
      </w:r>
    </w:p>
    <w:p w14:paraId="5BD77306" w14:textId="77777777" w:rsidR="004F3F63" w:rsidRDefault="004F3F63" w:rsidP="004F3F63">
      <w:pPr>
        <w:pStyle w:val="Bibliography"/>
      </w:pPr>
      <w:r>
        <w:lastRenderedPageBreak/>
        <w:t>4.</w:t>
      </w:r>
      <w:r>
        <w:tab/>
        <w:t xml:space="preserve">Zhou, H. </w:t>
      </w:r>
      <w:r>
        <w:rPr>
          <w:i/>
          <w:iCs/>
        </w:rPr>
        <w:t>et al.</w:t>
      </w:r>
      <w:r>
        <w:t xml:space="preserve"> Half- and quarter-metals in rhombohedral trilayer graphene. </w:t>
      </w:r>
      <w:r>
        <w:rPr>
          <w:i/>
          <w:iCs/>
        </w:rPr>
        <w:t>Nature</w:t>
      </w:r>
      <w:r>
        <w:t xml:space="preserve"> </w:t>
      </w:r>
      <w:r>
        <w:rPr>
          <w:b/>
          <w:bCs/>
        </w:rPr>
        <w:t>598</w:t>
      </w:r>
      <w:r>
        <w:t>, 429–433 (2021).</w:t>
      </w:r>
    </w:p>
    <w:p w14:paraId="7364940E" w14:textId="77777777" w:rsidR="004F3F63" w:rsidRDefault="004F3F63" w:rsidP="004F3F63">
      <w:pPr>
        <w:pStyle w:val="Bibliography"/>
      </w:pPr>
      <w:r>
        <w:t>5.</w:t>
      </w:r>
      <w:r>
        <w:tab/>
        <w:t xml:space="preserve">Zhou, H., Xie, T., Taniguchi, T., Watanabe, K. &amp; Young, A. F. Superconductivity in rhombohedral trilayer graphene. </w:t>
      </w:r>
      <w:r>
        <w:rPr>
          <w:i/>
          <w:iCs/>
        </w:rPr>
        <w:t>Nature</w:t>
      </w:r>
      <w:r>
        <w:t xml:space="preserve"> </w:t>
      </w:r>
      <w:r>
        <w:rPr>
          <w:b/>
          <w:bCs/>
        </w:rPr>
        <w:t>598</w:t>
      </w:r>
      <w:r>
        <w:t>, 434–438 (2021).</w:t>
      </w:r>
    </w:p>
    <w:p w14:paraId="7490C5FC" w14:textId="77777777" w:rsidR="004F3F63" w:rsidRDefault="004F3F63" w:rsidP="004F3F63">
      <w:pPr>
        <w:pStyle w:val="Bibliography"/>
      </w:pPr>
      <w:r>
        <w:t>6.</w:t>
      </w:r>
      <w:r>
        <w:tab/>
        <w:t xml:space="preserve">Yang, J. </w:t>
      </w:r>
      <w:r>
        <w:rPr>
          <w:i/>
          <w:iCs/>
        </w:rPr>
        <w:t>et al.</w:t>
      </w:r>
      <w:r>
        <w:t xml:space="preserve"> Spectroscopy signatures of electron correlations in a trilayer graphene/hBN moiré superlattice. </w:t>
      </w:r>
      <w:r>
        <w:rPr>
          <w:i/>
          <w:iCs/>
        </w:rPr>
        <w:t>Science</w:t>
      </w:r>
      <w:r>
        <w:t xml:space="preserve"> </w:t>
      </w:r>
      <w:r>
        <w:rPr>
          <w:b/>
          <w:bCs/>
        </w:rPr>
        <w:t>375</w:t>
      </w:r>
      <w:r>
        <w:t>, 1295–1299 (2022).</w:t>
      </w:r>
    </w:p>
    <w:p w14:paraId="710839C6" w14:textId="77777777" w:rsidR="004F3F63" w:rsidRDefault="004F3F63" w:rsidP="004F3F63">
      <w:pPr>
        <w:pStyle w:val="Bibliography"/>
      </w:pPr>
      <w:r>
        <w:t>7.</w:t>
      </w:r>
      <w:r>
        <w:tab/>
        <w:t xml:space="preserve">Han, T. </w:t>
      </w:r>
      <w:r>
        <w:rPr>
          <w:i/>
          <w:iCs/>
        </w:rPr>
        <w:t>et al.</w:t>
      </w:r>
      <w:r>
        <w:t xml:space="preserve"> Correlated insulator and Chern insulators in pentalayer rhombohedral-stacked graphene. </w:t>
      </w:r>
      <w:r>
        <w:rPr>
          <w:i/>
          <w:iCs/>
        </w:rPr>
        <w:t>Nat. Nanotechnol.</w:t>
      </w:r>
      <w:r>
        <w:t xml:space="preserve"> </w:t>
      </w:r>
      <w:r>
        <w:rPr>
          <w:b/>
          <w:bCs/>
        </w:rPr>
        <w:t>19</w:t>
      </w:r>
      <w:r>
        <w:t>, 181–187 (2024).</w:t>
      </w:r>
    </w:p>
    <w:p w14:paraId="639D4A0D" w14:textId="77777777" w:rsidR="004F3F63" w:rsidRDefault="004F3F63" w:rsidP="004F3F63">
      <w:pPr>
        <w:pStyle w:val="Bibliography"/>
      </w:pPr>
      <w:r>
        <w:t>8.</w:t>
      </w:r>
      <w:r>
        <w:tab/>
        <w:t xml:space="preserve">Han, T. </w:t>
      </w:r>
      <w:r>
        <w:rPr>
          <w:i/>
          <w:iCs/>
        </w:rPr>
        <w:t>et al.</w:t>
      </w:r>
      <w:r>
        <w:t xml:space="preserve"> Orbital multiferroicity in pentalayer rhombohedral graphene. </w:t>
      </w:r>
      <w:r>
        <w:rPr>
          <w:i/>
          <w:iCs/>
        </w:rPr>
        <w:t>Nature</w:t>
      </w:r>
      <w:r>
        <w:t xml:space="preserve"> </w:t>
      </w:r>
      <w:r>
        <w:rPr>
          <w:b/>
          <w:bCs/>
        </w:rPr>
        <w:t>623</w:t>
      </w:r>
      <w:r>
        <w:t>, 41–47 (2023).</w:t>
      </w:r>
    </w:p>
    <w:p w14:paraId="242ECEEF" w14:textId="77777777" w:rsidR="004F3F63" w:rsidRDefault="004F3F63" w:rsidP="004F3F63">
      <w:pPr>
        <w:pStyle w:val="Bibliography"/>
      </w:pPr>
      <w:r>
        <w:t>9.</w:t>
      </w:r>
      <w:r>
        <w:tab/>
        <w:t xml:space="preserve">Liu, K. </w:t>
      </w:r>
      <w:r>
        <w:rPr>
          <w:i/>
          <w:iCs/>
        </w:rPr>
        <w:t>et al.</w:t>
      </w:r>
      <w:r>
        <w:t xml:space="preserve"> Spontaneous broken-symmetry insulator and metals in tetralayer rhombohedral graphene. </w:t>
      </w:r>
      <w:r>
        <w:rPr>
          <w:i/>
          <w:iCs/>
        </w:rPr>
        <w:t>Nat. Nanotechnol.</w:t>
      </w:r>
      <w:r>
        <w:t xml:space="preserve"> </w:t>
      </w:r>
      <w:r>
        <w:rPr>
          <w:b/>
          <w:bCs/>
        </w:rPr>
        <w:t>19</w:t>
      </w:r>
      <w:r>
        <w:t>, 188–195 (2024).</w:t>
      </w:r>
    </w:p>
    <w:p w14:paraId="32C5641E" w14:textId="77777777" w:rsidR="004F3F63" w:rsidRDefault="004F3F63" w:rsidP="004F3F63">
      <w:pPr>
        <w:pStyle w:val="Bibliography"/>
      </w:pPr>
      <w:r>
        <w:t>10.</w:t>
      </w:r>
      <w:r>
        <w:tab/>
        <w:t xml:space="preserve">Winterer, F. </w:t>
      </w:r>
      <w:r>
        <w:rPr>
          <w:i/>
          <w:iCs/>
        </w:rPr>
        <w:t>et al.</w:t>
      </w:r>
      <w:r>
        <w:t xml:space="preserve"> Ferroelectric and spontaneous quantum Hall states in intrinsic rhombohedral trilayer graphene. </w:t>
      </w:r>
      <w:r>
        <w:rPr>
          <w:i/>
          <w:iCs/>
        </w:rPr>
        <w:t>Nat. Phys.</w:t>
      </w:r>
      <w:r>
        <w:t xml:space="preserve"> </w:t>
      </w:r>
      <w:r>
        <w:rPr>
          <w:b/>
          <w:bCs/>
        </w:rPr>
        <w:t>20</w:t>
      </w:r>
      <w:r>
        <w:t>, 422–427 (2024).</w:t>
      </w:r>
    </w:p>
    <w:p w14:paraId="599E9CB4" w14:textId="77777777" w:rsidR="004F3F63" w:rsidRDefault="004F3F63" w:rsidP="004F3F63">
      <w:pPr>
        <w:pStyle w:val="Bibliography"/>
      </w:pPr>
      <w:r>
        <w:t>11.</w:t>
      </w:r>
      <w:r>
        <w:tab/>
        <w:t xml:space="preserve">Arp, T. </w:t>
      </w:r>
      <w:r>
        <w:rPr>
          <w:i/>
          <w:iCs/>
        </w:rPr>
        <w:t>et al.</w:t>
      </w:r>
      <w:r>
        <w:t xml:space="preserve"> Intervalley coherence and intrinsic spin–orbit coupling in rhombohedral trilayer graphene. </w:t>
      </w:r>
      <w:r>
        <w:rPr>
          <w:i/>
          <w:iCs/>
        </w:rPr>
        <w:t>Nat. Phys.</w:t>
      </w:r>
      <w:r>
        <w:t xml:space="preserve"> 1–8 (2024) doi:10.1038/s41567-024-02560-7.</w:t>
      </w:r>
    </w:p>
    <w:p w14:paraId="34EE7C02" w14:textId="77777777" w:rsidR="004F3F63" w:rsidRDefault="004F3F63" w:rsidP="004F3F63">
      <w:pPr>
        <w:pStyle w:val="Bibliography"/>
      </w:pPr>
      <w:r>
        <w:t>12.</w:t>
      </w:r>
      <w:r>
        <w:tab/>
        <w:t xml:space="preserve">Zhang, F., Sahu, B., Min, H. &amp; MacDonald, A. H. Band Structure of ABC-Stacked Graphene Trilayers. </w:t>
      </w:r>
      <w:r>
        <w:rPr>
          <w:i/>
          <w:iCs/>
        </w:rPr>
        <w:t>Phys. Rev. B</w:t>
      </w:r>
      <w:r>
        <w:t xml:space="preserve"> </w:t>
      </w:r>
      <w:r>
        <w:rPr>
          <w:b/>
          <w:bCs/>
        </w:rPr>
        <w:t>82</w:t>
      </w:r>
      <w:r>
        <w:t>, 035409 (2010).</w:t>
      </w:r>
    </w:p>
    <w:p w14:paraId="3C1831AB" w14:textId="77777777" w:rsidR="004F3F63" w:rsidRDefault="004F3F63" w:rsidP="004F3F63">
      <w:pPr>
        <w:pStyle w:val="Bibliography"/>
      </w:pPr>
      <w:r>
        <w:t>13.</w:t>
      </w:r>
      <w:r>
        <w:tab/>
        <w:t xml:space="preserve">Jung, J., Zhang, F. &amp; MacDonald, A. H. Lattice theory of pseudospin ferromagnetism in bilayer graphene: Competing interaction-induced quantum Hall states. </w:t>
      </w:r>
      <w:r>
        <w:rPr>
          <w:i/>
          <w:iCs/>
        </w:rPr>
        <w:t>Phys. Rev. B</w:t>
      </w:r>
      <w:r>
        <w:t xml:space="preserve"> </w:t>
      </w:r>
      <w:r>
        <w:rPr>
          <w:b/>
          <w:bCs/>
        </w:rPr>
        <w:t>83</w:t>
      </w:r>
      <w:r>
        <w:t>, 115408 (2011).</w:t>
      </w:r>
    </w:p>
    <w:p w14:paraId="073637E7" w14:textId="77777777" w:rsidR="004F3F63" w:rsidRDefault="004F3F63" w:rsidP="004F3F63">
      <w:pPr>
        <w:pStyle w:val="Bibliography"/>
      </w:pPr>
      <w:r>
        <w:lastRenderedPageBreak/>
        <w:t>14.</w:t>
      </w:r>
      <w:r>
        <w:tab/>
        <w:t>Reddy, A. P., Paul, N., Abouelkomsan, A. &amp; Fu, L. Non-Abelian fractionalization in topological minibands. Preprint at https://doi.org/10.48550/arXiv.2403.00059 (2024).</w:t>
      </w:r>
    </w:p>
    <w:p w14:paraId="460B5709" w14:textId="77777777" w:rsidR="004F3F63" w:rsidRDefault="004F3F63" w:rsidP="004F3F63">
      <w:pPr>
        <w:pStyle w:val="Bibliography"/>
      </w:pPr>
      <w:r>
        <w:t>15.</w:t>
      </w:r>
      <w:r>
        <w:tab/>
        <w:t xml:space="preserve">Ju, L., MacDonald, A. H., Mak, K. F., Shan, J. &amp; Xu, X. The fractional quantum anomalous Hall effect. </w:t>
      </w:r>
      <w:r>
        <w:rPr>
          <w:i/>
          <w:iCs/>
        </w:rPr>
        <w:t>Nat. Rev. Mater.</w:t>
      </w:r>
      <w:r>
        <w:t xml:space="preserve"> </w:t>
      </w:r>
      <w:r>
        <w:rPr>
          <w:b/>
          <w:bCs/>
        </w:rPr>
        <w:t>9</w:t>
      </w:r>
      <w:r>
        <w:t>, 455–459 (2024).</w:t>
      </w:r>
    </w:p>
    <w:p w14:paraId="3C16BE00" w14:textId="77777777" w:rsidR="004F3F63" w:rsidRDefault="004F3F63" w:rsidP="004F3F63">
      <w:pPr>
        <w:pStyle w:val="Bibliography"/>
      </w:pPr>
      <w:r>
        <w:t>16.</w:t>
      </w:r>
      <w:r>
        <w:tab/>
        <w:t xml:space="preserve">Zhou, H. </w:t>
      </w:r>
      <w:r>
        <w:rPr>
          <w:i/>
          <w:iCs/>
        </w:rPr>
        <w:t>et al.</w:t>
      </w:r>
      <w:r>
        <w:t xml:space="preserve"> Isospin magnetism and spin-polarized superconductivity in Bernal bilayer graphene. </w:t>
      </w:r>
      <w:r>
        <w:rPr>
          <w:i/>
          <w:iCs/>
        </w:rPr>
        <w:t>Science</w:t>
      </w:r>
      <w:r>
        <w:t xml:space="preserve"> </w:t>
      </w:r>
      <w:r>
        <w:rPr>
          <w:b/>
          <w:bCs/>
        </w:rPr>
        <w:t>375</w:t>
      </w:r>
      <w:r>
        <w:t>, 774–778 (2022).</w:t>
      </w:r>
    </w:p>
    <w:p w14:paraId="4F83D5A6" w14:textId="77777777" w:rsidR="004F3F63" w:rsidRDefault="004F3F63" w:rsidP="004F3F63">
      <w:pPr>
        <w:pStyle w:val="Bibliography"/>
      </w:pPr>
      <w:r>
        <w:t>17.</w:t>
      </w:r>
      <w:r>
        <w:tab/>
        <w:t>Zhou, H. Ferromagnetism and Superconductivity in Rhombohedral Trilayer Graphene. (UC Santa Barbara, 2021).</w:t>
      </w:r>
    </w:p>
    <w:p w14:paraId="0FA81E5E" w14:textId="77777777" w:rsidR="004F3F63" w:rsidRDefault="004F3F63" w:rsidP="004F3F63">
      <w:pPr>
        <w:pStyle w:val="Bibliography"/>
      </w:pPr>
      <w:r>
        <w:t>18.</w:t>
      </w:r>
      <w:r>
        <w:tab/>
        <w:t xml:space="preserve">Zhang, Y. </w:t>
      </w:r>
      <w:r>
        <w:rPr>
          <w:i/>
          <w:iCs/>
        </w:rPr>
        <w:t>et al.</w:t>
      </w:r>
      <w:r>
        <w:t xml:space="preserve"> Enhanced superconductivity in spin–orbit proximitized bilayer graphene. </w:t>
      </w:r>
      <w:r>
        <w:rPr>
          <w:i/>
          <w:iCs/>
        </w:rPr>
        <w:t>Nature</w:t>
      </w:r>
      <w:r>
        <w:t xml:space="preserve"> </w:t>
      </w:r>
      <w:r>
        <w:rPr>
          <w:b/>
          <w:bCs/>
        </w:rPr>
        <w:t>613</w:t>
      </w:r>
      <w:r>
        <w:t>, 268–273 (2023).</w:t>
      </w:r>
    </w:p>
    <w:p w14:paraId="3FA1C68D" w14:textId="77777777" w:rsidR="004F3F63" w:rsidRDefault="004F3F63" w:rsidP="004F3F63">
      <w:pPr>
        <w:pStyle w:val="Bibliography"/>
      </w:pPr>
      <w:r>
        <w:t>19.</w:t>
      </w:r>
      <w:r>
        <w:tab/>
        <w:t xml:space="preserve">Holleis, L. </w:t>
      </w:r>
      <w:r>
        <w:rPr>
          <w:i/>
          <w:iCs/>
        </w:rPr>
        <w:t>et al.</w:t>
      </w:r>
      <w:r>
        <w:t xml:space="preserve"> Ising Superconductivity and Nematicity in Bernal Bilayer Graphene with Strong Spin Orbit Coupling. Preprint at http://arxiv.org/abs/2303.00742 (2023).</w:t>
      </w:r>
    </w:p>
    <w:p w14:paraId="3C4AF739" w14:textId="77777777" w:rsidR="004F3F63" w:rsidRDefault="004F3F63" w:rsidP="004F3F63">
      <w:pPr>
        <w:pStyle w:val="Bibliography"/>
      </w:pPr>
      <w:r>
        <w:t>20.</w:t>
      </w:r>
      <w:r>
        <w:tab/>
        <w:t xml:space="preserve">Zhang, Y. </w:t>
      </w:r>
      <w:r>
        <w:rPr>
          <w:i/>
          <w:iCs/>
        </w:rPr>
        <w:t>et al.</w:t>
      </w:r>
      <w:r>
        <w:t xml:space="preserve"> Twist-Programmable Superconductivity in Spin-Orbit Coupled Bilayer Graphene. Preprint at https://doi.org/10.48550/arXiv.2408.10335 (2024).</w:t>
      </w:r>
    </w:p>
    <w:p w14:paraId="22FB240B" w14:textId="77777777" w:rsidR="004F3F63" w:rsidRDefault="004F3F63" w:rsidP="004F3F63">
      <w:pPr>
        <w:pStyle w:val="Bibliography"/>
      </w:pPr>
      <w:r>
        <w:t>21.</w:t>
      </w:r>
      <w:r>
        <w:tab/>
        <w:t xml:space="preserve">Li, C. </w:t>
      </w:r>
      <w:r>
        <w:rPr>
          <w:i/>
          <w:iCs/>
        </w:rPr>
        <w:t>et al.</w:t>
      </w:r>
      <w:r>
        <w:t xml:space="preserve"> Tunable superconductivity in electron- and hole-doped Bernal bilayer graphene. </w:t>
      </w:r>
      <w:r>
        <w:rPr>
          <w:i/>
          <w:iCs/>
        </w:rPr>
        <w:t>Nature</w:t>
      </w:r>
      <w:r>
        <w:t xml:space="preserve"> </w:t>
      </w:r>
      <w:r>
        <w:rPr>
          <w:b/>
          <w:bCs/>
        </w:rPr>
        <w:t>631</w:t>
      </w:r>
      <w:r>
        <w:t>, 300–306 (2024).</w:t>
      </w:r>
    </w:p>
    <w:p w14:paraId="17A287C6" w14:textId="77777777" w:rsidR="004F3F63" w:rsidRDefault="004F3F63" w:rsidP="004F3F63">
      <w:pPr>
        <w:pStyle w:val="Bibliography"/>
      </w:pPr>
      <w:r>
        <w:t>22.</w:t>
      </w:r>
      <w:r>
        <w:tab/>
        <w:t xml:space="preserve">Arora, H. S. </w:t>
      </w:r>
      <w:r>
        <w:rPr>
          <w:i/>
          <w:iCs/>
        </w:rPr>
        <w:t>et al.</w:t>
      </w:r>
      <w:r>
        <w:t xml:space="preserve"> Superconductivity in metallic twisted bilayer graphene stabilized by WSe2. </w:t>
      </w:r>
      <w:r>
        <w:rPr>
          <w:i/>
          <w:iCs/>
        </w:rPr>
        <w:t>Nature</w:t>
      </w:r>
      <w:r>
        <w:t xml:space="preserve"> </w:t>
      </w:r>
      <w:r>
        <w:rPr>
          <w:b/>
          <w:bCs/>
        </w:rPr>
        <w:t>583</w:t>
      </w:r>
      <w:r>
        <w:t>, 379–384 (2020).</w:t>
      </w:r>
    </w:p>
    <w:p w14:paraId="513F7F3C" w14:textId="77777777" w:rsidR="004F3F63" w:rsidRDefault="004F3F63" w:rsidP="004F3F63">
      <w:pPr>
        <w:pStyle w:val="Bibliography"/>
      </w:pPr>
      <w:r>
        <w:t>23.</w:t>
      </w:r>
      <w:r>
        <w:tab/>
        <w:t xml:space="preserve">Su, R., Kuiri, M., Watanabe, K., Taniguchi, T. &amp; Folk, J. Superconductivity in twisted double bilayer graphene stabilized by WSe2. </w:t>
      </w:r>
      <w:r>
        <w:rPr>
          <w:i/>
          <w:iCs/>
        </w:rPr>
        <w:t>Nat. Mater.</w:t>
      </w:r>
      <w:r>
        <w:t xml:space="preserve"> 1–6 (2023) doi:10.1038/s41563-023-01653-7.</w:t>
      </w:r>
    </w:p>
    <w:p w14:paraId="0C010581" w14:textId="77777777" w:rsidR="004F3F63" w:rsidRDefault="004F3F63" w:rsidP="004F3F63">
      <w:pPr>
        <w:pStyle w:val="Bibliography"/>
      </w:pPr>
      <w:r>
        <w:lastRenderedPageBreak/>
        <w:t>24.</w:t>
      </w:r>
      <w:r>
        <w:tab/>
        <w:t xml:space="preserve">Zhang, Y. </w:t>
      </w:r>
      <w:r>
        <w:rPr>
          <w:i/>
          <w:iCs/>
        </w:rPr>
        <w:t>et al.</w:t>
      </w:r>
      <w:r>
        <w:t xml:space="preserve"> Promotion of superconductivity in magic-angle graphene multilayers. </w:t>
      </w:r>
      <w:r>
        <w:rPr>
          <w:i/>
          <w:iCs/>
        </w:rPr>
        <w:t>Science</w:t>
      </w:r>
      <w:r>
        <w:t xml:space="preserve"> </w:t>
      </w:r>
      <w:r>
        <w:rPr>
          <w:b/>
          <w:bCs/>
        </w:rPr>
        <w:t>377</w:t>
      </w:r>
      <w:r>
        <w:t>, 1538–1543 (2022).</w:t>
      </w:r>
    </w:p>
    <w:p w14:paraId="1E3CDE23" w14:textId="77777777" w:rsidR="004F3F63" w:rsidRDefault="004F3F63" w:rsidP="004F3F63">
      <w:pPr>
        <w:pStyle w:val="Bibliography"/>
      </w:pPr>
      <w:r>
        <w:t>25.</w:t>
      </w:r>
      <w:r>
        <w:tab/>
        <w:t xml:space="preserve">Lu, J. M. </w:t>
      </w:r>
      <w:r>
        <w:rPr>
          <w:i/>
          <w:iCs/>
        </w:rPr>
        <w:t>et al.</w:t>
      </w:r>
      <w:r>
        <w:t xml:space="preserve"> Evidence for two-dimensional Ising superconductivity in gated MoS2. </w:t>
      </w:r>
      <w:r>
        <w:rPr>
          <w:i/>
          <w:iCs/>
        </w:rPr>
        <w:t>Science</w:t>
      </w:r>
      <w:r>
        <w:t xml:space="preserve"> </w:t>
      </w:r>
      <w:r>
        <w:rPr>
          <w:b/>
          <w:bCs/>
        </w:rPr>
        <w:t>350</w:t>
      </w:r>
      <w:r>
        <w:t>, 1353–1357 (2015).</w:t>
      </w:r>
    </w:p>
    <w:p w14:paraId="2022A801" w14:textId="77777777" w:rsidR="004F3F63" w:rsidRDefault="004F3F63" w:rsidP="004F3F63">
      <w:pPr>
        <w:pStyle w:val="Bibliography"/>
      </w:pPr>
      <w:r>
        <w:t>26.</w:t>
      </w:r>
      <w:r>
        <w:tab/>
        <w:t xml:space="preserve">Saito, Y. </w:t>
      </w:r>
      <w:r>
        <w:rPr>
          <w:i/>
          <w:iCs/>
        </w:rPr>
        <w:t>et al.</w:t>
      </w:r>
      <w:r>
        <w:t xml:space="preserve"> Superconductivity protected by spin–valley locking in ion-gated MoS2. </w:t>
      </w:r>
      <w:r>
        <w:rPr>
          <w:i/>
          <w:iCs/>
        </w:rPr>
        <w:t>Nat. Phys.</w:t>
      </w:r>
      <w:r>
        <w:t xml:space="preserve"> </w:t>
      </w:r>
      <w:r>
        <w:rPr>
          <w:b/>
          <w:bCs/>
        </w:rPr>
        <w:t>12</w:t>
      </w:r>
      <w:r>
        <w:t>, 144–149 (2016).</w:t>
      </w:r>
    </w:p>
    <w:p w14:paraId="6C93E62F" w14:textId="77777777" w:rsidR="004F3F63" w:rsidRDefault="004F3F63" w:rsidP="004F3F63">
      <w:pPr>
        <w:pStyle w:val="Bibliography"/>
      </w:pPr>
      <w:r>
        <w:t>27.</w:t>
      </w:r>
      <w:r>
        <w:tab/>
        <w:t xml:space="preserve">Xi, X. </w:t>
      </w:r>
      <w:r>
        <w:rPr>
          <w:i/>
          <w:iCs/>
        </w:rPr>
        <w:t>et al.</w:t>
      </w:r>
      <w:r>
        <w:t xml:space="preserve"> Ising pairing in superconducting NbSe2 atomic layers. </w:t>
      </w:r>
      <w:r>
        <w:rPr>
          <w:i/>
          <w:iCs/>
        </w:rPr>
        <w:t>Nat. Phys.</w:t>
      </w:r>
      <w:r>
        <w:t xml:space="preserve"> </w:t>
      </w:r>
      <w:r>
        <w:rPr>
          <w:b/>
          <w:bCs/>
        </w:rPr>
        <w:t>12</w:t>
      </w:r>
      <w:r>
        <w:t>, 139–143 (2016).</w:t>
      </w:r>
    </w:p>
    <w:p w14:paraId="00F27F48" w14:textId="77777777" w:rsidR="004F3F63" w:rsidRDefault="004F3F63" w:rsidP="004F3F63">
      <w:pPr>
        <w:pStyle w:val="Bibliography"/>
      </w:pPr>
      <w:r>
        <w:t>28.</w:t>
      </w:r>
      <w:r>
        <w:tab/>
        <w:t xml:space="preserve">Island, J. O. </w:t>
      </w:r>
      <w:r>
        <w:rPr>
          <w:i/>
          <w:iCs/>
        </w:rPr>
        <w:t>et al.</w:t>
      </w:r>
      <w:r>
        <w:t xml:space="preserve"> Spin–orbit-driven band inversion in bilayer graphene by the van der Waals proximity effect. </w:t>
      </w:r>
      <w:r>
        <w:rPr>
          <w:i/>
          <w:iCs/>
        </w:rPr>
        <w:t>Nature</w:t>
      </w:r>
      <w:r>
        <w:t xml:space="preserve"> </w:t>
      </w:r>
      <w:r>
        <w:rPr>
          <w:b/>
          <w:bCs/>
        </w:rPr>
        <w:t>571</w:t>
      </w:r>
      <w:r>
        <w:t>, 85–89 (2019).</w:t>
      </w:r>
    </w:p>
    <w:p w14:paraId="72099757" w14:textId="77777777" w:rsidR="004F3F63" w:rsidRDefault="004F3F63" w:rsidP="004F3F63">
      <w:pPr>
        <w:pStyle w:val="Bibliography"/>
      </w:pPr>
      <w:r>
        <w:t>29.</w:t>
      </w:r>
      <w:r>
        <w:tab/>
        <w:t xml:space="preserve">Wang, D. </w:t>
      </w:r>
      <w:r>
        <w:rPr>
          <w:i/>
          <w:iCs/>
        </w:rPr>
        <w:t>et al.</w:t>
      </w:r>
      <w:r>
        <w:t xml:space="preserve"> Quantum Hall Effect Measurement of Spin–Orbit Coupling Strengths in Ultraclean Bilayer Graphene/WSe2 Heterostructures. </w:t>
      </w:r>
      <w:r>
        <w:rPr>
          <w:i/>
          <w:iCs/>
        </w:rPr>
        <w:t>Nano Lett.</w:t>
      </w:r>
      <w:r>
        <w:t xml:space="preserve"> </w:t>
      </w:r>
      <w:r>
        <w:rPr>
          <w:b/>
          <w:bCs/>
        </w:rPr>
        <w:t>19</w:t>
      </w:r>
      <w:r>
        <w:t>, 7028–7034 (2019).</w:t>
      </w:r>
    </w:p>
    <w:p w14:paraId="74FFC88F" w14:textId="77777777" w:rsidR="004F3F63" w:rsidRDefault="004F3F63" w:rsidP="004F3F63">
      <w:pPr>
        <w:pStyle w:val="Bibliography"/>
      </w:pPr>
      <w:r>
        <w:t>30.</w:t>
      </w:r>
      <w:r>
        <w:tab/>
        <w:t xml:space="preserve">Wang, D. </w:t>
      </w:r>
      <w:r>
        <w:rPr>
          <w:i/>
          <w:iCs/>
        </w:rPr>
        <w:t>et al.</w:t>
      </w:r>
      <w:r>
        <w:t xml:space="preserve"> Spin-orbit coupling and interactions in quantum Hall states of graphene/ WSe 2 heterobilayers. </w:t>
      </w:r>
      <w:r>
        <w:rPr>
          <w:i/>
          <w:iCs/>
        </w:rPr>
        <w:t>Phys. Rev. B</w:t>
      </w:r>
      <w:r>
        <w:t xml:space="preserve"> </w:t>
      </w:r>
      <w:r>
        <w:rPr>
          <w:b/>
          <w:bCs/>
        </w:rPr>
        <w:t>104</w:t>
      </w:r>
      <w:r>
        <w:t>, L201301 (2021).</w:t>
      </w:r>
    </w:p>
    <w:p w14:paraId="13BE072B" w14:textId="77777777" w:rsidR="004F3F63" w:rsidRDefault="004F3F63" w:rsidP="004F3F63">
      <w:pPr>
        <w:pStyle w:val="Bibliography"/>
      </w:pPr>
      <w:r>
        <w:t>31.</w:t>
      </w:r>
      <w:r>
        <w:tab/>
        <w:t xml:space="preserve">Lin, J.-X. </w:t>
      </w:r>
      <w:r>
        <w:rPr>
          <w:i/>
          <w:iCs/>
        </w:rPr>
        <w:t>et al.</w:t>
      </w:r>
      <w:r>
        <w:t xml:space="preserve"> Spin-orbit–driven ferromagnetism at half moiré filling in magic-angle twisted bilayer graphene. </w:t>
      </w:r>
      <w:r>
        <w:rPr>
          <w:i/>
          <w:iCs/>
        </w:rPr>
        <w:t>Science</w:t>
      </w:r>
      <w:r>
        <w:t xml:space="preserve"> </w:t>
      </w:r>
      <w:r>
        <w:rPr>
          <w:b/>
          <w:bCs/>
        </w:rPr>
        <w:t>375</w:t>
      </w:r>
      <w:r>
        <w:t>, 437–441 (2022).</w:t>
      </w:r>
    </w:p>
    <w:p w14:paraId="7C25C1C7" w14:textId="77777777" w:rsidR="004F3F63" w:rsidRDefault="004F3F63" w:rsidP="004F3F63">
      <w:pPr>
        <w:pStyle w:val="Bibliography"/>
      </w:pPr>
      <w:r>
        <w:t>32.</w:t>
      </w:r>
      <w:r>
        <w:tab/>
        <w:t xml:space="preserve">Wakamura, T. </w:t>
      </w:r>
      <w:r>
        <w:rPr>
          <w:i/>
          <w:iCs/>
        </w:rPr>
        <w:t>et al.</w:t>
      </w:r>
      <w:r>
        <w:t xml:space="preserve"> Spin-orbit interaction induced in graphene by transition metal dichalcogenides. </w:t>
      </w:r>
      <w:r>
        <w:rPr>
          <w:i/>
          <w:iCs/>
        </w:rPr>
        <w:t>Phys. Rev. B</w:t>
      </w:r>
      <w:r>
        <w:t xml:space="preserve"> </w:t>
      </w:r>
      <w:r>
        <w:rPr>
          <w:b/>
          <w:bCs/>
        </w:rPr>
        <w:t>99</w:t>
      </w:r>
      <w:r>
        <w:t>, 245402 (2019).</w:t>
      </w:r>
    </w:p>
    <w:p w14:paraId="4F87E23B" w14:textId="77777777" w:rsidR="004F3F63" w:rsidRDefault="004F3F63" w:rsidP="004F3F63">
      <w:pPr>
        <w:pStyle w:val="Bibliography"/>
      </w:pPr>
      <w:r>
        <w:t>33.</w:t>
      </w:r>
      <w:r>
        <w:tab/>
        <w:t xml:space="preserve">Wang, Z. </w:t>
      </w:r>
      <w:r>
        <w:rPr>
          <w:i/>
          <w:iCs/>
        </w:rPr>
        <w:t>et al.</w:t>
      </w:r>
      <w:r>
        <w:t xml:space="preserve"> Strong interface-induced spin–orbit interaction in graphene on WS2. </w:t>
      </w:r>
      <w:r>
        <w:rPr>
          <w:i/>
          <w:iCs/>
        </w:rPr>
        <w:t>Nat. Commun.</w:t>
      </w:r>
      <w:r>
        <w:t xml:space="preserve"> </w:t>
      </w:r>
      <w:r>
        <w:rPr>
          <w:b/>
          <w:bCs/>
        </w:rPr>
        <w:t>6</w:t>
      </w:r>
      <w:r>
        <w:t>, 8339 (2015).</w:t>
      </w:r>
    </w:p>
    <w:p w14:paraId="2AFEE3DA" w14:textId="77777777" w:rsidR="004F3F63" w:rsidRDefault="004F3F63" w:rsidP="004F3F63">
      <w:pPr>
        <w:pStyle w:val="Bibliography"/>
      </w:pPr>
      <w:r>
        <w:t>34.</w:t>
      </w:r>
      <w:r>
        <w:tab/>
        <w:t xml:space="preserve">de la Barrera, S. C. </w:t>
      </w:r>
      <w:r>
        <w:rPr>
          <w:i/>
          <w:iCs/>
        </w:rPr>
        <w:t>et al.</w:t>
      </w:r>
      <w:r>
        <w:t xml:space="preserve"> Cascade of isospin phase transitions in Bernal-stacked bilayer graphene at zero magnetic field. </w:t>
      </w:r>
      <w:r>
        <w:rPr>
          <w:i/>
          <w:iCs/>
        </w:rPr>
        <w:t>Nat. Phys.</w:t>
      </w:r>
      <w:r>
        <w:t xml:space="preserve"> 1–5 (2022) doi:10.1038/s41567-022-01616-w.</w:t>
      </w:r>
    </w:p>
    <w:p w14:paraId="0F77E3B0" w14:textId="77777777" w:rsidR="004F3F63" w:rsidRDefault="004F3F63" w:rsidP="004F3F63">
      <w:pPr>
        <w:pStyle w:val="Bibliography"/>
      </w:pPr>
      <w:r>
        <w:lastRenderedPageBreak/>
        <w:t>35.</w:t>
      </w:r>
      <w:r>
        <w:tab/>
        <w:t xml:space="preserve">Cao, Y. </w:t>
      </w:r>
      <w:r>
        <w:rPr>
          <w:i/>
          <w:iCs/>
        </w:rPr>
        <w:t>et al.</w:t>
      </w:r>
      <w:r>
        <w:t xml:space="preserve"> Nematicity and competing orders in superconducting magic-angle graphene. </w:t>
      </w:r>
      <w:r>
        <w:rPr>
          <w:i/>
          <w:iCs/>
        </w:rPr>
        <w:t>Science</w:t>
      </w:r>
      <w:r>
        <w:t xml:space="preserve"> </w:t>
      </w:r>
      <w:r>
        <w:rPr>
          <w:b/>
          <w:bCs/>
        </w:rPr>
        <w:t>372</w:t>
      </w:r>
      <w:r>
        <w:t>, 264–271 (2021).</w:t>
      </w:r>
    </w:p>
    <w:p w14:paraId="056680FA" w14:textId="77777777" w:rsidR="004F3F63" w:rsidRDefault="004F3F63" w:rsidP="004F3F63">
      <w:pPr>
        <w:pStyle w:val="Bibliography"/>
      </w:pPr>
      <w:r>
        <w:t>36.</w:t>
      </w:r>
      <w:r>
        <w:tab/>
        <w:t xml:space="preserve">Koshino, M. &amp; McCann, E. Trigonal warping and Berry’s phase N π in ABC-stacked multilayer graphene. </w:t>
      </w:r>
      <w:r>
        <w:rPr>
          <w:i/>
          <w:iCs/>
        </w:rPr>
        <w:t>Phys. Rev. B</w:t>
      </w:r>
      <w:r>
        <w:t xml:space="preserve"> </w:t>
      </w:r>
      <w:r>
        <w:rPr>
          <w:b/>
          <w:bCs/>
        </w:rPr>
        <w:t>80</w:t>
      </w:r>
      <w:r>
        <w:t>, 165409 (2009).</w:t>
      </w:r>
    </w:p>
    <w:p w14:paraId="486EA679" w14:textId="77777777" w:rsidR="004F3F63" w:rsidRDefault="004F3F63" w:rsidP="004F3F63">
      <w:pPr>
        <w:pStyle w:val="Bibliography"/>
      </w:pPr>
      <w:r>
        <w:t>37.</w:t>
      </w:r>
      <w:r>
        <w:tab/>
        <w:t xml:space="preserve">Zollner, K., João, S. M., Nikolić, B. K. &amp; Fabian, J. Twist- and gate-tunable proximity spin-orbit coupling, spin relaxation anisotropy, and charge-to-spin conversion in heterostructures of graphene and transition metal dichalcogenides. </w:t>
      </w:r>
      <w:r>
        <w:rPr>
          <w:i/>
          <w:iCs/>
        </w:rPr>
        <w:t>Phys. Rev. B</w:t>
      </w:r>
      <w:r>
        <w:t xml:space="preserve"> </w:t>
      </w:r>
      <w:r>
        <w:rPr>
          <w:b/>
          <w:bCs/>
        </w:rPr>
        <w:t>108</w:t>
      </w:r>
      <w:r>
        <w:t>, 235166 (2023).</w:t>
      </w:r>
    </w:p>
    <w:p w14:paraId="57F55DE0" w14:textId="77777777" w:rsidR="004F3F63" w:rsidRDefault="004F3F63" w:rsidP="004F3F63">
      <w:pPr>
        <w:pStyle w:val="Bibliography"/>
      </w:pPr>
      <w:r>
        <w:t>38.</w:t>
      </w:r>
      <w:r>
        <w:tab/>
        <w:t xml:space="preserve">Li, Y. &amp; Koshino, M. Twist-angle dependence of the proximity spin-orbit coupling in graphene on transition-metal dichalcogenides. </w:t>
      </w:r>
      <w:r>
        <w:rPr>
          <w:i/>
          <w:iCs/>
        </w:rPr>
        <w:t>Phys. Rev. B</w:t>
      </w:r>
      <w:r>
        <w:t xml:space="preserve"> </w:t>
      </w:r>
      <w:r>
        <w:rPr>
          <w:b/>
          <w:bCs/>
        </w:rPr>
        <w:t>99</w:t>
      </w:r>
      <w:r>
        <w:t>, 075438 (2019).</w:t>
      </w:r>
    </w:p>
    <w:p w14:paraId="7B1F461E" w14:textId="77777777" w:rsidR="004F3F63" w:rsidRDefault="004F3F63" w:rsidP="004F3F63">
      <w:pPr>
        <w:pStyle w:val="Bibliography"/>
      </w:pPr>
      <w:r>
        <w:t>39.</w:t>
      </w:r>
      <w:r>
        <w:tab/>
        <w:t xml:space="preserve">Zollner, K., Gmitra, M. &amp; Fabian, J. Proximity spin-orbit and exchange coupling in ABA and ABC trilayer graphene van der Waals heterostructures. </w:t>
      </w:r>
      <w:r>
        <w:rPr>
          <w:i/>
          <w:iCs/>
        </w:rPr>
        <w:t>Phys. Rev. B</w:t>
      </w:r>
      <w:r>
        <w:t xml:space="preserve"> </w:t>
      </w:r>
      <w:r>
        <w:rPr>
          <w:b/>
          <w:bCs/>
        </w:rPr>
        <w:t>105</w:t>
      </w:r>
      <w:r>
        <w:t>, 115126 (2022).</w:t>
      </w:r>
    </w:p>
    <w:p w14:paraId="79D1F4BD" w14:textId="77777777" w:rsidR="004F3F63" w:rsidRDefault="004F3F63" w:rsidP="004F3F63">
      <w:pPr>
        <w:pStyle w:val="Bibliography"/>
      </w:pPr>
      <w:r>
        <w:t>40.</w:t>
      </w:r>
      <w:r>
        <w:tab/>
        <w:t xml:space="preserve">Xie, M. &amp; Das Sarma, S. Flavor symmetry breaking in spin-orbit coupled bilayer graphene. </w:t>
      </w:r>
      <w:r>
        <w:rPr>
          <w:i/>
          <w:iCs/>
        </w:rPr>
        <w:t>Phys. Rev. B</w:t>
      </w:r>
      <w:r>
        <w:t xml:space="preserve"> </w:t>
      </w:r>
      <w:r>
        <w:rPr>
          <w:b/>
          <w:bCs/>
        </w:rPr>
        <w:t>107</w:t>
      </w:r>
      <w:r>
        <w:t>, L201119 (2023).</w:t>
      </w:r>
    </w:p>
    <w:p w14:paraId="06A70301" w14:textId="77777777" w:rsidR="004F3F63" w:rsidRDefault="004F3F63" w:rsidP="004F3F63">
      <w:pPr>
        <w:pStyle w:val="Bibliography"/>
      </w:pPr>
      <w:r>
        <w:t>41.</w:t>
      </w:r>
      <w:r>
        <w:tab/>
        <w:t>Dong, Z., Lantagne-Hurtubise, É. &amp; Alicea, J. Superconductivity from spin-canting fluctuations in rhombohedral graphene. Preprint at https://doi.org/10.48550/arXiv.2406.17036 (2024).</w:t>
      </w:r>
    </w:p>
    <w:p w14:paraId="502AF915" w14:textId="77777777" w:rsidR="004F3F63" w:rsidRDefault="004F3F63" w:rsidP="004F3F63">
      <w:pPr>
        <w:pStyle w:val="Bibliography"/>
      </w:pPr>
      <w:r>
        <w:t>42.</w:t>
      </w:r>
      <w:r>
        <w:tab/>
        <w:t>Chou, Y.-Z., Wu, F. &amp; Sarma, S. D. Enhanced superconductivity through virtual tunneling in Bernal bilayer graphene coupled to WSe$_2$. Preprint at http://arxiv.org/abs/2206.09922 (2022).</w:t>
      </w:r>
    </w:p>
    <w:p w14:paraId="1BA26B8E" w14:textId="77777777" w:rsidR="004F3F63" w:rsidRDefault="004F3F63" w:rsidP="004F3F63">
      <w:pPr>
        <w:pStyle w:val="Bibliography"/>
      </w:pPr>
      <w:r>
        <w:t>43.</w:t>
      </w:r>
      <w:r>
        <w:tab/>
        <w:t xml:space="preserve">Dong, Z., Chubukov, A. V. &amp; Levitov, L. Transformer spin-triplet superconductivity at the onset of isospin order in bilayer graphene. </w:t>
      </w:r>
      <w:r>
        <w:rPr>
          <w:i/>
          <w:iCs/>
        </w:rPr>
        <w:t>Phys. Rev. B</w:t>
      </w:r>
      <w:r>
        <w:t xml:space="preserve"> </w:t>
      </w:r>
      <w:r>
        <w:rPr>
          <w:b/>
          <w:bCs/>
        </w:rPr>
        <w:t>107</w:t>
      </w:r>
      <w:r>
        <w:t>, 174512 (2023).</w:t>
      </w:r>
    </w:p>
    <w:p w14:paraId="4104E0A8" w14:textId="77777777" w:rsidR="004F3F63" w:rsidRDefault="004F3F63" w:rsidP="004F3F63">
      <w:pPr>
        <w:pStyle w:val="Bibliography"/>
      </w:pPr>
      <w:r>
        <w:lastRenderedPageBreak/>
        <w:t>44.</w:t>
      </w:r>
      <w:r>
        <w:tab/>
        <w:t xml:space="preserve">Chou, Y.-Z., Tan, Y., Wu, F. &amp; Das Sarma, S. Topological flat bands, valley polarization, and interband superconductivity in magic-angle twisted bilayer graphene with proximitized spin-orbit couplings. </w:t>
      </w:r>
      <w:r>
        <w:rPr>
          <w:i/>
          <w:iCs/>
        </w:rPr>
        <w:t>Phys. Rev. B</w:t>
      </w:r>
      <w:r>
        <w:t xml:space="preserve"> </w:t>
      </w:r>
      <w:r>
        <w:rPr>
          <w:b/>
          <w:bCs/>
        </w:rPr>
        <w:t>110</w:t>
      </w:r>
      <w:r>
        <w:t>, L041108 (2024).</w:t>
      </w:r>
    </w:p>
    <w:p w14:paraId="732B5E1A" w14:textId="77777777" w:rsidR="004F3F63" w:rsidRDefault="004F3F63" w:rsidP="004F3F63">
      <w:pPr>
        <w:pStyle w:val="Bibliography"/>
      </w:pPr>
      <w:r>
        <w:t>45.</w:t>
      </w:r>
      <w:r>
        <w:tab/>
        <w:t xml:space="preserve">Dong, Z., Levitov, L. &amp; Chubukov, A. V. Superconductivity near spin and valley orders in graphene multilayers. </w:t>
      </w:r>
      <w:r>
        <w:rPr>
          <w:i/>
          <w:iCs/>
        </w:rPr>
        <w:t>Phys. Rev. B</w:t>
      </w:r>
      <w:r>
        <w:t xml:space="preserve"> </w:t>
      </w:r>
      <w:r>
        <w:rPr>
          <w:b/>
          <w:bCs/>
        </w:rPr>
        <w:t>108</w:t>
      </w:r>
      <w:r>
        <w:t>, 134503 (2023).</w:t>
      </w:r>
    </w:p>
    <w:p w14:paraId="61C5F9D0" w14:textId="77777777" w:rsidR="004F3F63" w:rsidRDefault="004F3F63" w:rsidP="004F3F63">
      <w:pPr>
        <w:pStyle w:val="Bibliography"/>
      </w:pPr>
      <w:r>
        <w:t>46.</w:t>
      </w:r>
      <w:r>
        <w:tab/>
        <w:t xml:space="preserve">You, Y.-Z. &amp; Vishwanath, A. Kohn-Luttinger superconductivity and intervalley coherence in rhombohedral trilayer graphene. </w:t>
      </w:r>
      <w:r>
        <w:rPr>
          <w:i/>
          <w:iCs/>
        </w:rPr>
        <w:t>Phys. Rev. B</w:t>
      </w:r>
      <w:r>
        <w:t xml:space="preserve"> </w:t>
      </w:r>
      <w:r>
        <w:rPr>
          <w:b/>
          <w:bCs/>
        </w:rPr>
        <w:t>105</w:t>
      </w:r>
      <w:r>
        <w:t>, 134524 (2022).</w:t>
      </w:r>
    </w:p>
    <w:p w14:paraId="030D8FD6" w14:textId="77777777" w:rsidR="004F3F63" w:rsidRDefault="004F3F63" w:rsidP="004F3F63">
      <w:pPr>
        <w:pStyle w:val="Bibliography"/>
      </w:pPr>
      <w:r>
        <w:t>47.</w:t>
      </w:r>
      <w:r>
        <w:tab/>
        <w:t xml:space="preserve">Chatterjee, S., Wang, T., Berg, E. &amp; Zaletel, M. P. Inter-valley coherent order and isospin fluctuation mediated superconductivity in rhombohedral trilayer graphene. </w:t>
      </w:r>
      <w:r>
        <w:rPr>
          <w:i/>
          <w:iCs/>
        </w:rPr>
        <w:t>Nat. Commun.</w:t>
      </w:r>
      <w:r>
        <w:t xml:space="preserve"> </w:t>
      </w:r>
      <w:r>
        <w:rPr>
          <w:b/>
          <w:bCs/>
        </w:rPr>
        <w:t>13</w:t>
      </w:r>
      <w:r>
        <w:t>, 6013 (2022).</w:t>
      </w:r>
    </w:p>
    <w:p w14:paraId="3A53AE1A" w14:textId="77777777" w:rsidR="004F3F63" w:rsidRDefault="004F3F63" w:rsidP="004F3F63">
      <w:pPr>
        <w:pStyle w:val="Bibliography"/>
      </w:pPr>
      <w:r>
        <w:t>48.</w:t>
      </w:r>
      <w:r>
        <w:tab/>
        <w:t xml:space="preserve">Cea, T., Pantaleón, P. A., Phong, V. T. &amp; Guinea, F. Superconductivity from repulsive interactions in rhombohedral trilayer graphene: A Kohn-Luttinger-like mechanism. </w:t>
      </w:r>
      <w:r>
        <w:rPr>
          <w:i/>
          <w:iCs/>
        </w:rPr>
        <w:t>Phys. Rev. B</w:t>
      </w:r>
      <w:r>
        <w:t xml:space="preserve"> </w:t>
      </w:r>
      <w:r>
        <w:rPr>
          <w:b/>
          <w:bCs/>
        </w:rPr>
        <w:t>105</w:t>
      </w:r>
      <w:r>
        <w:t>, 075432 (2022).</w:t>
      </w:r>
    </w:p>
    <w:p w14:paraId="374AFF7A" w14:textId="77777777" w:rsidR="004F3F63" w:rsidRDefault="004F3F63" w:rsidP="004F3F63">
      <w:pPr>
        <w:pStyle w:val="Bibliography"/>
      </w:pPr>
      <w:r>
        <w:t>49.</w:t>
      </w:r>
      <w:r>
        <w:tab/>
        <w:t xml:space="preserve">Chou, Y.-Z., Wu, F., Sau, J. D. &amp; Das Sarma, S. Acoustic-Phonon-Mediated Superconductivity in Rhombohedral Trilayer Graphene. </w:t>
      </w:r>
      <w:r>
        <w:rPr>
          <w:i/>
          <w:iCs/>
        </w:rPr>
        <w:t>Phys. Rev. Lett.</w:t>
      </w:r>
      <w:r>
        <w:t xml:space="preserve"> </w:t>
      </w:r>
      <w:r>
        <w:rPr>
          <w:b/>
          <w:bCs/>
        </w:rPr>
        <w:t>127</w:t>
      </w:r>
      <w:r>
        <w:t>, 187001 (2021).</w:t>
      </w:r>
    </w:p>
    <w:p w14:paraId="5337C89B" w14:textId="77777777" w:rsidR="004F3F63" w:rsidRDefault="004F3F63" w:rsidP="004F3F63">
      <w:pPr>
        <w:pStyle w:val="Bibliography"/>
      </w:pPr>
      <w:r>
        <w:t>50.</w:t>
      </w:r>
      <w:r>
        <w:tab/>
        <w:t xml:space="preserve">Fu, L. &amp; Kane, C. L. Josephson current and noise at a superconductor/quantum-spin-Hall-insulator/superconductor junction. </w:t>
      </w:r>
      <w:r>
        <w:rPr>
          <w:i/>
          <w:iCs/>
        </w:rPr>
        <w:t>Phys. Rev. B</w:t>
      </w:r>
      <w:r>
        <w:t xml:space="preserve"> </w:t>
      </w:r>
      <w:r>
        <w:rPr>
          <w:b/>
          <w:bCs/>
        </w:rPr>
        <w:t>79</w:t>
      </w:r>
      <w:r>
        <w:t>, 161408 (2009).</w:t>
      </w:r>
    </w:p>
    <w:p w14:paraId="1E17C19F" w14:textId="77777777" w:rsidR="004F3F63" w:rsidRDefault="004F3F63" w:rsidP="004F3F63">
      <w:pPr>
        <w:pStyle w:val="Bibliography"/>
      </w:pPr>
      <w:r>
        <w:t>51.</w:t>
      </w:r>
      <w:r>
        <w:tab/>
        <w:t xml:space="preserve">Zhang, F. &amp; Kane, C. L. Time-Reversal-Invariant ${Z}_{4}$ Fractional Josephson Effect. </w:t>
      </w:r>
      <w:r>
        <w:rPr>
          <w:i/>
          <w:iCs/>
        </w:rPr>
        <w:t>Phys. Rev. Lett.</w:t>
      </w:r>
      <w:r>
        <w:t xml:space="preserve"> </w:t>
      </w:r>
      <w:r>
        <w:rPr>
          <w:b/>
          <w:bCs/>
        </w:rPr>
        <w:t>113</w:t>
      </w:r>
      <w:r>
        <w:t>, 036401 (2014).</w:t>
      </w:r>
    </w:p>
    <w:p w14:paraId="106BA60A" w14:textId="77777777" w:rsidR="004F3F63" w:rsidRDefault="004F3F63" w:rsidP="004F3F63">
      <w:pPr>
        <w:pStyle w:val="Bibliography"/>
      </w:pPr>
      <w:r>
        <w:t>52.</w:t>
      </w:r>
      <w:r>
        <w:tab/>
        <w:t xml:space="preserve">Orth, C. P., Tiwari, R. P., Meng, T. &amp; Schmidt, T. L. Non-Abelian parafermions in time-reversal-invariant interacting helical systems. </w:t>
      </w:r>
      <w:r>
        <w:rPr>
          <w:i/>
          <w:iCs/>
        </w:rPr>
        <w:t>Phys. Rev. B</w:t>
      </w:r>
      <w:r>
        <w:t xml:space="preserve"> </w:t>
      </w:r>
      <w:r>
        <w:rPr>
          <w:b/>
          <w:bCs/>
        </w:rPr>
        <w:t>91</w:t>
      </w:r>
      <w:r>
        <w:t>, 081406 (2015).</w:t>
      </w:r>
    </w:p>
    <w:p w14:paraId="0CCD86BB" w14:textId="77777777" w:rsidR="004F3F63" w:rsidRDefault="004F3F63" w:rsidP="004F3F63">
      <w:pPr>
        <w:pStyle w:val="Bibliography"/>
      </w:pPr>
      <w:r>
        <w:lastRenderedPageBreak/>
        <w:t>53.</w:t>
      </w:r>
      <w:r>
        <w:tab/>
        <w:t>Zaletel, M. P. &amp; Khoo, J. Y. The gate-tunable strong and fragile topology of multilayer-graphene on a transition metal dichalcogenide. Preprint at https://doi.org/10.48550/arXiv.1901.01294 (2019).</w:t>
      </w:r>
    </w:p>
    <w:p w14:paraId="43B67725" w14:textId="77777777" w:rsidR="004F3F63" w:rsidRDefault="004F3F63" w:rsidP="004F3F63">
      <w:pPr>
        <w:pStyle w:val="Bibliography"/>
      </w:pPr>
      <w:r>
        <w:t>54.</w:t>
      </w:r>
      <w:r>
        <w:tab/>
        <w:t xml:space="preserve">Zhang, F., Jung, J., Fiete, G. A., Niu, Q. &amp; MacDonald, A. H. Spontaneous Quantum Hall States in Chirally Stacked Few-Layer Graphene Systems. </w:t>
      </w:r>
      <w:r>
        <w:rPr>
          <w:i/>
          <w:iCs/>
        </w:rPr>
        <w:t>Phys. Rev. Lett.</w:t>
      </w:r>
      <w:r>
        <w:t xml:space="preserve"> </w:t>
      </w:r>
      <w:r>
        <w:rPr>
          <w:b/>
          <w:bCs/>
        </w:rPr>
        <w:t>106</w:t>
      </w:r>
      <w:r>
        <w:t>, 156801 (2011).</w:t>
      </w:r>
    </w:p>
    <w:p w14:paraId="32E2BBAF" w14:textId="56D13527" w:rsidR="00A42D1E" w:rsidRPr="00FB7939" w:rsidRDefault="009C55F4" w:rsidP="00077584">
      <w:pPr>
        <w:jc w:val="both"/>
        <w:rPr>
          <w:rFonts w:cstheme="minorHAnsi"/>
          <w:i/>
          <w:iCs/>
        </w:rPr>
      </w:pPr>
      <w:r>
        <w:fldChar w:fldCharType="end"/>
      </w:r>
    </w:p>
    <w:p w14:paraId="61BFE04D" w14:textId="77777777" w:rsidR="0013589B" w:rsidRDefault="0013589B" w:rsidP="0013589B">
      <w:pPr>
        <w:jc w:val="both"/>
        <w:rPr>
          <w:b/>
          <w:bCs/>
        </w:rPr>
      </w:pPr>
      <w:r w:rsidRPr="00E44A69">
        <w:rPr>
          <w:b/>
          <w:bCs/>
          <w:sz w:val="32"/>
          <w:szCs w:val="32"/>
        </w:rPr>
        <w:t>Methods</w:t>
      </w:r>
    </w:p>
    <w:p w14:paraId="190CDE90" w14:textId="77777777" w:rsidR="0013589B" w:rsidRPr="0018622F" w:rsidRDefault="0013589B" w:rsidP="0013589B">
      <w:pPr>
        <w:jc w:val="both"/>
        <w:rPr>
          <w:b/>
          <w:bCs/>
        </w:rPr>
      </w:pPr>
      <w:r w:rsidRPr="4055B882">
        <w:rPr>
          <w:b/>
          <w:bCs/>
        </w:rPr>
        <w:t>Device fabrication</w:t>
      </w:r>
    </w:p>
    <w:p w14:paraId="1DC30611" w14:textId="0C11FD56" w:rsidR="0013589B" w:rsidRDefault="0013589B" w:rsidP="0013589B">
      <w:pPr>
        <w:jc w:val="both"/>
      </w:pPr>
      <w:r>
        <w:t>The trilayer graphene, multilayer graphite, hBN, WSe</w:t>
      </w:r>
      <w:r w:rsidRPr="4055B882">
        <w:rPr>
          <w:vertAlign w:val="subscript"/>
        </w:rPr>
        <w:t>2</w:t>
      </w:r>
      <w:r>
        <w:t>, and WS</w:t>
      </w:r>
      <w:r w:rsidRPr="4055B882">
        <w:rPr>
          <w:vertAlign w:val="subscript"/>
        </w:rPr>
        <w:t>2</w:t>
      </w:r>
      <w:r>
        <w:t xml:space="preserve"> flakes used in this study were all prepared by standard mechanical exfoliation methods. We identified the rhombohedral domains of trilayer graphene by scanning near-field infrared microscopy then further confirmed </w:t>
      </w:r>
      <w:r>
        <w:rPr>
          <w:rFonts w:hint="eastAsia"/>
        </w:rPr>
        <w:t xml:space="preserve">them </w:t>
      </w:r>
      <w:r>
        <w:t xml:space="preserve">by Raman spectroscopy.  The rhombohedral domains were isolated by atomic force microscope cutting to help preserve the stacking order in the following transfer process. More details can be </w:t>
      </w:r>
      <w:r>
        <w:rPr>
          <w:rFonts w:hint="eastAsia"/>
        </w:rPr>
        <w:t>found</w:t>
      </w:r>
      <w:r>
        <w:t xml:space="preserve"> in previous works</w:t>
      </w:r>
      <w:r>
        <w:fldChar w:fldCharType="begin"/>
      </w:r>
      <w:r w:rsidR="004F1BB8">
        <w:instrText xml:space="preserve"> ADDIN ZOTERO_ITEM CSL_CITATION {"citationID":"IYG0fHhi","properties":{"formattedCitation":"\\super 1,2,7,8\\nosupersub{}","plainCitation":"1,2,7,8","noteIndex":0},"citationItems":[{"id":4516,"uris":["http://zotero.org/users/5406744/items/5VRCHC3S"],"itemData":{"id":4516,"type":"article-journal","abstract":"Rhombohedral-stacked multilayer graphene hosts a pair of flat bands touching at zero energy, which should give rise to correlated electron phenomena that can be tuned further by an electric field. Moreover, when electron correlation breaks the isospin symmetry, the valley-dependent Berry phase at zero energy may give rise to topologically non-trivial states. Here we measure electron transport through hexagonal boron nitride-encapsulated pentalayer graphene down to 100 mK. We observed a correlated insulating state with resistance at the megaohm level or greater at charge density n = 0 and displacement field D = 0. Tight-binding calculations predict a metallic ground state under these conditions. By increasing D, we observed a Chern insulator state with C = −5 and two other states with C = −3 at a magnetic field of around 1 T. At high D and n, we observed isospin-polarized quarter- and half-metals. Hence, rhombohedral pentalayer graphene exhibits two different types of Fermi-surface instability, one driven by a pair of flat bands touching at zero energy, and one induced by the Stoner mechanism in a single flat band. Our results establish rhombohedral multilayer graphene as a suitable system for exploring intertwined electron correlation and topology phenomena in natural graphitic materials without the need for moiré superlattice engineering.","container-title":"Nature Nanotechnology","DOI":"10.1038/s41565-023-01520-1","ISSN":"1748-3395","issue":"2","journalAbbreviation":"Nat. Nanotechnol.","language":"en","license":"2023 The Author(s), under exclusive licence to Springer Nature Limited","note":"publisher: Nature Publishing Group","page":"181-187","source":"www.nature.com","title":"Correlated insulator and Chern insulators in pentalayer rhombohedral-stacked graphene","volume":"19","author":[{"family":"Han","given":"Tonghang"},{"family":"Lu","given":"Zhengguang"},{"family":"Scuri","given":"Giovanni"},{"family":"Sung","given":"Jiho"},{"family":"Wang","given":"Jue"},{"family":"Han","given":"Tianyi"},{"family":"Watanabe","given":"Kenji"},{"family":"Taniguchi","given":"Takashi"},{"family":"Park","given":"Hongkun"},{"family":"Ju","given":"Long"}],"issued":{"date-parts":[["2024",2]]}}},{"id":4515,"uris":["http://zotero.org/users/5406744/items/PCPTNME4"],"itemData":{"id":4515,"type":"article-journal","abstract":"Ferroic orders describe spontaneous polarization of spin, charge and lattice degrees of freedom in materials. Materials exhibiting multiple ferroic orders, known as multiferroics, have important parts in multifunctional electrical and magnetic device applications1–4. Two-dimensional materials with honeycomb lattices offer opportunities to engineer unconventional multiferroicity, in which the ferroic orders are driven purely by the orbital degrees of freedom and not by electron spin. These include ferro-valleytricity corresponding to the electron valley5 and ferro-orbital-magnetism6 supported by quantum geometric effects. These orbital multiferroics could offer strong valley–magnetic couplings and large responses to external fields—enabling device applications such as multiple-state memory elements and electric control of the valley and magnetic states. Here we report orbital multiferroicity in pentalayer rhombohedral graphene using low-temperature magneto-transport measurements. We observed anomalous Hall signals Rxy with an exceptionally large Hall angle (tanΘH &gt; 0.6) and orbital magnetic hysteresis at hole doping. There are four such states with different valley polarizations and orbital magnetizations, forming a valley–magnetic quartet. By sweeping the gate electric field E, we observed a butterfly-shaped hysteresis of Rxy connecting the quartet. This hysteresis indicates a ferro-valleytronic order that couples to the composite field E · B (where B is the magnetic field), but not to the individual fields. Tuning E would switch each ferroic order independently and achieve non-volatile switching of them together. Our observations demonstrate a previously unknown type of multiferroics and point to electrically tunable ultralow-power valleytronic and magnetic devices.","container-title":"Nature","DOI":"10.1038/s41586-023-06572-w","ISSN":"1476-4687","issue":"7985","language":"en","license":"2023 The Author(s), under exclusive licence to Springer Nature Limited","note":"publisher: Nature Publishing Group","page":"41-47","source":"www.nature.com","title":"Orbital multiferroicity in pentalayer rhombohedral graphene","volume":"623","author":[{"family":"Han","given":"Tonghang"},{"family":"Lu","given":"Zhengguang"},{"family":"Scuri","given":"Giovanni"},{"family":"Sung","given":"Jiho"},{"family":"Wang","given":"Jue"},{"family":"Han","given":"Tianyi"},{"family":"Watanabe","given":"Kenji"},{"family":"Taniguchi","given":"Takashi"},{"family":"Fu","given":"Liang"},{"family":"Park","given":"Hongkun"},{"family":"Ju","given":"Long"}],"issued":{"date-parts":[["2023",11]]}}},{"id":4521,"uris":["http://zotero.org/users/5406744/items/ZB2NJ9CY"],"itemData":{"id":4521,"type":"article-journal","abstract":"The quantum anomalous Hall effect (QAHE) is a robust topological phenomenon that features quantized Hall resistance at zero magnetic field. We report the QAHE in a rhombohedral pentalayer graphene-monolayer tungsten disulfide (WS2) heterostructure. ...","archive_location":"world","container-title":"Science","DOI":"10.1126/science.adk9749","language":"EN","license":"Copyright © 2024 The Authors, some rights reserved; exclusive licensee American Association for the Advancement of Science. No claim to original U.S. Government Works","note":"publisher: American Association for the Advancement of Science","source":"www.science.org","title":"Large quantum anomalous Hall effect in spin-orbit proximitized rhombohedral graphene","URL":"https://www.science.org/doi/10.1126/science.adk9749","author":[{"family":"Han","given":"Tonghang"},{"family":"Lu","given":"Zhengguang"},{"family":"Yao","given":"Yuxuan"},{"family":"Yang","given":"Jixiang"},{"family":"Seo","given":"Junseok"},{"family":"Yoon","given":"Chiho"},{"family":"Watanabe","given":"Kenji"},{"family":"Taniguchi","given":"Takashi"},{"family":"Fu","given":"Liang"},{"family":"Zhang","given":"Fan"},{"family":"Ju","given":"Long"}],"accessed":{"date-parts":[["2024",7,18]]},"issued":{"date-parts":[["2024",5,10]]}}},{"id":4520,"uris":["http://zotero.org/users/5406744/items/CSG2NE8K"],"itemData":{"id":4520,"type":"article-journal","abstract":"The fractional quantum anomalous Hall effect (FQAHE), the analogue of the fractional quantum Hall effect1 at zero magnetic field, is predicted to exist in topological flat bands under spontaneous time-reversal-symmetry breaking2–6. The demonstration of FQAHE could lead to non-Abelian anyons that form the basis of topological quantum computation7–9. So far, FQAHE has been observed only in twisted MoTe2 at a moiré filling factor v &gt; 1/2 (refs. 10–13). Graphene-based moiré superlattices are believed to host FQAHE with the potential advantage of superior material quality and higher electron mobility. Here we report the observation of integer and fractional QAH effects in a rhombohedral pentalayer graphene–hBN moiré superlattice. At zero magnetic field, we observed plateaus of quantized Hall resistance $${R}_{xy}=\\frac{h}{v{{\\rm{e}}}^{2}}$$at v = 1, 2/3, 3/5, 4/7, 4/9, 3/7 and 2/5 of the moiré superlattice, respectively, accompanied by clear dips in the longitudinal resistance Rxx. Rxy equals $$\\frac{2h}{{{\\rm{e}}}^{2}}$$at v = 1/2 and varies linearly with v, similar to the composite Fermi liquid in the half-filled lowest Landau level at high magnetic fields14–16. By tuning the gate-displacement field D and v, we observed phase transitions from composite Fermi liquid and FQAH states to other correlated electron states. Our system provides an ideal platform for exploring charge fractionalization and (non-Abelian) anyonic braiding at zero magnetic field7–9,17–19, especially considering a lateral junction between FQAHE and superconducting regions in the same device20–22.","container-title":"Nature","DOI":"10.1038/s41586-023-07010-7","ISSN":"1476-4687","issue":"8000","language":"en","license":"2024 The Author(s), under exclusive licence to Springer Nature Limited","note":"publisher: Nature Publishing Group","page":"759-764","source":"www.nature.com","title":"Fractional quantum anomalous Hall effect in multilayer graphene","volume":"626","author":[{"family":"Lu","given":"Zhengguang"},{"family":"Han","given":"Tonghang"},{"family":"Yao","given":"Yuxuan"},{"family":"Reddy","given":"Aidan P."},{"family":"Yang","given":"Jixiang"},{"family":"Seo","given":"Junseok"},{"family":"Watanabe","given":"Kenji"},{"family":"Taniguchi","given":"Takashi"},{"family":"Fu","given":"Liang"},{"family":"Ju","given":"Long"}],"issued":{"date-parts":[["2024",2]]}}}],"schema":"https://github.com/citation-style-language/schema/raw/master/csl-citation.json"} </w:instrText>
      </w:r>
      <w:r>
        <w:fldChar w:fldCharType="separate"/>
      </w:r>
      <w:r w:rsidR="004F1BB8" w:rsidRPr="004F1BB8">
        <w:rPr>
          <w:rFonts w:ascii="Calibri" w:hAnsi="Calibri" w:cs="Calibri"/>
          <w:kern w:val="0"/>
          <w:vertAlign w:val="superscript"/>
        </w:rPr>
        <w:t>1,2,7,8</w:t>
      </w:r>
      <w:r>
        <w:fldChar w:fldCharType="end"/>
      </w:r>
      <w:r>
        <w:t>.</w:t>
      </w:r>
    </w:p>
    <w:p w14:paraId="5DCC8627" w14:textId="77777777" w:rsidR="0013589B" w:rsidRDefault="0013589B" w:rsidP="0013589B">
      <w:pPr>
        <w:ind w:firstLine="720"/>
        <w:jc w:val="both"/>
      </w:pPr>
      <w:r>
        <w:t>To preserve the inversion symmetry in D1 and D2, we started from a big TMD flake and cut it into two pieces. One piece was rotated 180° (for D1) or remained in the same orientation (for D2, where a bilayer 2H-WSe</w:t>
      </w:r>
      <w:r w:rsidRPr="4055B882">
        <w:rPr>
          <w:vertAlign w:val="subscript"/>
        </w:rPr>
        <w:t>2</w:t>
      </w:r>
      <w:r>
        <w:t xml:space="preserve"> flake was used) relative to the other piece during the standard dry transfer process of van der Waals heterostructure. We aligned the sharp edge of trilayer graphene and TMD flakes to be ~ 15° to avoid the ambiguity between zigzag- and armchair- edges, but we </w:t>
      </w:r>
      <w:r>
        <w:rPr>
          <w:rFonts w:hint="eastAsia"/>
        </w:rPr>
        <w:t>note</w:t>
      </w:r>
      <w:r>
        <w:t xml:space="preserve"> that the </w:t>
      </w:r>
      <w:r>
        <w:rPr>
          <w:rFonts w:hint="eastAsia"/>
        </w:rPr>
        <w:t>twist angle</w:t>
      </w:r>
      <w:r>
        <w:t xml:space="preserve"> could be off</w:t>
      </w:r>
      <w:r>
        <w:rPr>
          <w:rFonts w:hint="eastAsia"/>
        </w:rPr>
        <w:t xml:space="preserve"> due to the</w:t>
      </w:r>
      <w:r>
        <w:t xml:space="preserve"> sharp edge</w:t>
      </w:r>
      <w:r>
        <w:rPr>
          <w:rFonts w:hint="eastAsia"/>
        </w:rPr>
        <w:t>s</w:t>
      </w:r>
      <w:r>
        <w:t xml:space="preserve"> </w:t>
      </w:r>
      <w:r>
        <w:rPr>
          <w:rFonts w:hint="eastAsia"/>
        </w:rPr>
        <w:t>do</w:t>
      </w:r>
      <w:r>
        <w:t xml:space="preserve"> not always </w:t>
      </w:r>
      <w:r>
        <w:rPr>
          <w:rFonts w:hint="eastAsia"/>
        </w:rPr>
        <w:t>correspond to</w:t>
      </w:r>
      <w:r>
        <w:t xml:space="preserve"> the </w:t>
      </w:r>
      <w:r>
        <w:rPr>
          <w:rFonts w:hint="eastAsia"/>
        </w:rPr>
        <w:t>zigzag or armchair directions.</w:t>
      </w:r>
      <w:r>
        <w:t xml:space="preserve"> We picked up the top hBN, graphite, middle hBN, top TMD, trilayer graphene, and bottom TMD</w:t>
      </w:r>
      <w:r>
        <w:rPr>
          <w:rFonts w:hint="eastAsia"/>
        </w:rPr>
        <w:t xml:space="preserve"> in sequence</w:t>
      </w:r>
      <w:r>
        <w:t xml:space="preserve">, then dropped the stack on a bottom stack </w:t>
      </w:r>
      <w:proofErr w:type="gramStart"/>
      <w:r>
        <w:t>consist</w:t>
      </w:r>
      <w:r>
        <w:rPr>
          <w:rFonts w:hint="eastAsia"/>
        </w:rPr>
        <w:t>ed</w:t>
      </w:r>
      <w:proofErr w:type="gramEnd"/>
      <w:r>
        <w:t xml:space="preserve"> of an hBN and a graphite bottom gate. Standard e-beam lithography, reactive-ion etching, and thermal evaporation method are </w:t>
      </w:r>
      <w:r>
        <w:rPr>
          <w:rFonts w:hint="eastAsia"/>
        </w:rPr>
        <w:t>employed</w:t>
      </w:r>
      <w:r>
        <w:t xml:space="preserve"> to make Cr/Au electrodes and etch the device into a Hall bar </w:t>
      </w:r>
      <w:r>
        <w:rPr>
          <w:rFonts w:hint="eastAsia"/>
        </w:rPr>
        <w:t>geometry</w:t>
      </w:r>
      <w:r>
        <w:t>.</w:t>
      </w:r>
    </w:p>
    <w:p w14:paraId="0A43670E" w14:textId="77777777" w:rsidR="0013589B" w:rsidRDefault="0013589B" w:rsidP="0013589B">
      <w:pPr>
        <w:jc w:val="both"/>
      </w:pPr>
    </w:p>
    <w:p w14:paraId="56D5323E" w14:textId="77777777" w:rsidR="0013589B" w:rsidRPr="0018622F" w:rsidRDefault="0013589B" w:rsidP="0013589B">
      <w:pPr>
        <w:jc w:val="both"/>
        <w:rPr>
          <w:b/>
          <w:bCs/>
        </w:rPr>
      </w:pPr>
      <w:r w:rsidRPr="4055B882">
        <w:rPr>
          <w:b/>
          <w:bCs/>
        </w:rPr>
        <w:t>Transport measurement</w:t>
      </w:r>
    </w:p>
    <w:p w14:paraId="4BF54A2B" w14:textId="77777777" w:rsidR="0013589B" w:rsidRDefault="0013589B" w:rsidP="0013589B">
      <w:pPr>
        <w:jc w:val="both"/>
        <w:rPr>
          <w:color w:val="000000" w:themeColor="text1"/>
        </w:rPr>
      </w:pPr>
      <w:r>
        <w:t xml:space="preserve">The majority of the data was measured in a Bluefors LD250 dilution refrigerator, where the mixing chamber temperature is below 10 </w:t>
      </w:r>
      <w:proofErr w:type="spellStart"/>
      <w:r>
        <w:t>mK</w:t>
      </w:r>
      <w:proofErr w:type="spellEnd"/>
      <w:r>
        <w:t xml:space="preserve">, and the base electronic temperature is around </w:t>
      </w:r>
      <w:r>
        <w:rPr>
          <w:rFonts w:hint="eastAsia"/>
        </w:rPr>
        <w:t>30-</w:t>
      </w:r>
      <w:r>
        <w:t xml:space="preserve">40 </w:t>
      </w:r>
      <w:proofErr w:type="spellStart"/>
      <w:r>
        <w:t>mK.</w:t>
      </w:r>
      <w:proofErr w:type="spellEnd"/>
      <w:r>
        <w:t xml:space="preserve"> Stanford Research Systems SR830 lock-in amplifiers were used to measure the longitudinal and Hall resistance </w:t>
      </w:r>
      <w:r w:rsidRPr="4055B882">
        <w:rPr>
          <w:rFonts w:eastAsia="Times New Roman"/>
          <w:i/>
          <w:iCs/>
          <w:color w:val="000000" w:themeColor="text1"/>
        </w:rPr>
        <w:t>R</w:t>
      </w:r>
      <w:r w:rsidRPr="4055B882">
        <w:rPr>
          <w:rFonts w:eastAsia="Times New Roman"/>
          <w:i/>
          <w:iCs/>
          <w:color w:val="000000" w:themeColor="text1"/>
          <w:vertAlign w:val="subscript"/>
        </w:rPr>
        <w:t>xx</w:t>
      </w:r>
      <w:r w:rsidRPr="4055B882">
        <w:rPr>
          <w:rFonts w:eastAsia="Times New Roman"/>
          <w:color w:val="000000" w:themeColor="text1"/>
        </w:rPr>
        <w:t xml:space="preserve"> and </w:t>
      </w:r>
      <w:proofErr w:type="spellStart"/>
      <w:r w:rsidRPr="4055B882">
        <w:rPr>
          <w:rFonts w:eastAsia="Times New Roman"/>
          <w:i/>
          <w:iCs/>
          <w:color w:val="000000" w:themeColor="text1"/>
        </w:rPr>
        <w:t>R</w:t>
      </w:r>
      <w:r w:rsidRPr="4055B882">
        <w:rPr>
          <w:rFonts w:eastAsia="Times New Roman"/>
          <w:i/>
          <w:iCs/>
          <w:color w:val="000000" w:themeColor="text1"/>
          <w:vertAlign w:val="subscript"/>
        </w:rPr>
        <w:t>xy</w:t>
      </w:r>
      <w:proofErr w:type="spellEnd"/>
      <w:r w:rsidRPr="4055B882">
        <w:rPr>
          <w:color w:val="000000" w:themeColor="text1"/>
        </w:rPr>
        <w:t xml:space="preserve">, with an AC frequency at 17.777 Hz. The AC and DC excitation currents </w:t>
      </w:r>
      <w:r w:rsidRPr="4055B882">
        <w:rPr>
          <w:color w:val="000000" w:themeColor="text1"/>
        </w:rPr>
        <w:lastRenderedPageBreak/>
        <w:t xml:space="preserve">were generated by </w:t>
      </w:r>
      <w:r>
        <w:rPr>
          <w:rFonts w:hint="eastAsia"/>
          <w:color w:val="000000" w:themeColor="text1"/>
        </w:rPr>
        <w:t xml:space="preserve">a </w:t>
      </w:r>
      <w:r w:rsidRPr="4055B882">
        <w:rPr>
          <w:color w:val="000000" w:themeColor="text1"/>
        </w:rPr>
        <w:t xml:space="preserve">Keysight 33210A function generator through a 100 MΩ resistor. We kept the AC excitation current to be 1 nA (except for </w:t>
      </w:r>
      <w:r w:rsidRPr="00615543">
        <w:rPr>
          <w:color w:val="000000" w:themeColor="text1"/>
        </w:rPr>
        <w:t>Fig.</w:t>
      </w:r>
      <w:r>
        <w:rPr>
          <w:rFonts w:hint="eastAsia"/>
          <w:color w:val="000000" w:themeColor="text1"/>
        </w:rPr>
        <w:t xml:space="preserve"> </w:t>
      </w:r>
      <w:r w:rsidRPr="00615543">
        <w:rPr>
          <w:color w:val="000000" w:themeColor="text1"/>
        </w:rPr>
        <w:t>S10i&amp;j</w:t>
      </w:r>
      <w:r w:rsidRPr="4055B882">
        <w:rPr>
          <w:color w:val="000000" w:themeColor="text1"/>
        </w:rPr>
        <w:t xml:space="preserve">, where we use 0.5 nA) to minimize the heating effect. As shown in the inset of </w:t>
      </w:r>
      <w:r w:rsidRPr="00615543">
        <w:rPr>
          <w:color w:val="000000" w:themeColor="text1"/>
        </w:rPr>
        <w:t>Fig.1b</w:t>
      </w:r>
      <w:r w:rsidRPr="4055B882">
        <w:rPr>
          <w:color w:val="000000" w:themeColor="text1"/>
        </w:rPr>
        <w:t>, current was flow</w:t>
      </w:r>
      <w:r>
        <w:rPr>
          <w:rFonts w:hint="eastAsia"/>
          <w:color w:val="000000" w:themeColor="text1"/>
        </w:rPr>
        <w:t>ing</w:t>
      </w:r>
      <w:r w:rsidRPr="4055B882">
        <w:rPr>
          <w:color w:val="000000" w:themeColor="text1"/>
        </w:rPr>
        <w:t xml:space="preserve"> through the contacts labeled by “S” and “D”, and</w:t>
      </w:r>
      <w:r w:rsidRPr="4055B882">
        <w:rPr>
          <w:rFonts w:eastAsia="Times New Roman"/>
          <w:i/>
          <w:iCs/>
          <w:color w:val="000000" w:themeColor="text1"/>
        </w:rPr>
        <w:t xml:space="preserve"> R</w:t>
      </w:r>
      <w:r w:rsidRPr="4055B882">
        <w:rPr>
          <w:rFonts w:eastAsia="Times New Roman"/>
          <w:i/>
          <w:iCs/>
          <w:color w:val="000000" w:themeColor="text1"/>
          <w:vertAlign w:val="subscript"/>
        </w:rPr>
        <w:t>xx</w:t>
      </w:r>
      <w:r w:rsidRPr="4055B882">
        <w:rPr>
          <w:color w:val="000000" w:themeColor="text1"/>
        </w:rPr>
        <w:t xml:space="preserve"> was measured between</w:t>
      </w:r>
      <w:r>
        <w:rPr>
          <w:rFonts w:hint="eastAsia"/>
          <w:color w:val="000000" w:themeColor="text1"/>
        </w:rPr>
        <w:t xml:space="preserve"> </w:t>
      </w:r>
      <w:r w:rsidRPr="4055B882">
        <w:rPr>
          <w:color w:val="000000" w:themeColor="text1"/>
        </w:rPr>
        <w:t xml:space="preserve">electrodes “1” and “2”. We used electrodes “2” &amp; “3” to measure </w:t>
      </w:r>
      <w:proofErr w:type="spellStart"/>
      <w:r w:rsidRPr="4055B882">
        <w:rPr>
          <w:i/>
          <w:iCs/>
          <w:color w:val="000000" w:themeColor="text1"/>
        </w:rPr>
        <w:t>R</w:t>
      </w:r>
      <w:r w:rsidRPr="4055B882">
        <w:rPr>
          <w:i/>
          <w:iCs/>
          <w:color w:val="000000" w:themeColor="text1"/>
          <w:vertAlign w:val="subscript"/>
        </w:rPr>
        <w:t>mix</w:t>
      </w:r>
      <w:proofErr w:type="spellEnd"/>
      <w:r w:rsidRPr="4055B882">
        <w:rPr>
          <w:color w:val="000000" w:themeColor="text1"/>
        </w:rPr>
        <w:t xml:space="preserve">, then we anti-symmetrized the data obtained at opposite magnetic field to extract the </w:t>
      </w:r>
      <w:proofErr w:type="spellStart"/>
      <w:r w:rsidRPr="4055B882">
        <w:rPr>
          <w:i/>
          <w:iCs/>
          <w:color w:val="000000" w:themeColor="text1"/>
        </w:rPr>
        <w:t>R</w:t>
      </w:r>
      <w:r w:rsidRPr="4055B882">
        <w:rPr>
          <w:i/>
          <w:iCs/>
          <w:color w:val="000000" w:themeColor="text1"/>
          <w:vertAlign w:val="subscript"/>
        </w:rPr>
        <w:t>xy</w:t>
      </w:r>
      <w:proofErr w:type="spellEnd"/>
      <w:r w:rsidRPr="4055B882">
        <w:rPr>
          <w:color w:val="000000" w:themeColor="text1"/>
        </w:rPr>
        <w:t xml:space="preserve"> (here ↑ and ↓ represent the sweeping direction of the magnetic field): </w:t>
      </w:r>
      <w:proofErr w:type="spellStart"/>
      <w:r w:rsidRPr="4055B882">
        <w:rPr>
          <w:i/>
          <w:iCs/>
          <w:color w:val="000000" w:themeColor="text1"/>
        </w:rPr>
        <w:t>R</w:t>
      </w:r>
      <w:r w:rsidRPr="4055B882">
        <w:rPr>
          <w:i/>
          <w:iCs/>
          <w:color w:val="000000" w:themeColor="text1"/>
          <w:vertAlign w:val="subscript"/>
        </w:rPr>
        <w:t>xy</w:t>
      </w:r>
      <w:proofErr w:type="spellEnd"/>
      <w:r w:rsidRPr="4055B882">
        <w:rPr>
          <w:color w:val="000000" w:themeColor="text1"/>
          <w:vertAlign w:val="subscript"/>
        </w:rPr>
        <w:t>,↑</w:t>
      </w:r>
      <w:r w:rsidRPr="4055B882">
        <w:rPr>
          <w:color w:val="000000" w:themeColor="text1"/>
        </w:rPr>
        <w:t>(</w:t>
      </w:r>
      <w:r w:rsidRPr="4055B882">
        <w:rPr>
          <w:i/>
          <w:iCs/>
          <w:color w:val="000000" w:themeColor="text1"/>
        </w:rPr>
        <w:t>B</w:t>
      </w:r>
      <w:r w:rsidRPr="4055B882">
        <w:rPr>
          <w:color w:val="000000" w:themeColor="text1"/>
        </w:rPr>
        <w:t>) = (</w:t>
      </w:r>
      <w:proofErr w:type="spellStart"/>
      <w:r w:rsidRPr="4055B882">
        <w:rPr>
          <w:i/>
          <w:iCs/>
          <w:color w:val="000000" w:themeColor="text1"/>
        </w:rPr>
        <w:t>R</w:t>
      </w:r>
      <w:r w:rsidRPr="4055B882">
        <w:rPr>
          <w:i/>
          <w:iCs/>
          <w:color w:val="000000" w:themeColor="text1"/>
          <w:vertAlign w:val="subscript"/>
        </w:rPr>
        <w:t>mix</w:t>
      </w:r>
      <w:proofErr w:type="spellEnd"/>
      <w:r w:rsidRPr="4055B882">
        <w:rPr>
          <w:color w:val="000000" w:themeColor="text1"/>
          <w:vertAlign w:val="subscript"/>
        </w:rPr>
        <w:t>,↑</w:t>
      </w:r>
      <w:r w:rsidRPr="4055B882">
        <w:rPr>
          <w:color w:val="000000" w:themeColor="text1"/>
        </w:rPr>
        <w:t>(</w:t>
      </w:r>
      <w:r w:rsidRPr="4055B882">
        <w:rPr>
          <w:i/>
          <w:iCs/>
          <w:color w:val="000000" w:themeColor="text1"/>
        </w:rPr>
        <w:t>B</w:t>
      </w:r>
      <w:r w:rsidRPr="4055B882">
        <w:rPr>
          <w:color w:val="000000" w:themeColor="text1"/>
        </w:rPr>
        <w:t xml:space="preserve">) - </w:t>
      </w:r>
      <w:proofErr w:type="spellStart"/>
      <w:r w:rsidRPr="4055B882">
        <w:rPr>
          <w:i/>
          <w:iCs/>
          <w:color w:val="000000" w:themeColor="text1"/>
        </w:rPr>
        <w:t>R</w:t>
      </w:r>
      <w:r w:rsidRPr="4055B882">
        <w:rPr>
          <w:i/>
          <w:iCs/>
          <w:color w:val="000000" w:themeColor="text1"/>
          <w:vertAlign w:val="subscript"/>
        </w:rPr>
        <w:t>mix</w:t>
      </w:r>
      <w:proofErr w:type="spellEnd"/>
      <w:r w:rsidRPr="4055B882">
        <w:rPr>
          <w:color w:val="000000" w:themeColor="text1"/>
          <w:vertAlign w:val="subscript"/>
        </w:rPr>
        <w:t>,↓</w:t>
      </w:r>
      <w:r w:rsidRPr="4055B882">
        <w:rPr>
          <w:color w:val="000000" w:themeColor="text1"/>
        </w:rPr>
        <w:t>(-</w:t>
      </w:r>
      <w:r w:rsidRPr="4055B882">
        <w:rPr>
          <w:i/>
          <w:iCs/>
          <w:color w:val="000000" w:themeColor="text1"/>
        </w:rPr>
        <w:t>B</w:t>
      </w:r>
      <w:r w:rsidRPr="4055B882">
        <w:rPr>
          <w:color w:val="000000" w:themeColor="text1"/>
        </w:rPr>
        <w:t xml:space="preserve">))/2, </w:t>
      </w:r>
      <w:proofErr w:type="spellStart"/>
      <w:r w:rsidRPr="4055B882">
        <w:rPr>
          <w:i/>
          <w:iCs/>
          <w:color w:val="000000" w:themeColor="text1"/>
        </w:rPr>
        <w:t>R</w:t>
      </w:r>
      <w:r w:rsidRPr="4055B882">
        <w:rPr>
          <w:i/>
          <w:iCs/>
          <w:color w:val="000000" w:themeColor="text1"/>
          <w:vertAlign w:val="subscript"/>
        </w:rPr>
        <w:t>xy</w:t>
      </w:r>
      <w:proofErr w:type="spellEnd"/>
      <w:r w:rsidRPr="4055B882">
        <w:rPr>
          <w:color w:val="000000" w:themeColor="text1"/>
          <w:vertAlign w:val="subscript"/>
        </w:rPr>
        <w:t>,↓</w:t>
      </w:r>
      <w:r w:rsidRPr="4055B882">
        <w:rPr>
          <w:color w:val="000000" w:themeColor="text1"/>
        </w:rPr>
        <w:t>(</w:t>
      </w:r>
      <w:r w:rsidRPr="4055B882">
        <w:rPr>
          <w:i/>
          <w:iCs/>
          <w:color w:val="000000" w:themeColor="text1"/>
        </w:rPr>
        <w:t>B</w:t>
      </w:r>
      <w:r w:rsidRPr="4055B882">
        <w:rPr>
          <w:color w:val="000000" w:themeColor="text1"/>
        </w:rPr>
        <w:t>) = (</w:t>
      </w:r>
      <w:proofErr w:type="spellStart"/>
      <w:r w:rsidRPr="4055B882">
        <w:rPr>
          <w:i/>
          <w:iCs/>
          <w:color w:val="000000" w:themeColor="text1"/>
        </w:rPr>
        <w:t>R</w:t>
      </w:r>
      <w:r w:rsidRPr="4055B882">
        <w:rPr>
          <w:i/>
          <w:iCs/>
          <w:color w:val="000000" w:themeColor="text1"/>
          <w:vertAlign w:val="subscript"/>
        </w:rPr>
        <w:t>mix</w:t>
      </w:r>
      <w:proofErr w:type="spellEnd"/>
      <w:r w:rsidRPr="4055B882">
        <w:rPr>
          <w:color w:val="000000" w:themeColor="text1"/>
          <w:vertAlign w:val="subscript"/>
        </w:rPr>
        <w:t>,↓</w:t>
      </w:r>
      <w:r w:rsidRPr="4055B882">
        <w:rPr>
          <w:color w:val="000000" w:themeColor="text1"/>
        </w:rPr>
        <w:t>(</w:t>
      </w:r>
      <w:r w:rsidRPr="4055B882">
        <w:rPr>
          <w:i/>
          <w:iCs/>
          <w:color w:val="000000" w:themeColor="text1"/>
        </w:rPr>
        <w:t>B</w:t>
      </w:r>
      <w:r w:rsidRPr="4055B882">
        <w:rPr>
          <w:color w:val="000000" w:themeColor="text1"/>
        </w:rPr>
        <w:t xml:space="preserve">) - </w:t>
      </w:r>
      <w:proofErr w:type="spellStart"/>
      <w:r w:rsidRPr="4055B882">
        <w:rPr>
          <w:i/>
          <w:iCs/>
          <w:color w:val="000000" w:themeColor="text1"/>
        </w:rPr>
        <w:t>R</w:t>
      </w:r>
      <w:r w:rsidRPr="4055B882">
        <w:rPr>
          <w:i/>
          <w:iCs/>
          <w:color w:val="000000" w:themeColor="text1"/>
          <w:vertAlign w:val="subscript"/>
        </w:rPr>
        <w:t>mix</w:t>
      </w:r>
      <w:proofErr w:type="spellEnd"/>
      <w:r w:rsidRPr="4055B882">
        <w:rPr>
          <w:color w:val="000000" w:themeColor="text1"/>
          <w:vertAlign w:val="subscript"/>
        </w:rPr>
        <w:t>,↑</w:t>
      </w:r>
      <w:r w:rsidRPr="4055B882">
        <w:rPr>
          <w:color w:val="000000" w:themeColor="text1"/>
        </w:rPr>
        <w:t>(-</w:t>
      </w:r>
      <w:r w:rsidRPr="4055B882">
        <w:rPr>
          <w:i/>
          <w:iCs/>
          <w:color w:val="000000" w:themeColor="text1"/>
        </w:rPr>
        <w:t>B</w:t>
      </w:r>
      <w:r w:rsidRPr="4055B882">
        <w:rPr>
          <w:color w:val="000000" w:themeColor="text1"/>
        </w:rPr>
        <w:t>))/2.</w:t>
      </w:r>
      <w:r>
        <w:rPr>
          <w:rFonts w:hint="eastAsia"/>
          <w:color w:val="000000" w:themeColor="text1"/>
        </w:rPr>
        <w:t xml:space="preserve"> For </w:t>
      </w:r>
      <w:proofErr w:type="spellStart"/>
      <w:r>
        <w:rPr>
          <w:rFonts w:hint="eastAsia"/>
          <w:color w:val="000000" w:themeColor="text1"/>
        </w:rPr>
        <w:t>d</w:t>
      </w:r>
      <w:r w:rsidRPr="00357C6C">
        <w:rPr>
          <w:rFonts w:hint="eastAsia"/>
          <w:i/>
          <w:iCs/>
          <w:color w:val="000000" w:themeColor="text1"/>
        </w:rPr>
        <w:t>V</w:t>
      </w:r>
      <w:proofErr w:type="spellEnd"/>
      <w:r>
        <w:rPr>
          <w:rFonts w:hint="eastAsia"/>
          <w:color w:val="000000" w:themeColor="text1"/>
        </w:rPr>
        <w:t>/</w:t>
      </w:r>
      <w:proofErr w:type="spellStart"/>
      <w:r>
        <w:rPr>
          <w:rFonts w:hint="eastAsia"/>
          <w:color w:val="000000" w:themeColor="text1"/>
        </w:rPr>
        <w:t>d</w:t>
      </w:r>
      <w:r w:rsidRPr="00357C6C">
        <w:rPr>
          <w:rFonts w:hint="eastAsia"/>
          <w:i/>
          <w:iCs/>
          <w:color w:val="000000" w:themeColor="text1"/>
        </w:rPr>
        <w:t>I</w:t>
      </w:r>
      <w:proofErr w:type="spellEnd"/>
      <w:r>
        <w:rPr>
          <w:rFonts w:hint="eastAsia"/>
          <w:color w:val="000000" w:themeColor="text1"/>
        </w:rPr>
        <w:t xml:space="preserve">, we use the same contacts as </w:t>
      </w:r>
      <w:r w:rsidRPr="00AC4DB4">
        <w:rPr>
          <w:i/>
          <w:iCs/>
          <w:color w:val="000000" w:themeColor="text1"/>
        </w:rPr>
        <w:t>R</w:t>
      </w:r>
      <w:r w:rsidRPr="00AC4DB4">
        <w:rPr>
          <w:i/>
          <w:iCs/>
          <w:color w:val="000000" w:themeColor="text1"/>
          <w:vertAlign w:val="subscript"/>
        </w:rPr>
        <w:t>xx</w:t>
      </w:r>
      <w:r>
        <w:rPr>
          <w:rFonts w:hint="eastAsia"/>
          <w:color w:val="000000" w:themeColor="text1"/>
        </w:rPr>
        <w:t xml:space="preserve">, but we would </w:t>
      </w:r>
      <w:r>
        <w:rPr>
          <w:color w:val="000000" w:themeColor="text1"/>
        </w:rPr>
        <w:t>apply</w:t>
      </w:r>
      <w:r>
        <w:rPr>
          <w:rFonts w:hint="eastAsia"/>
          <w:color w:val="000000" w:themeColor="text1"/>
        </w:rPr>
        <w:t xml:space="preserve"> both AC and DC bias simultaneously on the sample. We simply calculate the direct current </w:t>
      </w:r>
      <w:r w:rsidRPr="00AC4DB4">
        <w:rPr>
          <w:i/>
          <w:iCs/>
          <w:color w:val="000000" w:themeColor="text1"/>
        </w:rPr>
        <w:t>I</w:t>
      </w:r>
      <w:r w:rsidRPr="00AC4DB4">
        <w:rPr>
          <w:i/>
          <w:iCs/>
          <w:color w:val="000000" w:themeColor="text1"/>
          <w:vertAlign w:val="subscript"/>
        </w:rPr>
        <w:t>DC</w:t>
      </w:r>
      <w:r>
        <w:rPr>
          <w:rFonts w:hint="eastAsia"/>
          <w:color w:val="000000" w:themeColor="text1"/>
        </w:rPr>
        <w:t xml:space="preserve"> = </w:t>
      </w:r>
      <w:r w:rsidRPr="00AC4DB4">
        <w:rPr>
          <w:i/>
          <w:iCs/>
          <w:color w:val="000000" w:themeColor="text1"/>
        </w:rPr>
        <w:t>V</w:t>
      </w:r>
      <w:r w:rsidRPr="00AC4DB4">
        <w:rPr>
          <w:i/>
          <w:iCs/>
          <w:color w:val="000000" w:themeColor="text1"/>
          <w:vertAlign w:val="subscript"/>
        </w:rPr>
        <w:t>DC</w:t>
      </w:r>
      <w:r>
        <w:rPr>
          <w:rFonts w:hint="eastAsia"/>
          <w:color w:val="000000" w:themeColor="text1"/>
        </w:rPr>
        <w:t xml:space="preserve"> / 100 </w:t>
      </w:r>
      <w:r w:rsidRPr="4055B882">
        <w:rPr>
          <w:color w:val="000000" w:themeColor="text1"/>
        </w:rPr>
        <w:t>MΩ</w:t>
      </w:r>
      <w:r>
        <w:rPr>
          <w:rFonts w:hint="eastAsia"/>
          <w:color w:val="000000" w:themeColor="text1"/>
        </w:rPr>
        <w:t>, since the two-terminal contact resistance of our sample is ~ 10 k</w:t>
      </w:r>
      <w:r w:rsidRPr="4055B882">
        <w:rPr>
          <w:color w:val="000000" w:themeColor="text1"/>
        </w:rPr>
        <w:t xml:space="preserve">Ω </w:t>
      </w:r>
      <w:r>
        <w:rPr>
          <w:rFonts w:hint="eastAsia"/>
          <w:color w:val="000000" w:themeColor="text1"/>
        </w:rPr>
        <w:t xml:space="preserve">and is negligible </w:t>
      </w:r>
      <w:r>
        <w:rPr>
          <w:color w:val="000000" w:themeColor="text1"/>
        </w:rPr>
        <w:t>compared</w:t>
      </w:r>
      <w:r>
        <w:rPr>
          <w:rFonts w:hint="eastAsia"/>
          <w:color w:val="000000" w:themeColor="text1"/>
        </w:rPr>
        <w:t xml:space="preserve"> to the 100 </w:t>
      </w:r>
      <w:r w:rsidRPr="4055B882">
        <w:rPr>
          <w:color w:val="000000" w:themeColor="text1"/>
        </w:rPr>
        <w:t xml:space="preserve">MΩ </w:t>
      </w:r>
      <w:r>
        <w:rPr>
          <w:rFonts w:hint="eastAsia"/>
          <w:color w:val="000000" w:themeColor="text1"/>
        </w:rPr>
        <w:t>resistor.</w:t>
      </w:r>
    </w:p>
    <w:p w14:paraId="1C2B1EB4" w14:textId="17F34CBF" w:rsidR="0013589B" w:rsidRDefault="0013589B" w:rsidP="0013589B">
      <w:pPr>
        <w:ind w:firstLine="720"/>
        <w:jc w:val="both"/>
        <w:rPr>
          <w:color w:val="000000" w:themeColor="text1"/>
        </w:rPr>
      </w:pPr>
      <w:r w:rsidRPr="4055B882">
        <w:rPr>
          <w:color w:val="000000" w:themeColor="text1"/>
        </w:rPr>
        <w:t xml:space="preserve">The top and bottom gate voltages were applied through Keithley 2400 source-meters. The carrier density </w:t>
      </w:r>
      <w:r w:rsidRPr="4055B882">
        <w:rPr>
          <w:i/>
          <w:iCs/>
          <w:color w:val="000000" w:themeColor="text1"/>
        </w:rPr>
        <w:t>n</w:t>
      </w:r>
      <w:r w:rsidRPr="4055B882">
        <w:rPr>
          <w:color w:val="000000" w:themeColor="text1"/>
        </w:rPr>
        <w:t xml:space="preserve"> and displacement field </w:t>
      </w:r>
      <w:r w:rsidRPr="4055B882">
        <w:rPr>
          <w:i/>
          <w:iCs/>
          <w:color w:val="000000" w:themeColor="text1"/>
        </w:rPr>
        <w:t>D</w:t>
      </w:r>
      <w:r w:rsidRPr="4055B882">
        <w:rPr>
          <w:color w:val="000000" w:themeColor="text1"/>
        </w:rPr>
        <w:t xml:space="preserve"> can be calculated from the top and bottom gate voltage</w:t>
      </w:r>
      <w:r>
        <w:rPr>
          <w:rFonts w:hint="eastAsia"/>
          <w:color w:val="000000" w:themeColor="text1"/>
        </w:rPr>
        <w:t>s</w:t>
      </w:r>
      <w:r w:rsidRPr="4055B882">
        <w:rPr>
          <w:color w:val="000000" w:themeColor="text1"/>
        </w:rPr>
        <w:t xml:space="preserve"> </w:t>
      </w:r>
      <w:r w:rsidRPr="4055B882">
        <w:rPr>
          <w:i/>
          <w:iCs/>
          <w:color w:val="000000" w:themeColor="text1"/>
        </w:rPr>
        <w:t>V</w:t>
      </w:r>
      <w:r w:rsidRPr="4055B882">
        <w:rPr>
          <w:i/>
          <w:iCs/>
          <w:color w:val="000000" w:themeColor="text1"/>
          <w:vertAlign w:val="subscript"/>
        </w:rPr>
        <w:t>t</w:t>
      </w:r>
      <w:r w:rsidRPr="4055B882">
        <w:rPr>
          <w:color w:val="000000" w:themeColor="text1"/>
        </w:rPr>
        <w:t xml:space="preserve"> and </w:t>
      </w:r>
      <w:proofErr w:type="spellStart"/>
      <w:r w:rsidRPr="4055B882">
        <w:rPr>
          <w:i/>
          <w:iCs/>
          <w:color w:val="000000" w:themeColor="text1"/>
        </w:rPr>
        <w:t>V</w:t>
      </w:r>
      <w:r w:rsidRPr="4055B882">
        <w:rPr>
          <w:i/>
          <w:iCs/>
          <w:color w:val="000000" w:themeColor="text1"/>
          <w:vertAlign w:val="subscript"/>
        </w:rPr>
        <w:t>b</w:t>
      </w:r>
      <w:proofErr w:type="spellEnd"/>
      <w:r w:rsidRPr="4055B882">
        <w:rPr>
          <w:color w:val="000000" w:themeColor="text1"/>
        </w:rPr>
        <w:t xml:space="preserve">: </w:t>
      </w:r>
      <w:r w:rsidRPr="4055B882">
        <w:rPr>
          <w:i/>
          <w:iCs/>
          <w:color w:val="000000" w:themeColor="text1"/>
        </w:rPr>
        <w:t>n</w:t>
      </w:r>
      <w:r>
        <w:rPr>
          <w:rFonts w:hint="eastAsia"/>
          <w:i/>
          <w:iCs/>
          <w:color w:val="000000" w:themeColor="text1"/>
        </w:rPr>
        <w:t xml:space="preserve"> </w:t>
      </w:r>
      <w:r w:rsidRPr="4055B882">
        <w:rPr>
          <w:color w:val="000000" w:themeColor="text1"/>
        </w:rPr>
        <w:t>=</w:t>
      </w:r>
      <w:r>
        <w:rPr>
          <w:rFonts w:hint="eastAsia"/>
          <w:color w:val="000000" w:themeColor="text1"/>
        </w:rPr>
        <w:t xml:space="preserve"> </w:t>
      </w:r>
      <w:r w:rsidRPr="4055B882">
        <w:rPr>
          <w:color w:val="000000" w:themeColor="text1"/>
        </w:rPr>
        <w:t>(</w:t>
      </w:r>
      <w:proofErr w:type="spellStart"/>
      <w:r w:rsidRPr="4055B882">
        <w:rPr>
          <w:i/>
          <w:iCs/>
          <w:color w:val="000000" w:themeColor="text1"/>
        </w:rPr>
        <w:t>C</w:t>
      </w:r>
      <w:r w:rsidRPr="4055B882">
        <w:rPr>
          <w:i/>
          <w:iCs/>
          <w:color w:val="000000" w:themeColor="text1"/>
          <w:vertAlign w:val="subscript"/>
        </w:rPr>
        <w:t>t</w:t>
      </w:r>
      <w:r w:rsidRPr="4055B882">
        <w:rPr>
          <w:i/>
          <w:iCs/>
          <w:color w:val="000000" w:themeColor="text1"/>
        </w:rPr>
        <w:t>V</w:t>
      </w:r>
      <w:r w:rsidRPr="4055B882">
        <w:rPr>
          <w:i/>
          <w:iCs/>
          <w:color w:val="000000" w:themeColor="text1"/>
          <w:vertAlign w:val="subscript"/>
        </w:rPr>
        <w:t>t</w:t>
      </w:r>
      <w:r w:rsidRPr="4055B882">
        <w:rPr>
          <w:color w:val="000000" w:themeColor="text1"/>
        </w:rPr>
        <w:t>+</w:t>
      </w:r>
      <w:r w:rsidRPr="4055B882">
        <w:rPr>
          <w:i/>
          <w:iCs/>
          <w:color w:val="000000" w:themeColor="text1"/>
        </w:rPr>
        <w:t>C</w:t>
      </w:r>
      <w:r w:rsidRPr="4055B882">
        <w:rPr>
          <w:i/>
          <w:iCs/>
          <w:color w:val="000000" w:themeColor="text1"/>
          <w:vertAlign w:val="subscript"/>
        </w:rPr>
        <w:t>b</w:t>
      </w:r>
      <w:r w:rsidRPr="4055B882">
        <w:rPr>
          <w:i/>
          <w:iCs/>
          <w:color w:val="000000" w:themeColor="text1"/>
        </w:rPr>
        <w:t>V</w:t>
      </w:r>
      <w:r w:rsidRPr="4055B882">
        <w:rPr>
          <w:i/>
          <w:iCs/>
          <w:color w:val="000000" w:themeColor="text1"/>
          <w:vertAlign w:val="subscript"/>
        </w:rPr>
        <w:t>b</w:t>
      </w:r>
      <w:proofErr w:type="spellEnd"/>
      <w:r w:rsidRPr="4055B882">
        <w:rPr>
          <w:color w:val="000000" w:themeColor="text1"/>
        </w:rPr>
        <w:t>)/</w:t>
      </w:r>
      <w:r w:rsidRPr="4055B882">
        <w:rPr>
          <w:i/>
          <w:iCs/>
          <w:color w:val="000000" w:themeColor="text1"/>
        </w:rPr>
        <w:t>e</w:t>
      </w:r>
      <w:r w:rsidRPr="4055B882">
        <w:rPr>
          <w:color w:val="000000" w:themeColor="text1"/>
        </w:rPr>
        <w:t xml:space="preserve"> and </w:t>
      </w:r>
      <w:r w:rsidRPr="4055B882">
        <w:rPr>
          <w:i/>
          <w:iCs/>
          <w:color w:val="000000" w:themeColor="text1"/>
        </w:rPr>
        <w:t>D</w:t>
      </w:r>
      <w:r>
        <w:rPr>
          <w:rFonts w:hint="eastAsia"/>
          <w:i/>
          <w:iCs/>
          <w:color w:val="000000" w:themeColor="text1"/>
        </w:rPr>
        <w:t xml:space="preserve"> </w:t>
      </w:r>
      <w:r w:rsidRPr="4055B882">
        <w:rPr>
          <w:color w:val="000000" w:themeColor="text1"/>
        </w:rPr>
        <w:t>=</w:t>
      </w:r>
      <w:r>
        <w:rPr>
          <w:rFonts w:hint="eastAsia"/>
          <w:color w:val="000000" w:themeColor="text1"/>
        </w:rPr>
        <w:t xml:space="preserve"> </w:t>
      </w:r>
      <w:r w:rsidRPr="4055B882">
        <w:rPr>
          <w:i/>
          <w:iCs/>
          <w:color w:val="000000" w:themeColor="text1"/>
        </w:rPr>
        <w:t>ε</w:t>
      </w:r>
      <w:r w:rsidRPr="4055B882">
        <w:rPr>
          <w:i/>
          <w:iCs/>
          <w:color w:val="000000" w:themeColor="text1"/>
          <w:vertAlign w:val="subscript"/>
        </w:rPr>
        <w:t>0</w:t>
      </w:r>
      <w:r w:rsidRPr="4055B882">
        <w:rPr>
          <w:color w:val="000000" w:themeColor="text1"/>
        </w:rPr>
        <w:t>(</w:t>
      </w:r>
      <w:proofErr w:type="spellStart"/>
      <w:r w:rsidRPr="4055B882">
        <w:rPr>
          <w:i/>
          <w:iCs/>
          <w:color w:val="000000" w:themeColor="text1"/>
        </w:rPr>
        <w:t>C</w:t>
      </w:r>
      <w:r w:rsidRPr="4055B882">
        <w:rPr>
          <w:i/>
          <w:iCs/>
          <w:color w:val="000000" w:themeColor="text1"/>
          <w:vertAlign w:val="subscript"/>
        </w:rPr>
        <w:t>t</w:t>
      </w:r>
      <w:r w:rsidRPr="4055B882">
        <w:rPr>
          <w:i/>
          <w:iCs/>
          <w:color w:val="000000" w:themeColor="text1"/>
        </w:rPr>
        <w:t>V</w:t>
      </w:r>
      <w:r w:rsidRPr="4055B882">
        <w:rPr>
          <w:i/>
          <w:iCs/>
          <w:color w:val="000000" w:themeColor="text1"/>
          <w:vertAlign w:val="subscript"/>
        </w:rPr>
        <w:t>t</w:t>
      </w:r>
      <w:r w:rsidRPr="4055B882">
        <w:rPr>
          <w:i/>
          <w:iCs/>
          <w:color w:val="000000" w:themeColor="text1"/>
        </w:rPr>
        <w:t>-C</w:t>
      </w:r>
      <w:r w:rsidRPr="4055B882">
        <w:rPr>
          <w:i/>
          <w:iCs/>
          <w:color w:val="000000" w:themeColor="text1"/>
          <w:vertAlign w:val="subscript"/>
        </w:rPr>
        <w:t>b</w:t>
      </w:r>
      <w:r w:rsidRPr="4055B882">
        <w:rPr>
          <w:i/>
          <w:iCs/>
          <w:color w:val="000000" w:themeColor="text1"/>
        </w:rPr>
        <w:t>V</w:t>
      </w:r>
      <w:r w:rsidRPr="4055B882">
        <w:rPr>
          <w:i/>
          <w:iCs/>
          <w:color w:val="000000" w:themeColor="text1"/>
          <w:vertAlign w:val="subscript"/>
        </w:rPr>
        <w:t>b</w:t>
      </w:r>
      <w:proofErr w:type="spellEnd"/>
      <w:r w:rsidRPr="4055B882">
        <w:rPr>
          <w:color w:val="000000" w:themeColor="text1"/>
        </w:rPr>
        <w:t xml:space="preserve">)/2, where </w:t>
      </w:r>
      <w:proofErr w:type="spellStart"/>
      <w:r w:rsidRPr="4055B882">
        <w:rPr>
          <w:i/>
          <w:iCs/>
          <w:color w:val="000000" w:themeColor="text1"/>
        </w:rPr>
        <w:t>e</w:t>
      </w:r>
      <w:proofErr w:type="spellEnd"/>
      <w:r w:rsidRPr="4055B882">
        <w:rPr>
          <w:color w:val="000000" w:themeColor="text1"/>
        </w:rPr>
        <w:t xml:space="preserve"> is elementary charge, </w:t>
      </w:r>
      <w:r w:rsidRPr="4055B882">
        <w:rPr>
          <w:i/>
          <w:iCs/>
          <w:color w:val="000000" w:themeColor="text1"/>
        </w:rPr>
        <w:t>ε</w:t>
      </w:r>
      <w:r w:rsidRPr="4055B882">
        <w:rPr>
          <w:i/>
          <w:iCs/>
          <w:color w:val="000000" w:themeColor="text1"/>
          <w:vertAlign w:val="subscript"/>
        </w:rPr>
        <w:t>0</w:t>
      </w:r>
      <w:r w:rsidRPr="4055B882">
        <w:rPr>
          <w:i/>
          <w:iCs/>
          <w:color w:val="000000" w:themeColor="text1"/>
        </w:rPr>
        <w:t xml:space="preserve"> </w:t>
      </w:r>
      <w:r w:rsidRPr="4055B882">
        <w:rPr>
          <w:color w:val="000000" w:themeColor="text1"/>
        </w:rPr>
        <w:t xml:space="preserve">is vacuum permittivity, and </w:t>
      </w:r>
      <w:r w:rsidRPr="4055B882">
        <w:rPr>
          <w:i/>
          <w:iCs/>
          <w:color w:val="000000" w:themeColor="text1"/>
        </w:rPr>
        <w:t>C</w:t>
      </w:r>
      <w:r w:rsidRPr="4055B882">
        <w:rPr>
          <w:i/>
          <w:iCs/>
          <w:color w:val="000000" w:themeColor="text1"/>
          <w:vertAlign w:val="subscript"/>
        </w:rPr>
        <w:t>t</w:t>
      </w:r>
      <w:r w:rsidRPr="4055B882">
        <w:rPr>
          <w:color w:val="000000" w:themeColor="text1"/>
        </w:rPr>
        <w:t xml:space="preserve"> &amp; </w:t>
      </w:r>
      <w:proofErr w:type="spellStart"/>
      <w:r w:rsidRPr="4055B882">
        <w:rPr>
          <w:i/>
          <w:iCs/>
          <w:color w:val="000000" w:themeColor="text1"/>
        </w:rPr>
        <w:t>C</w:t>
      </w:r>
      <w:r w:rsidRPr="4055B882">
        <w:rPr>
          <w:i/>
          <w:iCs/>
          <w:color w:val="000000" w:themeColor="text1"/>
          <w:vertAlign w:val="subscript"/>
        </w:rPr>
        <w:t>b</w:t>
      </w:r>
      <w:proofErr w:type="spellEnd"/>
      <w:r w:rsidRPr="4055B882">
        <w:rPr>
          <w:color w:val="000000" w:themeColor="text1"/>
        </w:rPr>
        <w:t xml:space="preserve"> are the capacitance between the trilayer graphene and top</w:t>
      </w:r>
      <w:r>
        <w:rPr>
          <w:rFonts w:hint="eastAsia"/>
          <w:color w:val="000000" w:themeColor="text1"/>
        </w:rPr>
        <w:t xml:space="preserve"> &amp; </w:t>
      </w:r>
      <w:r w:rsidRPr="4055B882">
        <w:rPr>
          <w:color w:val="000000" w:themeColor="text1"/>
        </w:rPr>
        <w:t xml:space="preserve">bottom graphite gates, which are determined by the </w:t>
      </w:r>
      <w:proofErr w:type="spellStart"/>
      <w:r w:rsidRPr="4055B882">
        <w:rPr>
          <w:color w:val="000000" w:themeColor="text1"/>
        </w:rPr>
        <w:t>Streda</w:t>
      </w:r>
      <w:proofErr w:type="spellEnd"/>
      <w:r w:rsidRPr="4055B882">
        <w:rPr>
          <w:color w:val="000000" w:themeColor="text1"/>
        </w:rPr>
        <w:t xml:space="preserve"> formula in the Landau fan diagram</w:t>
      </w:r>
      <w:r>
        <w:rPr>
          <w:color w:val="000000" w:themeColor="text1"/>
        </w:rPr>
        <w:fldChar w:fldCharType="begin"/>
      </w:r>
      <w:r w:rsidR="00BF4618">
        <w:rPr>
          <w:color w:val="000000" w:themeColor="text1"/>
        </w:rPr>
        <w:instrText xml:space="preserve"> ADDIN ZOTERO_ITEM CSL_CITATION {"citationID":"RSG7QsuJ","properties":{"formattedCitation":"\\super 55\\nosupersub{}","plainCitation":"55","noteIndex":0},"citationItems":[{"id":1854,"uris":["http://zotero.org/users/5406744/items/YDM8EYGD"],"itemData":{"id":1854,"type":"article-journal","abstract":"Monolayer graphene aligned with hexagonal boron nitride (h−BN) develops a gap at the charge neutrality point (CNP). This gap has previously been extensively studied by electrical transport through thermal activation measurements. Here, we report the determination of the gap size at the CNP of graphene/h−BN superlattice through photocurrent spectroscopy study. We demonstrate two distinct measurement approaches to extract the gap size. A maximum of </w:instrText>
      </w:r>
      <w:r w:rsidR="00BF4618">
        <w:rPr>
          <w:rFonts w:ascii="Cambria Math" w:hAnsi="Cambria Math" w:cs="Cambria Math"/>
          <w:color w:val="000000" w:themeColor="text1"/>
        </w:rPr>
        <w:instrText>∼</w:instrText>
      </w:r>
      <w:r w:rsidR="00BF4618">
        <w:rPr>
          <w:color w:val="000000" w:themeColor="text1"/>
        </w:rPr>
        <w:instrText>14 meV gap is observed for devices with a twist angle of less than 1</w:instrText>
      </w:r>
      <w:r w:rsidR="00BF4618">
        <w:rPr>
          <w:rFonts w:ascii="Calibri" w:hAnsi="Calibri" w:cs="Calibri"/>
          <w:color w:val="000000" w:themeColor="text1"/>
        </w:rPr>
        <w:instrText>°</w:instrText>
      </w:r>
      <w:r w:rsidR="00BF4618">
        <w:rPr>
          <w:color w:val="000000" w:themeColor="text1"/>
        </w:rPr>
        <w:instrText xml:space="preserve">. This value is significantly smaller than that obtained from thermal activation measurements, yet larger than the theoretically predicted single-particle gap. Our results suggest that lattice relaxation and moderate electron-electron interaction effects may enhance the CNP gap in graphene/h−BN superlattice.","container-title":"Physical Review Letters","DOI":"10.1103/PhysRevLett.126.146402","issue":"14","journalAbbreviation":"Phys. Rev. Lett.","note":"publisher: American Physical Society","page":"146402","source":"APS","title":"Accurate Measurement of the Gap of Graphene/h-BN Moir\\'e Superlattice through Photocurrent Spectroscopy","volume":"126","author":[{"family":"Han","given":"Tianyi"},{"family":"Yang","given":"Jixiang"},{"family":"Zhang","given":"Qihang"},{"family":"Wang","given":"Lei"},{"family":"Watanabe","given":"Kenji"},{"family":"Taniguchi","given":"Takashi"},{"family":"McEuen","given":"Paul L."},{"family":"Ju","given":"Long"}],"issued":{"date-parts":[["2021",4,9]]}}}],"schema":"https://github.com/citation-style-language/schema/raw/master/csl-citation.json"} </w:instrText>
      </w:r>
      <w:r>
        <w:rPr>
          <w:color w:val="000000" w:themeColor="text1"/>
        </w:rPr>
        <w:fldChar w:fldCharType="separate"/>
      </w:r>
      <w:r w:rsidR="00BF4618" w:rsidRPr="00BF4618">
        <w:rPr>
          <w:rFonts w:ascii="Calibri" w:hAnsi="Calibri" w:cs="Calibri"/>
          <w:kern w:val="0"/>
          <w:vertAlign w:val="superscript"/>
        </w:rPr>
        <w:t>55</w:t>
      </w:r>
      <w:r>
        <w:rPr>
          <w:color w:val="000000" w:themeColor="text1"/>
        </w:rPr>
        <w:fldChar w:fldCharType="end"/>
      </w:r>
      <w:r w:rsidRPr="4055B882">
        <w:rPr>
          <w:color w:val="000000" w:themeColor="text1"/>
        </w:rPr>
        <w:t>. When measuring the superconducting states, a large voltage will be applied to the global silicon gate to tune the contact resistance to maximize the critical current. The global silicon gate won’t affect the critical temperature of these superconductivit</w:t>
      </w:r>
      <w:r>
        <w:rPr>
          <w:rFonts w:hint="eastAsia"/>
          <w:color w:val="000000" w:themeColor="text1"/>
        </w:rPr>
        <w:t>ies</w:t>
      </w:r>
      <w:r w:rsidRPr="4055B882">
        <w:rPr>
          <w:color w:val="000000" w:themeColor="text1"/>
        </w:rPr>
        <w:t xml:space="preserve"> significantly.</w:t>
      </w:r>
    </w:p>
    <w:p w14:paraId="3D459304" w14:textId="77777777" w:rsidR="0013589B" w:rsidRPr="00CC1B99" w:rsidRDefault="0013589B" w:rsidP="0013589B">
      <w:pPr>
        <w:ind w:firstLine="720"/>
        <w:jc w:val="both"/>
        <w:rPr>
          <w:color w:val="000000" w:themeColor="text1"/>
        </w:rPr>
      </w:pPr>
      <w:r w:rsidRPr="4055B882">
        <w:rPr>
          <w:color w:val="000000" w:themeColor="text1"/>
        </w:rPr>
        <w:t xml:space="preserve">The data with in-plane magnetic field was measured in another Oxford Triton dilution refrigerator where the sample </w:t>
      </w:r>
      <w:r>
        <w:rPr>
          <w:rFonts w:hint="eastAsia"/>
          <w:color w:val="000000" w:themeColor="text1"/>
        </w:rPr>
        <w:t>is</w:t>
      </w:r>
      <w:r w:rsidRPr="4055B882">
        <w:rPr>
          <w:color w:val="000000" w:themeColor="text1"/>
        </w:rPr>
        <w:t xml:space="preserve"> mounted on a home-made rotator. To align the sample perfectly parallel to the magnetic field, we used the SC4 state itself as an indicator to fine tune the rotator angle, since ~ 20 </w:t>
      </w:r>
      <w:proofErr w:type="spellStart"/>
      <w:r w:rsidRPr="4055B882">
        <w:rPr>
          <w:color w:val="000000" w:themeColor="text1"/>
        </w:rPr>
        <w:t>mT</w:t>
      </w:r>
      <w:proofErr w:type="spellEnd"/>
      <w:r w:rsidRPr="4055B882">
        <w:rPr>
          <w:color w:val="000000" w:themeColor="text1"/>
        </w:rPr>
        <w:t xml:space="preserve"> of out-of-plane magnetic field is enough to fully suppress the superconductivity. We estimate the aligning accuracy to be ~ 0.4°</w:t>
      </w:r>
      <w:r>
        <w:rPr>
          <w:rFonts w:hint="eastAsia"/>
          <w:color w:val="000000" w:themeColor="text1"/>
        </w:rPr>
        <w:t xml:space="preserve"> since </w:t>
      </w:r>
      <w:proofErr w:type="spellStart"/>
      <w:proofErr w:type="gramStart"/>
      <w:r w:rsidRPr="4055B882">
        <w:rPr>
          <w:i/>
          <w:iCs/>
        </w:rPr>
        <w:t>B</w:t>
      </w:r>
      <w:r w:rsidRPr="4055B882">
        <w:rPr>
          <w:i/>
          <w:iCs/>
          <w:vertAlign w:val="subscript"/>
        </w:rPr>
        <w:t>c</w:t>
      </w:r>
      <w:proofErr w:type="spellEnd"/>
      <w:r w:rsidRPr="4055B882">
        <w:rPr>
          <w:i/>
          <w:iCs/>
          <w:vertAlign w:val="subscript"/>
        </w:rPr>
        <w:t>,</w:t>
      </w:r>
      <w:r w:rsidRPr="4055B882">
        <w:rPr>
          <w:vertAlign w:val="subscript"/>
        </w:rPr>
        <w:t>‖</w:t>
      </w:r>
      <w:proofErr w:type="gramEnd"/>
      <w:r w:rsidRPr="00AC4DB4">
        <w:t xml:space="preserve"> we</w:t>
      </w:r>
      <w:r>
        <w:rPr>
          <w:rFonts w:hint="eastAsia"/>
          <w:color w:val="000000" w:themeColor="text1"/>
        </w:rPr>
        <w:t xml:space="preserve"> obtained is ~ 1.5 T</w:t>
      </w:r>
      <w:r w:rsidRPr="4055B882">
        <w:rPr>
          <w:color w:val="000000" w:themeColor="text1"/>
        </w:rPr>
        <w:t xml:space="preserve">. However, the base electronic temperature of this fridge is ~ 120 </w:t>
      </w:r>
      <w:proofErr w:type="spellStart"/>
      <w:r w:rsidRPr="4055B882">
        <w:rPr>
          <w:color w:val="000000" w:themeColor="text1"/>
        </w:rPr>
        <w:t>mK</w:t>
      </w:r>
      <w:proofErr w:type="spellEnd"/>
      <w:r w:rsidRPr="4055B882">
        <w:rPr>
          <w:color w:val="000000" w:themeColor="text1"/>
        </w:rPr>
        <w:t xml:space="preserve">, so the </w:t>
      </w:r>
      <w:proofErr w:type="spellStart"/>
      <w:proofErr w:type="gramStart"/>
      <w:r w:rsidRPr="4055B882">
        <w:rPr>
          <w:i/>
          <w:iCs/>
        </w:rPr>
        <w:t>B</w:t>
      </w:r>
      <w:r w:rsidRPr="4055B882">
        <w:rPr>
          <w:i/>
          <w:iCs/>
          <w:vertAlign w:val="subscript"/>
        </w:rPr>
        <w:t>c</w:t>
      </w:r>
      <w:proofErr w:type="spellEnd"/>
      <w:r w:rsidRPr="4055B882">
        <w:rPr>
          <w:i/>
          <w:iCs/>
          <w:vertAlign w:val="subscript"/>
        </w:rPr>
        <w:t>,</w:t>
      </w:r>
      <w:r w:rsidRPr="4055B882">
        <w:rPr>
          <w:vertAlign w:val="subscript"/>
        </w:rPr>
        <w:t>‖</w:t>
      </w:r>
      <w:proofErr w:type="gramEnd"/>
      <w:r w:rsidRPr="4055B882">
        <w:rPr>
          <w:color w:val="000000" w:themeColor="text1"/>
        </w:rPr>
        <w:t xml:space="preserve"> we obtained in experiment could be lower than its expected value </w:t>
      </w:r>
      <w:proofErr w:type="spellStart"/>
      <w:r w:rsidRPr="4055B882">
        <w:rPr>
          <w:i/>
          <w:iCs/>
        </w:rPr>
        <w:t>B</w:t>
      </w:r>
      <w:r w:rsidRPr="4055B882">
        <w:rPr>
          <w:i/>
          <w:iCs/>
          <w:vertAlign w:val="subscript"/>
        </w:rPr>
        <w:t>c</w:t>
      </w:r>
      <w:proofErr w:type="spellEnd"/>
      <w:r w:rsidRPr="4055B882">
        <w:rPr>
          <w:i/>
          <w:iCs/>
          <w:vertAlign w:val="subscript"/>
        </w:rPr>
        <w:t>,</w:t>
      </w:r>
      <w:r w:rsidRPr="4055B882">
        <w:rPr>
          <w:vertAlign w:val="subscript"/>
        </w:rPr>
        <w:t xml:space="preserve">‖ </w:t>
      </w:r>
      <w:r w:rsidRPr="4055B882">
        <w:rPr>
          <w:color w:val="000000" w:themeColor="text1"/>
        </w:rPr>
        <w:t>(</w:t>
      </w:r>
      <w:r w:rsidRPr="4055B882">
        <w:rPr>
          <w:i/>
          <w:iCs/>
          <w:color w:val="000000" w:themeColor="text1"/>
        </w:rPr>
        <w:t>T</w:t>
      </w:r>
      <w:r w:rsidRPr="4055B882">
        <w:rPr>
          <w:color w:val="000000" w:themeColor="text1"/>
        </w:rPr>
        <w:t xml:space="preserve">=0 K). </w:t>
      </w:r>
      <w:r>
        <w:rPr>
          <w:rFonts w:hint="eastAsia"/>
          <w:color w:val="000000" w:themeColor="text1"/>
        </w:rPr>
        <w:t>Due to the limitation in temperature, w</w:t>
      </w:r>
      <w:r w:rsidRPr="4055B882">
        <w:rPr>
          <w:color w:val="000000" w:themeColor="text1"/>
        </w:rPr>
        <w:t>e were also not able to measure the in-plane magnetic field dependence of SC1 and SC3, and they should be studied in future experiments.</w:t>
      </w:r>
    </w:p>
    <w:p w14:paraId="3125E010" w14:textId="77777777" w:rsidR="0013589B" w:rsidRPr="00E57BF0" w:rsidRDefault="0013589B" w:rsidP="0013589B">
      <w:pPr>
        <w:jc w:val="both"/>
        <w:rPr>
          <w:rFonts w:ascii="Calibri" w:hAnsi="Calibri" w:cs="Calibri"/>
          <w:b/>
          <w:bCs/>
        </w:rPr>
      </w:pPr>
      <w:r w:rsidRPr="00E57BF0">
        <w:rPr>
          <w:rFonts w:ascii="Calibri" w:hAnsi="Calibri" w:cs="Calibri"/>
          <w:b/>
          <w:bCs/>
        </w:rPr>
        <w:t>Model Hamiltonian</w:t>
      </w:r>
    </w:p>
    <w:p w14:paraId="151196F6" w14:textId="60013E36" w:rsidR="0013589B" w:rsidRDefault="0013589B" w:rsidP="0013589B">
      <w:pPr>
        <w:jc w:val="both"/>
        <w:rPr>
          <w:rFonts w:ascii="Calibri" w:hAnsi="Calibri" w:cs="Calibri"/>
        </w:rPr>
      </w:pPr>
      <w:r>
        <w:rPr>
          <w:rFonts w:ascii="Calibri" w:hAnsi="Calibri" w:cs="Calibri"/>
        </w:rPr>
        <w:t>In our theoretical calculations, we adopted the following</w:t>
      </w:r>
      <w:r w:rsidRPr="00E57BF0">
        <w:rPr>
          <w:rFonts w:ascii="Calibri" w:hAnsi="Calibri" w:cs="Calibri"/>
        </w:rPr>
        <w:t xml:space="preserve"> two-band </w:t>
      </w:r>
      <w:r>
        <w:rPr>
          <w:rFonts w:ascii="Calibri" w:hAnsi="Calibri" w:cs="Calibri"/>
        </w:rPr>
        <w:t>effective</w:t>
      </w:r>
      <w:r w:rsidRPr="00E57BF0">
        <w:rPr>
          <w:rFonts w:ascii="Calibri" w:hAnsi="Calibri" w:cs="Calibri"/>
        </w:rPr>
        <w:t xml:space="preserve"> model </w:t>
      </w:r>
      <w:r>
        <w:rPr>
          <w:rFonts w:ascii="Calibri" w:hAnsi="Calibri" w:cs="Calibri"/>
        </w:rPr>
        <w:t>(per spin-valley), derived from the full six-band tight-binding model</w:t>
      </w:r>
      <w:r>
        <w:rPr>
          <w:rFonts w:ascii="Calibri" w:hAnsi="Calibri" w:cs="Calibri"/>
        </w:rPr>
        <w:fldChar w:fldCharType="begin"/>
      </w:r>
      <w:r w:rsidR="00BF4618">
        <w:rPr>
          <w:rFonts w:ascii="Calibri" w:hAnsi="Calibri" w:cs="Calibri"/>
        </w:rPr>
        <w:instrText xml:space="preserve"> ADDIN ZOTERO_ITEM CSL_CITATION {"citationID":"I8gsk7k3","properties":{"formattedCitation":"\\super 12\\nosupersub{}","plainCitation":"12","noteIndex":0},"citationItems":[{"id":491,"uris":["http://zotero.org/users/5406744/items/P2Q2M4WA"],"itemData":{"id":491,"type":"article-journal","abstract":"The ABC-stacked N-layer-graphene family of two-dimensional electron systems is described at low energies by two remarkably flat bands with Bloch states that have strongly momentum-dependent phase differences between carbon pi-orbital amplitudes on different layers, and large associated momentum space Berry phases. These properties are most easily understood using a simplified model with only nearest-neighbor inter-layer hopping which leads to gapless semiconductor electronic structure, with p^N dispersion in both conduction and valence bands. We report on a study of the electronic band structures of trilayers which uses ab initio density functional theory and k*p theory to fit the parameters of a pi-band tight-binding model. We find that when remote interlayer hopping is retained, the triple Dirac point of the simplified model is split into three single Dirac points located along the three KM directions. External potential differences between top and bottom layers are strongly screened by charge transfer within the trilayer, but still open an energy gap at overall neutrality.","container-title":"Physical Review B","DOI":"10.1103/PhysRevB.82.035409","ISSN":"1098-0121, 1550-235X","issue":"3","journalAbbreviation":"Phys. Rev. B","note":"arXiv: 1004.1481","page":"035409","source":"arXiv.org","title":"Band Structure of ABC-Stacked Graphene Trilayers","volume":"82","author":[{"family":"Zhang","given":"Fan"},{"family":"Sahu","given":"Bhagawan"},{"family":"Min","given":"Hongki"},{"family":"MacDonald","given":"Allan H."}],"issued":{"date-parts":[["2010",7,9]]}}}],"schema":"https://github.com/citation-style-language/schema/raw/master/csl-citation.json"} </w:instrText>
      </w:r>
      <w:r>
        <w:rPr>
          <w:rFonts w:ascii="Calibri" w:hAnsi="Calibri" w:cs="Calibri"/>
        </w:rPr>
        <w:fldChar w:fldCharType="separate"/>
      </w:r>
      <w:r w:rsidR="00BF4618" w:rsidRPr="00BF4618">
        <w:rPr>
          <w:rFonts w:ascii="Calibri" w:hAnsi="Calibri" w:cs="Calibri"/>
          <w:kern w:val="0"/>
          <w:vertAlign w:val="superscript"/>
        </w:rPr>
        <w:t>12</w:t>
      </w:r>
      <w:r>
        <w:rPr>
          <w:rFonts w:ascii="Calibri" w:hAnsi="Calibri" w:cs="Calibri"/>
        </w:rPr>
        <w:fldChar w:fldCharType="end"/>
      </w:r>
      <w:r>
        <w:rPr>
          <w:rFonts w:ascii="Calibri" w:hAnsi="Calibri" w:cs="Calibri"/>
        </w:rPr>
        <w:t xml:space="preserve">: </w:t>
      </w:r>
    </w:p>
    <w:p w14:paraId="5ED92A57" w14:textId="77777777" w:rsidR="0013589B" w:rsidRPr="00335785" w:rsidRDefault="0013589B" w:rsidP="0013589B">
      <w:pPr>
        <w:ind w:firstLine="720"/>
        <w:jc w:val="both"/>
        <w:rPr>
          <w:rFonts w:ascii="Calibri" w:hAnsi="Calibri" w:cs="Calibri"/>
        </w:rPr>
      </w:pPr>
      <w:r>
        <w:rPr>
          <w:rFonts w:ascii="Calibri" w:hAnsi="Calibri" w:cs="Calibri"/>
        </w:rPr>
        <w:t xml:space="preserve">                       </w:t>
      </w:r>
      <m:oMath>
        <m:sSub>
          <m:sSubPr>
            <m:ctrlPr>
              <w:rPr>
                <w:rFonts w:ascii="Cambria Math" w:hAnsi="Cambria Math"/>
                <w:i/>
                <w:sz w:val="22"/>
                <w:szCs w:val="22"/>
              </w:rPr>
            </m:ctrlPr>
          </m:sSubPr>
          <m:e>
            <m:r>
              <w:rPr>
                <w:rFonts w:ascii="Cambria Math" w:hAnsi="Cambria Math"/>
                <w:sz w:val="22"/>
                <w:szCs w:val="22"/>
              </w:rPr>
              <m:t>H</m:t>
            </m:r>
          </m:e>
          <m:sub>
            <m:r>
              <m:rPr>
                <m:sty m:val="p"/>
              </m:rPr>
              <w:rPr>
                <w:rFonts w:ascii="Cambria Math" w:hAnsi="Cambria Math"/>
                <w:sz w:val="22"/>
                <w:szCs w:val="22"/>
              </w:rPr>
              <m:t>eff</m:t>
            </m:r>
          </m:sub>
        </m:sSub>
        <m:r>
          <w:rPr>
            <w:rFonts w:ascii="Cambria Math" w:hAnsi="Cambria Math"/>
            <w:sz w:val="22"/>
            <w:szCs w:val="22"/>
          </w:rPr>
          <m:t>=</m:t>
        </m:r>
        <m:sSup>
          <m:sSupPr>
            <m:ctrlPr>
              <w:rPr>
                <w:rFonts w:ascii="Cambria Math" w:hAnsi="Cambria Math"/>
                <w:i/>
                <w:sz w:val="22"/>
                <w:szCs w:val="22"/>
              </w:rPr>
            </m:ctrlPr>
          </m:sSupPr>
          <m:e>
            <m:d>
              <m:dPr>
                <m:begChr m:val="["/>
                <m:endChr m:val="]"/>
                <m:ctrlPr>
                  <w:rPr>
                    <w:rFonts w:ascii="Cambria Math" w:hAnsi="Cambria Math"/>
                    <w:i/>
                    <w:sz w:val="22"/>
                    <w:szCs w:val="22"/>
                  </w:rPr>
                </m:ctrlPr>
              </m:dPr>
              <m:e>
                <m:r>
                  <w:rPr>
                    <w:rFonts w:ascii="Cambria Math" w:hAnsi="Cambria Math"/>
                    <w:sz w:val="22"/>
                    <w:szCs w:val="22"/>
                  </w:rPr>
                  <m:t>1+</m:t>
                </m:r>
                <m:sSup>
                  <m:sSupPr>
                    <m:ctrlPr>
                      <w:rPr>
                        <w:rFonts w:ascii="Cambria Math" w:hAnsi="Cambria Math"/>
                        <w:i/>
                        <w:sz w:val="22"/>
                        <w:szCs w:val="22"/>
                      </w:rPr>
                    </m:ctrlPr>
                  </m:sSupPr>
                  <m:e>
                    <m:d>
                      <m:dPr>
                        <m:ctrlPr>
                          <w:rPr>
                            <w:rFonts w:ascii="Cambria Math" w:hAnsi="Cambria Math"/>
                            <w:i/>
                            <w:sz w:val="22"/>
                            <w:szCs w:val="22"/>
                          </w:rPr>
                        </m:ctrlPr>
                      </m:dPr>
                      <m:e>
                        <m:f>
                          <m:fPr>
                            <m:ctrlPr>
                              <w:rPr>
                                <w:rFonts w:ascii="Cambria Math" w:hAnsi="Cambria Math"/>
                                <w:i/>
                                <w:sz w:val="22"/>
                                <w:szCs w:val="22"/>
                              </w:rPr>
                            </m:ctrlPr>
                          </m:fPr>
                          <m:num>
                            <m:sSub>
                              <m:sSubPr>
                                <m:ctrlPr>
                                  <w:rPr>
                                    <w:rFonts w:ascii="Cambria Math" w:hAnsi="Cambria Math"/>
                                    <w:i/>
                                    <w:sz w:val="22"/>
                                    <w:szCs w:val="22"/>
                                  </w:rPr>
                                </m:ctrlPr>
                              </m:sSubPr>
                              <m:e>
                                <m:r>
                                  <w:rPr>
                                    <w:rFonts w:ascii="Cambria Math" w:hAnsi="Cambria Math"/>
                                    <w:sz w:val="22"/>
                                    <w:szCs w:val="22"/>
                                  </w:rPr>
                                  <m:t>v</m:t>
                                </m:r>
                              </m:e>
                              <m:sub>
                                <m:r>
                                  <w:rPr>
                                    <w:rFonts w:ascii="Cambria Math" w:hAnsi="Cambria Math"/>
                                    <w:sz w:val="22"/>
                                    <w:szCs w:val="22"/>
                                  </w:rPr>
                                  <m:t>0</m:t>
                                </m:r>
                              </m:sub>
                            </m:sSub>
                            <m:r>
                              <w:rPr>
                                <w:rFonts w:ascii="Cambria Math" w:hAnsi="Cambria Math"/>
                                <w:sz w:val="22"/>
                                <w:szCs w:val="22"/>
                              </w:rPr>
                              <m:t>p</m:t>
                            </m:r>
                          </m:num>
                          <m:den>
                            <m:sSub>
                              <m:sSubPr>
                                <m:ctrlPr>
                                  <w:rPr>
                                    <w:rFonts w:ascii="Cambria Math" w:hAnsi="Cambria Math"/>
                                    <w:i/>
                                    <w:sz w:val="22"/>
                                    <w:szCs w:val="22"/>
                                  </w:rPr>
                                </m:ctrlPr>
                              </m:sSubPr>
                              <m:e>
                                <m:r>
                                  <w:rPr>
                                    <w:rFonts w:ascii="Cambria Math" w:hAnsi="Cambria Math"/>
                                    <w:sz w:val="22"/>
                                    <w:szCs w:val="22"/>
                                  </w:rPr>
                                  <m:t>γ</m:t>
                                </m:r>
                              </m:e>
                              <m:sub>
                                <m:r>
                                  <w:rPr>
                                    <w:rFonts w:ascii="Cambria Math" w:hAnsi="Cambria Math"/>
                                    <w:sz w:val="22"/>
                                    <w:szCs w:val="22"/>
                                  </w:rPr>
                                  <m:t>1</m:t>
                                </m:r>
                              </m:sub>
                            </m:sSub>
                          </m:den>
                        </m:f>
                      </m:e>
                    </m:d>
                  </m:e>
                  <m:sup>
                    <m:r>
                      <w:rPr>
                        <w:rFonts w:ascii="Cambria Math" w:hAnsi="Cambria Math"/>
                        <w:sz w:val="22"/>
                        <w:szCs w:val="22"/>
                      </w:rPr>
                      <m:t>2</m:t>
                    </m:r>
                  </m:sup>
                </m:sSup>
                <m:r>
                  <w:rPr>
                    <w:rFonts w:ascii="Cambria Math" w:hAnsi="Cambria Math"/>
                    <w:sz w:val="22"/>
                    <w:szCs w:val="22"/>
                  </w:rPr>
                  <m:t>+</m:t>
                </m:r>
                <m:sSup>
                  <m:sSupPr>
                    <m:ctrlPr>
                      <w:rPr>
                        <w:rFonts w:ascii="Cambria Math" w:hAnsi="Cambria Math"/>
                        <w:i/>
                        <w:sz w:val="22"/>
                        <w:szCs w:val="22"/>
                      </w:rPr>
                    </m:ctrlPr>
                  </m:sSupPr>
                  <m:e>
                    <m:d>
                      <m:dPr>
                        <m:ctrlPr>
                          <w:rPr>
                            <w:rFonts w:ascii="Cambria Math" w:hAnsi="Cambria Math"/>
                            <w:i/>
                            <w:sz w:val="22"/>
                            <w:szCs w:val="22"/>
                          </w:rPr>
                        </m:ctrlPr>
                      </m:dPr>
                      <m:e>
                        <m:f>
                          <m:fPr>
                            <m:ctrlPr>
                              <w:rPr>
                                <w:rFonts w:ascii="Cambria Math" w:hAnsi="Cambria Math"/>
                                <w:i/>
                                <w:sz w:val="22"/>
                                <w:szCs w:val="22"/>
                              </w:rPr>
                            </m:ctrlPr>
                          </m:fPr>
                          <m:num>
                            <m:sSub>
                              <m:sSubPr>
                                <m:ctrlPr>
                                  <w:rPr>
                                    <w:rFonts w:ascii="Cambria Math" w:hAnsi="Cambria Math"/>
                                    <w:i/>
                                    <w:sz w:val="22"/>
                                    <w:szCs w:val="22"/>
                                  </w:rPr>
                                </m:ctrlPr>
                              </m:sSubPr>
                              <m:e>
                                <m:r>
                                  <w:rPr>
                                    <w:rFonts w:ascii="Cambria Math" w:hAnsi="Cambria Math"/>
                                    <w:sz w:val="22"/>
                                    <w:szCs w:val="22"/>
                                  </w:rPr>
                                  <m:t>v</m:t>
                                </m:r>
                              </m:e>
                              <m:sub>
                                <m:r>
                                  <w:rPr>
                                    <w:rFonts w:ascii="Cambria Math" w:hAnsi="Cambria Math"/>
                                    <w:sz w:val="22"/>
                                    <w:szCs w:val="22"/>
                                  </w:rPr>
                                  <m:t>0</m:t>
                                </m:r>
                              </m:sub>
                            </m:sSub>
                            <m:r>
                              <w:rPr>
                                <w:rFonts w:ascii="Cambria Math" w:hAnsi="Cambria Math"/>
                                <w:sz w:val="22"/>
                                <w:szCs w:val="22"/>
                              </w:rPr>
                              <m:t>p</m:t>
                            </m:r>
                          </m:num>
                          <m:den>
                            <m:sSub>
                              <m:sSubPr>
                                <m:ctrlPr>
                                  <w:rPr>
                                    <w:rFonts w:ascii="Cambria Math" w:hAnsi="Cambria Math"/>
                                    <w:i/>
                                    <w:sz w:val="22"/>
                                    <w:szCs w:val="22"/>
                                  </w:rPr>
                                </m:ctrlPr>
                              </m:sSubPr>
                              <m:e>
                                <m:r>
                                  <w:rPr>
                                    <w:rFonts w:ascii="Cambria Math" w:hAnsi="Cambria Math"/>
                                    <w:sz w:val="22"/>
                                    <w:szCs w:val="22"/>
                                  </w:rPr>
                                  <m:t>γ</m:t>
                                </m:r>
                              </m:e>
                              <m:sub>
                                <m:r>
                                  <w:rPr>
                                    <w:rFonts w:ascii="Cambria Math" w:hAnsi="Cambria Math"/>
                                    <w:sz w:val="22"/>
                                    <w:szCs w:val="22"/>
                                  </w:rPr>
                                  <m:t>1</m:t>
                                </m:r>
                              </m:sub>
                            </m:sSub>
                          </m:den>
                        </m:f>
                      </m:e>
                    </m:d>
                  </m:e>
                  <m:sup>
                    <m:r>
                      <w:rPr>
                        <w:rFonts w:ascii="Cambria Math" w:hAnsi="Cambria Math"/>
                        <w:sz w:val="22"/>
                        <w:szCs w:val="22"/>
                      </w:rPr>
                      <m:t>4</m:t>
                    </m:r>
                  </m:sup>
                </m:sSup>
              </m:e>
            </m:d>
          </m:e>
          <m:sup>
            <m:r>
              <w:rPr>
                <w:rFonts w:ascii="Cambria Math" w:hAnsi="Cambria Math"/>
                <w:sz w:val="22"/>
                <w:szCs w:val="22"/>
              </w:rPr>
              <m:t>-1</m:t>
            </m:r>
          </m:sup>
        </m:sSup>
        <m:r>
          <w:rPr>
            <w:rFonts w:ascii="Cambria Math" w:hAnsi="Cambria Math"/>
            <w:sz w:val="22"/>
            <w:szCs w:val="22"/>
          </w:rPr>
          <m:t xml:space="preserve">× </m:t>
        </m:r>
        <m:sSub>
          <m:sSubPr>
            <m:ctrlPr>
              <w:rPr>
                <w:rFonts w:ascii="Cambria Math" w:hAnsi="Cambria Math"/>
                <w:i/>
                <w:sz w:val="22"/>
                <w:szCs w:val="22"/>
              </w:rPr>
            </m:ctrlPr>
          </m:sSubPr>
          <m:e>
            <m:r>
              <w:rPr>
                <w:rFonts w:ascii="Cambria Math" w:hAnsi="Cambria Math"/>
                <w:sz w:val="22"/>
                <w:szCs w:val="22"/>
              </w:rPr>
              <m:t>H</m:t>
            </m:r>
          </m:e>
          <m:sub>
            <m:r>
              <m:rPr>
                <m:sty m:val="p"/>
              </m:rPr>
              <w:rPr>
                <w:rFonts w:ascii="Cambria Math" w:hAnsi="Cambria Math"/>
                <w:sz w:val="22"/>
                <w:szCs w:val="22"/>
              </w:rPr>
              <m:t>eff,0</m:t>
            </m:r>
          </m:sub>
        </m:sSub>
      </m:oMath>
      <w:r>
        <w:rPr>
          <w:sz w:val="22"/>
          <w:szCs w:val="22"/>
        </w:rPr>
        <w:t>,</w:t>
      </w:r>
    </w:p>
    <w:p w14:paraId="4C3A36AD" w14:textId="77777777" w:rsidR="0013589B" w:rsidRPr="00335785" w:rsidRDefault="00000000" w:rsidP="0013589B">
      <w:pPr>
        <w:ind w:firstLine="80"/>
        <w:jc w:val="both"/>
        <w:rPr>
          <w:sz w:val="22"/>
          <w:szCs w:val="22"/>
        </w:rPr>
      </w:pPr>
      <m:oMath>
        <m:sSub>
          <m:sSubPr>
            <m:ctrlPr>
              <w:rPr>
                <w:rFonts w:ascii="Cambria Math" w:hAnsi="Cambria Math"/>
                <w:i/>
                <w:sz w:val="22"/>
                <w:szCs w:val="22"/>
              </w:rPr>
            </m:ctrlPr>
          </m:sSubPr>
          <m:e>
            <m:r>
              <w:rPr>
                <w:rFonts w:ascii="Cambria Math" w:hAnsi="Cambria Math"/>
                <w:sz w:val="22"/>
                <w:szCs w:val="22"/>
              </w:rPr>
              <m:t>H</m:t>
            </m:r>
          </m:e>
          <m:sub>
            <m:r>
              <m:rPr>
                <m:sty m:val="p"/>
              </m:rPr>
              <w:rPr>
                <w:rFonts w:ascii="Cambria Math" w:hAnsi="Cambria Math"/>
                <w:sz w:val="22"/>
                <w:szCs w:val="22"/>
              </w:rPr>
              <m:t>eff</m:t>
            </m:r>
            <m:r>
              <w:rPr>
                <w:rFonts w:ascii="Cambria Math" w:hAnsi="Cambria Math"/>
                <w:sz w:val="22"/>
                <w:szCs w:val="22"/>
              </w:rPr>
              <m:t>,0</m:t>
            </m:r>
          </m:sub>
        </m:sSub>
        <m:r>
          <w:rPr>
            <w:rFonts w:ascii="Cambria Math" w:hAnsi="Cambria Math"/>
            <w:sz w:val="22"/>
            <w:szCs w:val="22"/>
          </w:rPr>
          <m:t>=</m:t>
        </m:r>
        <m:f>
          <m:fPr>
            <m:ctrlPr>
              <w:rPr>
                <w:rFonts w:ascii="Cambria Math" w:hAnsi="Cambria Math"/>
                <w:i/>
                <w:iCs/>
                <w:sz w:val="22"/>
                <w:szCs w:val="22"/>
              </w:rPr>
            </m:ctrlPr>
          </m:fPr>
          <m:num>
            <m:sSup>
              <m:sSupPr>
                <m:ctrlPr>
                  <w:rPr>
                    <w:rFonts w:ascii="Cambria Math" w:hAnsi="Cambria Math"/>
                    <w:i/>
                    <w:iCs/>
                    <w:sz w:val="22"/>
                    <w:szCs w:val="22"/>
                  </w:rPr>
                </m:ctrlPr>
              </m:sSupPr>
              <m:e>
                <m:d>
                  <m:dPr>
                    <m:ctrlPr>
                      <w:rPr>
                        <w:rFonts w:ascii="Cambria Math" w:hAnsi="Cambria Math"/>
                        <w:i/>
                        <w:iCs/>
                        <w:sz w:val="22"/>
                        <w:szCs w:val="22"/>
                      </w:rPr>
                    </m:ctrlPr>
                  </m:dPr>
                  <m:e>
                    <m:sSub>
                      <m:sSubPr>
                        <m:ctrlPr>
                          <w:rPr>
                            <w:rFonts w:ascii="Cambria Math" w:hAnsi="Cambria Math"/>
                            <w:i/>
                            <w:iCs/>
                            <w:sz w:val="22"/>
                            <w:szCs w:val="22"/>
                          </w:rPr>
                        </m:ctrlPr>
                      </m:sSubPr>
                      <m:e>
                        <m:r>
                          <w:rPr>
                            <w:rFonts w:ascii="Cambria Math" w:hAnsi="Cambria Math"/>
                            <w:sz w:val="22"/>
                            <w:szCs w:val="22"/>
                          </w:rPr>
                          <m:t>v</m:t>
                        </m:r>
                      </m:e>
                      <m:sub>
                        <m:r>
                          <w:rPr>
                            <w:rFonts w:ascii="Cambria Math" w:hAnsi="Cambria Math"/>
                            <w:sz w:val="22"/>
                            <w:szCs w:val="22"/>
                          </w:rPr>
                          <m:t>0</m:t>
                        </m:r>
                      </m:sub>
                    </m:sSub>
                    <m:r>
                      <w:rPr>
                        <w:rFonts w:ascii="Cambria Math" w:hAnsi="Cambria Math"/>
                        <w:sz w:val="22"/>
                        <w:szCs w:val="22"/>
                      </w:rPr>
                      <m:t>p</m:t>
                    </m:r>
                  </m:e>
                </m:d>
              </m:e>
              <m:sup>
                <m:r>
                  <w:rPr>
                    <w:rFonts w:ascii="Cambria Math" w:hAnsi="Cambria Math"/>
                    <w:sz w:val="22"/>
                    <w:szCs w:val="22"/>
                  </w:rPr>
                  <m:t>3</m:t>
                </m:r>
              </m:sup>
            </m:sSup>
          </m:num>
          <m:den>
            <m:sSubSup>
              <m:sSubSupPr>
                <m:ctrlPr>
                  <w:rPr>
                    <w:rFonts w:ascii="Cambria Math" w:hAnsi="Cambria Math"/>
                    <w:i/>
                    <w:iCs/>
                    <w:sz w:val="22"/>
                    <w:szCs w:val="22"/>
                  </w:rPr>
                </m:ctrlPr>
              </m:sSubSupPr>
              <m:e>
                <m:r>
                  <w:rPr>
                    <w:rFonts w:ascii="Cambria Math" w:hAnsi="Cambria Math"/>
                    <w:sz w:val="22"/>
                    <w:szCs w:val="22"/>
                  </w:rPr>
                  <m:t>γ</m:t>
                </m:r>
              </m:e>
              <m:sub>
                <m:r>
                  <w:rPr>
                    <w:rFonts w:ascii="Cambria Math" w:hAnsi="Cambria Math"/>
                    <w:sz w:val="22"/>
                    <w:szCs w:val="22"/>
                  </w:rPr>
                  <m:t>1</m:t>
                </m:r>
              </m:sub>
              <m:sup>
                <m:r>
                  <w:rPr>
                    <w:rFonts w:ascii="Cambria Math" w:hAnsi="Cambria Math"/>
                    <w:sz w:val="22"/>
                    <w:szCs w:val="22"/>
                  </w:rPr>
                  <m:t>2</m:t>
                </m:r>
              </m:sup>
            </m:sSubSup>
          </m:den>
        </m:f>
        <m:d>
          <m:dPr>
            <m:begChr m:val="["/>
            <m:endChr m:val="]"/>
            <m:ctrlPr>
              <w:rPr>
                <w:rFonts w:ascii="Cambria Math" w:hAnsi="Cambria Math"/>
                <w:i/>
                <w:iCs/>
                <w:sz w:val="22"/>
                <w:szCs w:val="22"/>
              </w:rPr>
            </m:ctrlPr>
          </m:dPr>
          <m:e>
            <m:func>
              <m:funcPr>
                <m:ctrlPr>
                  <w:rPr>
                    <w:rFonts w:ascii="Cambria Math" w:hAnsi="Cambria Math"/>
                    <w:i/>
                    <w:iCs/>
                    <w:sz w:val="22"/>
                    <w:szCs w:val="22"/>
                  </w:rPr>
                </m:ctrlPr>
              </m:funcPr>
              <m:fName>
                <m:r>
                  <m:rPr>
                    <m:sty m:val="p"/>
                  </m:rPr>
                  <w:rPr>
                    <w:rFonts w:ascii="Cambria Math" w:hAnsi="Cambria Math"/>
                    <w:sz w:val="22"/>
                    <w:szCs w:val="22"/>
                  </w:rPr>
                  <m:t>cos</m:t>
                </m:r>
              </m:fName>
              <m:e>
                <m:d>
                  <m:dPr>
                    <m:ctrlPr>
                      <w:rPr>
                        <w:rFonts w:ascii="Cambria Math" w:hAnsi="Cambria Math"/>
                        <w:i/>
                        <w:iCs/>
                        <w:sz w:val="22"/>
                        <w:szCs w:val="22"/>
                      </w:rPr>
                    </m:ctrlPr>
                  </m:dPr>
                  <m:e>
                    <m:r>
                      <w:rPr>
                        <w:rFonts w:ascii="Cambria Math" w:hAnsi="Cambria Math"/>
                        <w:sz w:val="22"/>
                        <w:szCs w:val="22"/>
                      </w:rPr>
                      <m:t>3</m:t>
                    </m:r>
                    <m:sSub>
                      <m:sSubPr>
                        <m:ctrlPr>
                          <w:rPr>
                            <w:rFonts w:ascii="Cambria Math" w:hAnsi="Cambria Math"/>
                            <w:i/>
                            <w:iCs/>
                            <w:sz w:val="22"/>
                            <w:szCs w:val="22"/>
                          </w:rPr>
                        </m:ctrlPr>
                      </m:sSubPr>
                      <m:e>
                        <m:r>
                          <w:rPr>
                            <w:rFonts w:ascii="Cambria Math" w:hAnsi="Cambria Math"/>
                            <w:sz w:val="22"/>
                            <w:szCs w:val="22"/>
                          </w:rPr>
                          <m:t>ϕ</m:t>
                        </m:r>
                      </m:e>
                      <m:sub>
                        <m:r>
                          <m:rPr>
                            <m:sty m:val="bi"/>
                          </m:rPr>
                          <w:rPr>
                            <w:rFonts w:ascii="Cambria Math" w:hAnsi="Cambria Math"/>
                            <w:sz w:val="22"/>
                            <w:szCs w:val="22"/>
                          </w:rPr>
                          <m:t>k</m:t>
                        </m:r>
                      </m:sub>
                    </m:sSub>
                  </m:e>
                </m:d>
              </m:e>
            </m:func>
            <m:sSub>
              <m:sSubPr>
                <m:ctrlPr>
                  <w:rPr>
                    <w:rFonts w:ascii="Cambria Math" w:hAnsi="Cambria Math"/>
                    <w:i/>
                    <w:iCs/>
                    <w:sz w:val="22"/>
                    <w:szCs w:val="22"/>
                  </w:rPr>
                </m:ctrlPr>
              </m:sSubPr>
              <m:e>
                <m:r>
                  <w:rPr>
                    <w:rFonts w:ascii="Cambria Math" w:hAnsi="Cambria Math"/>
                    <w:sz w:val="22"/>
                    <w:szCs w:val="22"/>
                  </w:rPr>
                  <m:t>σ</m:t>
                </m:r>
              </m:e>
              <m:sub>
                <m:r>
                  <w:rPr>
                    <w:rFonts w:ascii="Cambria Math" w:hAnsi="Cambria Math"/>
                    <w:sz w:val="22"/>
                    <w:szCs w:val="22"/>
                  </w:rPr>
                  <m:t>x</m:t>
                </m:r>
              </m:sub>
            </m:sSub>
            <m:r>
              <w:rPr>
                <w:rFonts w:ascii="Cambria Math" w:hAnsi="Cambria Math"/>
                <w:sz w:val="22"/>
                <w:szCs w:val="22"/>
              </w:rPr>
              <m:t>+</m:t>
            </m:r>
            <m:func>
              <m:funcPr>
                <m:ctrlPr>
                  <w:rPr>
                    <w:rFonts w:ascii="Cambria Math" w:hAnsi="Cambria Math"/>
                    <w:i/>
                    <w:iCs/>
                    <w:sz w:val="22"/>
                    <w:szCs w:val="22"/>
                  </w:rPr>
                </m:ctrlPr>
              </m:funcPr>
              <m:fName>
                <m:r>
                  <m:rPr>
                    <m:sty m:val="p"/>
                  </m:rPr>
                  <w:rPr>
                    <w:rFonts w:ascii="Cambria Math" w:hAnsi="Cambria Math"/>
                    <w:sz w:val="22"/>
                    <w:szCs w:val="22"/>
                  </w:rPr>
                  <m:t>sin</m:t>
                </m:r>
              </m:fName>
              <m:e>
                <m:d>
                  <m:dPr>
                    <m:ctrlPr>
                      <w:rPr>
                        <w:rFonts w:ascii="Cambria Math" w:hAnsi="Cambria Math"/>
                        <w:i/>
                        <w:iCs/>
                        <w:sz w:val="22"/>
                        <w:szCs w:val="22"/>
                      </w:rPr>
                    </m:ctrlPr>
                  </m:dPr>
                  <m:e>
                    <m:r>
                      <w:rPr>
                        <w:rFonts w:ascii="Cambria Math" w:hAnsi="Cambria Math"/>
                        <w:sz w:val="22"/>
                        <w:szCs w:val="22"/>
                      </w:rPr>
                      <m:t>3</m:t>
                    </m:r>
                    <m:sSub>
                      <m:sSubPr>
                        <m:ctrlPr>
                          <w:rPr>
                            <w:rFonts w:ascii="Cambria Math" w:hAnsi="Cambria Math"/>
                            <w:i/>
                            <w:iCs/>
                            <w:sz w:val="22"/>
                            <w:szCs w:val="22"/>
                          </w:rPr>
                        </m:ctrlPr>
                      </m:sSubPr>
                      <m:e>
                        <m:r>
                          <w:rPr>
                            <w:rFonts w:ascii="Cambria Math" w:hAnsi="Cambria Math"/>
                            <w:sz w:val="22"/>
                            <w:szCs w:val="22"/>
                          </w:rPr>
                          <m:t>ϕ</m:t>
                        </m:r>
                      </m:e>
                      <m:sub>
                        <m:r>
                          <m:rPr>
                            <m:sty m:val="bi"/>
                          </m:rPr>
                          <w:rPr>
                            <w:rFonts w:ascii="Cambria Math" w:hAnsi="Cambria Math"/>
                            <w:sz w:val="22"/>
                            <w:szCs w:val="22"/>
                          </w:rPr>
                          <m:t>k</m:t>
                        </m:r>
                      </m:sub>
                    </m:sSub>
                  </m:e>
                </m:d>
              </m:e>
            </m:func>
            <m:sSub>
              <m:sSubPr>
                <m:ctrlPr>
                  <w:rPr>
                    <w:rFonts w:ascii="Cambria Math" w:hAnsi="Cambria Math"/>
                    <w:i/>
                    <w:iCs/>
                    <w:sz w:val="22"/>
                    <w:szCs w:val="22"/>
                  </w:rPr>
                </m:ctrlPr>
              </m:sSubPr>
              <m:e>
                <m:r>
                  <w:rPr>
                    <w:rFonts w:ascii="Cambria Math" w:hAnsi="Cambria Math"/>
                    <w:sz w:val="22"/>
                    <w:szCs w:val="22"/>
                  </w:rPr>
                  <m:t>σ</m:t>
                </m:r>
              </m:e>
              <m:sub>
                <m:r>
                  <w:rPr>
                    <w:rFonts w:ascii="Cambria Math" w:hAnsi="Cambria Math"/>
                    <w:sz w:val="22"/>
                    <w:szCs w:val="22"/>
                  </w:rPr>
                  <m:t>y</m:t>
                </m:r>
              </m:sub>
            </m:sSub>
          </m:e>
        </m:d>
      </m:oMath>
      <w:r w:rsidR="0013589B">
        <w:rPr>
          <w:sz w:val="22"/>
          <w:szCs w:val="22"/>
        </w:rPr>
        <w:t xml:space="preserve"> </w:t>
      </w:r>
      <m:oMath>
        <m:r>
          <w:rPr>
            <w:rFonts w:ascii="Cambria Math" w:hAnsi="Cambria Math"/>
            <w:sz w:val="22"/>
            <w:szCs w:val="22"/>
          </w:rPr>
          <m:t>+</m:t>
        </m:r>
        <m:d>
          <m:dPr>
            <m:ctrlPr>
              <w:rPr>
                <w:rFonts w:ascii="Cambria Math" w:hAnsi="Cambria Math"/>
                <w:i/>
                <w:sz w:val="22"/>
                <w:szCs w:val="22"/>
              </w:rPr>
            </m:ctrlPr>
          </m:dPr>
          <m:e>
            <m:f>
              <m:fPr>
                <m:ctrlPr>
                  <w:rPr>
                    <w:rFonts w:ascii="Cambria Math" w:hAnsi="Cambria Math"/>
                    <w:i/>
                    <w:sz w:val="22"/>
                    <w:szCs w:val="22"/>
                  </w:rPr>
                </m:ctrlPr>
              </m:fPr>
              <m:num>
                <m:sSub>
                  <m:sSubPr>
                    <m:ctrlPr>
                      <w:rPr>
                        <w:rFonts w:ascii="Cambria Math" w:hAnsi="Cambria Math"/>
                        <w:i/>
                        <w:sz w:val="22"/>
                        <w:szCs w:val="22"/>
                      </w:rPr>
                    </m:ctrlPr>
                  </m:sSubPr>
                  <m:e>
                    <m:r>
                      <w:rPr>
                        <w:rFonts w:ascii="Cambria Math" w:hAnsi="Cambria Math"/>
                        <w:sz w:val="22"/>
                        <w:szCs w:val="22"/>
                      </w:rPr>
                      <m:t>γ</m:t>
                    </m:r>
                  </m:e>
                  <m:sub>
                    <m:r>
                      <w:rPr>
                        <w:rFonts w:ascii="Cambria Math" w:hAnsi="Cambria Math"/>
                        <w:sz w:val="22"/>
                        <w:szCs w:val="22"/>
                      </w:rPr>
                      <m:t>2</m:t>
                    </m:r>
                  </m:sub>
                </m:sSub>
              </m:num>
              <m:den>
                <m:r>
                  <w:rPr>
                    <w:rFonts w:ascii="Cambria Math" w:hAnsi="Cambria Math"/>
                    <w:sz w:val="22"/>
                    <w:szCs w:val="22"/>
                  </w:rPr>
                  <m:t>2</m:t>
                </m:r>
              </m:den>
            </m:f>
            <m:r>
              <w:rPr>
                <w:rFonts w:ascii="Cambria Math" w:hAnsi="Cambria Math"/>
                <w:sz w:val="22"/>
                <w:szCs w:val="22"/>
              </w:rPr>
              <m:t>-</m:t>
            </m:r>
            <m:f>
              <m:fPr>
                <m:ctrlPr>
                  <w:rPr>
                    <w:rFonts w:ascii="Cambria Math" w:hAnsi="Cambria Math"/>
                    <w:i/>
                    <w:sz w:val="22"/>
                    <w:szCs w:val="22"/>
                  </w:rPr>
                </m:ctrlPr>
              </m:fPr>
              <m:num>
                <m:r>
                  <w:rPr>
                    <w:rFonts w:ascii="Cambria Math" w:hAnsi="Cambria Math"/>
                    <w:sz w:val="22"/>
                    <w:szCs w:val="22"/>
                  </w:rPr>
                  <m:t>2</m:t>
                </m:r>
                <m:sSub>
                  <m:sSubPr>
                    <m:ctrlPr>
                      <w:rPr>
                        <w:rFonts w:ascii="Cambria Math" w:hAnsi="Cambria Math"/>
                        <w:i/>
                        <w:sz w:val="22"/>
                        <w:szCs w:val="22"/>
                      </w:rPr>
                    </m:ctrlPr>
                  </m:sSubPr>
                  <m:e>
                    <m:r>
                      <w:rPr>
                        <w:rFonts w:ascii="Cambria Math" w:hAnsi="Cambria Math"/>
                        <w:sz w:val="22"/>
                        <w:szCs w:val="22"/>
                      </w:rPr>
                      <m:t>v</m:t>
                    </m:r>
                  </m:e>
                  <m:sub>
                    <m:r>
                      <w:rPr>
                        <w:rFonts w:ascii="Cambria Math" w:hAnsi="Cambria Math"/>
                        <w:sz w:val="22"/>
                        <w:szCs w:val="22"/>
                      </w:rPr>
                      <m:t>0</m:t>
                    </m:r>
                  </m:sub>
                </m:sSub>
                <m:sSub>
                  <m:sSubPr>
                    <m:ctrlPr>
                      <w:rPr>
                        <w:rFonts w:ascii="Cambria Math" w:hAnsi="Cambria Math"/>
                        <w:i/>
                        <w:sz w:val="22"/>
                        <w:szCs w:val="22"/>
                      </w:rPr>
                    </m:ctrlPr>
                  </m:sSubPr>
                  <m:e>
                    <m:r>
                      <w:rPr>
                        <w:rFonts w:ascii="Cambria Math" w:hAnsi="Cambria Math"/>
                        <w:sz w:val="22"/>
                        <w:szCs w:val="22"/>
                      </w:rPr>
                      <m:t>v</m:t>
                    </m:r>
                  </m:e>
                  <m:sub>
                    <m:r>
                      <w:rPr>
                        <w:rFonts w:ascii="Cambria Math" w:hAnsi="Cambria Math"/>
                        <w:sz w:val="22"/>
                        <w:szCs w:val="22"/>
                      </w:rPr>
                      <m:t>3</m:t>
                    </m:r>
                  </m:sub>
                </m:sSub>
                <m:sSup>
                  <m:sSupPr>
                    <m:ctrlPr>
                      <w:rPr>
                        <w:rFonts w:ascii="Cambria Math" w:hAnsi="Cambria Math"/>
                        <w:i/>
                        <w:sz w:val="22"/>
                        <w:szCs w:val="22"/>
                      </w:rPr>
                    </m:ctrlPr>
                  </m:sSupPr>
                  <m:e>
                    <m:r>
                      <w:rPr>
                        <w:rFonts w:ascii="Cambria Math" w:hAnsi="Cambria Math"/>
                        <w:sz w:val="22"/>
                        <w:szCs w:val="22"/>
                      </w:rPr>
                      <m:t>p</m:t>
                    </m:r>
                  </m:e>
                  <m:sup>
                    <m:r>
                      <w:rPr>
                        <w:rFonts w:ascii="Cambria Math" w:hAnsi="Cambria Math"/>
                        <w:sz w:val="22"/>
                        <w:szCs w:val="22"/>
                      </w:rPr>
                      <m:t>2</m:t>
                    </m:r>
                  </m:sup>
                </m:sSup>
              </m:num>
              <m:den>
                <m:sSub>
                  <m:sSubPr>
                    <m:ctrlPr>
                      <w:rPr>
                        <w:rFonts w:ascii="Cambria Math" w:hAnsi="Cambria Math"/>
                        <w:i/>
                        <w:sz w:val="22"/>
                        <w:szCs w:val="22"/>
                      </w:rPr>
                    </m:ctrlPr>
                  </m:sSubPr>
                  <m:e>
                    <m:r>
                      <w:rPr>
                        <w:rFonts w:ascii="Cambria Math" w:hAnsi="Cambria Math"/>
                        <w:sz w:val="22"/>
                        <w:szCs w:val="22"/>
                      </w:rPr>
                      <m:t>γ</m:t>
                    </m:r>
                  </m:e>
                  <m:sub>
                    <m:r>
                      <w:rPr>
                        <w:rFonts w:ascii="Cambria Math" w:hAnsi="Cambria Math"/>
                        <w:sz w:val="22"/>
                        <w:szCs w:val="22"/>
                      </w:rPr>
                      <m:t>1</m:t>
                    </m:r>
                  </m:sub>
                </m:sSub>
              </m:den>
            </m:f>
          </m:e>
        </m:d>
        <m:sSub>
          <m:sSubPr>
            <m:ctrlPr>
              <w:rPr>
                <w:rFonts w:ascii="Cambria Math" w:hAnsi="Cambria Math"/>
                <w:i/>
                <w:sz w:val="22"/>
                <w:szCs w:val="22"/>
              </w:rPr>
            </m:ctrlPr>
          </m:sSubPr>
          <m:e>
            <m:r>
              <w:rPr>
                <w:rFonts w:ascii="Cambria Math" w:hAnsi="Cambria Math"/>
                <w:sz w:val="22"/>
                <w:szCs w:val="22"/>
              </w:rPr>
              <m:t>σ</m:t>
            </m:r>
          </m:e>
          <m:sub>
            <m:r>
              <w:rPr>
                <w:rFonts w:ascii="Cambria Math" w:hAnsi="Cambria Math"/>
                <w:sz w:val="22"/>
                <w:szCs w:val="22"/>
              </w:rPr>
              <m:t>x</m:t>
            </m:r>
          </m:sub>
        </m:sSub>
      </m:oMath>
    </w:p>
    <w:p w14:paraId="70507A57" w14:textId="77777777" w:rsidR="0013589B" w:rsidRDefault="0013589B" w:rsidP="0013589B">
      <w:pPr>
        <w:ind w:firstLine="80"/>
        <w:jc w:val="both"/>
        <w:rPr>
          <w:sz w:val="22"/>
          <w:szCs w:val="22"/>
        </w:rPr>
      </w:pPr>
      <w:r>
        <w:rPr>
          <w:sz w:val="22"/>
          <w:szCs w:val="22"/>
        </w:rPr>
        <w:t xml:space="preserve">                                                    </w:t>
      </w:r>
      <m:oMath>
        <m:r>
          <w:rPr>
            <w:rFonts w:ascii="Cambria Math" w:hAnsi="Cambria Math"/>
            <w:sz w:val="22"/>
            <w:szCs w:val="22"/>
          </w:rPr>
          <m:t>+</m:t>
        </m:r>
        <m:d>
          <m:dPr>
            <m:ctrlPr>
              <w:rPr>
                <w:rFonts w:ascii="Cambria Math" w:hAnsi="Cambria Math"/>
                <w:i/>
                <w:sz w:val="22"/>
                <w:szCs w:val="22"/>
              </w:rPr>
            </m:ctrlPr>
          </m:dPr>
          <m:e>
            <m:r>
              <w:rPr>
                <w:rFonts w:ascii="Cambria Math" w:hAnsi="Cambria Math"/>
                <w:sz w:val="22"/>
                <w:szCs w:val="22"/>
              </w:rPr>
              <m:t>δ-</m:t>
            </m:r>
            <m:f>
              <m:fPr>
                <m:ctrlPr>
                  <w:rPr>
                    <w:rFonts w:ascii="Cambria Math" w:hAnsi="Cambria Math"/>
                    <w:i/>
                    <w:sz w:val="22"/>
                    <w:szCs w:val="22"/>
                  </w:rPr>
                </m:ctrlPr>
              </m:fPr>
              <m:num>
                <m:r>
                  <w:rPr>
                    <w:rFonts w:ascii="Cambria Math" w:hAnsi="Cambria Math"/>
                    <w:sz w:val="22"/>
                    <w:szCs w:val="22"/>
                  </w:rPr>
                  <m:t>2</m:t>
                </m:r>
                <m:sSub>
                  <m:sSubPr>
                    <m:ctrlPr>
                      <w:rPr>
                        <w:rFonts w:ascii="Cambria Math" w:hAnsi="Cambria Math"/>
                        <w:i/>
                        <w:sz w:val="22"/>
                        <w:szCs w:val="22"/>
                      </w:rPr>
                    </m:ctrlPr>
                  </m:sSubPr>
                  <m:e>
                    <m:r>
                      <w:rPr>
                        <w:rFonts w:ascii="Cambria Math" w:hAnsi="Cambria Math"/>
                        <w:sz w:val="22"/>
                        <w:szCs w:val="22"/>
                      </w:rPr>
                      <m:t>v</m:t>
                    </m:r>
                  </m:e>
                  <m:sub>
                    <m:r>
                      <w:rPr>
                        <w:rFonts w:ascii="Cambria Math" w:hAnsi="Cambria Math"/>
                        <w:sz w:val="22"/>
                        <w:szCs w:val="22"/>
                      </w:rPr>
                      <m:t>0</m:t>
                    </m:r>
                  </m:sub>
                </m:sSub>
                <m:sSub>
                  <m:sSubPr>
                    <m:ctrlPr>
                      <w:rPr>
                        <w:rFonts w:ascii="Cambria Math" w:hAnsi="Cambria Math"/>
                        <w:i/>
                        <w:sz w:val="22"/>
                        <w:szCs w:val="22"/>
                      </w:rPr>
                    </m:ctrlPr>
                  </m:sSubPr>
                  <m:e>
                    <m:r>
                      <w:rPr>
                        <w:rFonts w:ascii="Cambria Math" w:hAnsi="Cambria Math"/>
                        <w:sz w:val="22"/>
                        <w:szCs w:val="22"/>
                      </w:rPr>
                      <m:t>v</m:t>
                    </m:r>
                  </m:e>
                  <m:sub>
                    <m:r>
                      <w:rPr>
                        <w:rFonts w:ascii="Cambria Math" w:hAnsi="Cambria Math"/>
                        <w:sz w:val="22"/>
                        <w:szCs w:val="22"/>
                      </w:rPr>
                      <m:t>4</m:t>
                    </m:r>
                  </m:sub>
                </m:sSub>
                <m:sSup>
                  <m:sSupPr>
                    <m:ctrlPr>
                      <w:rPr>
                        <w:rFonts w:ascii="Cambria Math" w:hAnsi="Cambria Math"/>
                        <w:i/>
                        <w:sz w:val="22"/>
                        <w:szCs w:val="22"/>
                      </w:rPr>
                    </m:ctrlPr>
                  </m:sSupPr>
                  <m:e>
                    <m:r>
                      <w:rPr>
                        <w:rFonts w:ascii="Cambria Math" w:hAnsi="Cambria Math"/>
                        <w:sz w:val="22"/>
                        <w:szCs w:val="22"/>
                      </w:rPr>
                      <m:t>p</m:t>
                    </m:r>
                  </m:e>
                  <m:sup>
                    <m:r>
                      <w:rPr>
                        <w:rFonts w:ascii="Cambria Math" w:hAnsi="Cambria Math"/>
                        <w:sz w:val="22"/>
                        <w:szCs w:val="22"/>
                      </w:rPr>
                      <m:t>2</m:t>
                    </m:r>
                  </m:sup>
                </m:sSup>
              </m:num>
              <m:den>
                <m:sSub>
                  <m:sSubPr>
                    <m:ctrlPr>
                      <w:rPr>
                        <w:rFonts w:ascii="Cambria Math" w:hAnsi="Cambria Math"/>
                        <w:i/>
                        <w:sz w:val="22"/>
                        <w:szCs w:val="22"/>
                      </w:rPr>
                    </m:ctrlPr>
                  </m:sSubPr>
                  <m:e>
                    <m:r>
                      <w:rPr>
                        <w:rFonts w:ascii="Cambria Math" w:hAnsi="Cambria Math"/>
                        <w:sz w:val="22"/>
                        <w:szCs w:val="22"/>
                      </w:rPr>
                      <m:t>γ</m:t>
                    </m:r>
                  </m:e>
                  <m:sub>
                    <m:r>
                      <w:rPr>
                        <w:rFonts w:ascii="Cambria Math" w:hAnsi="Cambria Math"/>
                        <w:sz w:val="22"/>
                        <w:szCs w:val="22"/>
                      </w:rPr>
                      <m:t>1</m:t>
                    </m:r>
                  </m:sub>
                </m:sSub>
              </m:den>
            </m:f>
            <m:d>
              <m:dPr>
                <m:begChr m:val="["/>
                <m:endChr m:val="]"/>
                <m:ctrlPr>
                  <w:rPr>
                    <w:rFonts w:ascii="Cambria Math" w:hAnsi="Cambria Math"/>
                    <w:i/>
                    <w:sz w:val="22"/>
                    <w:szCs w:val="22"/>
                  </w:rPr>
                </m:ctrlPr>
              </m:dPr>
              <m:e>
                <m:r>
                  <w:rPr>
                    <w:rFonts w:ascii="Cambria Math" w:hAnsi="Cambria Math"/>
                    <w:sz w:val="22"/>
                    <w:szCs w:val="22"/>
                  </w:rPr>
                  <m:t>1+</m:t>
                </m:r>
                <m:sSup>
                  <m:sSupPr>
                    <m:ctrlPr>
                      <w:rPr>
                        <w:rFonts w:ascii="Cambria Math" w:hAnsi="Cambria Math"/>
                        <w:i/>
                        <w:sz w:val="22"/>
                        <w:szCs w:val="22"/>
                      </w:rPr>
                    </m:ctrlPr>
                  </m:sSupPr>
                  <m:e>
                    <m:d>
                      <m:dPr>
                        <m:ctrlPr>
                          <w:rPr>
                            <w:rFonts w:ascii="Cambria Math" w:hAnsi="Cambria Math"/>
                            <w:i/>
                            <w:sz w:val="22"/>
                            <w:szCs w:val="22"/>
                          </w:rPr>
                        </m:ctrlPr>
                      </m:dPr>
                      <m:e>
                        <m:f>
                          <m:fPr>
                            <m:ctrlPr>
                              <w:rPr>
                                <w:rFonts w:ascii="Cambria Math" w:hAnsi="Cambria Math"/>
                                <w:i/>
                                <w:sz w:val="22"/>
                                <w:szCs w:val="22"/>
                              </w:rPr>
                            </m:ctrlPr>
                          </m:fPr>
                          <m:num>
                            <m:sSub>
                              <m:sSubPr>
                                <m:ctrlPr>
                                  <w:rPr>
                                    <w:rFonts w:ascii="Cambria Math" w:hAnsi="Cambria Math"/>
                                    <w:i/>
                                    <w:sz w:val="22"/>
                                    <w:szCs w:val="22"/>
                                  </w:rPr>
                                </m:ctrlPr>
                              </m:sSubPr>
                              <m:e>
                                <m:r>
                                  <w:rPr>
                                    <w:rFonts w:ascii="Cambria Math" w:hAnsi="Cambria Math"/>
                                    <w:sz w:val="22"/>
                                    <w:szCs w:val="22"/>
                                  </w:rPr>
                                  <m:t>v</m:t>
                                </m:r>
                              </m:e>
                              <m:sub>
                                <m:r>
                                  <w:rPr>
                                    <w:rFonts w:ascii="Cambria Math" w:hAnsi="Cambria Math"/>
                                    <w:sz w:val="22"/>
                                    <w:szCs w:val="22"/>
                                  </w:rPr>
                                  <m:t>0</m:t>
                                </m:r>
                              </m:sub>
                            </m:sSub>
                            <m:r>
                              <w:rPr>
                                <w:rFonts w:ascii="Cambria Math" w:hAnsi="Cambria Math"/>
                                <w:sz w:val="22"/>
                                <w:szCs w:val="22"/>
                              </w:rPr>
                              <m:t>p</m:t>
                            </m:r>
                          </m:num>
                          <m:den>
                            <m:sSub>
                              <m:sSubPr>
                                <m:ctrlPr>
                                  <w:rPr>
                                    <w:rFonts w:ascii="Cambria Math" w:hAnsi="Cambria Math"/>
                                    <w:i/>
                                    <w:sz w:val="22"/>
                                    <w:szCs w:val="22"/>
                                  </w:rPr>
                                </m:ctrlPr>
                              </m:sSubPr>
                              <m:e>
                                <m:r>
                                  <w:rPr>
                                    <w:rFonts w:ascii="Cambria Math" w:hAnsi="Cambria Math"/>
                                    <w:sz w:val="22"/>
                                    <w:szCs w:val="22"/>
                                  </w:rPr>
                                  <m:t>γ</m:t>
                                </m:r>
                              </m:e>
                              <m:sub>
                                <m:r>
                                  <w:rPr>
                                    <w:rFonts w:ascii="Cambria Math" w:hAnsi="Cambria Math"/>
                                    <w:sz w:val="22"/>
                                    <w:szCs w:val="22"/>
                                  </w:rPr>
                                  <m:t>1</m:t>
                                </m:r>
                              </m:sub>
                            </m:sSub>
                          </m:den>
                        </m:f>
                      </m:e>
                    </m:d>
                  </m:e>
                  <m:sup>
                    <m:r>
                      <w:rPr>
                        <w:rFonts w:ascii="Cambria Math" w:hAnsi="Cambria Math"/>
                        <w:sz w:val="22"/>
                        <w:szCs w:val="22"/>
                      </w:rPr>
                      <m:t>2</m:t>
                    </m:r>
                  </m:sup>
                </m:sSup>
              </m:e>
            </m:d>
          </m:e>
        </m:d>
        <m:sSub>
          <m:sSubPr>
            <m:ctrlPr>
              <w:rPr>
                <w:rFonts w:ascii="Cambria Math" w:hAnsi="Cambria Math"/>
                <w:i/>
                <w:sz w:val="22"/>
                <w:szCs w:val="22"/>
              </w:rPr>
            </m:ctrlPr>
          </m:sSubPr>
          <m:e>
            <m:r>
              <w:rPr>
                <w:rFonts w:ascii="Cambria Math" w:hAnsi="Cambria Math"/>
                <w:sz w:val="22"/>
                <w:szCs w:val="22"/>
              </w:rPr>
              <m:t>σ</m:t>
            </m:r>
          </m:e>
          <m:sub>
            <m:r>
              <w:rPr>
                <w:rFonts w:ascii="Cambria Math" w:hAnsi="Cambria Math"/>
                <w:sz w:val="22"/>
                <w:szCs w:val="22"/>
              </w:rPr>
              <m:t>0</m:t>
            </m:r>
          </m:sub>
        </m:sSub>
        <m:r>
          <w:rPr>
            <w:rFonts w:ascii="Cambria Math" w:hAnsi="Cambria Math"/>
            <w:sz w:val="22"/>
            <w:szCs w:val="22"/>
          </w:rPr>
          <m:t>+</m:t>
        </m:r>
        <m:f>
          <m:fPr>
            <m:ctrlPr>
              <w:rPr>
                <w:rFonts w:ascii="Cambria Math" w:hAnsi="Cambria Math"/>
                <w:i/>
                <w:sz w:val="22"/>
                <w:szCs w:val="22"/>
              </w:rPr>
            </m:ctrlPr>
          </m:fPr>
          <m:num>
            <m:r>
              <w:rPr>
                <w:rFonts w:ascii="Cambria Math" w:hAnsi="Cambria Math"/>
                <w:sz w:val="22"/>
                <w:szCs w:val="22"/>
              </w:rPr>
              <m:t>U</m:t>
            </m:r>
          </m:num>
          <m:den>
            <m:r>
              <w:rPr>
                <w:rFonts w:ascii="Cambria Math" w:hAnsi="Cambria Math"/>
                <w:sz w:val="22"/>
                <w:szCs w:val="22"/>
              </w:rPr>
              <m:t>2</m:t>
            </m:r>
          </m:den>
        </m:f>
        <m:d>
          <m:dPr>
            <m:begChr m:val="["/>
            <m:endChr m:val="]"/>
            <m:ctrlPr>
              <w:rPr>
                <w:rFonts w:ascii="Cambria Math" w:hAnsi="Cambria Math"/>
                <w:i/>
                <w:sz w:val="22"/>
                <w:szCs w:val="22"/>
              </w:rPr>
            </m:ctrlPr>
          </m:dPr>
          <m:e>
            <m:r>
              <w:rPr>
                <w:rFonts w:ascii="Cambria Math" w:hAnsi="Cambria Math"/>
                <w:sz w:val="22"/>
                <w:szCs w:val="22"/>
              </w:rPr>
              <m:t>1-</m:t>
            </m:r>
            <m:sSup>
              <m:sSupPr>
                <m:ctrlPr>
                  <w:rPr>
                    <w:rFonts w:ascii="Cambria Math" w:hAnsi="Cambria Math"/>
                    <w:i/>
                    <w:sz w:val="22"/>
                    <w:szCs w:val="22"/>
                  </w:rPr>
                </m:ctrlPr>
              </m:sSupPr>
              <m:e>
                <m:d>
                  <m:dPr>
                    <m:ctrlPr>
                      <w:rPr>
                        <w:rFonts w:ascii="Cambria Math" w:hAnsi="Cambria Math"/>
                        <w:i/>
                        <w:sz w:val="22"/>
                        <w:szCs w:val="22"/>
                      </w:rPr>
                    </m:ctrlPr>
                  </m:dPr>
                  <m:e>
                    <m:f>
                      <m:fPr>
                        <m:ctrlPr>
                          <w:rPr>
                            <w:rFonts w:ascii="Cambria Math" w:hAnsi="Cambria Math"/>
                            <w:i/>
                            <w:sz w:val="22"/>
                            <w:szCs w:val="22"/>
                          </w:rPr>
                        </m:ctrlPr>
                      </m:fPr>
                      <m:num>
                        <m:sSub>
                          <m:sSubPr>
                            <m:ctrlPr>
                              <w:rPr>
                                <w:rFonts w:ascii="Cambria Math" w:hAnsi="Cambria Math"/>
                                <w:i/>
                                <w:sz w:val="22"/>
                                <w:szCs w:val="22"/>
                              </w:rPr>
                            </m:ctrlPr>
                          </m:sSubPr>
                          <m:e>
                            <m:r>
                              <w:rPr>
                                <w:rFonts w:ascii="Cambria Math" w:hAnsi="Cambria Math"/>
                                <w:sz w:val="22"/>
                                <w:szCs w:val="22"/>
                              </w:rPr>
                              <m:t>v</m:t>
                            </m:r>
                          </m:e>
                          <m:sub>
                            <m:r>
                              <w:rPr>
                                <w:rFonts w:ascii="Cambria Math" w:hAnsi="Cambria Math"/>
                                <w:sz w:val="22"/>
                                <w:szCs w:val="22"/>
                              </w:rPr>
                              <m:t>0</m:t>
                            </m:r>
                          </m:sub>
                        </m:sSub>
                        <m:r>
                          <w:rPr>
                            <w:rFonts w:ascii="Cambria Math" w:hAnsi="Cambria Math"/>
                            <w:sz w:val="22"/>
                            <w:szCs w:val="22"/>
                          </w:rPr>
                          <m:t>p</m:t>
                        </m:r>
                      </m:num>
                      <m:den>
                        <m:sSub>
                          <m:sSubPr>
                            <m:ctrlPr>
                              <w:rPr>
                                <w:rFonts w:ascii="Cambria Math" w:hAnsi="Cambria Math"/>
                                <w:i/>
                                <w:sz w:val="22"/>
                                <w:szCs w:val="22"/>
                              </w:rPr>
                            </m:ctrlPr>
                          </m:sSubPr>
                          <m:e>
                            <m:r>
                              <w:rPr>
                                <w:rFonts w:ascii="Cambria Math" w:hAnsi="Cambria Math"/>
                                <w:sz w:val="22"/>
                                <w:szCs w:val="22"/>
                              </w:rPr>
                              <m:t>γ</m:t>
                            </m:r>
                          </m:e>
                          <m:sub>
                            <m:r>
                              <w:rPr>
                                <w:rFonts w:ascii="Cambria Math" w:hAnsi="Cambria Math"/>
                                <w:sz w:val="22"/>
                                <w:szCs w:val="22"/>
                              </w:rPr>
                              <m:t>1</m:t>
                            </m:r>
                          </m:sub>
                        </m:sSub>
                      </m:den>
                    </m:f>
                  </m:e>
                </m:d>
              </m:e>
              <m:sup>
                <m:r>
                  <w:rPr>
                    <w:rFonts w:ascii="Cambria Math" w:hAnsi="Cambria Math"/>
                    <w:sz w:val="22"/>
                    <w:szCs w:val="22"/>
                  </w:rPr>
                  <m:t>4</m:t>
                </m:r>
              </m:sup>
            </m:sSup>
          </m:e>
        </m:d>
        <m:sSub>
          <m:sSubPr>
            <m:ctrlPr>
              <w:rPr>
                <w:rFonts w:ascii="Cambria Math" w:hAnsi="Cambria Math"/>
                <w:i/>
                <w:sz w:val="22"/>
                <w:szCs w:val="22"/>
              </w:rPr>
            </m:ctrlPr>
          </m:sSubPr>
          <m:e>
            <m:r>
              <w:rPr>
                <w:rFonts w:ascii="Cambria Math" w:hAnsi="Cambria Math"/>
                <w:sz w:val="22"/>
                <w:szCs w:val="22"/>
              </w:rPr>
              <m:t>σ</m:t>
            </m:r>
          </m:e>
          <m:sub>
            <m:r>
              <w:rPr>
                <w:rFonts w:ascii="Cambria Math" w:hAnsi="Cambria Math"/>
                <w:sz w:val="22"/>
                <w:szCs w:val="22"/>
              </w:rPr>
              <m:t>z</m:t>
            </m:r>
          </m:sub>
        </m:sSub>
        <m:r>
          <w:rPr>
            <w:rFonts w:ascii="Cambria Math" w:hAnsi="Cambria Math"/>
            <w:sz w:val="22"/>
            <w:szCs w:val="22"/>
          </w:rPr>
          <m:t>+</m:t>
        </m:r>
        <m:f>
          <m:fPr>
            <m:ctrlPr>
              <w:rPr>
                <w:rFonts w:ascii="Cambria Math" w:hAnsi="Cambria Math"/>
                <w:i/>
                <w:sz w:val="22"/>
                <w:szCs w:val="22"/>
              </w:rPr>
            </m:ctrlPr>
          </m:fPr>
          <m:num>
            <m:sSub>
              <m:sSubPr>
                <m:ctrlPr>
                  <w:rPr>
                    <w:rFonts w:ascii="Cambria Math" w:hAnsi="Cambria Math"/>
                    <w:i/>
                    <w:sz w:val="22"/>
                    <w:szCs w:val="22"/>
                  </w:rPr>
                </m:ctrlPr>
              </m:sSubPr>
              <m:e>
                <m:r>
                  <w:rPr>
                    <w:rFonts w:ascii="Cambria Math" w:hAnsi="Cambria Math"/>
                    <w:sz w:val="22"/>
                    <w:szCs w:val="22"/>
                  </w:rPr>
                  <m:t>λ</m:t>
                </m:r>
              </m:e>
              <m:sub>
                <m:r>
                  <w:rPr>
                    <w:rFonts w:ascii="Cambria Math" w:hAnsi="Cambria Math"/>
                    <w:sz w:val="22"/>
                    <w:szCs w:val="22"/>
                  </w:rPr>
                  <m:t>I</m:t>
                </m:r>
              </m:sub>
            </m:sSub>
          </m:num>
          <m:den>
            <m:r>
              <w:rPr>
                <w:rFonts w:ascii="Cambria Math" w:hAnsi="Cambria Math"/>
                <w:sz w:val="22"/>
                <w:szCs w:val="22"/>
              </w:rPr>
              <m:t>2</m:t>
            </m:r>
          </m:den>
        </m:f>
        <m:sSub>
          <m:sSubPr>
            <m:ctrlPr>
              <w:rPr>
                <w:rFonts w:ascii="Cambria Math" w:hAnsi="Cambria Math"/>
                <w:i/>
                <w:sz w:val="22"/>
                <w:szCs w:val="22"/>
              </w:rPr>
            </m:ctrlPr>
          </m:sSubPr>
          <m:e>
            <m:r>
              <w:rPr>
                <w:rFonts w:ascii="Cambria Math" w:hAnsi="Cambria Math"/>
                <w:sz w:val="22"/>
                <w:szCs w:val="22"/>
              </w:rPr>
              <m:t>τ</m:t>
            </m:r>
          </m:e>
          <m:sub>
            <m:r>
              <w:rPr>
                <w:rFonts w:ascii="Cambria Math" w:hAnsi="Cambria Math"/>
                <w:sz w:val="22"/>
                <w:szCs w:val="22"/>
              </w:rPr>
              <m:t>z</m:t>
            </m:r>
          </m:sub>
        </m:sSub>
        <m:sSub>
          <m:sSubPr>
            <m:ctrlPr>
              <w:rPr>
                <w:rFonts w:ascii="Cambria Math" w:hAnsi="Cambria Math"/>
                <w:i/>
                <w:sz w:val="22"/>
                <w:szCs w:val="22"/>
              </w:rPr>
            </m:ctrlPr>
          </m:sSubPr>
          <m:e>
            <m:r>
              <w:rPr>
                <w:rFonts w:ascii="Cambria Math" w:hAnsi="Cambria Math"/>
                <w:sz w:val="22"/>
                <w:szCs w:val="22"/>
              </w:rPr>
              <m:t>s</m:t>
            </m:r>
          </m:e>
          <m:sub>
            <m:r>
              <w:rPr>
                <w:rFonts w:ascii="Cambria Math" w:hAnsi="Cambria Math"/>
                <w:sz w:val="22"/>
                <w:szCs w:val="22"/>
              </w:rPr>
              <m:t>z</m:t>
            </m:r>
          </m:sub>
        </m:sSub>
        <m:sSub>
          <m:sSubPr>
            <m:ctrlPr>
              <w:rPr>
                <w:rFonts w:ascii="Cambria Math" w:hAnsi="Cambria Math"/>
                <w:i/>
                <w:sz w:val="22"/>
                <w:szCs w:val="22"/>
              </w:rPr>
            </m:ctrlPr>
          </m:sSubPr>
          <m:e>
            <m:r>
              <w:rPr>
                <w:rFonts w:ascii="Cambria Math" w:hAnsi="Cambria Math"/>
                <w:sz w:val="22"/>
                <w:szCs w:val="22"/>
              </w:rPr>
              <m:t>σ</m:t>
            </m:r>
          </m:e>
          <m:sub>
            <m:r>
              <w:rPr>
                <w:rFonts w:ascii="Cambria Math" w:hAnsi="Cambria Math"/>
                <w:sz w:val="22"/>
                <w:szCs w:val="22"/>
              </w:rPr>
              <m:t>z</m:t>
            </m:r>
          </m:sub>
        </m:sSub>
        <m:r>
          <m:rPr>
            <m:sty m:val="p"/>
          </m:rPr>
          <w:rPr>
            <w:rFonts w:ascii="Cambria Math" w:hAnsi="Cambria Math"/>
            <w:sz w:val="22"/>
            <w:szCs w:val="22"/>
          </w:rPr>
          <w:softHyphen/>
        </m:r>
      </m:oMath>
      <w:r>
        <w:rPr>
          <w:sz w:val="22"/>
          <w:szCs w:val="22"/>
        </w:rPr>
        <w:t>,</w:t>
      </w:r>
    </w:p>
    <w:p w14:paraId="5A72403C" w14:textId="77777777" w:rsidR="0013589B" w:rsidRDefault="0013589B" w:rsidP="0013589B">
      <w:pPr>
        <w:jc w:val="both"/>
        <w:rPr>
          <w:rFonts w:ascii="Calibri" w:hAnsi="Calibri" w:cs="Calibri"/>
        </w:rPr>
      </w:pPr>
      <w:r w:rsidRPr="00335785">
        <w:rPr>
          <w:rFonts w:ascii="Calibri" w:hAnsi="Calibri" w:cs="Calibri"/>
        </w:rPr>
        <w:lastRenderedPageBreak/>
        <w:t>where</w:t>
      </w:r>
      <w:r w:rsidRPr="00727AF8">
        <w:t xml:space="preserve"> </w:t>
      </w:r>
      <m:oMath>
        <m:sSub>
          <m:sSubPr>
            <m:ctrlPr>
              <w:rPr>
                <w:rFonts w:ascii="Cambria Math" w:hAnsi="Cambria Math"/>
                <w:i/>
                <w:iCs/>
                <w:sz w:val="22"/>
                <w:szCs w:val="22"/>
              </w:rPr>
            </m:ctrlPr>
          </m:sSubPr>
          <m:e>
            <m:r>
              <w:rPr>
                <w:rFonts w:ascii="Cambria Math" w:hAnsi="Cambria Math"/>
                <w:sz w:val="22"/>
                <w:szCs w:val="22"/>
              </w:rPr>
              <m:t>ϕ</m:t>
            </m:r>
          </m:e>
          <m:sub>
            <m:r>
              <m:rPr>
                <m:sty m:val="bi"/>
              </m:rPr>
              <w:rPr>
                <w:rFonts w:ascii="Cambria Math" w:hAnsi="Cambria Math"/>
                <w:sz w:val="22"/>
                <w:szCs w:val="22"/>
              </w:rPr>
              <m:t>k</m:t>
            </m:r>
          </m:sub>
        </m:sSub>
        <m:r>
          <w:rPr>
            <w:rFonts w:ascii="Cambria Math" w:hAnsi="Cambria Math"/>
            <w:sz w:val="22"/>
            <w:szCs w:val="22"/>
          </w:rPr>
          <m:t>=</m:t>
        </m:r>
        <m:sSub>
          <m:sSubPr>
            <m:ctrlPr>
              <w:rPr>
                <w:rFonts w:ascii="Cambria Math" w:hAnsi="Cambria Math"/>
                <w:i/>
                <w:iCs/>
                <w:sz w:val="22"/>
                <w:szCs w:val="22"/>
              </w:rPr>
            </m:ctrlPr>
          </m:sSubPr>
          <m:e>
            <m:r>
              <w:rPr>
                <w:rFonts w:ascii="Cambria Math" w:hAnsi="Cambria Math"/>
                <w:sz w:val="22"/>
                <w:szCs w:val="22"/>
              </w:rPr>
              <m:t>τ</m:t>
            </m:r>
          </m:e>
          <m:sub>
            <m:r>
              <w:rPr>
                <w:rFonts w:ascii="Cambria Math" w:hAnsi="Cambria Math"/>
                <w:sz w:val="22"/>
                <w:szCs w:val="22"/>
              </w:rPr>
              <m:t>z</m:t>
            </m:r>
          </m:sub>
        </m:sSub>
        <m:func>
          <m:funcPr>
            <m:ctrlPr>
              <w:rPr>
                <w:rFonts w:ascii="Cambria Math" w:hAnsi="Cambria Math"/>
                <w:i/>
                <w:iCs/>
                <w:sz w:val="22"/>
                <w:szCs w:val="22"/>
              </w:rPr>
            </m:ctrlPr>
          </m:funcPr>
          <m:fName>
            <m:sSup>
              <m:sSupPr>
                <m:ctrlPr>
                  <w:rPr>
                    <w:rFonts w:ascii="Cambria Math" w:hAnsi="Cambria Math"/>
                    <w:iCs/>
                    <w:sz w:val="22"/>
                    <w:szCs w:val="22"/>
                  </w:rPr>
                </m:ctrlPr>
              </m:sSupPr>
              <m:e>
                <m:r>
                  <m:rPr>
                    <m:sty m:val="p"/>
                  </m:rPr>
                  <w:rPr>
                    <w:rFonts w:ascii="Cambria Math" w:hAnsi="Cambria Math"/>
                    <w:sz w:val="22"/>
                    <w:szCs w:val="22"/>
                  </w:rPr>
                  <m:t>tan</m:t>
                </m:r>
              </m:e>
              <m:sup>
                <m:r>
                  <m:rPr>
                    <m:sty m:val="p"/>
                  </m:rPr>
                  <w:rPr>
                    <w:rFonts w:ascii="Cambria Math" w:hAnsi="Cambria Math"/>
                    <w:sz w:val="22"/>
                    <w:szCs w:val="22"/>
                  </w:rPr>
                  <m:t>-1</m:t>
                </m:r>
              </m:sup>
            </m:sSup>
          </m:fName>
          <m:e>
            <m:d>
              <m:dPr>
                <m:ctrlPr>
                  <w:rPr>
                    <w:rFonts w:ascii="Cambria Math" w:hAnsi="Cambria Math"/>
                    <w:i/>
                    <w:iCs/>
                    <w:sz w:val="22"/>
                    <w:szCs w:val="22"/>
                  </w:rPr>
                </m:ctrlPr>
              </m:dPr>
              <m:e>
                <m:f>
                  <m:fPr>
                    <m:ctrlPr>
                      <w:rPr>
                        <w:rFonts w:ascii="Cambria Math" w:hAnsi="Cambria Math"/>
                        <w:i/>
                        <w:iCs/>
                        <w:sz w:val="22"/>
                        <w:szCs w:val="22"/>
                      </w:rPr>
                    </m:ctrlPr>
                  </m:fPr>
                  <m:num>
                    <m:sSub>
                      <m:sSubPr>
                        <m:ctrlPr>
                          <w:rPr>
                            <w:rFonts w:ascii="Cambria Math" w:hAnsi="Cambria Math"/>
                            <w:i/>
                            <w:iCs/>
                            <w:sz w:val="22"/>
                            <w:szCs w:val="22"/>
                          </w:rPr>
                        </m:ctrlPr>
                      </m:sSubPr>
                      <m:e>
                        <m:r>
                          <w:rPr>
                            <w:rFonts w:ascii="Cambria Math" w:hAnsi="Cambria Math"/>
                            <w:sz w:val="22"/>
                            <w:szCs w:val="22"/>
                          </w:rPr>
                          <m:t>p</m:t>
                        </m:r>
                      </m:e>
                      <m:sub>
                        <m:r>
                          <w:rPr>
                            <w:rFonts w:ascii="Cambria Math" w:hAnsi="Cambria Math"/>
                            <w:sz w:val="22"/>
                            <w:szCs w:val="22"/>
                          </w:rPr>
                          <m:t>y</m:t>
                        </m:r>
                      </m:sub>
                    </m:sSub>
                  </m:num>
                  <m:den>
                    <m:sSub>
                      <m:sSubPr>
                        <m:ctrlPr>
                          <w:rPr>
                            <w:rFonts w:ascii="Cambria Math" w:hAnsi="Cambria Math"/>
                            <w:i/>
                            <w:iCs/>
                            <w:sz w:val="22"/>
                            <w:szCs w:val="22"/>
                          </w:rPr>
                        </m:ctrlPr>
                      </m:sSubPr>
                      <m:e>
                        <m:r>
                          <w:rPr>
                            <w:rFonts w:ascii="Cambria Math" w:hAnsi="Cambria Math"/>
                            <w:sz w:val="22"/>
                            <w:szCs w:val="22"/>
                          </w:rPr>
                          <m:t>p</m:t>
                        </m:r>
                      </m:e>
                      <m:sub>
                        <m:r>
                          <w:rPr>
                            <w:rFonts w:ascii="Cambria Math" w:hAnsi="Cambria Math"/>
                            <w:sz w:val="22"/>
                            <w:szCs w:val="22"/>
                          </w:rPr>
                          <m:t>x</m:t>
                        </m:r>
                      </m:sub>
                    </m:sSub>
                  </m:den>
                </m:f>
              </m:e>
            </m:d>
          </m:e>
        </m:func>
      </m:oMath>
      <w:r>
        <w:rPr>
          <w:iCs/>
          <w:sz w:val="22"/>
          <w:szCs w:val="22"/>
        </w:rPr>
        <w:t xml:space="preserve">, </w:t>
      </w:r>
      <m:oMath>
        <m:sSub>
          <m:sSubPr>
            <m:ctrlPr>
              <w:rPr>
                <w:rFonts w:ascii="Cambria Math" w:hAnsi="Cambria Math" w:cs="Calibri"/>
                <w:i/>
              </w:rPr>
            </m:ctrlPr>
          </m:sSubPr>
          <m:e>
            <m:r>
              <w:rPr>
                <w:rFonts w:ascii="Cambria Math" w:hAnsi="Cambria Math" w:cs="Calibri"/>
              </w:rPr>
              <m:t>τ</m:t>
            </m:r>
          </m:e>
          <m:sub>
            <m:r>
              <w:rPr>
                <w:rFonts w:ascii="Cambria Math" w:hAnsi="Cambria Math" w:cs="Calibri"/>
              </w:rPr>
              <m:t>z</m:t>
            </m:r>
          </m:sub>
        </m:sSub>
        <m:r>
          <w:rPr>
            <w:rFonts w:ascii="Cambria Math" w:hAnsi="Cambria Math" w:cs="Calibri"/>
          </w:rPr>
          <m:t>=±1</m:t>
        </m:r>
      </m:oMath>
      <w:r>
        <w:rPr>
          <w:rFonts w:ascii="Calibri" w:hAnsi="Calibri" w:cs="Calibri"/>
        </w:rPr>
        <w:t xml:space="preserve"> denoting K/K’, and </w:t>
      </w:r>
      <m:oMath>
        <m:r>
          <w:rPr>
            <w:rFonts w:ascii="Cambria Math" w:hAnsi="Cambria Math" w:cs="Calibri"/>
          </w:rPr>
          <m:t>U</m:t>
        </m:r>
      </m:oMath>
      <w:r>
        <w:rPr>
          <w:rFonts w:ascii="Calibri" w:hAnsi="Calibri" w:cs="Calibri"/>
        </w:rPr>
        <w:t xml:space="preserve"> is the potential difference between the two outermost layers.</w:t>
      </w:r>
      <w:r>
        <w:rPr>
          <w:sz w:val="22"/>
          <w:szCs w:val="22"/>
        </w:rPr>
        <w:t xml:space="preserve"> </w:t>
      </w:r>
      <w:r>
        <w:rPr>
          <w:rFonts w:ascii="Calibri" w:hAnsi="Calibri" w:cs="Calibri"/>
        </w:rPr>
        <w:t xml:space="preserve">This model is valid up to the </w:t>
      </w:r>
      <w:r>
        <w:rPr>
          <w:rFonts w:ascii="Calibri" w:hAnsi="Calibri" w:cs="Calibri" w:hint="eastAsia"/>
        </w:rPr>
        <w:t>fourth</w:t>
      </w:r>
      <w:r>
        <w:rPr>
          <w:rFonts w:ascii="Calibri" w:hAnsi="Calibri" w:cs="Calibri"/>
        </w:rPr>
        <w:t xml:space="preserve"> order in </w:t>
      </w:r>
      <m:oMath>
        <m:f>
          <m:fPr>
            <m:ctrlPr>
              <w:rPr>
                <w:rFonts w:ascii="Cambria Math" w:hAnsi="Cambria Math" w:cs="Calibri"/>
                <w:i/>
              </w:rPr>
            </m:ctrlPr>
          </m:fPr>
          <m:num>
            <m:sSub>
              <m:sSubPr>
                <m:ctrlPr>
                  <w:rPr>
                    <w:rFonts w:ascii="Cambria Math" w:hAnsi="Cambria Math" w:cs="Calibri"/>
                    <w:i/>
                  </w:rPr>
                </m:ctrlPr>
              </m:sSubPr>
              <m:e>
                <m:r>
                  <w:rPr>
                    <w:rFonts w:ascii="Cambria Math" w:hAnsi="Cambria Math" w:cs="Calibri"/>
                  </w:rPr>
                  <m:t>v</m:t>
                </m:r>
              </m:e>
              <m:sub>
                <m:r>
                  <w:rPr>
                    <w:rFonts w:ascii="Cambria Math" w:hAnsi="Cambria Math" w:cs="Calibri"/>
                  </w:rPr>
                  <m:t>0</m:t>
                </m:r>
              </m:sub>
            </m:sSub>
            <m:r>
              <w:rPr>
                <w:rFonts w:ascii="Cambria Math" w:hAnsi="Cambria Math" w:cs="Calibri"/>
              </w:rPr>
              <m:t>p</m:t>
            </m:r>
          </m:num>
          <m:den>
            <m:sSub>
              <m:sSubPr>
                <m:ctrlPr>
                  <w:rPr>
                    <w:rFonts w:ascii="Cambria Math" w:hAnsi="Cambria Math" w:cs="Calibri"/>
                    <w:i/>
                  </w:rPr>
                </m:ctrlPr>
              </m:sSubPr>
              <m:e>
                <m:r>
                  <w:rPr>
                    <w:rFonts w:ascii="Cambria Math" w:hAnsi="Cambria Math" w:cs="Calibri"/>
                  </w:rPr>
                  <m:t>γ</m:t>
                </m:r>
              </m:e>
              <m:sub>
                <m:r>
                  <w:rPr>
                    <w:rFonts w:ascii="Cambria Math" w:hAnsi="Cambria Math" w:cs="Calibri"/>
                  </w:rPr>
                  <m:t>1</m:t>
                </m:r>
              </m:sub>
            </m:sSub>
          </m:den>
        </m:f>
      </m:oMath>
      <w:r>
        <w:rPr>
          <w:rFonts w:ascii="Calibri" w:hAnsi="Calibri" w:cs="Calibri"/>
        </w:rPr>
        <w:t xml:space="preserve"> and to the first order in the ratios between the remote hopping</w:t>
      </w:r>
      <w:r>
        <w:rPr>
          <w:rFonts w:ascii="Calibri" w:hAnsi="Calibri" w:cs="Calibri" w:hint="eastAsia"/>
        </w:rPr>
        <w:t xml:space="preserve"> terms</w:t>
      </w:r>
      <w:r>
        <w:rPr>
          <w:rFonts w:ascii="Calibri" w:hAnsi="Calibri" w:cs="Calibri"/>
        </w:rPr>
        <w:t xml:space="preserve"> </w:t>
      </w:r>
      <m:oMath>
        <m:sSub>
          <m:sSubPr>
            <m:ctrlPr>
              <w:rPr>
                <w:rFonts w:ascii="Cambria Math" w:hAnsi="Cambria Math" w:cstheme="minorHAnsi"/>
                <w:i/>
              </w:rPr>
            </m:ctrlPr>
          </m:sSubPr>
          <m:e>
            <m:r>
              <w:rPr>
                <w:rFonts w:ascii="Cambria Math" w:hAnsi="Cambria Math" w:cstheme="minorHAnsi"/>
              </w:rPr>
              <m:t>γ</m:t>
            </m:r>
          </m:e>
          <m:sub>
            <m:r>
              <w:rPr>
                <w:rFonts w:ascii="Cambria Math" w:hAnsi="Cambria Math" w:cstheme="minorHAnsi"/>
              </w:rPr>
              <m:t>2</m:t>
            </m:r>
          </m:sub>
        </m:sSub>
      </m:oMath>
      <w:r w:rsidRPr="00A11BEC">
        <w:rPr>
          <w:rFonts w:cstheme="minorHAnsi"/>
        </w:rPr>
        <w:t xml:space="preserve">, </w:t>
      </w:r>
      <m:oMath>
        <m:sSub>
          <m:sSubPr>
            <m:ctrlPr>
              <w:rPr>
                <w:rFonts w:ascii="Cambria Math" w:hAnsi="Cambria Math" w:cstheme="minorHAnsi"/>
                <w:i/>
              </w:rPr>
            </m:ctrlPr>
          </m:sSubPr>
          <m:e>
            <m:r>
              <w:rPr>
                <w:rFonts w:ascii="Cambria Math" w:hAnsi="Cambria Math" w:cstheme="minorHAnsi"/>
              </w:rPr>
              <m:t>v</m:t>
            </m:r>
          </m:e>
          <m:sub>
            <m:r>
              <w:rPr>
                <w:rFonts w:ascii="Cambria Math" w:hAnsi="Cambria Math" w:cstheme="minorHAnsi"/>
              </w:rPr>
              <m:t>3</m:t>
            </m:r>
          </m:sub>
        </m:sSub>
        <m:r>
          <w:rPr>
            <w:rFonts w:ascii="Cambria Math" w:hAnsi="Cambria Math" w:cstheme="minorHAnsi"/>
          </w:rPr>
          <m:t>p</m:t>
        </m:r>
      </m:oMath>
      <w:r w:rsidRPr="00A11BEC">
        <w:rPr>
          <w:rFonts w:cstheme="minorHAnsi"/>
        </w:rPr>
        <w:t xml:space="preserve">, </w:t>
      </w:r>
      <m:oMath>
        <m:sSub>
          <m:sSubPr>
            <m:ctrlPr>
              <w:rPr>
                <w:rFonts w:ascii="Cambria Math" w:hAnsi="Cambria Math" w:cstheme="minorHAnsi"/>
                <w:i/>
              </w:rPr>
            </m:ctrlPr>
          </m:sSubPr>
          <m:e>
            <m:r>
              <w:rPr>
                <w:rFonts w:ascii="Cambria Math" w:hAnsi="Cambria Math" w:cstheme="minorHAnsi"/>
              </w:rPr>
              <m:t>v</m:t>
            </m:r>
          </m:e>
          <m:sub>
            <m:r>
              <w:rPr>
                <w:rFonts w:ascii="Cambria Math" w:hAnsi="Cambria Math" w:cstheme="minorHAnsi"/>
              </w:rPr>
              <m:t>4</m:t>
            </m:r>
          </m:sub>
        </m:sSub>
        <m:r>
          <w:rPr>
            <w:rFonts w:ascii="Cambria Math" w:hAnsi="Cambria Math" w:cstheme="minorHAnsi"/>
          </w:rPr>
          <m:t>p</m:t>
        </m:r>
      </m:oMath>
      <w:r w:rsidRPr="00A11BEC">
        <w:rPr>
          <w:rFonts w:cstheme="minorHAnsi"/>
        </w:rPr>
        <w:t xml:space="preserve"> (where </w:t>
      </w:r>
      <m:oMath>
        <m:sSub>
          <m:sSubPr>
            <m:ctrlPr>
              <w:rPr>
                <w:rFonts w:ascii="Cambria Math" w:hAnsi="Cambria Math" w:cstheme="minorHAnsi"/>
                <w:i/>
              </w:rPr>
            </m:ctrlPr>
          </m:sSubPr>
          <m:e>
            <m:r>
              <w:rPr>
                <w:rFonts w:ascii="Cambria Math" w:hAnsi="Cambria Math" w:cstheme="minorHAnsi"/>
              </w:rPr>
              <m:t>v</m:t>
            </m:r>
          </m:e>
          <m:sub>
            <m:r>
              <w:rPr>
                <w:rFonts w:ascii="Cambria Math" w:hAnsi="Cambria Math" w:cstheme="minorHAnsi"/>
              </w:rPr>
              <m:t>i</m:t>
            </m:r>
          </m:sub>
        </m:sSub>
      </m:oMath>
      <w:r w:rsidRPr="00A11BEC">
        <w:rPr>
          <w:rFonts w:cstheme="minorHAnsi"/>
        </w:rPr>
        <w:t xml:space="preserve"> = </w:t>
      </w:r>
      <m:oMath>
        <m:f>
          <m:fPr>
            <m:ctrlPr>
              <w:rPr>
                <w:rFonts w:ascii="Cambria Math" w:hAnsi="Cambria Math" w:cstheme="minorHAnsi"/>
                <w:i/>
              </w:rPr>
            </m:ctrlPr>
          </m:fPr>
          <m:num>
            <m:rad>
              <m:radPr>
                <m:degHide m:val="1"/>
                <m:ctrlPr>
                  <w:rPr>
                    <w:rFonts w:ascii="Cambria Math" w:hAnsi="Cambria Math" w:cstheme="minorHAnsi"/>
                    <w:i/>
                  </w:rPr>
                </m:ctrlPr>
              </m:radPr>
              <m:deg/>
              <m:e>
                <m:r>
                  <w:rPr>
                    <w:rFonts w:ascii="Cambria Math" w:hAnsi="Cambria Math" w:cstheme="minorHAnsi"/>
                  </w:rPr>
                  <m:t>3</m:t>
                </m:r>
              </m:e>
            </m:rad>
            <m:r>
              <w:rPr>
                <w:rFonts w:ascii="Cambria Math" w:hAnsi="Cambria Math" w:cstheme="minorHAnsi"/>
              </w:rPr>
              <m:t>a</m:t>
            </m:r>
          </m:num>
          <m:den>
            <m:r>
              <w:rPr>
                <w:rFonts w:ascii="Cambria Math" w:hAnsi="Cambria Math" w:cstheme="minorHAnsi"/>
              </w:rPr>
              <m:t>2ℏ</m:t>
            </m:r>
          </m:den>
        </m:f>
        <m:sSub>
          <m:sSubPr>
            <m:ctrlPr>
              <w:rPr>
                <w:rFonts w:ascii="Cambria Math" w:hAnsi="Cambria Math" w:cstheme="minorHAnsi"/>
                <w:i/>
              </w:rPr>
            </m:ctrlPr>
          </m:sSubPr>
          <m:e>
            <m:r>
              <w:rPr>
                <w:rFonts w:ascii="Cambria Math" w:hAnsi="Cambria Math" w:cstheme="minorHAnsi"/>
              </w:rPr>
              <m:t>γ</m:t>
            </m:r>
          </m:e>
          <m:sub>
            <m:r>
              <w:rPr>
                <w:rFonts w:ascii="Cambria Math" w:hAnsi="Cambria Math" w:cstheme="minorHAnsi"/>
              </w:rPr>
              <m:t>i</m:t>
            </m:r>
          </m:sub>
        </m:sSub>
      </m:oMath>
      <w:r w:rsidRPr="00A11BEC">
        <w:rPr>
          <w:rFonts w:cstheme="minorHAnsi"/>
        </w:rPr>
        <w:t>) a</w:t>
      </w:r>
      <w:r>
        <w:rPr>
          <w:rFonts w:ascii="Calibri" w:hAnsi="Calibri" w:cs="Calibri"/>
        </w:rPr>
        <w:t xml:space="preserve">nd the nearest-neighbor interlayer hopping </w:t>
      </w:r>
      <m:oMath>
        <m:sSub>
          <m:sSubPr>
            <m:ctrlPr>
              <w:rPr>
                <w:rFonts w:ascii="Cambria Math" w:hAnsi="Cambria Math" w:cs="Calibri"/>
                <w:i/>
              </w:rPr>
            </m:ctrlPr>
          </m:sSubPr>
          <m:e>
            <m:r>
              <w:rPr>
                <w:rFonts w:ascii="Cambria Math" w:hAnsi="Cambria Math" w:cs="Calibri"/>
              </w:rPr>
              <m:t>γ</m:t>
            </m:r>
          </m:e>
          <m:sub>
            <m:r>
              <w:rPr>
                <w:rFonts w:ascii="Cambria Math" w:hAnsi="Cambria Math" w:cs="Calibri"/>
              </w:rPr>
              <m:t>1</m:t>
            </m:r>
          </m:sub>
        </m:sSub>
      </m:oMath>
      <w:r>
        <w:rPr>
          <w:rFonts w:ascii="Calibri" w:hAnsi="Calibri" w:cs="Calibri"/>
        </w:rPr>
        <w:t>. The values of these parameters have been extracted from first-principles calculations and are summarized below in units of meV.</w:t>
      </w:r>
    </w:p>
    <w:tbl>
      <w:tblPr>
        <w:tblStyle w:val="TableGrid"/>
        <w:tblW w:w="0" w:type="auto"/>
        <w:jc w:val="center"/>
        <w:tblLook w:val="04A0" w:firstRow="1" w:lastRow="0" w:firstColumn="1" w:lastColumn="0" w:noHBand="0" w:noVBand="1"/>
      </w:tblPr>
      <w:tblGrid>
        <w:gridCol w:w="1335"/>
        <w:gridCol w:w="1335"/>
        <w:gridCol w:w="1336"/>
        <w:gridCol w:w="1336"/>
        <w:gridCol w:w="1336"/>
        <w:gridCol w:w="1336"/>
      </w:tblGrid>
      <w:tr w:rsidR="0013589B" w14:paraId="4366E9E0" w14:textId="77777777" w:rsidTr="0066083E">
        <w:trPr>
          <w:jc w:val="center"/>
        </w:trPr>
        <w:tc>
          <w:tcPr>
            <w:tcW w:w="1335" w:type="dxa"/>
          </w:tcPr>
          <w:p w14:paraId="6C171589" w14:textId="77777777" w:rsidR="0013589B" w:rsidRDefault="0013589B" w:rsidP="0066083E">
            <w:pPr>
              <w:jc w:val="center"/>
              <w:rPr>
                <w:sz w:val="22"/>
                <w:szCs w:val="22"/>
              </w:rPr>
            </w:pPr>
            <w:r w:rsidRPr="00F321C5">
              <w:rPr>
                <w:rFonts w:cstheme="minorHAnsi"/>
                <w:i/>
                <w:iCs/>
                <w:sz w:val="22"/>
                <w:szCs w:val="22"/>
              </w:rPr>
              <w:t>γ</w:t>
            </w:r>
            <w:r w:rsidRPr="00F321C5">
              <w:rPr>
                <w:rFonts w:hint="eastAsia"/>
                <w:sz w:val="22"/>
                <w:szCs w:val="22"/>
                <w:vertAlign w:val="subscript"/>
              </w:rPr>
              <w:t>0</w:t>
            </w:r>
          </w:p>
        </w:tc>
        <w:tc>
          <w:tcPr>
            <w:tcW w:w="1335" w:type="dxa"/>
          </w:tcPr>
          <w:p w14:paraId="4CA21D82" w14:textId="77777777" w:rsidR="0013589B" w:rsidRDefault="0013589B" w:rsidP="0066083E">
            <w:pPr>
              <w:jc w:val="center"/>
              <w:rPr>
                <w:sz w:val="22"/>
                <w:szCs w:val="22"/>
              </w:rPr>
            </w:pPr>
            <w:r w:rsidRPr="00F321C5">
              <w:rPr>
                <w:rFonts w:cstheme="minorHAnsi"/>
                <w:i/>
                <w:iCs/>
                <w:sz w:val="22"/>
                <w:szCs w:val="22"/>
              </w:rPr>
              <w:t>γ</w:t>
            </w:r>
            <w:r w:rsidRPr="00F321C5">
              <w:rPr>
                <w:rFonts w:cstheme="minorHAnsi" w:hint="eastAsia"/>
                <w:sz w:val="22"/>
                <w:szCs w:val="22"/>
                <w:vertAlign w:val="subscript"/>
              </w:rPr>
              <w:t>1</w:t>
            </w:r>
          </w:p>
        </w:tc>
        <w:tc>
          <w:tcPr>
            <w:tcW w:w="1336" w:type="dxa"/>
          </w:tcPr>
          <w:p w14:paraId="0252DE12" w14:textId="77777777" w:rsidR="0013589B" w:rsidRDefault="0013589B" w:rsidP="0066083E">
            <w:pPr>
              <w:jc w:val="center"/>
              <w:rPr>
                <w:sz w:val="22"/>
                <w:szCs w:val="22"/>
              </w:rPr>
            </w:pPr>
            <w:r w:rsidRPr="00F321C5">
              <w:rPr>
                <w:rFonts w:cstheme="minorHAnsi"/>
                <w:i/>
                <w:iCs/>
                <w:sz w:val="22"/>
                <w:szCs w:val="22"/>
              </w:rPr>
              <w:t>γ</w:t>
            </w:r>
            <w:r w:rsidRPr="00F321C5">
              <w:rPr>
                <w:rFonts w:cstheme="minorHAnsi" w:hint="eastAsia"/>
                <w:i/>
                <w:iCs/>
                <w:sz w:val="22"/>
                <w:szCs w:val="22"/>
                <w:vertAlign w:val="subscript"/>
              </w:rPr>
              <w:t>2</w:t>
            </w:r>
          </w:p>
        </w:tc>
        <w:tc>
          <w:tcPr>
            <w:tcW w:w="1336" w:type="dxa"/>
          </w:tcPr>
          <w:p w14:paraId="401E03D9" w14:textId="77777777" w:rsidR="0013589B" w:rsidRDefault="0013589B" w:rsidP="0066083E">
            <w:pPr>
              <w:jc w:val="center"/>
              <w:rPr>
                <w:sz w:val="22"/>
                <w:szCs w:val="22"/>
              </w:rPr>
            </w:pPr>
            <w:r w:rsidRPr="00F321C5">
              <w:rPr>
                <w:i/>
                <w:iCs/>
                <w:sz w:val="22"/>
                <w:szCs w:val="22"/>
              </w:rPr>
              <w:t>γ</w:t>
            </w:r>
            <w:r w:rsidRPr="00F321C5">
              <w:rPr>
                <w:sz w:val="22"/>
                <w:szCs w:val="22"/>
                <w:vertAlign w:val="subscript"/>
              </w:rPr>
              <w:t>3</w:t>
            </w:r>
          </w:p>
        </w:tc>
        <w:tc>
          <w:tcPr>
            <w:tcW w:w="1336" w:type="dxa"/>
          </w:tcPr>
          <w:p w14:paraId="5A867539" w14:textId="77777777" w:rsidR="0013589B" w:rsidRDefault="0013589B" w:rsidP="0066083E">
            <w:pPr>
              <w:jc w:val="center"/>
              <w:rPr>
                <w:sz w:val="22"/>
                <w:szCs w:val="22"/>
              </w:rPr>
            </w:pPr>
            <w:r w:rsidRPr="00F321C5">
              <w:rPr>
                <w:i/>
                <w:iCs/>
                <w:sz w:val="22"/>
                <w:szCs w:val="22"/>
              </w:rPr>
              <w:t>γ</w:t>
            </w:r>
            <w:r w:rsidRPr="00F321C5">
              <w:rPr>
                <w:sz w:val="22"/>
                <w:szCs w:val="22"/>
                <w:vertAlign w:val="subscript"/>
              </w:rPr>
              <w:t>4</w:t>
            </w:r>
          </w:p>
        </w:tc>
        <w:tc>
          <w:tcPr>
            <w:tcW w:w="1336" w:type="dxa"/>
          </w:tcPr>
          <w:p w14:paraId="734BF0EF" w14:textId="77777777" w:rsidR="0013589B" w:rsidRPr="00F321C5" w:rsidRDefault="0013589B" w:rsidP="0066083E">
            <w:pPr>
              <w:jc w:val="center"/>
              <w:rPr>
                <w:i/>
                <w:iCs/>
                <w:sz w:val="22"/>
                <w:szCs w:val="22"/>
              </w:rPr>
            </w:pPr>
            <w:r w:rsidRPr="00F321C5">
              <w:rPr>
                <w:i/>
                <w:iCs/>
                <w:sz w:val="22"/>
                <w:szCs w:val="22"/>
              </w:rPr>
              <w:t>δ</w:t>
            </w:r>
          </w:p>
        </w:tc>
      </w:tr>
      <w:tr w:rsidR="0013589B" w14:paraId="297512EC" w14:textId="77777777" w:rsidTr="0066083E">
        <w:trPr>
          <w:jc w:val="center"/>
        </w:trPr>
        <w:tc>
          <w:tcPr>
            <w:tcW w:w="1335" w:type="dxa"/>
          </w:tcPr>
          <w:p w14:paraId="5E270353" w14:textId="77777777" w:rsidR="0013589B" w:rsidRPr="00A14D9B" w:rsidRDefault="0013589B" w:rsidP="0066083E">
            <w:pPr>
              <w:jc w:val="center"/>
              <w:rPr>
                <w:rFonts w:ascii="Cambria Math" w:hAnsi="Cambria Math"/>
                <w:sz w:val="22"/>
                <w:szCs w:val="22"/>
                <w:oMath/>
              </w:rPr>
            </w:pPr>
            <w:r>
              <w:rPr>
                <w:rFonts w:hint="eastAsia"/>
                <w:sz w:val="22"/>
                <w:szCs w:val="22"/>
              </w:rPr>
              <w:t>3160</w:t>
            </w:r>
          </w:p>
        </w:tc>
        <w:tc>
          <w:tcPr>
            <w:tcW w:w="1335" w:type="dxa"/>
          </w:tcPr>
          <w:p w14:paraId="19B775E6" w14:textId="77777777" w:rsidR="0013589B" w:rsidRPr="00F321C5" w:rsidRDefault="0013589B" w:rsidP="0066083E">
            <w:pPr>
              <w:jc w:val="center"/>
              <w:rPr>
                <w:rFonts w:ascii="Cambria Math" w:hAnsi="Cambria Math"/>
                <w:sz w:val="22"/>
                <w:szCs w:val="22"/>
                <w:oMath/>
              </w:rPr>
            </w:pPr>
            <w:r>
              <w:rPr>
                <w:rFonts w:hint="eastAsia"/>
                <w:sz w:val="22"/>
                <w:szCs w:val="22"/>
              </w:rPr>
              <w:t>460</w:t>
            </w:r>
          </w:p>
        </w:tc>
        <w:tc>
          <w:tcPr>
            <w:tcW w:w="1336" w:type="dxa"/>
          </w:tcPr>
          <w:p w14:paraId="2E32BDDD" w14:textId="77777777" w:rsidR="0013589B" w:rsidRPr="00A14D9B" w:rsidRDefault="0013589B" w:rsidP="0066083E">
            <w:pPr>
              <w:jc w:val="center"/>
              <w:rPr>
                <w:rFonts w:ascii="Cambria Math" w:hAnsi="Cambria Math"/>
                <w:sz w:val="22"/>
                <w:szCs w:val="22"/>
                <w:oMath/>
              </w:rPr>
            </w:pPr>
            <w:r>
              <w:rPr>
                <w:rFonts w:hint="eastAsia"/>
                <w:sz w:val="22"/>
                <w:szCs w:val="22"/>
              </w:rPr>
              <w:t>-17</w:t>
            </w:r>
          </w:p>
        </w:tc>
        <w:tc>
          <w:tcPr>
            <w:tcW w:w="1336" w:type="dxa"/>
          </w:tcPr>
          <w:p w14:paraId="6BAAA1CC" w14:textId="77777777" w:rsidR="0013589B" w:rsidRPr="00A14D9B" w:rsidRDefault="0013589B" w:rsidP="0066083E">
            <w:pPr>
              <w:jc w:val="center"/>
              <w:rPr>
                <w:rFonts w:ascii="Cambria Math" w:hAnsi="Cambria Math"/>
                <w:sz w:val="22"/>
                <w:szCs w:val="22"/>
                <w:oMath/>
              </w:rPr>
            </w:pPr>
            <w:r>
              <w:rPr>
                <w:rFonts w:hint="eastAsia"/>
                <w:sz w:val="22"/>
                <w:szCs w:val="22"/>
              </w:rPr>
              <w:t>-300</w:t>
            </w:r>
          </w:p>
        </w:tc>
        <w:tc>
          <w:tcPr>
            <w:tcW w:w="1336" w:type="dxa"/>
          </w:tcPr>
          <w:p w14:paraId="0C0DF923" w14:textId="77777777" w:rsidR="0013589B" w:rsidRPr="00A14D9B" w:rsidRDefault="0013589B" w:rsidP="0066083E">
            <w:pPr>
              <w:jc w:val="center"/>
              <w:rPr>
                <w:rFonts w:ascii="Cambria Math" w:hAnsi="Cambria Math"/>
                <w:sz w:val="22"/>
                <w:szCs w:val="22"/>
                <w:oMath/>
              </w:rPr>
            </w:pPr>
            <w:r>
              <w:rPr>
                <w:rFonts w:hint="eastAsia"/>
                <w:sz w:val="22"/>
                <w:szCs w:val="22"/>
              </w:rPr>
              <w:t>-86</w:t>
            </w:r>
          </w:p>
        </w:tc>
        <w:tc>
          <w:tcPr>
            <w:tcW w:w="1336" w:type="dxa"/>
          </w:tcPr>
          <w:p w14:paraId="0F1B6818" w14:textId="77777777" w:rsidR="0013589B" w:rsidRDefault="0013589B" w:rsidP="0066083E">
            <w:pPr>
              <w:jc w:val="center"/>
              <w:rPr>
                <w:sz w:val="22"/>
                <w:szCs w:val="22"/>
              </w:rPr>
            </w:pPr>
            <w:r>
              <w:rPr>
                <w:rFonts w:hint="eastAsia"/>
                <w:sz w:val="22"/>
                <w:szCs w:val="22"/>
              </w:rPr>
              <w:t>-1.1</w:t>
            </w:r>
          </w:p>
        </w:tc>
      </w:tr>
    </w:tbl>
    <w:p w14:paraId="0B63B60A" w14:textId="77777777" w:rsidR="0013589B" w:rsidRDefault="0013589B" w:rsidP="0013589B">
      <w:pPr>
        <w:jc w:val="both"/>
        <w:rPr>
          <w:rFonts w:ascii="Calibri" w:hAnsi="Calibri" w:cs="Calibri"/>
        </w:rPr>
      </w:pPr>
    </w:p>
    <w:p w14:paraId="0B4B49FE" w14:textId="42196F8E" w:rsidR="0013589B" w:rsidRDefault="0013589B" w:rsidP="0013589B">
      <w:pPr>
        <w:jc w:val="both"/>
        <w:rPr>
          <w:rFonts w:ascii="Calibri" w:hAnsi="Calibri" w:cs="Calibri"/>
        </w:rPr>
      </w:pPr>
      <w:r>
        <w:rPr>
          <w:rFonts w:ascii="Calibri" w:hAnsi="Calibri" w:cs="Calibri"/>
        </w:rPr>
        <w:t xml:space="preserve"> </w:t>
      </w:r>
      <w:r>
        <w:rPr>
          <w:rFonts w:ascii="Calibri" w:hAnsi="Calibri" w:cs="Calibri"/>
        </w:rPr>
        <w:tab/>
        <w:t>The term proport</w:t>
      </w:r>
      <w:r>
        <w:rPr>
          <w:rFonts w:ascii="Calibri" w:hAnsi="Calibri" w:cs="Calibri" w:hint="eastAsia"/>
        </w:rPr>
        <w:t>i</w:t>
      </w:r>
      <w:r>
        <w:rPr>
          <w:rFonts w:ascii="Calibri" w:hAnsi="Calibri" w:cs="Calibri"/>
        </w:rPr>
        <w:t>onal to</w:t>
      </w:r>
      <w:r w:rsidRPr="00B3780C">
        <w:rPr>
          <w:rFonts w:ascii="Calibri" w:hAnsi="Calibri" w:cs="Calibri"/>
        </w:rPr>
        <w:t xml:space="preserve"> </w:t>
      </w:r>
      <w:proofErr w:type="spellStart"/>
      <w:r w:rsidRPr="00B3780C">
        <w:rPr>
          <w:rFonts w:ascii="Calibri" w:hAnsi="Calibri" w:cs="Calibri"/>
          <w:i/>
          <w:iCs/>
        </w:rPr>
        <w:t>λ</w:t>
      </w:r>
      <w:r w:rsidRPr="00B3780C">
        <w:rPr>
          <w:rFonts w:ascii="Calibri" w:hAnsi="Calibri" w:cs="Calibri"/>
          <w:i/>
          <w:iCs/>
          <w:vertAlign w:val="subscript"/>
        </w:rPr>
        <w:t>I</w:t>
      </w:r>
      <w:proofErr w:type="spellEnd"/>
      <w:r w:rsidRPr="00B3780C">
        <w:rPr>
          <w:rFonts w:ascii="Calibri" w:hAnsi="Calibri" w:cs="Calibri"/>
        </w:rPr>
        <w:t xml:space="preserve"> </w:t>
      </w:r>
      <w:r>
        <w:rPr>
          <w:rFonts w:ascii="Calibri" w:hAnsi="Calibri" w:cs="Calibri"/>
        </w:rPr>
        <w:t>corresponds to the proximitized Ising SOC from the two TMDs in contact with the two outermost graphene layers</w:t>
      </w:r>
      <w:r>
        <w:rPr>
          <w:rFonts w:ascii="Calibri" w:hAnsi="Calibri" w:cs="Calibri"/>
        </w:rPr>
        <w:fldChar w:fldCharType="begin"/>
      </w:r>
      <w:r w:rsidR="00BF4618">
        <w:rPr>
          <w:rFonts w:ascii="Calibri" w:hAnsi="Calibri" w:cs="Calibri"/>
        </w:rPr>
        <w:instrText xml:space="preserve"> ADDIN ZOTERO_ITEM CSL_CITATION {"citationID":"GCQaYMDu","properties":{"formattedCitation":"\\super 33\\nosupersub{}","plainCitation":"33","noteIndex":0},"citationItems":[{"id":4581,"uris":["http://zotero.org/users/5406744/items/ARBPU8UY"],"itemData":{"id":4581,"type":"article-journal","abstract":"Interfacial interactions allow the electronic properties of graphene to be modified, as recently demonstrated by the appearance of satellite Dirac cones in graphene on hexagonal boron nitride substrates. Ongoing research strives to explore interfacial interactions with other materials to engineer targeted electronic properties. Here we show that with a tungsten disulfide (WS2) substrate, the strength of the spin–orbit interaction (SOI) in graphene is very strongly enhanced. The induced SOI leads to a pronounced low-temperature weak anti-localization effect and to a spin-relaxation time two to three orders of magnitude smaller than in graphene on conventional substrates. To interpret our findings we have performed first-principle electronic structure calculations, which confirm that carriers in graphene on WS2 experience a strong SOI and allow us to extract a spin-dependent low-energy effective Hamiltonian. Our analysis shows that the use of WS2 substrates opens a possible new route to access topological states of matter in graphene-based systems.","container-title":"Nature Communications","DOI":"10.1038/ncomms9339","ISSN":"2041-1723","issue":"1","journalAbbreviation":"Nat Commun","language":"en","license":"2015 The Author(s)","note":"publisher: Nature Publishing Group","page":"8339","source":"www.nature.com","title":"Strong interface-induced spin–orbit interaction in graphene on WS2","volume":"6","author":[{"family":"Wang","given":"Zhe"},{"family":"Ki","given":"Dong-Keun"},{"family":"Chen","given":"Hua"},{"family":"Berger","given":"Helmuth"},{"family":"MacDonald","given":"Allan H."},{"family":"Morpurgo","given":"Alberto F."}],"issued":{"date-parts":[["2015",9,22]]}}}],"schema":"https://github.com/citation-style-language/schema/raw/master/csl-citation.json"} </w:instrText>
      </w:r>
      <w:r>
        <w:rPr>
          <w:rFonts w:ascii="Calibri" w:hAnsi="Calibri" w:cs="Calibri"/>
        </w:rPr>
        <w:fldChar w:fldCharType="separate"/>
      </w:r>
      <w:r w:rsidR="00BF4618" w:rsidRPr="00BF4618">
        <w:rPr>
          <w:rFonts w:ascii="Calibri" w:hAnsi="Calibri" w:cs="Calibri"/>
          <w:kern w:val="0"/>
          <w:vertAlign w:val="superscript"/>
        </w:rPr>
        <w:t>33</w:t>
      </w:r>
      <w:r>
        <w:rPr>
          <w:rFonts w:ascii="Calibri" w:hAnsi="Calibri" w:cs="Calibri"/>
        </w:rPr>
        <w:fldChar w:fldCharType="end"/>
      </w:r>
      <w:r>
        <w:rPr>
          <w:rFonts w:ascii="Calibri" w:hAnsi="Calibri" w:cs="Calibri"/>
        </w:rPr>
        <w:t>.</w:t>
      </w:r>
      <w:r>
        <w:rPr>
          <w:rFonts w:ascii="Calibri" w:hAnsi="Calibri" w:cs="Calibri" w:hint="eastAsia"/>
        </w:rPr>
        <w:t xml:space="preserve"> </w:t>
      </w:r>
      <w:r>
        <w:rPr>
          <w:rFonts w:ascii="Calibri" w:hAnsi="Calibri" w:cs="Calibri"/>
        </w:rPr>
        <w:t xml:space="preserve">We have assumed that the two TMDs are stacked in such a way that preserving inversion symmetry, which introduces the Kane-Mele type SOC to the low-energy bands. </w:t>
      </w:r>
    </w:p>
    <w:p w14:paraId="62625D21" w14:textId="3562B23A" w:rsidR="0013589B" w:rsidRDefault="0013589B" w:rsidP="0013589B">
      <w:pPr>
        <w:ind w:firstLine="720"/>
        <w:jc w:val="both"/>
      </w:pPr>
      <w:r w:rsidRPr="00AC4DB4">
        <w:rPr>
          <w:rFonts w:ascii="Calibri" w:hAnsi="Calibri" w:cs="Calibri"/>
        </w:rPr>
        <w:t xml:space="preserve">Figure </w:t>
      </w:r>
      <w:r w:rsidRPr="000B5FDE">
        <w:rPr>
          <w:rFonts w:ascii="Calibri" w:hAnsi="Calibri" w:cs="Calibri" w:hint="eastAsia"/>
        </w:rPr>
        <w:t>S1</w:t>
      </w:r>
      <w:r>
        <w:rPr>
          <w:rFonts w:ascii="Calibri" w:hAnsi="Calibri" w:cs="Calibri" w:hint="eastAsia"/>
        </w:rPr>
        <w:t>3</w:t>
      </w:r>
      <w:r>
        <w:rPr>
          <w:rFonts w:ascii="Calibri" w:hAnsi="Calibri" w:cs="Calibri"/>
        </w:rPr>
        <w:t xml:space="preserve"> compares</w:t>
      </w:r>
      <w:r w:rsidRPr="00727AF8">
        <w:rPr>
          <w:rFonts w:ascii="Calibri" w:hAnsi="Calibri" w:cs="Calibri"/>
        </w:rPr>
        <w:t xml:space="preserve"> the </w:t>
      </w:r>
      <w:r>
        <w:rPr>
          <w:rFonts w:ascii="Calibri" w:hAnsi="Calibri" w:cs="Calibri"/>
        </w:rPr>
        <w:t>two-band</w:t>
      </w:r>
      <w:r w:rsidRPr="00727AF8">
        <w:rPr>
          <w:rFonts w:ascii="Calibri" w:hAnsi="Calibri" w:cs="Calibri"/>
        </w:rPr>
        <w:t xml:space="preserve"> and the </w:t>
      </w:r>
      <w:r>
        <w:rPr>
          <w:rFonts w:ascii="Calibri" w:hAnsi="Calibri" w:cs="Calibri"/>
        </w:rPr>
        <w:t>full six-band models</w:t>
      </w:r>
      <w:r>
        <w:rPr>
          <w:rFonts w:ascii="Calibri" w:hAnsi="Calibri" w:cs="Calibri"/>
        </w:rPr>
        <w:fldChar w:fldCharType="begin"/>
      </w:r>
      <w:r w:rsidR="00BF4618">
        <w:rPr>
          <w:rFonts w:ascii="Calibri" w:hAnsi="Calibri" w:cs="Calibri"/>
        </w:rPr>
        <w:instrText xml:space="preserve"> ADDIN ZOTERO_ITEM CSL_CITATION {"citationID":"bUxosrTt","properties":{"formattedCitation":"\\super 12\\nosupersub{}","plainCitation":"12","noteIndex":0},"citationItems":[{"id":491,"uris":["http://zotero.org/users/5406744/items/P2Q2M4WA"],"itemData":{"id":491,"type":"article-journal","abstract":"The ABC-stacked N-layer-graphene family of two-dimensional electron systems is described at low energies by two remarkably flat bands with Bloch states that have strongly momentum-dependent phase differences between carbon pi-orbital amplitudes on different layers, and large associated momentum space Berry phases. These properties are most easily understood using a simplified model with only nearest-neighbor inter-layer hopping which leads to gapless semiconductor electronic structure, with p^N dispersion in both conduction and valence bands. We report on a study of the electronic band structures of trilayers which uses ab initio density functional theory and k*p theory to fit the parameters of a pi-band tight-binding model. We find that when remote interlayer hopping is retained, the triple Dirac point of the simplified model is split into three single Dirac points located along the three KM directions. External potential differences between top and bottom layers are strongly screened by charge transfer within the trilayer, but still open an energy gap at overall neutrality.","container-title":"Physical Review B","DOI":"10.1103/PhysRevB.82.035409","ISSN":"1098-0121, 1550-235X","issue":"3","journalAbbreviation":"Phys. Rev. B","note":"arXiv: 1004.1481","page":"035409","source":"arXiv.org","title":"Band Structure of ABC-Stacked Graphene Trilayers","volume":"82","author":[{"family":"Zhang","given":"Fan"},{"family":"Sahu","given":"Bhagawan"},{"family":"Min","given":"Hongki"},{"family":"MacDonald","given":"Allan H."}],"issued":{"date-parts":[["2010",7,9]]}}}],"schema":"https://github.com/citation-style-language/schema/raw/master/csl-citation.json"} </w:instrText>
      </w:r>
      <w:r>
        <w:rPr>
          <w:rFonts w:ascii="Calibri" w:hAnsi="Calibri" w:cs="Calibri"/>
        </w:rPr>
        <w:fldChar w:fldCharType="separate"/>
      </w:r>
      <w:r w:rsidR="00BF4618" w:rsidRPr="00BF4618">
        <w:rPr>
          <w:rFonts w:ascii="Calibri" w:hAnsi="Calibri" w:cs="Calibri"/>
          <w:kern w:val="0"/>
          <w:vertAlign w:val="superscript"/>
        </w:rPr>
        <w:t>12</w:t>
      </w:r>
      <w:r>
        <w:rPr>
          <w:rFonts w:ascii="Calibri" w:hAnsi="Calibri" w:cs="Calibri"/>
        </w:rPr>
        <w:fldChar w:fldCharType="end"/>
      </w:r>
      <w:r>
        <w:rPr>
          <w:rFonts w:ascii="Calibri" w:hAnsi="Calibri" w:cs="Calibri"/>
        </w:rPr>
        <w:t xml:space="preserve">, and shows that </w:t>
      </w:r>
      <w:r>
        <w:t>the two-band model well captures the six-band model at low energy. For</w:t>
      </w:r>
      <w:r>
        <w:rPr>
          <w:rFonts w:hint="eastAsia"/>
        </w:rPr>
        <w:t xml:space="preserve"> </w:t>
      </w:r>
      <w:r w:rsidRPr="00365AD2">
        <w:rPr>
          <w:rFonts w:hint="eastAsia"/>
          <w:i/>
          <w:iCs/>
        </w:rPr>
        <w:t>n</w:t>
      </w:r>
      <w:r w:rsidRPr="00365AD2">
        <w:rPr>
          <w:rFonts w:hint="eastAsia"/>
          <w:i/>
          <w:iCs/>
          <w:vertAlign w:val="subscript"/>
        </w:rPr>
        <w:t>e</w:t>
      </w:r>
      <w:r>
        <w:rPr>
          <w:rFonts w:hint="eastAsia"/>
        </w:rPr>
        <w:t xml:space="preserve"> ~ 10</w:t>
      </w:r>
      <w:r w:rsidRPr="00365AD2">
        <w:rPr>
          <w:rFonts w:hint="eastAsia"/>
          <w:vertAlign w:val="superscript"/>
        </w:rPr>
        <w:t>12</w:t>
      </w:r>
      <w:r>
        <w:rPr>
          <w:rFonts w:hint="eastAsia"/>
        </w:rPr>
        <w:t xml:space="preserve"> </w:t>
      </w:r>
      <w:r>
        <w:t>cm</w:t>
      </w:r>
      <w:r w:rsidRPr="000900A0">
        <w:rPr>
          <w:vertAlign w:val="superscript"/>
        </w:rPr>
        <w:t>-2</w:t>
      </w:r>
      <w:r>
        <w:t xml:space="preserve">, the Fermi wavevector can be estimated as </w:t>
      </w:r>
      <m:oMath>
        <m:sSub>
          <m:sSubPr>
            <m:ctrlPr>
              <w:rPr>
                <w:rFonts w:ascii="Cambria Math" w:hAnsi="Cambria Math"/>
                <w:i/>
              </w:rPr>
            </m:ctrlPr>
          </m:sSubPr>
          <m:e>
            <m:r>
              <w:rPr>
                <w:rFonts w:ascii="Cambria Math" w:hAnsi="Cambria Math"/>
              </w:rPr>
              <m:t>k</m:t>
            </m:r>
          </m:e>
          <m:sub>
            <m:r>
              <w:rPr>
                <w:rFonts w:ascii="Cambria Math" w:hAnsi="Cambria Math"/>
              </w:rPr>
              <m:t>F</m:t>
            </m:r>
          </m:sub>
        </m:sSub>
        <m:r>
          <w:rPr>
            <w:rFonts w:ascii="Cambria Math" w:hAnsi="Cambria Math"/>
          </w:rPr>
          <m:t xml:space="preserve">a ~ </m:t>
        </m:r>
        <m:rad>
          <m:radPr>
            <m:degHide m:val="1"/>
            <m:ctrlPr>
              <w:rPr>
                <w:rFonts w:ascii="Cambria Math" w:hAnsi="Cambria Math"/>
                <w:i/>
              </w:rPr>
            </m:ctrlPr>
          </m:radPr>
          <m:deg/>
          <m:e>
            <m:f>
              <m:fPr>
                <m:ctrlPr>
                  <w:rPr>
                    <w:rFonts w:ascii="Cambria Math" w:hAnsi="Cambria Math"/>
                    <w:i/>
                  </w:rPr>
                </m:ctrlPr>
              </m:fPr>
              <m:num>
                <m:r>
                  <w:rPr>
                    <w:rFonts w:ascii="Cambria Math" w:hAnsi="Cambria Math"/>
                  </w:rPr>
                  <m:t>4π</m:t>
                </m:r>
                <m:sSub>
                  <m:sSubPr>
                    <m:ctrlPr>
                      <w:rPr>
                        <w:rFonts w:ascii="Cambria Math" w:hAnsi="Cambria Math"/>
                        <w:i/>
                      </w:rPr>
                    </m:ctrlPr>
                  </m:sSubPr>
                  <m:e>
                    <m:r>
                      <w:rPr>
                        <w:rFonts w:ascii="Cambria Math" w:hAnsi="Cambria Math"/>
                      </w:rPr>
                      <m:t>n</m:t>
                    </m:r>
                  </m:e>
                  <m:sub>
                    <m:r>
                      <w:rPr>
                        <w:rFonts w:ascii="Cambria Math" w:hAnsi="Cambria Math"/>
                      </w:rPr>
                      <m:t>e</m:t>
                    </m:r>
                  </m:sub>
                </m:sSub>
              </m:num>
              <m:den>
                <m:r>
                  <w:rPr>
                    <w:rFonts w:ascii="Cambria Math" w:hAnsi="Cambria Math"/>
                  </w:rPr>
                  <m:t>g</m:t>
                </m:r>
              </m:den>
            </m:f>
          </m:e>
        </m:rad>
        <m:r>
          <w:rPr>
            <w:rFonts w:ascii="Cambria Math" w:hAnsi="Cambria Math"/>
          </w:rPr>
          <m:t>a∼0.1</m:t>
        </m:r>
      </m:oMath>
      <w:r>
        <w:t xml:space="preserve"> (where </w:t>
      </w:r>
      <m:oMath>
        <m:r>
          <w:rPr>
            <w:rFonts w:ascii="Cambria Math" w:hAnsi="Cambria Math"/>
          </w:rPr>
          <m:t>g</m:t>
        </m:r>
      </m:oMath>
      <w:r>
        <w:t xml:space="preserve"> is the spin-valley isospin degeneracy). This validates the use of the two-band </w:t>
      </w:r>
      <w:r w:rsidRPr="00727AF8">
        <w:rPr>
          <w:rFonts w:ascii="Calibri" w:hAnsi="Calibri" w:cs="Calibri"/>
        </w:rPr>
        <w:t>effective</w:t>
      </w:r>
      <w:r>
        <w:t xml:space="preserve"> model.</w:t>
      </w:r>
    </w:p>
    <w:p w14:paraId="729B9C3E" w14:textId="77777777" w:rsidR="0013589B" w:rsidRPr="00FB1344" w:rsidRDefault="0013589B" w:rsidP="0013589B">
      <w:pPr>
        <w:jc w:val="both"/>
        <w:rPr>
          <w:rFonts w:ascii="Calibri" w:hAnsi="Calibri" w:cs="Calibri"/>
          <w:b/>
          <w:bCs/>
        </w:rPr>
      </w:pPr>
      <w:bookmarkStart w:id="3" w:name="_Hlk182930758"/>
      <w:bookmarkStart w:id="4" w:name="_Hlk183290026"/>
      <w:r w:rsidRPr="00FB1344">
        <w:rPr>
          <w:rFonts w:ascii="Calibri" w:hAnsi="Calibri" w:cs="Calibri" w:hint="eastAsia"/>
          <w:b/>
          <w:bCs/>
        </w:rPr>
        <w:t>Rashba-type SOC</w:t>
      </w:r>
    </w:p>
    <w:p w14:paraId="56C5EDE2" w14:textId="77777777" w:rsidR="0013589B" w:rsidRPr="00FB1344" w:rsidRDefault="0013589B" w:rsidP="0013589B">
      <w:pPr>
        <w:jc w:val="both"/>
        <w:rPr>
          <w:rFonts w:cstheme="minorHAnsi"/>
        </w:rPr>
      </w:pPr>
      <w:r w:rsidRPr="00FB1344">
        <w:rPr>
          <w:rFonts w:cstheme="minorHAnsi"/>
        </w:rPr>
        <w:t>So far, we have only considered the Ising-type SOC but not the Rashba-type SOC. This is because its contribution to our low-energy effective model is minor, as detailed below.</w:t>
      </w:r>
    </w:p>
    <w:p w14:paraId="0243DE95" w14:textId="60BD3438" w:rsidR="0013589B" w:rsidRPr="00FB1344" w:rsidRDefault="0013589B" w:rsidP="0013589B">
      <w:pPr>
        <w:ind w:firstLine="720"/>
        <w:jc w:val="both"/>
        <w:rPr>
          <w:rFonts w:cstheme="minorHAnsi"/>
        </w:rPr>
      </w:pPr>
      <w:r w:rsidRPr="00FB1344">
        <w:rPr>
          <w:rFonts w:cstheme="minorHAnsi"/>
          <w:color w:val="000000" w:themeColor="text1"/>
        </w:rPr>
        <w:t xml:space="preserve">There are two typical origins of Rashba SOC: 1. the proximitized Rashba effect from TMD; 2. </w:t>
      </w:r>
      <w:r w:rsidRPr="00FB1344">
        <w:rPr>
          <w:rFonts w:cstheme="minorHAnsi" w:hint="eastAsia"/>
          <w:color w:val="000000" w:themeColor="text1"/>
        </w:rPr>
        <w:t xml:space="preserve">an intrinsic effect </w:t>
      </w:r>
      <w:r w:rsidRPr="00FB1344">
        <w:rPr>
          <w:rFonts w:cstheme="minorHAnsi"/>
          <w:color w:val="000000" w:themeColor="text1"/>
        </w:rPr>
        <w:t xml:space="preserve">from the inversion asymmetry at the atomic level. The latter contribution in graphene is intrinsically small (~ 10 </w:t>
      </w:r>
      <w:proofErr w:type="spellStart"/>
      <w:r w:rsidRPr="00FB1344">
        <w:rPr>
          <w:rFonts w:eastAsia="SimSun" w:cstheme="minorHAnsi"/>
          <w:i/>
          <w:iCs/>
          <w:color w:val="000000" w:themeColor="text1"/>
        </w:rPr>
        <w:t>μ</w:t>
      </w:r>
      <w:r w:rsidRPr="00FB1344">
        <w:rPr>
          <w:rFonts w:cstheme="minorHAnsi"/>
          <w:color w:val="000000" w:themeColor="text1"/>
        </w:rPr>
        <w:t>eV</w:t>
      </w:r>
      <w:proofErr w:type="spellEnd"/>
      <w:r w:rsidRPr="00FB1344">
        <w:rPr>
          <w:rFonts w:cstheme="minorHAnsi"/>
          <w:color w:val="000000" w:themeColor="text1"/>
        </w:rPr>
        <w:t>), as discussed in</w:t>
      </w:r>
      <w:r w:rsidRPr="00FB1344">
        <w:rPr>
          <w:rFonts w:cstheme="minorHAnsi"/>
          <w:color w:val="000000" w:themeColor="text1"/>
          <w:lang w:eastAsia="ko-KR"/>
        </w:rPr>
        <w:t xml:space="preserve"> Ref</w:t>
      </w:r>
      <w:r w:rsidRPr="00FB1344">
        <w:rPr>
          <w:rFonts w:cstheme="minorHAnsi"/>
          <w:color w:val="000000" w:themeColor="text1"/>
          <w:lang w:eastAsia="ko-KR"/>
        </w:rPr>
        <w:fldChar w:fldCharType="begin"/>
      </w:r>
      <w:r w:rsidR="00BF4618">
        <w:rPr>
          <w:rFonts w:cstheme="minorHAnsi"/>
          <w:color w:val="000000" w:themeColor="text1"/>
          <w:lang w:eastAsia="ko-KR"/>
        </w:rPr>
        <w:instrText xml:space="preserve"> ADDIN ZOTERO_ITEM CSL_CITATION {"citationID":"zX8bt0Xy","properties":{"formattedCitation":"\\super 56\\nosupersub{}","plainCitation":"56","noteIndex":0},"citationItems":[{"id":4837,"uris":["http://zotero.org/users/5406744/items/4EKDGJ8J"],"itemData":{"id":4837,"type":"article-journal","container-title":"Physical Review B","DOI":"10.1103/PhysRevB.74.165310","issue":"16","journalAbbreviation":"Phys. Rev. B","source":"COinS","title":"Intrinsic and Rashba spin-orbit interactions in graphene sheets","volume":"74","author":[{"family":"Min","given":"Hongki"}],"issued":{"date-parts":[["2006"]]}}}],"schema":"https://github.com/citation-style-language/schema/raw/master/csl-citation.json"} </w:instrText>
      </w:r>
      <w:r w:rsidRPr="00FB1344">
        <w:rPr>
          <w:rFonts w:cstheme="minorHAnsi"/>
          <w:color w:val="000000" w:themeColor="text1"/>
          <w:lang w:eastAsia="ko-KR"/>
        </w:rPr>
        <w:fldChar w:fldCharType="separate"/>
      </w:r>
      <w:r w:rsidR="00BF4618" w:rsidRPr="00BF4618">
        <w:rPr>
          <w:rFonts w:ascii="Calibri" w:hAnsi="Calibri" w:cs="Calibri"/>
          <w:kern w:val="0"/>
          <w:vertAlign w:val="superscript"/>
        </w:rPr>
        <w:t>56</w:t>
      </w:r>
      <w:r w:rsidRPr="00FB1344">
        <w:rPr>
          <w:rFonts w:cstheme="minorHAnsi"/>
          <w:color w:val="000000" w:themeColor="text1"/>
          <w:lang w:eastAsia="ko-KR"/>
        </w:rPr>
        <w:fldChar w:fldCharType="end"/>
      </w:r>
      <w:r w:rsidRPr="00FB1344">
        <w:rPr>
          <w:rFonts w:cstheme="minorHAnsi"/>
          <w:color w:val="000000" w:themeColor="text1"/>
        </w:rPr>
        <w:t xml:space="preserve">. </w:t>
      </w:r>
      <w:proofErr w:type="gramStart"/>
      <w:r w:rsidRPr="00FB1344">
        <w:rPr>
          <w:rFonts w:cstheme="minorHAnsi"/>
          <w:color w:val="000000" w:themeColor="text1"/>
        </w:rPr>
        <w:t>Thus</w:t>
      </w:r>
      <w:proofErr w:type="gramEnd"/>
      <w:r w:rsidRPr="00FB1344">
        <w:rPr>
          <w:rFonts w:cstheme="minorHAnsi"/>
          <w:color w:val="000000" w:themeColor="text1"/>
        </w:rPr>
        <w:t xml:space="preserve"> we focus on the </w:t>
      </w:r>
      <w:r w:rsidRPr="00FB1344">
        <w:rPr>
          <w:rFonts w:cstheme="minorHAnsi"/>
        </w:rPr>
        <w:t>proximitized Rashba SOC below. This effect</w:t>
      </w:r>
      <w:r w:rsidRPr="00FB1344">
        <w:rPr>
          <w:rFonts w:cstheme="minorHAnsi"/>
          <w:lang w:eastAsia="ko-KR"/>
        </w:rPr>
        <w:t xml:space="preserve"> is theoretically calculated to be</w:t>
      </w:r>
      <w:r w:rsidRPr="00FB1344">
        <w:rPr>
          <w:rFonts w:cstheme="minorHAnsi"/>
        </w:rPr>
        <w:t xml:space="preserve"> </w:t>
      </w:r>
      <m:oMath>
        <m:sSub>
          <m:sSubPr>
            <m:ctrlPr>
              <w:rPr>
                <w:rFonts w:ascii="Cambria Math" w:hAnsi="Cambria Math" w:cstheme="minorHAnsi"/>
                <w:i/>
                <w:lang w:eastAsia="ko-KR"/>
              </w:rPr>
            </m:ctrlPr>
          </m:sSubPr>
          <m:e>
            <m:r>
              <w:rPr>
                <w:rFonts w:ascii="Cambria Math" w:hAnsi="Cambria Math" w:cstheme="minorHAnsi"/>
                <w:lang w:eastAsia="ko-KR"/>
              </w:rPr>
              <m:t>λ</m:t>
            </m:r>
          </m:e>
          <m:sub>
            <m:r>
              <w:rPr>
                <w:rFonts w:ascii="Cambria Math" w:hAnsi="Cambria Math" w:cstheme="minorHAnsi"/>
                <w:lang w:eastAsia="ko-KR"/>
              </w:rPr>
              <m:t>R</m:t>
            </m:r>
          </m:sub>
        </m:sSub>
        <m:r>
          <w:rPr>
            <w:rFonts w:ascii="Cambria Math" w:hAnsi="Cambria Math" w:cstheme="minorHAnsi"/>
            <w:lang w:eastAsia="ko-KR"/>
          </w:rPr>
          <m:t>≲</m:t>
        </m:r>
      </m:oMath>
      <w:r w:rsidRPr="00FB1344">
        <w:rPr>
          <w:rFonts w:cstheme="minorHAnsi"/>
          <w:lang w:eastAsia="ko-KR"/>
        </w:rPr>
        <w:t xml:space="preserve"> 1 meV</w:t>
      </w:r>
      <w:r w:rsidRPr="00FB1344">
        <w:rPr>
          <w:rFonts w:cstheme="minorHAnsi"/>
          <w:lang w:eastAsia="ko-KR"/>
        </w:rPr>
        <w:fldChar w:fldCharType="begin"/>
      </w:r>
      <w:r w:rsidR="00BF4618">
        <w:rPr>
          <w:rFonts w:cstheme="minorHAnsi"/>
          <w:lang w:eastAsia="ko-KR"/>
        </w:rPr>
        <w:instrText xml:space="preserve"> ADDIN ZOTERO_ITEM CSL_CITATION {"citationID":"4KwQ0y5m","properties":{"formattedCitation":"\\super 37\\uc0\\u8211{}39,57\\nosupersub{}","plainCitation":"37–39,57","noteIndex":0},"citationItems":[{"id":1673,"uris":["http://zotero.org/users/5406744/items/8H8JIVD7"],"itemData":{"id":1673,"type":"article-journal","abstract":"We theoretically study the proximity spin-orbit coupling (SOC) in graphene on a transition-metal dichalcogenides (TMDC) monolayer stacked with arbitrary twist angles. We find that the relative rotation greatly enhances the spin splitting of graphene, typically by a few to ten times compared to the nonrotated geometry, and the maximum splitting is achieved around 20</w:instrText>
      </w:r>
      <w:r w:rsidR="00BF4618">
        <w:rPr>
          <w:rFonts w:ascii="Cambria Math" w:hAnsi="Cambria Math" w:cs="Cambria Math"/>
          <w:lang w:eastAsia="ko-KR"/>
        </w:rPr>
        <w:instrText>∘</w:instrText>
      </w:r>
      <w:r w:rsidR="00BF4618">
        <w:rPr>
          <w:rFonts w:cstheme="minorHAnsi"/>
          <w:lang w:eastAsia="ko-KR"/>
        </w:rPr>
        <w:instrText>. The induced SOC can be changed from the Zeeman type to the Rashba type by rotation. The spin splitting is also quite sensitive to the gate-induced potential, and it sharply rises when the graphene's Dirac point is shifted toward the TMDC band. The theoretical method does not need the exact lattice matching and it is applicable to any incommensurate bilayer systems. It is useful for the twist-angle engineering of a variety of van der Waals proximity effects.","container-title":"Physical Review B","DOI":"10.1103/PhysRevB.99.075438","issue":"7","journalAbbreviation":"Phys. Rev. B","note":"publisher: American Physical Society","page":"075438","source":"APS","title":"Twist-angle dependence of the proximity spin-orbit coupling in graphene on transition-metal dichalcogenides","volume":"99","author":[{"family":"Li","given":"Yang"},{"family":"Koshino","given":"Mikito"}],"issued":{"date-parts":[["2019",2,28]]}}},{"id":1482,"uris":["http://zotero.org/users/5406744/items/RIGWHG7Y"],"itemData":{"id":1482,"type":"article-journal","abstract":"We investigate the proximity-induced spin-orbit coupling in heterostructures of twisted graphene and monolayers of transition metal dichalcogenides (TMDCs) MoS2, WS2, MoSe2, and WSe2 from first principles. We identify strain, which is necessary to define commensurate supercells, as the key factor affecting the band offsets and thus magnitudes of the proximity couplings. We establish that for biaxially strained graphene the band offsets between the Dirac point and conduction (valence) TMDC bands vary linearly with strain, regardless of the twist angle. This relation allows us to identify the apparent zero-strain band offsets and find a compensating transverse electric field correcting for the strain. The resulting corrected band structure is then fitted around the Dirac point to an established spin-orbit Hamiltonian. This procedure yields the dominant, valley-Zeeman, and Rashba spin-orbit couplings. The magnitudes of these couplings do not vary much with the twist angle, although the valley-Zeeman coupling vanishes for 30</w:instrText>
      </w:r>
      <w:r w:rsidR="00BF4618">
        <w:rPr>
          <w:rFonts w:ascii="Cambria Math" w:hAnsi="Cambria Math" w:cs="Cambria Math"/>
          <w:lang w:eastAsia="ko-KR"/>
        </w:rPr>
        <w:instrText>∘</w:instrText>
      </w:r>
      <w:r w:rsidR="00BF4618">
        <w:rPr>
          <w:rFonts w:cstheme="minorHAnsi"/>
          <w:lang w:eastAsia="ko-KR"/>
        </w:rPr>
        <w:instrText xml:space="preserve"> and Mo-based heterostructures exhibit a maximum of the coupling at around 20</w:instrText>
      </w:r>
      <w:r w:rsidR="00BF4618">
        <w:rPr>
          <w:rFonts w:ascii="Cambria Math" w:hAnsi="Cambria Math" w:cs="Cambria Math"/>
          <w:lang w:eastAsia="ko-KR"/>
        </w:rPr>
        <w:instrText>∘</w:instrText>
      </w:r>
      <w:r w:rsidR="00BF4618">
        <w:rPr>
          <w:rFonts w:cstheme="minorHAnsi"/>
          <w:lang w:eastAsia="ko-KR"/>
        </w:rPr>
        <w:instrText>. The maximum for W-based stacks is at 0</w:instrText>
      </w:r>
      <w:r w:rsidR="00BF4618">
        <w:rPr>
          <w:rFonts w:ascii="Cambria Math" w:hAnsi="Cambria Math" w:cs="Cambria Math"/>
          <w:lang w:eastAsia="ko-KR"/>
        </w:rPr>
        <w:instrText>∘</w:instrText>
      </w:r>
      <w:r w:rsidR="00BF4618">
        <w:rPr>
          <w:rFonts w:cstheme="minorHAnsi"/>
          <w:lang w:eastAsia="ko-KR"/>
        </w:rPr>
        <w:instrText>. The Rashba coupling is in general weaker than the valley-Zeeman coupling, except at angles close to 30</w:instrText>
      </w:r>
      <w:r w:rsidR="00BF4618">
        <w:rPr>
          <w:rFonts w:ascii="Cambria Math" w:hAnsi="Cambria Math" w:cs="Cambria Math"/>
          <w:lang w:eastAsia="ko-KR"/>
        </w:rPr>
        <w:instrText>∘</w:instrText>
      </w:r>
      <w:r w:rsidR="00BF4618">
        <w:rPr>
          <w:rFonts w:cstheme="minorHAnsi"/>
          <w:lang w:eastAsia="ko-KR"/>
        </w:rPr>
        <w:instrText xml:space="preserve">. We also identify the Rashba phase angle which measures the deviation of the in-plane spin texture from tangential, and find that this angle is very sensitive to the applied transverse electric field. We further discuss the reliability of the supercell approach with respect to atomic relaxation (rippling of graphene), relative lateral shifts of the atomic layers, and transverse electric field.","container-title":"Physical Review B","DOI":"10.1103/PhysRevB.104.195156","issue":"19","journalAbbreviation":"Phys. Rev. B","note":"publisher: American Physical Society","page":"195156","source":"APS","title":"Twist-angle dependent proximity induced spin-orbit coupling in graphene/transition metal dichalcogenide heterostructures","volume":"104","author":[{"family":"Naimer","given":"Thomas"},{"family":"Zollner","given":"Klaus"},{"family":"Gmitra","given":"Martin"},{"family":"Fabian","given":"Jaroslav"}],"issued":{"date-parts":[["2021",11,30]]}},"label":"page"},{"id":1496,"uris":["http://zotero.org/users/5406744/items/IJGS5G5J"],"itemData":{"id":1496,"type":"article-journal","container-title":"Physical Review B","DOI":"10.1103/PhysRevB.105.115126","ISSN":"2469-9950, 2469-9969","issue":"11","journalAbbreviation":"Phys. Rev. B","language":"en","page":"115126","source":"DOI.org (Crossref)","title":"Proximity spin-orbit and exchange coupling in ABA and ABC trilayer graphene van der Waals heterostructures","volume":"105","author":[{"family":"Zollner","given":"Klaus"},{"family":"Gmitra","given":"Martin"},{"family":"Fabian","given":"Jaroslav"}],"issued":{"date-parts":[["2022",3,21]]}}},{"id":4343,"uris":["http://zotero.org/users/5406744/items/NAV9NYFX"],"itemData":{"id":4343,"type":"article-journal","container-title":"Physical Review B","DOI":"10.1103/PhysRevB.108.235166","ISSN":"2469-9950, 2469-9969","issue":"23","journalAbbreviation":"Phys. Rev. B","language":"en","page":"235166","source":"DOI.org (Crossref)","title":"Twist- and gate-tunable proximity spin-orbit coupling, spin relaxation anisotropy, and charge-to-spin conversion in heterostructures of graphene and transition metal dichalcogenides","volume":"108","author":[{"family":"Zollner","given":"Klaus"},{"family":"João","given":"Simão M."},{"family":"Nikolić","given":"Branislav K."},{"family":"Fabian","given":"Jaroslav"}],"issued":{"date-parts":[["2023",12,22]]}}}],"schema":"https://github.com/citation-style-language/schema/raw/master/csl-citation.json"} </w:instrText>
      </w:r>
      <w:r w:rsidRPr="00FB1344">
        <w:rPr>
          <w:rFonts w:cstheme="minorHAnsi"/>
          <w:lang w:eastAsia="ko-KR"/>
        </w:rPr>
        <w:fldChar w:fldCharType="separate"/>
      </w:r>
      <w:r w:rsidR="00BF4618" w:rsidRPr="00BF4618">
        <w:rPr>
          <w:rFonts w:ascii="Calibri" w:hAnsi="Calibri" w:cs="Calibri"/>
          <w:kern w:val="0"/>
          <w:vertAlign w:val="superscript"/>
        </w:rPr>
        <w:t>37–39,57</w:t>
      </w:r>
      <w:r w:rsidRPr="00FB1344">
        <w:rPr>
          <w:rFonts w:cstheme="minorHAnsi"/>
          <w:lang w:eastAsia="ko-KR"/>
        </w:rPr>
        <w:fldChar w:fldCharType="end"/>
      </w:r>
      <w:r w:rsidRPr="00FB1344">
        <w:rPr>
          <w:rFonts w:cstheme="minorHAnsi"/>
          <w:lang w:eastAsia="ko-KR"/>
        </w:rPr>
        <w:t xml:space="preserve">, while the experimental estimates vary,  </w:t>
      </w:r>
      <w:r w:rsidRPr="00FB1344">
        <w:rPr>
          <w:rFonts w:cstheme="minorHAnsi"/>
        </w:rPr>
        <w:t xml:space="preserve">ranging from </w:t>
      </w:r>
      <m:oMath>
        <m:sSub>
          <m:sSubPr>
            <m:ctrlPr>
              <w:rPr>
                <w:rFonts w:ascii="Cambria Math" w:hAnsi="Cambria Math" w:cstheme="minorHAnsi"/>
                <w:i/>
              </w:rPr>
            </m:ctrlPr>
          </m:sSubPr>
          <m:e>
            <m:r>
              <w:rPr>
                <w:rFonts w:ascii="Cambria Math" w:hAnsi="Cambria Math" w:cstheme="minorHAnsi"/>
              </w:rPr>
              <m:t>λ</m:t>
            </m:r>
          </m:e>
          <m:sub>
            <m:r>
              <w:rPr>
                <w:rFonts w:ascii="Cambria Math" w:hAnsi="Cambria Math" w:cstheme="minorHAnsi"/>
              </w:rPr>
              <m:t>R</m:t>
            </m:r>
          </m:sub>
        </m:sSub>
      </m:oMath>
      <w:r w:rsidRPr="00FB1344">
        <w:rPr>
          <w:rFonts w:cstheme="minorHAnsi"/>
        </w:rPr>
        <w:t xml:space="preserve"> ~ 0.5 meV</w:t>
      </w:r>
      <w:r w:rsidRPr="00FB1344">
        <w:rPr>
          <w:rFonts w:cstheme="minorHAnsi"/>
        </w:rPr>
        <w:fldChar w:fldCharType="begin"/>
      </w:r>
      <w:r w:rsidR="00BF4618">
        <w:rPr>
          <w:rFonts w:cstheme="minorHAnsi"/>
        </w:rPr>
        <w:instrText xml:space="preserve"> ADDIN ZOTERO_ITEM CSL_CITATION {"citationID":"AM3ZQQ8G","properties":{"formattedCitation":"\\super 58\\nosupersub{}","plainCitation":"58","noteIndex":0},"citationItems":[{"id":4846,"uris":["http://zotero.org/users/5406744/items/W5YY8DCF"],"itemData":{"id":4846,"type":"article-journal","abstract":"Despite its extremely weak intrinsic spin-orbit coupling (SOC), graphene has been shown to acquire considerable SOC by proximity coupling with exfoliated transition metal dichalcogenides (TMDs). Here we demonstrate strong induced Rashba SOC in graphene that is proximity coupled to a monolayer TMD film, Mo</w:instrText>
      </w:r>
      <w:r w:rsidR="00BF4618">
        <w:rPr>
          <w:rFonts w:ascii="Cambria Math" w:hAnsi="Cambria Math" w:cs="Cambria Math"/>
        </w:rPr>
        <w:instrText>⁢</w:instrText>
      </w:r>
      <w:r w:rsidR="00BF4618">
        <w:rPr>
          <w:rFonts w:cstheme="minorHAnsi"/>
        </w:rPr>
        <w:instrText>S2 or WS</w:instrText>
      </w:r>
      <w:r w:rsidR="00BF4618">
        <w:rPr>
          <w:rFonts w:ascii="Cambria Math" w:hAnsi="Cambria Math" w:cs="Cambria Math"/>
        </w:rPr>
        <w:instrText>⁢</w:instrText>
      </w:r>
      <w:r w:rsidR="00BF4618">
        <w:rPr>
          <w:rFonts w:cstheme="minorHAnsi"/>
        </w:rPr>
        <w:instrText xml:space="preserve">e2, grown by chemical-vapor deposition with drastically different Fermi level positions. Graphene/TMD heterostructures are fabricated with a pickup-transfer technique utilizing hexagonal boron nitride, which serves as a flat template to promote intimate contact and therefore a strong interfacial interaction between TMD and graphene as evidenced by quenching of the TMD photoluminescence. We observe strong induced graphene SOC that manifests itself in a pronounced weak-antilocalization (WAL) effect in the graphene magnetoconductance. The spin-relaxation rate extracted from the WAL analysis varies linearly with the momentum scattering time and is independent of the carrier type. This indicates a dominantly Dyakonov-Perel spin-relaxation mechanism caused by the induced Rashba SOC. Our analysis yields a Rashba SOC energy of </w:instrText>
      </w:r>
      <w:r w:rsidR="00BF4618">
        <w:rPr>
          <w:rFonts w:ascii="Cambria Math" w:hAnsi="Cambria Math" w:cs="Cambria Math"/>
        </w:rPr>
        <w:instrText>∼</w:instrText>
      </w:r>
      <w:r w:rsidR="00BF4618">
        <w:rPr>
          <w:rFonts w:cstheme="minorHAnsi"/>
        </w:rPr>
        <w:instrText>1.5 meV in graphene/WS</w:instrText>
      </w:r>
      <w:r w:rsidR="00BF4618">
        <w:rPr>
          <w:rFonts w:ascii="Cambria Math" w:hAnsi="Cambria Math" w:cs="Cambria Math"/>
        </w:rPr>
        <w:instrText>⁢</w:instrText>
      </w:r>
      <w:r w:rsidR="00BF4618">
        <w:rPr>
          <w:rFonts w:cstheme="minorHAnsi"/>
        </w:rPr>
        <w:instrText xml:space="preserve">e2 and </w:instrText>
      </w:r>
      <w:r w:rsidR="00BF4618">
        <w:rPr>
          <w:rFonts w:ascii="Cambria Math" w:hAnsi="Cambria Math" w:cs="Cambria Math"/>
        </w:rPr>
        <w:instrText>∼</w:instrText>
      </w:r>
      <w:r w:rsidR="00BF4618">
        <w:rPr>
          <w:rFonts w:cstheme="minorHAnsi"/>
        </w:rPr>
        <w:instrText>0.9 meV in graphene/Mo</w:instrText>
      </w:r>
      <w:r w:rsidR="00BF4618">
        <w:rPr>
          <w:rFonts w:ascii="Cambria Math" w:hAnsi="Cambria Math" w:cs="Cambria Math"/>
        </w:rPr>
        <w:instrText>⁢</w:instrText>
      </w:r>
      <w:r w:rsidR="00BF4618">
        <w:rPr>
          <w:rFonts w:cstheme="minorHAnsi"/>
        </w:rPr>
        <w:instrText xml:space="preserve">S2. The nearly electron-hole symmetric nature of the induced Rashba SOC provides a clue to possible underlying SOC mechanisms.Physics Subject Headings (PhySH)Rashba couplingSpin-orbit couplingGrapheneTransition metal dichalcogenideswindow.articlePhySH = {\"concepts\":{\"4201a122-4a87-4b76-af1c-5e52bb109c78\":{\"id\":\"4201a122-4a87-4b76-af1c-5e52bb109c78\",\"label\":\"Spin-orbit coupling\",\"paths\":[[{\"id\":\"bdb1ef91-b776-4e36-8f8f-3e93666bac1e\",\"label\":\"Research Areas\",\"uri\":\"https://doi.org/10.29172/bdb1ef91-b776-4e36-8f8f-3e93666bac1e\",\"exclude_from_indexing\":true,\"type\":\"facet\"},{\"id\":\"9e019803-f9d8-4802-b1ac-d2c035d9508f\",\"label\":\"Electronic structure\",\"uri\":\"https://doi.org/10.29172/9e019803-f9d8-4802-b1ac-d2c035d9508f\",\"type\":\"concept\"},{\"id\":\"4201a122-4a87-4b76-af1c-5e52bb109c78\",\"label\":\"Spin-orbit coupling\",\"uri\":\"https://doi.org/10.29172/4201a122-4a87-4b76-af1c-5e52bb109c78\",\"type\":\"concept\"}],[{\"id\":\"bdb1ef91-b776-4e36-8f8f-3e93666bac1e\",\"label\":\"Research Areas\",\"uri\":\"https://doi.org/10.29172/bdb1ef91-b776-4e36-8f8f-3e93666bac1e\",\"exclude_from_indexing\":true,\"type\":\"facet\"},{\"id\":\"46e2a993-8dce-4c28-beab-fdabe4378664\",\"label\":\"Cold atoms &amp; matter waves\",\"uri\":\"https://doi.org/10.29172/46e2a993-8dce-4c28-beab-fdabe4378664\",\"type\":\"concept\"},{\"id\":\"4201a122-4a87-4b76-af1c-5e52bb109c78\",\"label\":\"Spin-orbit coupling\",\"uri\":\"https://doi.org/10.29172/4201a122-4a87-4b76-af1c-5e52bb109c78\",\"type\":\"concept\"}]]},\"36a39358-f9b2-43d8-8cfc-e76935b4bac7\":{\"id\":\"36a39358-f9b2-43d8-8cfc-e76935b4bac7\",\"label\":\"Rashba coupling\",\"paths\":[[{\"id\":\"bdb1ef91-b776-4e36-8f8f-3e93666bac1e\",\"label\":\"Research Areas\",\"uri\":\"https://doi.org/10.29172/bdb1ef91-b776-4e36-8f8f-3e93666bac1e\",\"exclude_from_indexing\":true,\"type\":\"facet\"},{\"id\":\"9e019803-f9d8-4802-b1ac-d2c035d9508f\",\"label\":\"Electronic structure\",\"uri\":\"https://doi.org/10.29172/9e019803-f9d8-4802-b1ac-d2c035d9508f\",\"type\":\"concept\"},{\"id\":\"4201a122-4a87-4b76-af1c-5e52bb109c78\",\"label\":\"Spin-orbit coupling\",\"uri\":\"https://doi.org/10.29172/4201a122-4a87-4b76-af1c-5e52bb109c78\",\"type\":\"concept\"},{\"id\":\"36a39358-f9b2-43d8-8cfc-e76935b4bac7\",\"label\":\"Rashba coupling\",\"uri\":\"https://doi.org/10.29172/36a39358-f9b2-43d8-8cfc-e76935b4bac7\",\"type\":\"concept\"}],[{\"id\":\"bdb1ef91-b776-4e36-8f8f-3e93666bac1e\",\"label\":\"Research Areas\",\"uri\":\"https://doi.org/10.29172/bdb1ef91-b776-4e36-8f8f-3e93666bac1e\",\"exclude_from_indexing\":true,\"type\":\"facet\"},{\"id\":\"46e2a993-8dce-4c28-beab-fdabe4378664\",\"label\":\"Cold atoms &amp; matter waves\",\"uri\":\"https://doi.org/10.29172/46e2a993-8dce-4c28-beab-fdabe4378664\",\"type\":\"concept\"},{\"id\":\"4201a122-4a87-4b76-af1c-5e52bb109c78\",\"label\":\"Spin-orbit coupling\",\"uri\":\"https://doi.org/10.29172/4201a122-4a87-4b76-af1c-5e52bb109c78\",\"type\":\"concept\"},{\"id\":\"36a39358-f9b2-43d8-8cfc-e76935b4bac7\",\"label\":\"Rashba coupling\",\"uri\":\"https://doi.org/10.29172/36a39358-f9b2-43d8-8cfc-e76935b4bac7\",\"type\":\"concept\"}]]},\"a0106d33-6e0e-4b73-8190-a953b55d037a\":{\"id\":\"a0106d33-6e0e-4b73-8190-a953b55d037a\",\"label\":\"Graphene\",\"paths\":[[{\"id\":\"f45b3c40-959c-4e90-ba0e-38232980802a\",\"label\":\"Physical Systems\",\"uri\":\"https://doi.org/10.29172/f45b3c40-959c-4e90-ba0e-38232980802a\",\"exclude_from_indexing\":true,\"type\":\"facet\"},{\"id\":\"7a86b9d8-3162-4279-9ca5-90ebad07be7c\",\"label\":\"2-dimensional systems\",\"uri\":\"https://doi.org/10.29172/7a86b9d8-3162-4279-9ca5-90ebad07be7c\",\"type\":\"concept\"},{\"id\":\"a0106d33-6e0e-4b73-8190-a953b55d037a\",\"label\":\"Graphene\",\"uri\":\"https://doi.org/10.29172/a0106d33-6e0e-4b73-8190-a953b55d037a\",\"type\":\"concept\"}],[{\"id\":\"f45b3c40-959c-4e90-ba0e-38232980802a\",\"label\":\"Physical Systems\",\"uri\":\"https://doi.org/10.29172/f45b3c40-959c-4e90-ba0e-38232980802a\",\"exclude_from_indexing\":true,\"type\":\"facet\"},{\"id\":\"81194f70-bbca-4041-b57e-29338e588cac\",\"label\":\"3-dimensional systems\",\"uri\":\"https://doi.org/10.29172/81194f70-bbca-4041-b57e-29338e588cac\",\"type\":\"concept\"},{\"id\":\"bfbc8007-4c38-4ccb-a698-eeb79bc1651c\",\"label\":\"Carbon-based materials\",\"uri\":\"https://doi.org/10.29172/bfbc8007-4c38-4ccb-a698-eeb79bc1651c\",\"type\":\"concept\"},{\"id\":\"a0106d33-6e0e-4b73-8190-a953b55d037a\",\"label\":\"Graphene\",\"uri\":\"https://doi.org/10.29172/a0106d33-6e0e-4b73-8190-a953b55d037a\",\"type\":\"concept\"}]]},\"b3c9462a-2b5a-4fd3-b4ac-b9eea44d3784\":{\"id\":\"b3c9462a-2b5a-4fd3-b4ac-b9eea44d3784\",\"label\":\"Transition metal dichalcogenides\",\"paths\":[[{\"id\":\"f45b3c40-959c-4e90-ba0e-38232980802a\",\"label\":\"Physical Systems\",\"uri\":\"https://doi.org/10.29172/f45b3c40-959c-4e90-ba0e-38232980802a\",\"exclude_from_indexing\":true,\"type\":\"facet\"},{\"id\":\"7a86b9d8-3162-4279-9ca5-90ebad07be7c\",\"label\":\"2-dimensional systems\",\"uri\":\"https://doi.org/10.29172/7a86b9d8-3162-4279-9ca5-90ebad07be7c\",\"type\":\"concept\"},{\"id\":\"b3c9462a-2b5a-4fd3-b4ac-b9eea44d3784\",\"label\":\"Transition metal dichalcogenides\",\"uri\":\"https://doi.org/10.29172/b3c9462a-2b5a-4fd3-b4ac-b9eea44d3784\",\"type\":\"concept\"}]]}}};","container-title":"Physical Review B","DOI":"10.1103/PhysRevB.96.041409","issue":"4","journalAbbreviation":"Phys. Rev. B","note":"publisher: American Physical Society","page":"041409","source":"APS","title":"Strong electron-hole symmetric Rashba spin-orbit coupling in graphene/monolayer transition metal dichalcogenide heterostructures","volume":"96","author":[{"family":"Yang","given":"Bowen"},{"family":"Lohmann","given":"Mark"},{"family":"Barroso","given":"David"},{"family":"Liao","given":"Ingrid"},{"family":"Lin","given":"Zhisheng"},{"family":"Liu","given":"Yawen"},{"family":"Bartels","given":"Ludwig"},{"family":"Watanabe","given":"Kenji"},{"family":"Taniguchi","given":"Takashi"},{"family":"Shi","given":"Jing"}],"issued":{"date-parts":[["2017",7,26]]}}}],"schema":"https://github.com/citation-style-language/schema/raw/master/csl-citation.json"} </w:instrText>
      </w:r>
      <w:r w:rsidRPr="00FB1344">
        <w:rPr>
          <w:rFonts w:cstheme="minorHAnsi"/>
        </w:rPr>
        <w:fldChar w:fldCharType="separate"/>
      </w:r>
      <w:r w:rsidR="00BF4618" w:rsidRPr="00BF4618">
        <w:rPr>
          <w:rFonts w:ascii="Calibri" w:hAnsi="Calibri" w:cs="Calibri"/>
          <w:kern w:val="0"/>
          <w:vertAlign w:val="superscript"/>
        </w:rPr>
        <w:t>58</w:t>
      </w:r>
      <w:r w:rsidRPr="00FB1344">
        <w:rPr>
          <w:rFonts w:cstheme="minorHAnsi"/>
        </w:rPr>
        <w:fldChar w:fldCharType="end"/>
      </w:r>
      <w:r w:rsidRPr="00FB1344">
        <w:rPr>
          <w:rFonts w:cstheme="minorHAnsi"/>
        </w:rPr>
        <w:t xml:space="preserve">, </w:t>
      </w:r>
      <m:oMath>
        <m:sSub>
          <m:sSubPr>
            <m:ctrlPr>
              <w:rPr>
                <w:rFonts w:ascii="Cambria Math" w:hAnsi="Cambria Math" w:cstheme="minorHAnsi"/>
                <w:i/>
              </w:rPr>
            </m:ctrlPr>
          </m:sSubPr>
          <m:e>
            <m:r>
              <w:rPr>
                <w:rFonts w:ascii="Cambria Math" w:hAnsi="Cambria Math" w:cstheme="minorHAnsi"/>
              </w:rPr>
              <m:t>λ</m:t>
            </m:r>
          </m:e>
          <m:sub>
            <m:r>
              <w:rPr>
                <w:rFonts w:ascii="Cambria Math" w:hAnsi="Cambria Math" w:cstheme="minorHAnsi"/>
              </w:rPr>
              <m:t>R</m:t>
            </m:r>
          </m:sub>
        </m:sSub>
      </m:oMath>
      <w:r w:rsidRPr="00FB1344">
        <w:rPr>
          <w:rFonts w:cstheme="minorHAnsi"/>
        </w:rPr>
        <w:t xml:space="preserve"> ~ 1.5 meV</w:t>
      </w:r>
      <w:r w:rsidRPr="00FB1344">
        <w:rPr>
          <w:rFonts w:cstheme="minorHAnsi"/>
        </w:rPr>
        <w:fldChar w:fldCharType="begin"/>
      </w:r>
      <w:r w:rsidR="00BF4618">
        <w:rPr>
          <w:rFonts w:cstheme="minorHAnsi"/>
        </w:rPr>
        <w:instrText xml:space="preserve"> ADDIN ZOTERO_ITEM CSL_CITATION {"citationID":"s8ZorwUN","properties":{"formattedCitation":"\\super 59\\nosupersub{}","plainCitation":"59","noteIndex":0},"citationItems":[{"id":4849,"uris":["http://zotero.org/users/5406744/items/P5SDNVAK"],"itemData":{"id":4849,"type":"article-journal","abstract":"Strong gate control of proximity-induced spin-orbit coupling was recently predicted in bilayer graphene/transition metal dichalcogenide (BLG/TMDC) heterostructures, as charge carriers can easily be shifted between the two graphene layers, and only one of them is in close contact to the TMDC. The presence of spin-orbit coupling can be probed by weak antilocalization (WAL) in low-field magnetotransport measurements. When the spin-orbit splitting in such a heterostructure increases with the out-of-plane electric displacement field , one intuitively expects a concomitant increase of WAL visibility. Our experiments show that this is not the case. Instead, we observe a maximum of WAL visibility around . This counterintuitive behavior originates in the intricate dependence of WAL in graphene on symmetric and antisymmetric spin lifetimes, caused by the valley-Zeeman and Rashba terms, respectively. Our observations are confirmed by calculating spin precession and spin lifetimes from an model Hamiltonian of BLG/TMDC.Close iconPrevNextFigure 3 of 5Fig. 3.Gate-averaged magnetoconductivity of sample A at different transverse electric fields and average hole concentrations of |n|=1.3,1.5, and 1.7×1016/m2, taken at T=1.4 K. A clear dependence on the displacement field can be observed, as the peak height decreases with decreasing displacement fields. In the lowest panel, occasional jumps in the data are caused by slight gate instabilities.Reuse &amp; PermissionsView figure in articlePhysics Subject Headings (PhySH)Spin-orbit couplingWeak antilocalizationGraphenewindow.articlePhySH = {\"concepts\":{\"a0106d33-6e0e-4b73-8190-a953b55d037a\":{\"id\":\"a0106d33-6e0e-4b73-8190-a953b55d037a\",\"label\":\"Graphene\",\"paths\":[[{\"id\":\"f45b3c40-959c-4e90-ba0e-38232980802a\",\"label\":\"Physical Systems\",\"uri\":\"https://doi.org/10.29172/f45b3c40-959c-4e90-ba0e-38232980802a\",\"exclude_from_indexing\":true,\"type\":\"facet\"},{\"id\":\"7a86b9d8-3162-4279-9ca5-90ebad07be7c\",\"label\":\"2-dimensional systems\",\"uri\":\"https://doi.org/10.29172/7a86b9d8-3162-4279-9ca5-90ebad07be7c\",\"type\":\"concept\"},{\"id\":\"a0106d33-6e0e-4b73-8190-a953b55d037a\",\"label\":\"Graphene\",\"uri\":\"https://doi.org/10.29172/a0106d33-6e0e-4b73-8190-a953b55d037a\",\"type\":\"concept\"}],[{\"id\":\"f45b3c40-959c-4e90-ba0e-38232980802a\",\"label\":\"Physical Systems\",\"uri\":\"https://doi.org/10.29172/f45b3c40-959c-4e90-ba0e-38232980802a\",\"exclude_from_indexing\":true,\"type\":\"facet\"},{\"id\":\"81194f70-bbca-4041-b57e-29338e588cac\",\"label\":\"3-dimensional systems\",\"uri\":\"https://doi.org/10.29172/81194f70-bbca-4041-b57e-29338e588cac\",\"type\":\"concept\"},{\"id\":\"bfbc8007-4c38-4ccb-a698-eeb79bc1651c\",\"label\":\"Carbon-based materials\",\"uri\":\"https://doi.org/10.29172/bfbc8007-4c38-4ccb-a698-eeb79bc1651c\",\"type\":\"concept\"},{\"id\":\"a0106d33-6e0e-4b73-8190-a953b55d037a\",\"label\":\"Graphene\",\"uri\":\"https://doi.org/10.29172/a0106d33-6e0e-4b73-8190-a953b55d037a\",\"type\":\"concept\"}]]},\"e73da731-be57-4947-9f54-7d1c9900c8b1\":{\"id\":\"e73da731-be57-4947-9f54-7d1c9900c8b1\",\"label\":\"Weak antilocalization\",\"paths\":[[{\"id\":\"bdb1ef91-b776-4e36-8f8f-3e93666bac1e\",\"label\":\"Research Areas\",\"uri\":\"https://doi.org/10.29172/bdb1ef91-b776-4e36-8f8f-3e93666bac1e\",\"exclude_from_indexing\":true,\"type\":\"facet\"},{\"id\":\"36754399-ec2b-4962-bb07-ca12c79834e8\",\"label\":\"Transport phenomena\",\"uri\":\"https://doi.org/10.29172/36754399-ec2b-4962-bb07-ca12c79834e8\",\"type\":\"concept\"},{\"id\":\"7d9b7d96-c9e6-455f-9fa7-86088b7df853\",\"label\":\"Localization\",\"uri\":\"https://doi.org/10.29172/7d9b7d96-c9e6-455f-9fa7-86088b7df853\",\"type\":\"concept\"},{\"id\":\"e73da731-be57-4947-9f54-7d1c9900c8b1\",\"label\":\"Weak antilocalization\",\"uri\":\"https://doi.org/10.29172/e73da731-be57-4947-9f54-7d1c9900c8b1\",\"type\":\"concept\"}]]},\"4201a122-4a87-4b76-af1c-5e52bb109c78\":{\"id\":\"4201a122-4a87-4b76-af1c-5e52bb109c78\",\"label\":\"Spin-orbit coupling\",\"paths\":[[{\"id\":\"bdb1ef91-b776-4e36-8f8f-3e93666bac1e\",\"label\":\"Research Areas\",\"uri\":\"https://doi.org/10.29172/bdb1ef91-b776-4e36-8f8f-3e93666bac1e\",\"exclude_from_indexing\":true,\"type\":\"facet\"},{\"id\":\"9e019803-f9d8-4802-b1ac-d2c035d9508f\",\"label\":\"Electronic structure\",\"uri\":\"https://doi.org/10.29172/9e019803-f9d8-4802-b1ac-d2c035d9508f\",\"type\":\"concept\"},{\"id\":\"4201a122-4a87-4b76-af1c-5e52bb109c78\",\"label\":\"Spin-orbit coupling\",\"uri\":\"https://doi.org/10.29172/4201a122-4a87-4b76-af1c-5e52bb109c78\",\"type\":\"concept\"}],[{\"id\":\"bdb1ef91-b776-4e36-8f8f-3e93666bac1e\",\"label\":\"Research Areas\",\"uri\":\"https://doi.org/10.29172/bdb1ef91-b776-4e36-8f8f-3e93666bac1e\",\"exclude_from_indexing\":true,\"type\":\"facet\"},{\"id\":\"46e2a993-8dce-4c28-beab-fdabe4378664\",\"label\":\"Cold atoms &amp; matter waves\",\"uri\":\"https://doi.org/10.29172/46e2a993-8dce-4c28-beab-fdabe4378664\",\"type\":\"concept\"},{\"id\":\"4201a122-4a87-4b76-af1c-5e52bb109c78\",\"label\":\"Spin-orbit coupling\",\"uri\":\"https://doi.org/10.29172/4201a122-4a87-4b76-af1c-5e52bb109c78\",\"type\":\"concept\"}]]}}};","container-title":"Physical Review B","DOI":"10.1103/PhysRevB.105.115425","issue":"11","journalAbbreviation":"Phys. Rev. B","note":"publisher: American Physical Society","page":"115425","source":"APS","title":"Counterintuitive gate dependence of weak antilocalization in bilayer $\\mathrm{graphene}/{\\mathrm{WSe}}_{2}$ heterostructures","volume":"105","author":[{"family":"Amann","given":"Julia"},{"family":"Völkl","given":"Tobias"},{"family":"Rockinger","given":"Tobias"},{"family":"Kochan","given":"Denis"},{"family":"Watanabe","given":"Kenji"},{"family":"Taniguchi","given":"Takashi"},{"family":"Fabian","given":"Jaroslav"},{"family":"Weiss","given":"Dieter"},{"family":"Eroms","given":"Jonathan"}],"issued":{"date-parts":[["2022",3,24]]}}}],"schema":"https://github.com/citation-style-language/schema/raw/master/csl-citation.json"} </w:instrText>
      </w:r>
      <w:r w:rsidRPr="00FB1344">
        <w:rPr>
          <w:rFonts w:cstheme="minorHAnsi"/>
        </w:rPr>
        <w:fldChar w:fldCharType="separate"/>
      </w:r>
      <w:r w:rsidR="00BF4618" w:rsidRPr="00BF4618">
        <w:rPr>
          <w:rFonts w:ascii="Calibri" w:hAnsi="Calibri" w:cs="Calibri"/>
          <w:kern w:val="0"/>
          <w:vertAlign w:val="superscript"/>
        </w:rPr>
        <w:t>59</w:t>
      </w:r>
      <w:r w:rsidRPr="00FB1344">
        <w:rPr>
          <w:rFonts w:cstheme="minorHAnsi"/>
        </w:rPr>
        <w:fldChar w:fldCharType="end"/>
      </w:r>
      <w:r w:rsidRPr="00FB1344">
        <w:rPr>
          <w:rFonts w:cstheme="minorHAnsi"/>
        </w:rPr>
        <w:t xml:space="preserve">, </w:t>
      </w:r>
      <m:oMath>
        <m:sSub>
          <m:sSubPr>
            <m:ctrlPr>
              <w:rPr>
                <w:rFonts w:ascii="Cambria Math" w:hAnsi="Cambria Math" w:cstheme="minorHAnsi"/>
                <w:i/>
              </w:rPr>
            </m:ctrlPr>
          </m:sSubPr>
          <m:e>
            <m:r>
              <w:rPr>
                <w:rFonts w:ascii="Cambria Math" w:hAnsi="Cambria Math" w:cstheme="minorHAnsi"/>
              </w:rPr>
              <m:t>λ</m:t>
            </m:r>
          </m:e>
          <m:sub>
            <m:r>
              <w:rPr>
                <w:rFonts w:ascii="Cambria Math" w:hAnsi="Cambria Math" w:cstheme="minorHAnsi"/>
              </w:rPr>
              <m:t>R</m:t>
            </m:r>
          </m:sub>
        </m:sSub>
        <m:r>
          <w:rPr>
            <w:rFonts w:ascii="Cambria Math" w:hAnsi="Cambria Math" w:cstheme="minorHAnsi"/>
          </w:rPr>
          <m:t>≤</m:t>
        </m:r>
      </m:oMath>
      <w:r w:rsidRPr="00FB1344">
        <w:rPr>
          <w:rFonts w:cstheme="minorHAnsi"/>
        </w:rPr>
        <w:t xml:space="preserve"> 4 meV</w:t>
      </w:r>
      <w:r w:rsidRPr="00FB1344">
        <w:rPr>
          <w:rFonts w:cstheme="minorHAnsi"/>
        </w:rPr>
        <w:fldChar w:fldCharType="begin"/>
      </w:r>
      <w:r w:rsidR="00BF4618">
        <w:rPr>
          <w:rFonts w:cstheme="minorHAnsi"/>
        </w:rPr>
        <w:instrText xml:space="preserve"> ADDIN ZOTERO_ITEM CSL_CITATION {"citationID":"UQNeZRw8","properties":{"formattedCitation":"\\super 18\\nosupersub{}","plainCitation":"18","noteIndex":0},"citationItems":[{"id":1752,"uris":["http://zotero.org/users/5406744/items/5ITGK7BD"],"itemData":{"id":1752,"type":"article-journal","container-title":"Nature","DOI":"10.1038/s41586-022-05446-x","ISSN":"0028-0836, 1476-4687","issue":"7943","journalAbbreviation":"Nature","language":"en","page":"268-273","source":"DOI.org (Crossref)","title":"Enhanced superconductivity in spin–orbit proximitized bilayer graphene","volume":"613","author":[{"family":"Zhang","given":"Yiran"},{"family":"Polski","given":"Robert"},{"family":"Thomson","given":"Alex"},{"family":"Lantagne-Hurtubise","given":"Étienne"},{"family":"Lewandowski","given":"Cyprian"},{"family":"Zhou","given":"Haoxin"},{"family":"Watanabe","given":"Kenji"},{"family":"Taniguchi","given":"Takashi"},{"family":"Alicea","given":"Jason"},{"family":"Nadj-Perge","given":"Stevan"}],"issued":{"date-parts":[["2023",1,12]]}}}],"schema":"https://github.com/citation-style-language/schema/raw/master/csl-citation.json"} </w:instrText>
      </w:r>
      <w:r w:rsidRPr="00FB1344">
        <w:rPr>
          <w:rFonts w:cstheme="minorHAnsi"/>
        </w:rPr>
        <w:fldChar w:fldCharType="separate"/>
      </w:r>
      <w:r w:rsidR="00BF4618" w:rsidRPr="00BF4618">
        <w:rPr>
          <w:rFonts w:ascii="Calibri" w:hAnsi="Calibri" w:cs="Calibri"/>
          <w:kern w:val="0"/>
          <w:vertAlign w:val="superscript"/>
        </w:rPr>
        <w:t>18</w:t>
      </w:r>
      <w:r w:rsidRPr="00FB1344">
        <w:rPr>
          <w:rFonts w:cstheme="minorHAnsi"/>
        </w:rPr>
        <w:fldChar w:fldCharType="end"/>
      </w:r>
      <w:r w:rsidRPr="00FB1344">
        <w:rPr>
          <w:rFonts w:cstheme="minorHAnsi"/>
        </w:rPr>
        <w:t xml:space="preserve">, up to </w:t>
      </w:r>
      <m:oMath>
        <m:sSub>
          <m:sSubPr>
            <m:ctrlPr>
              <w:rPr>
                <w:rFonts w:ascii="Cambria Math" w:hAnsi="Cambria Math" w:cstheme="minorHAnsi"/>
                <w:i/>
              </w:rPr>
            </m:ctrlPr>
          </m:sSubPr>
          <m:e>
            <m:r>
              <w:rPr>
                <w:rFonts w:ascii="Cambria Math" w:hAnsi="Cambria Math" w:cstheme="minorHAnsi"/>
              </w:rPr>
              <m:t>λ</m:t>
            </m:r>
          </m:e>
          <m:sub>
            <m:r>
              <w:rPr>
                <w:rFonts w:ascii="Cambria Math" w:hAnsi="Cambria Math" w:cstheme="minorHAnsi"/>
              </w:rPr>
              <m:t>R</m:t>
            </m:r>
          </m:sub>
        </m:sSub>
      </m:oMath>
      <w:r w:rsidRPr="00FB1344">
        <w:rPr>
          <w:rFonts w:cstheme="minorHAnsi"/>
        </w:rPr>
        <w:t xml:space="preserve"> ~ 10 meV</w:t>
      </w:r>
      <w:r w:rsidRPr="00FB1344">
        <w:rPr>
          <w:rFonts w:cstheme="minorHAnsi"/>
        </w:rPr>
        <w:fldChar w:fldCharType="begin"/>
      </w:r>
      <w:r w:rsidR="00BF4618">
        <w:rPr>
          <w:rFonts w:cstheme="minorHAnsi"/>
        </w:rPr>
        <w:instrText xml:space="preserve"> ADDIN ZOTERO_ITEM CSL_CITATION {"citationID":"cbmdzeyy","properties":{"formattedCitation":"\\super 60\\nosupersub{}","plainCitation":"60","noteIndex":0},"citationItems":[{"id":4852,"uris":["http://zotero.org/users/5406744/items/GG2T3WIF"],"itemData":{"id":4852,"type":"article-journal","abstract":"We use a combination of experimental techniques to demonstrate a general occurrence of spin-orbit interaction (SOI) in graphene on transition metal dichalcogenide (TMD) substrates. Our measurements indicate that SOI is ultrastrong and extremely robust, despite it being merely interfacially induced, with neither graphene nor the TMD substrates changing their structure. This is found to be the case irrespective of the TMD material used, of the transport regime, of the carrier type in the graphene band, or of the thickness of the graphene multilayer. Specifically, we perform weak antilocalization (WAL) measurements as the simplest and most general diagnostic of SOI, and we show that the spin relaxation time is very short (approximately 0.2 ps or less) in all cases regardless of the elastic scattering time, whose value varies over nearly 2 orders of magnitude. Such a short spin-relaxation time strongly suggests that the SOI originates from a modification of graphene band structure. We confirmed this expectation by measuring a gate-dependent beating, and a corresponding frequency splitting, in the low-field Shubnikov–de Haas magnetoresistance oscillations in high-quality bilayer graphene devices on WSe2. These measurements provide an unambiguous diagnostic of a SOI-induced splitting in the electronic band structure, and their analysis allows us to determine the SOI coupling constants for the Rashba term and the so-called spin-valley coupling term, i.e., the terms that were recently predicted theoretically for interface-induced SOI in graphene. The magnitude of the SOI splitting is found to be on the order of 10 meV, more than 100 times greater than the SOI intrinsic to graphene. Both the band character of the interfacially induced SOI and its robustness and large magnitude make graphene-on-TMD a promising system to realize and explore a variety of spin-dependent transport phenomena, such as, in particular, spin-Hall and valley-Hall topological insulating states.See 2 more figuresPhysics Subject Headings (PhySH)Electronic structureShubnikov-de Haas effectSpin-orbit couplingWeak antilocalizationGrapheneTransition metal dichalcogenidesVan der Waals systemswindow.articlePhySH = {\"concepts\":{\"9e019803-f9d8-4802-b1ac-d2c035d9508f\":{\"id\":\"9e019803-f9d8-4802-b1ac-d2c035d9508f\",\"label\":\"Electronic structure\",\"paths\":[[{\"id\":\"bdb1ef91-b776-4e36-8f8f-3e93666bac1e\",\"label\":\"Research Areas\",\"uri\":\"https://doi.org/10.29172/bdb1ef91-b776-4e36-8f8f-3e93666bac1e\",\"exclude_from_indexing\":true,\"type\":\"facet\"},{\"id\":\"9e019803-f9d8-4802-b1ac-d2c035d9508f\",\"label\":\"Electronic structure\",\"uri\":\"https://doi.org/10.29172/9e019803-f9d8-4802-b1ac-d2c035d9508f\",\"type\":\"concept\"}]]},\"4201a122-4a87-4b76-af1c-5e52bb109c78\":{\"id\":\"4201a122-4a87-4b76-af1c-5e52bb109c78\",\"label\":\"Spin-orbit coupling\",\"paths\":[[{\"id\":\"bdb1ef91-b776-4e36-8f8f-3e93666bac1e\",\"label\":\"Research Areas\",\"uri\":\"https://doi.org/10.29172/bdb1ef91-b776-4e36-8f8f-3e93666bac1e\",\"exclude_from_indexing\":true,\"type\":\"facet\"},{\"id\":\"9e019803-f9d8-4802-b1ac-d2c035d9508f\",\"label\":\"Electronic structure\",\"uri\":\"https://doi.org/10.29172/9e019803-f9d8-4802-b1ac-d2c035d9508f\",\"type\":\"concept\"},{\"id\":\"4201a122-4a87-4b76-af1c-5e52bb109c78\",\"label\":\"Spin-orbit coupling\",\"uri\":\"https://doi.org/10.29172/4201a122-4a87-4b76-af1c-5e52bb109c78\",\"type\":\"concept\"}],[{\"id\":\"bdb1ef91-b776-4e36-8f8f-3e93666bac1e\",\"label\":\"Research Areas\",\"uri\":\"https://doi.org/10.29172/bdb1ef91-b776-4e36-8f8f-3e93666bac1e\",\"exclude_from_indexing\":true,\"type\":\"facet\"},{\"id\":\"46e2a993-8dce-4c28-beab-fdabe4378664\",\"label\":\"Cold atoms &amp; matter waves\",\"uri\":\"https://doi.org/10.29172/46e2a993-8dce-4c28-beab-fdabe4378664\",\"type\":\"concept\"},{\"id\":\"4201a122-4a87-4b76-af1c-5e52bb109c78\",\"label\":\"Spin-orbit coupling\",\"uri\":\"https://doi.org/10.29172/4201a122-4a87-4b76-af1c-5e52bb109c78\",\"type\":\"concept\"}]]},\"e73da731-be57-4947-9f54-7d1c9900c8b1\":{\"id\":\"e73da731-be57-4947-9f54-7d1c9900c8b1\",\"label\":\"Weak antilocalization\",\"paths\":[[{\"id\":\"bdb1ef91-b776-4e36-8f8f-3e93666bac1e\",\"label\":\"Research Areas\",\"uri\":\"https://doi.org/10.29172/bdb1ef91-b776-4e36-8f8f-3e93666bac1e\",\"exclude_from_indexing\":true,\"type\":\"facet\"},{\"id\":\"36754399-ec2b-4962-bb07-ca12c79834e8\",\"label\":\"Transport phenomena\",\"uri\":\"https://doi.org/10.29172/36754399-ec2b-4962-bb07-ca12c79834e8\",\"type\":\"concept\"},{\"id\":\"7d9b7d96-c9e6-455f-9fa7-86088b7df853\",\"label\":\"Localization\",\"uri\":\"https://doi.org/10.29172/7d9b7d96-c9e6-455f-9fa7-86088b7df853\",\"type\":\"concept\"},{\"id\":\"e73da731-be57-4947-9f54-7d1c9900c8b1\",\"label\":\"Weak antilocalization\",\"uri\":\"https://doi.org/10.29172/e73da731-be57-4947-9f54-7d1c9900c8b1\",\"type\":\"concept\"}]]},\"c1059a78-47d7-4f70-9c3a-c40e32acf475\":{\"id\":\"c1059a78-47d7-4f70-9c3a-c40e32acf475\",\"label\":\"Shubnikov-de Haas effect\",\"paths\":[[{\"id\":\"bdb1ef91-b776-4e36-8f8f-3e93666bac1e\",\"label\":\"Research Areas\",\"uri\":\"https://doi.org/10.29172/bdb1ef91-b776-4e36-8f8f-3e93666bac1e\",\"exclude_from_indexing\":true,\"type\":\"facet\"},{\"id\":\"9e019803-f9d8-4802-b1ac-d2c035d9508f\",\"label\":\"Electronic structure\",\"uri\":\"https://doi.org/10.29172/9e019803-f9d8-4802-b1ac-d2c035d9508f\",\"type\":\"concept\"},{\"id\":\"78d12677-c7dc-427e-acd7-cbff78a1713f\",\"label\":\"Fermi surface\",\"uri\":\"https://doi.org/10.29172/78d12677-c7dc-427e-acd7-cbff78a1713f\",\"type\":\"concept\"},{\"id\":\"c1059a78-47d7-4f70-9c3a-c40e32acf475\",\"label\":\"Shubnikov-de Haas effect\",\"uri\":\"https://doi.org/10.29172/c1059a78-47d7-4f70-9c3a-c40e32acf475\",\"type\":\"concept\"}]]},\"a0106d33-6e0e-4b73-8190-a953b55d037a\":{\"id\":\"a0106d33-6e0e-4b73-8190-a953b55d037a\",\"label\":\"Graphene\",\"paths\":[[{\"id\":\"f45b3c40-959c-4e90-ba0e-38232980802a\",\"label\":\"Physical Systems\",\"uri\":\"https://doi.org/10.29172/f45b3c40-959c-4e90-ba0e-38232980802a\",\"exclude_from_indexing\":true,\"type\":\"facet\"},{\"id\":\"7a86b9d8-3162-4279-9ca5-90ebad07be7c\",\"label\":\"2-dimensional systems\",\"uri\":\"https://doi.org/10.29172/7a86b9d8-3162-4279-9ca5-90ebad07be7c\",\"type\":\"concept\"},{\"id\":\"a0106d33-6e0e-4b73-8190-a953b55d037a\",\"label\":\"Graphene\",\"uri\":\"https://doi.org/10.29172/a0106d33-6e0e-4b73-8190-a953b55d037a\",\"type\":\"concept\"}],[{\"id\":\"f45b3c40-959c-4e90-ba0e-38232980802a\",\"label\":\"Physical Systems\",\"uri\":\"https://doi.org/10.29172/f45b3c40-959c-4e90-ba0e-38232980802a\",\"exclude_from_indexing\":true,\"type\":\"facet\"},{\"id\":\"81194f70-bbca-4041-b57e-29338e588cac\",\"label\":\"3-dimensional systems\",\"uri\":\"https://doi.org/10.29172/81194f70-bbca-4041-b57e-29338e588cac\",\"type\":\"concept\"},{\"id\":\"bfbc8007-4c38-4ccb-a698-eeb79bc1651c\",\"label\":\"Carbon-based materials\",\"uri\":\"https://doi.org/10.29172/bfbc8007-4c38-4ccb-a698-eeb79bc1651c\",\"type\":\"concept\"},{\"id\":\"a0106d33-6e0e-4b73-8190-a953b55d037a\",\"label\":\"Graphene\",\"uri\":\"https://doi.org/10.29172/a0106d33-6e0e-4b73-8190-a953b55d037a\",\"type\":\"concept\"}]]},\"b3c9462a-2b5a-4fd3-b4ac-b9eea44d3784\":{\"id\":\"b3c9462a-2b5a-4fd3-b4ac-b9eea44d3784\",\"label\":\"Transition metal dichalcogenides\",\"paths\":[[{\"id\":\"f45b3c40-959c-4e90-ba0e-38232980802a\",\"label\":\"Physical Systems\",\"uri\":\"https://doi.org/10.29172/f45b3c40-959c-4e90-ba0e-38232980802a\",\"exclude_from_indexing\":true,\"type\":\"facet\"},{\"id\":\"7a86b9d8-3162-4279-9ca5-90ebad07be7c\",\"label\":\"2-dimensional systems\",\"uri\":\"https://doi.org/10.29172/7a86b9d8-3162-4279-9ca5-90ebad07be7c\",\"type\":\"concept\"},{\"id\":\"b3c9462a-2b5a-4fd3-b4ac-b9eea44d3784\",\"label\":\"Transition metal dichalcogenides\",\"uri\":\"https://doi.org/10.29172/b3c9462a-2b5a-4fd3-b4ac-b9eea44d3784\",\"type\":\"concept\"}]]},\"a5d4ce92-0e19-4cf5-bfd8-8ac4d0195c03\":{\"id\":\"a5d4ce92-0e19-4cf5-bfd8-8ac4d0195c03\",\"label\":\"Van der Waals systems\",\"paths\":[[{\"id\":\"f45b3c40-959c-4e90-ba0e-38232980802a\",\"label\":\"Physical Systems\",\"uri\":\"https://doi.org/10.29172/f45b3c40-959c-4e90-ba0e-38232980802a\",\"exclude_from_indexing\":true,\"type\":\"facet\"},{\"id\":\"81194f70-bbca-4041-b57e-29338e588cac\",\"label\":\"3-dimensional systems\",\"uri\":\"https://doi.org/10.29172/81194f70-bbca-4041-b57e-29338e588cac\",\"type\":\"concept\"},{\"id\":\"f111f126-342c-48fd-baa7-6124af4142eb\",\"label\":\"Complex materials\",\"uri\":\"https://doi.org/10.29172/f111f126-342c-48fd-baa7-6124af4142eb\",\"type\":\"concept\"},{\"id\":\"a5d4ce92-0e19-4cf5-bfd8-8ac4d0195c03\",\"label\":\"Van der Waals systems\",\"uri\":\"https://doi.org/10.29172/a5d4ce92-0e19-4cf5-bfd8-8ac4d0195c03\",\"type\":\"concept\"}]]}}};Published by the American Physical Society under the terms of the Creative Commons Attribution 3.0 License. Further distribution of this work must maintain attribution to the author(s) and the published article’s title, journal citation, and DOI.","container-title":"Physical Review X","DOI":"10.1103/PhysRevX.6.041020","issue":"4","journalAbbreviation":"Phys. Rev. X","note":"publisher: American Physical Society","page":"041020","source":"APS","title":"Origin and Magnitude of `Designer' Spin-Orbit Interaction in Graphene on Semiconducting Transition Metal Dichalcogenides","volume":"6","author":[{"family":"Wang","given":"Zhe"},{"family":"Ki","given":"Dong-Keun"},{"family":"Khoo","given":"Jun Yong"},{"family":"Mauro","given":"Diego"},{"family":"Berger","given":"Helmuth"},{"family":"Levitov","given":"Leonid S."},{"family":"Morpurgo","given":"Alberto F."}],"issued":{"date-parts":[["2016",10,26]]}}}],"schema":"https://github.com/citation-style-language/schema/raw/master/csl-citation.json"} </w:instrText>
      </w:r>
      <w:r w:rsidRPr="00FB1344">
        <w:rPr>
          <w:rFonts w:cstheme="minorHAnsi"/>
        </w:rPr>
        <w:fldChar w:fldCharType="separate"/>
      </w:r>
      <w:r w:rsidR="00BF4618" w:rsidRPr="00BF4618">
        <w:rPr>
          <w:rFonts w:ascii="Calibri" w:hAnsi="Calibri" w:cs="Calibri"/>
          <w:kern w:val="0"/>
          <w:vertAlign w:val="superscript"/>
        </w:rPr>
        <w:t>60</w:t>
      </w:r>
      <w:r w:rsidRPr="00FB1344">
        <w:rPr>
          <w:rFonts w:cstheme="minorHAnsi"/>
        </w:rPr>
        <w:fldChar w:fldCharType="end"/>
      </w:r>
      <w:r w:rsidRPr="00FB1344">
        <w:rPr>
          <w:rFonts w:cstheme="minorHAnsi"/>
        </w:rPr>
        <w:t xml:space="preserve">. </w:t>
      </w:r>
    </w:p>
    <w:p w14:paraId="00BEA7B1" w14:textId="41D81F5D" w:rsidR="0013589B" w:rsidRPr="00FB1344" w:rsidRDefault="0013589B" w:rsidP="0013589B">
      <w:pPr>
        <w:ind w:firstLine="720"/>
        <w:rPr>
          <w:rFonts w:cstheme="minorHAnsi"/>
        </w:rPr>
      </w:pPr>
      <w:r w:rsidRPr="00FB1344">
        <w:rPr>
          <w:rFonts w:cstheme="minorHAnsi"/>
          <w:color w:val="000000" w:themeColor="text1"/>
        </w:rPr>
        <w:t>Now we show that the Rashba SOC’s contribution to</w:t>
      </w:r>
      <w:r w:rsidRPr="00FB1344">
        <w:rPr>
          <w:rFonts w:cstheme="minorHAnsi" w:hint="eastAsia"/>
          <w:color w:val="000000" w:themeColor="text1"/>
        </w:rPr>
        <w:t xml:space="preserve"> the physics </w:t>
      </w:r>
      <w:r w:rsidRPr="00FB1344">
        <w:rPr>
          <w:rFonts w:cstheme="minorHAnsi"/>
          <w:color w:val="000000" w:themeColor="text1"/>
        </w:rPr>
        <w:t>relevant</w:t>
      </w:r>
      <w:r w:rsidRPr="00FB1344">
        <w:rPr>
          <w:rFonts w:cstheme="minorHAnsi" w:hint="eastAsia"/>
          <w:color w:val="000000" w:themeColor="text1"/>
        </w:rPr>
        <w:t xml:space="preserve"> to our experiments </w:t>
      </w:r>
      <w:r w:rsidRPr="00FB1344">
        <w:rPr>
          <w:rFonts w:cstheme="minorHAnsi"/>
          <w:color w:val="000000" w:themeColor="text1"/>
        </w:rPr>
        <w:t>is negligible</w:t>
      </w:r>
      <w:r w:rsidRPr="00FB1344">
        <w:rPr>
          <w:rFonts w:cstheme="minorHAnsi" w:hint="eastAsia"/>
          <w:color w:val="000000" w:themeColor="text1"/>
        </w:rPr>
        <w:t xml:space="preserve"> using a low-energy effective model</w:t>
      </w:r>
      <w:r w:rsidRPr="00FB1344">
        <w:rPr>
          <w:rFonts w:cstheme="minorHAnsi"/>
          <w:color w:val="000000" w:themeColor="text1"/>
        </w:rPr>
        <w:t>, even if taking an</w:t>
      </w:r>
      <w:r w:rsidRPr="00FB1344">
        <w:rPr>
          <w:rFonts w:cstheme="minorHAnsi"/>
        </w:rPr>
        <w:t xml:space="preserve"> </w:t>
      </w:r>
      <m:oMath>
        <m:sSub>
          <m:sSubPr>
            <m:ctrlPr>
              <w:rPr>
                <w:rFonts w:ascii="Cambria Math" w:hAnsi="Cambria Math" w:cstheme="minorHAnsi"/>
                <w:i/>
              </w:rPr>
            </m:ctrlPr>
          </m:sSubPr>
          <m:e>
            <m:r>
              <w:rPr>
                <w:rFonts w:ascii="Cambria Math" w:hAnsi="Cambria Math" w:cstheme="minorHAnsi"/>
              </w:rPr>
              <m:t>λ</m:t>
            </m:r>
          </m:e>
          <m:sub>
            <m:r>
              <w:rPr>
                <w:rFonts w:ascii="Cambria Math" w:hAnsi="Cambria Math" w:cstheme="minorHAnsi"/>
              </w:rPr>
              <m:t>R</m:t>
            </m:r>
          </m:sub>
        </m:sSub>
      </m:oMath>
      <w:r w:rsidRPr="00FB1344">
        <w:rPr>
          <w:rFonts w:cstheme="minorHAnsi"/>
        </w:rPr>
        <w:t xml:space="preserve"> ~ 10 meV</w:t>
      </w:r>
      <w:r w:rsidRPr="00FB1344">
        <w:rPr>
          <w:rFonts w:cstheme="minorHAnsi"/>
          <w:color w:val="000000" w:themeColor="text1"/>
        </w:rPr>
        <w:t>.</w:t>
      </w:r>
      <w:r w:rsidRPr="00FB1344">
        <w:rPr>
          <w:rFonts w:cstheme="minorHAnsi"/>
        </w:rPr>
        <w:t xml:space="preserve"> The Rashba SOC acts on the </w:t>
      </w:r>
      <w:r w:rsidRPr="00FB1344">
        <w:rPr>
          <w:rFonts w:cstheme="minorHAnsi" w:hint="eastAsia"/>
        </w:rPr>
        <w:t xml:space="preserve">top or bottom </w:t>
      </w:r>
      <w:r w:rsidRPr="00FB1344">
        <w:rPr>
          <w:rFonts w:cstheme="minorHAnsi"/>
        </w:rPr>
        <w:t>outermost layer of the multilayer graphene in the following form</w:t>
      </w:r>
      <w:r w:rsidRPr="00FB1344">
        <w:rPr>
          <w:rFonts w:cstheme="minorHAnsi"/>
        </w:rPr>
        <w:fldChar w:fldCharType="begin"/>
      </w:r>
      <w:r w:rsidR="00BF4618">
        <w:rPr>
          <w:rFonts w:cstheme="minorHAnsi"/>
        </w:rPr>
        <w:instrText xml:space="preserve"> ADDIN ZOTERO_ITEM CSL_CITATION {"citationID":"oFekSnGp","properties":{"formattedCitation":"\\super 53\\nosupersub{}","plainCitation":"53","noteIndex":0},"citationItems":[{"id":1551,"uris":["http://zotero.org/users/5406744/items/GXFDNB6P"],"itemData":{"id":1551,"type":"article","abstract":"We analyze the phase diagram of multilayer-graphene sandwiched between identical transition metal dichalcogenides. Recently realized in all van-der-Wall heterostructures, these sandwiches induce sizable (1-15 meV) spin orbit coupling in the graphene, offering a way to engineer topological band-structures in a pristine and gate-tunable platform. We find a rich phase diagram that depends on the number of layers $N$ and the gate-tunable perpendicular electric field. For $N &gt; 1$ and odd, the system is a strong 2D topological insulator with a gap equal to the strength of proximity-induced Ising spin-orbit coupling, which reverts to a trivial phase at moderate electric fields. For $N$-even, the low energy bands exhibit a recently proposed form of \"fragile\" crystalline topology, as well as electric-field tuned symmetry-protected phase transitions between distinct atomic insulators. Hence AB-stacked bilayer and ABC-stacked trilayer graphene are predicted to provide controllable experimental realizations of fragile and strong topology.","DOI":"10.48550/arXiv.1901.01294","note":"arXiv:1901.01294 [cond-mat]","number":"arXiv:1901.01294","publisher":"arXiv","source":"arXiv.org","title":"The gate-tunable strong and fragile topology of multilayer-graphene on a transition metal dichalcogenide","URL":"http://arxiv.org/abs/1901.01294","author":[{"family":"Zaletel","given":"Michael P."},{"family":"Khoo","given":"Jun Yong"}],"accessed":{"date-parts":[["2022",10,20]]},"issued":{"date-parts":[["2019",1,8]]}}}],"schema":"https://github.com/citation-style-language/schema/raw/master/csl-citation.json"} </w:instrText>
      </w:r>
      <w:r w:rsidRPr="00FB1344">
        <w:rPr>
          <w:rFonts w:cstheme="minorHAnsi"/>
        </w:rPr>
        <w:fldChar w:fldCharType="separate"/>
      </w:r>
      <w:r w:rsidR="00BF4618" w:rsidRPr="00BF4618">
        <w:rPr>
          <w:rFonts w:ascii="Calibri" w:hAnsi="Calibri" w:cs="Calibri"/>
          <w:kern w:val="0"/>
          <w:vertAlign w:val="superscript"/>
        </w:rPr>
        <w:t>53</w:t>
      </w:r>
      <w:r w:rsidRPr="00FB1344">
        <w:rPr>
          <w:rFonts w:cstheme="minorHAnsi"/>
        </w:rPr>
        <w:fldChar w:fldCharType="end"/>
      </w:r>
      <w:r w:rsidRPr="00FB1344">
        <w:rPr>
          <w:rFonts w:cstheme="minorHAnsi"/>
        </w:rPr>
        <w:t>:</w:t>
      </w:r>
    </w:p>
    <w:p w14:paraId="2D33CF33" w14:textId="77777777" w:rsidR="0013589B" w:rsidRPr="00FB1344" w:rsidRDefault="00000000" w:rsidP="0013589B">
      <w:pPr>
        <w:ind w:firstLine="720"/>
        <w:rPr>
          <w:rFonts w:cstheme="minorHAnsi"/>
        </w:rPr>
      </w:pPr>
      <m:oMathPara>
        <m:oMath>
          <m:sSub>
            <m:sSubPr>
              <m:ctrlPr>
                <w:rPr>
                  <w:rFonts w:ascii="Cambria Math" w:hAnsi="Cambria Math" w:cstheme="minorHAnsi"/>
                  <w:i/>
                </w:rPr>
              </m:ctrlPr>
            </m:sSubPr>
            <m:e>
              <m:r>
                <w:rPr>
                  <w:rFonts w:ascii="Cambria Math" w:hAnsi="Cambria Math" w:cstheme="minorHAnsi"/>
                </w:rPr>
                <m:t>V</m:t>
              </m:r>
            </m:e>
            <m:sub>
              <m:r>
                <w:rPr>
                  <w:rFonts w:ascii="Cambria Math" w:hAnsi="Cambria Math" w:cstheme="minorHAnsi"/>
                </w:rPr>
                <m:t>R</m:t>
              </m:r>
            </m:sub>
          </m:sSub>
          <m:r>
            <w:rPr>
              <w:rFonts w:ascii="Cambria Math" w:hAnsi="Cambria Math" w:cstheme="minorHAnsi"/>
            </w:rPr>
            <m:t>=</m:t>
          </m:r>
          <m:f>
            <m:fPr>
              <m:ctrlPr>
                <w:rPr>
                  <w:rFonts w:ascii="Cambria Math" w:hAnsi="Cambria Math" w:cstheme="minorHAnsi"/>
                  <w:i/>
                </w:rPr>
              </m:ctrlPr>
            </m:fPr>
            <m:num>
              <m:sSub>
                <m:sSubPr>
                  <m:ctrlPr>
                    <w:rPr>
                      <w:rFonts w:ascii="Cambria Math" w:hAnsi="Cambria Math" w:cstheme="minorHAnsi"/>
                      <w:i/>
                    </w:rPr>
                  </m:ctrlPr>
                </m:sSubPr>
                <m:e>
                  <m:r>
                    <w:rPr>
                      <w:rFonts w:ascii="Cambria Math" w:hAnsi="Cambria Math" w:cstheme="minorHAnsi"/>
                    </w:rPr>
                    <m:t>λ</m:t>
                  </m:r>
                </m:e>
                <m:sub>
                  <m:r>
                    <w:rPr>
                      <w:rFonts w:ascii="Cambria Math" w:hAnsi="Cambria Math" w:cstheme="minorHAnsi"/>
                    </w:rPr>
                    <m:t>R</m:t>
                  </m:r>
                </m:sub>
              </m:sSub>
            </m:num>
            <m:den>
              <m:r>
                <w:rPr>
                  <w:rFonts w:ascii="Cambria Math" w:hAnsi="Cambria Math" w:cstheme="minorHAnsi"/>
                </w:rPr>
                <m:t>2</m:t>
              </m:r>
            </m:den>
          </m:f>
          <m:sSup>
            <m:sSupPr>
              <m:ctrlPr>
                <w:rPr>
                  <w:rFonts w:ascii="Cambria Math" w:hAnsi="Cambria Math" w:cstheme="minorHAnsi"/>
                  <w:i/>
                </w:rPr>
              </m:ctrlPr>
            </m:sSupPr>
            <m:e>
              <m:r>
                <w:rPr>
                  <w:rFonts w:ascii="Cambria Math" w:hAnsi="Cambria Math" w:cstheme="minorHAnsi"/>
                </w:rPr>
                <m:t>e</m:t>
              </m:r>
            </m:e>
            <m:sup>
              <m:r>
                <w:rPr>
                  <w:rFonts w:ascii="Cambria Math" w:hAnsi="Cambria Math" w:cstheme="minorHAnsi"/>
                </w:rPr>
                <m:t>-</m:t>
              </m:r>
              <m:f>
                <m:fPr>
                  <m:ctrlPr>
                    <w:rPr>
                      <w:rFonts w:ascii="Cambria Math" w:hAnsi="Cambria Math" w:cstheme="minorHAnsi"/>
                      <w:i/>
                    </w:rPr>
                  </m:ctrlPr>
                </m:fPr>
                <m:num>
                  <m:r>
                    <w:rPr>
                      <w:rFonts w:ascii="Cambria Math" w:hAnsi="Cambria Math" w:cstheme="minorHAnsi"/>
                    </w:rPr>
                    <m:t>iϕ</m:t>
                  </m:r>
                  <m:sSub>
                    <m:sSubPr>
                      <m:ctrlPr>
                        <w:rPr>
                          <w:rFonts w:ascii="Cambria Math" w:hAnsi="Cambria Math" w:cstheme="minorHAnsi"/>
                          <w:i/>
                        </w:rPr>
                      </m:ctrlPr>
                    </m:sSubPr>
                    <m:e>
                      <m:r>
                        <w:rPr>
                          <w:rFonts w:ascii="Cambria Math" w:hAnsi="Cambria Math" w:cstheme="minorHAnsi"/>
                        </w:rPr>
                        <m:t>s</m:t>
                      </m:r>
                    </m:e>
                    <m:sub>
                      <m:r>
                        <w:rPr>
                          <w:rFonts w:ascii="Cambria Math" w:hAnsi="Cambria Math" w:cstheme="minorHAnsi"/>
                        </w:rPr>
                        <m:t>z</m:t>
                      </m:r>
                    </m:sub>
                  </m:sSub>
                </m:num>
                <m:den>
                  <m:r>
                    <w:rPr>
                      <w:rFonts w:ascii="Cambria Math" w:hAnsi="Cambria Math" w:cstheme="minorHAnsi"/>
                    </w:rPr>
                    <m:t>2</m:t>
                  </m:r>
                </m:den>
              </m:f>
            </m:sup>
          </m:sSup>
          <m:d>
            <m:dPr>
              <m:ctrlPr>
                <w:rPr>
                  <w:rFonts w:ascii="Cambria Math" w:hAnsi="Cambria Math" w:cstheme="minorHAnsi"/>
                  <w:i/>
                </w:rPr>
              </m:ctrlPr>
            </m:dPr>
            <m:e>
              <m:r>
                <w:rPr>
                  <w:rFonts w:ascii="Cambria Math" w:hAnsi="Cambria Math" w:cstheme="minorHAnsi"/>
                </w:rPr>
                <m:t>ξ</m:t>
              </m:r>
              <m:sSub>
                <m:sSubPr>
                  <m:ctrlPr>
                    <w:rPr>
                      <w:rFonts w:ascii="Cambria Math" w:hAnsi="Cambria Math" w:cstheme="minorHAnsi"/>
                      <w:i/>
                    </w:rPr>
                  </m:ctrlPr>
                </m:sSubPr>
                <m:e>
                  <m:r>
                    <w:rPr>
                      <w:rFonts w:ascii="Cambria Math" w:hAnsi="Cambria Math" w:cstheme="minorHAnsi"/>
                    </w:rPr>
                    <m:t>σ</m:t>
                  </m:r>
                </m:e>
                <m:sub>
                  <m:r>
                    <w:rPr>
                      <w:rFonts w:ascii="Cambria Math" w:hAnsi="Cambria Math" w:cstheme="minorHAnsi"/>
                    </w:rPr>
                    <m:t>x</m:t>
                  </m:r>
                </m:sub>
              </m:sSub>
              <m:sSub>
                <m:sSubPr>
                  <m:ctrlPr>
                    <w:rPr>
                      <w:rFonts w:ascii="Cambria Math" w:hAnsi="Cambria Math" w:cstheme="minorHAnsi"/>
                      <w:i/>
                    </w:rPr>
                  </m:ctrlPr>
                </m:sSubPr>
                <m:e>
                  <m:r>
                    <w:rPr>
                      <w:rFonts w:ascii="Cambria Math" w:hAnsi="Cambria Math" w:cstheme="minorHAnsi"/>
                    </w:rPr>
                    <m:t>s</m:t>
                  </m:r>
                </m:e>
                <m:sub>
                  <m:r>
                    <w:rPr>
                      <w:rFonts w:ascii="Cambria Math" w:hAnsi="Cambria Math" w:cstheme="minorHAnsi"/>
                    </w:rPr>
                    <m:t>y</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σ</m:t>
                  </m:r>
                </m:e>
                <m:sub>
                  <m:r>
                    <w:rPr>
                      <w:rFonts w:ascii="Cambria Math" w:hAnsi="Cambria Math" w:cstheme="minorHAnsi"/>
                    </w:rPr>
                    <m:t>y</m:t>
                  </m:r>
                </m:sub>
              </m:sSub>
              <m:sSub>
                <m:sSubPr>
                  <m:ctrlPr>
                    <w:rPr>
                      <w:rFonts w:ascii="Cambria Math" w:hAnsi="Cambria Math" w:cstheme="minorHAnsi"/>
                      <w:i/>
                    </w:rPr>
                  </m:ctrlPr>
                </m:sSubPr>
                <m:e>
                  <m:r>
                    <w:rPr>
                      <w:rFonts w:ascii="Cambria Math" w:hAnsi="Cambria Math" w:cstheme="minorHAnsi"/>
                    </w:rPr>
                    <m:t>s</m:t>
                  </m:r>
                </m:e>
                <m:sub>
                  <m:r>
                    <w:rPr>
                      <w:rFonts w:ascii="Cambria Math" w:hAnsi="Cambria Math" w:cstheme="minorHAnsi"/>
                    </w:rPr>
                    <m:t>x</m:t>
                  </m:r>
                </m:sub>
              </m:sSub>
            </m:e>
          </m:d>
          <m:sSup>
            <m:sSupPr>
              <m:ctrlPr>
                <w:rPr>
                  <w:rFonts w:ascii="Cambria Math" w:hAnsi="Cambria Math" w:cstheme="minorHAnsi"/>
                  <w:i/>
                </w:rPr>
              </m:ctrlPr>
            </m:sSupPr>
            <m:e>
              <m:r>
                <w:rPr>
                  <w:rFonts w:ascii="Cambria Math" w:hAnsi="Cambria Math" w:cstheme="minorHAnsi"/>
                </w:rPr>
                <m:t>e</m:t>
              </m:r>
            </m:e>
            <m:sup>
              <m:f>
                <m:fPr>
                  <m:ctrlPr>
                    <w:rPr>
                      <w:rFonts w:ascii="Cambria Math" w:hAnsi="Cambria Math" w:cstheme="minorHAnsi"/>
                      <w:i/>
                    </w:rPr>
                  </m:ctrlPr>
                </m:fPr>
                <m:num>
                  <m:r>
                    <w:rPr>
                      <w:rFonts w:ascii="Cambria Math" w:hAnsi="Cambria Math" w:cstheme="minorHAnsi"/>
                    </w:rPr>
                    <m:t>iϕ</m:t>
                  </m:r>
                  <m:sSub>
                    <m:sSubPr>
                      <m:ctrlPr>
                        <w:rPr>
                          <w:rFonts w:ascii="Cambria Math" w:hAnsi="Cambria Math" w:cstheme="minorHAnsi"/>
                          <w:i/>
                        </w:rPr>
                      </m:ctrlPr>
                    </m:sSubPr>
                    <m:e>
                      <m:r>
                        <w:rPr>
                          <w:rFonts w:ascii="Cambria Math" w:hAnsi="Cambria Math" w:cstheme="minorHAnsi"/>
                        </w:rPr>
                        <m:t>s</m:t>
                      </m:r>
                    </m:e>
                    <m:sub>
                      <m:r>
                        <w:rPr>
                          <w:rFonts w:ascii="Cambria Math" w:hAnsi="Cambria Math" w:cstheme="minorHAnsi"/>
                        </w:rPr>
                        <m:t>z</m:t>
                      </m:r>
                    </m:sub>
                  </m:sSub>
                </m:num>
                <m:den>
                  <m:r>
                    <w:rPr>
                      <w:rFonts w:ascii="Cambria Math" w:hAnsi="Cambria Math" w:cstheme="minorHAnsi"/>
                    </w:rPr>
                    <m:t>2</m:t>
                  </m:r>
                </m:den>
              </m:f>
            </m:sup>
          </m:sSup>
          <m:r>
            <w:rPr>
              <w:rFonts w:ascii="Cambria Math" w:hAnsi="Cambria Math" w:cstheme="minorHAnsi"/>
            </w:rPr>
            <m:t>,</m:t>
          </m:r>
        </m:oMath>
      </m:oMathPara>
    </w:p>
    <w:p w14:paraId="37A0B435" w14:textId="3603AFEB" w:rsidR="0013589B" w:rsidRPr="00FB1344" w:rsidRDefault="0013589B" w:rsidP="0013589B">
      <w:pPr>
        <w:rPr>
          <w:rFonts w:cstheme="minorHAnsi"/>
        </w:rPr>
      </w:pPr>
      <w:r w:rsidRPr="00FB1344">
        <w:rPr>
          <w:rFonts w:cstheme="minorHAnsi"/>
        </w:rPr>
        <w:lastRenderedPageBreak/>
        <w:t xml:space="preserve">where the Pauli matrices </w:t>
      </w:r>
      <m:oMath>
        <m:r>
          <m:rPr>
            <m:sty m:val="bi"/>
          </m:rPr>
          <w:rPr>
            <w:rFonts w:ascii="Cambria Math" w:hAnsi="Cambria Math" w:cstheme="minorHAnsi"/>
          </w:rPr>
          <m:t>σ</m:t>
        </m:r>
      </m:oMath>
      <w:r w:rsidRPr="00FB1344">
        <w:rPr>
          <w:rFonts w:cstheme="minorHAnsi"/>
        </w:rPr>
        <w:t xml:space="preserve"> acts on the </w:t>
      </w:r>
      <w:r w:rsidRPr="00FB1344">
        <w:rPr>
          <w:rFonts w:cstheme="minorHAnsi" w:hint="eastAsia"/>
        </w:rPr>
        <w:t>sublattices</w:t>
      </w:r>
      <w:r w:rsidRPr="00FB1344">
        <w:rPr>
          <w:rFonts w:cstheme="minorHAnsi"/>
        </w:rPr>
        <w:t xml:space="preserve"> 1A and 1B </w:t>
      </w:r>
      <w:r w:rsidRPr="00FB1344">
        <w:rPr>
          <w:rFonts w:cstheme="minorHAnsi" w:hint="eastAsia"/>
        </w:rPr>
        <w:t xml:space="preserve">for the bottom layer </w:t>
      </w:r>
      <w:r w:rsidRPr="00FB1344">
        <w:rPr>
          <w:rFonts w:cstheme="minorHAnsi"/>
        </w:rPr>
        <w:t>(or 3A and 3B</w:t>
      </w:r>
      <w:r w:rsidRPr="00FB1344">
        <w:rPr>
          <w:rFonts w:cstheme="minorHAnsi" w:hint="eastAsia"/>
        </w:rPr>
        <w:t xml:space="preserve"> for the top layer</w:t>
      </w:r>
      <w:r w:rsidRPr="00FB1344">
        <w:rPr>
          <w:rFonts w:cstheme="minorHAnsi"/>
        </w:rPr>
        <w:t xml:space="preserve">) of RTG, </w:t>
      </w:r>
      <m:oMath>
        <m:r>
          <w:rPr>
            <w:rFonts w:ascii="Cambria Math" w:hAnsi="Cambria Math" w:cstheme="minorHAnsi"/>
          </w:rPr>
          <m:t>ϕ</m:t>
        </m:r>
      </m:oMath>
      <w:r w:rsidRPr="00FB1344">
        <w:rPr>
          <w:rFonts w:cstheme="minorHAnsi"/>
        </w:rPr>
        <w:t xml:space="preserve"> is the Rashba phase angle determined by the twist angle between TMD and graphene. Qualitatively, the low-energy </w:t>
      </w:r>
      <w:r w:rsidRPr="00FB1344">
        <w:rPr>
          <w:rFonts w:cstheme="minorHAnsi" w:hint="eastAsia"/>
        </w:rPr>
        <w:t>states without SOC are localized</w:t>
      </w:r>
      <w:r w:rsidRPr="00FB1344">
        <w:rPr>
          <w:rFonts w:cstheme="minorHAnsi"/>
        </w:rPr>
        <w:t xml:space="preserve"> </w:t>
      </w:r>
      <w:r w:rsidRPr="00FB1344">
        <w:rPr>
          <w:rFonts w:cstheme="minorHAnsi" w:hint="eastAsia"/>
        </w:rPr>
        <w:t xml:space="preserve">at the sublattices </w:t>
      </w:r>
      <w:r w:rsidRPr="00FB1344">
        <w:rPr>
          <w:rFonts w:cstheme="minorHAnsi"/>
        </w:rPr>
        <w:t>1A and 3B</w:t>
      </w:r>
      <w:r w:rsidRPr="00FB1344">
        <w:rPr>
          <w:rFonts w:cstheme="minorHAnsi"/>
        </w:rPr>
        <w:fldChar w:fldCharType="begin"/>
      </w:r>
      <w:r w:rsidR="00BF4618">
        <w:rPr>
          <w:rFonts w:cstheme="minorHAnsi"/>
        </w:rPr>
        <w:instrText xml:space="preserve"> ADDIN ZOTERO_ITEM CSL_CITATION {"citationID":"2EWPSEdW","properties":{"formattedCitation":"\\super 12\\nosupersub{}","plainCitation":"12","noteIndex":0},"citationItems":[{"id":491,"uris":["http://zotero.org/users/5406744/items/P2Q2M4WA"],"itemData":{"id":491,"type":"article-journal","abstract":"The ABC-stacked N-layer-graphene family of two-dimensional electron systems is described at low energies by two remarkably flat bands with Bloch states that have strongly momentum-dependent phase differences between carbon pi-orbital amplitudes on different layers, and large associated momentum space Berry phases. These properties are most easily understood using a simplified model with only nearest-neighbor inter-layer hopping which leads to gapless semiconductor electronic structure, with p^N dispersion in both conduction and valence bands. We report on a study of the electronic band structures of trilayers which uses ab initio density functional theory and k*p theory to fit the parameters of a pi-band tight-binding model. We find that when remote interlayer hopping is retained, the triple Dirac point of the simplified model is split into three single Dirac points located along the three KM directions. External potential differences between top and bottom layers are strongly screened by charge transfer within the trilayer, but still open an energy gap at overall neutrality.","container-title":"Physical Review B","DOI":"10.1103/PhysRevB.82.035409","ISSN":"1098-0121, 1550-235X","issue":"3","journalAbbreviation":"Phys. Rev. B","note":"arXiv: 1004.1481","page":"035409","source":"arXiv.org","title":"Band Structure of ABC-Stacked Graphene Trilayers","volume":"82","author":[{"family":"Zhang","given":"Fan"},{"family":"Sahu","given":"Bhagawan"},{"family":"Min","given":"Hongki"},{"family":"MacDonald","given":"Allan H."}],"issued":{"date-parts":[["2010",7,9]]}}}],"schema":"https://github.com/citation-style-language/schema/raw/master/csl-citation.json"} </w:instrText>
      </w:r>
      <w:r w:rsidRPr="00FB1344">
        <w:rPr>
          <w:rFonts w:cstheme="minorHAnsi"/>
        </w:rPr>
        <w:fldChar w:fldCharType="separate"/>
      </w:r>
      <w:r w:rsidR="00BF4618" w:rsidRPr="00BF4618">
        <w:rPr>
          <w:rFonts w:ascii="Calibri" w:hAnsi="Calibri" w:cs="Calibri"/>
          <w:kern w:val="0"/>
          <w:vertAlign w:val="superscript"/>
        </w:rPr>
        <w:t>12</w:t>
      </w:r>
      <w:r w:rsidRPr="00FB1344">
        <w:rPr>
          <w:rFonts w:cstheme="minorHAnsi"/>
        </w:rPr>
        <w:fldChar w:fldCharType="end"/>
      </w:r>
      <w:r w:rsidRPr="00FB1344">
        <w:rPr>
          <w:rFonts w:cstheme="minorHAnsi"/>
        </w:rPr>
        <w:t xml:space="preserve">, </w:t>
      </w:r>
      <w:r w:rsidRPr="00FB1344">
        <w:rPr>
          <w:rFonts w:cstheme="minorHAnsi" w:hint="eastAsia"/>
        </w:rPr>
        <w:t>and</w:t>
      </w:r>
      <w:r w:rsidRPr="00FB1344">
        <w:rPr>
          <w:rFonts w:cstheme="minorHAnsi"/>
        </w:rPr>
        <w:t xml:space="preserve">  </w:t>
      </w:r>
      <m:oMath>
        <m:sSub>
          <m:sSubPr>
            <m:ctrlPr>
              <w:rPr>
                <w:rFonts w:ascii="Cambria Math" w:hAnsi="Cambria Math" w:cstheme="minorHAnsi"/>
                <w:i/>
              </w:rPr>
            </m:ctrlPr>
          </m:sSubPr>
          <m:e>
            <m:r>
              <w:rPr>
                <w:rFonts w:ascii="Cambria Math" w:hAnsi="Cambria Math" w:cstheme="minorHAnsi"/>
              </w:rPr>
              <m:t>V</m:t>
            </m:r>
          </m:e>
          <m:sub>
            <m:r>
              <w:rPr>
                <w:rFonts w:ascii="Cambria Math" w:hAnsi="Cambria Math" w:cstheme="minorHAnsi"/>
              </w:rPr>
              <m:t>R</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σ</m:t>
            </m:r>
          </m:e>
          <m:sub>
            <m:r>
              <w:rPr>
                <w:rFonts w:ascii="Cambria Math" w:hAnsi="Cambria Math" w:cstheme="minorHAnsi"/>
              </w:rPr>
              <m:t>x</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σ</m:t>
            </m:r>
          </m:e>
          <m:sub>
            <m:r>
              <w:rPr>
                <w:rFonts w:ascii="Cambria Math" w:hAnsi="Cambria Math" w:cstheme="minorHAnsi"/>
              </w:rPr>
              <m:t>y</m:t>
            </m:r>
          </m:sub>
        </m:sSub>
      </m:oMath>
      <w:r w:rsidRPr="00FB1344">
        <w:rPr>
          <w:rFonts w:cstheme="minorHAnsi"/>
        </w:rPr>
        <w:t xml:space="preserve"> couples the 1A (or 3B) sublattice with higher-energy bands </w:t>
      </w:r>
      <w:r w:rsidRPr="00FB1344">
        <w:rPr>
          <w:rFonts w:cstheme="minorHAnsi" w:hint="eastAsia"/>
        </w:rPr>
        <w:t xml:space="preserve">partially formed by the sublattice </w:t>
      </w:r>
      <w:r w:rsidRPr="00FB1344">
        <w:rPr>
          <w:rFonts w:cstheme="minorHAnsi"/>
        </w:rPr>
        <w:t>1B (or 3A)</w:t>
      </w:r>
      <w:r w:rsidRPr="00FB1344">
        <w:rPr>
          <w:rFonts w:cstheme="minorHAnsi" w:hint="eastAsia"/>
        </w:rPr>
        <w:t>.</w:t>
      </w:r>
      <w:r w:rsidRPr="00FB1344">
        <w:rPr>
          <w:rFonts w:cstheme="minorHAnsi"/>
        </w:rPr>
        <w:t xml:space="preserve"> </w:t>
      </w:r>
      <w:r w:rsidRPr="00FB1344">
        <w:rPr>
          <w:rFonts w:cstheme="minorHAnsi" w:hint="eastAsia"/>
        </w:rPr>
        <w:t xml:space="preserve">Because the low-energy and high-energy bands are </w:t>
      </w:r>
      <w:r w:rsidRPr="00FB1344">
        <w:rPr>
          <w:rFonts w:cstheme="minorHAnsi"/>
        </w:rPr>
        <w:t>separated</w:t>
      </w:r>
      <w:r w:rsidRPr="00FB1344">
        <w:rPr>
          <w:rFonts w:cstheme="minorHAnsi" w:hint="eastAsia"/>
        </w:rPr>
        <w:t xml:space="preserve"> by at least </w:t>
      </w:r>
      <w:r w:rsidRPr="00FB1344">
        <w:rPr>
          <w:rFonts w:cstheme="minorHAnsi"/>
        </w:rPr>
        <w:t>~400 meV</w:t>
      </w:r>
      <w:r w:rsidRPr="00FB1344">
        <w:rPr>
          <w:rFonts w:cstheme="minorHAnsi" w:hint="eastAsia"/>
        </w:rPr>
        <w:t xml:space="preserve">, as </w:t>
      </w:r>
      <w:r w:rsidRPr="00FB1344">
        <w:rPr>
          <w:rFonts w:cstheme="minorHAnsi"/>
        </w:rPr>
        <w:t>determined by the nearest-neighbor interlayer hopping in multilayer graphene</w:t>
      </w:r>
      <w:r w:rsidRPr="00FB1344">
        <w:rPr>
          <w:rFonts w:cstheme="minorHAnsi"/>
        </w:rPr>
        <w:fldChar w:fldCharType="begin"/>
      </w:r>
      <w:r w:rsidR="00BF4618">
        <w:rPr>
          <w:rFonts w:cstheme="minorHAnsi"/>
        </w:rPr>
        <w:instrText xml:space="preserve"> ADDIN ZOTERO_ITEM CSL_CITATION {"citationID":"yFiXNf5N","properties":{"formattedCitation":"\\super 12,61\\nosupersub{}","plainCitation":"12,61","noteIndex":0},"citationItems":[{"id":491,"uris":["http://zotero.org/users/5406744/items/P2Q2M4WA"],"itemData":{"id":491,"type":"article-journal","abstract":"The ABC-stacked N-layer-graphene family of two-dimensional electron systems is described at low energies by two remarkably flat bands with Bloch states that have strongly momentum-dependent phase differences between carbon pi-orbital amplitudes on different layers, and large associated momentum space Berry phases. These properties are most easily understood using a simplified model with only nearest-neighbor inter-layer hopping which leads to gapless semiconductor electronic structure, with p^N dispersion in both conduction and valence bands. We report on a study of the electronic band structures of trilayers which uses ab initio density functional theory and k*p theory to fit the parameters of a pi-band tight-binding model. We find that when remote interlayer hopping is retained, the triple Dirac point of the simplified model is split into three single Dirac points located along the three KM directions. External potential differences between top and bottom layers are strongly screened by charge transfer within the trilayer, but still open an energy gap at overall neutrality.","container-title":"Physical Review B","DOI":"10.1103/PhysRevB.82.035409","ISSN":"1098-0121, 1550-235X","issue":"3","journalAbbreviation":"Phys. Rev. B","note":"arXiv: 1004.1481","page":"035409","source":"arXiv.org","title":"Band Structure of ABC-Stacked Graphene Trilayers","volume":"82","author":[{"family":"Zhang","given":"Fan"},{"family":"Sahu","given":"Bhagawan"},{"family":"Min","given":"Hongki"},{"family":"MacDonald","given":"Allan H."}],"issued":{"date-parts":[["2010",7,9]]}}},{"id":4855,"uris":["http://zotero.org/users/5406744/items/L4T9ZZQ9"],"itemData":{"id":4855,"type":"article-journal","abstract":"Monolayer graphene has no electronic band gap. Bilayer graphene does, and can be controlled by an electric field. And for trilayer graphene, infrared transmission measurements indicate both situations are possible depending on the stacking of the layers.","container-title":"Nature Physics","DOI":"10.1038/nphys2102","ISSN":"1745-2481","issue":"12","journalAbbreviation":"Nature Phys","language":"en","license":"2011 Springer Nature Limited","note":"publisher: Nature Publishing Group","page":"944-947","source":"www.nature.com","title":"Observation of an electrically tunable band gap in trilayer graphene","volume":"7","author":[{"family":"Lui","given":"Chun Hung"},{"family":"Li","given":"Zhiqiang"},{"family":"Mak","given":"Kin Fai"},{"family":"Cappelluti","given":"Emmanuele"},{"family":"Heinz","given":"Tony F."}],"issued":{"date-parts":[["2011",12]]}}}],"schema":"https://github.com/citation-style-language/schema/raw/master/csl-citation.json"} </w:instrText>
      </w:r>
      <w:r w:rsidRPr="00FB1344">
        <w:rPr>
          <w:rFonts w:cstheme="minorHAnsi"/>
        </w:rPr>
        <w:fldChar w:fldCharType="separate"/>
      </w:r>
      <w:r w:rsidR="00BF4618" w:rsidRPr="00BF4618">
        <w:rPr>
          <w:rFonts w:ascii="Calibri" w:hAnsi="Calibri" w:cs="Calibri"/>
          <w:kern w:val="0"/>
          <w:vertAlign w:val="superscript"/>
        </w:rPr>
        <w:t>12,61</w:t>
      </w:r>
      <w:r w:rsidRPr="00FB1344">
        <w:rPr>
          <w:rFonts w:cstheme="minorHAnsi"/>
        </w:rPr>
        <w:fldChar w:fldCharType="end"/>
      </w:r>
      <w:r w:rsidRPr="00FB1344">
        <w:rPr>
          <w:rFonts w:cstheme="minorHAnsi"/>
        </w:rPr>
        <w:t xml:space="preserve">, the effect of </w:t>
      </w:r>
      <m:oMath>
        <m:sSub>
          <m:sSubPr>
            <m:ctrlPr>
              <w:rPr>
                <w:rFonts w:ascii="Cambria Math" w:hAnsi="Cambria Math" w:cstheme="minorHAnsi"/>
                <w:i/>
              </w:rPr>
            </m:ctrlPr>
          </m:sSubPr>
          <m:e>
            <m:r>
              <w:rPr>
                <w:rFonts w:ascii="Cambria Math" w:hAnsi="Cambria Math" w:cstheme="minorHAnsi"/>
              </w:rPr>
              <m:t>V</m:t>
            </m:r>
          </m:e>
          <m:sub>
            <m:r>
              <w:rPr>
                <w:rFonts w:ascii="Cambria Math" w:hAnsi="Cambria Math" w:cstheme="minorHAnsi"/>
              </w:rPr>
              <m:t>R</m:t>
            </m:r>
          </m:sub>
        </m:sSub>
      </m:oMath>
      <w:r w:rsidRPr="00FB1344">
        <w:rPr>
          <w:rFonts w:cstheme="minorHAnsi"/>
        </w:rPr>
        <w:t xml:space="preserve"> on the low-energy band structure </w:t>
      </w:r>
      <w:r w:rsidRPr="00FB1344">
        <w:rPr>
          <w:rFonts w:cstheme="minorHAnsi" w:hint="eastAsia"/>
        </w:rPr>
        <w:t>is expected to be completely</w:t>
      </w:r>
      <w:r w:rsidRPr="00FB1344">
        <w:rPr>
          <w:rFonts w:cstheme="minorHAnsi"/>
        </w:rPr>
        <w:t xml:space="preserve"> negligible.</w:t>
      </w:r>
    </w:p>
    <w:p w14:paraId="2B2E3666" w14:textId="77777777" w:rsidR="0013589B" w:rsidRPr="00FB1344" w:rsidRDefault="0013589B" w:rsidP="0013589B">
      <w:pPr>
        <w:ind w:firstLine="720"/>
        <w:rPr>
          <w:rFonts w:cstheme="minorHAnsi"/>
        </w:rPr>
      </w:pPr>
      <w:r w:rsidRPr="00FB1344">
        <w:rPr>
          <w:rFonts w:cstheme="minorHAnsi"/>
        </w:rPr>
        <w:t xml:space="preserve">Now we quantitatively estimate the effect of </w:t>
      </w:r>
      <m:oMath>
        <m:sSub>
          <m:sSubPr>
            <m:ctrlPr>
              <w:rPr>
                <w:rFonts w:ascii="Cambria Math" w:hAnsi="Cambria Math" w:cstheme="minorHAnsi"/>
                <w:i/>
              </w:rPr>
            </m:ctrlPr>
          </m:sSubPr>
          <m:e>
            <m:r>
              <w:rPr>
                <w:rFonts w:ascii="Cambria Math" w:hAnsi="Cambria Math" w:cstheme="minorHAnsi"/>
              </w:rPr>
              <m:t>V</m:t>
            </m:r>
          </m:e>
          <m:sub>
            <m:r>
              <w:rPr>
                <w:rFonts w:ascii="Cambria Math" w:hAnsi="Cambria Math" w:cstheme="minorHAnsi"/>
              </w:rPr>
              <m:t>R</m:t>
            </m:r>
          </m:sub>
        </m:sSub>
      </m:oMath>
      <w:r w:rsidRPr="00FB1344">
        <w:rPr>
          <w:rFonts w:cstheme="minorHAnsi"/>
        </w:rPr>
        <w:t xml:space="preserve"> on the low-energy band structure as follows. We write the </w:t>
      </w:r>
      <w:r w:rsidRPr="00FB1344">
        <w:rPr>
          <w:rFonts w:cstheme="minorHAnsi" w:hint="eastAsia"/>
        </w:rPr>
        <w:t>full-band</w:t>
      </w:r>
      <w:r w:rsidRPr="00FB1344">
        <w:rPr>
          <w:rFonts w:cstheme="minorHAnsi"/>
        </w:rPr>
        <w:t xml:space="preserve"> Hamiltonian with the Rashba SOC </w:t>
      </w:r>
      <w:r w:rsidRPr="00FB1344">
        <w:rPr>
          <w:rFonts w:cstheme="minorHAnsi" w:hint="eastAsia"/>
        </w:rPr>
        <w:t>as follows</w:t>
      </w:r>
      <w:r w:rsidRPr="00FB1344">
        <w:rPr>
          <w:rFonts w:cstheme="minorHAnsi"/>
        </w:rPr>
        <w:t>:</w:t>
      </w:r>
    </w:p>
    <w:p w14:paraId="26E9C0D2" w14:textId="77777777" w:rsidR="0013589B" w:rsidRPr="00FB1344" w:rsidRDefault="0013589B" w:rsidP="0013589B">
      <w:pPr>
        <w:ind w:firstLine="720"/>
        <w:rPr>
          <w:rFonts w:cstheme="minorHAnsi"/>
        </w:rPr>
      </w:pPr>
      <m:oMathPara>
        <m:oMath>
          <m:r>
            <w:rPr>
              <w:rFonts w:ascii="Cambria Math" w:hAnsi="Cambria Math" w:cstheme="minorHAnsi"/>
            </w:rPr>
            <m:t>H=</m:t>
          </m:r>
          <m:d>
            <m:dPr>
              <m:ctrlPr>
                <w:rPr>
                  <w:rFonts w:ascii="Cambria Math" w:hAnsi="Cambria Math" w:cstheme="minorHAnsi"/>
                  <w:i/>
                  <w:iCs/>
                </w:rPr>
              </m:ctrlPr>
            </m:dPr>
            <m:e>
              <m:m>
                <m:mPr>
                  <m:mcs>
                    <m:mc>
                      <m:mcPr>
                        <m:count m:val="2"/>
                        <m:mcJc m:val="center"/>
                      </m:mcPr>
                    </m:mc>
                  </m:mcs>
                  <m:ctrlPr>
                    <w:rPr>
                      <w:rFonts w:ascii="Cambria Math" w:hAnsi="Cambria Math" w:cstheme="minorHAnsi"/>
                      <w:i/>
                      <w:iCs/>
                    </w:rPr>
                  </m:ctrlPr>
                </m:mPr>
                <m:mr>
                  <m:e>
                    <m:sSub>
                      <m:sSubPr>
                        <m:ctrlPr>
                          <w:rPr>
                            <w:rFonts w:ascii="Cambria Math" w:hAnsi="Cambria Math" w:cstheme="minorHAnsi"/>
                            <w:i/>
                            <w:iCs/>
                          </w:rPr>
                        </m:ctrlPr>
                      </m:sSubPr>
                      <m:e>
                        <m:r>
                          <w:rPr>
                            <w:rFonts w:ascii="Cambria Math" w:hAnsi="Cambria Math" w:cstheme="minorHAnsi"/>
                          </w:rPr>
                          <m:t>H</m:t>
                        </m:r>
                      </m:e>
                      <m:sub>
                        <m:r>
                          <w:rPr>
                            <w:rFonts w:ascii="Cambria Math" w:hAnsi="Cambria Math" w:cstheme="minorHAnsi"/>
                          </w:rPr>
                          <m:t>PP</m:t>
                        </m:r>
                      </m:sub>
                    </m:sSub>
                  </m:e>
                  <m:e>
                    <m:sSub>
                      <m:sSubPr>
                        <m:ctrlPr>
                          <w:rPr>
                            <w:rFonts w:ascii="Cambria Math" w:hAnsi="Cambria Math" w:cstheme="minorHAnsi"/>
                            <w:i/>
                            <w:iCs/>
                          </w:rPr>
                        </m:ctrlPr>
                      </m:sSubPr>
                      <m:e>
                        <m:r>
                          <w:rPr>
                            <w:rFonts w:ascii="Cambria Math" w:hAnsi="Cambria Math" w:cstheme="minorHAnsi"/>
                          </w:rPr>
                          <m:t>H</m:t>
                        </m:r>
                      </m:e>
                      <m:sub>
                        <m:r>
                          <w:rPr>
                            <w:rFonts w:ascii="Cambria Math" w:hAnsi="Cambria Math" w:cstheme="minorHAnsi"/>
                          </w:rPr>
                          <m:t>PQ</m:t>
                        </m:r>
                      </m:sub>
                    </m:sSub>
                  </m:e>
                </m:mr>
                <m:mr>
                  <m:e>
                    <m:sSub>
                      <m:sSubPr>
                        <m:ctrlPr>
                          <w:rPr>
                            <w:rFonts w:ascii="Cambria Math" w:hAnsi="Cambria Math" w:cstheme="minorHAnsi"/>
                            <w:i/>
                            <w:iCs/>
                          </w:rPr>
                        </m:ctrlPr>
                      </m:sSubPr>
                      <m:e>
                        <m:r>
                          <w:rPr>
                            <w:rFonts w:ascii="Cambria Math" w:hAnsi="Cambria Math" w:cstheme="minorHAnsi"/>
                          </w:rPr>
                          <m:t>H</m:t>
                        </m:r>
                      </m:e>
                      <m:sub>
                        <m:r>
                          <w:rPr>
                            <w:rFonts w:ascii="Cambria Math" w:hAnsi="Cambria Math" w:cstheme="minorHAnsi"/>
                          </w:rPr>
                          <m:t>QP</m:t>
                        </m:r>
                      </m:sub>
                    </m:sSub>
                  </m:e>
                  <m:e>
                    <m:sSub>
                      <m:sSubPr>
                        <m:ctrlPr>
                          <w:rPr>
                            <w:rFonts w:ascii="Cambria Math" w:hAnsi="Cambria Math" w:cstheme="minorHAnsi"/>
                            <w:i/>
                            <w:iCs/>
                          </w:rPr>
                        </m:ctrlPr>
                      </m:sSubPr>
                      <m:e>
                        <m:r>
                          <w:rPr>
                            <w:rFonts w:ascii="Cambria Math" w:hAnsi="Cambria Math" w:cstheme="minorHAnsi"/>
                          </w:rPr>
                          <m:t>H</m:t>
                        </m:r>
                      </m:e>
                      <m:sub>
                        <m:r>
                          <w:rPr>
                            <w:rFonts w:ascii="Cambria Math" w:hAnsi="Cambria Math" w:cstheme="minorHAnsi"/>
                          </w:rPr>
                          <m:t>QQ</m:t>
                        </m:r>
                      </m:sub>
                    </m:sSub>
                  </m:e>
                </m:mr>
              </m:m>
            </m:e>
          </m:d>
          <m:r>
            <w:rPr>
              <w:rFonts w:ascii="Cambria Math" w:hAnsi="Cambria Math" w:cstheme="minorHAnsi"/>
            </w:rPr>
            <m:t>,</m:t>
          </m:r>
        </m:oMath>
      </m:oMathPara>
    </w:p>
    <w:p w14:paraId="709702FD" w14:textId="77777777" w:rsidR="0013589B" w:rsidRPr="00FB1344" w:rsidRDefault="0013589B" w:rsidP="0013589B">
      <w:pPr>
        <w:rPr>
          <w:rFonts w:cstheme="minorHAnsi"/>
          <w:iCs/>
        </w:rPr>
      </w:pPr>
      <w:r w:rsidRPr="00FB1344">
        <w:rPr>
          <w:rFonts w:cstheme="minorHAnsi"/>
          <w:iCs/>
        </w:rPr>
        <w:t xml:space="preserve">where </w:t>
      </w:r>
      <m:oMath>
        <m:r>
          <w:rPr>
            <w:rFonts w:ascii="Cambria Math" w:hAnsi="Cambria Math" w:cstheme="minorHAnsi"/>
          </w:rPr>
          <m:t>P</m:t>
        </m:r>
      </m:oMath>
      <w:r w:rsidRPr="00FB1344">
        <w:rPr>
          <w:rFonts w:cstheme="minorHAnsi"/>
          <w:iCs/>
        </w:rPr>
        <w:t xml:space="preserve"> is the subspace spanned by the low-energy orbitals </w:t>
      </w:r>
      <w:r w:rsidRPr="00FB1344">
        <w:rPr>
          <w:rFonts w:cstheme="minorHAnsi" w:hint="eastAsia"/>
          <w:iCs/>
        </w:rPr>
        <w:t xml:space="preserve">at </w:t>
      </w:r>
      <w:r w:rsidRPr="00FB1344">
        <w:rPr>
          <w:rFonts w:cstheme="minorHAnsi"/>
          <w:iCs/>
        </w:rPr>
        <w:t>1A and 3B</w:t>
      </w:r>
      <w:r w:rsidRPr="00FB1344">
        <w:rPr>
          <w:rFonts w:cstheme="minorHAnsi" w:hint="eastAsia"/>
          <w:iCs/>
        </w:rPr>
        <w:t xml:space="preserve"> sublattices</w:t>
      </w:r>
      <w:r w:rsidRPr="00FB1344">
        <w:rPr>
          <w:rFonts w:cstheme="minorHAnsi"/>
          <w:iCs/>
        </w:rPr>
        <w:t xml:space="preserve">, and </w:t>
      </w:r>
      <m:oMath>
        <m:r>
          <w:rPr>
            <w:rFonts w:ascii="Cambria Math" w:hAnsi="Cambria Math" w:cstheme="minorHAnsi"/>
          </w:rPr>
          <m:t>Q</m:t>
        </m:r>
      </m:oMath>
      <w:r w:rsidRPr="00FB1344">
        <w:rPr>
          <w:rFonts w:cstheme="minorHAnsi"/>
          <w:iCs/>
        </w:rPr>
        <w:t xml:space="preserve"> is the subspace spanned by the rest of the orbitals. </w:t>
      </w:r>
      <m:oMath>
        <m:sSub>
          <m:sSubPr>
            <m:ctrlPr>
              <w:rPr>
                <w:rFonts w:ascii="Cambria Math" w:hAnsi="Cambria Math" w:cstheme="minorHAnsi"/>
                <w:i/>
              </w:rPr>
            </m:ctrlPr>
          </m:sSubPr>
          <m:e>
            <m:r>
              <w:rPr>
                <w:rFonts w:ascii="Cambria Math" w:hAnsi="Cambria Math" w:cstheme="minorHAnsi"/>
              </w:rPr>
              <m:t>V</m:t>
            </m:r>
          </m:e>
          <m:sub>
            <m:r>
              <w:rPr>
                <w:rFonts w:ascii="Cambria Math" w:hAnsi="Cambria Math" w:cstheme="minorHAnsi"/>
              </w:rPr>
              <m:t>R</m:t>
            </m:r>
          </m:sub>
        </m:sSub>
      </m:oMath>
      <w:r w:rsidRPr="00FB1344">
        <w:rPr>
          <w:rFonts w:cstheme="minorHAnsi"/>
        </w:rPr>
        <w:t xml:space="preserve"> is included in </w:t>
      </w:r>
      <m:oMath>
        <m:sSub>
          <m:sSubPr>
            <m:ctrlPr>
              <w:rPr>
                <w:rFonts w:ascii="Cambria Math" w:hAnsi="Cambria Math" w:cstheme="minorHAnsi"/>
                <w:i/>
                <w:iCs/>
              </w:rPr>
            </m:ctrlPr>
          </m:sSubPr>
          <m:e>
            <m:r>
              <w:rPr>
                <w:rFonts w:ascii="Cambria Math" w:hAnsi="Cambria Math" w:cstheme="minorHAnsi"/>
              </w:rPr>
              <m:t>H</m:t>
            </m:r>
          </m:e>
          <m:sub>
            <m:r>
              <w:rPr>
                <w:rFonts w:ascii="Cambria Math" w:hAnsi="Cambria Math" w:cstheme="minorHAnsi"/>
              </w:rPr>
              <m:t>PQ</m:t>
            </m:r>
          </m:sub>
        </m:sSub>
      </m:oMath>
      <w:r w:rsidRPr="00FB1344">
        <w:rPr>
          <w:rFonts w:cstheme="minorHAnsi"/>
          <w:iCs/>
        </w:rPr>
        <w:t xml:space="preserve"> and </w:t>
      </w:r>
      <m:oMath>
        <m:sSub>
          <m:sSubPr>
            <m:ctrlPr>
              <w:rPr>
                <w:rFonts w:ascii="Cambria Math" w:hAnsi="Cambria Math" w:cstheme="minorHAnsi"/>
                <w:i/>
                <w:iCs/>
              </w:rPr>
            </m:ctrlPr>
          </m:sSubPr>
          <m:e>
            <m:r>
              <w:rPr>
                <w:rFonts w:ascii="Cambria Math" w:hAnsi="Cambria Math" w:cstheme="minorHAnsi"/>
              </w:rPr>
              <m:t>H</m:t>
            </m:r>
          </m:e>
          <m:sub>
            <m:r>
              <w:rPr>
                <w:rFonts w:ascii="Cambria Math" w:hAnsi="Cambria Math" w:cstheme="minorHAnsi"/>
              </w:rPr>
              <m:t>QP</m:t>
            </m:r>
          </m:sub>
        </m:sSub>
      </m:oMath>
      <w:r w:rsidRPr="00FB1344">
        <w:rPr>
          <w:rFonts w:cstheme="minorHAnsi"/>
          <w:iCs/>
        </w:rPr>
        <w:t xml:space="preserve">. </w:t>
      </w:r>
      <w:r w:rsidRPr="00FB1344">
        <w:rPr>
          <w:rFonts w:cstheme="minorHAnsi" w:hint="eastAsia"/>
          <w:iCs/>
        </w:rPr>
        <w:t xml:space="preserve">Using </w:t>
      </w:r>
      <w:r w:rsidRPr="00FB1344">
        <w:rPr>
          <w:rFonts w:cstheme="minorHAnsi"/>
          <w:iCs/>
        </w:rPr>
        <w:t>the perturbation theory discussed in the previous section, we</w:t>
      </w:r>
      <w:r w:rsidRPr="00FB1344">
        <w:rPr>
          <w:rFonts w:cstheme="minorHAnsi" w:hint="eastAsia"/>
          <w:iCs/>
        </w:rPr>
        <w:t xml:space="preserve"> obtain</w:t>
      </w:r>
    </w:p>
    <w:p w14:paraId="6C5AA7C8" w14:textId="77777777" w:rsidR="0013589B" w:rsidRPr="00FB1344" w:rsidRDefault="00000000" w:rsidP="0013589B">
      <w:pPr>
        <w:ind w:firstLine="720"/>
        <w:rPr>
          <w:rFonts w:cstheme="minorHAnsi"/>
        </w:rPr>
      </w:pPr>
      <m:oMathPara>
        <m:oMath>
          <m:sSub>
            <m:sSubPr>
              <m:ctrlPr>
                <w:rPr>
                  <w:rFonts w:ascii="Cambria Math" w:hAnsi="Cambria Math" w:cstheme="minorHAnsi"/>
                  <w:i/>
                  <w:iCs/>
                </w:rPr>
              </m:ctrlPr>
            </m:sSubPr>
            <m:e>
              <m:r>
                <w:rPr>
                  <w:rFonts w:ascii="Cambria Math" w:hAnsi="Cambria Math" w:cstheme="minorHAnsi"/>
                </w:rPr>
                <m:t>H</m:t>
              </m:r>
            </m:e>
            <m:sub>
              <m:r>
                <m:rPr>
                  <m:sty m:val="p"/>
                </m:rPr>
                <w:rPr>
                  <w:rFonts w:ascii="Cambria Math" w:hAnsi="Cambria Math" w:cstheme="minorHAnsi"/>
                </w:rPr>
                <m:t>eff</m:t>
              </m:r>
            </m:sub>
          </m:sSub>
          <m:r>
            <w:rPr>
              <w:rFonts w:ascii="Cambria Math" w:hAnsi="Cambria Math" w:cstheme="minorHAnsi"/>
            </w:rPr>
            <m:t xml:space="preserve">= </m:t>
          </m:r>
          <m:sSup>
            <m:sSupPr>
              <m:ctrlPr>
                <w:rPr>
                  <w:rFonts w:ascii="Cambria Math" w:hAnsi="Cambria Math" w:cstheme="minorHAnsi"/>
                  <w:i/>
                  <w:iCs/>
                </w:rPr>
              </m:ctrlPr>
            </m:sSupPr>
            <m:e>
              <m:d>
                <m:dPr>
                  <m:ctrlPr>
                    <w:rPr>
                      <w:rFonts w:ascii="Cambria Math" w:hAnsi="Cambria Math" w:cstheme="minorHAnsi"/>
                      <w:i/>
                      <w:iCs/>
                    </w:rPr>
                  </m:ctrlPr>
                </m:dPr>
                <m:e>
                  <m:r>
                    <w:rPr>
                      <w:rFonts w:ascii="Cambria Math" w:hAnsi="Cambria Math" w:cstheme="minorHAnsi"/>
                    </w:rPr>
                    <m:t>I+</m:t>
                  </m:r>
                  <m:sSub>
                    <m:sSubPr>
                      <m:ctrlPr>
                        <w:rPr>
                          <w:rFonts w:ascii="Cambria Math" w:hAnsi="Cambria Math" w:cstheme="minorHAnsi"/>
                          <w:i/>
                          <w:iCs/>
                        </w:rPr>
                      </m:ctrlPr>
                    </m:sSubPr>
                    <m:e>
                      <m:r>
                        <w:rPr>
                          <w:rFonts w:ascii="Cambria Math" w:hAnsi="Cambria Math" w:cstheme="minorHAnsi"/>
                        </w:rPr>
                        <m:t>H</m:t>
                      </m:r>
                    </m:e>
                    <m:sub>
                      <m:r>
                        <w:rPr>
                          <w:rFonts w:ascii="Cambria Math" w:hAnsi="Cambria Math" w:cstheme="minorHAnsi"/>
                        </w:rPr>
                        <m:t>PQ</m:t>
                      </m:r>
                    </m:sub>
                  </m:sSub>
                  <m:sSubSup>
                    <m:sSubSupPr>
                      <m:ctrlPr>
                        <w:rPr>
                          <w:rFonts w:ascii="Cambria Math" w:hAnsi="Cambria Math" w:cstheme="minorHAnsi"/>
                          <w:i/>
                          <w:iCs/>
                        </w:rPr>
                      </m:ctrlPr>
                    </m:sSubSupPr>
                    <m:e>
                      <m:r>
                        <w:rPr>
                          <w:rFonts w:ascii="Cambria Math" w:hAnsi="Cambria Math" w:cstheme="minorHAnsi"/>
                        </w:rPr>
                        <m:t>H</m:t>
                      </m:r>
                    </m:e>
                    <m:sub>
                      <m:r>
                        <w:rPr>
                          <w:rFonts w:ascii="Cambria Math" w:hAnsi="Cambria Math" w:cstheme="minorHAnsi"/>
                        </w:rPr>
                        <m:t>QQ</m:t>
                      </m:r>
                    </m:sub>
                    <m:sup>
                      <m:r>
                        <w:rPr>
                          <w:rFonts w:ascii="Cambria Math" w:hAnsi="Cambria Math" w:cstheme="minorHAnsi"/>
                        </w:rPr>
                        <m:t>-2</m:t>
                      </m:r>
                    </m:sup>
                  </m:sSubSup>
                  <m:sSubSup>
                    <m:sSubSupPr>
                      <m:ctrlPr>
                        <w:rPr>
                          <w:rFonts w:ascii="Cambria Math" w:hAnsi="Cambria Math" w:cstheme="minorHAnsi"/>
                          <w:i/>
                          <w:iCs/>
                        </w:rPr>
                      </m:ctrlPr>
                    </m:sSubSupPr>
                    <m:e>
                      <m:r>
                        <w:rPr>
                          <w:rFonts w:ascii="Cambria Math" w:hAnsi="Cambria Math" w:cstheme="minorHAnsi"/>
                        </w:rPr>
                        <m:t>H</m:t>
                      </m:r>
                    </m:e>
                    <m:sub>
                      <m:r>
                        <w:rPr>
                          <w:rFonts w:ascii="Cambria Math" w:hAnsi="Cambria Math" w:cstheme="minorHAnsi"/>
                        </w:rPr>
                        <m:t>PQ</m:t>
                      </m:r>
                    </m:sub>
                    <m:sup>
                      <m:r>
                        <w:rPr>
                          <w:rFonts w:ascii="Cambria Math" w:hAnsi="Cambria Math" w:cstheme="minorHAnsi"/>
                        </w:rPr>
                        <m:t>†</m:t>
                      </m:r>
                    </m:sup>
                  </m:sSubSup>
                </m:e>
              </m:d>
            </m:e>
            <m:sup>
              <m:r>
                <w:rPr>
                  <w:rFonts w:ascii="Cambria Math" w:hAnsi="Cambria Math" w:cstheme="minorHAnsi"/>
                </w:rPr>
                <m:t>-1</m:t>
              </m:r>
            </m:sup>
          </m:sSup>
          <m:d>
            <m:dPr>
              <m:ctrlPr>
                <w:rPr>
                  <w:rFonts w:ascii="Cambria Math" w:hAnsi="Cambria Math" w:cstheme="minorHAnsi"/>
                  <w:i/>
                  <w:iCs/>
                </w:rPr>
              </m:ctrlPr>
            </m:dPr>
            <m:e>
              <m:sSub>
                <m:sSubPr>
                  <m:ctrlPr>
                    <w:rPr>
                      <w:rFonts w:ascii="Cambria Math" w:hAnsi="Cambria Math" w:cstheme="minorHAnsi"/>
                      <w:i/>
                      <w:iCs/>
                    </w:rPr>
                  </m:ctrlPr>
                </m:sSubPr>
                <m:e>
                  <m:r>
                    <w:rPr>
                      <w:rFonts w:ascii="Cambria Math" w:hAnsi="Cambria Math" w:cstheme="minorHAnsi"/>
                    </w:rPr>
                    <m:t>H</m:t>
                  </m:r>
                </m:e>
                <m:sub>
                  <m:r>
                    <w:rPr>
                      <w:rFonts w:ascii="Cambria Math" w:hAnsi="Cambria Math" w:cstheme="minorHAnsi"/>
                    </w:rPr>
                    <m:t>PP</m:t>
                  </m:r>
                </m:sub>
              </m:sSub>
              <m:r>
                <w:rPr>
                  <w:rFonts w:ascii="Cambria Math" w:hAnsi="Cambria Math" w:cstheme="minorHAnsi"/>
                </w:rPr>
                <m:t>-</m:t>
              </m:r>
              <m:sSub>
                <m:sSubPr>
                  <m:ctrlPr>
                    <w:rPr>
                      <w:rFonts w:ascii="Cambria Math" w:hAnsi="Cambria Math" w:cstheme="minorHAnsi"/>
                      <w:i/>
                      <w:iCs/>
                    </w:rPr>
                  </m:ctrlPr>
                </m:sSubPr>
                <m:e>
                  <m:r>
                    <w:rPr>
                      <w:rFonts w:ascii="Cambria Math" w:hAnsi="Cambria Math" w:cstheme="minorHAnsi"/>
                    </w:rPr>
                    <m:t>H</m:t>
                  </m:r>
                </m:e>
                <m:sub>
                  <m:r>
                    <w:rPr>
                      <w:rFonts w:ascii="Cambria Math" w:hAnsi="Cambria Math" w:cstheme="minorHAnsi"/>
                    </w:rPr>
                    <m:t>PQ</m:t>
                  </m:r>
                </m:sub>
              </m:sSub>
              <m:sSubSup>
                <m:sSubSupPr>
                  <m:ctrlPr>
                    <w:rPr>
                      <w:rFonts w:ascii="Cambria Math" w:hAnsi="Cambria Math" w:cstheme="minorHAnsi"/>
                      <w:i/>
                      <w:iCs/>
                    </w:rPr>
                  </m:ctrlPr>
                </m:sSubSupPr>
                <m:e>
                  <m:r>
                    <w:rPr>
                      <w:rFonts w:ascii="Cambria Math" w:hAnsi="Cambria Math" w:cstheme="minorHAnsi"/>
                    </w:rPr>
                    <m:t>H</m:t>
                  </m:r>
                </m:e>
                <m:sub>
                  <m:r>
                    <w:rPr>
                      <w:rFonts w:ascii="Cambria Math" w:hAnsi="Cambria Math" w:cstheme="minorHAnsi"/>
                    </w:rPr>
                    <m:t>QQ</m:t>
                  </m:r>
                </m:sub>
                <m:sup>
                  <m:r>
                    <w:rPr>
                      <w:rFonts w:ascii="Cambria Math" w:hAnsi="Cambria Math" w:cstheme="minorHAnsi"/>
                    </w:rPr>
                    <m:t>-1</m:t>
                  </m:r>
                </m:sup>
              </m:sSubSup>
              <m:sSubSup>
                <m:sSubSupPr>
                  <m:ctrlPr>
                    <w:rPr>
                      <w:rFonts w:ascii="Cambria Math" w:hAnsi="Cambria Math" w:cstheme="minorHAnsi"/>
                      <w:i/>
                      <w:iCs/>
                    </w:rPr>
                  </m:ctrlPr>
                </m:sSubSupPr>
                <m:e>
                  <m:r>
                    <w:rPr>
                      <w:rFonts w:ascii="Cambria Math" w:hAnsi="Cambria Math" w:cstheme="minorHAnsi"/>
                    </w:rPr>
                    <m:t>H</m:t>
                  </m:r>
                </m:e>
                <m:sub>
                  <m:r>
                    <w:rPr>
                      <w:rFonts w:ascii="Cambria Math" w:hAnsi="Cambria Math" w:cstheme="minorHAnsi"/>
                    </w:rPr>
                    <m:t>PQ</m:t>
                  </m:r>
                </m:sub>
                <m:sup>
                  <m:r>
                    <w:rPr>
                      <w:rFonts w:ascii="Cambria Math" w:hAnsi="Cambria Math" w:cstheme="minorHAnsi"/>
                    </w:rPr>
                    <m:t>†</m:t>
                  </m:r>
                </m:sup>
              </m:sSubSup>
            </m:e>
          </m:d>
          <m:r>
            <w:rPr>
              <w:rFonts w:ascii="Cambria Math" w:hAnsi="Cambria Math" w:cstheme="minorHAnsi"/>
            </w:rPr>
            <m:t xml:space="preserve">≈ </m:t>
          </m:r>
          <m:sSub>
            <m:sSubPr>
              <m:ctrlPr>
                <w:rPr>
                  <w:rFonts w:ascii="Cambria Math" w:hAnsi="Cambria Math" w:cstheme="minorHAnsi"/>
                  <w:i/>
                  <w:iCs/>
                </w:rPr>
              </m:ctrlPr>
            </m:sSubPr>
            <m:e>
              <m:r>
                <w:rPr>
                  <w:rFonts w:ascii="Cambria Math" w:hAnsi="Cambria Math" w:cstheme="minorHAnsi"/>
                </w:rPr>
                <m:t>H</m:t>
              </m:r>
            </m:e>
            <m:sub>
              <m:r>
                <w:rPr>
                  <w:rFonts w:ascii="Cambria Math" w:hAnsi="Cambria Math" w:cstheme="minorHAnsi"/>
                </w:rPr>
                <m:t>PP</m:t>
              </m:r>
            </m:sub>
          </m:sSub>
          <m:r>
            <w:rPr>
              <w:rFonts w:ascii="Cambria Math" w:hAnsi="Cambria Math" w:cstheme="minorHAnsi"/>
            </w:rPr>
            <m:t>-</m:t>
          </m:r>
          <m:sSub>
            <m:sSubPr>
              <m:ctrlPr>
                <w:rPr>
                  <w:rFonts w:ascii="Cambria Math" w:hAnsi="Cambria Math" w:cstheme="minorHAnsi"/>
                  <w:i/>
                  <w:iCs/>
                </w:rPr>
              </m:ctrlPr>
            </m:sSubPr>
            <m:e>
              <m:r>
                <w:rPr>
                  <w:rFonts w:ascii="Cambria Math" w:hAnsi="Cambria Math" w:cstheme="minorHAnsi"/>
                </w:rPr>
                <m:t>H</m:t>
              </m:r>
            </m:e>
            <m:sub>
              <m:r>
                <w:rPr>
                  <w:rFonts w:ascii="Cambria Math" w:hAnsi="Cambria Math" w:cstheme="minorHAnsi"/>
                </w:rPr>
                <m:t>PQ</m:t>
              </m:r>
            </m:sub>
          </m:sSub>
          <m:sSubSup>
            <m:sSubSupPr>
              <m:ctrlPr>
                <w:rPr>
                  <w:rFonts w:ascii="Cambria Math" w:hAnsi="Cambria Math" w:cstheme="minorHAnsi"/>
                  <w:i/>
                  <w:iCs/>
                </w:rPr>
              </m:ctrlPr>
            </m:sSubSupPr>
            <m:e>
              <m:r>
                <w:rPr>
                  <w:rFonts w:ascii="Cambria Math" w:hAnsi="Cambria Math" w:cstheme="minorHAnsi"/>
                </w:rPr>
                <m:t>H</m:t>
              </m:r>
            </m:e>
            <m:sub>
              <m:r>
                <w:rPr>
                  <w:rFonts w:ascii="Cambria Math" w:hAnsi="Cambria Math" w:cstheme="minorHAnsi"/>
                </w:rPr>
                <m:t>QQ</m:t>
              </m:r>
            </m:sub>
            <m:sup>
              <m:r>
                <w:rPr>
                  <w:rFonts w:ascii="Cambria Math" w:hAnsi="Cambria Math" w:cstheme="minorHAnsi"/>
                </w:rPr>
                <m:t>-1</m:t>
              </m:r>
            </m:sup>
          </m:sSubSup>
          <m:sSubSup>
            <m:sSubSupPr>
              <m:ctrlPr>
                <w:rPr>
                  <w:rFonts w:ascii="Cambria Math" w:hAnsi="Cambria Math" w:cstheme="minorHAnsi"/>
                  <w:i/>
                  <w:iCs/>
                </w:rPr>
              </m:ctrlPr>
            </m:sSubSupPr>
            <m:e>
              <m:r>
                <w:rPr>
                  <w:rFonts w:ascii="Cambria Math" w:hAnsi="Cambria Math" w:cstheme="minorHAnsi"/>
                </w:rPr>
                <m:t>H</m:t>
              </m:r>
            </m:e>
            <m:sub>
              <m:r>
                <w:rPr>
                  <w:rFonts w:ascii="Cambria Math" w:hAnsi="Cambria Math" w:cstheme="minorHAnsi"/>
                </w:rPr>
                <m:t>PQ</m:t>
              </m:r>
            </m:sub>
            <m:sup>
              <m:r>
                <w:rPr>
                  <w:rFonts w:ascii="Cambria Math" w:hAnsi="Cambria Math" w:cstheme="minorHAnsi"/>
                </w:rPr>
                <m:t>†</m:t>
              </m:r>
            </m:sup>
          </m:sSubSup>
          <m:r>
            <w:rPr>
              <w:rFonts w:ascii="Cambria Math" w:hAnsi="Cambria Math" w:cstheme="minorHAnsi"/>
            </w:rPr>
            <m:t>.</m:t>
          </m:r>
        </m:oMath>
      </m:oMathPara>
    </w:p>
    <w:p w14:paraId="6CE397DE" w14:textId="77777777" w:rsidR="0013589B" w:rsidRPr="00FB1344" w:rsidRDefault="0013589B" w:rsidP="0013589B">
      <w:pPr>
        <w:ind w:firstLine="720"/>
        <w:jc w:val="both"/>
        <w:rPr>
          <w:rFonts w:cstheme="minorHAnsi"/>
          <w:iCs/>
        </w:rPr>
      </w:pPr>
      <w:r w:rsidRPr="00FB1344">
        <w:rPr>
          <w:rFonts w:cstheme="minorHAnsi"/>
          <w:iCs/>
        </w:rPr>
        <w:t xml:space="preserve">Thus, the energy scale of the effect of </w:t>
      </w:r>
      <m:oMath>
        <m:sSub>
          <m:sSubPr>
            <m:ctrlPr>
              <w:rPr>
                <w:rFonts w:ascii="Cambria Math" w:hAnsi="Cambria Math" w:cstheme="minorHAnsi"/>
                <w:i/>
                <w:iCs/>
              </w:rPr>
            </m:ctrlPr>
          </m:sSubPr>
          <m:e>
            <m:r>
              <w:rPr>
                <w:rFonts w:ascii="Cambria Math" w:hAnsi="Cambria Math" w:cstheme="minorHAnsi"/>
              </w:rPr>
              <m:t>V</m:t>
            </m:r>
          </m:e>
          <m:sub>
            <m:r>
              <w:rPr>
                <w:rFonts w:ascii="Cambria Math" w:hAnsi="Cambria Math" w:cstheme="minorHAnsi"/>
              </w:rPr>
              <m:t>R</m:t>
            </m:r>
          </m:sub>
        </m:sSub>
      </m:oMath>
      <w:r w:rsidRPr="00FB1344">
        <w:rPr>
          <w:rFonts w:cstheme="minorHAnsi"/>
          <w:iCs/>
        </w:rPr>
        <w:t xml:space="preserve"> to the low-energy band structure </w:t>
      </w:r>
      <m:oMath>
        <m:sSub>
          <m:sSubPr>
            <m:ctrlPr>
              <w:rPr>
                <w:rFonts w:ascii="Cambria Math" w:hAnsi="Cambria Math" w:cstheme="minorHAnsi"/>
                <w:i/>
                <w:iCs/>
              </w:rPr>
            </m:ctrlPr>
          </m:sSubPr>
          <m:e>
            <m:r>
              <w:rPr>
                <w:rFonts w:ascii="Cambria Math" w:hAnsi="Cambria Math" w:cstheme="minorHAnsi"/>
              </w:rPr>
              <m:t>V</m:t>
            </m:r>
          </m:e>
          <m:sub>
            <m:r>
              <w:rPr>
                <w:rFonts w:ascii="Cambria Math" w:hAnsi="Cambria Math" w:cstheme="minorHAnsi"/>
              </w:rPr>
              <m:t>R,</m:t>
            </m:r>
            <m:r>
              <m:rPr>
                <m:sty m:val="p"/>
              </m:rPr>
              <w:rPr>
                <w:rFonts w:ascii="Cambria Math" w:hAnsi="Cambria Math" w:cstheme="minorHAnsi"/>
              </w:rPr>
              <m:t>eff</m:t>
            </m:r>
          </m:sub>
        </m:sSub>
      </m:oMath>
      <w:r w:rsidRPr="00FB1344">
        <w:rPr>
          <w:rFonts w:cstheme="minorHAnsi"/>
          <w:iCs/>
        </w:rPr>
        <w:t xml:space="preserve"> is</w:t>
      </w:r>
    </w:p>
    <w:p w14:paraId="7246155C" w14:textId="77777777" w:rsidR="0013589B" w:rsidRPr="00FB1344" w:rsidRDefault="00000000" w:rsidP="0013589B">
      <w:pPr>
        <w:jc w:val="both"/>
        <w:rPr>
          <w:rFonts w:cstheme="minorHAnsi"/>
        </w:rPr>
      </w:pPr>
      <m:oMathPara>
        <m:oMath>
          <m:sSub>
            <m:sSubPr>
              <m:ctrlPr>
                <w:rPr>
                  <w:rFonts w:ascii="Cambria Math" w:hAnsi="Cambria Math" w:cstheme="minorHAnsi"/>
                  <w:i/>
                  <w:iCs/>
                </w:rPr>
              </m:ctrlPr>
            </m:sSubPr>
            <m:e>
              <m:r>
                <w:rPr>
                  <w:rFonts w:ascii="Cambria Math" w:hAnsi="Cambria Math" w:cstheme="minorHAnsi"/>
                </w:rPr>
                <m:t>V</m:t>
              </m:r>
            </m:e>
            <m:sub>
              <m:r>
                <w:rPr>
                  <w:rFonts w:ascii="Cambria Math" w:hAnsi="Cambria Math" w:cstheme="minorHAnsi"/>
                </w:rPr>
                <m:t>R,</m:t>
              </m:r>
              <m:r>
                <m:rPr>
                  <m:sty m:val="p"/>
                </m:rPr>
                <w:rPr>
                  <w:rFonts w:ascii="Cambria Math" w:hAnsi="Cambria Math" w:cstheme="minorHAnsi"/>
                </w:rPr>
                <m:t>eff</m:t>
              </m:r>
            </m:sub>
          </m:sSub>
          <m:r>
            <w:rPr>
              <w:rFonts w:ascii="Cambria Math" w:hAnsi="Cambria Math" w:cstheme="minorHAnsi"/>
            </w:rPr>
            <m:t xml:space="preserve"> ≈ </m:t>
          </m:r>
          <m:f>
            <m:fPr>
              <m:ctrlPr>
                <w:rPr>
                  <w:rFonts w:ascii="Cambria Math" w:hAnsi="Cambria Math" w:cstheme="minorHAnsi"/>
                  <w:i/>
                </w:rPr>
              </m:ctrlPr>
            </m:fPr>
            <m:num>
              <m:r>
                <w:rPr>
                  <w:rFonts w:ascii="Cambria Math" w:hAnsi="Cambria Math" w:cstheme="minorHAnsi"/>
                </w:rPr>
                <m:t>ρ</m:t>
              </m:r>
              <m:d>
                <m:dPr>
                  <m:ctrlPr>
                    <w:rPr>
                      <w:rFonts w:ascii="Cambria Math" w:hAnsi="Cambria Math" w:cstheme="minorHAnsi"/>
                      <w:i/>
                    </w:rPr>
                  </m:ctrlPr>
                </m:dPr>
                <m:e>
                  <m:sSub>
                    <m:sSubPr>
                      <m:ctrlPr>
                        <w:rPr>
                          <w:rFonts w:ascii="Cambria Math" w:hAnsi="Cambria Math" w:cstheme="minorHAnsi"/>
                          <w:i/>
                        </w:rPr>
                      </m:ctrlPr>
                    </m:sSubPr>
                    <m:e>
                      <m:r>
                        <w:rPr>
                          <w:rFonts w:ascii="Cambria Math" w:hAnsi="Cambria Math" w:cstheme="minorHAnsi"/>
                        </w:rPr>
                        <m:t>H</m:t>
                      </m:r>
                    </m:e>
                    <m:sub>
                      <m:r>
                        <w:rPr>
                          <w:rFonts w:ascii="Cambria Math" w:hAnsi="Cambria Math" w:cstheme="minorHAnsi"/>
                        </w:rPr>
                        <m:t>PQ</m:t>
                      </m:r>
                    </m:sub>
                  </m:sSub>
                </m:e>
              </m:d>
              <m:r>
                <w:rPr>
                  <w:rFonts w:ascii="Cambria Math" w:hAnsi="Cambria Math" w:cstheme="minorHAnsi"/>
                </w:rPr>
                <m:t>ρ</m:t>
              </m:r>
              <m:d>
                <m:dPr>
                  <m:ctrlPr>
                    <w:rPr>
                      <w:rFonts w:ascii="Cambria Math" w:hAnsi="Cambria Math" w:cstheme="minorHAnsi"/>
                      <w:i/>
                    </w:rPr>
                  </m:ctrlPr>
                </m:dPr>
                <m:e>
                  <m:sSub>
                    <m:sSubPr>
                      <m:ctrlPr>
                        <w:rPr>
                          <w:rFonts w:ascii="Cambria Math" w:hAnsi="Cambria Math" w:cstheme="minorHAnsi"/>
                          <w:i/>
                        </w:rPr>
                      </m:ctrlPr>
                    </m:sSubPr>
                    <m:e>
                      <m:r>
                        <w:rPr>
                          <w:rFonts w:ascii="Cambria Math" w:hAnsi="Cambria Math" w:cstheme="minorHAnsi"/>
                        </w:rPr>
                        <m:t>H</m:t>
                      </m:r>
                    </m:e>
                    <m:sub>
                      <m:r>
                        <w:rPr>
                          <w:rFonts w:ascii="Cambria Math" w:hAnsi="Cambria Math" w:cstheme="minorHAnsi"/>
                        </w:rPr>
                        <m:t>QP</m:t>
                      </m:r>
                    </m:sub>
                  </m:sSub>
                </m:e>
              </m:d>
            </m:num>
            <m:den>
              <m:r>
                <w:rPr>
                  <w:rFonts w:ascii="Cambria Math" w:hAnsi="Cambria Math" w:cstheme="minorHAnsi"/>
                </w:rPr>
                <m:t>ρ</m:t>
              </m:r>
              <m:d>
                <m:dPr>
                  <m:ctrlPr>
                    <w:rPr>
                      <w:rFonts w:ascii="Cambria Math" w:hAnsi="Cambria Math" w:cstheme="minorHAnsi"/>
                      <w:i/>
                    </w:rPr>
                  </m:ctrlPr>
                </m:dPr>
                <m:e>
                  <m:sSub>
                    <m:sSubPr>
                      <m:ctrlPr>
                        <w:rPr>
                          <w:rFonts w:ascii="Cambria Math" w:hAnsi="Cambria Math" w:cstheme="minorHAnsi"/>
                          <w:i/>
                        </w:rPr>
                      </m:ctrlPr>
                    </m:sSubPr>
                    <m:e>
                      <m:r>
                        <w:rPr>
                          <w:rFonts w:ascii="Cambria Math" w:hAnsi="Cambria Math" w:cstheme="minorHAnsi"/>
                        </w:rPr>
                        <m:t>H</m:t>
                      </m:r>
                    </m:e>
                    <m:sub>
                      <m:r>
                        <w:rPr>
                          <w:rFonts w:ascii="Cambria Math" w:hAnsi="Cambria Math" w:cstheme="minorHAnsi"/>
                        </w:rPr>
                        <m:t>QQ</m:t>
                      </m:r>
                    </m:sub>
                  </m:sSub>
                </m:e>
              </m:d>
            </m:den>
          </m:f>
          <m:r>
            <w:rPr>
              <w:rFonts w:ascii="Cambria Math" w:hAnsi="Cambria Math" w:cstheme="minorHAnsi"/>
            </w:rPr>
            <m:t xml:space="preserve">≈ </m:t>
          </m:r>
          <m:f>
            <m:fPr>
              <m:ctrlPr>
                <w:rPr>
                  <w:rFonts w:ascii="Cambria Math" w:hAnsi="Cambria Math" w:cstheme="minorHAnsi"/>
                  <w:i/>
                </w:rPr>
              </m:ctrlPr>
            </m:fPr>
            <m:num>
              <m:sSubSup>
                <m:sSubSupPr>
                  <m:ctrlPr>
                    <w:rPr>
                      <w:rFonts w:ascii="Cambria Math" w:hAnsi="Cambria Math" w:cstheme="minorHAnsi"/>
                      <w:i/>
                    </w:rPr>
                  </m:ctrlPr>
                </m:sSubSupPr>
                <m:e>
                  <m:r>
                    <w:rPr>
                      <w:rFonts w:ascii="Cambria Math" w:hAnsi="Cambria Math" w:cstheme="minorHAnsi"/>
                    </w:rPr>
                    <m:t>λ</m:t>
                  </m:r>
                </m:e>
                <m:sub>
                  <m:r>
                    <w:rPr>
                      <w:rFonts w:ascii="Cambria Math" w:hAnsi="Cambria Math" w:cstheme="minorHAnsi"/>
                    </w:rPr>
                    <m:t>R</m:t>
                  </m:r>
                </m:sub>
                <m:sup>
                  <m:r>
                    <w:rPr>
                      <w:rFonts w:ascii="Cambria Math" w:hAnsi="Cambria Math" w:cstheme="minorHAnsi"/>
                    </w:rPr>
                    <m:t>2</m:t>
                  </m:r>
                </m:sup>
              </m:sSubSup>
            </m:num>
            <m:den>
              <m:r>
                <w:rPr>
                  <w:rFonts w:ascii="Cambria Math" w:hAnsi="Cambria Math" w:cstheme="minorHAnsi"/>
                </w:rPr>
                <m:t>ρ</m:t>
              </m:r>
              <m:d>
                <m:dPr>
                  <m:ctrlPr>
                    <w:rPr>
                      <w:rFonts w:ascii="Cambria Math" w:hAnsi="Cambria Math" w:cstheme="minorHAnsi"/>
                      <w:i/>
                    </w:rPr>
                  </m:ctrlPr>
                </m:dPr>
                <m:e>
                  <m:sSub>
                    <m:sSubPr>
                      <m:ctrlPr>
                        <w:rPr>
                          <w:rFonts w:ascii="Cambria Math" w:hAnsi="Cambria Math" w:cstheme="minorHAnsi"/>
                          <w:i/>
                        </w:rPr>
                      </m:ctrlPr>
                    </m:sSubPr>
                    <m:e>
                      <m:r>
                        <w:rPr>
                          <w:rFonts w:ascii="Cambria Math" w:hAnsi="Cambria Math" w:cstheme="minorHAnsi"/>
                        </w:rPr>
                        <m:t>H</m:t>
                      </m:r>
                    </m:e>
                    <m:sub>
                      <m:r>
                        <w:rPr>
                          <w:rFonts w:ascii="Cambria Math" w:hAnsi="Cambria Math" w:cstheme="minorHAnsi"/>
                        </w:rPr>
                        <m:t>QQ</m:t>
                      </m:r>
                    </m:sub>
                  </m:sSub>
                </m:e>
              </m:d>
            </m:den>
          </m:f>
          <m:r>
            <w:rPr>
              <w:rFonts w:ascii="Cambria Math" w:hAnsi="Cambria Math" w:cstheme="minorHAnsi"/>
            </w:rPr>
            <m:t>,</m:t>
          </m:r>
        </m:oMath>
      </m:oMathPara>
    </w:p>
    <w:p w14:paraId="05AE520D" w14:textId="77777777" w:rsidR="0013589B" w:rsidRPr="00FB1344" w:rsidRDefault="0013589B" w:rsidP="0013589B">
      <w:pPr>
        <w:jc w:val="both"/>
        <w:rPr>
          <w:rFonts w:cstheme="minorHAnsi"/>
        </w:rPr>
      </w:pPr>
      <w:r w:rsidRPr="00FB1344">
        <w:rPr>
          <w:rFonts w:cstheme="minorHAnsi"/>
          <w:iCs/>
        </w:rPr>
        <w:t xml:space="preserve">where </w:t>
      </w:r>
      <m:oMath>
        <m:r>
          <w:rPr>
            <w:rFonts w:ascii="Cambria Math" w:hAnsi="Cambria Math" w:cstheme="minorHAnsi"/>
          </w:rPr>
          <m:t>ρ</m:t>
        </m:r>
        <m:d>
          <m:dPr>
            <m:ctrlPr>
              <w:rPr>
                <w:rFonts w:ascii="Cambria Math" w:hAnsi="Cambria Math" w:cstheme="minorHAnsi"/>
                <w:i/>
              </w:rPr>
            </m:ctrlPr>
          </m:dPr>
          <m:e>
            <m:sSub>
              <m:sSubPr>
                <m:ctrlPr>
                  <w:rPr>
                    <w:rFonts w:ascii="Cambria Math" w:hAnsi="Cambria Math" w:cstheme="minorHAnsi"/>
                    <w:i/>
                  </w:rPr>
                </m:ctrlPr>
              </m:sSubPr>
              <m:e>
                <m:r>
                  <w:rPr>
                    <w:rFonts w:ascii="Cambria Math" w:hAnsi="Cambria Math" w:cstheme="minorHAnsi"/>
                  </w:rPr>
                  <m:t>H</m:t>
                </m:r>
              </m:e>
              <m:sub>
                <m:r>
                  <w:rPr>
                    <w:rFonts w:ascii="Cambria Math" w:hAnsi="Cambria Math" w:cstheme="minorHAnsi"/>
                  </w:rPr>
                  <m:t>QQ</m:t>
                </m:r>
              </m:sub>
            </m:sSub>
          </m:e>
        </m:d>
      </m:oMath>
      <w:r w:rsidRPr="00FB1344">
        <w:rPr>
          <w:rFonts w:cstheme="minorHAnsi"/>
        </w:rPr>
        <w:t xml:space="preserve"> is the spectral radius of the high-energy band Hamiltonian. </w:t>
      </w:r>
      <w:r w:rsidRPr="00FB1344">
        <w:rPr>
          <w:rFonts w:cstheme="minorHAnsi" w:hint="eastAsia"/>
        </w:rPr>
        <w:t>Given</w:t>
      </w:r>
    </w:p>
    <w:p w14:paraId="0B8E784B" w14:textId="77777777" w:rsidR="0013589B" w:rsidRPr="00FB1344" w:rsidRDefault="00000000" w:rsidP="0013589B">
      <w:pPr>
        <w:jc w:val="both"/>
        <w:rPr>
          <w:rFonts w:cstheme="minorHAnsi"/>
        </w:rPr>
      </w:pPr>
      <m:oMathPara>
        <m:oMath>
          <m:sSub>
            <m:sSubPr>
              <m:ctrlPr>
                <w:rPr>
                  <w:rFonts w:ascii="Cambria Math" w:hAnsi="Cambria Math" w:cstheme="minorHAnsi"/>
                  <w:i/>
                  <w:iCs/>
                </w:rPr>
              </m:ctrlPr>
            </m:sSubPr>
            <m:e>
              <m:r>
                <w:rPr>
                  <w:rFonts w:ascii="Cambria Math" w:hAnsi="Cambria Math" w:cstheme="minorHAnsi"/>
                </w:rPr>
                <m:t>H</m:t>
              </m:r>
            </m:e>
            <m:sub>
              <m:r>
                <w:rPr>
                  <w:rFonts w:ascii="Cambria Math" w:hAnsi="Cambria Math" w:cstheme="minorHAnsi"/>
                </w:rPr>
                <m:t>QQ</m:t>
              </m:r>
            </m:sub>
          </m:sSub>
          <m:r>
            <w:rPr>
              <w:rFonts w:ascii="Cambria Math" w:hAnsi="Cambria Math" w:cstheme="minorHAnsi"/>
            </w:rPr>
            <m:t>~</m:t>
          </m:r>
          <m:d>
            <m:dPr>
              <m:ctrlPr>
                <w:rPr>
                  <w:rFonts w:ascii="Cambria Math" w:hAnsi="Cambria Math" w:cstheme="minorHAnsi"/>
                  <w:i/>
                  <w:iCs/>
                </w:rPr>
              </m:ctrlPr>
            </m:dPr>
            <m:e>
              <m:m>
                <m:mPr>
                  <m:mcs>
                    <m:mc>
                      <m:mcPr>
                        <m:count m:val="6"/>
                        <m:mcJc m:val="center"/>
                      </m:mcPr>
                    </m:mc>
                  </m:mcs>
                  <m:ctrlPr>
                    <w:rPr>
                      <w:rFonts w:ascii="Cambria Math" w:hAnsi="Cambria Math" w:cstheme="minorHAnsi"/>
                      <w:i/>
                      <w:iCs/>
                    </w:rPr>
                  </m:ctrlPr>
                </m:mPr>
                <m:mr>
                  <m:e>
                    <m:r>
                      <w:rPr>
                        <w:rFonts w:ascii="Cambria Math" w:hAnsi="Cambria Math" w:cstheme="minorHAnsi"/>
                      </w:rPr>
                      <m:t>0</m:t>
                    </m:r>
                  </m:e>
                  <m:e>
                    <m:sSub>
                      <m:sSubPr>
                        <m:ctrlPr>
                          <w:rPr>
                            <w:rFonts w:ascii="Cambria Math" w:hAnsi="Cambria Math" w:cstheme="minorHAnsi"/>
                            <w:i/>
                            <w:iCs/>
                          </w:rPr>
                        </m:ctrlPr>
                      </m:sSubPr>
                      <m:e>
                        <m:r>
                          <w:rPr>
                            <w:rFonts w:ascii="Cambria Math" w:hAnsi="Cambria Math" w:cstheme="minorHAnsi"/>
                          </w:rPr>
                          <m:t>γ</m:t>
                        </m:r>
                      </m:e>
                      <m:sub>
                        <m:r>
                          <w:rPr>
                            <w:rFonts w:ascii="Cambria Math" w:hAnsi="Cambria Math" w:cstheme="minorHAnsi"/>
                          </w:rPr>
                          <m:t>1</m:t>
                        </m:r>
                      </m:sub>
                    </m:sSub>
                  </m:e>
                  <m:e>
                    <m:r>
                      <w:rPr>
                        <w:rFonts w:ascii="Cambria Math" w:hAnsi="Cambria Math" w:cstheme="minorHAnsi"/>
                      </w:rPr>
                      <m:t>0</m:t>
                    </m:r>
                  </m:e>
                  <m:e>
                    <m:r>
                      <w:rPr>
                        <w:rFonts w:ascii="Cambria Math" w:hAnsi="Cambria Math" w:cstheme="minorHAnsi"/>
                      </w:rPr>
                      <m:t>0</m:t>
                    </m:r>
                  </m:e>
                  <m:e>
                    <m:r>
                      <w:rPr>
                        <w:rFonts w:ascii="Cambria Math" w:hAnsi="Cambria Math" w:cstheme="minorHAnsi"/>
                      </w:rPr>
                      <m:t>0</m:t>
                    </m:r>
                  </m:e>
                  <m:e>
                    <m:r>
                      <w:rPr>
                        <w:rFonts w:ascii="Cambria Math" w:hAnsi="Cambria Math" w:cstheme="minorHAnsi"/>
                      </w:rPr>
                      <m:t>0</m:t>
                    </m:r>
                  </m:e>
                </m:mr>
                <m:mr>
                  <m:e>
                    <m:sSub>
                      <m:sSubPr>
                        <m:ctrlPr>
                          <w:rPr>
                            <w:rFonts w:ascii="Cambria Math" w:hAnsi="Cambria Math" w:cstheme="minorHAnsi"/>
                            <w:i/>
                            <w:iCs/>
                          </w:rPr>
                        </m:ctrlPr>
                      </m:sSubPr>
                      <m:e>
                        <m:r>
                          <w:rPr>
                            <w:rFonts w:ascii="Cambria Math" w:hAnsi="Cambria Math" w:cstheme="minorHAnsi"/>
                          </w:rPr>
                          <m:t>γ</m:t>
                        </m:r>
                      </m:e>
                      <m:sub>
                        <m:r>
                          <w:rPr>
                            <w:rFonts w:ascii="Cambria Math" w:hAnsi="Cambria Math" w:cstheme="minorHAnsi"/>
                          </w:rPr>
                          <m:t>1</m:t>
                        </m:r>
                      </m:sub>
                    </m:sSub>
                  </m:e>
                  <m:e>
                    <m:r>
                      <w:rPr>
                        <w:rFonts w:ascii="Cambria Math" w:hAnsi="Cambria Math" w:cstheme="minorHAnsi"/>
                      </w:rPr>
                      <m:t>0</m:t>
                    </m:r>
                  </m:e>
                  <m:e>
                    <m:sSub>
                      <m:sSubPr>
                        <m:ctrlPr>
                          <w:rPr>
                            <w:rFonts w:ascii="Cambria Math" w:hAnsi="Cambria Math" w:cstheme="minorHAnsi"/>
                            <w:i/>
                            <w:iCs/>
                          </w:rPr>
                        </m:ctrlPr>
                      </m:sSubPr>
                      <m:e>
                        <m:r>
                          <w:rPr>
                            <w:rFonts w:ascii="Cambria Math" w:hAnsi="Cambria Math" w:cstheme="minorHAnsi"/>
                          </w:rPr>
                          <m:t>v</m:t>
                        </m:r>
                      </m:e>
                      <m:sub>
                        <m:r>
                          <w:rPr>
                            <w:rFonts w:ascii="Cambria Math" w:hAnsi="Cambria Math" w:cstheme="minorHAnsi"/>
                          </w:rPr>
                          <m:t>0</m:t>
                        </m:r>
                      </m:sub>
                    </m:sSub>
                    <m:sSup>
                      <m:sSupPr>
                        <m:ctrlPr>
                          <w:rPr>
                            <w:rFonts w:ascii="Cambria Math" w:hAnsi="Cambria Math" w:cstheme="minorHAnsi"/>
                            <w:i/>
                            <w:iCs/>
                          </w:rPr>
                        </m:ctrlPr>
                      </m:sSupPr>
                      <m:e>
                        <m:r>
                          <w:rPr>
                            <w:rFonts w:ascii="Cambria Math" w:hAnsi="Cambria Math" w:cstheme="minorHAnsi"/>
                          </w:rPr>
                          <m:t>π</m:t>
                        </m:r>
                      </m:e>
                      <m:sup>
                        <m:r>
                          <w:rPr>
                            <w:rFonts w:ascii="Cambria Math" w:hAnsi="Cambria Math" w:cstheme="minorHAnsi"/>
                          </w:rPr>
                          <m:t>†</m:t>
                        </m:r>
                      </m:sup>
                    </m:sSup>
                  </m:e>
                  <m:e>
                    <m:r>
                      <w:rPr>
                        <w:rFonts w:ascii="Cambria Math" w:hAnsi="Cambria Math" w:cstheme="minorHAnsi"/>
                      </w:rPr>
                      <m:t>0</m:t>
                    </m:r>
                  </m:e>
                  <m:e>
                    <m:r>
                      <w:rPr>
                        <w:rFonts w:ascii="Cambria Math" w:hAnsi="Cambria Math" w:cstheme="minorHAnsi"/>
                      </w:rPr>
                      <m:t>0</m:t>
                    </m:r>
                  </m:e>
                  <m:e>
                    <m:r>
                      <w:rPr>
                        <w:rFonts w:ascii="Cambria Math" w:hAnsi="Cambria Math" w:cstheme="minorHAnsi"/>
                      </w:rPr>
                      <m:t>0</m:t>
                    </m:r>
                  </m:e>
                </m:mr>
                <m:mr>
                  <m:e>
                    <m:r>
                      <w:rPr>
                        <w:rFonts w:ascii="Cambria Math" w:hAnsi="Cambria Math" w:cstheme="minorHAnsi"/>
                      </w:rPr>
                      <m:t>0</m:t>
                    </m:r>
                  </m:e>
                  <m:e>
                    <m:sSub>
                      <m:sSubPr>
                        <m:ctrlPr>
                          <w:rPr>
                            <w:rFonts w:ascii="Cambria Math" w:hAnsi="Cambria Math" w:cstheme="minorHAnsi"/>
                            <w:i/>
                            <w:iCs/>
                          </w:rPr>
                        </m:ctrlPr>
                      </m:sSubPr>
                      <m:e>
                        <m:r>
                          <w:rPr>
                            <w:rFonts w:ascii="Cambria Math" w:hAnsi="Cambria Math" w:cstheme="minorHAnsi"/>
                          </w:rPr>
                          <m:t>v</m:t>
                        </m:r>
                      </m:e>
                      <m:sub>
                        <m:r>
                          <w:rPr>
                            <w:rFonts w:ascii="Cambria Math" w:hAnsi="Cambria Math" w:cstheme="minorHAnsi"/>
                          </w:rPr>
                          <m:t>0</m:t>
                        </m:r>
                      </m:sub>
                    </m:sSub>
                    <m:r>
                      <w:rPr>
                        <w:rFonts w:ascii="Cambria Math" w:hAnsi="Cambria Math" w:cstheme="minorHAnsi"/>
                      </w:rPr>
                      <m:t>π</m:t>
                    </m:r>
                  </m:e>
                  <m:e>
                    <m:r>
                      <w:rPr>
                        <w:rFonts w:ascii="Cambria Math" w:hAnsi="Cambria Math" w:cstheme="minorHAnsi"/>
                      </w:rPr>
                      <m:t>0</m:t>
                    </m:r>
                  </m:e>
                  <m:e>
                    <m:sSub>
                      <m:sSubPr>
                        <m:ctrlPr>
                          <w:rPr>
                            <w:rFonts w:ascii="Cambria Math" w:hAnsi="Cambria Math" w:cstheme="minorHAnsi"/>
                            <w:i/>
                            <w:iCs/>
                          </w:rPr>
                        </m:ctrlPr>
                      </m:sSubPr>
                      <m:e>
                        <m:r>
                          <w:rPr>
                            <w:rFonts w:ascii="Cambria Math" w:hAnsi="Cambria Math" w:cstheme="minorHAnsi"/>
                          </w:rPr>
                          <m:t>γ</m:t>
                        </m:r>
                      </m:e>
                      <m:sub>
                        <m:r>
                          <w:rPr>
                            <w:rFonts w:ascii="Cambria Math" w:hAnsi="Cambria Math" w:cstheme="minorHAnsi"/>
                          </w:rPr>
                          <m:t>1</m:t>
                        </m:r>
                      </m:sub>
                    </m:sSub>
                  </m:e>
                  <m:e>
                    <m:r>
                      <w:rPr>
                        <w:rFonts w:ascii="Cambria Math" w:hAnsi="Cambria Math" w:cstheme="minorHAnsi"/>
                      </w:rPr>
                      <m:t>0</m:t>
                    </m:r>
                  </m:e>
                  <m:e>
                    <m:r>
                      <w:rPr>
                        <w:rFonts w:ascii="Cambria Math" w:hAnsi="Cambria Math" w:cstheme="minorHAnsi"/>
                      </w:rPr>
                      <m:t>0</m:t>
                    </m:r>
                  </m:e>
                </m:mr>
                <m:mr>
                  <m:e>
                    <m:r>
                      <w:rPr>
                        <w:rFonts w:ascii="Cambria Math" w:hAnsi="Cambria Math" w:cstheme="minorHAnsi"/>
                      </w:rPr>
                      <m:t>0</m:t>
                    </m:r>
                  </m:e>
                  <m:e>
                    <m:r>
                      <w:rPr>
                        <w:rFonts w:ascii="Cambria Math" w:hAnsi="Cambria Math" w:cstheme="minorHAnsi"/>
                      </w:rPr>
                      <m:t>0</m:t>
                    </m:r>
                  </m:e>
                  <m:e>
                    <m:sSub>
                      <m:sSubPr>
                        <m:ctrlPr>
                          <w:rPr>
                            <w:rFonts w:ascii="Cambria Math" w:hAnsi="Cambria Math" w:cstheme="minorHAnsi"/>
                            <w:i/>
                            <w:iCs/>
                          </w:rPr>
                        </m:ctrlPr>
                      </m:sSubPr>
                      <m:e>
                        <m:r>
                          <w:rPr>
                            <w:rFonts w:ascii="Cambria Math" w:hAnsi="Cambria Math" w:cstheme="minorHAnsi"/>
                          </w:rPr>
                          <m:t>γ</m:t>
                        </m:r>
                      </m:e>
                      <m:sub>
                        <m:r>
                          <w:rPr>
                            <w:rFonts w:ascii="Cambria Math" w:hAnsi="Cambria Math" w:cstheme="minorHAnsi"/>
                          </w:rPr>
                          <m:t>1</m:t>
                        </m:r>
                      </m:sub>
                    </m:sSub>
                  </m:e>
                  <m:e>
                    <m:r>
                      <w:rPr>
                        <w:rFonts w:ascii="Cambria Math" w:hAnsi="Cambria Math" w:cstheme="minorHAnsi"/>
                      </w:rPr>
                      <m:t>0</m:t>
                    </m:r>
                  </m:e>
                  <m:e>
                    <m:r>
                      <w:rPr>
                        <w:rFonts w:ascii="Cambria Math" w:hAnsi="Cambria Math" w:cstheme="minorHAnsi"/>
                      </w:rPr>
                      <m:t>⋱</m:t>
                    </m:r>
                  </m:e>
                  <m:e>
                    <m:r>
                      <w:rPr>
                        <w:rFonts w:ascii="Cambria Math" w:hAnsi="Cambria Math" w:cstheme="minorHAnsi"/>
                      </w:rPr>
                      <m:t>0</m:t>
                    </m:r>
                  </m:e>
                </m:mr>
                <m:mr>
                  <m:e>
                    <m:r>
                      <w:rPr>
                        <w:rFonts w:ascii="Cambria Math" w:hAnsi="Cambria Math" w:cstheme="minorHAnsi"/>
                      </w:rPr>
                      <m:t>0</m:t>
                    </m:r>
                  </m:e>
                  <m:e>
                    <m:r>
                      <w:rPr>
                        <w:rFonts w:ascii="Cambria Math" w:hAnsi="Cambria Math" w:cstheme="minorHAnsi"/>
                      </w:rPr>
                      <m:t>0</m:t>
                    </m:r>
                  </m:e>
                  <m:e>
                    <m:r>
                      <w:rPr>
                        <w:rFonts w:ascii="Cambria Math" w:hAnsi="Cambria Math" w:cstheme="minorHAnsi"/>
                      </w:rPr>
                      <m:t>0</m:t>
                    </m:r>
                  </m:e>
                  <m:e>
                    <m:r>
                      <w:rPr>
                        <w:rFonts w:ascii="Cambria Math" w:hAnsi="Cambria Math" w:cstheme="minorHAnsi"/>
                      </w:rPr>
                      <m:t>⋱</m:t>
                    </m:r>
                  </m:e>
                  <m:e>
                    <m:r>
                      <w:rPr>
                        <w:rFonts w:ascii="Cambria Math" w:hAnsi="Cambria Math" w:cstheme="minorHAnsi"/>
                      </w:rPr>
                      <m:t>0</m:t>
                    </m:r>
                  </m:e>
                  <m:e>
                    <m:sSub>
                      <m:sSubPr>
                        <m:ctrlPr>
                          <w:rPr>
                            <w:rFonts w:ascii="Cambria Math" w:hAnsi="Cambria Math" w:cstheme="minorHAnsi"/>
                            <w:i/>
                            <w:iCs/>
                          </w:rPr>
                        </m:ctrlPr>
                      </m:sSubPr>
                      <m:e>
                        <m:r>
                          <w:rPr>
                            <w:rFonts w:ascii="Cambria Math" w:hAnsi="Cambria Math" w:cstheme="minorHAnsi"/>
                          </w:rPr>
                          <m:t>γ</m:t>
                        </m:r>
                      </m:e>
                      <m:sub>
                        <m:r>
                          <w:rPr>
                            <w:rFonts w:ascii="Cambria Math" w:hAnsi="Cambria Math" w:cstheme="minorHAnsi"/>
                          </w:rPr>
                          <m:t>1</m:t>
                        </m:r>
                      </m:sub>
                    </m:sSub>
                  </m:e>
                </m:mr>
                <m:mr>
                  <m:e>
                    <m:r>
                      <w:rPr>
                        <w:rFonts w:ascii="Cambria Math" w:hAnsi="Cambria Math" w:cstheme="minorHAnsi"/>
                      </w:rPr>
                      <m:t>0</m:t>
                    </m:r>
                  </m:e>
                  <m:e>
                    <m:r>
                      <w:rPr>
                        <w:rFonts w:ascii="Cambria Math" w:hAnsi="Cambria Math" w:cstheme="minorHAnsi"/>
                      </w:rPr>
                      <m:t>0</m:t>
                    </m:r>
                  </m:e>
                  <m:e>
                    <m:r>
                      <w:rPr>
                        <w:rFonts w:ascii="Cambria Math" w:hAnsi="Cambria Math" w:cstheme="minorHAnsi"/>
                      </w:rPr>
                      <m:t>0</m:t>
                    </m:r>
                  </m:e>
                  <m:e>
                    <m:r>
                      <w:rPr>
                        <w:rFonts w:ascii="Cambria Math" w:hAnsi="Cambria Math" w:cstheme="minorHAnsi"/>
                      </w:rPr>
                      <m:t>0</m:t>
                    </m:r>
                  </m:e>
                  <m:e>
                    <m:sSub>
                      <m:sSubPr>
                        <m:ctrlPr>
                          <w:rPr>
                            <w:rFonts w:ascii="Cambria Math" w:hAnsi="Cambria Math" w:cstheme="minorHAnsi"/>
                            <w:i/>
                            <w:iCs/>
                          </w:rPr>
                        </m:ctrlPr>
                      </m:sSubPr>
                      <m:e>
                        <m:r>
                          <w:rPr>
                            <w:rFonts w:ascii="Cambria Math" w:hAnsi="Cambria Math" w:cstheme="minorHAnsi"/>
                          </w:rPr>
                          <m:t>γ</m:t>
                        </m:r>
                      </m:e>
                      <m:sub>
                        <m:r>
                          <w:rPr>
                            <w:rFonts w:ascii="Cambria Math" w:hAnsi="Cambria Math" w:cstheme="minorHAnsi"/>
                          </w:rPr>
                          <m:t>1</m:t>
                        </m:r>
                      </m:sub>
                    </m:sSub>
                  </m:e>
                  <m:e>
                    <m:r>
                      <w:rPr>
                        <w:rFonts w:ascii="Cambria Math" w:hAnsi="Cambria Math" w:cstheme="minorHAnsi"/>
                      </w:rPr>
                      <m:t>0</m:t>
                    </m:r>
                  </m:e>
                </m:mr>
              </m:m>
            </m:e>
          </m:d>
          <m:r>
            <w:rPr>
              <w:rFonts w:ascii="Cambria Math" w:hAnsi="Cambria Math" w:cstheme="minorHAnsi"/>
            </w:rPr>
            <m:t>,</m:t>
          </m:r>
        </m:oMath>
      </m:oMathPara>
    </w:p>
    <w:p w14:paraId="73A9983B" w14:textId="77777777" w:rsidR="0013589B" w:rsidRPr="00FB1344" w:rsidRDefault="0013589B" w:rsidP="0013589B">
      <w:pPr>
        <w:jc w:val="both"/>
        <w:rPr>
          <w:rFonts w:cstheme="minorHAnsi"/>
          <w:iCs/>
        </w:rPr>
      </w:pPr>
      <w:r w:rsidRPr="00FB1344">
        <w:rPr>
          <w:rFonts w:cstheme="minorHAnsi"/>
          <w:iCs/>
        </w:rPr>
        <w:t xml:space="preserve">the spectral radius is </w:t>
      </w:r>
      <m:oMath>
        <m:r>
          <w:rPr>
            <w:rFonts w:ascii="Cambria Math" w:hAnsi="Cambria Math" w:cstheme="minorHAnsi"/>
          </w:rPr>
          <m:t>ρ</m:t>
        </m:r>
        <m:d>
          <m:dPr>
            <m:ctrlPr>
              <w:rPr>
                <w:rFonts w:ascii="Cambria Math" w:hAnsi="Cambria Math" w:cstheme="minorHAnsi"/>
                <w:i/>
                <w:iCs/>
              </w:rPr>
            </m:ctrlPr>
          </m:dPr>
          <m:e>
            <m:sSub>
              <m:sSubPr>
                <m:ctrlPr>
                  <w:rPr>
                    <w:rFonts w:ascii="Cambria Math" w:hAnsi="Cambria Math" w:cstheme="minorHAnsi"/>
                    <w:i/>
                    <w:iCs/>
                  </w:rPr>
                </m:ctrlPr>
              </m:sSubPr>
              <m:e>
                <m:r>
                  <w:rPr>
                    <w:rFonts w:ascii="Cambria Math" w:hAnsi="Cambria Math" w:cstheme="minorHAnsi"/>
                  </w:rPr>
                  <m:t>H</m:t>
                </m:r>
              </m:e>
              <m:sub>
                <m:r>
                  <w:rPr>
                    <w:rFonts w:ascii="Cambria Math" w:hAnsi="Cambria Math" w:cstheme="minorHAnsi"/>
                  </w:rPr>
                  <m:t>QQ</m:t>
                </m:r>
              </m:sub>
            </m:sSub>
          </m:e>
        </m:d>
        <m:r>
          <w:rPr>
            <w:rFonts w:ascii="Cambria Math" w:hAnsi="Cambria Math" w:cstheme="minorHAnsi"/>
          </w:rPr>
          <m:t xml:space="preserve"> ~ </m:t>
        </m:r>
        <m:sSub>
          <m:sSubPr>
            <m:ctrlPr>
              <w:rPr>
                <w:rFonts w:ascii="Cambria Math" w:hAnsi="Cambria Math" w:cstheme="minorHAnsi"/>
                <w:i/>
                <w:iCs/>
              </w:rPr>
            </m:ctrlPr>
          </m:sSubPr>
          <m:e>
            <m:r>
              <w:rPr>
                <w:rFonts w:ascii="Cambria Math" w:hAnsi="Cambria Math" w:cstheme="minorHAnsi"/>
              </w:rPr>
              <m:t>γ</m:t>
            </m:r>
          </m:e>
          <m:sub>
            <m:r>
              <w:rPr>
                <w:rFonts w:ascii="Cambria Math" w:hAnsi="Cambria Math" w:cstheme="minorHAnsi"/>
              </w:rPr>
              <m:t>1</m:t>
            </m:r>
          </m:sub>
        </m:sSub>
        <m:r>
          <w:rPr>
            <w:rFonts w:ascii="Cambria Math" w:hAnsi="Cambria Math" w:cstheme="minorHAnsi"/>
          </w:rPr>
          <m:t xml:space="preserve"> </m:t>
        </m:r>
      </m:oMath>
      <w:r w:rsidRPr="00FB1344">
        <w:rPr>
          <w:rFonts w:cstheme="minorHAnsi"/>
          <w:iCs/>
        </w:rPr>
        <w:t xml:space="preserve">, and assuming the most extreme case where </w:t>
      </w:r>
      <m:oMath>
        <m:sSub>
          <m:sSubPr>
            <m:ctrlPr>
              <w:rPr>
                <w:rFonts w:ascii="Cambria Math" w:hAnsi="Cambria Math" w:cstheme="minorHAnsi"/>
                <w:i/>
                <w:iCs/>
              </w:rPr>
            </m:ctrlPr>
          </m:sSubPr>
          <m:e>
            <m:r>
              <w:rPr>
                <w:rFonts w:ascii="Cambria Math" w:hAnsi="Cambria Math" w:cstheme="minorHAnsi"/>
              </w:rPr>
              <m:t>λ</m:t>
            </m:r>
          </m:e>
          <m:sub>
            <m:r>
              <w:rPr>
                <w:rFonts w:ascii="Cambria Math" w:hAnsi="Cambria Math" w:cstheme="minorHAnsi"/>
              </w:rPr>
              <m:t>R</m:t>
            </m:r>
          </m:sub>
        </m:sSub>
      </m:oMath>
      <w:r w:rsidRPr="00FB1344">
        <w:rPr>
          <w:rFonts w:cstheme="minorHAnsi"/>
          <w:iCs/>
        </w:rPr>
        <w:t>~ 1</w:t>
      </w:r>
      <w:r w:rsidRPr="00FB1344">
        <w:rPr>
          <w:rFonts w:cstheme="minorHAnsi" w:hint="eastAsia"/>
          <w:iCs/>
        </w:rPr>
        <w:t>0</w:t>
      </w:r>
      <w:r w:rsidRPr="00FB1344">
        <w:rPr>
          <w:rFonts w:cstheme="minorHAnsi"/>
          <w:iCs/>
        </w:rPr>
        <w:t xml:space="preserve"> meV, we </w:t>
      </w:r>
      <w:r w:rsidRPr="00FB1344">
        <w:rPr>
          <w:rFonts w:cstheme="minorHAnsi" w:hint="eastAsia"/>
          <w:iCs/>
        </w:rPr>
        <w:t>obtain</w:t>
      </w:r>
    </w:p>
    <w:p w14:paraId="4C41F81C" w14:textId="77777777" w:rsidR="0013589B" w:rsidRPr="00FB1344" w:rsidRDefault="00000000" w:rsidP="0013589B">
      <w:pPr>
        <w:jc w:val="both"/>
        <w:rPr>
          <w:rFonts w:cstheme="minorHAnsi"/>
        </w:rPr>
      </w:pPr>
      <m:oMathPara>
        <m:oMath>
          <m:sSub>
            <m:sSubPr>
              <m:ctrlPr>
                <w:rPr>
                  <w:rFonts w:ascii="Cambria Math" w:hAnsi="Cambria Math" w:cstheme="minorHAnsi"/>
                  <w:i/>
                  <w:iCs/>
                </w:rPr>
              </m:ctrlPr>
            </m:sSubPr>
            <m:e>
              <m:r>
                <w:rPr>
                  <w:rFonts w:ascii="Cambria Math" w:hAnsi="Cambria Math" w:cstheme="minorHAnsi"/>
                </w:rPr>
                <m:t>V</m:t>
              </m:r>
            </m:e>
            <m:sub>
              <m:r>
                <w:rPr>
                  <w:rFonts w:ascii="Cambria Math" w:hAnsi="Cambria Math" w:cstheme="minorHAnsi"/>
                </w:rPr>
                <m:t>R,</m:t>
              </m:r>
              <m:r>
                <m:rPr>
                  <m:sty m:val="p"/>
                </m:rPr>
                <w:rPr>
                  <w:rFonts w:ascii="Cambria Math" w:hAnsi="Cambria Math" w:cstheme="minorHAnsi"/>
                </w:rPr>
                <m:t>eff</m:t>
              </m:r>
            </m:sub>
          </m:sSub>
          <m:r>
            <w:rPr>
              <w:rFonts w:ascii="Cambria Math" w:hAnsi="Cambria Math" w:cstheme="minorHAnsi"/>
            </w:rPr>
            <m:t xml:space="preserve">  ~ </m:t>
          </m:r>
          <m:f>
            <m:fPr>
              <m:ctrlPr>
                <w:rPr>
                  <w:rFonts w:ascii="Cambria Math" w:hAnsi="Cambria Math" w:cstheme="minorHAnsi"/>
                  <w:i/>
                </w:rPr>
              </m:ctrlPr>
            </m:fPr>
            <m:num>
              <m:sSubSup>
                <m:sSubSupPr>
                  <m:ctrlPr>
                    <w:rPr>
                      <w:rFonts w:ascii="Cambria Math" w:hAnsi="Cambria Math" w:cstheme="minorHAnsi"/>
                      <w:i/>
                    </w:rPr>
                  </m:ctrlPr>
                </m:sSubSupPr>
                <m:e>
                  <m:r>
                    <w:rPr>
                      <w:rFonts w:ascii="Cambria Math" w:hAnsi="Cambria Math" w:cstheme="minorHAnsi"/>
                    </w:rPr>
                    <m:t>λ</m:t>
                  </m:r>
                </m:e>
                <m:sub>
                  <m:r>
                    <w:rPr>
                      <w:rFonts w:ascii="Cambria Math" w:hAnsi="Cambria Math" w:cstheme="minorHAnsi"/>
                    </w:rPr>
                    <m:t>R</m:t>
                  </m:r>
                </m:sub>
                <m:sup>
                  <m:r>
                    <w:rPr>
                      <w:rFonts w:ascii="Cambria Math" w:hAnsi="Cambria Math" w:cstheme="minorHAnsi"/>
                    </w:rPr>
                    <m:t>2</m:t>
                  </m:r>
                </m:sup>
              </m:sSubSup>
            </m:num>
            <m:den>
              <m:r>
                <w:rPr>
                  <w:rFonts w:ascii="Cambria Math" w:hAnsi="Cambria Math" w:cstheme="minorHAnsi"/>
                </w:rPr>
                <m:t>ρ</m:t>
              </m:r>
              <m:d>
                <m:dPr>
                  <m:ctrlPr>
                    <w:rPr>
                      <w:rFonts w:ascii="Cambria Math" w:hAnsi="Cambria Math" w:cstheme="minorHAnsi"/>
                      <w:i/>
                    </w:rPr>
                  </m:ctrlPr>
                </m:dPr>
                <m:e>
                  <m:sSub>
                    <m:sSubPr>
                      <m:ctrlPr>
                        <w:rPr>
                          <w:rFonts w:ascii="Cambria Math" w:hAnsi="Cambria Math" w:cstheme="minorHAnsi"/>
                          <w:i/>
                        </w:rPr>
                      </m:ctrlPr>
                    </m:sSubPr>
                    <m:e>
                      <m:r>
                        <w:rPr>
                          <w:rFonts w:ascii="Cambria Math" w:hAnsi="Cambria Math" w:cstheme="minorHAnsi"/>
                        </w:rPr>
                        <m:t>H</m:t>
                      </m:r>
                    </m:e>
                    <m:sub>
                      <m:r>
                        <w:rPr>
                          <w:rFonts w:ascii="Cambria Math" w:hAnsi="Cambria Math" w:cstheme="minorHAnsi"/>
                        </w:rPr>
                        <m:t>QQ</m:t>
                      </m:r>
                    </m:sub>
                  </m:sSub>
                </m:e>
              </m:d>
            </m:den>
          </m:f>
          <m:r>
            <w:rPr>
              <w:rFonts w:ascii="Cambria Math" w:hAnsi="Cambria Math" w:cstheme="minorHAnsi"/>
            </w:rPr>
            <m:t xml:space="preserve"> ~ </m:t>
          </m:r>
          <m:f>
            <m:fPr>
              <m:ctrlPr>
                <w:rPr>
                  <w:rFonts w:ascii="Cambria Math" w:hAnsi="Cambria Math" w:cstheme="minorHAnsi"/>
                  <w:i/>
                </w:rPr>
              </m:ctrlPr>
            </m:fPr>
            <m:num>
              <m:sSubSup>
                <m:sSubSupPr>
                  <m:ctrlPr>
                    <w:rPr>
                      <w:rFonts w:ascii="Cambria Math" w:hAnsi="Cambria Math" w:cstheme="minorHAnsi"/>
                      <w:i/>
                    </w:rPr>
                  </m:ctrlPr>
                </m:sSubSupPr>
                <m:e>
                  <m:r>
                    <w:rPr>
                      <w:rFonts w:ascii="Cambria Math" w:hAnsi="Cambria Math" w:cstheme="minorHAnsi"/>
                    </w:rPr>
                    <m:t>λ</m:t>
                  </m:r>
                </m:e>
                <m:sub>
                  <m:r>
                    <w:rPr>
                      <w:rFonts w:ascii="Cambria Math" w:hAnsi="Cambria Math" w:cstheme="minorHAnsi"/>
                    </w:rPr>
                    <m:t>R</m:t>
                  </m:r>
                </m:sub>
                <m:sup>
                  <m:r>
                    <w:rPr>
                      <w:rFonts w:ascii="Cambria Math" w:hAnsi="Cambria Math" w:cstheme="minorHAnsi"/>
                    </w:rPr>
                    <m:t>2</m:t>
                  </m:r>
                </m:sup>
              </m:sSubSup>
            </m:num>
            <m:den>
              <m:sSub>
                <m:sSubPr>
                  <m:ctrlPr>
                    <w:rPr>
                      <w:rFonts w:ascii="Cambria Math" w:hAnsi="Cambria Math" w:cstheme="minorHAnsi"/>
                      <w:i/>
                      <w:iCs/>
                    </w:rPr>
                  </m:ctrlPr>
                </m:sSubPr>
                <m:e>
                  <m:r>
                    <w:rPr>
                      <w:rFonts w:ascii="Cambria Math" w:hAnsi="Cambria Math" w:cstheme="minorHAnsi"/>
                    </w:rPr>
                    <m:t>γ</m:t>
                  </m:r>
                </m:e>
                <m:sub>
                  <m:r>
                    <w:rPr>
                      <w:rFonts w:ascii="Cambria Math" w:hAnsi="Cambria Math" w:cstheme="minorHAnsi"/>
                    </w:rPr>
                    <m:t>1</m:t>
                  </m:r>
                </m:sub>
              </m:sSub>
            </m:den>
          </m:f>
          <m:r>
            <w:rPr>
              <w:rFonts w:ascii="Cambria Math" w:hAnsi="Cambria Math" w:cstheme="minorHAnsi"/>
            </w:rPr>
            <m:t xml:space="preserve"> ~ </m:t>
          </m:r>
          <m:f>
            <m:fPr>
              <m:ctrlPr>
                <w:rPr>
                  <w:rFonts w:ascii="Cambria Math" w:hAnsi="Cambria Math" w:cstheme="minorHAnsi"/>
                  <w:i/>
                </w:rPr>
              </m:ctrlPr>
            </m:fPr>
            <m:num>
              <m:r>
                <w:rPr>
                  <w:rFonts w:ascii="Cambria Math" w:hAnsi="Cambria Math" w:cstheme="minorHAnsi"/>
                </w:rPr>
                <m:t>(10</m:t>
              </m:r>
              <m:r>
                <m:rPr>
                  <m:sty m:val="p"/>
                </m:rPr>
                <w:rPr>
                  <w:rFonts w:ascii="Cambria Math" w:hAnsi="Cambria Math" w:cstheme="minorHAnsi"/>
                </w:rPr>
                <m:t xml:space="preserve"> </m:t>
              </m:r>
              <m:sSup>
                <m:sSupPr>
                  <m:ctrlPr>
                    <w:rPr>
                      <w:rFonts w:ascii="Cambria Math" w:hAnsi="Cambria Math" w:cstheme="minorHAnsi"/>
                      <w:i/>
                    </w:rPr>
                  </m:ctrlPr>
                </m:sSupPr>
                <m:e>
                  <m:r>
                    <m:rPr>
                      <m:sty m:val="p"/>
                    </m:rPr>
                    <w:rPr>
                      <w:rFonts w:ascii="Cambria Math" w:hAnsi="Cambria Math" w:cstheme="minorHAnsi"/>
                    </w:rPr>
                    <m:t>meV)</m:t>
                  </m:r>
                  <m:ctrlPr>
                    <w:rPr>
                      <w:rFonts w:ascii="Cambria Math" w:hAnsi="Cambria Math" w:cstheme="minorHAnsi"/>
                      <w:iCs/>
                    </w:rPr>
                  </m:ctrlPr>
                </m:e>
                <m:sup>
                  <m:r>
                    <w:rPr>
                      <w:rFonts w:ascii="Cambria Math" w:hAnsi="Cambria Math" w:cstheme="minorHAnsi"/>
                    </w:rPr>
                    <m:t>2</m:t>
                  </m:r>
                </m:sup>
              </m:sSup>
            </m:num>
            <m:den>
              <m:r>
                <w:rPr>
                  <w:rFonts w:ascii="Cambria Math" w:hAnsi="Cambria Math" w:cstheme="minorHAnsi"/>
                </w:rPr>
                <m:t>400</m:t>
              </m:r>
              <m:r>
                <m:rPr>
                  <m:sty m:val="p"/>
                </m:rPr>
                <w:rPr>
                  <w:rFonts w:ascii="Cambria Math" w:hAnsi="Cambria Math" w:cstheme="minorHAnsi"/>
                </w:rPr>
                <m:t xml:space="preserve"> meV</m:t>
              </m:r>
            </m:den>
          </m:f>
          <m:r>
            <w:rPr>
              <w:rFonts w:ascii="Cambria Math" w:hAnsi="Cambria Math" w:cstheme="minorHAnsi"/>
            </w:rPr>
            <m:t>=0.25 m</m:t>
          </m:r>
          <m:r>
            <m:rPr>
              <m:sty m:val="p"/>
            </m:rPr>
            <w:rPr>
              <w:rFonts w:ascii="Cambria Math" w:hAnsi="Cambria Math" w:cstheme="minorHAnsi"/>
            </w:rPr>
            <m:t>eV.</m:t>
          </m:r>
        </m:oMath>
      </m:oMathPara>
    </w:p>
    <w:bookmarkEnd w:id="3"/>
    <w:p w14:paraId="19D81A93" w14:textId="77777777" w:rsidR="0013589B" w:rsidRPr="00861481" w:rsidRDefault="0013589B" w:rsidP="0013589B">
      <w:pPr>
        <w:ind w:firstLine="720"/>
        <w:jc w:val="both"/>
        <w:rPr>
          <w:rFonts w:ascii="Times New Roman" w:hAnsi="Times New Roman" w:cs="Times New Roman"/>
          <w:iCs/>
        </w:rPr>
      </w:pPr>
      <w:r w:rsidRPr="00FB1344">
        <w:rPr>
          <w:rFonts w:cstheme="minorHAnsi"/>
          <w:iCs/>
        </w:rPr>
        <w:t xml:space="preserve">This value is considerably smaller than the Ising SOC </w:t>
      </w:r>
      <m:oMath>
        <m:sSub>
          <m:sSubPr>
            <m:ctrlPr>
              <w:rPr>
                <w:rFonts w:ascii="Cambria Math" w:hAnsi="Cambria Math" w:cstheme="minorHAnsi"/>
                <w:i/>
                <w:iCs/>
              </w:rPr>
            </m:ctrlPr>
          </m:sSubPr>
          <m:e>
            <m:r>
              <w:rPr>
                <w:rFonts w:ascii="Cambria Math" w:hAnsi="Cambria Math" w:cstheme="minorHAnsi"/>
              </w:rPr>
              <m:t>λ</m:t>
            </m:r>
          </m:e>
          <m:sub>
            <m:r>
              <w:rPr>
                <w:rFonts w:ascii="Cambria Math" w:hAnsi="Cambria Math" w:cstheme="minorHAnsi"/>
              </w:rPr>
              <m:t>I</m:t>
            </m:r>
          </m:sub>
        </m:sSub>
      </m:oMath>
      <w:r w:rsidRPr="00FB1344">
        <w:rPr>
          <w:rFonts w:cstheme="minorHAnsi"/>
          <w:iCs/>
        </w:rPr>
        <w:t xml:space="preserve"> ~ 1 meV. We note that </w:t>
      </w:r>
      <m:oMath>
        <m:sSub>
          <m:sSubPr>
            <m:ctrlPr>
              <w:rPr>
                <w:rFonts w:ascii="Cambria Math" w:hAnsi="Cambria Math" w:cstheme="minorHAnsi"/>
                <w:i/>
                <w:iCs/>
              </w:rPr>
            </m:ctrlPr>
          </m:sSubPr>
          <m:e>
            <m:r>
              <w:rPr>
                <w:rFonts w:ascii="Cambria Math" w:hAnsi="Cambria Math" w:cstheme="minorHAnsi"/>
              </w:rPr>
              <m:t>V</m:t>
            </m:r>
          </m:e>
          <m:sub>
            <m:r>
              <w:rPr>
                <w:rFonts w:ascii="Cambria Math" w:hAnsi="Cambria Math" w:cstheme="minorHAnsi"/>
              </w:rPr>
              <m:t>R,</m:t>
            </m:r>
            <m:r>
              <m:rPr>
                <m:sty m:val="p"/>
              </m:rPr>
              <w:rPr>
                <w:rFonts w:ascii="Cambria Math" w:hAnsi="Cambria Math" w:cstheme="minorHAnsi"/>
              </w:rPr>
              <m:t>eff</m:t>
            </m:r>
          </m:sub>
        </m:sSub>
      </m:oMath>
      <w:r w:rsidRPr="00FB1344">
        <w:rPr>
          <w:rFonts w:cstheme="minorHAnsi"/>
          <w:iCs/>
        </w:rPr>
        <w:t xml:space="preserve"> would be </w:t>
      </w:r>
      <w:r w:rsidRPr="00FB1344">
        <w:rPr>
          <w:rFonts w:cstheme="minorHAnsi" w:hint="eastAsia"/>
          <w:iCs/>
        </w:rPr>
        <w:t xml:space="preserve">one to three orders of magnitude </w:t>
      </w:r>
      <w:r w:rsidRPr="00FB1344">
        <w:rPr>
          <w:rFonts w:cstheme="minorHAnsi"/>
          <w:iCs/>
        </w:rPr>
        <w:t xml:space="preserve">smaller, should we take Rashba SOC from first-principles </w:t>
      </w:r>
      <w:r w:rsidRPr="00FB1344">
        <w:rPr>
          <w:rFonts w:cstheme="minorHAnsi"/>
          <w:iCs/>
        </w:rPr>
        <w:lastRenderedPageBreak/>
        <w:t>calculations or other experimental literatures. Thus, the effect of Rashba SOC on low-energy band structures can be safely omitted in our model calculation.</w:t>
      </w:r>
    </w:p>
    <w:bookmarkEnd w:id="4"/>
    <w:p w14:paraId="1280290F" w14:textId="77777777" w:rsidR="0013589B" w:rsidRPr="00E57BF0" w:rsidRDefault="0013589B" w:rsidP="0013589B">
      <w:pPr>
        <w:jc w:val="both"/>
        <w:rPr>
          <w:rFonts w:ascii="Calibri" w:hAnsi="Calibri" w:cs="Calibri"/>
          <w:b/>
          <w:bCs/>
        </w:rPr>
      </w:pPr>
      <w:r>
        <w:rPr>
          <w:rFonts w:ascii="Calibri" w:hAnsi="Calibri" w:cs="Calibri"/>
          <w:b/>
          <w:bCs/>
        </w:rPr>
        <w:t>M</w:t>
      </w:r>
      <w:r w:rsidRPr="00BE4A7B">
        <w:rPr>
          <w:rFonts w:ascii="Calibri" w:hAnsi="Calibri" w:cs="Calibri"/>
          <w:b/>
          <w:bCs/>
        </w:rPr>
        <w:t>ean-</w:t>
      </w:r>
      <w:r>
        <w:rPr>
          <w:rFonts w:ascii="Calibri" w:hAnsi="Calibri" w:cs="Calibri"/>
          <w:b/>
          <w:bCs/>
        </w:rPr>
        <w:t>F</w:t>
      </w:r>
      <w:r w:rsidRPr="00BE4A7B">
        <w:rPr>
          <w:rFonts w:ascii="Calibri" w:hAnsi="Calibri" w:cs="Calibri"/>
          <w:b/>
          <w:bCs/>
        </w:rPr>
        <w:t xml:space="preserve">ield </w:t>
      </w:r>
      <w:r>
        <w:rPr>
          <w:rFonts w:ascii="Calibri" w:hAnsi="Calibri" w:cs="Calibri"/>
          <w:b/>
          <w:bCs/>
        </w:rPr>
        <w:t>T</w:t>
      </w:r>
      <w:r w:rsidRPr="00BE4A7B">
        <w:rPr>
          <w:rFonts w:ascii="Calibri" w:hAnsi="Calibri" w:cs="Calibri"/>
          <w:b/>
          <w:bCs/>
        </w:rPr>
        <w:t>heory</w:t>
      </w:r>
    </w:p>
    <w:p w14:paraId="59B3EC01" w14:textId="77777777" w:rsidR="0013589B" w:rsidRPr="00B74DCC" w:rsidRDefault="0013589B" w:rsidP="0013589B">
      <w:pPr>
        <w:jc w:val="both"/>
        <w:rPr>
          <w:rFonts w:ascii="Calibri" w:hAnsi="Calibri" w:cs="Calibri"/>
          <w:vertAlign w:val="subscript"/>
        </w:rPr>
      </w:pPr>
      <w:r>
        <w:rPr>
          <w:rFonts w:ascii="Calibri" w:hAnsi="Calibri" w:cs="Calibri"/>
        </w:rPr>
        <w:t xml:space="preserve">To investigate the interacting ground states in our RG trilayer devices, particularly the </w:t>
      </w:r>
      <w:r w:rsidRPr="00E57BF0">
        <w:rPr>
          <w:rFonts w:ascii="Calibri" w:hAnsi="Calibri" w:cs="Calibri"/>
        </w:rPr>
        <w:t>Stoner</w:t>
      </w:r>
      <w:r>
        <w:rPr>
          <w:rFonts w:ascii="Calibri" w:hAnsi="Calibri" w:cs="Calibri"/>
        </w:rPr>
        <w:t>-like</w:t>
      </w:r>
      <w:r w:rsidRPr="00E57BF0">
        <w:rPr>
          <w:rFonts w:ascii="Calibri" w:hAnsi="Calibri" w:cs="Calibri"/>
        </w:rPr>
        <w:t xml:space="preserve"> phases</w:t>
      </w:r>
      <w:r>
        <w:rPr>
          <w:rFonts w:ascii="Calibri" w:hAnsi="Calibri" w:cs="Calibri"/>
        </w:rPr>
        <w:t>,</w:t>
      </w:r>
      <w:r w:rsidRPr="00E57BF0">
        <w:rPr>
          <w:rFonts w:ascii="Calibri" w:hAnsi="Calibri" w:cs="Calibri"/>
        </w:rPr>
        <w:t xml:space="preserve"> </w:t>
      </w:r>
      <w:r>
        <w:rPr>
          <w:rFonts w:ascii="Calibri" w:hAnsi="Calibri" w:cs="Calibri"/>
        </w:rPr>
        <w:t xml:space="preserve">we apply a </w:t>
      </w:r>
      <w:r w:rsidRPr="00E57BF0">
        <w:rPr>
          <w:rFonts w:ascii="Calibri" w:hAnsi="Calibri" w:cs="Calibri"/>
        </w:rPr>
        <w:t>self-consistent Hartree-Fock</w:t>
      </w:r>
      <w:r>
        <w:rPr>
          <w:rFonts w:ascii="Calibri" w:hAnsi="Calibri" w:cs="Calibri"/>
        </w:rPr>
        <w:t xml:space="preserve"> </w:t>
      </w:r>
      <w:r w:rsidRPr="00E57BF0">
        <w:rPr>
          <w:rFonts w:ascii="Calibri" w:hAnsi="Calibri" w:cs="Calibri"/>
        </w:rPr>
        <w:t xml:space="preserve">mean-field </w:t>
      </w:r>
      <w:r>
        <w:rPr>
          <w:rFonts w:ascii="Calibri" w:hAnsi="Calibri" w:cs="Calibri"/>
        </w:rPr>
        <w:t xml:space="preserve">theory to calculate the electron-doped case. All the calculations are done on a 241 </w:t>
      </w:r>
      <m:oMath>
        <m:r>
          <w:rPr>
            <w:rFonts w:ascii="Cambria Math" w:hAnsi="Cambria Math" w:cs="Calibri"/>
          </w:rPr>
          <m:t>×</m:t>
        </m:r>
      </m:oMath>
      <w:r>
        <w:rPr>
          <w:rFonts w:ascii="Calibri" w:hAnsi="Calibri" w:cs="Calibri"/>
        </w:rPr>
        <w:t xml:space="preserve"> 241 </w:t>
      </w:r>
      <m:oMath>
        <m:r>
          <w:rPr>
            <w:rFonts w:ascii="Cambria Math" w:hAnsi="Cambria Math" w:cs="Calibri"/>
          </w:rPr>
          <m:t>k</m:t>
        </m:r>
      </m:oMath>
      <w:r>
        <w:rPr>
          <w:rFonts w:ascii="Calibri" w:hAnsi="Calibri" w:cs="Calibri"/>
        </w:rPr>
        <w:t xml:space="preserve">-point square mesh grid, which is centered at the </w:t>
      </w:r>
      <w:r w:rsidRPr="00FA7A10">
        <w:rPr>
          <w:rFonts w:ascii="Calibri" w:hAnsi="Calibri" w:cs="Calibri"/>
          <w:i/>
          <w:iCs/>
        </w:rPr>
        <w:t>K</w:t>
      </w:r>
      <w:r>
        <w:rPr>
          <w:rFonts w:ascii="Calibri" w:hAnsi="Calibri" w:cs="Calibri"/>
        </w:rPr>
        <w:t>/</w:t>
      </w:r>
      <w:r w:rsidRPr="00FA7A10">
        <w:rPr>
          <w:rFonts w:ascii="Calibri" w:hAnsi="Calibri" w:cs="Calibri"/>
          <w:i/>
          <w:iCs/>
        </w:rPr>
        <w:t>K’</w:t>
      </w:r>
      <w:r>
        <w:rPr>
          <w:rFonts w:ascii="Calibri" w:hAnsi="Calibri" w:cs="Calibri"/>
        </w:rPr>
        <w:t xml:space="preserve"> point with a side length of </w:t>
      </w:r>
      <m:oMath>
        <m:r>
          <w:rPr>
            <w:rFonts w:ascii="Cambria Math" w:hAnsi="Cambria Math" w:cs="Calibri"/>
          </w:rPr>
          <m:t>0.24</m:t>
        </m:r>
      </m:oMath>
      <w:r>
        <w:rPr>
          <w:rFonts w:ascii="Calibri" w:hAnsi="Calibri" w:cs="Calibri"/>
        </w:rPr>
        <w:t xml:space="preserve"> in units of the inverse of graphene lattice constant. The ground states are determined by comparing the total energies of competing Stoner-like phases, and a reference state with the full spin-valley symmetry in the absence of SOC is chosen.</w:t>
      </w:r>
    </w:p>
    <w:p w14:paraId="6671CE1C" w14:textId="1B647AE8" w:rsidR="0013589B" w:rsidRPr="00E57BF0" w:rsidRDefault="0013589B" w:rsidP="0013589B">
      <w:pPr>
        <w:ind w:firstLine="720"/>
        <w:jc w:val="both"/>
        <w:rPr>
          <w:rFonts w:ascii="Calibri" w:hAnsi="Calibri" w:cs="Calibri"/>
        </w:rPr>
      </w:pPr>
      <w:r>
        <w:rPr>
          <w:rFonts w:ascii="Calibri" w:hAnsi="Calibri" w:cs="Calibri"/>
        </w:rPr>
        <w:t>U</w:t>
      </w:r>
      <w:r w:rsidRPr="001C4357">
        <w:rPr>
          <w:rFonts w:ascii="Calibri" w:hAnsi="Calibri" w:cs="Calibri"/>
        </w:rPr>
        <w:t xml:space="preserve">nder a strong </w:t>
      </w:r>
      <w:r>
        <w:rPr>
          <w:rFonts w:ascii="Calibri" w:hAnsi="Calibri" w:cs="Calibri"/>
        </w:rPr>
        <w:t>displacement</w:t>
      </w:r>
      <w:r w:rsidRPr="001C4357">
        <w:rPr>
          <w:rFonts w:ascii="Calibri" w:hAnsi="Calibri" w:cs="Calibri"/>
        </w:rPr>
        <w:t xml:space="preserve"> field, </w:t>
      </w:r>
      <w:r>
        <w:rPr>
          <w:rFonts w:ascii="Calibri" w:hAnsi="Calibri" w:cs="Calibri"/>
        </w:rPr>
        <w:t>the conduction band</w:t>
      </w:r>
      <w:r w:rsidRPr="001C4357">
        <w:rPr>
          <w:rFonts w:ascii="Calibri" w:hAnsi="Calibri" w:cs="Calibri"/>
        </w:rPr>
        <w:t xml:space="preserve"> electrons are </w:t>
      </w:r>
      <w:r w:rsidRPr="00883642">
        <w:rPr>
          <w:rFonts w:ascii="Calibri" w:hAnsi="Calibri" w:cs="Calibri"/>
        </w:rPr>
        <w:t>predominantly</w:t>
      </w:r>
      <w:r>
        <w:rPr>
          <w:rFonts w:ascii="Calibri" w:hAnsi="Calibri" w:cs="Calibri"/>
        </w:rPr>
        <w:t xml:space="preserve"> polarized to an</w:t>
      </w:r>
      <w:r w:rsidRPr="001C4357">
        <w:rPr>
          <w:rFonts w:ascii="Calibri" w:hAnsi="Calibri" w:cs="Calibri"/>
        </w:rPr>
        <w:t xml:space="preserve"> outermost </w:t>
      </w:r>
      <w:r>
        <w:rPr>
          <w:rFonts w:ascii="Calibri" w:hAnsi="Calibri" w:cs="Calibri"/>
        </w:rPr>
        <w:t xml:space="preserve">graphene </w:t>
      </w:r>
      <w:r w:rsidRPr="001C4357">
        <w:rPr>
          <w:rFonts w:ascii="Calibri" w:hAnsi="Calibri" w:cs="Calibri"/>
        </w:rPr>
        <w:t xml:space="preserve">layer, making the Hartree </w:t>
      </w:r>
      <w:r>
        <w:rPr>
          <w:rFonts w:ascii="Calibri" w:hAnsi="Calibri" w:cs="Calibri"/>
        </w:rPr>
        <w:t xml:space="preserve">contribution </w:t>
      </w:r>
      <w:r w:rsidRPr="001C4357">
        <w:rPr>
          <w:rFonts w:ascii="Calibri" w:hAnsi="Calibri" w:cs="Calibri"/>
        </w:rPr>
        <w:t>a constant energy shift</w:t>
      </w:r>
      <w:r>
        <w:rPr>
          <w:rFonts w:ascii="Calibri" w:hAnsi="Calibri" w:cs="Calibri"/>
        </w:rPr>
        <w:t xml:space="preserve"> that can be ignored</w:t>
      </w:r>
      <w:r w:rsidRPr="001C4357">
        <w:rPr>
          <w:rFonts w:ascii="Calibri" w:hAnsi="Calibri" w:cs="Calibri"/>
        </w:rPr>
        <w:t>.</w:t>
      </w:r>
      <w:r>
        <w:rPr>
          <w:rFonts w:ascii="Calibri" w:hAnsi="Calibri" w:cs="Calibri"/>
        </w:rPr>
        <w:t xml:space="preserve"> For graphene systems, it has been well developed that two types of</w:t>
      </w:r>
      <w:r w:rsidRPr="001C4357">
        <w:rPr>
          <w:rFonts w:ascii="Calibri" w:hAnsi="Calibri" w:cs="Calibri"/>
        </w:rPr>
        <w:t xml:space="preserve"> interaction</w:t>
      </w:r>
      <w:r>
        <w:rPr>
          <w:rFonts w:ascii="Calibri" w:hAnsi="Calibri" w:cs="Calibri"/>
        </w:rPr>
        <w:t>s will dominate the exchange contribution</w:t>
      </w:r>
      <w:r>
        <w:rPr>
          <w:rFonts w:ascii="Calibri" w:hAnsi="Calibri" w:cs="Calibri"/>
        </w:rPr>
        <w:fldChar w:fldCharType="begin"/>
      </w:r>
      <w:r w:rsidR="00BF4618">
        <w:rPr>
          <w:rFonts w:ascii="Calibri" w:hAnsi="Calibri" w:cs="Calibri"/>
        </w:rPr>
        <w:instrText xml:space="preserve"> ADDIN ZOTERO_ITEM CSL_CITATION {"citationID":"6lMwp29E","properties":{"formattedCitation":"\\super 13\\nosupersub{}","plainCitation":"13","noteIndex":0},"citationItems":[{"id":4583,"uris":["http://zotero.org/users/5406744/items/ZKDJDUAE"],"itemData":{"id":4583,"type":"article-journal","abstract":"In mean-field theory, bilayer graphene’s massive Dirac fermion model has a family of broken-inversion-symmetry ground states with charge gaps and flavor-dependent spontaneous interlayer charge transfers. We use a lattice Hartree-Fock model to explore the lattice scale physics of graphene bilayers, which has a strong influence on ordering energy scales and on the competition between distinct ordered states. We find that inversion symmetry is still broken in the lattice model and estimate that the transferred areal densities are ~10−5 electrons per carbon atom, that the associated energy gaps are ~10−2 eV, that the ordering condensation energies are ~10−7 eV per carbon atom, and that the differences in energy between competing ordered states is ~10−9 eV per carbon atom. We find that states with a quantized valley Hall effect are lowest in energy, but that the coupling of an external magnetic field to spontaneous orbital moments favors the broken-time-reversal-symmetry states that have quantized anomalous Hall effects. Our theory predicts nonmonotonic behavior of the band gap at neutrality on the potential difference between layers, in qualitative agreement with recent experiments.","container-title":"Physical Review B","DOI":"10.1103/PhysRevB.83.115408","issue":"11","journalAbbreviation":"Phys. Rev. B","note":"publisher: American Physical Society","page":"115408","source":"APS","title":"Lattice theory of pseudospin ferromagnetism in bilayer graphene: Competing interaction-induced quantum Hall states","title-short":"Lattice theory of pseudospin ferromagnetism in bilayer graphene","volume":"83","author":[{"family":"Jung","given":"Jeil"},{"family":"Zhang","given":"Fan"},{"family":"MacDonald","given":"Allan H."}],"issued":{"date-parts":[["2011",3,7]]}}}],"schema":"https://github.com/citation-style-language/schema/raw/master/csl-citation.json"} </w:instrText>
      </w:r>
      <w:r>
        <w:rPr>
          <w:rFonts w:ascii="Calibri" w:hAnsi="Calibri" w:cs="Calibri"/>
        </w:rPr>
        <w:fldChar w:fldCharType="separate"/>
      </w:r>
      <w:r w:rsidR="00BF4618" w:rsidRPr="00BF4618">
        <w:rPr>
          <w:rFonts w:ascii="Calibri" w:hAnsi="Calibri" w:cs="Calibri"/>
          <w:kern w:val="0"/>
          <w:vertAlign w:val="superscript"/>
        </w:rPr>
        <w:t>13</w:t>
      </w:r>
      <w:r>
        <w:rPr>
          <w:rFonts w:ascii="Calibri" w:hAnsi="Calibri" w:cs="Calibri"/>
        </w:rPr>
        <w:fldChar w:fldCharType="end"/>
      </w:r>
      <w:r>
        <w:rPr>
          <w:rFonts w:ascii="Calibri" w:hAnsi="Calibri" w:cs="Calibri"/>
        </w:rPr>
        <w:t xml:space="preserve">. </w:t>
      </w:r>
      <w:r w:rsidRPr="00E57BF0">
        <w:rPr>
          <w:rFonts w:ascii="Calibri" w:hAnsi="Calibri" w:cs="Calibri"/>
        </w:rPr>
        <w:t>The</w:t>
      </w:r>
      <w:r>
        <w:rPr>
          <w:rFonts w:ascii="Calibri" w:hAnsi="Calibri" w:cs="Calibri"/>
        </w:rPr>
        <w:t xml:space="preserve"> first one is the</w:t>
      </w:r>
      <w:r w:rsidRPr="00E57BF0">
        <w:rPr>
          <w:rFonts w:ascii="Calibri" w:hAnsi="Calibri" w:cs="Calibri"/>
        </w:rPr>
        <w:t xml:space="preserve"> exchange interaction </w:t>
      </w:r>
      <w:r>
        <w:rPr>
          <w:rFonts w:ascii="Calibri" w:hAnsi="Calibri" w:cs="Calibri"/>
        </w:rPr>
        <w:t xml:space="preserve">associated with a momentum transfer within a valley: </w:t>
      </w:r>
    </w:p>
    <w:p w14:paraId="36FCE9A8" w14:textId="77777777" w:rsidR="0013589B" w:rsidRPr="00E57BF0" w:rsidRDefault="00000000" w:rsidP="0013589B">
      <w:pPr>
        <w:jc w:val="center"/>
        <w:rPr>
          <w:rFonts w:ascii="Calibri" w:hAnsi="Calibri" w:cs="Calibri"/>
        </w:rPr>
      </w:pPr>
      <m:oMath>
        <m:d>
          <m:dPr>
            <m:begChr m:val="⟨"/>
            <m:endChr m:val="⟩"/>
            <m:ctrlPr>
              <w:rPr>
                <w:rFonts w:ascii="Cambria Math" w:hAnsi="Cambria Math" w:cs="Calibri"/>
                <w:i/>
              </w:rPr>
            </m:ctrlPr>
          </m:dPr>
          <m:e>
            <m:sSub>
              <m:sSubPr>
                <m:ctrlPr>
                  <w:rPr>
                    <w:rFonts w:ascii="Cambria Math" w:hAnsi="Cambria Math" w:cs="Calibri"/>
                    <w:i/>
                  </w:rPr>
                </m:ctrlPr>
              </m:sSubPr>
              <m:e>
                <m:acc>
                  <m:accPr>
                    <m:ctrlPr>
                      <w:rPr>
                        <w:rFonts w:ascii="Cambria Math" w:hAnsi="Cambria Math" w:cs="Calibri"/>
                        <w:i/>
                      </w:rPr>
                    </m:ctrlPr>
                  </m:accPr>
                  <m:e>
                    <m:r>
                      <w:rPr>
                        <w:rFonts w:ascii="Cambria Math" w:hAnsi="Cambria Math" w:cs="Calibri"/>
                      </w:rPr>
                      <m:t>V</m:t>
                    </m:r>
                  </m:e>
                </m:acc>
              </m:e>
              <m:sub>
                <m:r>
                  <m:rPr>
                    <m:sty m:val="p"/>
                  </m:rPr>
                  <w:rPr>
                    <w:rFonts w:ascii="Cambria Math" w:hAnsi="Cambria Math" w:cs="Calibri"/>
                  </w:rPr>
                  <m:t>ex</m:t>
                </m:r>
              </m:sub>
            </m:sSub>
          </m:e>
        </m:d>
        <m:r>
          <w:rPr>
            <w:rFonts w:ascii="Cambria Math" w:hAnsi="Cambria Math" w:cs="Calibri"/>
          </w:rPr>
          <m:t>=-</m:t>
        </m:r>
        <m:f>
          <m:fPr>
            <m:ctrlPr>
              <w:rPr>
                <w:rFonts w:ascii="Cambria Math" w:hAnsi="Cambria Math" w:cs="Calibri"/>
                <w:i/>
              </w:rPr>
            </m:ctrlPr>
          </m:fPr>
          <m:num>
            <m:r>
              <w:rPr>
                <w:rFonts w:ascii="Cambria Math" w:hAnsi="Cambria Math" w:cs="Calibri"/>
              </w:rPr>
              <m:t>1</m:t>
            </m:r>
          </m:num>
          <m:den>
            <m:r>
              <w:rPr>
                <w:rFonts w:ascii="Cambria Math" w:hAnsi="Cambria Math" w:cs="Calibri"/>
              </w:rPr>
              <m:t>2A</m:t>
            </m:r>
          </m:den>
        </m:f>
        <m:nary>
          <m:naryPr>
            <m:chr m:val="∑"/>
            <m:supHide m:val="1"/>
            <m:ctrlPr>
              <w:rPr>
                <w:rFonts w:ascii="Cambria Math" w:hAnsi="Cambria Math" w:cs="Calibri"/>
                <w:i/>
              </w:rPr>
            </m:ctrlPr>
          </m:naryPr>
          <m:sub>
            <m:r>
              <m:rPr>
                <m:sty m:val="bi"/>
              </m:rPr>
              <w:rPr>
                <w:rFonts w:ascii="Cambria Math" w:hAnsi="Cambria Math" w:cs="Calibri"/>
              </w:rPr>
              <m:t>k</m:t>
            </m:r>
            <m:r>
              <w:rPr>
                <w:rFonts w:ascii="Cambria Math" w:hAnsi="Cambria Math" w:cs="Calibri"/>
              </w:rPr>
              <m:t>sτα</m:t>
            </m:r>
          </m:sub>
          <m:sup/>
          <m:e>
            <m:nary>
              <m:naryPr>
                <m:chr m:val="∑"/>
                <m:supHide m:val="1"/>
                <m:ctrlPr>
                  <w:rPr>
                    <w:rFonts w:ascii="Cambria Math" w:hAnsi="Cambria Math" w:cs="Calibri"/>
                    <w:i/>
                  </w:rPr>
                </m:ctrlPr>
              </m:naryPr>
              <m:sub>
                <m:sSup>
                  <m:sSupPr>
                    <m:ctrlPr>
                      <w:rPr>
                        <w:rFonts w:ascii="Cambria Math" w:hAnsi="Cambria Math" w:cs="Calibri"/>
                        <w:b/>
                        <w:bCs/>
                        <w:i/>
                      </w:rPr>
                    </m:ctrlPr>
                  </m:sSupPr>
                  <m:e>
                    <m:r>
                      <m:rPr>
                        <m:sty m:val="bi"/>
                      </m:rPr>
                      <w:rPr>
                        <w:rFonts w:ascii="Cambria Math" w:hAnsi="Cambria Math" w:cs="Calibri"/>
                      </w:rPr>
                      <m:t>k</m:t>
                    </m:r>
                  </m:e>
                  <m:sup>
                    <m:r>
                      <m:rPr>
                        <m:sty m:val="bi"/>
                      </m:rPr>
                      <w:rPr>
                        <w:rFonts w:ascii="Cambria Math" w:hAnsi="Cambria Math" w:cs="Calibri"/>
                      </w:rPr>
                      <m:t>'</m:t>
                    </m:r>
                  </m:sup>
                </m:sSup>
                <m:sSup>
                  <m:sSupPr>
                    <m:ctrlPr>
                      <w:rPr>
                        <w:rFonts w:ascii="Cambria Math" w:hAnsi="Cambria Math" w:cs="Calibri"/>
                        <w:i/>
                      </w:rPr>
                    </m:ctrlPr>
                  </m:sSupPr>
                  <m:e>
                    <m:r>
                      <w:rPr>
                        <w:rFonts w:ascii="Cambria Math" w:hAnsi="Cambria Math" w:cs="Calibri"/>
                      </w:rPr>
                      <m:t>s</m:t>
                    </m:r>
                  </m:e>
                  <m:sup>
                    <m:r>
                      <w:rPr>
                        <w:rFonts w:ascii="Cambria Math" w:hAnsi="Cambria Math" w:cs="Calibri"/>
                      </w:rPr>
                      <m:t>'</m:t>
                    </m:r>
                  </m:sup>
                </m:sSup>
                <m:sSup>
                  <m:sSupPr>
                    <m:ctrlPr>
                      <w:rPr>
                        <w:rFonts w:ascii="Cambria Math" w:hAnsi="Cambria Math" w:cs="Calibri"/>
                        <w:i/>
                      </w:rPr>
                    </m:ctrlPr>
                  </m:sSupPr>
                  <m:e>
                    <m:r>
                      <w:rPr>
                        <w:rFonts w:ascii="Cambria Math" w:hAnsi="Cambria Math" w:cs="Calibri"/>
                      </w:rPr>
                      <m:t>τ</m:t>
                    </m:r>
                  </m:e>
                  <m:sup>
                    <m:r>
                      <w:rPr>
                        <w:rFonts w:ascii="Cambria Math" w:hAnsi="Cambria Math" w:cs="Calibri"/>
                      </w:rPr>
                      <m:t>'</m:t>
                    </m:r>
                  </m:sup>
                </m:sSup>
                <m:sSup>
                  <m:sSupPr>
                    <m:ctrlPr>
                      <w:rPr>
                        <w:rFonts w:ascii="Cambria Math" w:hAnsi="Cambria Math" w:cs="Calibri"/>
                        <w:i/>
                      </w:rPr>
                    </m:ctrlPr>
                  </m:sSupPr>
                  <m:e>
                    <m:r>
                      <w:rPr>
                        <w:rFonts w:ascii="Cambria Math" w:hAnsi="Cambria Math" w:cs="Calibri"/>
                      </w:rPr>
                      <m:t>α</m:t>
                    </m:r>
                  </m:e>
                  <m:sup>
                    <m:r>
                      <w:rPr>
                        <w:rFonts w:ascii="Cambria Math" w:hAnsi="Cambria Math" w:cs="Calibri"/>
                      </w:rPr>
                      <m:t>'</m:t>
                    </m:r>
                  </m:sup>
                </m:sSup>
              </m:sub>
              <m:sup/>
              <m:e>
                <m:sSub>
                  <m:sSubPr>
                    <m:ctrlPr>
                      <w:rPr>
                        <w:rFonts w:ascii="Cambria Math" w:hAnsi="Cambria Math" w:cs="Calibri"/>
                        <w:i/>
                      </w:rPr>
                    </m:ctrlPr>
                  </m:sSubPr>
                  <m:e>
                    <m:r>
                      <w:rPr>
                        <w:rFonts w:ascii="Cambria Math" w:hAnsi="Cambria Math" w:cs="Calibri"/>
                      </w:rPr>
                      <m:t>V</m:t>
                    </m:r>
                  </m:e>
                  <m:sub>
                    <m:r>
                      <m:rPr>
                        <m:sty m:val="bi"/>
                      </m:rPr>
                      <w:rPr>
                        <w:rFonts w:ascii="Cambria Math" w:hAnsi="Cambria Math" w:cs="Calibri"/>
                      </w:rPr>
                      <m:t>k</m:t>
                    </m:r>
                    <m:r>
                      <w:rPr>
                        <w:rFonts w:ascii="Cambria Math" w:hAnsi="Cambria Math" w:cs="Calibri"/>
                      </w:rPr>
                      <m:t>-</m:t>
                    </m:r>
                    <m:sSup>
                      <m:sSupPr>
                        <m:ctrlPr>
                          <w:rPr>
                            <w:rFonts w:ascii="Cambria Math" w:hAnsi="Cambria Math" w:cs="Calibri"/>
                            <w:i/>
                          </w:rPr>
                        </m:ctrlPr>
                      </m:sSupPr>
                      <m:e>
                        <m:r>
                          <m:rPr>
                            <m:sty m:val="bi"/>
                          </m:rPr>
                          <w:rPr>
                            <w:rFonts w:ascii="Cambria Math" w:hAnsi="Cambria Math" w:cs="Calibri"/>
                          </w:rPr>
                          <m:t>k</m:t>
                        </m:r>
                      </m:e>
                      <m:sup>
                        <m:r>
                          <w:rPr>
                            <w:rFonts w:ascii="Cambria Math" w:hAnsi="Cambria Math" w:cs="Calibri"/>
                          </w:rPr>
                          <m:t>'</m:t>
                        </m:r>
                      </m:sup>
                    </m:sSup>
                  </m:sub>
                </m:sSub>
                <m:sSub>
                  <m:sSubPr>
                    <m:ctrlPr>
                      <w:rPr>
                        <w:rFonts w:ascii="Cambria Math" w:hAnsi="Cambria Math" w:cs="Calibri"/>
                        <w:i/>
                      </w:rPr>
                    </m:ctrlPr>
                  </m:sSubPr>
                  <m:e>
                    <m:r>
                      <w:rPr>
                        <w:rFonts w:ascii="Cambria Math" w:hAnsi="Cambria Math" w:cs="Calibri"/>
                      </w:rPr>
                      <m:t>n</m:t>
                    </m:r>
                  </m:e>
                  <m:sub>
                    <m:sSup>
                      <m:sSupPr>
                        <m:ctrlPr>
                          <w:rPr>
                            <w:rFonts w:ascii="Cambria Math" w:hAnsi="Cambria Math" w:cs="Calibri"/>
                            <w:i/>
                          </w:rPr>
                        </m:ctrlPr>
                      </m:sSupPr>
                      <m:e>
                        <m:r>
                          <w:rPr>
                            <w:rFonts w:ascii="Cambria Math" w:hAnsi="Cambria Math" w:cs="Calibri"/>
                          </w:rPr>
                          <m:t>τ</m:t>
                        </m:r>
                      </m:e>
                      <m:sup>
                        <m:r>
                          <w:rPr>
                            <w:rFonts w:ascii="Cambria Math" w:hAnsi="Cambria Math" w:cs="Calibri"/>
                          </w:rPr>
                          <m:t>'</m:t>
                        </m:r>
                      </m:sup>
                    </m:sSup>
                    <m:sSup>
                      <m:sSupPr>
                        <m:ctrlPr>
                          <w:rPr>
                            <w:rFonts w:ascii="Cambria Math" w:hAnsi="Cambria Math" w:cs="Calibri"/>
                            <w:i/>
                          </w:rPr>
                        </m:ctrlPr>
                      </m:sSupPr>
                      <m:e>
                        <m:r>
                          <w:rPr>
                            <w:rFonts w:ascii="Cambria Math" w:hAnsi="Cambria Math" w:cs="Calibri"/>
                          </w:rPr>
                          <m:t>s</m:t>
                        </m:r>
                      </m:e>
                      <m:sup>
                        <m:r>
                          <w:rPr>
                            <w:rFonts w:ascii="Cambria Math" w:hAnsi="Cambria Math" w:cs="Calibri"/>
                          </w:rPr>
                          <m:t>'</m:t>
                        </m:r>
                      </m:sup>
                    </m:sSup>
                    <m:sSup>
                      <m:sSupPr>
                        <m:ctrlPr>
                          <w:rPr>
                            <w:rFonts w:ascii="Cambria Math" w:hAnsi="Cambria Math" w:cs="Calibri"/>
                            <w:i/>
                          </w:rPr>
                        </m:ctrlPr>
                      </m:sSupPr>
                      <m:e>
                        <m:r>
                          <w:rPr>
                            <w:rFonts w:ascii="Cambria Math" w:hAnsi="Cambria Math" w:cs="Calibri"/>
                          </w:rPr>
                          <m:t>α</m:t>
                        </m:r>
                      </m:e>
                      <m:sup>
                        <m:r>
                          <w:rPr>
                            <w:rFonts w:ascii="Cambria Math" w:hAnsi="Cambria Math" w:cs="Calibri"/>
                          </w:rPr>
                          <m:t>'</m:t>
                        </m:r>
                      </m:sup>
                    </m:sSup>
                    <m:r>
                      <w:rPr>
                        <w:rFonts w:ascii="Cambria Math" w:hAnsi="Cambria Math" w:cs="Calibri"/>
                      </w:rPr>
                      <m:t>,τsα</m:t>
                    </m:r>
                  </m:sub>
                </m:sSub>
                <m:d>
                  <m:dPr>
                    <m:ctrlPr>
                      <w:rPr>
                        <w:rFonts w:ascii="Cambria Math" w:hAnsi="Cambria Math" w:cs="Calibri"/>
                        <w:i/>
                      </w:rPr>
                    </m:ctrlPr>
                  </m:dPr>
                  <m:e>
                    <m:sSup>
                      <m:sSupPr>
                        <m:ctrlPr>
                          <w:rPr>
                            <w:rFonts w:ascii="Cambria Math" w:hAnsi="Cambria Math" w:cs="Calibri"/>
                            <w:b/>
                            <w:bCs/>
                            <w:i/>
                          </w:rPr>
                        </m:ctrlPr>
                      </m:sSupPr>
                      <m:e>
                        <m:r>
                          <m:rPr>
                            <m:sty m:val="bi"/>
                          </m:rPr>
                          <w:rPr>
                            <w:rFonts w:ascii="Cambria Math" w:hAnsi="Cambria Math" w:cs="Calibri"/>
                          </w:rPr>
                          <m:t>k</m:t>
                        </m:r>
                      </m:e>
                      <m:sup>
                        <m:r>
                          <m:rPr>
                            <m:sty m:val="bi"/>
                          </m:rPr>
                          <w:rPr>
                            <w:rFonts w:ascii="Cambria Math" w:hAnsi="Cambria Math" w:cs="Calibri"/>
                          </w:rPr>
                          <m:t>'</m:t>
                        </m:r>
                      </m:sup>
                    </m:sSup>
                  </m:e>
                </m:d>
                <m:sSub>
                  <m:sSubPr>
                    <m:ctrlPr>
                      <w:rPr>
                        <w:rFonts w:ascii="Cambria Math" w:hAnsi="Cambria Math" w:cs="Calibri"/>
                        <w:i/>
                      </w:rPr>
                    </m:ctrlPr>
                  </m:sSubPr>
                  <m:e>
                    <m:r>
                      <w:rPr>
                        <w:rFonts w:ascii="Cambria Math" w:hAnsi="Cambria Math" w:cs="Calibri"/>
                      </w:rPr>
                      <m:t>n</m:t>
                    </m:r>
                  </m:e>
                  <m:sub>
                    <m:r>
                      <w:rPr>
                        <w:rFonts w:ascii="Cambria Math" w:hAnsi="Cambria Math" w:cs="Calibri"/>
                      </w:rPr>
                      <m:t>τsα,</m:t>
                    </m:r>
                    <m:sSup>
                      <m:sSupPr>
                        <m:ctrlPr>
                          <w:rPr>
                            <w:rFonts w:ascii="Cambria Math" w:hAnsi="Cambria Math" w:cs="Calibri"/>
                            <w:i/>
                          </w:rPr>
                        </m:ctrlPr>
                      </m:sSupPr>
                      <m:e>
                        <m:r>
                          <w:rPr>
                            <w:rFonts w:ascii="Cambria Math" w:hAnsi="Cambria Math" w:cs="Calibri"/>
                          </w:rPr>
                          <m:t>τ</m:t>
                        </m:r>
                      </m:e>
                      <m:sup>
                        <m:r>
                          <w:rPr>
                            <w:rFonts w:ascii="Cambria Math" w:hAnsi="Cambria Math" w:cs="Calibri"/>
                          </w:rPr>
                          <m:t>'</m:t>
                        </m:r>
                      </m:sup>
                    </m:sSup>
                    <m:sSup>
                      <m:sSupPr>
                        <m:ctrlPr>
                          <w:rPr>
                            <w:rFonts w:ascii="Cambria Math" w:hAnsi="Cambria Math" w:cs="Calibri"/>
                            <w:i/>
                          </w:rPr>
                        </m:ctrlPr>
                      </m:sSupPr>
                      <m:e>
                        <m:r>
                          <w:rPr>
                            <w:rFonts w:ascii="Cambria Math" w:hAnsi="Cambria Math" w:cs="Calibri"/>
                          </w:rPr>
                          <m:t>s</m:t>
                        </m:r>
                      </m:e>
                      <m:sup>
                        <m:r>
                          <w:rPr>
                            <w:rFonts w:ascii="Cambria Math" w:hAnsi="Cambria Math" w:cs="Calibri"/>
                          </w:rPr>
                          <m:t>'</m:t>
                        </m:r>
                      </m:sup>
                    </m:sSup>
                    <m:sSup>
                      <m:sSupPr>
                        <m:ctrlPr>
                          <w:rPr>
                            <w:rFonts w:ascii="Cambria Math" w:hAnsi="Cambria Math" w:cs="Calibri"/>
                            <w:i/>
                          </w:rPr>
                        </m:ctrlPr>
                      </m:sSupPr>
                      <m:e>
                        <m:r>
                          <w:rPr>
                            <w:rFonts w:ascii="Cambria Math" w:hAnsi="Cambria Math" w:cs="Calibri"/>
                          </w:rPr>
                          <m:t>α</m:t>
                        </m:r>
                      </m:e>
                      <m:sup>
                        <m:r>
                          <w:rPr>
                            <w:rFonts w:ascii="Cambria Math" w:hAnsi="Cambria Math" w:cs="Calibri"/>
                          </w:rPr>
                          <m:t>'</m:t>
                        </m:r>
                      </m:sup>
                    </m:sSup>
                  </m:sub>
                </m:sSub>
                <m:d>
                  <m:dPr>
                    <m:ctrlPr>
                      <w:rPr>
                        <w:rFonts w:ascii="Cambria Math" w:hAnsi="Cambria Math" w:cs="Calibri"/>
                        <w:i/>
                      </w:rPr>
                    </m:ctrlPr>
                  </m:dPr>
                  <m:e>
                    <m:r>
                      <m:rPr>
                        <m:sty m:val="bi"/>
                      </m:rPr>
                      <w:rPr>
                        <w:rFonts w:ascii="Cambria Math" w:hAnsi="Cambria Math" w:cs="Calibri"/>
                      </w:rPr>
                      <m:t>k</m:t>
                    </m:r>
                  </m:e>
                </m:d>
              </m:e>
            </m:nary>
          </m:e>
        </m:nary>
      </m:oMath>
      <w:r w:rsidR="0013589B">
        <w:rPr>
          <w:rFonts w:ascii="Calibri" w:hAnsi="Calibri" w:cs="Calibri"/>
        </w:rPr>
        <w:t xml:space="preserve"> </w:t>
      </w:r>
      <w:r w:rsidR="0013589B" w:rsidRPr="00E57BF0">
        <w:rPr>
          <w:rFonts w:ascii="Calibri" w:hAnsi="Calibri" w:cs="Calibri"/>
        </w:rPr>
        <w:t>,</w:t>
      </w:r>
    </w:p>
    <w:p w14:paraId="1F9C9193" w14:textId="77777777" w:rsidR="0013589B" w:rsidRDefault="0013589B" w:rsidP="0013589B">
      <w:pPr>
        <w:jc w:val="both"/>
        <w:rPr>
          <w:rFonts w:ascii="Calibri" w:hAnsi="Calibri" w:cs="Calibri"/>
        </w:rPr>
      </w:pPr>
      <w:r w:rsidRPr="00E57BF0">
        <w:rPr>
          <w:rFonts w:ascii="Calibri" w:hAnsi="Calibri" w:cs="Calibri"/>
        </w:rPr>
        <w:t xml:space="preserve">where  </w:t>
      </w:r>
      <m:oMath>
        <m:r>
          <w:rPr>
            <w:rFonts w:ascii="Cambria Math" w:hAnsi="Cambria Math" w:cs="Calibri"/>
          </w:rPr>
          <m:t>A</m:t>
        </m:r>
      </m:oMath>
      <w:r>
        <w:rPr>
          <w:rFonts w:ascii="Calibri" w:hAnsi="Calibri" w:cs="Calibri"/>
        </w:rPr>
        <w:t xml:space="preserve"> is </w:t>
      </w:r>
      <w:r w:rsidRPr="00E57BF0">
        <w:rPr>
          <w:rFonts w:ascii="Calibri" w:hAnsi="Calibri" w:cs="Calibri"/>
        </w:rPr>
        <w:t>the area of the system,</w:t>
      </w:r>
      <w:r>
        <w:rPr>
          <w:rFonts w:ascii="Calibri" w:hAnsi="Calibri" w:cs="Calibri"/>
        </w:rPr>
        <w:t xml:space="preserve"> and</w:t>
      </w:r>
      <w:r w:rsidRPr="00E57BF0">
        <w:rPr>
          <w:rFonts w:ascii="Calibri" w:hAnsi="Calibri" w:cs="Calibri"/>
        </w:rPr>
        <w:t xml:space="preserve"> </w:t>
      </w:r>
      <m:oMath>
        <m:r>
          <m:rPr>
            <m:sty m:val="bi"/>
          </m:rPr>
          <w:rPr>
            <w:rFonts w:ascii="Cambria Math" w:hAnsi="Cambria Math" w:cs="Calibri"/>
          </w:rPr>
          <m:t>k</m:t>
        </m:r>
      </m:oMath>
      <w:r>
        <w:rPr>
          <w:rFonts w:ascii="Calibri" w:hAnsi="Calibri" w:cs="Calibri"/>
          <w:b/>
        </w:rPr>
        <w:t xml:space="preserve"> </w:t>
      </w:r>
      <w:r w:rsidRPr="002B5EE7">
        <w:rPr>
          <w:rFonts w:ascii="Calibri" w:hAnsi="Calibri" w:cs="Calibri"/>
          <w:bCs/>
        </w:rPr>
        <w:t>is</w:t>
      </w:r>
      <w:r>
        <w:rPr>
          <w:rFonts w:ascii="Calibri" w:hAnsi="Calibri" w:cs="Calibri"/>
          <w:bCs/>
        </w:rPr>
        <w:t xml:space="preserve"> the </w:t>
      </w:r>
      <w:r w:rsidRPr="00E57BF0">
        <w:rPr>
          <w:rFonts w:ascii="Calibri" w:hAnsi="Calibri" w:cs="Calibri"/>
        </w:rPr>
        <w:t>momentum measured from K</w:t>
      </w:r>
      <w:r>
        <w:rPr>
          <w:rFonts w:ascii="Calibri" w:hAnsi="Calibri" w:cs="Calibri"/>
        </w:rPr>
        <w:t>/</w:t>
      </w:r>
      <w:r w:rsidRPr="00E57BF0">
        <w:rPr>
          <w:rFonts w:ascii="Calibri" w:hAnsi="Calibri" w:cs="Calibri"/>
        </w:rPr>
        <w:t>K’ point</w:t>
      </w:r>
      <w:r>
        <w:rPr>
          <w:rFonts w:ascii="Calibri" w:hAnsi="Calibri" w:cs="Calibri"/>
        </w:rPr>
        <w:t xml:space="preserve">. </w:t>
      </w:r>
      <m:oMath>
        <m:r>
          <w:rPr>
            <w:rFonts w:ascii="Cambria Math" w:hAnsi="Cambria Math" w:cs="Calibri"/>
          </w:rPr>
          <m:t>s, τ,</m:t>
        </m:r>
      </m:oMath>
      <w:r>
        <w:rPr>
          <w:rFonts w:ascii="Calibri" w:hAnsi="Calibri" w:cs="Calibri"/>
        </w:rPr>
        <w:t xml:space="preserve"> and </w:t>
      </w:r>
      <m:oMath>
        <m:r>
          <w:rPr>
            <w:rFonts w:ascii="Cambria Math" w:hAnsi="Cambria Math" w:cs="Calibri"/>
          </w:rPr>
          <m:t>α</m:t>
        </m:r>
      </m:oMath>
      <w:r>
        <w:rPr>
          <w:rFonts w:ascii="Calibri" w:hAnsi="Calibri" w:cs="Calibri"/>
        </w:rPr>
        <w:t xml:space="preserve"> </w:t>
      </w:r>
      <w:r w:rsidRPr="00E57BF0">
        <w:rPr>
          <w:rFonts w:ascii="Calibri" w:hAnsi="Calibri" w:cs="Calibri"/>
        </w:rPr>
        <w:t>denote</w:t>
      </w:r>
      <w:r>
        <w:rPr>
          <w:rFonts w:ascii="Calibri" w:hAnsi="Calibri" w:cs="Calibri"/>
        </w:rPr>
        <w:t xml:space="preserve"> the</w:t>
      </w:r>
      <w:r w:rsidRPr="00E57BF0">
        <w:rPr>
          <w:rFonts w:ascii="Calibri" w:hAnsi="Calibri" w:cs="Calibri"/>
        </w:rPr>
        <w:t xml:space="preserve"> spin</w:t>
      </w:r>
      <w:r>
        <w:rPr>
          <w:rFonts w:ascii="Calibri" w:hAnsi="Calibri" w:cs="Calibri"/>
        </w:rPr>
        <w:t xml:space="preserve">, </w:t>
      </w:r>
      <w:r w:rsidRPr="00E57BF0">
        <w:rPr>
          <w:rFonts w:ascii="Calibri" w:hAnsi="Calibri" w:cs="Calibri"/>
        </w:rPr>
        <w:t>valley,</w:t>
      </w:r>
      <w:r>
        <w:rPr>
          <w:rFonts w:ascii="Calibri" w:hAnsi="Calibri" w:cs="Calibri"/>
        </w:rPr>
        <w:t xml:space="preserve"> and </w:t>
      </w:r>
      <w:r w:rsidRPr="00E57BF0">
        <w:rPr>
          <w:rFonts w:ascii="Calibri" w:hAnsi="Calibri" w:cs="Calibri"/>
        </w:rPr>
        <w:t>orbital degree</w:t>
      </w:r>
      <w:r>
        <w:rPr>
          <w:rFonts w:ascii="Calibri" w:hAnsi="Calibri" w:cs="Calibri"/>
        </w:rPr>
        <w:t>s</w:t>
      </w:r>
      <w:r w:rsidRPr="00E57BF0">
        <w:rPr>
          <w:rFonts w:ascii="Calibri" w:hAnsi="Calibri" w:cs="Calibri"/>
        </w:rPr>
        <w:t xml:space="preserve"> of freedom, respectively</w:t>
      </w:r>
      <w:r>
        <w:rPr>
          <w:rFonts w:ascii="Calibri" w:hAnsi="Calibri" w:cs="Calibri"/>
        </w:rPr>
        <w:t>. T</w:t>
      </w:r>
      <w:r w:rsidRPr="00E57BF0">
        <w:rPr>
          <w:rFonts w:ascii="Calibri" w:hAnsi="Calibri" w:cs="Calibri"/>
        </w:rPr>
        <w:t>he density matrix</w:t>
      </w:r>
      <w:r>
        <w:rPr>
          <w:rFonts w:ascii="Calibri" w:hAnsi="Calibri" w:cs="Calibri"/>
        </w:rPr>
        <w:t xml:space="preserve"> </w:t>
      </w:r>
      <m:oMath>
        <m:sSub>
          <m:sSubPr>
            <m:ctrlPr>
              <w:rPr>
                <w:rFonts w:ascii="Cambria Math" w:hAnsi="Cambria Math" w:cs="Calibri"/>
                <w:i/>
              </w:rPr>
            </m:ctrlPr>
          </m:sSubPr>
          <m:e>
            <m:r>
              <w:rPr>
                <w:rFonts w:ascii="Cambria Math" w:hAnsi="Cambria Math" w:cs="Calibri"/>
              </w:rPr>
              <m:t>n</m:t>
            </m:r>
          </m:e>
          <m:sub>
            <m:r>
              <w:rPr>
                <w:rFonts w:ascii="Cambria Math" w:hAnsi="Cambria Math" w:cs="Calibri"/>
              </w:rPr>
              <m:t>τsα,</m:t>
            </m:r>
            <m:sSup>
              <m:sSupPr>
                <m:ctrlPr>
                  <w:rPr>
                    <w:rFonts w:ascii="Cambria Math" w:hAnsi="Cambria Math" w:cs="Calibri"/>
                    <w:i/>
                  </w:rPr>
                </m:ctrlPr>
              </m:sSupPr>
              <m:e>
                <m:r>
                  <w:rPr>
                    <w:rFonts w:ascii="Cambria Math" w:hAnsi="Cambria Math" w:cs="Calibri"/>
                  </w:rPr>
                  <m:t>τ</m:t>
                </m:r>
              </m:e>
              <m:sup>
                <m:r>
                  <w:rPr>
                    <w:rFonts w:ascii="Cambria Math" w:hAnsi="Cambria Math" w:cs="Calibri"/>
                  </w:rPr>
                  <m:t>'</m:t>
                </m:r>
              </m:sup>
            </m:sSup>
            <m:sSup>
              <m:sSupPr>
                <m:ctrlPr>
                  <w:rPr>
                    <w:rFonts w:ascii="Cambria Math" w:hAnsi="Cambria Math" w:cs="Calibri"/>
                    <w:i/>
                  </w:rPr>
                </m:ctrlPr>
              </m:sSupPr>
              <m:e>
                <m:r>
                  <w:rPr>
                    <w:rFonts w:ascii="Cambria Math" w:hAnsi="Cambria Math" w:cs="Calibri"/>
                  </w:rPr>
                  <m:t>s</m:t>
                </m:r>
              </m:e>
              <m:sup>
                <m:r>
                  <w:rPr>
                    <w:rFonts w:ascii="Cambria Math" w:hAnsi="Cambria Math" w:cs="Calibri"/>
                  </w:rPr>
                  <m:t>'</m:t>
                </m:r>
              </m:sup>
            </m:sSup>
            <m:sSup>
              <m:sSupPr>
                <m:ctrlPr>
                  <w:rPr>
                    <w:rFonts w:ascii="Cambria Math" w:hAnsi="Cambria Math" w:cs="Calibri"/>
                    <w:i/>
                  </w:rPr>
                </m:ctrlPr>
              </m:sSupPr>
              <m:e>
                <m:r>
                  <w:rPr>
                    <w:rFonts w:ascii="Cambria Math" w:hAnsi="Cambria Math" w:cs="Calibri"/>
                  </w:rPr>
                  <m:t>α</m:t>
                </m:r>
              </m:e>
              <m:sup>
                <m:r>
                  <w:rPr>
                    <w:rFonts w:ascii="Cambria Math" w:hAnsi="Cambria Math" w:cs="Calibri"/>
                  </w:rPr>
                  <m:t>'</m:t>
                </m:r>
              </m:sup>
            </m:sSup>
          </m:sub>
        </m:sSub>
        <m:d>
          <m:dPr>
            <m:ctrlPr>
              <w:rPr>
                <w:rFonts w:ascii="Cambria Math" w:hAnsi="Cambria Math" w:cs="Calibri"/>
                <w:i/>
              </w:rPr>
            </m:ctrlPr>
          </m:dPr>
          <m:e>
            <m:r>
              <m:rPr>
                <m:sty m:val="bi"/>
              </m:rPr>
              <w:rPr>
                <w:rFonts w:ascii="Cambria Math" w:hAnsi="Cambria Math" w:cs="Calibri"/>
              </w:rPr>
              <m:t>k</m:t>
            </m:r>
          </m:e>
        </m:d>
        <m:r>
          <w:rPr>
            <w:rFonts w:ascii="Cambria Math" w:hAnsi="Cambria Math" w:cs="Calibri"/>
          </w:rPr>
          <m:t>=</m:t>
        </m:r>
        <m:d>
          <m:dPr>
            <m:begChr m:val="⟨"/>
            <m:endChr m:val="⟩"/>
            <m:ctrlPr>
              <w:rPr>
                <w:rFonts w:ascii="Cambria Math" w:hAnsi="Cambria Math" w:cs="Calibri"/>
                <w:i/>
              </w:rPr>
            </m:ctrlPr>
          </m:dPr>
          <m:e>
            <m:sSubSup>
              <m:sSubSupPr>
                <m:ctrlPr>
                  <w:rPr>
                    <w:rFonts w:ascii="Cambria Math" w:hAnsi="Cambria Math" w:cs="Calibri"/>
                    <w:i/>
                  </w:rPr>
                </m:ctrlPr>
              </m:sSubSupPr>
              <m:e>
                <m:acc>
                  <m:accPr>
                    <m:ctrlPr>
                      <w:rPr>
                        <w:rFonts w:ascii="Cambria Math" w:hAnsi="Cambria Math" w:cs="Calibri"/>
                        <w:i/>
                      </w:rPr>
                    </m:ctrlPr>
                  </m:accPr>
                  <m:e>
                    <m:r>
                      <w:rPr>
                        <w:rFonts w:ascii="Cambria Math" w:hAnsi="Cambria Math" w:cs="Calibri"/>
                      </w:rPr>
                      <m:t>c</m:t>
                    </m:r>
                  </m:e>
                </m:acc>
                <m:ctrlPr>
                  <w:rPr>
                    <w:rFonts w:ascii="Cambria Math" w:hAnsi="Cambria Math" w:cs="Calibri"/>
                    <w:b/>
                    <w:bCs/>
                    <w:i/>
                  </w:rPr>
                </m:ctrlPr>
              </m:e>
              <m:sub>
                <m:r>
                  <m:rPr>
                    <m:sty m:val="bi"/>
                  </m:rPr>
                  <w:rPr>
                    <w:rFonts w:ascii="Cambria Math" w:hAnsi="Cambria Math" w:cs="Calibri"/>
                  </w:rPr>
                  <m:t>k</m:t>
                </m:r>
                <m:r>
                  <w:rPr>
                    <w:rFonts w:ascii="Cambria Math" w:hAnsi="Cambria Math" w:cs="Calibri"/>
                  </w:rPr>
                  <m:t>,τsα</m:t>
                </m:r>
              </m:sub>
              <m:sup>
                <m:r>
                  <w:rPr>
                    <w:rFonts w:ascii="Cambria Math" w:hAnsi="Cambria Math" w:cs="Calibri"/>
                  </w:rPr>
                  <m:t>†</m:t>
                </m:r>
              </m:sup>
            </m:sSubSup>
            <m:sSub>
              <m:sSubPr>
                <m:ctrlPr>
                  <w:rPr>
                    <w:rFonts w:ascii="Cambria Math" w:hAnsi="Cambria Math" w:cs="Calibri"/>
                    <w:i/>
                  </w:rPr>
                </m:ctrlPr>
              </m:sSubPr>
              <m:e>
                <m:acc>
                  <m:accPr>
                    <m:ctrlPr>
                      <w:rPr>
                        <w:rFonts w:ascii="Cambria Math" w:hAnsi="Cambria Math" w:cs="Calibri"/>
                        <w:i/>
                      </w:rPr>
                    </m:ctrlPr>
                  </m:accPr>
                  <m:e>
                    <m:r>
                      <w:rPr>
                        <w:rFonts w:ascii="Cambria Math" w:hAnsi="Cambria Math" w:cs="Calibri"/>
                      </w:rPr>
                      <m:t>c</m:t>
                    </m:r>
                  </m:e>
                </m:acc>
              </m:e>
              <m:sub>
                <m:r>
                  <m:rPr>
                    <m:sty m:val="bi"/>
                  </m:rPr>
                  <w:rPr>
                    <w:rFonts w:ascii="Cambria Math" w:hAnsi="Cambria Math" w:cs="Calibri"/>
                  </w:rPr>
                  <m:t>k</m:t>
                </m:r>
                <m:r>
                  <w:rPr>
                    <w:rFonts w:ascii="Cambria Math" w:hAnsi="Cambria Math" w:cs="Calibri"/>
                  </w:rPr>
                  <m:t>,</m:t>
                </m:r>
                <m:sSup>
                  <m:sSupPr>
                    <m:ctrlPr>
                      <w:rPr>
                        <w:rFonts w:ascii="Cambria Math" w:hAnsi="Cambria Math" w:cs="Calibri"/>
                        <w:i/>
                      </w:rPr>
                    </m:ctrlPr>
                  </m:sSupPr>
                  <m:e>
                    <m:r>
                      <w:rPr>
                        <w:rFonts w:ascii="Cambria Math" w:hAnsi="Cambria Math" w:cs="Calibri"/>
                      </w:rPr>
                      <m:t>τ</m:t>
                    </m:r>
                  </m:e>
                  <m:sup>
                    <m:r>
                      <w:rPr>
                        <w:rFonts w:ascii="Cambria Math" w:hAnsi="Cambria Math" w:cs="Calibri"/>
                      </w:rPr>
                      <m:t>'</m:t>
                    </m:r>
                  </m:sup>
                </m:sSup>
                <m:sSup>
                  <m:sSupPr>
                    <m:ctrlPr>
                      <w:rPr>
                        <w:rFonts w:ascii="Cambria Math" w:hAnsi="Cambria Math" w:cs="Calibri"/>
                        <w:i/>
                      </w:rPr>
                    </m:ctrlPr>
                  </m:sSupPr>
                  <m:e>
                    <m:r>
                      <w:rPr>
                        <w:rFonts w:ascii="Cambria Math" w:hAnsi="Cambria Math" w:cs="Calibri"/>
                      </w:rPr>
                      <m:t>s</m:t>
                    </m:r>
                  </m:e>
                  <m:sup>
                    <m:r>
                      <w:rPr>
                        <w:rFonts w:ascii="Cambria Math" w:hAnsi="Cambria Math" w:cs="Calibri"/>
                      </w:rPr>
                      <m:t>'</m:t>
                    </m:r>
                  </m:sup>
                </m:sSup>
                <m:sSup>
                  <m:sSupPr>
                    <m:ctrlPr>
                      <w:rPr>
                        <w:rFonts w:ascii="Cambria Math" w:hAnsi="Cambria Math" w:cs="Calibri"/>
                        <w:i/>
                      </w:rPr>
                    </m:ctrlPr>
                  </m:sSupPr>
                  <m:e>
                    <m:r>
                      <w:rPr>
                        <w:rFonts w:ascii="Cambria Math" w:hAnsi="Cambria Math" w:cs="Calibri"/>
                      </w:rPr>
                      <m:t>α</m:t>
                    </m:r>
                  </m:e>
                  <m:sup>
                    <m:r>
                      <w:rPr>
                        <w:rFonts w:ascii="Cambria Math" w:hAnsi="Cambria Math" w:cs="Calibri"/>
                      </w:rPr>
                      <m:t>'</m:t>
                    </m:r>
                  </m:sup>
                </m:sSup>
              </m:sub>
            </m:sSub>
          </m:e>
        </m:d>
      </m:oMath>
      <w:r w:rsidRPr="00E57BF0">
        <w:rPr>
          <w:rFonts w:ascii="Calibri" w:hAnsi="Calibri" w:cs="Calibri"/>
        </w:rPr>
        <w:t>, and</w:t>
      </w:r>
      <w:r>
        <w:rPr>
          <w:rFonts w:ascii="Calibri" w:hAnsi="Calibri" w:cs="Calibri"/>
        </w:rPr>
        <w:t xml:space="preserve"> </w:t>
      </w:r>
      <m:oMath>
        <m:sSub>
          <m:sSubPr>
            <m:ctrlPr>
              <w:rPr>
                <w:rFonts w:ascii="Cambria Math" w:hAnsi="Cambria Math" w:cs="Calibri"/>
                <w:i/>
              </w:rPr>
            </m:ctrlPr>
          </m:sSubPr>
          <m:e>
            <m:r>
              <w:rPr>
                <w:rFonts w:ascii="Cambria Math" w:hAnsi="Cambria Math" w:cs="Calibri"/>
              </w:rPr>
              <m:t>V</m:t>
            </m:r>
          </m:e>
          <m:sub>
            <m:r>
              <m:rPr>
                <m:sty m:val="bi"/>
              </m:rPr>
              <w:rPr>
                <w:rFonts w:ascii="Cambria Math" w:hAnsi="Cambria Math" w:cs="Calibri"/>
              </w:rPr>
              <m:t>q</m:t>
            </m:r>
          </m:sub>
        </m:sSub>
      </m:oMath>
      <w:r w:rsidRPr="00E57BF0">
        <w:rPr>
          <w:rFonts w:ascii="Calibri" w:hAnsi="Calibri" w:cs="Calibri"/>
        </w:rPr>
        <w:t xml:space="preserve"> is the dual-gate-screened long-range interaction potential </w:t>
      </w:r>
      <w:r>
        <w:rPr>
          <w:rFonts w:ascii="Calibri" w:hAnsi="Calibri" w:cs="Calibri"/>
        </w:rPr>
        <w:t>defined as</w:t>
      </w:r>
      <w:r w:rsidRPr="00E57BF0">
        <w:rPr>
          <w:rFonts w:ascii="Calibri" w:hAnsi="Calibri" w:cs="Calibri"/>
        </w:rPr>
        <w:t xml:space="preserve"> </w:t>
      </w:r>
    </w:p>
    <w:p w14:paraId="54896913" w14:textId="77777777" w:rsidR="0013589B" w:rsidRDefault="00000000" w:rsidP="0013589B">
      <w:pPr>
        <w:jc w:val="center"/>
        <w:rPr>
          <w:rFonts w:ascii="Calibri" w:hAnsi="Calibri" w:cs="Calibri"/>
        </w:rPr>
      </w:pPr>
      <m:oMath>
        <m:sSub>
          <m:sSubPr>
            <m:ctrlPr>
              <w:rPr>
                <w:rFonts w:ascii="Cambria Math" w:hAnsi="Cambria Math" w:cs="Calibri"/>
                <w:i/>
              </w:rPr>
            </m:ctrlPr>
          </m:sSubPr>
          <m:e>
            <m:r>
              <w:rPr>
                <w:rFonts w:ascii="Cambria Math" w:hAnsi="Cambria Math" w:cs="Calibri"/>
              </w:rPr>
              <m:t>V</m:t>
            </m:r>
          </m:e>
          <m:sub>
            <m:r>
              <m:rPr>
                <m:sty m:val="bi"/>
              </m:rPr>
              <w:rPr>
                <w:rFonts w:ascii="Cambria Math" w:hAnsi="Cambria Math" w:cs="Calibri"/>
              </w:rPr>
              <m:t>q</m:t>
            </m:r>
          </m:sub>
        </m:sSub>
        <m:r>
          <w:rPr>
            <w:rFonts w:ascii="Cambria Math" w:hAnsi="Cambria Math" w:cs="Calibri"/>
          </w:rPr>
          <m:t>=</m:t>
        </m:r>
        <m:f>
          <m:fPr>
            <m:ctrlPr>
              <w:rPr>
                <w:rFonts w:ascii="Cambria Math" w:hAnsi="Cambria Math" w:cs="Calibri"/>
                <w:i/>
              </w:rPr>
            </m:ctrlPr>
          </m:fPr>
          <m:num>
            <m:r>
              <w:rPr>
                <w:rFonts w:ascii="Cambria Math" w:hAnsi="Cambria Math" w:cs="Calibri"/>
              </w:rPr>
              <m:t>2π</m:t>
            </m:r>
            <m:sSup>
              <m:sSupPr>
                <m:ctrlPr>
                  <w:rPr>
                    <w:rFonts w:ascii="Cambria Math" w:hAnsi="Cambria Math" w:cs="Calibri"/>
                    <w:i/>
                  </w:rPr>
                </m:ctrlPr>
              </m:sSupPr>
              <m:e>
                <m:r>
                  <w:rPr>
                    <w:rFonts w:ascii="Cambria Math" w:hAnsi="Cambria Math" w:cs="Calibri"/>
                  </w:rPr>
                  <m:t>e</m:t>
                </m:r>
              </m:e>
              <m:sup>
                <m:r>
                  <w:rPr>
                    <w:rFonts w:ascii="Cambria Math" w:hAnsi="Cambria Math" w:cs="Calibri"/>
                  </w:rPr>
                  <m:t>2</m:t>
                </m:r>
              </m:sup>
            </m:sSup>
          </m:num>
          <m:den>
            <m:sSub>
              <m:sSubPr>
                <m:ctrlPr>
                  <w:rPr>
                    <w:rFonts w:ascii="Cambria Math" w:hAnsi="Cambria Math" w:cs="Calibri"/>
                    <w:i/>
                  </w:rPr>
                </m:ctrlPr>
              </m:sSubPr>
              <m:e>
                <m:r>
                  <w:rPr>
                    <w:rFonts w:ascii="Cambria Math" w:hAnsi="Cambria Math" w:cs="Calibri"/>
                  </w:rPr>
                  <m:t>ϵ</m:t>
                </m:r>
              </m:e>
              <m:sub>
                <m:r>
                  <w:rPr>
                    <w:rFonts w:ascii="Cambria Math" w:hAnsi="Cambria Math" w:cs="Calibri"/>
                  </w:rPr>
                  <m:t>r</m:t>
                </m:r>
              </m:sub>
            </m:sSub>
          </m:den>
        </m:f>
        <m:f>
          <m:fPr>
            <m:ctrlPr>
              <w:rPr>
                <w:rFonts w:ascii="Cambria Math" w:hAnsi="Cambria Math" w:cs="Calibri"/>
                <w:i/>
              </w:rPr>
            </m:ctrlPr>
          </m:fPr>
          <m:num>
            <m:func>
              <m:funcPr>
                <m:ctrlPr>
                  <w:rPr>
                    <w:rFonts w:ascii="Cambria Math" w:hAnsi="Cambria Math" w:cs="Calibri"/>
                    <w:i/>
                  </w:rPr>
                </m:ctrlPr>
              </m:funcPr>
              <m:fName>
                <m:r>
                  <m:rPr>
                    <m:sty m:val="p"/>
                  </m:rPr>
                  <w:rPr>
                    <w:rFonts w:ascii="Cambria Math" w:hAnsi="Cambria Math" w:cs="Calibri"/>
                  </w:rPr>
                  <m:t>tanh</m:t>
                </m:r>
              </m:fName>
              <m:e>
                <m:d>
                  <m:dPr>
                    <m:ctrlPr>
                      <w:rPr>
                        <w:rFonts w:ascii="Cambria Math" w:hAnsi="Cambria Math" w:cs="Calibri"/>
                        <w:i/>
                      </w:rPr>
                    </m:ctrlPr>
                  </m:dPr>
                  <m:e>
                    <m:r>
                      <w:rPr>
                        <w:rFonts w:ascii="Cambria Math" w:hAnsi="Cambria Math" w:cs="Calibri"/>
                      </w:rPr>
                      <m:t>q</m:t>
                    </m:r>
                    <m:sSub>
                      <m:sSubPr>
                        <m:ctrlPr>
                          <w:rPr>
                            <w:rFonts w:ascii="Cambria Math" w:hAnsi="Cambria Math" w:cs="Calibri"/>
                            <w:i/>
                          </w:rPr>
                        </m:ctrlPr>
                      </m:sSubPr>
                      <m:e>
                        <m:r>
                          <w:rPr>
                            <w:rFonts w:ascii="Cambria Math" w:hAnsi="Cambria Math" w:cs="Calibri"/>
                          </w:rPr>
                          <m:t>d</m:t>
                        </m:r>
                      </m:e>
                      <m:sub>
                        <m:r>
                          <m:rPr>
                            <m:sty m:val="p"/>
                          </m:rPr>
                          <w:rPr>
                            <w:rFonts w:ascii="Cambria Math" w:hAnsi="Cambria Math" w:cs="Calibri"/>
                          </w:rPr>
                          <m:t>gate</m:t>
                        </m:r>
                      </m:sub>
                    </m:sSub>
                  </m:e>
                </m:d>
              </m:e>
            </m:func>
          </m:num>
          <m:den>
            <m:r>
              <w:rPr>
                <w:rFonts w:ascii="Cambria Math" w:hAnsi="Cambria Math" w:cs="Calibri"/>
              </w:rPr>
              <m:t>q</m:t>
            </m:r>
          </m:den>
        </m:f>
      </m:oMath>
      <w:r w:rsidR="0013589B">
        <w:rPr>
          <w:rFonts w:ascii="Calibri" w:hAnsi="Calibri" w:cs="Calibri"/>
        </w:rPr>
        <w:t xml:space="preserve"> ,</w:t>
      </w:r>
    </w:p>
    <w:p w14:paraId="3690F258" w14:textId="77777777" w:rsidR="0013589B" w:rsidRPr="002B5EE7" w:rsidRDefault="0013589B" w:rsidP="0013589B">
      <w:pPr>
        <w:jc w:val="both"/>
        <w:rPr>
          <w:rFonts w:ascii="Calibri" w:hAnsi="Calibri" w:cs="Calibri"/>
        </w:rPr>
      </w:pPr>
      <w:r>
        <w:rPr>
          <w:rFonts w:ascii="Calibri" w:hAnsi="Calibri" w:cs="Calibri"/>
        </w:rPr>
        <w:t xml:space="preserve">where </w:t>
      </w:r>
      <m:oMath>
        <m:sSub>
          <m:sSubPr>
            <m:ctrlPr>
              <w:rPr>
                <w:rFonts w:ascii="Cambria Math" w:hAnsi="Cambria Math" w:cs="Calibri"/>
                <w:i/>
              </w:rPr>
            </m:ctrlPr>
          </m:sSubPr>
          <m:e>
            <m:r>
              <w:rPr>
                <w:rFonts w:ascii="Cambria Math" w:hAnsi="Cambria Math" w:cs="Calibri"/>
              </w:rPr>
              <m:t>d</m:t>
            </m:r>
          </m:e>
          <m:sub>
            <m:r>
              <m:rPr>
                <m:sty m:val="p"/>
              </m:rPr>
              <w:rPr>
                <w:rFonts w:ascii="Cambria Math" w:hAnsi="Cambria Math" w:cs="Calibri"/>
              </w:rPr>
              <m:t>gate</m:t>
            </m:r>
          </m:sub>
        </m:sSub>
      </m:oMath>
      <w:r w:rsidRPr="00E57BF0">
        <w:rPr>
          <w:rFonts w:ascii="Calibri" w:hAnsi="Calibri" w:cs="Calibri"/>
        </w:rPr>
        <w:t xml:space="preserve"> is the distance between the metallic gate and the </w:t>
      </w:r>
      <w:r>
        <w:rPr>
          <w:rFonts w:ascii="Calibri" w:hAnsi="Calibri" w:cs="Calibri"/>
        </w:rPr>
        <w:t>RG</w:t>
      </w:r>
      <w:r w:rsidRPr="00E57BF0">
        <w:rPr>
          <w:rFonts w:ascii="Calibri" w:hAnsi="Calibri" w:cs="Calibri"/>
        </w:rPr>
        <w:t>. To match with the experiment</w:t>
      </w:r>
      <w:r>
        <w:rPr>
          <w:rFonts w:ascii="Calibri" w:hAnsi="Calibri" w:cs="Calibri"/>
        </w:rPr>
        <w:t>al data</w:t>
      </w:r>
      <w:r w:rsidRPr="00E57BF0">
        <w:rPr>
          <w:rFonts w:ascii="Calibri" w:hAnsi="Calibri" w:cs="Calibri"/>
        </w:rPr>
        <w:t xml:space="preserve">, </w:t>
      </w:r>
      <m:oMath>
        <m:sSub>
          <m:sSubPr>
            <m:ctrlPr>
              <w:rPr>
                <w:rFonts w:ascii="Cambria Math" w:hAnsi="Cambria Math" w:cs="Calibri"/>
                <w:i/>
              </w:rPr>
            </m:ctrlPr>
          </m:sSubPr>
          <m:e>
            <m:r>
              <w:rPr>
                <w:rFonts w:ascii="Cambria Math" w:hAnsi="Cambria Math" w:cs="Calibri"/>
              </w:rPr>
              <m:t>ϵ</m:t>
            </m:r>
          </m:e>
          <m:sub>
            <m:r>
              <w:rPr>
                <w:rFonts w:ascii="Cambria Math" w:hAnsi="Cambria Math" w:cs="Calibri"/>
              </w:rPr>
              <m:t>r</m:t>
            </m:r>
          </m:sub>
        </m:sSub>
        <m:r>
          <w:rPr>
            <w:rFonts w:ascii="Cambria Math" w:hAnsi="Cambria Math" w:cs="Calibri"/>
          </w:rPr>
          <m:t>=38</m:t>
        </m:r>
      </m:oMath>
      <w:r w:rsidRPr="00E57BF0">
        <w:rPr>
          <w:rFonts w:ascii="Calibri" w:hAnsi="Calibri" w:cs="Calibri"/>
        </w:rPr>
        <w:t xml:space="preserve"> and </w:t>
      </w:r>
      <m:oMath>
        <m:sSub>
          <m:sSubPr>
            <m:ctrlPr>
              <w:rPr>
                <w:rFonts w:ascii="Cambria Math" w:hAnsi="Cambria Math" w:cs="Calibri"/>
                <w:i/>
              </w:rPr>
            </m:ctrlPr>
          </m:sSubPr>
          <m:e>
            <m:r>
              <w:rPr>
                <w:rFonts w:ascii="Cambria Math" w:hAnsi="Cambria Math" w:cs="Calibri"/>
              </w:rPr>
              <m:t>d</m:t>
            </m:r>
          </m:e>
          <m:sub>
            <m:r>
              <m:rPr>
                <m:sty m:val="p"/>
              </m:rPr>
              <w:rPr>
                <w:rFonts w:ascii="Cambria Math" w:hAnsi="Cambria Math" w:cs="Calibri"/>
              </w:rPr>
              <m:t>gate</m:t>
            </m:r>
          </m:sub>
        </m:sSub>
        <m:r>
          <w:rPr>
            <w:rFonts w:ascii="Cambria Math" w:hAnsi="Cambria Math" w:cs="Calibri"/>
          </w:rPr>
          <m:t>=37</m:t>
        </m:r>
      </m:oMath>
      <w:r>
        <w:rPr>
          <w:rFonts w:ascii="Calibri" w:hAnsi="Calibri" w:cs="Calibri" w:hint="eastAsia"/>
        </w:rPr>
        <w:t xml:space="preserve"> </w:t>
      </w:r>
      <w:r w:rsidRPr="00E57BF0">
        <w:rPr>
          <w:rFonts w:ascii="Calibri" w:hAnsi="Calibri" w:cs="Calibri"/>
        </w:rPr>
        <w:t xml:space="preserve">nm </w:t>
      </w:r>
      <w:proofErr w:type="gramStart"/>
      <w:r w:rsidRPr="00E57BF0">
        <w:rPr>
          <w:rFonts w:ascii="Calibri" w:hAnsi="Calibri" w:cs="Calibri"/>
        </w:rPr>
        <w:t>are</w:t>
      </w:r>
      <w:proofErr w:type="gramEnd"/>
      <w:r w:rsidRPr="00E57BF0">
        <w:rPr>
          <w:rFonts w:ascii="Calibri" w:hAnsi="Calibri" w:cs="Calibri"/>
        </w:rPr>
        <w:t xml:space="preserve"> used</w:t>
      </w:r>
      <w:r>
        <w:rPr>
          <w:rFonts w:ascii="Calibri" w:hAnsi="Calibri" w:cs="Calibri"/>
        </w:rPr>
        <w:t xml:space="preserve"> for our representative calculations</w:t>
      </w:r>
      <w:r w:rsidRPr="00E57BF0">
        <w:rPr>
          <w:rFonts w:ascii="Calibri" w:hAnsi="Calibri" w:cs="Calibri"/>
        </w:rPr>
        <w:t xml:space="preserve">. </w:t>
      </w:r>
      <w:r>
        <w:rPr>
          <w:rFonts w:ascii="Calibri" w:hAnsi="Calibri" w:cs="Calibri"/>
        </w:rPr>
        <w:t>The layer</w:t>
      </w:r>
      <w:r w:rsidRPr="00883642">
        <w:rPr>
          <w:rFonts w:ascii="Calibri" w:hAnsi="Calibri" w:cs="Calibri"/>
        </w:rPr>
        <w:t xml:space="preserve"> dependence of</w:t>
      </w:r>
      <w:r>
        <w:rPr>
          <w:rFonts w:ascii="Calibri" w:hAnsi="Calibri" w:cs="Calibri"/>
        </w:rPr>
        <w:t xml:space="preserve"> </w:t>
      </w:r>
      <m:oMath>
        <m:sSub>
          <m:sSubPr>
            <m:ctrlPr>
              <w:rPr>
                <w:rFonts w:ascii="Cambria Math" w:hAnsi="Cambria Math" w:cs="Calibri"/>
                <w:i/>
              </w:rPr>
            </m:ctrlPr>
          </m:sSubPr>
          <m:e>
            <m:r>
              <w:rPr>
                <w:rFonts w:ascii="Cambria Math" w:hAnsi="Cambria Math" w:cs="Calibri"/>
              </w:rPr>
              <m:t>V</m:t>
            </m:r>
          </m:e>
          <m:sub>
            <m:r>
              <m:rPr>
                <m:sty m:val="bi"/>
              </m:rPr>
              <w:rPr>
                <w:rFonts w:ascii="Cambria Math" w:hAnsi="Cambria Math" w:cs="Calibri"/>
              </w:rPr>
              <m:t>q</m:t>
            </m:r>
          </m:sub>
        </m:sSub>
      </m:oMath>
      <w:r w:rsidRPr="00883642">
        <w:rPr>
          <w:rFonts w:ascii="Calibri" w:hAnsi="Calibri" w:cs="Calibri"/>
        </w:rPr>
        <w:t xml:space="preserve"> ​is </w:t>
      </w:r>
      <w:r>
        <w:rPr>
          <w:rFonts w:ascii="Calibri" w:hAnsi="Calibri" w:cs="Calibri"/>
        </w:rPr>
        <w:t>ignored</w:t>
      </w:r>
      <w:r w:rsidRPr="00883642">
        <w:rPr>
          <w:rFonts w:ascii="Calibri" w:hAnsi="Calibri" w:cs="Calibri"/>
        </w:rPr>
        <w:t xml:space="preserve"> since </w:t>
      </w:r>
      <w:r>
        <w:rPr>
          <w:rFonts w:ascii="Calibri" w:hAnsi="Calibri" w:cs="Calibri"/>
        </w:rPr>
        <w:t>the considered</w:t>
      </w:r>
      <w:r w:rsidRPr="00883642">
        <w:rPr>
          <w:rFonts w:ascii="Calibri" w:hAnsi="Calibri" w:cs="Calibri"/>
        </w:rPr>
        <w:t xml:space="preserve"> electrons are predominantly </w:t>
      </w:r>
      <w:r>
        <w:rPr>
          <w:rFonts w:ascii="Calibri" w:hAnsi="Calibri" w:cs="Calibri"/>
        </w:rPr>
        <w:t>l</w:t>
      </w:r>
      <w:r w:rsidRPr="001C4357">
        <w:rPr>
          <w:rFonts w:ascii="Calibri" w:hAnsi="Calibri" w:cs="Calibri"/>
        </w:rPr>
        <w:t>ayer</w:t>
      </w:r>
      <w:r>
        <w:rPr>
          <w:rFonts w:ascii="Calibri" w:hAnsi="Calibri" w:cs="Calibri"/>
        </w:rPr>
        <w:t xml:space="preserve"> polarized.</w:t>
      </w:r>
    </w:p>
    <w:p w14:paraId="71ADD7C8" w14:textId="77777777" w:rsidR="0013589B" w:rsidRDefault="0013589B" w:rsidP="0013589B">
      <w:pPr>
        <w:ind w:firstLine="720"/>
        <w:jc w:val="both"/>
        <w:rPr>
          <w:rFonts w:ascii="Calibri" w:hAnsi="Calibri" w:cs="Calibri"/>
        </w:rPr>
      </w:pPr>
      <w:r>
        <w:rPr>
          <w:rFonts w:ascii="Calibri" w:hAnsi="Calibri" w:cs="Calibri"/>
        </w:rPr>
        <w:t>The second one, neglected unfairly in many effective-model calculations, is the</w:t>
      </w:r>
      <w:r w:rsidRPr="00E57BF0">
        <w:rPr>
          <w:rFonts w:ascii="Calibri" w:hAnsi="Calibri" w:cs="Calibri"/>
        </w:rPr>
        <w:t xml:space="preserve"> exchange interaction </w:t>
      </w:r>
      <w:r>
        <w:rPr>
          <w:rFonts w:ascii="Calibri" w:hAnsi="Calibri" w:cs="Calibri"/>
        </w:rPr>
        <w:t xml:space="preserve">associated with a momentum transfer across the two valleys, namely, valley interchange (VI): </w:t>
      </w:r>
    </w:p>
    <w:p w14:paraId="353C0E3D" w14:textId="77777777" w:rsidR="0013589B" w:rsidRPr="00E57BF0" w:rsidRDefault="00000000" w:rsidP="0013589B">
      <w:pPr>
        <w:jc w:val="center"/>
        <w:rPr>
          <w:rFonts w:ascii="Calibri" w:hAnsi="Calibri" w:cs="Calibri"/>
        </w:rPr>
      </w:pPr>
      <m:oMath>
        <m:d>
          <m:dPr>
            <m:begChr m:val="⟨"/>
            <m:endChr m:val="⟩"/>
            <m:ctrlPr>
              <w:rPr>
                <w:rFonts w:ascii="Cambria Math" w:hAnsi="Cambria Math" w:cs="Calibri"/>
                <w:i/>
              </w:rPr>
            </m:ctrlPr>
          </m:dPr>
          <m:e>
            <m:sSub>
              <m:sSubPr>
                <m:ctrlPr>
                  <w:rPr>
                    <w:rFonts w:ascii="Cambria Math" w:hAnsi="Cambria Math" w:cs="Calibri"/>
                    <w:i/>
                  </w:rPr>
                </m:ctrlPr>
              </m:sSubPr>
              <m:e>
                <m:acc>
                  <m:accPr>
                    <m:ctrlPr>
                      <w:rPr>
                        <w:rFonts w:ascii="Cambria Math" w:hAnsi="Cambria Math" w:cs="Calibri"/>
                        <w:i/>
                      </w:rPr>
                    </m:ctrlPr>
                  </m:accPr>
                  <m:e>
                    <m:r>
                      <w:rPr>
                        <w:rFonts w:ascii="Cambria Math" w:hAnsi="Cambria Math" w:cs="Calibri"/>
                      </w:rPr>
                      <m:t>V</m:t>
                    </m:r>
                  </m:e>
                </m:acc>
              </m:e>
              <m:sub>
                <m:r>
                  <m:rPr>
                    <m:sty m:val="p"/>
                  </m:rPr>
                  <w:rPr>
                    <w:rFonts w:ascii="Cambria Math" w:hAnsi="Cambria Math" w:cs="Calibri"/>
                  </w:rPr>
                  <m:t>VI</m:t>
                </m:r>
              </m:sub>
            </m:sSub>
          </m:e>
        </m:d>
        <m:r>
          <w:rPr>
            <w:rFonts w:ascii="Cambria Math" w:hAnsi="Cambria Math" w:cs="Calibri"/>
          </w:rPr>
          <m:t>=-</m:t>
        </m:r>
        <m:f>
          <m:fPr>
            <m:ctrlPr>
              <w:rPr>
                <w:rFonts w:ascii="Cambria Math" w:hAnsi="Cambria Math" w:cs="Calibri"/>
                <w:i/>
              </w:rPr>
            </m:ctrlPr>
          </m:fPr>
          <m:num>
            <m:r>
              <w:rPr>
                <w:rFonts w:ascii="Cambria Math" w:hAnsi="Cambria Math" w:cs="Calibri"/>
              </w:rPr>
              <m:t>1</m:t>
            </m:r>
          </m:num>
          <m:den>
            <m:r>
              <w:rPr>
                <w:rFonts w:ascii="Cambria Math" w:hAnsi="Cambria Math" w:cs="Calibri"/>
              </w:rPr>
              <m:t>A</m:t>
            </m:r>
          </m:den>
        </m:f>
        <m:nary>
          <m:naryPr>
            <m:chr m:val="∑"/>
            <m:supHide m:val="1"/>
            <m:ctrlPr>
              <w:rPr>
                <w:rFonts w:ascii="Cambria Math" w:hAnsi="Cambria Math" w:cs="Calibri"/>
                <w:i/>
              </w:rPr>
            </m:ctrlPr>
          </m:naryPr>
          <m:sub>
            <m:r>
              <m:rPr>
                <m:sty m:val="bi"/>
              </m:rPr>
              <w:rPr>
                <w:rFonts w:ascii="Cambria Math" w:hAnsi="Cambria Math" w:cs="Calibri"/>
              </w:rPr>
              <m:t>k</m:t>
            </m:r>
            <m:r>
              <w:rPr>
                <w:rFonts w:ascii="Cambria Math" w:hAnsi="Cambria Math" w:cs="Calibri"/>
              </w:rPr>
              <m:t>sα</m:t>
            </m:r>
          </m:sub>
          <m:sup/>
          <m:e>
            <m:nary>
              <m:naryPr>
                <m:chr m:val="∑"/>
                <m:supHide m:val="1"/>
                <m:ctrlPr>
                  <w:rPr>
                    <w:rFonts w:ascii="Cambria Math" w:hAnsi="Cambria Math" w:cs="Calibri"/>
                    <w:i/>
                  </w:rPr>
                </m:ctrlPr>
              </m:naryPr>
              <m:sub>
                <m:sSup>
                  <m:sSupPr>
                    <m:ctrlPr>
                      <w:rPr>
                        <w:rFonts w:ascii="Cambria Math" w:hAnsi="Cambria Math" w:cs="Calibri"/>
                        <w:b/>
                        <w:bCs/>
                        <w:i/>
                      </w:rPr>
                    </m:ctrlPr>
                  </m:sSupPr>
                  <m:e>
                    <m:r>
                      <m:rPr>
                        <m:sty m:val="bi"/>
                      </m:rPr>
                      <w:rPr>
                        <w:rFonts w:ascii="Cambria Math" w:hAnsi="Cambria Math" w:cs="Calibri"/>
                      </w:rPr>
                      <m:t>k</m:t>
                    </m:r>
                  </m:e>
                  <m:sup>
                    <m:r>
                      <m:rPr>
                        <m:sty m:val="bi"/>
                      </m:rPr>
                      <w:rPr>
                        <w:rFonts w:ascii="Cambria Math" w:hAnsi="Cambria Math" w:cs="Calibri"/>
                      </w:rPr>
                      <m:t>'</m:t>
                    </m:r>
                  </m:sup>
                </m:sSup>
                <m:sSup>
                  <m:sSupPr>
                    <m:ctrlPr>
                      <w:rPr>
                        <w:rFonts w:ascii="Cambria Math" w:hAnsi="Cambria Math" w:cs="Calibri"/>
                        <w:i/>
                      </w:rPr>
                    </m:ctrlPr>
                  </m:sSupPr>
                  <m:e>
                    <m:r>
                      <w:rPr>
                        <w:rFonts w:ascii="Cambria Math" w:hAnsi="Cambria Math" w:cs="Calibri"/>
                      </w:rPr>
                      <m:t>s</m:t>
                    </m:r>
                  </m:e>
                  <m:sup>
                    <m:r>
                      <w:rPr>
                        <w:rFonts w:ascii="Cambria Math" w:hAnsi="Cambria Math" w:cs="Calibri"/>
                      </w:rPr>
                      <m:t>'</m:t>
                    </m:r>
                  </m:sup>
                </m:sSup>
                <m:sSup>
                  <m:sSupPr>
                    <m:ctrlPr>
                      <w:rPr>
                        <w:rFonts w:ascii="Cambria Math" w:hAnsi="Cambria Math" w:cs="Calibri"/>
                        <w:i/>
                      </w:rPr>
                    </m:ctrlPr>
                  </m:sSupPr>
                  <m:e>
                    <m:r>
                      <w:rPr>
                        <w:rFonts w:ascii="Cambria Math" w:hAnsi="Cambria Math" w:cs="Calibri"/>
                      </w:rPr>
                      <m:t>α</m:t>
                    </m:r>
                  </m:e>
                  <m:sup>
                    <m:r>
                      <w:rPr>
                        <w:rFonts w:ascii="Cambria Math" w:hAnsi="Cambria Math" w:cs="Calibri"/>
                      </w:rPr>
                      <m:t>'</m:t>
                    </m:r>
                  </m:sup>
                </m:sSup>
              </m:sub>
              <m:sup/>
              <m:e>
                <m:sSup>
                  <m:sSupPr>
                    <m:ctrlPr>
                      <w:rPr>
                        <w:rFonts w:ascii="Cambria Math" w:hAnsi="Cambria Math" w:cs="Calibri"/>
                        <w:i/>
                      </w:rPr>
                    </m:ctrlPr>
                  </m:sSupPr>
                  <m:e>
                    <m:r>
                      <w:rPr>
                        <w:rFonts w:ascii="Cambria Math" w:hAnsi="Cambria Math" w:cs="Calibri"/>
                      </w:rPr>
                      <m:t>V</m:t>
                    </m:r>
                  </m:e>
                  <m:sup>
                    <m:r>
                      <w:rPr>
                        <w:rFonts w:ascii="Cambria Math" w:hAnsi="Cambria Math" w:cs="Calibri"/>
                      </w:rPr>
                      <m:t>'</m:t>
                    </m:r>
                  </m:sup>
                </m:sSup>
                <m:sSub>
                  <m:sSubPr>
                    <m:ctrlPr>
                      <w:rPr>
                        <w:rFonts w:ascii="Cambria Math" w:hAnsi="Cambria Math" w:cs="Calibri"/>
                        <w:i/>
                      </w:rPr>
                    </m:ctrlPr>
                  </m:sSubPr>
                  <m:e>
                    <m:r>
                      <w:rPr>
                        <w:rFonts w:ascii="Cambria Math" w:hAnsi="Cambria Math" w:cs="Calibri"/>
                      </w:rPr>
                      <m:t>n</m:t>
                    </m:r>
                  </m:e>
                  <m:sub>
                    <m:sSup>
                      <m:sSupPr>
                        <m:ctrlPr>
                          <w:rPr>
                            <w:rFonts w:ascii="Cambria Math" w:hAnsi="Cambria Math" w:cs="Calibri"/>
                            <w:iCs/>
                          </w:rPr>
                        </m:ctrlPr>
                      </m:sSupPr>
                      <m:e>
                        <m:r>
                          <m:rPr>
                            <m:sty m:val="p"/>
                          </m:rPr>
                          <w:rPr>
                            <w:rFonts w:ascii="Cambria Math" w:hAnsi="Cambria Math" w:cs="Calibri"/>
                          </w:rPr>
                          <m:t>K</m:t>
                        </m:r>
                      </m:e>
                      <m:sup>
                        <m:r>
                          <m:rPr>
                            <m:sty m:val="p"/>
                          </m:rPr>
                          <w:rPr>
                            <w:rFonts w:ascii="Cambria Math" w:hAnsi="Cambria Math" w:cs="Calibri"/>
                          </w:rPr>
                          <m:t>'</m:t>
                        </m:r>
                      </m:sup>
                    </m:sSup>
                    <m:sSup>
                      <m:sSupPr>
                        <m:ctrlPr>
                          <w:rPr>
                            <w:rFonts w:ascii="Cambria Math" w:hAnsi="Cambria Math" w:cs="Calibri"/>
                            <w:i/>
                          </w:rPr>
                        </m:ctrlPr>
                      </m:sSupPr>
                      <m:e>
                        <m:r>
                          <w:rPr>
                            <w:rFonts w:ascii="Cambria Math" w:hAnsi="Cambria Math" w:cs="Calibri"/>
                          </w:rPr>
                          <m:t>s</m:t>
                        </m:r>
                      </m:e>
                      <m:sup>
                        <m:r>
                          <w:rPr>
                            <w:rFonts w:ascii="Cambria Math" w:hAnsi="Cambria Math" w:cs="Calibri"/>
                          </w:rPr>
                          <m:t>'</m:t>
                        </m:r>
                      </m:sup>
                    </m:sSup>
                    <m:sSup>
                      <m:sSupPr>
                        <m:ctrlPr>
                          <w:rPr>
                            <w:rFonts w:ascii="Cambria Math" w:hAnsi="Cambria Math" w:cs="Calibri"/>
                            <w:i/>
                          </w:rPr>
                        </m:ctrlPr>
                      </m:sSupPr>
                      <m:e>
                        <m:r>
                          <w:rPr>
                            <w:rFonts w:ascii="Cambria Math" w:hAnsi="Cambria Math" w:cs="Calibri"/>
                          </w:rPr>
                          <m:t>α</m:t>
                        </m:r>
                      </m:e>
                      <m:sup>
                        <m:r>
                          <w:rPr>
                            <w:rFonts w:ascii="Cambria Math" w:hAnsi="Cambria Math" w:cs="Calibri"/>
                          </w:rPr>
                          <m:t>'</m:t>
                        </m:r>
                      </m:sup>
                    </m:sSup>
                    <m:r>
                      <w:rPr>
                        <w:rFonts w:ascii="Cambria Math" w:hAnsi="Cambria Math" w:cs="Calibri"/>
                      </w:rPr>
                      <m:t>,</m:t>
                    </m:r>
                    <m:sSup>
                      <m:sSupPr>
                        <m:ctrlPr>
                          <w:rPr>
                            <w:rFonts w:ascii="Cambria Math" w:hAnsi="Cambria Math" w:cs="Calibri"/>
                            <w:iCs/>
                          </w:rPr>
                        </m:ctrlPr>
                      </m:sSupPr>
                      <m:e>
                        <m:r>
                          <m:rPr>
                            <m:sty m:val="p"/>
                          </m:rPr>
                          <w:rPr>
                            <w:rFonts w:ascii="Cambria Math" w:hAnsi="Cambria Math" w:cs="Calibri"/>
                          </w:rPr>
                          <m:t>K</m:t>
                        </m:r>
                      </m:e>
                      <m:sup>
                        <m:r>
                          <m:rPr>
                            <m:sty m:val="p"/>
                          </m:rPr>
                          <w:rPr>
                            <w:rFonts w:ascii="Cambria Math" w:hAnsi="Cambria Math" w:cs="Calibri"/>
                          </w:rPr>
                          <m:t>'</m:t>
                        </m:r>
                      </m:sup>
                    </m:sSup>
                    <m:r>
                      <w:rPr>
                        <w:rFonts w:ascii="Cambria Math" w:hAnsi="Cambria Math" w:cs="Calibri"/>
                      </w:rPr>
                      <m:t>sα</m:t>
                    </m:r>
                  </m:sub>
                </m:sSub>
                <m:d>
                  <m:dPr>
                    <m:ctrlPr>
                      <w:rPr>
                        <w:rFonts w:ascii="Cambria Math" w:hAnsi="Cambria Math" w:cs="Calibri"/>
                        <w:i/>
                      </w:rPr>
                    </m:ctrlPr>
                  </m:dPr>
                  <m:e>
                    <m:sSup>
                      <m:sSupPr>
                        <m:ctrlPr>
                          <w:rPr>
                            <w:rFonts w:ascii="Cambria Math" w:hAnsi="Cambria Math" w:cs="Calibri"/>
                            <w:b/>
                            <w:bCs/>
                            <w:i/>
                          </w:rPr>
                        </m:ctrlPr>
                      </m:sSupPr>
                      <m:e>
                        <m:r>
                          <m:rPr>
                            <m:sty m:val="bi"/>
                          </m:rPr>
                          <w:rPr>
                            <w:rFonts w:ascii="Cambria Math" w:hAnsi="Cambria Math" w:cs="Calibri"/>
                          </w:rPr>
                          <m:t>k</m:t>
                        </m:r>
                      </m:e>
                      <m:sup>
                        <m:r>
                          <m:rPr>
                            <m:sty m:val="bi"/>
                          </m:rPr>
                          <w:rPr>
                            <w:rFonts w:ascii="Cambria Math" w:hAnsi="Cambria Math" w:cs="Calibri"/>
                          </w:rPr>
                          <m:t>'</m:t>
                        </m:r>
                      </m:sup>
                    </m:sSup>
                  </m:e>
                </m:d>
                <m:sSub>
                  <m:sSubPr>
                    <m:ctrlPr>
                      <w:rPr>
                        <w:rFonts w:ascii="Cambria Math" w:hAnsi="Cambria Math" w:cs="Calibri"/>
                        <w:i/>
                      </w:rPr>
                    </m:ctrlPr>
                  </m:sSubPr>
                  <m:e>
                    <m:r>
                      <w:rPr>
                        <w:rFonts w:ascii="Cambria Math" w:hAnsi="Cambria Math" w:cs="Calibri"/>
                      </w:rPr>
                      <m:t>n</m:t>
                    </m:r>
                  </m:e>
                  <m:sub>
                    <m:r>
                      <m:rPr>
                        <m:sty m:val="p"/>
                      </m:rPr>
                      <w:rPr>
                        <w:rFonts w:ascii="Cambria Math" w:hAnsi="Cambria Math" w:cs="Calibri"/>
                      </w:rPr>
                      <m:t>K</m:t>
                    </m:r>
                    <m:r>
                      <w:rPr>
                        <w:rFonts w:ascii="Cambria Math" w:hAnsi="Cambria Math" w:cs="Calibri"/>
                      </w:rPr>
                      <m:t>sα,</m:t>
                    </m:r>
                    <m:r>
                      <m:rPr>
                        <m:sty m:val="p"/>
                      </m:rPr>
                      <w:rPr>
                        <w:rFonts w:ascii="Cambria Math" w:hAnsi="Cambria Math" w:cs="Calibri"/>
                      </w:rPr>
                      <m:t>K</m:t>
                    </m:r>
                    <m:sSup>
                      <m:sSupPr>
                        <m:ctrlPr>
                          <w:rPr>
                            <w:rFonts w:ascii="Cambria Math" w:hAnsi="Cambria Math" w:cs="Calibri"/>
                            <w:i/>
                          </w:rPr>
                        </m:ctrlPr>
                      </m:sSupPr>
                      <m:e>
                        <m:r>
                          <w:rPr>
                            <w:rFonts w:ascii="Cambria Math" w:hAnsi="Cambria Math" w:cs="Calibri"/>
                          </w:rPr>
                          <m:t>s</m:t>
                        </m:r>
                      </m:e>
                      <m:sup>
                        <m:r>
                          <w:rPr>
                            <w:rFonts w:ascii="Cambria Math" w:hAnsi="Cambria Math" w:cs="Calibri"/>
                          </w:rPr>
                          <m:t>'</m:t>
                        </m:r>
                      </m:sup>
                    </m:sSup>
                    <m:sSup>
                      <m:sSupPr>
                        <m:ctrlPr>
                          <w:rPr>
                            <w:rFonts w:ascii="Cambria Math" w:hAnsi="Cambria Math" w:cs="Calibri"/>
                            <w:i/>
                          </w:rPr>
                        </m:ctrlPr>
                      </m:sSupPr>
                      <m:e>
                        <m:r>
                          <w:rPr>
                            <w:rFonts w:ascii="Cambria Math" w:hAnsi="Cambria Math" w:cs="Calibri"/>
                          </w:rPr>
                          <m:t>α</m:t>
                        </m:r>
                      </m:e>
                      <m:sup>
                        <m:r>
                          <w:rPr>
                            <w:rFonts w:ascii="Cambria Math" w:hAnsi="Cambria Math" w:cs="Calibri"/>
                          </w:rPr>
                          <m:t>'</m:t>
                        </m:r>
                      </m:sup>
                    </m:sSup>
                  </m:sub>
                </m:sSub>
                <m:d>
                  <m:dPr>
                    <m:ctrlPr>
                      <w:rPr>
                        <w:rFonts w:ascii="Cambria Math" w:hAnsi="Cambria Math" w:cs="Calibri"/>
                        <w:i/>
                      </w:rPr>
                    </m:ctrlPr>
                  </m:dPr>
                  <m:e>
                    <m:r>
                      <m:rPr>
                        <m:sty m:val="bi"/>
                      </m:rPr>
                      <w:rPr>
                        <w:rFonts w:ascii="Cambria Math" w:hAnsi="Cambria Math" w:cs="Calibri"/>
                      </w:rPr>
                      <m:t>k</m:t>
                    </m:r>
                  </m:e>
                </m:d>
              </m:e>
            </m:nary>
          </m:e>
        </m:nary>
      </m:oMath>
      <w:r w:rsidR="0013589B">
        <w:rPr>
          <w:rFonts w:ascii="Calibri" w:hAnsi="Calibri" w:cs="Calibri"/>
        </w:rPr>
        <w:t xml:space="preserve">  ,</w:t>
      </w:r>
    </w:p>
    <w:p w14:paraId="05663A6E" w14:textId="3D17C0F1" w:rsidR="003A573F" w:rsidRDefault="0013589B" w:rsidP="00F614EC">
      <w:pPr>
        <w:jc w:val="both"/>
        <w:rPr>
          <w:rFonts w:ascii="Calibri" w:hAnsi="Calibri" w:cs="Calibri"/>
        </w:rPr>
      </w:pPr>
      <w:r>
        <w:rPr>
          <w:rFonts w:ascii="Calibri" w:hAnsi="Calibri" w:cs="Calibri"/>
        </w:rPr>
        <w:t xml:space="preserve">where a </w:t>
      </w:r>
      <w:r w:rsidRPr="00E57BF0">
        <w:rPr>
          <w:rFonts w:ascii="Calibri" w:hAnsi="Calibri" w:cs="Calibri"/>
        </w:rPr>
        <w:t xml:space="preserve">constant Coulomb potential </w:t>
      </w:r>
      <m:oMath>
        <m:sSup>
          <m:sSupPr>
            <m:ctrlPr>
              <w:rPr>
                <w:rFonts w:ascii="Cambria Math" w:hAnsi="Cambria Math" w:cs="Calibri"/>
                <w:i/>
              </w:rPr>
            </m:ctrlPr>
          </m:sSupPr>
          <m:e>
            <m:r>
              <w:rPr>
                <w:rFonts w:ascii="Cambria Math" w:hAnsi="Cambria Math" w:cs="Calibri"/>
              </w:rPr>
              <m:t>V</m:t>
            </m:r>
          </m:e>
          <m:sup>
            <m:r>
              <w:rPr>
                <w:rFonts w:ascii="Cambria Math" w:hAnsi="Cambria Math" w:cs="Calibri"/>
              </w:rPr>
              <m:t>'</m:t>
            </m:r>
          </m:sup>
        </m:sSup>
        <m:r>
          <w:rPr>
            <w:rFonts w:ascii="Cambria Math" w:hAnsi="Cambria Math" w:cs="Calibri"/>
          </w:rPr>
          <m:t>=α</m:t>
        </m:r>
        <m:sSub>
          <m:sSubPr>
            <m:ctrlPr>
              <w:rPr>
                <w:rFonts w:ascii="Cambria Math" w:hAnsi="Cambria Math" w:cs="Calibri"/>
                <w:i/>
              </w:rPr>
            </m:ctrlPr>
          </m:sSubPr>
          <m:e>
            <m:r>
              <w:rPr>
                <w:rFonts w:ascii="Cambria Math" w:hAnsi="Cambria Math" w:cs="Calibri"/>
              </w:rPr>
              <m:t>V</m:t>
            </m:r>
          </m:e>
          <m:sub>
            <m:r>
              <m:rPr>
                <m:sty m:val="bi"/>
              </m:rPr>
              <w:rPr>
                <w:rFonts w:ascii="Cambria Math" w:hAnsi="Cambria Math" w:cs="Calibri"/>
              </w:rPr>
              <m:t>q=0</m:t>
            </m:r>
          </m:sub>
        </m:sSub>
      </m:oMath>
      <w:r>
        <w:rPr>
          <w:rFonts w:ascii="Calibri" w:hAnsi="Calibri" w:cs="Calibri"/>
        </w:rPr>
        <w:t xml:space="preserve"> is used since the transferred momentum is approximately the distance between the two valleys.</w:t>
      </w:r>
      <w:r w:rsidRPr="00E57BF0">
        <w:rPr>
          <w:rFonts w:ascii="Calibri" w:hAnsi="Calibri" w:cs="Calibri"/>
        </w:rPr>
        <w:t xml:space="preserve"> To match </w:t>
      </w:r>
      <w:r>
        <w:rPr>
          <w:rFonts w:ascii="Calibri" w:hAnsi="Calibri" w:cs="Calibri"/>
        </w:rPr>
        <w:t xml:space="preserve">with </w:t>
      </w:r>
      <w:r w:rsidRPr="00E57BF0">
        <w:rPr>
          <w:rFonts w:ascii="Calibri" w:hAnsi="Calibri" w:cs="Calibri"/>
        </w:rPr>
        <w:t>the experiment</w:t>
      </w:r>
      <w:r>
        <w:rPr>
          <w:rFonts w:ascii="Calibri" w:hAnsi="Calibri" w:cs="Calibri"/>
        </w:rPr>
        <w:t>al data</w:t>
      </w:r>
      <w:r w:rsidRPr="00E57BF0">
        <w:rPr>
          <w:rFonts w:ascii="Calibri" w:hAnsi="Calibri" w:cs="Calibri"/>
        </w:rPr>
        <w:t xml:space="preserve">, </w:t>
      </w:r>
      <m:oMath>
        <m:r>
          <w:rPr>
            <w:rFonts w:ascii="Cambria Math" w:hAnsi="Cambria Math" w:cs="Calibri"/>
          </w:rPr>
          <m:t>α=</m:t>
        </m:r>
        <m:r>
          <w:rPr>
            <w:rFonts w:ascii="Cambria Math" w:hAnsi="Cambria Math" w:cs="Calibri"/>
          </w:rPr>
          <w:lastRenderedPageBreak/>
          <m:t>0.08</m:t>
        </m:r>
      </m:oMath>
      <w:r w:rsidRPr="00E57BF0">
        <w:rPr>
          <w:rFonts w:ascii="Calibri" w:hAnsi="Calibri" w:cs="Calibri"/>
        </w:rPr>
        <w:t xml:space="preserve"> is </w:t>
      </w:r>
      <w:r>
        <w:rPr>
          <w:rFonts w:ascii="Calibri" w:hAnsi="Calibri" w:cs="Calibri"/>
        </w:rPr>
        <w:t>used for our representative calculations.</w:t>
      </w:r>
      <w:r w:rsidRPr="0065372C">
        <w:t xml:space="preserve"> </w:t>
      </w:r>
      <w:r>
        <w:rPr>
          <w:rFonts w:ascii="Calibri" w:hAnsi="Calibri" w:cs="Calibri"/>
        </w:rPr>
        <w:t xml:space="preserve">We stress that the </w:t>
      </w:r>
      <w:r w:rsidRPr="00E57BF0">
        <w:rPr>
          <w:rFonts w:ascii="Calibri" w:hAnsi="Calibri" w:cs="Calibri"/>
        </w:rPr>
        <w:t xml:space="preserve">VI interaction </w:t>
      </w:r>
      <w:r>
        <w:rPr>
          <w:rFonts w:ascii="Calibri" w:hAnsi="Calibri" w:cs="Calibri"/>
        </w:rPr>
        <w:t>arises naturally as the two valleys are two energy extrema of the same band, unlike the phenomenological Hund’s coupling introduced before</w:t>
      </w:r>
      <w:r>
        <w:rPr>
          <w:rFonts w:ascii="Calibri" w:hAnsi="Calibri" w:cs="Calibri"/>
        </w:rPr>
        <w:fldChar w:fldCharType="begin"/>
      </w:r>
      <w:r w:rsidR="00BF4618">
        <w:rPr>
          <w:rFonts w:ascii="Calibri" w:hAnsi="Calibri" w:cs="Calibri"/>
        </w:rPr>
        <w:instrText xml:space="preserve"> ADDIN ZOTERO_ITEM CSL_CITATION {"citationID":"55EnNZTb","properties":{"formattedCitation":"\\super 4,17\\nosupersub{}","plainCitation":"4,17","noteIndex":0},"citationItems":[{"id":929,"uris":["http://zotero.org/users/5406744/items/KV725DTP"],"itemData":{"id":929,"type":"article-journal","abstract":"Ferromagnetism is most common in transition metal compounds where electrons occupy highly localized d orbitals. However, ferromagnetic order may also arise in low-density two-dimensional electron systems1–5. Here we show that gate-tuned van Hove singularities in rhombohedral trilayer graphene6 drive spontaneous ferromagnetic polarization of the electron system into one or more spin and valley flavours. Using capacitance and transport measurements, we observe a cascade of transitions tuned to the density and electronic displacement field between phases in which quantum oscillations have fourfold, twofold or onefold degeneracy, associated with a spin- and valley-degenerate normal metal, spin-polarized ‘half-metal’, and spin- and valley-polarized ‘quarter-metal’, respectively. For electron doping, the salient features of the data are well captured by a phenomenological Stoner model7 that includes valley-anisotropic interactions. For hole filling, we observe a richer phase diagram featuring a delicate interplay of broken symmetries and transitions in the Fermi surface topology. Finally, we introduce a moiré superlattice using a rotationally aligned hexagonal boron nitride substrate5,8. Remarkably, we find that the isospin order is only weakly perturbed, with the moiré potential catalysing the formation of topologically nontrivial gapped states whenever itinerant half- or quarter-metal states occur at half- or quarter-superlattice band filling. Our results show that rhombohedral graphene is an ideal platform for well-controlled tests of many-body theory, and reveal magnetism in moiré materials4,5,9,10 to be fundamentally itinerant in nature.","container-title":"Nature","DOI":"10.1038/s41586-021-03938-w","ISSN":"1476-4687","issue":"7881","language":"en","license":"2021 The Author(s), under exclusive licence to Springer Nature Limited","note":"number: 7881\npublisher: Nature Publishing Group","page":"429-433","source":"www.nature.com","title":"Half- and quarter-metals in rhombohedral trilayer graphene","volume":"598","author":[{"family":"Zhou","given":"Haoxin"},{"family":"Xie","given":"Tian"},{"family":"Ghazaryan","given":"Areg"},{"family":"Holder","given":"Tobias"},{"family":"Ehrets","given":"James R."},{"family":"Spanton","given":"Eric M."},{"family":"Taniguchi","given":"Takashi"},{"family":"Watanabe","given":"Kenji"},{"family":"Berg","given":"Erez"},{"family":"Serbyn","given":"Maksym"},{"family":"Young","given":"Andrea F."}],"issued":{"date-parts":[["2021",10]]}}},{"id":3774,"uris":["http://zotero.org/users/5406744/items/P2QD7P89"],"itemData":{"id":3774,"type":"thesis","abstract":"This work studies the Van Hove singularity induced novel electronic phenomena in rhombohedral trilayer graphene, including magnetism and superconductivity. Rhombohedral trilayer graphene is a two dimensional crystal where three layers of carbon honeycomb lattice are stacked to form a rhombohedral lattice in its three dimensional extension. The energy band structure of rhombohedral trilayer graphene features van Hove singularities, saddle points in the energy band structure where the density of states diverges. A perpendicular electrical field can be applied to induce interlayer potential and to open up an energy gap at the charge neutrality point. The gap opening modulates the density of states profile, making the divergence at the van Hove singularity robust against fluctuations from finite temperature and disorder effects. Like many other systems, the diverged density of states induces Fermi surface instability. On the one hand, it drives spontaneous ferromagnetic polarization of the electron system into one or more spin- and valley flavors. On the other hand, it allows the bounded states where electrons couple into pairs to have significant lower energy than the normal ground states, leading to superconductivity observable at the experimentally reached temperature. In this work, we fabricated dual graphite-gated rhombohedral trilayer graphene van der Waals heterostructures that allow cryogenic electrical transport measurement and penetration field capacitance measurements and systematically studied the gate voltage modulated magnetic phase transitions and superconductivity. A rigid band model is built that well captures the spin- and valley- phases. For superconductivity, we provided several possible explanations. In addition to gate voltages, we also induced a moiré potential to the system by aligning the lattice of the rhombohedral trilayer graphene with the dielectric material hexagonal boron nitride. We found that while the moiré potential only affect the electronic phase diagram on a perturbative level, several novel phenomena including the breaking of lattice symmetry is induced.","language":"en","publisher":"UC Santa Barbara","source":"escholarship.org","title":"Ferromagnetism and Superconductivity in Rhombohedral Trilayer Graphene","URL":"https://escholarship.org/uc/item/4k36g8qk","author":[{"family":"Zhou","given":"Haoxin"}],"accessed":{"date-parts":[["2023",7,23]]},"issued":{"date-parts":[["2021"]]}}}],"schema":"https://github.com/citation-style-language/schema/raw/master/csl-citation.json"} </w:instrText>
      </w:r>
      <w:r>
        <w:rPr>
          <w:rFonts w:ascii="Calibri" w:hAnsi="Calibri" w:cs="Calibri"/>
        </w:rPr>
        <w:fldChar w:fldCharType="separate"/>
      </w:r>
      <w:r w:rsidR="00BF4618" w:rsidRPr="00BF4618">
        <w:rPr>
          <w:rFonts w:ascii="Calibri" w:hAnsi="Calibri" w:cs="Calibri"/>
          <w:kern w:val="0"/>
          <w:vertAlign w:val="superscript"/>
        </w:rPr>
        <w:t>4,17</w:t>
      </w:r>
      <w:r>
        <w:rPr>
          <w:rFonts w:ascii="Calibri" w:hAnsi="Calibri" w:cs="Calibri"/>
        </w:rPr>
        <w:fldChar w:fldCharType="end"/>
      </w:r>
      <w:r>
        <w:rPr>
          <w:rFonts w:ascii="Calibri" w:hAnsi="Calibri" w:cs="Calibri"/>
        </w:rPr>
        <w:t xml:space="preserve">. The crucial role of the VI interaction </w:t>
      </w:r>
      <w:r w:rsidRPr="00E57BF0">
        <w:rPr>
          <w:rFonts w:ascii="Calibri" w:hAnsi="Calibri" w:cs="Calibri"/>
        </w:rPr>
        <w:t xml:space="preserve">has </w:t>
      </w:r>
      <w:r>
        <w:rPr>
          <w:rFonts w:ascii="Calibri" w:hAnsi="Calibri" w:cs="Calibri"/>
        </w:rPr>
        <w:t xml:space="preserve">already </w:t>
      </w:r>
      <w:r w:rsidRPr="00E57BF0">
        <w:rPr>
          <w:rFonts w:ascii="Calibri" w:hAnsi="Calibri" w:cs="Calibri"/>
        </w:rPr>
        <w:t xml:space="preserve">been </w:t>
      </w:r>
      <w:r>
        <w:rPr>
          <w:rFonts w:ascii="Calibri" w:hAnsi="Calibri" w:cs="Calibri"/>
        </w:rPr>
        <w:t xml:space="preserve">highlighted </w:t>
      </w:r>
      <w:r w:rsidRPr="00E57BF0">
        <w:rPr>
          <w:rFonts w:ascii="Calibri" w:hAnsi="Calibri" w:cs="Calibri"/>
        </w:rPr>
        <w:t>in rhombohedral multilayer graphene systems</w:t>
      </w:r>
      <w:r>
        <w:rPr>
          <w:rFonts w:ascii="Calibri" w:hAnsi="Calibri" w:cs="Calibri"/>
        </w:rPr>
        <w:t xml:space="preserve"> to predict the correct </w:t>
      </w:r>
      <w:r w:rsidRPr="00114E2F">
        <w:rPr>
          <w:rFonts w:ascii="Calibri" w:hAnsi="Calibri" w:cs="Calibri"/>
        </w:rPr>
        <w:t xml:space="preserve">layer-antiferromagnetic </w:t>
      </w:r>
      <w:r>
        <w:rPr>
          <w:rFonts w:ascii="Calibri" w:hAnsi="Calibri" w:cs="Calibri"/>
        </w:rPr>
        <w:t xml:space="preserve">ground </w:t>
      </w:r>
      <w:r w:rsidRPr="00114E2F">
        <w:rPr>
          <w:rFonts w:ascii="Calibri" w:hAnsi="Calibri" w:cs="Calibri"/>
        </w:rPr>
        <w:t>state</w:t>
      </w:r>
      <w:r>
        <w:rPr>
          <w:rFonts w:ascii="Calibri" w:hAnsi="Calibri" w:cs="Calibri"/>
        </w:rPr>
        <w:t>s</w:t>
      </w:r>
      <w:r w:rsidRPr="00114E2F">
        <w:rPr>
          <w:rFonts w:ascii="Calibri" w:hAnsi="Calibri" w:cs="Calibri"/>
        </w:rPr>
        <w:t xml:space="preserve"> </w:t>
      </w:r>
      <w:r>
        <w:rPr>
          <w:rFonts w:ascii="Calibri" w:hAnsi="Calibri" w:cs="Calibri"/>
        </w:rPr>
        <w:t xml:space="preserve">at the </w:t>
      </w:r>
      <w:r w:rsidRPr="00114E2F">
        <w:rPr>
          <w:rFonts w:ascii="Calibri" w:hAnsi="Calibri" w:cs="Calibri"/>
        </w:rPr>
        <w:t>charge neutralit</w:t>
      </w:r>
      <w:r>
        <w:rPr>
          <w:rFonts w:ascii="Calibri" w:hAnsi="Calibri" w:cs="Calibri"/>
        </w:rPr>
        <w:t>y point</w:t>
      </w:r>
      <w:r>
        <w:rPr>
          <w:rFonts w:ascii="Calibri" w:hAnsi="Calibri" w:cs="Calibri"/>
        </w:rPr>
        <w:fldChar w:fldCharType="begin"/>
      </w:r>
      <w:r w:rsidR="00BF4618">
        <w:rPr>
          <w:rFonts w:ascii="Calibri" w:hAnsi="Calibri" w:cs="Calibri"/>
        </w:rPr>
        <w:instrText xml:space="preserve"> ADDIN ZOTERO_ITEM CSL_CITATION {"citationID":"NKhHjztu","properties":{"formattedCitation":"\\super 7,9,10,13,54,62\\nosupersub{}","plainCitation":"7,9,10,13,54,62","noteIndex":0},"citationItems":[{"id":4516,"uris":["http://zotero.org/users/5406744/items/5VRCHC3S"],"itemData":{"id":4516,"type":"article-journal","abstract":"Rhombohedral-stacked multilayer graphene hosts a pair of flat bands touching at zero energy, which should give rise to correlated electron phenomena that can be tuned further by an electric field. Moreover, when electron correlation breaks the isospin symmetry, the valley-dependent Berry phase at zero energy may give rise to topologically non-trivial states. Here we measure electron transport through hexagonal boron nitride-encapsulated pentalayer graphene down to 100 mK. We observed a correlated insulating state with resistance at the megaohm level or greater at charge density n = 0 and displacement field D = 0. Tight-binding calculations predict a metallic ground state under these conditions. By increasing D, we observed a Chern insulator state with C = −5 and two other states with C = −3 at a magnetic field of around 1 T. At high D and n, we observed isospin-polarized quarter- and half-metals. Hence, rhombohedral pentalayer graphene exhibits two different types of Fermi-surface instability, one driven by a pair of flat bands touching at zero energy, and one induced by the Stoner mechanism in a single flat band. Our results establish rhombohedral multilayer graphene as a suitable system for exploring intertwined electron correlation and topology phenomena in natural graphitic materials without the need for moiré superlattice engineering.","container-title":"Nature Nanotechnology","DOI":"10.1038/s41565-023-01520-1","ISSN":"1748-3395","issue":"2","journalAbbreviation":"Nat. Nanotechnol.","language":"en","license":"2023 The Author(s), under exclusive licence to Springer Nature Limited","note":"publisher: Nature Publishing Group","page":"181-187","source":"www.nature.com","title":"Correlated insulator and Chern insulators in pentalayer rhombohedral-stacked graphene","volume":"19","author":[{"family":"Han","given":"Tonghang"},{"family":"Lu","given":"Zhengguang"},{"family":"Scuri","given":"Giovanni"},{"family":"Sung","given":"Jiho"},{"family":"Wang","given":"Jue"},{"family":"Han","given":"Tianyi"},{"family":"Watanabe","given":"Kenji"},{"family":"Taniguchi","given":"Takashi"},{"family":"Park","given":"Hongkun"},{"family":"Ju","given":"Long"}],"issued":{"date-parts":[["2024",2]]}}},{"id":4514,"uris":["http://zotero.org/users/5406744/items/X382CW32"],"itemData":{"id":4514,"type":"article-journal","abstract":"Interactions among charge carriers in graphene can lead to the spontaneous breaking of multiple degeneracies. When increasing the number of graphene layers following rhombohedral stacking, the dominant role of Coulomb interactions becomes pronounced due to the significant reduction in kinetic energy. In this study, we employ phonon–polariton-assisted near-field infrared imaging to determine the stacking orders of tetralayer graphene devices. Through quantum transport measurements, we observe a range of spontaneous broken-symmetry states and their transitions, which can be finely tuned by carrier density n and electric displacement field D. Specifically, we observe a layer-antiferromagnetic insulator at n = D = 0 with a gap of approximately 15 meV. Increasing D allows for a continuous phase transition from a layer-antiferromagnetic insulator to a layer-polarized insulator. By simultaneously tuning n and D, we observe isospin-polarized metals, including spin–valley-polarized and spin-polarized metals. These transitions are associated with changes in the Fermi surface topology and are consistent with the Stoner criteria. Our findings highlight the efficient fabrication of specially stacked multilayer graphene devices and demonstrate that crystalline multilayer graphene is an ideal platform for investigating a wide range of broken symmetries driven by Coulomb interactions.","container-title":"Nature Nanotechnology","DOI":"10.1038/s41565-023-01558-1","ISSN":"1748-3395","issue":"2","journalAbbreviation":"Nat. Nanotechnol.","language":"en","license":"2023 The Author(s), under exclusive licence to Springer Nature Limited","note":"publisher: Nature Publishing Group","page":"188-195","source":"www.nature.com","title":"Spontaneous broken-symmetry insulator and metals in tetralayer rhombohedral graphene","volume":"19","author":[{"family":"Liu","given":"Kai"},{"family":"Zheng","given":"Jian"},{"family":"Sha","given":"Yating"},{"family":"Lyu","given":"Bosai"},{"family":"Li","given":"Fengping"},{"family":"Park","given":"Youngju"},{"family":"Ren","given":"Yulu"},{"family":"Watanabe","given":"Kenji"},{"family":"Taniguchi","given":"Takashi"},{"family":"Jia","given":"Jinfeng"},{"family":"Luo","given":"Weidong"},{"family":"Shi","given":"Zhiwen"},{"family":"Jung","given":"Jeil"},{"family":"Chen","given":"Guorui"}],"issued":{"date-parts":[["2024",2]]}}},{"id":4510,"uris":["http://zotero.org/users/5406744/items/AGDHR7KR"],"itemData":{"id":4510,"type":"article-journal","abstract":"Non-trivial interacting phases can emerge in elementary materials. As a prime example, continuing advances in device quality have facilitated the observation of a variety of spontaneously ordered quantum states in bilayer graphene. Its natural extension, rhombohedral trilayer graphene—in which the layers are stacked in an ABC fashion—is predicted to host stronger electron–electron interactions than bilayer graphene because of its flatter low-energy bands and larger winding number. Theoretically, five spontaneous quantum Hall phases have been proposed to be candidate electronic ground states. Here we observe evidence for four of the five competing ordered states in interaction-maximized, dual-gated, rhombohedral trilayer graphene. In particular, at small magnetic fields, two states with Chern numbers 3 and 6 can be stabilized at elevated and low perpendicular electric fields, respectively, and both exhibit clear magnetic hysteresis. We also show that the quantum Hall ferromagnets of the zero-energy Landau levels are ferroelectrics with spontaneous layer polarizations even at zero electric field, as evidenced by electric hysteresis.","container-title":"Nature Physics","DOI":"10.1038/s41567-023-02327-6","ISSN":"1745-2481","issue":"3","journalAbbreviation":"Nat. Phys.","language":"en","license":"2024 The Author(s), under exclusive licence to Springer Nature Limited","note":"publisher: Nature Publishing Group","page":"422-427","source":"www.nature.com","title":"Ferroelectric and spontaneous quantum Hall states in intrinsic rhombohedral trilayer graphene","volume":"20","author":[{"family":"Winterer","given":"Felix"},{"family":"Geisenhof","given":"Fabian R."},{"family":"Fernandez","given":"Noelia"},{"family":"Seiler","given":"Anna M."},{"family":"Zhang","given":"Fan"},{"family":"Weitz","given":"R. Thomas"}],"issued":{"date-parts":[["2024",3]]}}},{"id":4583,"uris":["http://zotero.org/users/5406744/items/ZKDJDUAE"],"itemData":{"id":4583,"type":"article-journal","abstract":"In mean-field theory, bilayer graphene’s massive Dirac fermion model has a family of broken-inversion-symmetry ground states with charge gaps and flavor-dependent spontaneous interlayer charge transfers. We use a lattice Hartree-Fock model to explore the lattice scale physics of graphene bilayers, which has a strong influence on ordering energy scales and on the competition between distinct ordered states. We find that inversion symmetry is still broken in the lattice model and estimate that the transferred areal densities are ~10−5 electrons per carbon atom, that the associated energy gaps are ~10−2 eV, that the ordering condensation energies are ~10−7 eV per carbon atom, and that the differences in energy between competing ordered states is ~10−9 eV per carbon atom. We find that states with a quantized valley Hall effect are lowest in energy, but that the coupling of an external magnetic field to spontaneous orbital moments favors the broken-time-reversal-symmetry states that have quantized anomalous Hall effects. Our theory predicts nonmonotonic behavior of the band gap at neutrality on the potential difference between layers, in qualitative agreement with recent experiments.","container-title":"Physical Review B","DOI":"10.1103/PhysRevB.83.115408","issue":"11","journalAbbreviation":"Phys. Rev. B","note":"publisher: American Physical Society","page":"115408","source":"APS","title":"Lattice theory of pseudospin ferromagnetism in bilayer graphene: Competing interaction-induced quantum Hall states","title-short":"Lattice theory of pseudospin ferromagnetism in bilayer graphene","volume":"83","author":[{"family":"Jung","given":"Jeil"},{"family":"Zhang","given":"Fan"},{"family":"MacDonald","given":"Allan H."}],"issued":{"date-par</w:instrText>
      </w:r>
      <w:r w:rsidR="00BF4618">
        <w:rPr>
          <w:rFonts w:ascii="Calibri" w:hAnsi="Calibri" w:cs="Calibri" w:hint="eastAsia"/>
        </w:rPr>
        <w:instrText xml:space="preserve">ts":[["2011",3,7]]}}},{"id":4586,"uris":["http://zotero.org/users/5406744/items/NRYP6WE4"],"itemData":{"id":4586,"type":"article-journal","abstract":"Chirally stacked </w:instrText>
      </w:r>
      <w:r w:rsidR="00BF4618">
        <w:rPr>
          <w:rFonts w:ascii="Cambria Math" w:hAnsi="Cambria Math" w:cs="Cambria Math"/>
        </w:rPr>
        <w:instrText>𝑁</w:instrText>
      </w:r>
      <w:r w:rsidR="00BF4618">
        <w:rPr>
          <w:rFonts w:ascii="Calibri" w:hAnsi="Calibri" w:cs="Calibri" w:hint="eastAsia"/>
        </w:rPr>
        <w:instrText xml:space="preserve">-layer graphene systems with </w:instrText>
      </w:r>
      <w:r w:rsidR="00BF4618">
        <w:rPr>
          <w:rFonts w:ascii="Cambria Math" w:hAnsi="Cambria Math" w:cs="Cambria Math"/>
        </w:rPr>
        <w:instrText>𝑁</w:instrText>
      </w:r>
      <w:r w:rsidR="00BF4618">
        <w:rPr>
          <w:rFonts w:ascii="Calibri" w:hAnsi="Calibri" w:cs="Calibri" w:hint="eastAsia"/>
        </w:rPr>
        <w:instrText>≥</w:instrText>
      </w:r>
      <w:r w:rsidR="00BF4618">
        <w:rPr>
          <w:rFonts w:ascii="Calibri" w:hAnsi="Calibri" w:cs="Calibri" w:hint="eastAsia"/>
        </w:rPr>
        <w:instrText>2 exhibit a variety of distinct broken symmetry states</w:instrText>
      </w:r>
      <w:r w:rsidR="00BF4618">
        <w:rPr>
          <w:rFonts w:ascii="Calibri" w:hAnsi="Calibri" w:cs="Calibri"/>
        </w:rPr>
        <w:instrText xml:space="preserve"> in which charge density contributions from different spins and valleys are spontaneously transferred between layers. We explain how these states are distinguished by their charge, spin, and valley Hall conductivities, by their orbital magnetizations, and by their edge state properties. We argue that valley Hall states have [</w:instrText>
      </w:r>
      <w:r w:rsidR="00BF4618">
        <w:rPr>
          <w:rFonts w:ascii="Cambria Math" w:hAnsi="Cambria Math" w:cs="Cambria Math"/>
        </w:rPr>
        <w:instrText>𝑁</w:instrText>
      </w:r>
      <w:r w:rsidR="00BF4618">
        <w:rPr>
          <w:rFonts w:ascii="Calibri" w:hAnsi="Calibri" w:cs="Calibri"/>
        </w:rPr>
        <w:instrText xml:space="preserve">/2] edge channels per spin valley.","container-title":"Physical Review Letters","DOI":"10.1103/PhysRevLett.106.156801","issue":"15","journalAbbreviation":"Phys. Rev. Lett.","note":"publisher: American Physical Society","page":"156801","source":"APS","title":"Spontaneous Quantum Hall States in Chirally Stacked Few-Layer Graphene Systems","volume":"106","author":[{"family":"Zhang","given":"Fan"},{"family":"Jung","given":"Jeil"},{"family":"Fiete","given":"Gregory A."},{"family":"Niu","given":"Qian"},{"family":"MacDonald","given":"Allan H."}],"issued":{"date-parts":[["2011",4,11]]}}},{"id":4591,"uris":["http://zotero.org/users/5406744/items/5U5WYTVY"],"itemData":{"id":4591,"type":"article-journal","abstract":"Bilayer graphene is an attractive platform for studying new two-dimensional electron physics1,2,3,4,5, because its flat energy bands are sensitive to out-of-plane electric fields and these bands magnify electron–electron interaction effects. Theory6,7,8,9,10,11,12,13,14,15,16 predicts a variety of interesting broken symmetry states when the electron density is at the carrier neutrality point, and some of these states are characterized by spontaneous mass gaps, which lead to insulating behaviour. These proposed gaps6,7,10 are analogous17,18 to the masses generated by broken symmetries in particle physics, and they give rise to large Berry phase effects8,19 accompanied by spontaneous quantum Hall effects7,8,9,20. Although recent experiments21,22,23,24,25 have provided evidence for strong electronic correlations near the charge neutrality point, the presence of gaps remains controversial. Here, we report transport measurements in ultraclean double-gated bilayer graphene and use source–drain bias as a spectroscopic tool to resolve a gap of </w:instrText>
      </w:r>
      <w:r w:rsidR="00BF4618">
        <w:rPr>
          <w:rFonts w:ascii="Cambria Math" w:hAnsi="Cambria Math" w:cs="Cambria Math"/>
        </w:rPr>
        <w:instrText>∼</w:instrText>
      </w:r>
      <w:r w:rsidR="00BF4618">
        <w:rPr>
          <w:rFonts w:ascii="Calibri" w:hAnsi="Calibri" w:cs="Calibri"/>
        </w:rPr>
        <w:instrText xml:space="preserve">2 meV at the charge neutrality point. The gap can be closed by a perpendicular electric field of strength </w:instrText>
      </w:r>
      <w:r w:rsidR="00BF4618">
        <w:rPr>
          <w:rFonts w:ascii="Cambria Math" w:hAnsi="Cambria Math" w:cs="Cambria Math"/>
        </w:rPr>
        <w:instrText>∼</w:instrText>
      </w:r>
      <w:r w:rsidR="00BF4618">
        <w:rPr>
          <w:rFonts w:ascii="Calibri" w:hAnsi="Calibri" w:cs="Calibri"/>
        </w:rPr>
        <w:instrText xml:space="preserve">15 mV nm−1, but it increases monotonically with magnetic field, with an apparent particle–hole asymmetry above the gap. These data represent the first spectroscopic mapping of the ground states in bilayer graphene in the presence of both electric and magnetic fields.","container-title":"Nature Nanotechnology","DOI":"10.1038/nnano.2011.251","ISSN":"1748-3395","issue":"3","journalAbbreviation":"Nature Nanotech","language":"en","license":"2012 Springer Nature Limited","note":"publisher: Nature Publishing Group","page":"156-160","source":"www.nature.com","title":"Transport spectroscopy of symmetry-broken insulating states in bilayer graphene","volume":"7","author":[{"family":"Velasco","given":"J."},{"family":"Jing","given":"L."},{"family":"Bao","given":"W."},{"family":"Lee","given":"Y."},{"family":"Kratz","given":"P."},{"family":"Aji","given":"V."},{"family":"Bockrath","given":"M."},{"family":"Lau","given":"C. N."},{"family":"Varma","given":"C."},{"family":"Stillwell","given":"R."},{"family":"Smirnov","given":"D."},{"family":"Zhang","given":"Fan"},{"family":"Jung","given":"J."},{"family":"MacDonald","given":"A. H."}],"issued":{"date-parts":[["2012",3]]}}}],"schema":"https://github.com/citation-style-language/schema/raw/master/csl-citation.json"} </w:instrText>
      </w:r>
      <w:r>
        <w:rPr>
          <w:rFonts w:ascii="Calibri" w:hAnsi="Calibri" w:cs="Calibri"/>
        </w:rPr>
        <w:fldChar w:fldCharType="separate"/>
      </w:r>
      <w:r w:rsidR="00BF4618" w:rsidRPr="00BF4618">
        <w:rPr>
          <w:rFonts w:ascii="Calibri" w:hAnsi="Calibri" w:cs="Calibri"/>
          <w:kern w:val="0"/>
          <w:vertAlign w:val="superscript"/>
        </w:rPr>
        <w:t>7,9,10,13,54,62</w:t>
      </w:r>
      <w:r>
        <w:rPr>
          <w:rFonts w:ascii="Calibri" w:hAnsi="Calibri" w:cs="Calibri"/>
        </w:rPr>
        <w:fldChar w:fldCharType="end"/>
      </w:r>
      <w:r>
        <w:rPr>
          <w:rFonts w:ascii="Calibri" w:hAnsi="Calibri" w:cs="Calibri"/>
        </w:rPr>
        <w:t>.</w:t>
      </w:r>
      <w:r w:rsidRPr="00E57BF0">
        <w:rPr>
          <w:rFonts w:ascii="Calibri" w:hAnsi="Calibri" w:cs="Calibri"/>
        </w:rPr>
        <w:softHyphen/>
      </w:r>
      <w:r w:rsidRPr="00E57BF0">
        <w:rPr>
          <w:rFonts w:ascii="Calibri" w:hAnsi="Calibri" w:cs="Calibri"/>
        </w:rPr>
        <w:softHyphen/>
      </w:r>
      <w:r w:rsidRPr="00E57BF0">
        <w:rPr>
          <w:rFonts w:ascii="Calibri" w:hAnsi="Calibri" w:cs="Calibri"/>
        </w:rPr>
        <w:softHyphen/>
      </w:r>
      <w:r>
        <w:rPr>
          <w:rFonts w:ascii="Calibri" w:hAnsi="Calibri" w:cs="Calibri"/>
        </w:rPr>
        <w:t xml:space="preserve"> Here for the Stoner-like phases, t</w:t>
      </w:r>
      <w:r w:rsidRPr="00E57BF0">
        <w:rPr>
          <w:rFonts w:ascii="Calibri" w:hAnsi="Calibri" w:cs="Calibri"/>
        </w:rPr>
        <w:t>he VI interaction favors valley-coherent</w:t>
      </w:r>
      <w:r>
        <w:rPr>
          <w:rFonts w:ascii="Calibri" w:hAnsi="Calibri" w:cs="Calibri"/>
        </w:rPr>
        <w:t xml:space="preserve"> quarter metal and three-quarter metal</w:t>
      </w:r>
      <w:r w:rsidRPr="00E57BF0">
        <w:rPr>
          <w:rFonts w:ascii="Calibri" w:hAnsi="Calibri" w:cs="Calibri"/>
        </w:rPr>
        <w:t xml:space="preserve"> </w:t>
      </w:r>
      <w:r>
        <w:rPr>
          <w:rFonts w:ascii="Calibri" w:hAnsi="Calibri" w:cs="Calibri"/>
        </w:rPr>
        <w:t xml:space="preserve">phases </w:t>
      </w:r>
      <w:r w:rsidRPr="00E57BF0">
        <w:rPr>
          <w:rFonts w:ascii="Calibri" w:hAnsi="Calibri" w:cs="Calibri"/>
        </w:rPr>
        <w:t>in the absence of TMD.</w:t>
      </w:r>
      <w:r>
        <w:rPr>
          <w:rFonts w:ascii="Calibri" w:hAnsi="Calibri" w:cs="Calibri"/>
        </w:rPr>
        <w:t xml:space="preserve"> In the presence of TMD, namely, Ising SOC, a sufficiently large VI interaction favors a half metal phase that is valley </w:t>
      </w:r>
      <w:proofErr w:type="gramStart"/>
      <w:r>
        <w:rPr>
          <w:rFonts w:ascii="Calibri" w:hAnsi="Calibri" w:cs="Calibri"/>
        </w:rPr>
        <w:t>unpolarized</w:t>
      </w:r>
      <w:proofErr w:type="gramEnd"/>
      <w:r>
        <w:rPr>
          <w:rFonts w:ascii="Calibri" w:hAnsi="Calibri" w:cs="Calibri"/>
        </w:rPr>
        <w:t xml:space="preserve"> but </w:t>
      </w:r>
      <w:proofErr w:type="gramStart"/>
      <w:r>
        <w:rPr>
          <w:rFonts w:ascii="Calibri" w:hAnsi="Calibri" w:cs="Calibri"/>
        </w:rPr>
        <w:t>spin canted</w:t>
      </w:r>
      <w:proofErr w:type="gramEnd"/>
      <w:r>
        <w:rPr>
          <w:rFonts w:ascii="Calibri" w:hAnsi="Calibri" w:cs="Calibri"/>
        </w:rPr>
        <w:t xml:space="preserve"> towards the plane. If the VI interaction is small but the SOC is sufficiently large, the half metal phase is time-reversal invariant and adiabatically connected to the non-interacting phase.</w:t>
      </w:r>
    </w:p>
    <w:p w14:paraId="44828F1D" w14:textId="3628945F" w:rsidR="00B1783E" w:rsidRPr="00B12654" w:rsidRDefault="00B1783E" w:rsidP="00B1783E">
      <w:pPr>
        <w:jc w:val="both"/>
        <w:rPr>
          <w:rFonts w:hint="eastAsia"/>
          <w:b/>
          <w:bCs/>
          <w:sz w:val="32"/>
          <w:szCs w:val="32"/>
        </w:rPr>
      </w:pPr>
      <w:r>
        <w:rPr>
          <w:rFonts w:hint="eastAsia"/>
          <w:b/>
          <w:bCs/>
          <w:sz w:val="32"/>
          <w:szCs w:val="32"/>
        </w:rPr>
        <w:t>Extended Data Figures</w:t>
      </w:r>
    </w:p>
    <w:p w14:paraId="2D581279" w14:textId="268E9536" w:rsidR="00815FA3" w:rsidRDefault="00815FA3" w:rsidP="009B29CD">
      <w:pPr>
        <w:pStyle w:val="NormalWeb"/>
        <w:spacing w:before="0" w:beforeAutospacing="0" w:after="0" w:afterAutospacing="0"/>
        <w:jc w:val="both"/>
        <w:rPr>
          <w:rFonts w:ascii="Calibri" w:eastAsiaTheme="minorEastAsia" w:hAnsi="Calibri" w:cs="Calibri"/>
          <w:b/>
          <w:bCs/>
          <w:i/>
          <w:iCs/>
        </w:rPr>
      </w:pPr>
      <w:r>
        <w:rPr>
          <w:noProof/>
        </w:rPr>
        <w:drawing>
          <wp:inline distT="0" distB="0" distL="0" distR="0" wp14:anchorId="20EF8981" wp14:editId="63F56F7A">
            <wp:extent cx="5943600" cy="3794125"/>
            <wp:effectExtent l="0" t="0" r="0" b="0"/>
            <wp:docPr id="1018634562" name="Picture 5" descr="A close-up of a scientific experi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634562" name="Picture 5" descr="A close-up of a scientific experiment&#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3600" cy="3794125"/>
                    </a:xfrm>
                    <a:prstGeom prst="rect">
                      <a:avLst/>
                    </a:prstGeom>
                    <a:noFill/>
                    <a:ln>
                      <a:noFill/>
                    </a:ln>
                  </pic:spPr>
                </pic:pic>
              </a:graphicData>
            </a:graphic>
          </wp:inline>
        </w:drawing>
      </w:r>
    </w:p>
    <w:p w14:paraId="509001D0" w14:textId="4127C25C" w:rsidR="005A16D2" w:rsidRDefault="005A16D2" w:rsidP="009B29CD">
      <w:pPr>
        <w:pStyle w:val="NormalWeb"/>
        <w:spacing w:before="0" w:beforeAutospacing="0" w:after="0" w:afterAutospacing="0"/>
        <w:jc w:val="both"/>
        <w:rPr>
          <w:rFonts w:ascii="Calibri" w:eastAsiaTheme="minorEastAsia" w:hAnsi="Calibri" w:cs="Calibri"/>
          <w:i/>
          <w:iCs/>
          <w:color w:val="000000" w:themeColor="text1"/>
        </w:rPr>
      </w:pPr>
      <w:r w:rsidRPr="009B29CD">
        <w:rPr>
          <w:rFonts w:ascii="Calibri" w:hAnsi="Calibri" w:cs="Calibri"/>
          <w:b/>
          <w:bCs/>
          <w:i/>
          <w:iCs/>
        </w:rPr>
        <w:t xml:space="preserve">Extended Data </w:t>
      </w:r>
      <w:r w:rsidR="005968F2" w:rsidRPr="009B29CD">
        <w:rPr>
          <w:rFonts w:ascii="Calibri" w:hAnsi="Calibri" w:cs="Calibri"/>
          <w:b/>
          <w:bCs/>
          <w:i/>
          <w:iCs/>
        </w:rPr>
        <w:t xml:space="preserve">Figure </w:t>
      </w:r>
      <w:r w:rsidRPr="009B29CD">
        <w:rPr>
          <w:rFonts w:ascii="Calibri" w:hAnsi="Calibri" w:cs="Calibri"/>
          <w:b/>
          <w:bCs/>
          <w:i/>
          <w:iCs/>
        </w:rPr>
        <w:t>1</w:t>
      </w:r>
      <w:r w:rsidR="005968F2" w:rsidRPr="009B29CD">
        <w:rPr>
          <w:rFonts w:ascii="Calibri" w:hAnsi="Calibri" w:cs="Calibri"/>
          <w:b/>
          <w:bCs/>
          <w:i/>
          <w:iCs/>
        </w:rPr>
        <w:t xml:space="preserve">. </w:t>
      </w:r>
      <w:r w:rsidRPr="009B29CD">
        <w:rPr>
          <w:rFonts w:ascii="Calibri" w:hAnsi="Calibri" w:cs="Calibri"/>
          <w:b/>
          <w:bCs/>
          <w:i/>
          <w:iCs/>
        </w:rPr>
        <w:t>Superconductivity in a second device D2.</w:t>
      </w:r>
      <w:r w:rsidR="005968F2" w:rsidRPr="009B29CD">
        <w:rPr>
          <w:rFonts w:ascii="Calibri" w:hAnsi="Calibri" w:cs="Calibri"/>
          <w:b/>
          <w:bCs/>
          <w:i/>
          <w:iCs/>
        </w:rPr>
        <w:t xml:space="preserve">  </w:t>
      </w:r>
      <w:r w:rsidRPr="009B29CD">
        <w:rPr>
          <w:rFonts w:ascii="Calibri" w:eastAsiaTheme="minorEastAsia" w:hAnsi="Calibri" w:cs="Calibri"/>
          <w:b/>
          <w:bCs/>
          <w:i/>
          <w:iCs/>
          <w:color w:val="000000" w:themeColor="text1"/>
        </w:rPr>
        <w:t>a</w:t>
      </w:r>
      <w:r w:rsidRPr="009B29CD">
        <w:rPr>
          <w:rFonts w:ascii="Calibri" w:eastAsiaTheme="minorEastAsia" w:hAnsi="Calibri" w:cs="Calibri"/>
          <w:i/>
          <w:iCs/>
          <w:color w:val="000000" w:themeColor="text1"/>
        </w:rPr>
        <w:t>, Four-terminal resistance R</w:t>
      </w:r>
      <w:r w:rsidRPr="009B29CD">
        <w:rPr>
          <w:rFonts w:ascii="Calibri" w:eastAsiaTheme="minorEastAsia" w:hAnsi="Calibri" w:cs="Calibri"/>
          <w:i/>
          <w:iCs/>
          <w:color w:val="000000" w:themeColor="text1"/>
          <w:vertAlign w:val="subscript"/>
        </w:rPr>
        <w:t>xx</w:t>
      </w:r>
      <w:r w:rsidRPr="009B29CD">
        <w:rPr>
          <w:rFonts w:ascii="Calibri" w:eastAsiaTheme="minorEastAsia" w:hAnsi="Calibri" w:cs="Calibri"/>
          <w:i/>
          <w:iCs/>
          <w:color w:val="000000" w:themeColor="text1"/>
        </w:rPr>
        <w:t xml:space="preserve"> as a function of n and D for device D2. Similar to D1, well-developed SC4 and SC3 can be observed in both D&gt;0 and D&lt;0 regime. </w:t>
      </w:r>
      <w:proofErr w:type="gramStart"/>
      <w:r w:rsidRPr="009B29CD">
        <w:rPr>
          <w:rFonts w:ascii="Calibri" w:eastAsiaTheme="minorEastAsia" w:hAnsi="Calibri" w:cs="Calibri"/>
          <w:i/>
          <w:iCs/>
          <w:color w:val="000000" w:themeColor="text1"/>
        </w:rPr>
        <w:t>Inset</w:t>
      </w:r>
      <w:proofErr w:type="gramEnd"/>
      <w:r w:rsidRPr="009B29CD">
        <w:rPr>
          <w:rFonts w:ascii="Calibri" w:eastAsiaTheme="minorEastAsia" w:hAnsi="Calibri" w:cs="Calibri"/>
          <w:i/>
          <w:iCs/>
          <w:color w:val="000000" w:themeColor="text1"/>
        </w:rPr>
        <w:t>: optical image of the device. “S” and “D” stand for source and drain, and R</w:t>
      </w:r>
      <w:r w:rsidRPr="009B29CD">
        <w:rPr>
          <w:rFonts w:ascii="Calibri" w:eastAsiaTheme="minorEastAsia" w:hAnsi="Calibri" w:cs="Calibri"/>
          <w:i/>
          <w:iCs/>
          <w:color w:val="000000" w:themeColor="text1"/>
          <w:vertAlign w:val="subscript"/>
        </w:rPr>
        <w:t>xx</w:t>
      </w:r>
      <w:r w:rsidRPr="009B29CD">
        <w:rPr>
          <w:rFonts w:ascii="Calibri" w:eastAsiaTheme="minorEastAsia" w:hAnsi="Calibri" w:cs="Calibri"/>
          <w:i/>
          <w:iCs/>
          <w:color w:val="000000" w:themeColor="text1"/>
        </w:rPr>
        <w:t xml:space="preserve"> is measured from contact “1” / “2”. </w:t>
      </w:r>
      <w:r w:rsidRPr="009B29CD">
        <w:rPr>
          <w:rFonts w:ascii="Calibri" w:eastAsiaTheme="minorEastAsia" w:hAnsi="Calibri" w:cs="Calibri"/>
          <w:b/>
          <w:bCs/>
          <w:i/>
          <w:iCs/>
          <w:color w:val="000000" w:themeColor="text1"/>
        </w:rPr>
        <w:t>b</w:t>
      </w:r>
      <w:r w:rsidRPr="009B29CD">
        <w:rPr>
          <w:rFonts w:ascii="Calibri" w:eastAsiaTheme="minorEastAsia" w:hAnsi="Calibri" w:cs="Calibri"/>
          <w:i/>
          <w:iCs/>
          <w:color w:val="000000" w:themeColor="text1"/>
        </w:rPr>
        <w:t>, Illustration of sample structure. Different from D1</w:t>
      </w:r>
      <w:proofErr w:type="gramStart"/>
      <w:r w:rsidRPr="009B29CD">
        <w:rPr>
          <w:rFonts w:ascii="Calibri" w:eastAsiaTheme="minorEastAsia" w:hAnsi="Calibri" w:cs="Calibri"/>
          <w:i/>
          <w:iCs/>
          <w:color w:val="000000" w:themeColor="text1"/>
        </w:rPr>
        <w:t>, in</w:t>
      </w:r>
      <w:proofErr w:type="gramEnd"/>
      <w:r w:rsidRPr="009B29CD">
        <w:rPr>
          <w:rFonts w:ascii="Calibri" w:eastAsiaTheme="minorEastAsia" w:hAnsi="Calibri" w:cs="Calibri"/>
          <w:i/>
          <w:iCs/>
          <w:color w:val="000000" w:themeColor="text1"/>
        </w:rPr>
        <w:t xml:space="preserve"> D2 RTG is encapsulated by two bilayer tungsten diselenide (2L-WSe</w:t>
      </w:r>
      <w:r w:rsidRPr="009B29CD">
        <w:rPr>
          <w:rFonts w:ascii="Calibri" w:eastAsiaTheme="minorEastAsia" w:hAnsi="Calibri" w:cs="Calibri"/>
          <w:i/>
          <w:iCs/>
          <w:color w:val="000000" w:themeColor="text1"/>
          <w:vertAlign w:val="subscript"/>
        </w:rPr>
        <w:t>2</w:t>
      </w:r>
      <w:r w:rsidRPr="009B29CD">
        <w:rPr>
          <w:rFonts w:ascii="Calibri" w:eastAsiaTheme="minorEastAsia" w:hAnsi="Calibri" w:cs="Calibri"/>
          <w:i/>
          <w:iCs/>
          <w:color w:val="000000" w:themeColor="text1"/>
        </w:rPr>
        <w:t>). Thus, the top and bottom 2L-WSe</w:t>
      </w:r>
      <w:r w:rsidRPr="009B29CD">
        <w:rPr>
          <w:rFonts w:ascii="Calibri" w:eastAsiaTheme="minorEastAsia" w:hAnsi="Calibri" w:cs="Calibri"/>
          <w:i/>
          <w:iCs/>
          <w:color w:val="000000" w:themeColor="text1"/>
          <w:vertAlign w:val="subscript"/>
        </w:rPr>
        <w:t>2</w:t>
      </w:r>
      <w:r w:rsidRPr="009B29CD">
        <w:rPr>
          <w:rFonts w:ascii="Calibri" w:eastAsiaTheme="minorEastAsia" w:hAnsi="Calibri" w:cs="Calibri"/>
          <w:i/>
          <w:iCs/>
          <w:color w:val="000000" w:themeColor="text1"/>
        </w:rPr>
        <w:t xml:space="preserve"> are aligned in 0° with respect to each other to preserve the inversion symmetry. </w:t>
      </w:r>
      <w:r w:rsidRPr="009B29CD">
        <w:rPr>
          <w:rFonts w:ascii="Calibri" w:eastAsiaTheme="minorEastAsia" w:hAnsi="Calibri" w:cs="Calibri"/>
          <w:b/>
          <w:bCs/>
          <w:i/>
          <w:iCs/>
          <w:color w:val="000000" w:themeColor="text1"/>
        </w:rPr>
        <w:t>c</w:t>
      </w:r>
      <w:r w:rsidRPr="009B29CD">
        <w:rPr>
          <w:rFonts w:ascii="Calibri" w:eastAsiaTheme="minorEastAsia" w:hAnsi="Calibri" w:cs="Calibri"/>
          <w:i/>
          <w:iCs/>
          <w:color w:val="000000" w:themeColor="text1"/>
        </w:rPr>
        <w:t xml:space="preserve">, Differential resistance </w:t>
      </w:r>
      <w:proofErr w:type="spellStart"/>
      <w:r w:rsidRPr="009B29CD">
        <w:rPr>
          <w:rFonts w:ascii="Calibri" w:eastAsiaTheme="minorEastAsia" w:hAnsi="Calibri" w:cs="Calibri"/>
          <w:i/>
          <w:iCs/>
          <w:color w:val="000000" w:themeColor="text1"/>
        </w:rPr>
        <w:t>dV</w:t>
      </w:r>
      <w:proofErr w:type="spellEnd"/>
      <w:r w:rsidRPr="009B29CD">
        <w:rPr>
          <w:rFonts w:ascii="Calibri" w:eastAsiaTheme="minorEastAsia" w:hAnsi="Calibri" w:cs="Calibri"/>
          <w:i/>
          <w:iCs/>
          <w:color w:val="000000" w:themeColor="text1"/>
        </w:rPr>
        <w:t>/</w:t>
      </w:r>
      <w:proofErr w:type="spellStart"/>
      <w:r w:rsidRPr="009B29CD">
        <w:rPr>
          <w:rFonts w:ascii="Calibri" w:eastAsiaTheme="minorEastAsia" w:hAnsi="Calibri" w:cs="Calibri"/>
          <w:i/>
          <w:iCs/>
          <w:color w:val="000000" w:themeColor="text1"/>
        </w:rPr>
        <w:t>dI</w:t>
      </w:r>
      <w:proofErr w:type="spellEnd"/>
      <w:r w:rsidRPr="009B29CD">
        <w:rPr>
          <w:rFonts w:ascii="Calibri" w:eastAsiaTheme="minorEastAsia" w:hAnsi="Calibri" w:cs="Calibri"/>
          <w:i/>
          <w:iCs/>
          <w:color w:val="000000" w:themeColor="text1"/>
        </w:rPr>
        <w:t xml:space="preserve"> as a function of the direct current I</w:t>
      </w:r>
      <w:r w:rsidRPr="009B29CD">
        <w:rPr>
          <w:rFonts w:ascii="Calibri" w:eastAsiaTheme="minorEastAsia" w:hAnsi="Calibri" w:cs="Calibri"/>
          <w:i/>
          <w:iCs/>
          <w:color w:val="000000" w:themeColor="text1"/>
          <w:vertAlign w:val="subscript"/>
        </w:rPr>
        <w:t>DC</w:t>
      </w:r>
      <w:r w:rsidRPr="009B29CD">
        <w:rPr>
          <w:rFonts w:ascii="Calibri" w:eastAsiaTheme="minorEastAsia" w:hAnsi="Calibri" w:cs="Calibri"/>
          <w:i/>
          <w:iCs/>
          <w:color w:val="000000" w:themeColor="text1"/>
        </w:rPr>
        <w:t xml:space="preserve"> of SC4 and SC3, measured at the square and the circle markers in </w:t>
      </w:r>
      <w:r w:rsidRPr="009B29CD">
        <w:rPr>
          <w:rFonts w:ascii="Calibri" w:eastAsiaTheme="minorEastAsia" w:hAnsi="Calibri" w:cs="Calibri"/>
          <w:b/>
          <w:bCs/>
          <w:i/>
          <w:iCs/>
          <w:color w:val="000000" w:themeColor="text1"/>
        </w:rPr>
        <w:t>a</w:t>
      </w:r>
      <w:r w:rsidRPr="009B29CD">
        <w:rPr>
          <w:rFonts w:ascii="Calibri" w:eastAsiaTheme="minorEastAsia" w:hAnsi="Calibri" w:cs="Calibri"/>
          <w:i/>
          <w:iCs/>
          <w:color w:val="000000" w:themeColor="text1"/>
        </w:rPr>
        <w:t>.</w:t>
      </w:r>
    </w:p>
    <w:p w14:paraId="03C26EA4" w14:textId="3236C8BE" w:rsidR="009B29CD" w:rsidRDefault="00815FA3" w:rsidP="009B29CD">
      <w:pPr>
        <w:pStyle w:val="NormalWeb"/>
        <w:spacing w:before="0" w:beforeAutospacing="0" w:after="0" w:afterAutospacing="0"/>
        <w:jc w:val="both"/>
        <w:rPr>
          <w:rFonts w:ascii="Calibri" w:eastAsiaTheme="minorEastAsia" w:hAnsi="Calibri" w:cs="Calibri"/>
          <w:i/>
          <w:iCs/>
          <w:color w:val="000000" w:themeColor="text1"/>
        </w:rPr>
      </w:pPr>
      <w:r>
        <w:rPr>
          <w:noProof/>
        </w:rPr>
        <w:lastRenderedPageBreak/>
        <w:drawing>
          <wp:inline distT="0" distB="0" distL="0" distR="0" wp14:anchorId="004180D2" wp14:editId="5ED6728D">
            <wp:extent cx="5943600" cy="3300095"/>
            <wp:effectExtent l="0" t="0" r="0" b="0"/>
            <wp:docPr id="985493163" name="Picture 6" descr="Several images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493163" name="Picture 6" descr="Several images of a graph&#10;&#10;Description automatically generated with medium confidenc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3600" cy="3300095"/>
                    </a:xfrm>
                    <a:prstGeom prst="rect">
                      <a:avLst/>
                    </a:prstGeom>
                    <a:noFill/>
                    <a:ln>
                      <a:noFill/>
                    </a:ln>
                  </pic:spPr>
                </pic:pic>
              </a:graphicData>
            </a:graphic>
          </wp:inline>
        </w:drawing>
      </w:r>
    </w:p>
    <w:p w14:paraId="2D44141D" w14:textId="3D1C4ECF" w:rsidR="009B29CD" w:rsidRDefault="009B29CD" w:rsidP="009B29CD">
      <w:pPr>
        <w:pStyle w:val="NormalWeb"/>
        <w:spacing w:before="0" w:beforeAutospacing="0" w:after="0" w:afterAutospacing="0"/>
        <w:jc w:val="both"/>
        <w:rPr>
          <w:rFonts w:asciiTheme="minorHAnsi" w:eastAsia="DengXian" w:hAnsiTheme="minorHAnsi" w:cstheme="minorBidi"/>
          <w:i/>
          <w:iCs/>
          <w:color w:val="000000" w:themeColor="text1"/>
        </w:rPr>
      </w:pPr>
      <w:r w:rsidRPr="009B29CD">
        <w:rPr>
          <w:rFonts w:ascii="Calibri" w:hAnsi="Calibri" w:cs="Calibri"/>
          <w:b/>
          <w:bCs/>
          <w:i/>
          <w:iCs/>
        </w:rPr>
        <w:t xml:space="preserve">Extended Data Figure </w:t>
      </w:r>
      <w:r>
        <w:rPr>
          <w:rFonts w:ascii="Calibri" w:eastAsiaTheme="minorEastAsia" w:hAnsi="Calibri" w:cs="Calibri" w:hint="eastAsia"/>
          <w:b/>
          <w:bCs/>
          <w:i/>
          <w:iCs/>
        </w:rPr>
        <w:t>2</w:t>
      </w:r>
      <w:r w:rsidRPr="009B29CD">
        <w:rPr>
          <w:rFonts w:ascii="Calibri" w:hAnsi="Calibri" w:cs="Calibri"/>
          <w:b/>
          <w:bCs/>
          <w:i/>
          <w:iCs/>
        </w:rPr>
        <w:t xml:space="preserve">. Out-of-plane magnetic field dependence of critical current and the </w:t>
      </w:r>
      <w:proofErr w:type="spellStart"/>
      <w:r w:rsidRPr="009B29CD">
        <w:rPr>
          <w:rFonts w:ascii="Calibri" w:hAnsi="Calibri" w:cs="Calibri"/>
          <w:b/>
          <w:bCs/>
          <w:i/>
          <w:iCs/>
        </w:rPr>
        <w:t>Berezinskii</w:t>
      </w:r>
      <w:proofErr w:type="spellEnd"/>
      <w:r w:rsidRPr="009B29CD">
        <w:rPr>
          <w:rFonts w:ascii="Calibri" w:hAnsi="Calibri" w:cs="Calibri"/>
          <w:b/>
          <w:bCs/>
          <w:i/>
          <w:iCs/>
        </w:rPr>
        <w:t>–</w:t>
      </w:r>
      <w:proofErr w:type="spellStart"/>
      <w:r w:rsidRPr="009B29CD">
        <w:rPr>
          <w:rFonts w:ascii="Calibri" w:hAnsi="Calibri" w:cs="Calibri"/>
          <w:b/>
          <w:bCs/>
          <w:i/>
          <w:iCs/>
        </w:rPr>
        <w:t>Kosterlitz</w:t>
      </w:r>
      <w:proofErr w:type="spellEnd"/>
      <w:r w:rsidRPr="009B29CD">
        <w:rPr>
          <w:rFonts w:ascii="Calibri" w:hAnsi="Calibri" w:cs="Calibri"/>
          <w:b/>
          <w:bCs/>
          <w:i/>
          <w:iCs/>
        </w:rPr>
        <w:t xml:space="preserve">–Thouless transition.  </w:t>
      </w:r>
      <w:r w:rsidRPr="00FB7939">
        <w:rPr>
          <w:rFonts w:asciiTheme="minorHAnsi" w:eastAsia="DengXian" w:hAnsiTheme="minorHAnsi" w:cstheme="minorBidi"/>
          <w:b/>
          <w:bCs/>
          <w:i/>
          <w:iCs/>
          <w:color w:val="000000" w:themeColor="text1"/>
        </w:rPr>
        <w:t>a</w:t>
      </w:r>
      <w:r w:rsidRPr="00FB7939">
        <w:rPr>
          <w:rFonts w:asciiTheme="minorHAnsi" w:eastAsia="DengXian" w:hAnsiTheme="minorHAnsi" w:cstheme="minorBidi"/>
          <w:i/>
          <w:iCs/>
          <w:color w:val="000000" w:themeColor="text1"/>
        </w:rPr>
        <w:t>-</w:t>
      </w:r>
      <w:r w:rsidRPr="00FB7939">
        <w:rPr>
          <w:rFonts w:asciiTheme="minorHAnsi" w:eastAsia="DengXian" w:hAnsiTheme="minorHAnsi" w:cstheme="minorBidi"/>
          <w:b/>
          <w:bCs/>
          <w:i/>
          <w:iCs/>
          <w:color w:val="000000" w:themeColor="text1"/>
        </w:rPr>
        <w:t>d</w:t>
      </w:r>
      <w:r w:rsidRPr="00FB7939">
        <w:rPr>
          <w:rFonts w:asciiTheme="minorHAnsi" w:eastAsia="DengXian" w:hAnsiTheme="minorHAnsi" w:cstheme="minorBidi"/>
          <w:i/>
          <w:iCs/>
          <w:color w:val="000000" w:themeColor="text1"/>
        </w:rPr>
        <w:t xml:space="preserve">, Differential resistance </w:t>
      </w:r>
      <w:proofErr w:type="spellStart"/>
      <w:r w:rsidRPr="00FB7939">
        <w:rPr>
          <w:rFonts w:asciiTheme="minorHAnsi" w:eastAsia="DengXian" w:hAnsiTheme="minorHAnsi" w:cstheme="minorBidi"/>
          <w:i/>
          <w:iCs/>
          <w:color w:val="000000" w:themeColor="text1"/>
        </w:rPr>
        <w:t>d</w:t>
      </w:r>
      <w:r w:rsidRPr="00BA72C0">
        <w:rPr>
          <w:rFonts w:asciiTheme="minorHAnsi" w:eastAsia="DengXian" w:hAnsiTheme="minorHAnsi" w:cstheme="minorBidi"/>
          <w:i/>
          <w:iCs/>
          <w:color w:val="000000" w:themeColor="text1"/>
        </w:rPr>
        <w:t>V</w:t>
      </w:r>
      <w:proofErr w:type="spellEnd"/>
      <w:r w:rsidRPr="00FB7939">
        <w:rPr>
          <w:rFonts w:asciiTheme="minorHAnsi" w:eastAsia="DengXian" w:hAnsiTheme="minorHAnsi" w:cstheme="minorBidi"/>
          <w:i/>
          <w:iCs/>
          <w:color w:val="000000" w:themeColor="text1"/>
        </w:rPr>
        <w:t>/</w:t>
      </w:r>
      <w:proofErr w:type="spellStart"/>
      <w:r w:rsidRPr="00FB7939">
        <w:rPr>
          <w:rFonts w:asciiTheme="minorHAnsi" w:eastAsia="DengXian" w:hAnsiTheme="minorHAnsi" w:cstheme="minorBidi"/>
          <w:i/>
          <w:iCs/>
          <w:color w:val="000000" w:themeColor="text1"/>
        </w:rPr>
        <w:t>d</w:t>
      </w:r>
      <w:r w:rsidRPr="00BA72C0">
        <w:rPr>
          <w:rFonts w:asciiTheme="minorHAnsi" w:eastAsia="DengXian" w:hAnsiTheme="minorHAnsi" w:cstheme="minorBidi"/>
          <w:i/>
          <w:iCs/>
          <w:color w:val="000000" w:themeColor="text1"/>
        </w:rPr>
        <w:t>I</w:t>
      </w:r>
      <w:proofErr w:type="spellEnd"/>
      <w:r w:rsidRPr="00FB7939">
        <w:rPr>
          <w:rFonts w:asciiTheme="minorHAnsi" w:eastAsia="DengXian" w:hAnsiTheme="minorHAnsi" w:cstheme="minorBidi"/>
          <w:i/>
          <w:iCs/>
          <w:color w:val="000000" w:themeColor="text1"/>
        </w:rPr>
        <w:t xml:space="preserve"> as a function of the direct </w:t>
      </w:r>
      <w:r w:rsidRPr="00F2307A">
        <w:rPr>
          <w:rFonts w:asciiTheme="minorHAnsi" w:eastAsia="DengXian" w:hAnsiTheme="minorHAnsi" w:cstheme="minorBidi"/>
          <w:i/>
          <w:iCs/>
          <w:color w:val="000000" w:themeColor="text1"/>
        </w:rPr>
        <w:t>current I</w:t>
      </w:r>
      <w:r w:rsidRPr="00F2307A">
        <w:rPr>
          <w:rFonts w:asciiTheme="minorHAnsi" w:eastAsia="DengXian" w:hAnsiTheme="minorHAnsi" w:cstheme="minorBidi"/>
          <w:i/>
          <w:iCs/>
          <w:color w:val="000000" w:themeColor="text1"/>
          <w:vertAlign w:val="subscript"/>
        </w:rPr>
        <w:t>DC</w:t>
      </w:r>
      <w:r w:rsidRPr="00F2307A">
        <w:rPr>
          <w:rFonts w:asciiTheme="minorHAnsi" w:eastAsia="DengXian" w:hAnsiTheme="minorHAnsi" w:cstheme="minorBidi"/>
          <w:i/>
          <w:iCs/>
          <w:color w:val="000000" w:themeColor="text1"/>
        </w:rPr>
        <w:t xml:space="preserve"> and out-of-plane magnetic field </w:t>
      </w:r>
      <w:r w:rsidRPr="00F2307A">
        <w:rPr>
          <w:rFonts w:asciiTheme="minorHAnsi" w:hAnsiTheme="minorHAnsi" w:cstheme="minorBidi"/>
          <w:i/>
          <w:iCs/>
        </w:rPr>
        <w:t>B</w:t>
      </w:r>
      <w:r w:rsidRPr="00F2307A">
        <w:rPr>
          <w:rFonts w:ascii="Cambria Math" w:hAnsi="Cambria Math" w:cs="Cambria Math"/>
          <w:vertAlign w:val="subscript"/>
        </w:rPr>
        <w:t>⊥</w:t>
      </w:r>
      <w:r w:rsidRPr="00F2307A">
        <w:rPr>
          <w:rFonts w:asciiTheme="minorHAnsi" w:eastAsia="DengXian" w:hAnsiTheme="minorHAnsi" w:cstheme="minorBidi"/>
          <w:i/>
          <w:iCs/>
          <w:color w:val="000000" w:themeColor="text1"/>
        </w:rPr>
        <w:t>, for D1 SC4 (</w:t>
      </w:r>
      <w:r w:rsidRPr="00F2307A">
        <w:rPr>
          <w:rFonts w:asciiTheme="minorHAnsi" w:eastAsia="DengXian" w:hAnsiTheme="minorHAnsi" w:cstheme="minorBidi"/>
          <w:b/>
          <w:bCs/>
          <w:i/>
          <w:iCs/>
          <w:color w:val="000000" w:themeColor="text1"/>
        </w:rPr>
        <w:t>a</w:t>
      </w:r>
      <w:r w:rsidRPr="00F2307A">
        <w:rPr>
          <w:rFonts w:asciiTheme="minorHAnsi" w:eastAsia="DengXian" w:hAnsiTheme="minorHAnsi" w:cstheme="minorBidi"/>
          <w:i/>
          <w:iCs/>
          <w:color w:val="000000" w:themeColor="text1"/>
        </w:rPr>
        <w:t>), D1 SC3 (</w:t>
      </w:r>
      <w:r w:rsidRPr="00F2307A">
        <w:rPr>
          <w:rFonts w:asciiTheme="minorHAnsi" w:eastAsia="DengXian" w:hAnsiTheme="minorHAnsi" w:cstheme="minorBidi"/>
          <w:b/>
          <w:bCs/>
          <w:i/>
          <w:iCs/>
          <w:color w:val="000000" w:themeColor="text1"/>
        </w:rPr>
        <w:t>b</w:t>
      </w:r>
      <w:r w:rsidRPr="00F2307A">
        <w:rPr>
          <w:rFonts w:asciiTheme="minorHAnsi" w:eastAsia="DengXian" w:hAnsiTheme="minorHAnsi" w:cstheme="minorBidi"/>
          <w:i/>
          <w:iCs/>
          <w:color w:val="000000" w:themeColor="text1"/>
        </w:rPr>
        <w:t>), D2 SC4 (</w:t>
      </w:r>
      <w:r w:rsidRPr="00F2307A">
        <w:rPr>
          <w:rFonts w:asciiTheme="minorHAnsi" w:eastAsia="DengXian" w:hAnsiTheme="minorHAnsi" w:cstheme="minorBidi"/>
          <w:b/>
          <w:bCs/>
          <w:i/>
          <w:iCs/>
          <w:color w:val="000000" w:themeColor="text1"/>
        </w:rPr>
        <w:t>c</w:t>
      </w:r>
      <w:r w:rsidRPr="00F2307A">
        <w:rPr>
          <w:rFonts w:asciiTheme="minorHAnsi" w:eastAsia="DengXian" w:hAnsiTheme="minorHAnsi" w:cstheme="minorBidi"/>
          <w:i/>
          <w:iCs/>
          <w:color w:val="000000" w:themeColor="text1"/>
        </w:rPr>
        <w:t>), and D2 SC3 (</w:t>
      </w:r>
      <w:r w:rsidRPr="00F2307A">
        <w:rPr>
          <w:rFonts w:asciiTheme="minorHAnsi" w:eastAsia="DengXian" w:hAnsiTheme="minorHAnsi" w:cstheme="minorBidi"/>
          <w:b/>
          <w:bCs/>
          <w:i/>
          <w:iCs/>
          <w:color w:val="000000" w:themeColor="text1"/>
        </w:rPr>
        <w:t>d</w:t>
      </w:r>
      <w:r w:rsidRPr="00F2307A">
        <w:rPr>
          <w:rFonts w:asciiTheme="minorHAnsi" w:eastAsia="DengXian" w:hAnsiTheme="minorHAnsi" w:cstheme="minorBidi"/>
          <w:i/>
          <w:iCs/>
          <w:color w:val="000000" w:themeColor="text1"/>
        </w:rPr>
        <w:t xml:space="preserve">). Fraunhofer oscillation patterns can be seen in </w:t>
      </w:r>
      <w:r>
        <w:rPr>
          <w:rFonts w:asciiTheme="minorHAnsi" w:eastAsia="DengXian" w:hAnsiTheme="minorHAnsi" w:cstheme="minorBidi" w:hint="eastAsia"/>
          <w:i/>
          <w:iCs/>
          <w:color w:val="000000" w:themeColor="text1"/>
        </w:rPr>
        <w:t xml:space="preserve">D1 </w:t>
      </w:r>
      <w:r w:rsidRPr="00F2307A">
        <w:rPr>
          <w:rFonts w:asciiTheme="minorHAnsi" w:eastAsia="DengXian" w:hAnsiTheme="minorHAnsi" w:cstheme="minorBidi"/>
          <w:i/>
          <w:iCs/>
          <w:color w:val="000000" w:themeColor="text1"/>
        </w:rPr>
        <w:t xml:space="preserve">SC4 but not in </w:t>
      </w:r>
      <w:r>
        <w:rPr>
          <w:rFonts w:asciiTheme="minorHAnsi" w:eastAsia="DengXian" w:hAnsiTheme="minorHAnsi" w:cstheme="minorBidi" w:hint="eastAsia"/>
          <w:i/>
          <w:iCs/>
          <w:color w:val="000000" w:themeColor="text1"/>
        </w:rPr>
        <w:t>other superconducting states</w:t>
      </w:r>
      <w:r w:rsidRPr="00F2307A">
        <w:rPr>
          <w:rFonts w:asciiTheme="minorHAnsi" w:eastAsia="DengXian" w:hAnsiTheme="minorHAnsi" w:cstheme="minorBidi"/>
          <w:i/>
          <w:iCs/>
          <w:color w:val="000000" w:themeColor="text1"/>
        </w:rPr>
        <w:t xml:space="preserve">. </w:t>
      </w:r>
      <w:proofErr w:type="spellStart"/>
      <w:r w:rsidRPr="00F2307A">
        <w:rPr>
          <w:rFonts w:asciiTheme="minorHAnsi" w:eastAsia="DengXian" w:hAnsiTheme="minorHAnsi" w:cstheme="minorBidi"/>
          <w:b/>
          <w:bCs/>
          <w:i/>
          <w:iCs/>
          <w:color w:val="000000" w:themeColor="text1"/>
        </w:rPr>
        <w:t>e</w:t>
      </w:r>
      <w:r w:rsidRPr="00F2307A">
        <w:rPr>
          <w:rFonts w:asciiTheme="minorHAnsi" w:eastAsia="DengXian" w:hAnsiTheme="minorHAnsi" w:cstheme="minorBidi"/>
          <w:i/>
          <w:iCs/>
          <w:color w:val="000000" w:themeColor="text1"/>
        </w:rPr>
        <w:t>&amp;</w:t>
      </w:r>
      <w:r w:rsidRPr="00F2307A">
        <w:rPr>
          <w:rFonts w:asciiTheme="minorHAnsi" w:eastAsia="DengXian" w:hAnsiTheme="minorHAnsi" w:cstheme="minorBidi"/>
          <w:b/>
          <w:bCs/>
          <w:i/>
          <w:iCs/>
          <w:color w:val="000000" w:themeColor="text1"/>
        </w:rPr>
        <w:t>f</w:t>
      </w:r>
      <w:proofErr w:type="spellEnd"/>
      <w:r w:rsidRPr="00F2307A">
        <w:rPr>
          <w:rFonts w:asciiTheme="minorHAnsi" w:eastAsia="DengXian" w:hAnsiTheme="minorHAnsi" w:cstheme="minorBidi"/>
          <w:i/>
          <w:iCs/>
          <w:color w:val="000000" w:themeColor="text1"/>
        </w:rPr>
        <w:t>, Voltage V as a function of direct</w:t>
      </w:r>
      <w:r w:rsidRPr="00FB7939">
        <w:rPr>
          <w:rFonts w:asciiTheme="minorHAnsi" w:eastAsia="DengXian" w:hAnsiTheme="minorHAnsi" w:cstheme="minorBidi"/>
          <w:i/>
          <w:iCs/>
          <w:color w:val="000000" w:themeColor="text1"/>
        </w:rPr>
        <w:t xml:space="preserve"> current </w:t>
      </w:r>
      <w:r w:rsidRPr="00BA72C0">
        <w:rPr>
          <w:rFonts w:asciiTheme="minorHAnsi" w:eastAsia="DengXian" w:hAnsiTheme="minorHAnsi" w:cstheme="minorBidi"/>
          <w:i/>
          <w:iCs/>
          <w:color w:val="000000" w:themeColor="text1"/>
        </w:rPr>
        <w:t>I</w:t>
      </w:r>
      <w:r w:rsidRPr="00BA72C0">
        <w:rPr>
          <w:rFonts w:asciiTheme="minorHAnsi" w:eastAsia="DengXian" w:hAnsiTheme="minorHAnsi" w:cstheme="minorBidi"/>
          <w:i/>
          <w:iCs/>
          <w:color w:val="000000" w:themeColor="text1"/>
          <w:vertAlign w:val="subscript"/>
        </w:rPr>
        <w:t>DC</w:t>
      </w:r>
      <w:r w:rsidRPr="00FB7939">
        <w:rPr>
          <w:rFonts w:asciiTheme="minorHAnsi" w:eastAsia="DengXian" w:hAnsiTheme="minorHAnsi" w:cstheme="minorBidi"/>
          <w:i/>
          <w:iCs/>
          <w:color w:val="000000" w:themeColor="text1"/>
        </w:rPr>
        <w:t xml:space="preserve"> at different temperature, for D1 SC4 (</w:t>
      </w:r>
      <w:r w:rsidRPr="00FB7939">
        <w:rPr>
          <w:rFonts w:asciiTheme="minorHAnsi" w:eastAsia="DengXian" w:hAnsiTheme="minorHAnsi" w:cstheme="minorBidi"/>
          <w:b/>
          <w:bCs/>
          <w:i/>
          <w:iCs/>
          <w:color w:val="000000" w:themeColor="text1"/>
        </w:rPr>
        <w:t>e</w:t>
      </w:r>
      <w:r w:rsidRPr="00FB7939">
        <w:rPr>
          <w:rFonts w:asciiTheme="minorHAnsi" w:eastAsia="DengXian" w:hAnsiTheme="minorHAnsi" w:cstheme="minorBidi"/>
          <w:i/>
          <w:iCs/>
          <w:color w:val="000000" w:themeColor="text1"/>
        </w:rPr>
        <w:t>) and D1 SC3 (</w:t>
      </w:r>
      <w:r w:rsidRPr="00FB7939">
        <w:rPr>
          <w:rFonts w:asciiTheme="minorHAnsi" w:eastAsia="DengXian" w:hAnsiTheme="minorHAnsi" w:cstheme="minorBidi"/>
          <w:b/>
          <w:bCs/>
          <w:i/>
          <w:iCs/>
          <w:color w:val="000000" w:themeColor="text1"/>
        </w:rPr>
        <w:t>f</w:t>
      </w:r>
      <w:r w:rsidRPr="00FB7939">
        <w:rPr>
          <w:rFonts w:asciiTheme="minorHAnsi" w:eastAsia="DengXian" w:hAnsiTheme="minorHAnsi" w:cstheme="minorBidi"/>
          <w:i/>
          <w:iCs/>
          <w:color w:val="000000" w:themeColor="text1"/>
        </w:rPr>
        <w:t xml:space="preserve">), measured at the green and orange marker positions in Fig.1b. By comparing the data with </w:t>
      </w:r>
      <w:r w:rsidRPr="00BA72C0">
        <w:rPr>
          <w:rFonts w:asciiTheme="minorHAnsi" w:eastAsia="DengXian" w:hAnsiTheme="minorHAnsi" w:cstheme="minorBidi"/>
          <w:i/>
          <w:iCs/>
          <w:color w:val="000000" w:themeColor="text1"/>
        </w:rPr>
        <w:t>V</w:t>
      </w:r>
      <w:r w:rsidRPr="00FB7939">
        <w:rPr>
          <w:rFonts w:asciiTheme="minorHAnsi" w:eastAsia="DengXian" w:hAnsiTheme="minorHAnsi" w:cstheme="minorBidi"/>
          <w:i/>
          <w:iCs/>
          <w:color w:val="000000" w:themeColor="text1"/>
        </w:rPr>
        <w:t xml:space="preserve"> ~ </w:t>
      </w:r>
      <w:r w:rsidRPr="00BA72C0">
        <w:rPr>
          <w:rFonts w:asciiTheme="minorHAnsi" w:eastAsia="DengXian" w:hAnsiTheme="minorHAnsi" w:cstheme="minorBidi"/>
          <w:i/>
          <w:iCs/>
          <w:color w:val="000000" w:themeColor="text1"/>
        </w:rPr>
        <w:t>I</w:t>
      </w:r>
      <w:r w:rsidRPr="00BA72C0">
        <w:rPr>
          <w:rFonts w:asciiTheme="minorHAnsi" w:eastAsia="DengXian" w:hAnsiTheme="minorHAnsi" w:cstheme="minorBidi"/>
          <w:i/>
          <w:iCs/>
          <w:color w:val="000000" w:themeColor="text1"/>
          <w:vertAlign w:val="superscript"/>
        </w:rPr>
        <w:t>3</w:t>
      </w:r>
      <w:r w:rsidRPr="00FB7939">
        <w:rPr>
          <w:rFonts w:asciiTheme="minorHAnsi" w:eastAsia="DengXian" w:hAnsiTheme="minorHAnsi" w:cstheme="minorBidi"/>
          <w:i/>
          <w:iCs/>
          <w:color w:val="000000" w:themeColor="text1"/>
        </w:rPr>
        <w:t xml:space="preserve"> (grey dash lines), we can determine the </w:t>
      </w:r>
      <w:proofErr w:type="spellStart"/>
      <w:r w:rsidRPr="00FB7939">
        <w:rPr>
          <w:rFonts w:asciiTheme="minorHAnsi" w:eastAsia="DengXian" w:hAnsiTheme="minorHAnsi" w:cstheme="minorBidi"/>
          <w:i/>
          <w:iCs/>
          <w:color w:val="000000" w:themeColor="text1"/>
        </w:rPr>
        <w:t>Berezinskii</w:t>
      </w:r>
      <w:proofErr w:type="spellEnd"/>
      <w:r w:rsidRPr="00FB7939">
        <w:rPr>
          <w:rFonts w:asciiTheme="minorHAnsi" w:eastAsia="DengXian" w:hAnsiTheme="minorHAnsi" w:cstheme="minorBidi"/>
          <w:i/>
          <w:iCs/>
          <w:color w:val="000000" w:themeColor="text1"/>
        </w:rPr>
        <w:t>-</w:t>
      </w:r>
      <w:proofErr w:type="spellStart"/>
      <w:r w:rsidRPr="00FB7939">
        <w:rPr>
          <w:rFonts w:asciiTheme="minorHAnsi" w:eastAsia="DengXian" w:hAnsiTheme="minorHAnsi" w:cstheme="minorBidi"/>
          <w:i/>
          <w:iCs/>
          <w:color w:val="000000" w:themeColor="text1"/>
        </w:rPr>
        <w:t>Kosterlitz</w:t>
      </w:r>
      <w:proofErr w:type="spellEnd"/>
      <w:r w:rsidRPr="00FB7939">
        <w:rPr>
          <w:rFonts w:asciiTheme="minorHAnsi" w:eastAsia="DengXian" w:hAnsiTheme="minorHAnsi" w:cstheme="minorBidi"/>
          <w:i/>
          <w:iCs/>
          <w:color w:val="000000" w:themeColor="text1"/>
        </w:rPr>
        <w:t xml:space="preserve">-Thouless transition temperature </w:t>
      </w:r>
      <w:r w:rsidRPr="00BA72C0">
        <w:rPr>
          <w:rFonts w:asciiTheme="minorHAnsi" w:eastAsia="DengXian" w:hAnsiTheme="minorHAnsi" w:cstheme="minorBidi"/>
          <w:i/>
          <w:iCs/>
          <w:color w:val="000000" w:themeColor="text1"/>
        </w:rPr>
        <w:t>T</w:t>
      </w:r>
      <w:r w:rsidRPr="00BA72C0">
        <w:rPr>
          <w:rFonts w:asciiTheme="minorHAnsi" w:eastAsia="DengXian" w:hAnsiTheme="minorHAnsi" w:cstheme="minorBidi"/>
          <w:i/>
          <w:iCs/>
          <w:color w:val="000000" w:themeColor="text1"/>
          <w:vertAlign w:val="subscript"/>
        </w:rPr>
        <w:t>BKT</w:t>
      </w:r>
      <w:r w:rsidRPr="00BA72C0">
        <w:rPr>
          <w:rFonts w:asciiTheme="minorHAnsi" w:eastAsia="DengXian" w:hAnsiTheme="minorHAnsi" w:cstheme="minorBidi"/>
          <w:i/>
          <w:iCs/>
          <w:color w:val="000000" w:themeColor="text1"/>
        </w:rPr>
        <w:t xml:space="preserve"> </w:t>
      </w:r>
      <w:r w:rsidRPr="00FB7939">
        <w:rPr>
          <w:rFonts w:asciiTheme="minorHAnsi" w:eastAsia="DengXian" w:hAnsiTheme="minorHAnsi" w:cstheme="minorBidi"/>
          <w:i/>
          <w:iCs/>
          <w:color w:val="000000" w:themeColor="text1"/>
        </w:rPr>
        <w:t xml:space="preserve">is 173 </w:t>
      </w:r>
      <w:proofErr w:type="spellStart"/>
      <w:r w:rsidRPr="00FB7939">
        <w:rPr>
          <w:rFonts w:asciiTheme="minorHAnsi" w:eastAsia="DengXian" w:hAnsiTheme="minorHAnsi" w:cstheme="minorBidi"/>
          <w:i/>
          <w:iCs/>
          <w:color w:val="000000" w:themeColor="text1"/>
        </w:rPr>
        <w:t>mK</w:t>
      </w:r>
      <w:proofErr w:type="spellEnd"/>
      <w:r w:rsidRPr="00FB7939">
        <w:rPr>
          <w:rFonts w:asciiTheme="minorHAnsi" w:eastAsia="DengXian" w:hAnsiTheme="minorHAnsi" w:cstheme="minorBidi"/>
          <w:i/>
          <w:iCs/>
          <w:color w:val="000000" w:themeColor="text1"/>
        </w:rPr>
        <w:t xml:space="preserve"> for D1 SC4 and 85 </w:t>
      </w:r>
      <w:proofErr w:type="spellStart"/>
      <w:r w:rsidRPr="00FB7939">
        <w:rPr>
          <w:rFonts w:asciiTheme="minorHAnsi" w:eastAsia="DengXian" w:hAnsiTheme="minorHAnsi" w:cstheme="minorBidi"/>
          <w:i/>
          <w:iCs/>
          <w:color w:val="000000" w:themeColor="text1"/>
        </w:rPr>
        <w:t>mK</w:t>
      </w:r>
      <w:proofErr w:type="spellEnd"/>
      <w:r w:rsidRPr="00FB7939">
        <w:rPr>
          <w:rFonts w:asciiTheme="minorHAnsi" w:eastAsia="DengXian" w:hAnsiTheme="minorHAnsi" w:cstheme="minorBidi"/>
          <w:i/>
          <w:iCs/>
          <w:color w:val="000000" w:themeColor="text1"/>
        </w:rPr>
        <w:t xml:space="preserve"> for D1 SC3.</w:t>
      </w:r>
    </w:p>
    <w:p w14:paraId="2C65BA69" w14:textId="0D3AFCB7" w:rsidR="009B29CD" w:rsidRDefault="00815FA3" w:rsidP="009B29CD">
      <w:pPr>
        <w:pStyle w:val="NormalWeb"/>
        <w:spacing w:before="0" w:beforeAutospacing="0" w:after="0" w:afterAutospacing="0"/>
        <w:jc w:val="both"/>
        <w:rPr>
          <w:rFonts w:asciiTheme="minorHAnsi" w:eastAsia="DengXian" w:hAnsiTheme="minorHAnsi" w:cstheme="minorBidi"/>
          <w:i/>
          <w:iCs/>
          <w:color w:val="000000" w:themeColor="text1"/>
        </w:rPr>
      </w:pPr>
      <w:r>
        <w:rPr>
          <w:noProof/>
        </w:rPr>
        <w:lastRenderedPageBreak/>
        <w:drawing>
          <wp:inline distT="0" distB="0" distL="0" distR="0" wp14:anchorId="75370EA8" wp14:editId="335BABB1">
            <wp:extent cx="5943600" cy="5293360"/>
            <wp:effectExtent l="0" t="0" r="0" b="2540"/>
            <wp:docPr id="100243230" name="Picture 7" descr="A collage of images of a nuclear explos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43230" name="Picture 7" descr="A collage of images of a nuclear explosion&#10;&#10;Description automatically generated with medium confidenc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3600" cy="5293360"/>
                    </a:xfrm>
                    <a:prstGeom prst="rect">
                      <a:avLst/>
                    </a:prstGeom>
                    <a:noFill/>
                    <a:ln>
                      <a:noFill/>
                    </a:ln>
                  </pic:spPr>
                </pic:pic>
              </a:graphicData>
            </a:graphic>
          </wp:inline>
        </w:drawing>
      </w:r>
    </w:p>
    <w:p w14:paraId="5515639B" w14:textId="2EE988D8" w:rsidR="009B29CD" w:rsidRDefault="009B29CD" w:rsidP="009B29CD">
      <w:pPr>
        <w:pStyle w:val="NormalWeb"/>
        <w:spacing w:before="0" w:beforeAutospacing="0" w:after="0" w:afterAutospacing="0"/>
        <w:jc w:val="both"/>
        <w:rPr>
          <w:rFonts w:asciiTheme="minorHAnsi" w:eastAsia="DengXian" w:hAnsiTheme="minorHAnsi" w:cstheme="minorBidi"/>
          <w:i/>
          <w:iCs/>
          <w:color w:val="000000" w:themeColor="text1"/>
        </w:rPr>
      </w:pPr>
      <w:r w:rsidRPr="009B29CD">
        <w:rPr>
          <w:rFonts w:ascii="Calibri" w:hAnsi="Calibri" w:cs="Calibri"/>
          <w:b/>
          <w:bCs/>
          <w:i/>
          <w:iCs/>
        </w:rPr>
        <w:t xml:space="preserve">Extended Data Figure </w:t>
      </w:r>
      <w:r>
        <w:rPr>
          <w:rFonts w:ascii="Calibri" w:eastAsiaTheme="minorEastAsia" w:hAnsi="Calibri" w:cs="Calibri" w:hint="eastAsia"/>
          <w:b/>
          <w:bCs/>
          <w:i/>
          <w:iCs/>
        </w:rPr>
        <w:t>3</w:t>
      </w:r>
      <w:r w:rsidRPr="009B29CD">
        <w:rPr>
          <w:rFonts w:ascii="Calibri" w:hAnsi="Calibri" w:cs="Calibri"/>
          <w:b/>
          <w:bCs/>
          <w:i/>
          <w:iCs/>
        </w:rPr>
        <w:t xml:space="preserve">. </w:t>
      </w:r>
      <w:r w:rsidR="008B10BF" w:rsidRPr="008B10BF">
        <w:rPr>
          <w:rFonts w:ascii="Calibri" w:hAnsi="Calibri" w:cs="Calibri"/>
          <w:b/>
          <w:bCs/>
          <w:i/>
          <w:iCs/>
        </w:rPr>
        <w:t>Temperature Dependence of SC states in the single-side-TMD device D3.</w:t>
      </w:r>
      <w:r w:rsidRPr="009B29CD">
        <w:rPr>
          <w:rFonts w:ascii="Calibri" w:hAnsi="Calibri" w:cs="Calibri"/>
          <w:b/>
          <w:bCs/>
          <w:i/>
          <w:iCs/>
        </w:rPr>
        <w:t xml:space="preserve">  </w:t>
      </w:r>
      <w:proofErr w:type="spellStart"/>
      <w:r w:rsidR="008B10BF" w:rsidRPr="00FB7939">
        <w:rPr>
          <w:rFonts w:asciiTheme="minorHAnsi" w:eastAsiaTheme="minorEastAsia" w:hAnsiTheme="minorHAnsi" w:cstheme="minorBidi"/>
          <w:b/>
          <w:bCs/>
          <w:i/>
          <w:iCs/>
        </w:rPr>
        <w:t>a</w:t>
      </w:r>
      <w:r w:rsidR="008B10BF" w:rsidRPr="00FB7939">
        <w:rPr>
          <w:rFonts w:asciiTheme="minorHAnsi" w:eastAsiaTheme="minorEastAsia" w:hAnsiTheme="minorHAnsi" w:cstheme="minorBidi"/>
          <w:i/>
          <w:iCs/>
        </w:rPr>
        <w:t>&amp;</w:t>
      </w:r>
      <w:r w:rsidR="008B10BF" w:rsidRPr="00FB7939">
        <w:rPr>
          <w:rFonts w:asciiTheme="minorHAnsi" w:eastAsiaTheme="minorEastAsia" w:hAnsiTheme="minorHAnsi" w:cstheme="minorBidi"/>
          <w:b/>
          <w:bCs/>
          <w:i/>
          <w:iCs/>
        </w:rPr>
        <w:t>c</w:t>
      </w:r>
      <w:proofErr w:type="spellEnd"/>
      <w:r w:rsidR="008B10BF" w:rsidRPr="00FB7939">
        <w:rPr>
          <w:rFonts w:asciiTheme="minorHAnsi" w:eastAsiaTheme="minorEastAsia" w:hAnsiTheme="minorHAnsi" w:cstheme="minorBidi"/>
          <w:i/>
          <w:iCs/>
        </w:rPr>
        <w:t xml:space="preserve">, Temperature dependence of SC1, when holes are in the top / bottom, proximitized to / far away from the TMD layer. </w:t>
      </w:r>
      <w:r w:rsidR="008B10BF" w:rsidRPr="00FB7939">
        <w:rPr>
          <w:rFonts w:asciiTheme="minorHAnsi" w:eastAsiaTheme="minorEastAsia" w:hAnsiTheme="minorHAnsi" w:cstheme="minorBidi"/>
          <w:b/>
          <w:bCs/>
          <w:i/>
          <w:iCs/>
        </w:rPr>
        <w:t>e</w:t>
      </w:r>
      <w:r w:rsidR="008B10BF" w:rsidRPr="00FB7939">
        <w:rPr>
          <w:rFonts w:asciiTheme="minorHAnsi" w:eastAsiaTheme="minorEastAsia" w:hAnsiTheme="minorHAnsi" w:cstheme="minorBidi"/>
          <w:i/>
          <w:iCs/>
        </w:rPr>
        <w:t xml:space="preserve">, Temperature dependence of SC4 for </w:t>
      </w:r>
      <w:r w:rsidR="008B10BF" w:rsidRPr="00BA72C0">
        <w:rPr>
          <w:rFonts w:asciiTheme="minorHAnsi" w:eastAsiaTheme="minorEastAsia" w:hAnsiTheme="minorHAnsi" w:cstheme="minorBidi"/>
          <w:i/>
          <w:iCs/>
        </w:rPr>
        <w:t>D</w:t>
      </w:r>
      <w:r w:rsidR="008B10BF" w:rsidRPr="00FB7939">
        <w:rPr>
          <w:rFonts w:asciiTheme="minorHAnsi" w:eastAsiaTheme="minorEastAsia" w:hAnsiTheme="minorHAnsi" w:cstheme="minorBidi"/>
          <w:i/>
          <w:iCs/>
        </w:rPr>
        <w:t xml:space="preserve">&gt;0, corresponding to holes are close to the top TMD layer. </w:t>
      </w:r>
      <w:proofErr w:type="spellStart"/>
      <w:r w:rsidR="008B10BF" w:rsidRPr="00FB7939">
        <w:rPr>
          <w:rFonts w:asciiTheme="minorHAnsi" w:eastAsiaTheme="minorEastAsia" w:hAnsiTheme="minorHAnsi" w:cstheme="minorBidi"/>
          <w:b/>
          <w:bCs/>
          <w:i/>
          <w:iCs/>
        </w:rPr>
        <w:t>g</w:t>
      </w:r>
      <w:r w:rsidR="008B10BF" w:rsidRPr="00FB7939">
        <w:rPr>
          <w:rFonts w:asciiTheme="minorHAnsi" w:eastAsiaTheme="minorEastAsia" w:hAnsiTheme="minorHAnsi" w:cstheme="minorBidi"/>
          <w:i/>
          <w:iCs/>
        </w:rPr>
        <w:t>&amp;</w:t>
      </w:r>
      <w:r w:rsidR="008B10BF" w:rsidRPr="00FB7939">
        <w:rPr>
          <w:rFonts w:asciiTheme="minorHAnsi" w:eastAsiaTheme="minorEastAsia" w:hAnsiTheme="minorHAnsi" w:cstheme="minorBidi"/>
          <w:b/>
          <w:bCs/>
          <w:i/>
          <w:iCs/>
        </w:rPr>
        <w:t>i</w:t>
      </w:r>
      <w:proofErr w:type="spellEnd"/>
      <w:r w:rsidR="008B10BF" w:rsidRPr="00FB7939">
        <w:rPr>
          <w:rFonts w:asciiTheme="minorHAnsi" w:eastAsiaTheme="minorEastAsia" w:hAnsiTheme="minorHAnsi" w:cstheme="minorBidi"/>
          <w:i/>
          <w:iCs/>
        </w:rPr>
        <w:t xml:space="preserve">, Temperature dependence of SC3, when electrons are in the top / bottom, close to / far away from the TMD layer. </w:t>
      </w:r>
      <w:r w:rsidR="008B10BF" w:rsidRPr="00FB7939">
        <w:rPr>
          <w:rFonts w:asciiTheme="minorHAnsi" w:eastAsiaTheme="minorEastAsia" w:hAnsiTheme="minorHAnsi" w:cstheme="minorBidi"/>
          <w:b/>
          <w:bCs/>
          <w:i/>
          <w:iCs/>
        </w:rPr>
        <w:t>b</w:t>
      </w:r>
      <w:r w:rsidR="008B10BF" w:rsidRPr="00FB7939">
        <w:rPr>
          <w:rFonts w:asciiTheme="minorHAnsi" w:eastAsiaTheme="minorEastAsia" w:hAnsiTheme="minorHAnsi" w:cstheme="minorBidi"/>
          <w:i/>
          <w:iCs/>
        </w:rPr>
        <w:t xml:space="preserve">, </w:t>
      </w:r>
      <w:r w:rsidR="008B10BF" w:rsidRPr="00FB7939">
        <w:rPr>
          <w:rFonts w:asciiTheme="minorHAnsi" w:eastAsiaTheme="minorEastAsia" w:hAnsiTheme="minorHAnsi" w:cstheme="minorBidi"/>
          <w:b/>
          <w:bCs/>
          <w:i/>
          <w:iCs/>
        </w:rPr>
        <w:t>d</w:t>
      </w:r>
      <w:r w:rsidR="008B10BF" w:rsidRPr="00FB7939">
        <w:rPr>
          <w:rFonts w:asciiTheme="minorHAnsi" w:eastAsiaTheme="minorEastAsia" w:hAnsiTheme="minorHAnsi" w:cstheme="minorBidi"/>
          <w:i/>
          <w:iCs/>
        </w:rPr>
        <w:t xml:space="preserve">, </w:t>
      </w:r>
      <w:r w:rsidR="008B10BF" w:rsidRPr="00FB7939">
        <w:rPr>
          <w:rFonts w:asciiTheme="minorHAnsi" w:eastAsiaTheme="minorEastAsia" w:hAnsiTheme="minorHAnsi" w:cstheme="minorBidi"/>
          <w:b/>
          <w:bCs/>
          <w:i/>
          <w:iCs/>
        </w:rPr>
        <w:t>f</w:t>
      </w:r>
      <w:r w:rsidR="008B10BF" w:rsidRPr="00FB7939">
        <w:rPr>
          <w:rFonts w:asciiTheme="minorHAnsi" w:eastAsiaTheme="minorEastAsia" w:hAnsiTheme="minorHAnsi" w:cstheme="minorBidi"/>
          <w:i/>
          <w:iCs/>
        </w:rPr>
        <w:t xml:space="preserve">, </w:t>
      </w:r>
      <w:r w:rsidR="008B10BF" w:rsidRPr="00FB7939">
        <w:rPr>
          <w:rFonts w:asciiTheme="minorHAnsi" w:eastAsiaTheme="minorEastAsia" w:hAnsiTheme="minorHAnsi" w:cstheme="minorBidi"/>
          <w:b/>
          <w:bCs/>
          <w:i/>
          <w:iCs/>
        </w:rPr>
        <w:t>h</w:t>
      </w:r>
      <w:r w:rsidR="008B10BF" w:rsidRPr="00FB7939">
        <w:rPr>
          <w:rFonts w:asciiTheme="minorHAnsi" w:eastAsiaTheme="minorEastAsia" w:hAnsiTheme="minorHAnsi" w:cstheme="minorBidi"/>
          <w:i/>
          <w:iCs/>
        </w:rPr>
        <w:t xml:space="preserve"> &amp; </w:t>
      </w:r>
      <w:r w:rsidR="008B10BF" w:rsidRPr="00FB7939">
        <w:rPr>
          <w:rFonts w:asciiTheme="minorHAnsi" w:eastAsiaTheme="minorEastAsia" w:hAnsiTheme="minorHAnsi" w:cstheme="minorBidi"/>
          <w:b/>
          <w:bCs/>
          <w:i/>
          <w:iCs/>
        </w:rPr>
        <w:t>j</w:t>
      </w:r>
      <w:r w:rsidR="008B10BF" w:rsidRPr="00FB7939">
        <w:rPr>
          <w:rFonts w:asciiTheme="minorHAnsi" w:eastAsiaTheme="minorEastAsia" w:hAnsiTheme="minorHAnsi" w:cstheme="minorBidi"/>
          <w:i/>
          <w:iCs/>
        </w:rPr>
        <w:t xml:space="preserve">, Temperature dependence of </w:t>
      </w:r>
      <w:proofErr w:type="spellStart"/>
      <w:r w:rsidR="008B10BF" w:rsidRPr="00FB7939">
        <w:rPr>
          <w:rFonts w:asciiTheme="minorHAnsi" w:eastAsiaTheme="minorEastAsia" w:hAnsiTheme="minorHAnsi" w:cstheme="minorBidi"/>
          <w:i/>
          <w:iCs/>
        </w:rPr>
        <w:t>d</w:t>
      </w:r>
      <w:r w:rsidR="008B10BF" w:rsidRPr="00BA72C0">
        <w:rPr>
          <w:rFonts w:asciiTheme="minorHAnsi" w:eastAsiaTheme="minorEastAsia" w:hAnsiTheme="minorHAnsi" w:cstheme="minorBidi"/>
          <w:i/>
          <w:iCs/>
        </w:rPr>
        <w:t>V</w:t>
      </w:r>
      <w:proofErr w:type="spellEnd"/>
      <w:r w:rsidR="008B10BF" w:rsidRPr="00FB7939">
        <w:rPr>
          <w:rFonts w:asciiTheme="minorHAnsi" w:eastAsiaTheme="minorEastAsia" w:hAnsiTheme="minorHAnsi" w:cstheme="minorBidi"/>
          <w:i/>
          <w:iCs/>
        </w:rPr>
        <w:t>/</w:t>
      </w:r>
      <w:proofErr w:type="spellStart"/>
      <w:r w:rsidR="008B10BF" w:rsidRPr="00FB7939">
        <w:rPr>
          <w:rFonts w:asciiTheme="minorHAnsi" w:eastAsiaTheme="minorEastAsia" w:hAnsiTheme="minorHAnsi" w:cstheme="minorBidi"/>
          <w:i/>
          <w:iCs/>
        </w:rPr>
        <w:t>d</w:t>
      </w:r>
      <w:r w:rsidR="008B10BF" w:rsidRPr="00BA72C0">
        <w:rPr>
          <w:rFonts w:asciiTheme="minorHAnsi" w:eastAsiaTheme="minorEastAsia" w:hAnsiTheme="minorHAnsi" w:cstheme="minorBidi"/>
          <w:i/>
          <w:iCs/>
        </w:rPr>
        <w:t>I</w:t>
      </w:r>
      <w:r w:rsidR="008B10BF" w:rsidRPr="00BA72C0">
        <w:rPr>
          <w:rFonts w:asciiTheme="minorHAnsi" w:eastAsiaTheme="minorEastAsia" w:hAnsiTheme="minorHAnsi" w:cstheme="minorBidi"/>
          <w:i/>
          <w:iCs/>
          <w:vertAlign w:val="subscript"/>
        </w:rPr>
        <w:t>DC</w:t>
      </w:r>
      <w:proofErr w:type="spellEnd"/>
      <w:r w:rsidR="008B10BF" w:rsidRPr="00FB7939">
        <w:rPr>
          <w:rFonts w:asciiTheme="minorHAnsi" w:eastAsiaTheme="minorEastAsia" w:hAnsiTheme="minorHAnsi" w:cstheme="minorBidi"/>
          <w:i/>
          <w:iCs/>
        </w:rPr>
        <w:t xml:space="preserve">, corresponding to the superconducting states in </w:t>
      </w:r>
      <w:r w:rsidR="008B10BF" w:rsidRPr="00FB7939">
        <w:rPr>
          <w:rFonts w:asciiTheme="minorHAnsi" w:eastAsiaTheme="minorEastAsia" w:hAnsiTheme="minorHAnsi" w:cstheme="minorBidi"/>
          <w:b/>
          <w:bCs/>
          <w:i/>
          <w:iCs/>
        </w:rPr>
        <w:t>a</w:t>
      </w:r>
      <w:r w:rsidR="008B10BF" w:rsidRPr="00FB7939">
        <w:rPr>
          <w:rFonts w:asciiTheme="minorHAnsi" w:eastAsiaTheme="minorEastAsia" w:hAnsiTheme="minorHAnsi" w:cstheme="minorBidi"/>
          <w:i/>
          <w:iCs/>
        </w:rPr>
        <w:t xml:space="preserve">, </w:t>
      </w:r>
      <w:r w:rsidR="008B10BF" w:rsidRPr="00FB7939">
        <w:rPr>
          <w:rFonts w:asciiTheme="minorHAnsi" w:eastAsiaTheme="minorEastAsia" w:hAnsiTheme="minorHAnsi" w:cstheme="minorBidi"/>
          <w:b/>
          <w:bCs/>
          <w:i/>
          <w:iCs/>
        </w:rPr>
        <w:t>c</w:t>
      </w:r>
      <w:r w:rsidR="008B10BF" w:rsidRPr="00FB7939">
        <w:rPr>
          <w:rFonts w:asciiTheme="minorHAnsi" w:eastAsiaTheme="minorEastAsia" w:hAnsiTheme="minorHAnsi" w:cstheme="minorBidi"/>
          <w:i/>
          <w:iCs/>
        </w:rPr>
        <w:t xml:space="preserve">, </w:t>
      </w:r>
      <w:r w:rsidR="008B10BF" w:rsidRPr="00FB7939">
        <w:rPr>
          <w:rFonts w:asciiTheme="minorHAnsi" w:eastAsiaTheme="minorEastAsia" w:hAnsiTheme="minorHAnsi" w:cstheme="minorBidi"/>
          <w:b/>
          <w:bCs/>
          <w:i/>
          <w:iCs/>
        </w:rPr>
        <w:t>e</w:t>
      </w:r>
      <w:r w:rsidR="008B10BF" w:rsidRPr="00FB7939">
        <w:rPr>
          <w:rFonts w:asciiTheme="minorHAnsi" w:eastAsiaTheme="minorEastAsia" w:hAnsiTheme="minorHAnsi" w:cstheme="minorBidi"/>
          <w:i/>
          <w:iCs/>
        </w:rPr>
        <w:t xml:space="preserve">, </w:t>
      </w:r>
      <w:r w:rsidR="008B10BF" w:rsidRPr="00FB7939">
        <w:rPr>
          <w:rFonts w:asciiTheme="minorHAnsi" w:eastAsiaTheme="minorEastAsia" w:hAnsiTheme="minorHAnsi" w:cstheme="minorBidi"/>
          <w:b/>
          <w:bCs/>
          <w:i/>
          <w:iCs/>
        </w:rPr>
        <w:t>g</w:t>
      </w:r>
      <w:r w:rsidR="008B10BF" w:rsidRPr="00FB7939">
        <w:rPr>
          <w:rFonts w:asciiTheme="minorHAnsi" w:eastAsiaTheme="minorEastAsia" w:hAnsiTheme="minorHAnsi" w:cstheme="minorBidi"/>
          <w:i/>
          <w:iCs/>
        </w:rPr>
        <w:t xml:space="preserve"> &amp; </w:t>
      </w:r>
      <w:proofErr w:type="spellStart"/>
      <w:r w:rsidR="008B10BF" w:rsidRPr="00FB7939">
        <w:rPr>
          <w:rFonts w:asciiTheme="minorHAnsi" w:eastAsiaTheme="minorEastAsia" w:hAnsiTheme="minorHAnsi" w:cstheme="minorBidi"/>
          <w:b/>
          <w:bCs/>
          <w:i/>
          <w:iCs/>
        </w:rPr>
        <w:t>i</w:t>
      </w:r>
      <w:proofErr w:type="spellEnd"/>
      <w:r w:rsidR="008B10BF" w:rsidRPr="00FB7939">
        <w:rPr>
          <w:rFonts w:asciiTheme="minorHAnsi" w:eastAsiaTheme="minorEastAsia" w:hAnsiTheme="minorHAnsi" w:cstheme="minorBidi"/>
          <w:i/>
          <w:iCs/>
        </w:rPr>
        <w:t>.</w:t>
      </w:r>
    </w:p>
    <w:p w14:paraId="6A603435" w14:textId="303AC7A3" w:rsidR="009B29CD" w:rsidRDefault="00815FA3" w:rsidP="009B29CD">
      <w:pPr>
        <w:pStyle w:val="NormalWeb"/>
        <w:spacing w:before="0" w:beforeAutospacing="0" w:after="0" w:afterAutospacing="0"/>
        <w:jc w:val="both"/>
        <w:rPr>
          <w:rFonts w:ascii="Calibri" w:eastAsiaTheme="minorEastAsia" w:hAnsi="Calibri" w:cs="Calibri"/>
          <w:i/>
          <w:iCs/>
        </w:rPr>
      </w:pPr>
      <w:r>
        <w:rPr>
          <w:noProof/>
        </w:rPr>
        <w:lastRenderedPageBreak/>
        <w:drawing>
          <wp:inline distT="0" distB="0" distL="0" distR="0" wp14:anchorId="4A70CBA8" wp14:editId="5287808E">
            <wp:extent cx="5943600" cy="4944110"/>
            <wp:effectExtent l="0" t="0" r="0" b="8890"/>
            <wp:docPr id="1621707996" name="Picture 8" descr="A collage of images of a gaseou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1707996" name="Picture 8" descr="A collage of images of a gaseous&#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3600" cy="4944110"/>
                    </a:xfrm>
                    <a:prstGeom prst="rect">
                      <a:avLst/>
                    </a:prstGeom>
                    <a:noFill/>
                    <a:ln>
                      <a:noFill/>
                    </a:ln>
                  </pic:spPr>
                </pic:pic>
              </a:graphicData>
            </a:graphic>
          </wp:inline>
        </w:drawing>
      </w:r>
    </w:p>
    <w:p w14:paraId="1D086D5B" w14:textId="6EB6F796" w:rsidR="009E07DE" w:rsidRDefault="009E07DE" w:rsidP="009E07DE">
      <w:pPr>
        <w:pStyle w:val="NormalWeb"/>
        <w:spacing w:before="0" w:beforeAutospacing="0" w:after="0" w:afterAutospacing="0"/>
        <w:jc w:val="both"/>
        <w:rPr>
          <w:rFonts w:asciiTheme="minorHAnsi" w:eastAsiaTheme="minorEastAsia" w:hAnsiTheme="minorHAnsi" w:cstheme="minorBidi"/>
          <w:i/>
          <w:iCs/>
        </w:rPr>
      </w:pPr>
      <w:r w:rsidRPr="009B29CD">
        <w:rPr>
          <w:rFonts w:ascii="Calibri" w:hAnsi="Calibri" w:cs="Calibri"/>
          <w:b/>
          <w:bCs/>
          <w:i/>
          <w:iCs/>
        </w:rPr>
        <w:t xml:space="preserve">Extended Data Figure </w:t>
      </w:r>
      <w:r>
        <w:rPr>
          <w:rFonts w:ascii="Calibri" w:eastAsiaTheme="minorEastAsia" w:hAnsi="Calibri" w:cs="Calibri" w:hint="eastAsia"/>
          <w:b/>
          <w:bCs/>
          <w:i/>
          <w:iCs/>
        </w:rPr>
        <w:t>4</w:t>
      </w:r>
      <w:r w:rsidRPr="009B29CD">
        <w:rPr>
          <w:rFonts w:ascii="Calibri" w:hAnsi="Calibri" w:cs="Calibri"/>
          <w:b/>
          <w:bCs/>
          <w:i/>
          <w:iCs/>
        </w:rPr>
        <w:t xml:space="preserve">. </w:t>
      </w:r>
      <w:r w:rsidR="008B56D2" w:rsidRPr="008B56D2">
        <w:rPr>
          <w:rFonts w:ascii="Calibri" w:hAnsi="Calibri" w:cs="Calibri"/>
          <w:b/>
          <w:bCs/>
          <w:i/>
          <w:iCs/>
        </w:rPr>
        <w:t>Temperature Dependence of superconducting states in D2.</w:t>
      </w:r>
      <w:r w:rsidRPr="009B29CD">
        <w:rPr>
          <w:rFonts w:ascii="Calibri" w:hAnsi="Calibri" w:cs="Calibri"/>
          <w:b/>
          <w:bCs/>
          <w:i/>
          <w:iCs/>
        </w:rPr>
        <w:t xml:space="preserve">  </w:t>
      </w:r>
      <w:r w:rsidR="00391550" w:rsidRPr="00FB7939">
        <w:rPr>
          <w:rFonts w:asciiTheme="minorHAnsi" w:eastAsia="DengXian" w:hAnsiTheme="minorHAnsi" w:cstheme="minorBidi"/>
          <w:b/>
          <w:bCs/>
          <w:i/>
          <w:iCs/>
          <w:color w:val="000000" w:themeColor="text1"/>
        </w:rPr>
        <w:t>a</w:t>
      </w:r>
      <w:r w:rsidR="00391550" w:rsidRPr="00FB7939">
        <w:rPr>
          <w:rFonts w:asciiTheme="minorHAnsi" w:eastAsia="DengXian" w:hAnsiTheme="minorHAnsi" w:cstheme="minorBidi"/>
          <w:i/>
          <w:iCs/>
          <w:color w:val="000000" w:themeColor="text1"/>
        </w:rPr>
        <w:t xml:space="preserve">, </w:t>
      </w:r>
      <w:r w:rsidR="00391550" w:rsidRPr="00BA72C0">
        <w:rPr>
          <w:rFonts w:asciiTheme="minorHAnsi" w:eastAsia="DengXian" w:hAnsiTheme="minorHAnsi" w:cstheme="minorBidi"/>
          <w:i/>
          <w:iCs/>
          <w:color w:val="000000" w:themeColor="text1"/>
        </w:rPr>
        <w:t>R</w:t>
      </w:r>
      <w:r w:rsidR="00391550" w:rsidRPr="00BA72C0">
        <w:rPr>
          <w:rFonts w:asciiTheme="minorHAnsi" w:eastAsia="DengXian" w:hAnsiTheme="minorHAnsi" w:cstheme="minorBidi"/>
          <w:i/>
          <w:iCs/>
          <w:color w:val="000000" w:themeColor="text1"/>
          <w:vertAlign w:val="subscript"/>
        </w:rPr>
        <w:t>xx</w:t>
      </w:r>
      <w:r w:rsidR="00391550" w:rsidRPr="00BA72C0">
        <w:rPr>
          <w:rFonts w:asciiTheme="minorHAnsi" w:eastAsia="DengXian" w:hAnsiTheme="minorHAnsi" w:cstheme="minorBidi"/>
          <w:i/>
          <w:iCs/>
          <w:color w:val="000000" w:themeColor="text1"/>
        </w:rPr>
        <w:t xml:space="preserve"> </w:t>
      </w:r>
      <w:r w:rsidR="00391550" w:rsidRPr="00FB7939">
        <w:rPr>
          <w:rFonts w:asciiTheme="minorHAnsi" w:eastAsia="DengXian" w:hAnsiTheme="minorHAnsi" w:cstheme="minorBidi"/>
          <w:i/>
          <w:iCs/>
          <w:color w:val="000000" w:themeColor="text1"/>
        </w:rPr>
        <w:t xml:space="preserve">as a function of </w:t>
      </w:r>
      <w:r w:rsidR="00391550" w:rsidRPr="00BA72C0">
        <w:rPr>
          <w:rFonts w:asciiTheme="minorHAnsi" w:eastAsia="DengXian" w:hAnsiTheme="minorHAnsi" w:cstheme="minorBidi"/>
          <w:i/>
          <w:iCs/>
          <w:color w:val="000000" w:themeColor="text1"/>
        </w:rPr>
        <w:t>n</w:t>
      </w:r>
      <w:r w:rsidR="00391550" w:rsidRPr="00FB7939">
        <w:rPr>
          <w:rFonts w:asciiTheme="minorHAnsi" w:eastAsia="DengXian" w:hAnsiTheme="minorHAnsi" w:cstheme="minorBidi"/>
          <w:i/>
          <w:iCs/>
          <w:color w:val="000000" w:themeColor="text1"/>
        </w:rPr>
        <w:t xml:space="preserve"> and </w:t>
      </w:r>
      <w:r w:rsidR="00391550" w:rsidRPr="00BA72C0">
        <w:rPr>
          <w:rFonts w:asciiTheme="minorHAnsi" w:eastAsia="DengXian" w:hAnsiTheme="minorHAnsi" w:cstheme="minorBidi"/>
          <w:i/>
          <w:iCs/>
          <w:color w:val="000000" w:themeColor="text1"/>
        </w:rPr>
        <w:t>D</w:t>
      </w:r>
      <w:r w:rsidR="00391550" w:rsidRPr="00FB7939">
        <w:rPr>
          <w:rFonts w:asciiTheme="minorHAnsi" w:eastAsia="DengXian" w:hAnsiTheme="minorHAnsi" w:cstheme="minorBidi"/>
          <w:i/>
          <w:iCs/>
          <w:color w:val="000000" w:themeColor="text1"/>
        </w:rPr>
        <w:t xml:space="preserve"> near SC4 in D2. </w:t>
      </w:r>
      <w:proofErr w:type="spellStart"/>
      <w:r w:rsidR="00391550" w:rsidRPr="00FB7939">
        <w:rPr>
          <w:rFonts w:asciiTheme="minorHAnsi" w:eastAsia="DengXian" w:hAnsiTheme="minorHAnsi" w:cstheme="minorBidi"/>
          <w:b/>
          <w:bCs/>
          <w:i/>
          <w:iCs/>
          <w:color w:val="000000" w:themeColor="text1"/>
        </w:rPr>
        <w:t>b</w:t>
      </w:r>
      <w:r w:rsidR="00391550" w:rsidRPr="00FB7939">
        <w:rPr>
          <w:rFonts w:asciiTheme="minorHAnsi" w:eastAsia="DengXian" w:hAnsiTheme="minorHAnsi" w:cstheme="minorBidi"/>
          <w:i/>
          <w:iCs/>
          <w:color w:val="000000" w:themeColor="text1"/>
        </w:rPr>
        <w:t>&amp;</w:t>
      </w:r>
      <w:r w:rsidR="00391550" w:rsidRPr="00FB7939">
        <w:rPr>
          <w:rFonts w:asciiTheme="minorHAnsi" w:eastAsia="DengXian" w:hAnsiTheme="minorHAnsi" w:cstheme="minorBidi"/>
          <w:b/>
          <w:bCs/>
          <w:i/>
          <w:iCs/>
          <w:color w:val="000000" w:themeColor="text1"/>
        </w:rPr>
        <w:t>c</w:t>
      </w:r>
      <w:proofErr w:type="spellEnd"/>
      <w:r w:rsidR="00391550" w:rsidRPr="00FB7939">
        <w:rPr>
          <w:rFonts w:asciiTheme="minorHAnsi" w:eastAsia="DengXian" w:hAnsiTheme="minorHAnsi" w:cstheme="minorBidi"/>
          <w:i/>
          <w:iCs/>
          <w:color w:val="000000" w:themeColor="text1"/>
        </w:rPr>
        <w:t xml:space="preserve">, Temperature dependence of </w:t>
      </w:r>
      <w:r w:rsidR="00391550" w:rsidRPr="00BA72C0">
        <w:rPr>
          <w:rFonts w:asciiTheme="minorHAnsi" w:eastAsia="DengXian" w:hAnsiTheme="minorHAnsi" w:cstheme="minorBidi"/>
          <w:i/>
          <w:iCs/>
          <w:color w:val="000000" w:themeColor="text1"/>
        </w:rPr>
        <w:t>R</w:t>
      </w:r>
      <w:r w:rsidR="00391550" w:rsidRPr="00BA72C0">
        <w:rPr>
          <w:rFonts w:asciiTheme="minorHAnsi" w:eastAsia="DengXian" w:hAnsiTheme="minorHAnsi" w:cstheme="minorBidi"/>
          <w:i/>
          <w:iCs/>
          <w:color w:val="000000" w:themeColor="text1"/>
          <w:vertAlign w:val="subscript"/>
        </w:rPr>
        <w:t>xx</w:t>
      </w:r>
      <w:r w:rsidR="00391550" w:rsidRPr="00FB7939">
        <w:rPr>
          <w:rFonts w:asciiTheme="minorHAnsi" w:eastAsia="DengXian" w:hAnsiTheme="minorHAnsi" w:cstheme="minorBidi"/>
          <w:i/>
          <w:iCs/>
          <w:color w:val="000000" w:themeColor="text1"/>
        </w:rPr>
        <w:t xml:space="preserve"> in SC4, measured at </w:t>
      </w:r>
      <w:r w:rsidR="00391550" w:rsidRPr="00BA72C0">
        <w:rPr>
          <w:rFonts w:asciiTheme="minorHAnsi" w:eastAsia="DengXian" w:hAnsiTheme="minorHAnsi" w:cstheme="minorBidi"/>
          <w:i/>
          <w:iCs/>
          <w:color w:val="000000" w:themeColor="text1"/>
        </w:rPr>
        <w:t>D</w:t>
      </w:r>
      <w:r w:rsidR="00391550" w:rsidRPr="00FB7939">
        <w:rPr>
          <w:rFonts w:asciiTheme="minorHAnsi" w:eastAsia="DengXian" w:hAnsiTheme="minorHAnsi" w:cstheme="minorBidi"/>
          <w:i/>
          <w:iCs/>
          <w:color w:val="000000" w:themeColor="text1"/>
        </w:rPr>
        <w:t xml:space="preserve"> = -0.20 V/nm and </w:t>
      </w:r>
      <w:r w:rsidR="00391550" w:rsidRPr="00BA72C0">
        <w:rPr>
          <w:rFonts w:asciiTheme="minorHAnsi" w:eastAsia="DengXian" w:hAnsiTheme="minorHAnsi" w:cstheme="minorBidi"/>
          <w:i/>
          <w:iCs/>
          <w:color w:val="000000" w:themeColor="text1"/>
        </w:rPr>
        <w:t>D</w:t>
      </w:r>
      <w:r w:rsidR="00391550" w:rsidRPr="00FB7939">
        <w:rPr>
          <w:rFonts w:asciiTheme="minorHAnsi" w:eastAsia="DengXian" w:hAnsiTheme="minorHAnsi" w:cstheme="minorBidi"/>
          <w:i/>
          <w:iCs/>
          <w:color w:val="000000" w:themeColor="text1"/>
        </w:rPr>
        <w:t xml:space="preserve"> = -0.17 V/nm. </w:t>
      </w:r>
      <w:r w:rsidR="00391550" w:rsidRPr="00FB7939">
        <w:rPr>
          <w:rFonts w:asciiTheme="minorHAnsi" w:eastAsia="DengXian" w:hAnsiTheme="minorHAnsi" w:cstheme="minorBidi"/>
          <w:b/>
          <w:bCs/>
          <w:i/>
          <w:iCs/>
          <w:color w:val="000000" w:themeColor="text1"/>
        </w:rPr>
        <w:t>c</w:t>
      </w:r>
      <w:r w:rsidR="00391550" w:rsidRPr="00FB7939">
        <w:rPr>
          <w:rFonts w:asciiTheme="minorHAnsi" w:eastAsia="DengXian" w:hAnsiTheme="minorHAnsi" w:cstheme="minorBidi"/>
          <w:i/>
          <w:iCs/>
          <w:color w:val="000000" w:themeColor="text1"/>
        </w:rPr>
        <w:t xml:space="preserve">, </w:t>
      </w:r>
      <w:r w:rsidR="00391550" w:rsidRPr="00BA72C0">
        <w:rPr>
          <w:rFonts w:asciiTheme="minorHAnsi" w:eastAsia="DengXian" w:hAnsiTheme="minorHAnsi" w:cstheme="minorBidi"/>
          <w:i/>
          <w:iCs/>
          <w:color w:val="000000" w:themeColor="text1"/>
        </w:rPr>
        <w:t>R</w:t>
      </w:r>
      <w:r w:rsidR="00391550" w:rsidRPr="00BA72C0">
        <w:rPr>
          <w:rFonts w:asciiTheme="minorHAnsi" w:eastAsia="DengXian" w:hAnsiTheme="minorHAnsi" w:cstheme="minorBidi"/>
          <w:i/>
          <w:iCs/>
          <w:color w:val="000000" w:themeColor="text1"/>
          <w:vertAlign w:val="subscript"/>
        </w:rPr>
        <w:t>xx</w:t>
      </w:r>
      <w:r w:rsidR="00391550" w:rsidRPr="00FB7939">
        <w:rPr>
          <w:rFonts w:asciiTheme="minorHAnsi" w:eastAsia="DengXian" w:hAnsiTheme="minorHAnsi" w:cstheme="minorBidi"/>
          <w:i/>
          <w:iCs/>
          <w:color w:val="000000" w:themeColor="text1"/>
        </w:rPr>
        <w:t xml:space="preserve"> as a function of </w:t>
      </w:r>
      <w:r w:rsidR="00391550" w:rsidRPr="00BA72C0">
        <w:rPr>
          <w:rFonts w:asciiTheme="minorHAnsi" w:eastAsia="DengXian" w:hAnsiTheme="minorHAnsi" w:cstheme="minorBidi"/>
          <w:i/>
          <w:iCs/>
          <w:color w:val="000000" w:themeColor="text1"/>
        </w:rPr>
        <w:t>n</w:t>
      </w:r>
      <w:r w:rsidR="00391550" w:rsidRPr="00FB7939">
        <w:rPr>
          <w:rFonts w:asciiTheme="minorHAnsi" w:eastAsia="DengXian" w:hAnsiTheme="minorHAnsi" w:cstheme="minorBidi"/>
          <w:i/>
          <w:iCs/>
          <w:color w:val="000000" w:themeColor="text1"/>
        </w:rPr>
        <w:t xml:space="preserve"> and </w:t>
      </w:r>
      <w:r w:rsidR="00391550" w:rsidRPr="00BA72C0">
        <w:rPr>
          <w:rFonts w:asciiTheme="minorHAnsi" w:eastAsia="DengXian" w:hAnsiTheme="minorHAnsi" w:cstheme="minorBidi"/>
          <w:i/>
          <w:iCs/>
          <w:color w:val="000000" w:themeColor="text1"/>
        </w:rPr>
        <w:t>D</w:t>
      </w:r>
      <w:r w:rsidR="00391550" w:rsidRPr="00FB7939">
        <w:rPr>
          <w:rFonts w:asciiTheme="minorHAnsi" w:eastAsia="DengXian" w:hAnsiTheme="minorHAnsi" w:cstheme="minorBidi"/>
          <w:i/>
          <w:iCs/>
          <w:color w:val="000000" w:themeColor="text1"/>
        </w:rPr>
        <w:t xml:space="preserve"> near SC3 in D2. </w:t>
      </w:r>
      <w:r w:rsidR="00391550" w:rsidRPr="00FB7939">
        <w:rPr>
          <w:rFonts w:asciiTheme="minorHAnsi" w:eastAsia="DengXian" w:hAnsiTheme="minorHAnsi" w:cstheme="minorBidi"/>
          <w:b/>
          <w:bCs/>
          <w:i/>
          <w:iCs/>
          <w:color w:val="000000" w:themeColor="text1"/>
        </w:rPr>
        <w:t>e</w:t>
      </w:r>
      <w:r w:rsidR="00391550" w:rsidRPr="00FB7939">
        <w:rPr>
          <w:rFonts w:asciiTheme="minorHAnsi" w:eastAsia="DengXian" w:hAnsiTheme="minorHAnsi" w:cstheme="minorBidi"/>
          <w:i/>
          <w:iCs/>
          <w:color w:val="000000" w:themeColor="text1"/>
        </w:rPr>
        <w:t xml:space="preserve"> - </w:t>
      </w:r>
      <w:proofErr w:type="spellStart"/>
      <w:r w:rsidR="00391550" w:rsidRPr="00FB7939">
        <w:rPr>
          <w:rFonts w:asciiTheme="minorHAnsi" w:eastAsia="DengXian" w:hAnsiTheme="minorHAnsi" w:cstheme="minorBidi"/>
          <w:b/>
          <w:bCs/>
          <w:i/>
          <w:iCs/>
          <w:color w:val="000000" w:themeColor="text1"/>
        </w:rPr>
        <w:t>i</w:t>
      </w:r>
      <w:proofErr w:type="spellEnd"/>
      <w:r w:rsidR="00391550" w:rsidRPr="00FB7939">
        <w:rPr>
          <w:rFonts w:asciiTheme="minorHAnsi" w:eastAsia="DengXian" w:hAnsiTheme="minorHAnsi" w:cstheme="minorBidi"/>
          <w:i/>
          <w:iCs/>
          <w:color w:val="000000" w:themeColor="text1"/>
        </w:rPr>
        <w:t xml:space="preserve">, Temperature dependence of </w:t>
      </w:r>
      <w:r w:rsidR="00391550" w:rsidRPr="00BA72C0">
        <w:rPr>
          <w:rFonts w:asciiTheme="minorHAnsi" w:eastAsia="DengXian" w:hAnsiTheme="minorHAnsi" w:cstheme="minorBidi"/>
          <w:i/>
          <w:iCs/>
          <w:color w:val="000000" w:themeColor="text1"/>
        </w:rPr>
        <w:t>R</w:t>
      </w:r>
      <w:r w:rsidR="00391550" w:rsidRPr="00BA72C0">
        <w:rPr>
          <w:rFonts w:asciiTheme="minorHAnsi" w:eastAsia="DengXian" w:hAnsiTheme="minorHAnsi" w:cstheme="minorBidi"/>
          <w:i/>
          <w:iCs/>
          <w:color w:val="000000" w:themeColor="text1"/>
          <w:vertAlign w:val="subscript"/>
        </w:rPr>
        <w:t>xx</w:t>
      </w:r>
      <w:r w:rsidR="00391550" w:rsidRPr="00FB7939">
        <w:rPr>
          <w:rFonts w:asciiTheme="minorHAnsi" w:eastAsia="DengXian" w:hAnsiTheme="minorHAnsi" w:cstheme="minorBidi"/>
          <w:i/>
          <w:iCs/>
          <w:color w:val="000000" w:themeColor="text1"/>
        </w:rPr>
        <w:t xml:space="preserve"> in SC4, measured from </w:t>
      </w:r>
      <w:r w:rsidR="00391550" w:rsidRPr="00BA72C0">
        <w:rPr>
          <w:rFonts w:asciiTheme="minorHAnsi" w:eastAsia="DengXian" w:hAnsiTheme="minorHAnsi" w:cstheme="minorBidi"/>
          <w:i/>
          <w:iCs/>
          <w:color w:val="000000" w:themeColor="text1"/>
        </w:rPr>
        <w:t>D</w:t>
      </w:r>
      <w:r w:rsidR="00391550" w:rsidRPr="00FB7939">
        <w:rPr>
          <w:rFonts w:asciiTheme="minorHAnsi" w:eastAsia="DengXian" w:hAnsiTheme="minorHAnsi" w:cstheme="minorBidi"/>
          <w:i/>
          <w:iCs/>
          <w:color w:val="000000" w:themeColor="text1"/>
        </w:rPr>
        <w:t xml:space="preserve"> = 0.14 V/nm to </w:t>
      </w:r>
      <w:r w:rsidR="00391550" w:rsidRPr="00BA72C0">
        <w:rPr>
          <w:rFonts w:asciiTheme="minorHAnsi" w:eastAsia="DengXian" w:hAnsiTheme="minorHAnsi" w:cstheme="minorBidi"/>
          <w:i/>
          <w:iCs/>
          <w:color w:val="000000" w:themeColor="text1"/>
        </w:rPr>
        <w:t>D</w:t>
      </w:r>
      <w:r w:rsidR="00391550" w:rsidRPr="00FB7939">
        <w:rPr>
          <w:rFonts w:asciiTheme="minorHAnsi" w:eastAsia="DengXian" w:hAnsiTheme="minorHAnsi" w:cstheme="minorBidi"/>
          <w:i/>
          <w:iCs/>
          <w:color w:val="000000" w:themeColor="text1"/>
        </w:rPr>
        <w:t xml:space="preserve"> = 0.26 V/nm, respectively.</w:t>
      </w:r>
    </w:p>
    <w:p w14:paraId="2ACC5CE4" w14:textId="56C68073" w:rsidR="009E07DE" w:rsidRDefault="00815FA3" w:rsidP="00815FA3">
      <w:pPr>
        <w:pStyle w:val="NormalWeb"/>
        <w:spacing w:before="0" w:beforeAutospacing="0" w:after="0" w:afterAutospacing="0"/>
        <w:jc w:val="center"/>
        <w:rPr>
          <w:rFonts w:ascii="Calibri" w:eastAsiaTheme="minorEastAsia" w:hAnsi="Calibri" w:cs="Calibri"/>
          <w:b/>
          <w:bCs/>
          <w:i/>
          <w:iCs/>
        </w:rPr>
      </w:pPr>
      <w:r>
        <w:rPr>
          <w:noProof/>
        </w:rPr>
        <w:lastRenderedPageBreak/>
        <w:drawing>
          <wp:inline distT="0" distB="0" distL="0" distR="0" wp14:anchorId="1764446E" wp14:editId="20720DC8">
            <wp:extent cx="4319905" cy="3599180"/>
            <wp:effectExtent l="0" t="0" r="4445" b="1270"/>
            <wp:docPr id="1343447418" name="Picture 9" descr="A group of images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447418" name="Picture 9" descr="A group of images of a graph&#10;&#10;Description automatically generated with medium confidenc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319905" cy="3599180"/>
                    </a:xfrm>
                    <a:prstGeom prst="rect">
                      <a:avLst/>
                    </a:prstGeom>
                    <a:noFill/>
                    <a:ln>
                      <a:noFill/>
                    </a:ln>
                  </pic:spPr>
                </pic:pic>
              </a:graphicData>
            </a:graphic>
          </wp:inline>
        </w:drawing>
      </w:r>
    </w:p>
    <w:p w14:paraId="51BE7269" w14:textId="74C6CC75" w:rsidR="009E07DE" w:rsidRDefault="009E07DE" w:rsidP="009E07DE">
      <w:pPr>
        <w:pStyle w:val="NormalWeb"/>
        <w:spacing w:before="0" w:beforeAutospacing="0" w:after="0" w:afterAutospacing="0"/>
        <w:jc w:val="both"/>
        <w:rPr>
          <w:rFonts w:asciiTheme="minorHAnsi" w:eastAsia="DengXian" w:hAnsiTheme="minorHAnsi" w:cstheme="minorBidi"/>
          <w:i/>
          <w:iCs/>
          <w:color w:val="000000" w:themeColor="text1"/>
        </w:rPr>
      </w:pPr>
      <w:r w:rsidRPr="009B29CD">
        <w:rPr>
          <w:rFonts w:ascii="Calibri" w:hAnsi="Calibri" w:cs="Calibri"/>
          <w:b/>
          <w:bCs/>
          <w:i/>
          <w:iCs/>
        </w:rPr>
        <w:t xml:space="preserve">Extended Data Figure </w:t>
      </w:r>
      <w:r>
        <w:rPr>
          <w:rFonts w:ascii="Calibri" w:eastAsiaTheme="minorEastAsia" w:hAnsi="Calibri" w:cs="Calibri" w:hint="eastAsia"/>
          <w:b/>
          <w:bCs/>
          <w:i/>
          <w:iCs/>
        </w:rPr>
        <w:t>5</w:t>
      </w:r>
      <w:r w:rsidRPr="009B29CD">
        <w:rPr>
          <w:rFonts w:ascii="Calibri" w:hAnsi="Calibri" w:cs="Calibri"/>
          <w:b/>
          <w:bCs/>
          <w:i/>
          <w:iCs/>
        </w:rPr>
        <w:t xml:space="preserve">. </w:t>
      </w:r>
      <w:r w:rsidR="00BE2C37" w:rsidRPr="00BE2C37">
        <w:rPr>
          <w:rFonts w:ascii="Calibri" w:hAnsi="Calibri" w:cs="Calibri"/>
          <w:b/>
          <w:bCs/>
          <w:i/>
          <w:iCs/>
        </w:rPr>
        <w:t>Temperature dependence of SC4 in D2 at different in-plane magnetic field.</w:t>
      </w:r>
      <w:r w:rsidRPr="009B29CD">
        <w:rPr>
          <w:rFonts w:ascii="Calibri" w:hAnsi="Calibri" w:cs="Calibri"/>
          <w:b/>
          <w:bCs/>
          <w:i/>
          <w:iCs/>
        </w:rPr>
        <w:t xml:space="preserve">  </w:t>
      </w:r>
      <w:r w:rsidR="0091027C" w:rsidRPr="00FB7939">
        <w:rPr>
          <w:rFonts w:asciiTheme="minorHAnsi" w:eastAsia="DengXian" w:hAnsiTheme="minorHAnsi" w:cstheme="minorBidi"/>
          <w:b/>
          <w:bCs/>
          <w:i/>
          <w:iCs/>
          <w:color w:val="000000" w:themeColor="text1"/>
        </w:rPr>
        <w:t>a</w:t>
      </w:r>
      <w:r w:rsidR="0091027C" w:rsidRPr="00FB7939">
        <w:rPr>
          <w:rFonts w:asciiTheme="minorHAnsi" w:eastAsia="DengXian" w:hAnsiTheme="minorHAnsi" w:cstheme="minorBidi"/>
          <w:i/>
          <w:iCs/>
          <w:color w:val="000000" w:themeColor="text1"/>
        </w:rPr>
        <w:t>-</w:t>
      </w:r>
      <w:r w:rsidR="0091027C" w:rsidRPr="00FB7939">
        <w:rPr>
          <w:rFonts w:asciiTheme="minorHAnsi" w:eastAsia="DengXian" w:hAnsiTheme="minorHAnsi" w:cstheme="minorBidi"/>
          <w:b/>
          <w:bCs/>
          <w:i/>
          <w:iCs/>
          <w:color w:val="000000" w:themeColor="text1"/>
        </w:rPr>
        <w:t>c</w:t>
      </w:r>
      <w:r w:rsidR="0091027C" w:rsidRPr="00FB7939">
        <w:rPr>
          <w:rFonts w:asciiTheme="minorHAnsi" w:eastAsia="DengXian" w:hAnsiTheme="minorHAnsi" w:cstheme="minorBidi"/>
          <w:i/>
          <w:iCs/>
          <w:color w:val="000000" w:themeColor="text1"/>
        </w:rPr>
        <w:t xml:space="preserve">, Temperature dependence of </w:t>
      </w:r>
      <w:r w:rsidR="0091027C" w:rsidRPr="00BA72C0">
        <w:rPr>
          <w:rFonts w:asciiTheme="minorHAnsi" w:eastAsia="DengXian" w:hAnsiTheme="minorHAnsi" w:cstheme="minorBidi"/>
          <w:i/>
          <w:iCs/>
          <w:color w:val="000000" w:themeColor="text1"/>
        </w:rPr>
        <w:t>R</w:t>
      </w:r>
      <w:r w:rsidR="0091027C" w:rsidRPr="00BA72C0">
        <w:rPr>
          <w:rFonts w:asciiTheme="minorHAnsi" w:eastAsia="DengXian" w:hAnsiTheme="minorHAnsi" w:cstheme="minorBidi"/>
          <w:i/>
          <w:iCs/>
          <w:color w:val="000000" w:themeColor="text1"/>
          <w:vertAlign w:val="subscript"/>
        </w:rPr>
        <w:t>xx</w:t>
      </w:r>
      <w:r w:rsidR="0091027C" w:rsidRPr="00FB7939">
        <w:rPr>
          <w:rFonts w:asciiTheme="minorHAnsi" w:eastAsia="DengXian" w:hAnsiTheme="minorHAnsi" w:cstheme="minorBidi"/>
          <w:i/>
          <w:iCs/>
          <w:color w:val="000000" w:themeColor="text1"/>
        </w:rPr>
        <w:t xml:space="preserve"> at </w:t>
      </w:r>
      <w:r w:rsidR="0091027C" w:rsidRPr="00BA72C0">
        <w:rPr>
          <w:rFonts w:asciiTheme="minorHAnsi" w:eastAsia="DengXian" w:hAnsiTheme="minorHAnsi" w:cstheme="minorBidi"/>
          <w:i/>
          <w:iCs/>
          <w:color w:val="000000" w:themeColor="text1"/>
        </w:rPr>
        <w:t>B</w:t>
      </w:r>
      <w:r w:rsidR="0091027C" w:rsidRPr="009F27B5">
        <w:rPr>
          <w:rFonts w:asciiTheme="minorHAnsi" w:eastAsia="DengXian" w:hAnsiTheme="minorHAnsi" w:cstheme="minorBidi" w:hint="eastAsia"/>
          <w:color w:val="000000" w:themeColor="text1"/>
          <w:vertAlign w:val="subscript"/>
        </w:rPr>
        <w:t>‖</w:t>
      </w:r>
      <w:r w:rsidR="0091027C" w:rsidRPr="00FB7939">
        <w:rPr>
          <w:rFonts w:asciiTheme="minorHAnsi" w:eastAsia="DengXian" w:hAnsiTheme="minorHAnsi" w:cstheme="minorBidi"/>
          <w:i/>
          <w:iCs/>
          <w:color w:val="000000" w:themeColor="text1"/>
        </w:rPr>
        <w:t xml:space="preserve"> = 0.2, 0.4, and 0.6 T, respectively. </w:t>
      </w:r>
      <w:r w:rsidR="0091027C" w:rsidRPr="00FB7939">
        <w:rPr>
          <w:rFonts w:asciiTheme="minorHAnsi" w:eastAsia="DengXian" w:hAnsiTheme="minorHAnsi" w:cstheme="minorBidi"/>
          <w:b/>
          <w:bCs/>
          <w:i/>
          <w:iCs/>
          <w:color w:val="000000" w:themeColor="text1"/>
        </w:rPr>
        <w:t>d</w:t>
      </w:r>
      <w:r w:rsidR="0091027C" w:rsidRPr="00FB7939">
        <w:rPr>
          <w:rFonts w:asciiTheme="minorHAnsi" w:eastAsia="DengXian" w:hAnsiTheme="minorHAnsi" w:cstheme="minorBidi"/>
          <w:i/>
          <w:iCs/>
          <w:color w:val="000000" w:themeColor="text1"/>
        </w:rPr>
        <w:t xml:space="preserve">, Critical temperature </w:t>
      </w:r>
      <w:r w:rsidR="0091027C" w:rsidRPr="00BA72C0">
        <w:rPr>
          <w:rFonts w:asciiTheme="minorHAnsi" w:eastAsia="DengXian" w:hAnsiTheme="minorHAnsi" w:cstheme="minorBidi"/>
          <w:i/>
          <w:iCs/>
          <w:color w:val="000000" w:themeColor="text1"/>
        </w:rPr>
        <w:t>T</w:t>
      </w:r>
      <w:r w:rsidR="0091027C" w:rsidRPr="00BA72C0">
        <w:rPr>
          <w:rFonts w:asciiTheme="minorHAnsi" w:eastAsia="DengXian" w:hAnsiTheme="minorHAnsi" w:cstheme="minorBidi"/>
          <w:i/>
          <w:iCs/>
          <w:color w:val="000000" w:themeColor="text1"/>
          <w:vertAlign w:val="subscript"/>
        </w:rPr>
        <w:t>c</w:t>
      </w:r>
      <w:r w:rsidR="0091027C" w:rsidRPr="00BA72C0">
        <w:rPr>
          <w:rFonts w:asciiTheme="minorHAnsi" w:eastAsia="DengXian" w:hAnsiTheme="minorHAnsi" w:cstheme="minorBidi"/>
          <w:i/>
          <w:iCs/>
          <w:color w:val="000000" w:themeColor="text1"/>
        </w:rPr>
        <w:t xml:space="preserve"> </w:t>
      </w:r>
      <w:r w:rsidR="0091027C" w:rsidRPr="00FB7939">
        <w:rPr>
          <w:rFonts w:asciiTheme="minorHAnsi" w:eastAsia="DengXian" w:hAnsiTheme="minorHAnsi" w:cstheme="minorBidi"/>
          <w:i/>
          <w:iCs/>
          <w:color w:val="000000" w:themeColor="text1"/>
        </w:rPr>
        <w:t xml:space="preserve">at </w:t>
      </w:r>
      <w:r w:rsidR="0091027C" w:rsidRPr="00BA72C0">
        <w:rPr>
          <w:rFonts w:asciiTheme="minorHAnsi" w:eastAsia="DengXian" w:hAnsiTheme="minorHAnsi" w:cstheme="minorBidi"/>
          <w:i/>
          <w:iCs/>
          <w:color w:val="000000" w:themeColor="text1"/>
        </w:rPr>
        <w:t>n</w:t>
      </w:r>
      <w:r w:rsidR="0091027C" w:rsidRPr="00FB7939">
        <w:rPr>
          <w:rFonts w:asciiTheme="minorHAnsi" w:eastAsia="DengXian" w:hAnsiTheme="minorHAnsi" w:cstheme="minorBidi"/>
          <w:i/>
          <w:iCs/>
          <w:color w:val="000000" w:themeColor="text1"/>
        </w:rPr>
        <w:t xml:space="preserve"> = -0.77 * 10</w:t>
      </w:r>
      <w:r w:rsidR="0091027C" w:rsidRPr="005702ED">
        <w:rPr>
          <w:rFonts w:asciiTheme="minorHAnsi" w:eastAsia="DengXian" w:hAnsiTheme="minorHAnsi" w:cstheme="minorBidi"/>
          <w:i/>
          <w:iCs/>
          <w:color w:val="000000" w:themeColor="text1"/>
          <w:vertAlign w:val="superscript"/>
        </w:rPr>
        <w:t>12</w:t>
      </w:r>
      <w:r w:rsidR="0091027C" w:rsidRPr="00FB7939">
        <w:rPr>
          <w:rFonts w:asciiTheme="minorHAnsi" w:eastAsia="DengXian" w:hAnsiTheme="minorHAnsi" w:cstheme="minorBidi"/>
          <w:i/>
          <w:iCs/>
          <w:color w:val="000000" w:themeColor="text1"/>
        </w:rPr>
        <w:t xml:space="preserve"> cm</w:t>
      </w:r>
      <w:r w:rsidR="0091027C" w:rsidRPr="005702ED">
        <w:rPr>
          <w:rFonts w:asciiTheme="minorHAnsi" w:eastAsia="DengXian" w:hAnsiTheme="minorHAnsi" w:cstheme="minorBidi"/>
          <w:i/>
          <w:iCs/>
          <w:color w:val="000000" w:themeColor="text1"/>
          <w:vertAlign w:val="superscript"/>
        </w:rPr>
        <w:t>-2</w:t>
      </w:r>
      <w:r w:rsidR="0091027C" w:rsidRPr="00FB7939">
        <w:rPr>
          <w:rFonts w:asciiTheme="minorHAnsi" w:eastAsia="DengXian" w:hAnsiTheme="minorHAnsi" w:cstheme="minorBidi"/>
          <w:i/>
          <w:iCs/>
          <w:color w:val="000000" w:themeColor="text1"/>
        </w:rPr>
        <w:t>, as a function of in-plane magnetic field</w:t>
      </w:r>
      <w:r w:rsidR="0091027C" w:rsidRPr="00BA72C0">
        <w:rPr>
          <w:rFonts w:asciiTheme="minorHAnsi" w:eastAsia="DengXian" w:hAnsiTheme="minorHAnsi" w:cstheme="minorBidi"/>
          <w:i/>
          <w:iCs/>
          <w:color w:val="000000" w:themeColor="text1"/>
        </w:rPr>
        <w:t xml:space="preserve"> </w:t>
      </w:r>
      <w:proofErr w:type="gramStart"/>
      <w:r w:rsidR="0091027C" w:rsidRPr="00BA72C0">
        <w:rPr>
          <w:rFonts w:asciiTheme="minorHAnsi" w:eastAsia="DengXian" w:hAnsiTheme="minorHAnsi" w:cstheme="minorBidi"/>
          <w:i/>
          <w:iCs/>
          <w:color w:val="000000" w:themeColor="text1"/>
        </w:rPr>
        <w:t>B</w:t>
      </w:r>
      <w:r w:rsidR="0091027C" w:rsidRPr="00324D3B">
        <w:rPr>
          <w:rFonts w:asciiTheme="minorHAnsi" w:eastAsia="DengXian" w:hAnsiTheme="minorHAnsi" w:cstheme="minorBidi" w:hint="eastAsia"/>
          <w:color w:val="000000" w:themeColor="text1"/>
          <w:vertAlign w:val="subscript"/>
        </w:rPr>
        <w:t>‖</w:t>
      </w:r>
      <w:r w:rsidR="0091027C" w:rsidRPr="00FB7939">
        <w:rPr>
          <w:rFonts w:asciiTheme="minorHAnsi" w:eastAsia="DengXian" w:hAnsiTheme="minorHAnsi" w:cstheme="minorBidi"/>
          <w:i/>
          <w:iCs/>
          <w:color w:val="000000" w:themeColor="text1"/>
        </w:rPr>
        <w:t>.</w:t>
      </w:r>
      <w:proofErr w:type="gramEnd"/>
      <w:r w:rsidR="0091027C" w:rsidRPr="00FB7939">
        <w:rPr>
          <w:rFonts w:asciiTheme="minorHAnsi" w:eastAsia="DengXian" w:hAnsiTheme="minorHAnsi" w:cstheme="minorBidi"/>
          <w:i/>
          <w:iCs/>
          <w:color w:val="000000" w:themeColor="text1"/>
        </w:rPr>
        <w:t xml:space="preserve"> Solid line is fitted with </w:t>
      </w:r>
      <w:r w:rsidR="0091027C" w:rsidRPr="00BA72C0">
        <w:rPr>
          <w:rFonts w:asciiTheme="minorHAnsi" w:eastAsia="DengXian" w:hAnsiTheme="minorHAnsi" w:cstheme="minorBidi"/>
          <w:i/>
          <w:iCs/>
          <w:color w:val="000000" w:themeColor="text1"/>
        </w:rPr>
        <w:t>T</w:t>
      </w:r>
      <w:r w:rsidR="0091027C" w:rsidRPr="00BA72C0">
        <w:rPr>
          <w:rFonts w:asciiTheme="minorHAnsi" w:eastAsia="DengXian" w:hAnsiTheme="minorHAnsi" w:cstheme="minorBidi"/>
          <w:i/>
          <w:iCs/>
          <w:color w:val="000000" w:themeColor="text1"/>
          <w:vertAlign w:val="subscript"/>
        </w:rPr>
        <w:t>c</w:t>
      </w:r>
      <w:r w:rsidR="0091027C" w:rsidRPr="00FB7939">
        <w:rPr>
          <w:rFonts w:asciiTheme="minorHAnsi" w:eastAsia="DengXian" w:hAnsiTheme="minorHAnsi" w:cstheme="minorBidi"/>
          <w:i/>
          <w:iCs/>
          <w:color w:val="000000" w:themeColor="text1"/>
        </w:rPr>
        <w:t>/</w:t>
      </w:r>
      <w:proofErr w:type="spellStart"/>
      <w:proofErr w:type="gramStart"/>
      <w:r w:rsidR="0091027C" w:rsidRPr="00BA72C0">
        <w:rPr>
          <w:rFonts w:asciiTheme="minorHAnsi" w:eastAsia="DengXian" w:hAnsiTheme="minorHAnsi" w:cstheme="minorBidi"/>
          <w:i/>
          <w:iCs/>
          <w:color w:val="000000" w:themeColor="text1"/>
        </w:rPr>
        <w:t>T</w:t>
      </w:r>
      <w:r w:rsidR="0091027C" w:rsidRPr="00BA72C0">
        <w:rPr>
          <w:rFonts w:asciiTheme="minorHAnsi" w:eastAsia="DengXian" w:hAnsiTheme="minorHAnsi" w:cstheme="minorBidi"/>
          <w:i/>
          <w:iCs/>
          <w:color w:val="000000" w:themeColor="text1"/>
          <w:vertAlign w:val="subscript"/>
        </w:rPr>
        <w:t>c,B</w:t>
      </w:r>
      <w:proofErr w:type="spellEnd"/>
      <w:proofErr w:type="gramEnd"/>
      <w:r w:rsidR="0091027C" w:rsidRPr="00FB7939">
        <w:rPr>
          <w:rFonts w:asciiTheme="minorHAnsi" w:eastAsia="DengXian" w:hAnsiTheme="minorHAnsi" w:cstheme="minorBidi"/>
          <w:i/>
          <w:iCs/>
          <w:color w:val="000000" w:themeColor="text1"/>
          <w:vertAlign w:val="subscript"/>
        </w:rPr>
        <w:t>=0</w:t>
      </w:r>
      <w:r w:rsidR="0091027C" w:rsidRPr="00FB7939">
        <w:rPr>
          <w:rFonts w:asciiTheme="minorHAnsi" w:eastAsia="DengXian" w:hAnsiTheme="minorHAnsi" w:cstheme="minorBidi"/>
          <w:i/>
          <w:iCs/>
          <w:color w:val="000000" w:themeColor="text1"/>
        </w:rPr>
        <w:t xml:space="preserve"> = 1 – </w:t>
      </w:r>
      <w:r w:rsidR="0091027C" w:rsidRPr="00BA72C0">
        <w:rPr>
          <w:rFonts w:asciiTheme="minorHAnsi" w:eastAsia="DengXian" w:hAnsiTheme="minorHAnsi" w:cstheme="minorBidi"/>
          <w:i/>
          <w:iCs/>
          <w:color w:val="000000" w:themeColor="text1"/>
        </w:rPr>
        <w:t>B</w:t>
      </w:r>
      <w:r w:rsidR="0091027C" w:rsidRPr="009F27B5">
        <w:rPr>
          <w:rFonts w:asciiTheme="minorHAnsi" w:eastAsia="DengXian" w:hAnsiTheme="minorHAnsi" w:cstheme="minorBidi" w:hint="eastAsia"/>
          <w:color w:val="000000" w:themeColor="text1"/>
          <w:vertAlign w:val="subscript"/>
        </w:rPr>
        <w:t>‖</w:t>
      </w:r>
      <w:r w:rsidR="0091027C" w:rsidRPr="00FB7939">
        <w:rPr>
          <w:rFonts w:asciiTheme="minorHAnsi" w:eastAsia="DengXian" w:hAnsiTheme="minorHAnsi" w:cstheme="minorBidi"/>
          <w:i/>
          <w:iCs/>
          <w:color w:val="000000" w:themeColor="text1"/>
          <w:vertAlign w:val="superscript"/>
        </w:rPr>
        <w:t>2</w:t>
      </w:r>
      <w:r w:rsidR="0091027C" w:rsidRPr="00FB7939">
        <w:rPr>
          <w:rFonts w:asciiTheme="minorHAnsi" w:eastAsia="DengXian" w:hAnsiTheme="minorHAnsi" w:cstheme="minorBidi"/>
          <w:i/>
          <w:iCs/>
          <w:color w:val="000000" w:themeColor="text1"/>
        </w:rPr>
        <w:t>/</w:t>
      </w:r>
      <w:r w:rsidR="0091027C" w:rsidRPr="00BA72C0">
        <w:rPr>
          <w:rFonts w:asciiTheme="minorHAnsi" w:eastAsia="DengXian" w:hAnsiTheme="minorHAnsi" w:cstheme="minorBidi"/>
          <w:i/>
          <w:iCs/>
          <w:color w:val="000000" w:themeColor="text1"/>
        </w:rPr>
        <w:t>B</w:t>
      </w:r>
      <w:r w:rsidR="0091027C" w:rsidRPr="00BA72C0">
        <w:rPr>
          <w:rFonts w:asciiTheme="minorHAnsi" w:eastAsia="DengXian" w:hAnsiTheme="minorHAnsi" w:cstheme="minorBidi"/>
          <w:i/>
          <w:iCs/>
          <w:color w:val="000000" w:themeColor="text1"/>
          <w:vertAlign w:val="subscript"/>
        </w:rPr>
        <w:t>SO</w:t>
      </w:r>
      <w:r w:rsidR="0091027C" w:rsidRPr="00BA72C0">
        <w:rPr>
          <w:rFonts w:asciiTheme="minorHAnsi" w:eastAsia="DengXian" w:hAnsiTheme="minorHAnsi" w:cstheme="minorBidi"/>
          <w:i/>
          <w:iCs/>
          <w:color w:val="000000" w:themeColor="text1"/>
        </w:rPr>
        <w:t>B</w:t>
      </w:r>
      <w:r w:rsidR="0091027C" w:rsidRPr="00BA72C0">
        <w:rPr>
          <w:rFonts w:asciiTheme="minorHAnsi" w:eastAsia="DengXian" w:hAnsiTheme="minorHAnsi" w:cstheme="minorBidi"/>
          <w:i/>
          <w:iCs/>
          <w:color w:val="000000" w:themeColor="text1"/>
          <w:vertAlign w:val="subscript"/>
        </w:rPr>
        <w:t>P</w:t>
      </w:r>
      <w:r w:rsidR="0091027C" w:rsidRPr="00FB7939">
        <w:rPr>
          <w:rFonts w:asciiTheme="minorHAnsi" w:eastAsia="DengXian" w:hAnsiTheme="minorHAnsi" w:cstheme="minorBidi"/>
          <w:i/>
          <w:iCs/>
          <w:color w:val="000000" w:themeColor="text1"/>
        </w:rPr>
        <w:t xml:space="preserve">, where the effective spin-orbit field </w:t>
      </w:r>
      <w:r w:rsidR="0091027C" w:rsidRPr="00BA72C0">
        <w:rPr>
          <w:rFonts w:asciiTheme="minorHAnsi" w:eastAsia="DengXian" w:hAnsiTheme="minorHAnsi" w:cstheme="minorBidi"/>
          <w:i/>
          <w:iCs/>
          <w:color w:val="000000" w:themeColor="text1"/>
        </w:rPr>
        <w:t>B</w:t>
      </w:r>
      <w:r w:rsidR="0091027C" w:rsidRPr="00BA72C0">
        <w:rPr>
          <w:rFonts w:asciiTheme="minorHAnsi" w:eastAsia="DengXian" w:hAnsiTheme="minorHAnsi" w:cstheme="minorBidi"/>
          <w:i/>
          <w:iCs/>
          <w:color w:val="000000" w:themeColor="text1"/>
          <w:vertAlign w:val="subscript"/>
        </w:rPr>
        <w:t>SO</w:t>
      </w:r>
      <w:r w:rsidR="0091027C" w:rsidRPr="00FB7939">
        <w:rPr>
          <w:rFonts w:asciiTheme="minorHAnsi" w:eastAsia="DengXian" w:hAnsiTheme="minorHAnsi" w:cstheme="minorBidi"/>
          <w:i/>
          <w:iCs/>
          <w:color w:val="000000" w:themeColor="text1"/>
        </w:rPr>
        <w:t xml:space="preserve"> = </w:t>
      </w:r>
      <w:proofErr w:type="spellStart"/>
      <w:r w:rsidR="0091027C" w:rsidRPr="00BA72C0">
        <w:rPr>
          <w:rFonts w:asciiTheme="minorHAnsi" w:eastAsia="DengXian" w:hAnsiTheme="minorHAnsi" w:cstheme="minorBidi"/>
          <w:i/>
          <w:iCs/>
          <w:color w:val="000000" w:themeColor="text1"/>
        </w:rPr>
        <w:t>λ</w:t>
      </w:r>
      <w:r w:rsidR="0091027C" w:rsidRPr="00BA72C0">
        <w:rPr>
          <w:rFonts w:asciiTheme="minorHAnsi" w:eastAsia="DengXian" w:hAnsiTheme="minorHAnsi" w:cstheme="minorBidi"/>
          <w:i/>
          <w:iCs/>
          <w:color w:val="000000" w:themeColor="text1"/>
          <w:vertAlign w:val="subscript"/>
        </w:rPr>
        <w:t>I</w:t>
      </w:r>
      <w:proofErr w:type="spellEnd"/>
      <w:r w:rsidR="0091027C" w:rsidRPr="00FB7939">
        <w:rPr>
          <w:rFonts w:asciiTheme="minorHAnsi" w:eastAsia="DengXian" w:hAnsiTheme="minorHAnsi" w:cstheme="minorBidi"/>
          <w:i/>
          <w:iCs/>
          <w:color w:val="000000" w:themeColor="text1"/>
        </w:rPr>
        <w:t>/2</w:t>
      </w:r>
      <w:r w:rsidR="0091027C" w:rsidRPr="00BA72C0">
        <w:rPr>
          <w:rFonts w:asciiTheme="minorHAnsi" w:eastAsia="DengXian" w:hAnsiTheme="minorHAnsi" w:cstheme="minorBidi"/>
          <w:i/>
          <w:iCs/>
          <w:color w:val="000000" w:themeColor="text1"/>
        </w:rPr>
        <w:t>gμ</w:t>
      </w:r>
      <w:r w:rsidR="0091027C" w:rsidRPr="00BA72C0">
        <w:rPr>
          <w:rFonts w:asciiTheme="minorHAnsi" w:eastAsia="DengXian" w:hAnsiTheme="minorHAnsi" w:cstheme="minorBidi"/>
          <w:i/>
          <w:iCs/>
          <w:color w:val="000000" w:themeColor="text1"/>
          <w:vertAlign w:val="subscript"/>
        </w:rPr>
        <w:t>B</w:t>
      </w:r>
      <w:r w:rsidR="0091027C" w:rsidRPr="00FB7939">
        <w:rPr>
          <w:rFonts w:asciiTheme="minorHAnsi" w:eastAsia="DengXian" w:hAnsiTheme="minorHAnsi" w:cstheme="minorBidi"/>
          <w:i/>
          <w:iCs/>
          <w:color w:val="000000" w:themeColor="text1"/>
        </w:rPr>
        <w:t xml:space="preserve">. Assuming </w:t>
      </w:r>
      <w:r w:rsidR="0091027C" w:rsidRPr="00BA72C0">
        <w:rPr>
          <w:rFonts w:asciiTheme="minorHAnsi" w:eastAsia="DengXian" w:hAnsiTheme="minorHAnsi" w:cstheme="minorBidi"/>
          <w:i/>
          <w:iCs/>
          <w:color w:val="000000" w:themeColor="text1"/>
        </w:rPr>
        <w:t>g</w:t>
      </w:r>
      <w:r w:rsidR="0091027C" w:rsidRPr="00FB7939">
        <w:rPr>
          <w:rFonts w:asciiTheme="minorHAnsi" w:eastAsia="DengXian" w:hAnsiTheme="minorHAnsi" w:cstheme="minorBidi"/>
          <w:i/>
          <w:iCs/>
          <w:color w:val="000000" w:themeColor="text1"/>
        </w:rPr>
        <w:t xml:space="preserve">=2, we can extract Ising-SOC intensity </w:t>
      </w:r>
      <w:r w:rsidR="0091027C" w:rsidRPr="00BA72C0">
        <w:rPr>
          <w:rFonts w:asciiTheme="minorHAnsi" w:eastAsia="DengXian" w:hAnsiTheme="minorHAnsi" w:cstheme="minorBidi"/>
          <w:i/>
          <w:iCs/>
          <w:color w:val="000000" w:themeColor="text1"/>
          <w:lang w:val="el-GR"/>
        </w:rPr>
        <w:t>λ</w:t>
      </w:r>
      <w:r w:rsidR="0091027C" w:rsidRPr="00BA72C0">
        <w:rPr>
          <w:rFonts w:asciiTheme="minorHAnsi" w:eastAsia="DengXian" w:hAnsiTheme="minorHAnsi" w:cstheme="minorBidi"/>
          <w:i/>
          <w:iCs/>
          <w:color w:val="000000" w:themeColor="text1"/>
          <w:vertAlign w:val="subscript"/>
          <w:lang w:val="el-GR"/>
        </w:rPr>
        <w:t xml:space="preserve">I </w:t>
      </w:r>
      <w:r w:rsidR="0091027C" w:rsidRPr="00FB7939">
        <w:rPr>
          <w:rFonts w:asciiTheme="minorHAnsi" w:eastAsia="DengXian" w:hAnsiTheme="minorHAnsi" w:cstheme="minorBidi"/>
          <w:i/>
          <w:iCs/>
          <w:color w:val="000000" w:themeColor="text1"/>
          <w:lang w:val="el-GR"/>
        </w:rPr>
        <w:t>~</w:t>
      </w:r>
      <w:r w:rsidR="0091027C" w:rsidRPr="00FB7939">
        <w:rPr>
          <w:rFonts w:asciiTheme="minorHAnsi" w:eastAsia="DengXian" w:hAnsiTheme="minorHAnsi" w:cstheme="minorBidi"/>
          <w:i/>
          <w:iCs/>
          <w:color w:val="000000" w:themeColor="text1"/>
        </w:rPr>
        <w:t xml:space="preserve"> 0.6 meV.</w:t>
      </w:r>
    </w:p>
    <w:p w14:paraId="3B55482B" w14:textId="509BA77F" w:rsidR="009E07DE" w:rsidRDefault="00815FA3" w:rsidP="009E07DE">
      <w:pPr>
        <w:pStyle w:val="NormalWeb"/>
        <w:spacing w:before="0" w:beforeAutospacing="0" w:after="0" w:afterAutospacing="0"/>
        <w:jc w:val="both"/>
        <w:rPr>
          <w:rFonts w:asciiTheme="minorHAnsi" w:eastAsia="DengXian" w:hAnsiTheme="minorHAnsi" w:cstheme="minorBidi"/>
          <w:i/>
          <w:iCs/>
          <w:color w:val="000000" w:themeColor="text1"/>
        </w:rPr>
      </w:pPr>
      <w:r>
        <w:rPr>
          <w:noProof/>
        </w:rPr>
        <w:lastRenderedPageBreak/>
        <w:drawing>
          <wp:inline distT="0" distB="0" distL="0" distR="0" wp14:anchorId="7760E24B" wp14:editId="3C72F01B">
            <wp:extent cx="5943600" cy="4944110"/>
            <wp:effectExtent l="0" t="0" r="0" b="8890"/>
            <wp:docPr id="1392173764" name="Picture 10" descr="A collage of images of a person's bod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2173764" name="Picture 10" descr="A collage of images of a person's body&#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43600" cy="4944110"/>
                    </a:xfrm>
                    <a:prstGeom prst="rect">
                      <a:avLst/>
                    </a:prstGeom>
                    <a:noFill/>
                    <a:ln>
                      <a:noFill/>
                    </a:ln>
                  </pic:spPr>
                </pic:pic>
              </a:graphicData>
            </a:graphic>
          </wp:inline>
        </w:drawing>
      </w:r>
    </w:p>
    <w:p w14:paraId="7D146FD7" w14:textId="751358C4" w:rsidR="009E07DE" w:rsidRDefault="009E07DE" w:rsidP="009E07DE">
      <w:pPr>
        <w:pStyle w:val="NormalWeb"/>
        <w:spacing w:before="0" w:beforeAutospacing="0" w:after="0" w:afterAutospacing="0"/>
        <w:jc w:val="both"/>
        <w:rPr>
          <w:rFonts w:asciiTheme="minorHAnsi" w:eastAsia="DengXian" w:hAnsiTheme="minorHAnsi" w:cstheme="minorBidi"/>
          <w:i/>
          <w:iCs/>
          <w:color w:val="000000" w:themeColor="text1"/>
        </w:rPr>
      </w:pPr>
      <w:r w:rsidRPr="009B29CD">
        <w:rPr>
          <w:rFonts w:ascii="Calibri" w:hAnsi="Calibri" w:cs="Calibri"/>
          <w:b/>
          <w:bCs/>
          <w:i/>
          <w:iCs/>
        </w:rPr>
        <w:t xml:space="preserve">Extended Data Figure </w:t>
      </w:r>
      <w:r>
        <w:rPr>
          <w:rFonts w:ascii="Calibri" w:eastAsiaTheme="minorEastAsia" w:hAnsi="Calibri" w:cs="Calibri" w:hint="eastAsia"/>
          <w:b/>
          <w:bCs/>
          <w:i/>
          <w:iCs/>
        </w:rPr>
        <w:t>6</w:t>
      </w:r>
      <w:r w:rsidRPr="009B29CD">
        <w:rPr>
          <w:rFonts w:ascii="Calibri" w:hAnsi="Calibri" w:cs="Calibri"/>
          <w:b/>
          <w:bCs/>
          <w:i/>
          <w:iCs/>
        </w:rPr>
        <w:t xml:space="preserve">. </w:t>
      </w:r>
      <w:r w:rsidR="006D7954" w:rsidRPr="006D7954">
        <w:rPr>
          <w:rFonts w:ascii="Calibri" w:hAnsi="Calibri" w:cs="Calibri"/>
          <w:b/>
          <w:bCs/>
          <w:i/>
          <w:iCs/>
        </w:rPr>
        <w:t>Detailed analysis of Fermiology near SC4 in D1.</w:t>
      </w:r>
      <w:r w:rsidRPr="009B29CD">
        <w:rPr>
          <w:rFonts w:ascii="Calibri" w:hAnsi="Calibri" w:cs="Calibri"/>
          <w:b/>
          <w:bCs/>
          <w:i/>
          <w:iCs/>
        </w:rPr>
        <w:t xml:space="preserve">  </w:t>
      </w:r>
      <w:r w:rsidR="000D37DC" w:rsidRPr="00FB7939">
        <w:rPr>
          <w:rFonts w:asciiTheme="minorHAnsi" w:eastAsia="DengXian" w:hAnsiTheme="minorHAnsi" w:cstheme="minorBidi"/>
          <w:b/>
          <w:bCs/>
          <w:i/>
          <w:iCs/>
          <w:color w:val="000000" w:themeColor="text1"/>
        </w:rPr>
        <w:t>a</w:t>
      </w:r>
      <w:r w:rsidR="000D37DC" w:rsidRPr="00FB7939">
        <w:rPr>
          <w:rFonts w:asciiTheme="minorHAnsi" w:eastAsia="DengXian" w:hAnsiTheme="minorHAnsi" w:cstheme="minorBidi"/>
          <w:i/>
          <w:iCs/>
          <w:color w:val="000000" w:themeColor="text1"/>
        </w:rPr>
        <w:t xml:space="preserve">, Four-terminal resistance </w:t>
      </w:r>
      <w:r w:rsidR="000D37DC" w:rsidRPr="00BA72C0">
        <w:rPr>
          <w:rFonts w:asciiTheme="minorHAnsi" w:eastAsia="DengXian" w:hAnsiTheme="minorHAnsi" w:cstheme="minorBidi"/>
          <w:i/>
          <w:iCs/>
          <w:color w:val="000000" w:themeColor="text1"/>
        </w:rPr>
        <w:t>R</w:t>
      </w:r>
      <w:r w:rsidR="000D37DC" w:rsidRPr="00BA72C0">
        <w:rPr>
          <w:rFonts w:asciiTheme="minorHAnsi" w:eastAsia="DengXian" w:hAnsiTheme="minorHAnsi" w:cstheme="minorBidi"/>
          <w:i/>
          <w:iCs/>
          <w:color w:val="000000" w:themeColor="text1"/>
          <w:vertAlign w:val="subscript"/>
        </w:rPr>
        <w:t>xx</w:t>
      </w:r>
      <w:r w:rsidR="000D37DC" w:rsidRPr="00BA72C0">
        <w:rPr>
          <w:rFonts w:asciiTheme="minorHAnsi" w:eastAsia="DengXian" w:hAnsiTheme="minorHAnsi" w:cstheme="minorBidi"/>
          <w:i/>
          <w:iCs/>
          <w:color w:val="000000" w:themeColor="text1"/>
        </w:rPr>
        <w:t xml:space="preserve"> </w:t>
      </w:r>
      <w:r w:rsidR="000D37DC" w:rsidRPr="00FB7939">
        <w:rPr>
          <w:rFonts w:asciiTheme="minorHAnsi" w:eastAsia="DengXian" w:hAnsiTheme="minorHAnsi" w:cstheme="minorBidi"/>
          <w:i/>
          <w:iCs/>
          <w:color w:val="000000" w:themeColor="text1"/>
        </w:rPr>
        <w:t xml:space="preserve">of D1 near SC4. </w:t>
      </w:r>
      <w:r w:rsidR="000D37DC" w:rsidRPr="00FB7939">
        <w:rPr>
          <w:rFonts w:asciiTheme="minorHAnsi" w:eastAsia="DengXian" w:hAnsiTheme="minorHAnsi" w:cstheme="minorBidi"/>
          <w:b/>
          <w:bCs/>
          <w:i/>
          <w:iCs/>
          <w:color w:val="000000" w:themeColor="text1"/>
        </w:rPr>
        <w:t>b, e, h</w:t>
      </w:r>
      <w:r w:rsidR="000D37DC" w:rsidRPr="00FB7939">
        <w:rPr>
          <w:rFonts w:asciiTheme="minorHAnsi" w:eastAsia="DengXian" w:hAnsiTheme="minorHAnsi" w:cstheme="minorBidi"/>
          <w:i/>
          <w:iCs/>
          <w:color w:val="000000" w:themeColor="text1"/>
        </w:rPr>
        <w:t xml:space="preserve">, </w:t>
      </w:r>
      <w:r w:rsidR="000D37DC" w:rsidRPr="00BA72C0">
        <w:rPr>
          <w:rFonts w:asciiTheme="minorHAnsi" w:eastAsia="DengXian" w:hAnsiTheme="minorHAnsi" w:cstheme="minorBidi"/>
          <w:i/>
          <w:iCs/>
          <w:color w:val="000000" w:themeColor="text1"/>
        </w:rPr>
        <w:t>R</w:t>
      </w:r>
      <w:r w:rsidR="000D37DC" w:rsidRPr="00BA72C0">
        <w:rPr>
          <w:rFonts w:asciiTheme="minorHAnsi" w:eastAsia="DengXian" w:hAnsiTheme="minorHAnsi" w:cstheme="minorBidi"/>
          <w:i/>
          <w:iCs/>
          <w:color w:val="000000" w:themeColor="text1"/>
          <w:vertAlign w:val="subscript"/>
        </w:rPr>
        <w:t>xx</w:t>
      </w:r>
      <w:r w:rsidR="000D37DC" w:rsidRPr="00BA72C0">
        <w:rPr>
          <w:rFonts w:asciiTheme="minorHAnsi" w:eastAsia="DengXian" w:hAnsiTheme="minorHAnsi" w:cstheme="minorBidi"/>
          <w:i/>
          <w:iCs/>
          <w:color w:val="000000" w:themeColor="text1"/>
        </w:rPr>
        <w:t xml:space="preserve"> </w:t>
      </w:r>
      <w:r w:rsidR="000D37DC" w:rsidRPr="00FB7939">
        <w:rPr>
          <w:rFonts w:asciiTheme="minorHAnsi" w:eastAsia="DengXian" w:hAnsiTheme="minorHAnsi" w:cstheme="minorBidi"/>
          <w:i/>
          <w:iCs/>
          <w:color w:val="000000" w:themeColor="text1"/>
        </w:rPr>
        <w:t xml:space="preserve">as a function of out-of-plane magnetic field </w:t>
      </w:r>
      <w:r w:rsidR="000D37DC" w:rsidRPr="00BA72C0">
        <w:rPr>
          <w:rFonts w:asciiTheme="minorHAnsi" w:eastAsia="DengXian" w:hAnsiTheme="minorHAnsi" w:cstheme="minorBidi"/>
          <w:i/>
          <w:iCs/>
          <w:color w:val="000000" w:themeColor="text1"/>
        </w:rPr>
        <w:t>B</w:t>
      </w:r>
      <w:r w:rsidR="000D37DC" w:rsidRPr="00FB7939">
        <w:rPr>
          <w:rFonts w:ascii="Cambria Math" w:eastAsia="DengXian" w:hAnsi="Cambria Math" w:cs="Cambria Math" w:hint="eastAsia"/>
          <w:i/>
          <w:iCs/>
          <w:color w:val="000000" w:themeColor="text1"/>
          <w:vertAlign w:val="subscript"/>
        </w:rPr>
        <w:t>⊥</w:t>
      </w:r>
      <w:r w:rsidR="000D37DC" w:rsidRPr="00FB7939">
        <w:rPr>
          <w:rFonts w:asciiTheme="minorHAnsi" w:eastAsia="DengXian" w:hAnsiTheme="minorHAnsi" w:cstheme="minorBidi"/>
          <w:i/>
          <w:iCs/>
          <w:color w:val="000000" w:themeColor="text1"/>
        </w:rPr>
        <w:t xml:space="preserve">, measured at the red dash lines in panel </w:t>
      </w:r>
      <w:r w:rsidR="000D37DC" w:rsidRPr="00FB7939">
        <w:rPr>
          <w:rFonts w:asciiTheme="minorHAnsi" w:eastAsia="DengXian" w:hAnsiTheme="minorHAnsi" w:cstheme="minorBidi"/>
          <w:b/>
          <w:bCs/>
          <w:i/>
          <w:iCs/>
          <w:color w:val="000000" w:themeColor="text1"/>
        </w:rPr>
        <w:t>a</w:t>
      </w:r>
      <w:r w:rsidR="000D37DC" w:rsidRPr="00FB7939">
        <w:rPr>
          <w:rFonts w:asciiTheme="minorHAnsi" w:eastAsia="DengXian" w:hAnsiTheme="minorHAnsi" w:cstheme="minorBidi"/>
          <w:i/>
          <w:iCs/>
          <w:color w:val="000000" w:themeColor="text1"/>
        </w:rPr>
        <w:t xml:space="preserve">: </w:t>
      </w:r>
      <w:r w:rsidR="000D37DC" w:rsidRPr="00BA72C0">
        <w:rPr>
          <w:rFonts w:asciiTheme="minorHAnsi" w:eastAsia="DengXian" w:hAnsiTheme="minorHAnsi" w:cstheme="minorBidi"/>
          <w:i/>
          <w:iCs/>
          <w:color w:val="000000" w:themeColor="text1"/>
        </w:rPr>
        <w:t xml:space="preserve">n </w:t>
      </w:r>
      <w:r w:rsidR="000D37DC" w:rsidRPr="00FB7939">
        <w:rPr>
          <w:rFonts w:asciiTheme="minorHAnsi" w:eastAsia="DengXian" w:hAnsiTheme="minorHAnsi" w:cstheme="minorBidi"/>
          <w:i/>
          <w:iCs/>
          <w:color w:val="000000" w:themeColor="text1"/>
        </w:rPr>
        <w:t>= -0.76 × 10</w:t>
      </w:r>
      <w:r w:rsidR="000D37DC" w:rsidRPr="00FB7939">
        <w:rPr>
          <w:rFonts w:asciiTheme="minorHAnsi" w:eastAsia="DengXian" w:hAnsiTheme="minorHAnsi" w:cstheme="minorBidi"/>
          <w:i/>
          <w:iCs/>
          <w:color w:val="000000" w:themeColor="text1"/>
          <w:vertAlign w:val="superscript"/>
        </w:rPr>
        <w:t>12</w:t>
      </w:r>
      <w:r w:rsidR="000D37DC" w:rsidRPr="00FB7939">
        <w:rPr>
          <w:rFonts w:asciiTheme="minorHAnsi" w:eastAsia="DengXian" w:hAnsiTheme="minorHAnsi" w:cstheme="minorBidi"/>
          <w:i/>
          <w:iCs/>
          <w:color w:val="000000" w:themeColor="text1"/>
        </w:rPr>
        <w:t xml:space="preserve"> cm</w:t>
      </w:r>
      <w:r w:rsidR="000D37DC" w:rsidRPr="00FB7939">
        <w:rPr>
          <w:rFonts w:asciiTheme="minorHAnsi" w:eastAsia="DengXian" w:hAnsiTheme="minorHAnsi" w:cstheme="minorBidi"/>
          <w:i/>
          <w:iCs/>
          <w:color w:val="000000" w:themeColor="text1"/>
          <w:vertAlign w:val="superscript"/>
        </w:rPr>
        <w:t>-2</w:t>
      </w:r>
      <w:r w:rsidR="000D37DC" w:rsidRPr="00FB7939">
        <w:rPr>
          <w:rFonts w:asciiTheme="minorHAnsi" w:eastAsia="DengXian" w:hAnsiTheme="minorHAnsi" w:cstheme="minorBidi"/>
          <w:i/>
          <w:iCs/>
          <w:color w:val="000000" w:themeColor="text1"/>
        </w:rPr>
        <w:t xml:space="preserve"> (</w:t>
      </w:r>
      <w:r w:rsidR="000D37DC" w:rsidRPr="00FB7939">
        <w:rPr>
          <w:rFonts w:asciiTheme="minorHAnsi" w:eastAsia="DengXian" w:hAnsiTheme="minorHAnsi" w:cstheme="minorBidi"/>
          <w:b/>
          <w:bCs/>
          <w:i/>
          <w:iCs/>
          <w:color w:val="000000" w:themeColor="text1"/>
        </w:rPr>
        <w:t>b</w:t>
      </w:r>
      <w:r w:rsidR="000D37DC" w:rsidRPr="00FB7939">
        <w:rPr>
          <w:rFonts w:asciiTheme="minorHAnsi" w:eastAsia="DengXian" w:hAnsiTheme="minorHAnsi" w:cstheme="minorBidi"/>
          <w:i/>
          <w:iCs/>
          <w:color w:val="000000" w:themeColor="text1"/>
        </w:rPr>
        <w:t xml:space="preserve">), </w:t>
      </w:r>
      <w:r w:rsidR="000D37DC" w:rsidRPr="00BA72C0">
        <w:rPr>
          <w:rFonts w:asciiTheme="minorHAnsi" w:eastAsia="DengXian" w:hAnsiTheme="minorHAnsi" w:cstheme="minorBidi"/>
          <w:i/>
          <w:iCs/>
          <w:color w:val="000000" w:themeColor="text1"/>
        </w:rPr>
        <w:t>D</w:t>
      </w:r>
      <w:r w:rsidR="000D37DC" w:rsidRPr="00FB7939">
        <w:rPr>
          <w:rFonts w:asciiTheme="minorHAnsi" w:eastAsia="DengXian" w:hAnsiTheme="minorHAnsi" w:cstheme="minorBidi"/>
          <w:i/>
          <w:iCs/>
          <w:color w:val="000000" w:themeColor="text1"/>
        </w:rPr>
        <w:t xml:space="preserve"> = -0.2 V/nm (</w:t>
      </w:r>
      <w:r w:rsidR="000D37DC" w:rsidRPr="00FB7939">
        <w:rPr>
          <w:rFonts w:asciiTheme="minorHAnsi" w:eastAsia="DengXian" w:hAnsiTheme="minorHAnsi" w:cstheme="minorBidi"/>
          <w:b/>
          <w:bCs/>
          <w:i/>
          <w:iCs/>
          <w:color w:val="000000" w:themeColor="text1"/>
        </w:rPr>
        <w:t>e</w:t>
      </w:r>
      <w:r w:rsidR="000D37DC" w:rsidRPr="00FB7939">
        <w:rPr>
          <w:rFonts w:asciiTheme="minorHAnsi" w:eastAsia="DengXian" w:hAnsiTheme="minorHAnsi" w:cstheme="minorBidi"/>
          <w:i/>
          <w:iCs/>
          <w:color w:val="000000" w:themeColor="text1"/>
        </w:rPr>
        <w:t xml:space="preserve">), and </w:t>
      </w:r>
      <w:r w:rsidR="000D37DC" w:rsidRPr="00BA72C0">
        <w:rPr>
          <w:rFonts w:asciiTheme="minorHAnsi" w:eastAsia="DengXian" w:hAnsiTheme="minorHAnsi" w:cstheme="minorBidi"/>
          <w:i/>
          <w:iCs/>
          <w:color w:val="000000" w:themeColor="text1"/>
        </w:rPr>
        <w:t>D</w:t>
      </w:r>
      <w:r w:rsidR="000D37DC" w:rsidRPr="00FB7939">
        <w:rPr>
          <w:rFonts w:asciiTheme="minorHAnsi" w:eastAsia="DengXian" w:hAnsiTheme="minorHAnsi" w:cstheme="minorBidi"/>
          <w:i/>
          <w:iCs/>
          <w:color w:val="000000" w:themeColor="text1"/>
        </w:rPr>
        <w:t xml:space="preserve"> = -0.165 V/nm (</w:t>
      </w:r>
      <w:r w:rsidR="000D37DC" w:rsidRPr="00FB7939">
        <w:rPr>
          <w:rFonts w:asciiTheme="minorHAnsi" w:eastAsia="DengXian" w:hAnsiTheme="minorHAnsi" w:cstheme="minorBidi"/>
          <w:b/>
          <w:bCs/>
          <w:i/>
          <w:iCs/>
          <w:color w:val="000000" w:themeColor="text1"/>
        </w:rPr>
        <w:t>h</w:t>
      </w:r>
      <w:r w:rsidR="000D37DC" w:rsidRPr="00FB7939">
        <w:rPr>
          <w:rFonts w:asciiTheme="minorHAnsi" w:eastAsia="DengXian" w:hAnsiTheme="minorHAnsi" w:cstheme="minorBidi"/>
          <w:i/>
          <w:iCs/>
          <w:color w:val="000000" w:themeColor="text1"/>
        </w:rPr>
        <w:t xml:space="preserve">). </w:t>
      </w:r>
      <w:r w:rsidR="000D37DC" w:rsidRPr="00FB7939">
        <w:rPr>
          <w:rFonts w:asciiTheme="minorHAnsi" w:eastAsia="DengXian" w:hAnsiTheme="minorHAnsi" w:cstheme="minorBidi"/>
          <w:b/>
          <w:bCs/>
          <w:i/>
          <w:iCs/>
          <w:color w:val="000000" w:themeColor="text1"/>
        </w:rPr>
        <w:t xml:space="preserve">c, f, </w:t>
      </w:r>
      <w:proofErr w:type="spellStart"/>
      <w:r w:rsidR="000D37DC" w:rsidRPr="00FB7939">
        <w:rPr>
          <w:rFonts w:asciiTheme="minorHAnsi" w:eastAsia="DengXian" w:hAnsiTheme="minorHAnsi" w:cstheme="minorBidi"/>
          <w:b/>
          <w:bCs/>
          <w:i/>
          <w:iCs/>
          <w:color w:val="000000" w:themeColor="text1"/>
        </w:rPr>
        <w:t>i</w:t>
      </w:r>
      <w:proofErr w:type="spellEnd"/>
      <w:r w:rsidR="000D37DC" w:rsidRPr="00FB7939">
        <w:rPr>
          <w:rFonts w:asciiTheme="minorHAnsi" w:eastAsia="DengXian" w:hAnsiTheme="minorHAnsi" w:cstheme="minorBidi"/>
          <w:i/>
          <w:iCs/>
          <w:color w:val="000000" w:themeColor="text1"/>
        </w:rPr>
        <w:t xml:space="preserve">, Fourier transform of </w:t>
      </w:r>
      <w:r w:rsidR="000D37DC" w:rsidRPr="00BA72C0">
        <w:rPr>
          <w:rFonts w:asciiTheme="minorHAnsi" w:eastAsia="DengXian" w:hAnsiTheme="minorHAnsi" w:cstheme="minorBidi"/>
          <w:i/>
          <w:iCs/>
          <w:color w:val="000000" w:themeColor="text1"/>
        </w:rPr>
        <w:t>R</w:t>
      </w:r>
      <w:r w:rsidR="000D37DC" w:rsidRPr="00BA72C0">
        <w:rPr>
          <w:rFonts w:asciiTheme="minorHAnsi" w:eastAsia="DengXian" w:hAnsiTheme="minorHAnsi" w:cstheme="minorBidi"/>
          <w:i/>
          <w:iCs/>
          <w:color w:val="000000" w:themeColor="text1"/>
          <w:vertAlign w:val="subscript"/>
        </w:rPr>
        <w:t>xx</w:t>
      </w:r>
      <w:r w:rsidR="000D37DC" w:rsidRPr="00FB7939">
        <w:rPr>
          <w:rFonts w:asciiTheme="minorHAnsi" w:eastAsia="DengXian" w:hAnsiTheme="minorHAnsi" w:cstheme="minorBidi"/>
          <w:i/>
          <w:iCs/>
          <w:color w:val="000000" w:themeColor="text1"/>
        </w:rPr>
        <w:t>(1/</w:t>
      </w:r>
      <w:r w:rsidR="000D37DC" w:rsidRPr="00BA72C0">
        <w:rPr>
          <w:rFonts w:asciiTheme="minorHAnsi" w:eastAsia="DengXian" w:hAnsiTheme="minorHAnsi" w:cstheme="minorBidi"/>
          <w:i/>
          <w:iCs/>
          <w:color w:val="000000" w:themeColor="text1"/>
        </w:rPr>
        <w:t>B</w:t>
      </w:r>
      <w:r w:rsidR="000D37DC" w:rsidRPr="00EB77BF">
        <w:rPr>
          <w:rFonts w:ascii="Cambria Math" w:eastAsia="DengXian" w:hAnsi="Cambria Math" w:cs="Cambria Math"/>
          <w:color w:val="000000" w:themeColor="text1"/>
          <w:vertAlign w:val="subscript"/>
        </w:rPr>
        <w:t>⊥</w:t>
      </w:r>
      <w:r w:rsidR="000D37DC" w:rsidRPr="00FB7939">
        <w:rPr>
          <w:rFonts w:asciiTheme="minorHAnsi" w:eastAsia="DengXian" w:hAnsiTheme="minorHAnsi" w:cstheme="minorBidi"/>
          <w:i/>
          <w:iCs/>
          <w:color w:val="000000" w:themeColor="text1"/>
        </w:rPr>
        <w:t xml:space="preserve">) </w:t>
      </w:r>
      <w:proofErr w:type="gramStart"/>
      <w:r w:rsidR="000D37DC" w:rsidRPr="00FB7939">
        <w:rPr>
          <w:rFonts w:asciiTheme="minorHAnsi" w:eastAsia="DengXian" w:hAnsiTheme="minorHAnsi" w:cstheme="minorBidi"/>
          <w:i/>
          <w:iCs/>
          <w:color w:val="000000" w:themeColor="text1"/>
        </w:rPr>
        <w:t>in</w:t>
      </w:r>
      <w:proofErr w:type="gramEnd"/>
      <w:r w:rsidR="000D37DC" w:rsidRPr="00FB7939">
        <w:rPr>
          <w:rFonts w:asciiTheme="minorHAnsi" w:eastAsia="DengXian" w:hAnsiTheme="minorHAnsi" w:cstheme="minorBidi"/>
          <w:i/>
          <w:iCs/>
          <w:color w:val="000000" w:themeColor="text1"/>
        </w:rPr>
        <w:t xml:space="preserve"> </w:t>
      </w:r>
      <w:r w:rsidR="000D37DC" w:rsidRPr="00FB7939">
        <w:rPr>
          <w:rFonts w:asciiTheme="minorHAnsi" w:eastAsia="DengXian" w:hAnsiTheme="minorHAnsi" w:cstheme="minorBidi"/>
          <w:b/>
          <w:bCs/>
          <w:i/>
          <w:iCs/>
          <w:color w:val="000000" w:themeColor="text1"/>
        </w:rPr>
        <w:t>b</w:t>
      </w:r>
      <w:r w:rsidR="000D37DC" w:rsidRPr="00FB7939">
        <w:rPr>
          <w:rFonts w:asciiTheme="minorHAnsi" w:eastAsia="DengXian" w:hAnsiTheme="minorHAnsi" w:cstheme="minorBidi"/>
          <w:i/>
          <w:iCs/>
          <w:color w:val="000000" w:themeColor="text1"/>
        </w:rPr>
        <w:t xml:space="preserve">, </w:t>
      </w:r>
      <w:r w:rsidR="000D37DC" w:rsidRPr="00FB7939">
        <w:rPr>
          <w:rFonts w:asciiTheme="minorHAnsi" w:eastAsia="DengXian" w:hAnsiTheme="minorHAnsi" w:cstheme="minorBidi"/>
          <w:b/>
          <w:bCs/>
          <w:i/>
          <w:iCs/>
          <w:color w:val="000000" w:themeColor="text1"/>
        </w:rPr>
        <w:t>e</w:t>
      </w:r>
      <w:r w:rsidR="000D37DC" w:rsidRPr="00FB7939">
        <w:rPr>
          <w:rFonts w:asciiTheme="minorHAnsi" w:eastAsia="DengXian" w:hAnsiTheme="minorHAnsi" w:cstheme="minorBidi"/>
          <w:i/>
          <w:iCs/>
          <w:color w:val="000000" w:themeColor="text1"/>
        </w:rPr>
        <w:t xml:space="preserve">, and </w:t>
      </w:r>
      <w:r w:rsidR="000D37DC" w:rsidRPr="00FB7939">
        <w:rPr>
          <w:rFonts w:asciiTheme="minorHAnsi" w:eastAsia="DengXian" w:hAnsiTheme="minorHAnsi" w:cstheme="minorBidi"/>
          <w:b/>
          <w:bCs/>
          <w:i/>
          <w:iCs/>
          <w:color w:val="000000" w:themeColor="text1"/>
        </w:rPr>
        <w:t>h</w:t>
      </w:r>
      <w:r w:rsidR="000D37DC" w:rsidRPr="00FB7939">
        <w:rPr>
          <w:rFonts w:asciiTheme="minorHAnsi" w:eastAsia="DengXian" w:hAnsiTheme="minorHAnsi" w:cstheme="minorBidi"/>
          <w:i/>
          <w:iCs/>
          <w:color w:val="000000" w:themeColor="text1"/>
        </w:rPr>
        <w:t xml:space="preserve">. </w:t>
      </w:r>
      <w:r w:rsidR="000D37DC">
        <w:rPr>
          <w:rFonts w:asciiTheme="minorHAnsi" w:eastAsia="DengXian" w:hAnsiTheme="minorHAnsi" w:cstheme="minorBidi" w:hint="eastAsia"/>
          <w:i/>
          <w:iCs/>
          <w:color w:val="000000" w:themeColor="text1"/>
        </w:rPr>
        <w:t>The g</w:t>
      </w:r>
      <w:r w:rsidR="000D37DC" w:rsidRPr="00FB7939">
        <w:rPr>
          <w:rFonts w:asciiTheme="minorHAnsi" w:eastAsia="DengXian" w:hAnsiTheme="minorHAnsi" w:cstheme="minorBidi"/>
          <w:i/>
          <w:iCs/>
          <w:color w:val="000000" w:themeColor="text1"/>
        </w:rPr>
        <w:t xml:space="preserve">rey dash lines highlight the phase boundaries identified by FFT peaks. White arrows mark the phase space of SC4. </w:t>
      </w:r>
      <w:r w:rsidR="000D37DC" w:rsidRPr="00FB7939">
        <w:rPr>
          <w:rFonts w:asciiTheme="minorHAnsi" w:eastAsia="DengXian" w:hAnsiTheme="minorHAnsi" w:cstheme="minorBidi"/>
          <w:b/>
          <w:bCs/>
          <w:i/>
          <w:iCs/>
          <w:color w:val="000000" w:themeColor="text1"/>
        </w:rPr>
        <w:t>d</w:t>
      </w:r>
      <w:r w:rsidR="000D37DC" w:rsidRPr="00FB7939">
        <w:rPr>
          <w:rFonts w:asciiTheme="minorHAnsi" w:eastAsia="DengXian" w:hAnsiTheme="minorHAnsi" w:cstheme="minorBidi"/>
          <w:i/>
          <w:iCs/>
          <w:color w:val="000000" w:themeColor="text1"/>
        </w:rPr>
        <w:t xml:space="preserve">, Analysis of the Partly-Isospin-Polarized (PIP) phase. Data are extracted from the right half of </w:t>
      </w:r>
      <w:r w:rsidR="000D37DC" w:rsidRPr="00FB7939">
        <w:rPr>
          <w:rFonts w:asciiTheme="minorHAnsi" w:eastAsia="DengXian" w:hAnsiTheme="minorHAnsi" w:cstheme="minorBidi"/>
          <w:b/>
          <w:bCs/>
          <w:i/>
          <w:iCs/>
          <w:color w:val="000000" w:themeColor="text1"/>
        </w:rPr>
        <w:t>c</w:t>
      </w:r>
      <w:r w:rsidR="000D37DC" w:rsidRPr="00FB7939">
        <w:rPr>
          <w:rFonts w:asciiTheme="minorHAnsi" w:eastAsia="DengXian" w:hAnsiTheme="minorHAnsi" w:cstheme="minorBidi"/>
          <w:i/>
          <w:iCs/>
          <w:color w:val="000000" w:themeColor="text1"/>
        </w:rPr>
        <w:t xml:space="preserve">. Black squares and red dots are extracted peak positions near </w:t>
      </w:r>
      <w:r w:rsidR="000D37DC" w:rsidRPr="00BA72C0">
        <w:rPr>
          <w:rFonts w:asciiTheme="minorHAnsi" w:eastAsia="DengXian" w:hAnsiTheme="minorHAnsi" w:cstheme="minorBidi"/>
          <w:i/>
          <w:iCs/>
          <w:color w:val="000000" w:themeColor="text1"/>
        </w:rPr>
        <w:t>f</w:t>
      </w:r>
      <w:r w:rsidR="000D37DC" w:rsidRPr="00FB7939">
        <w:rPr>
          <w:rFonts w:asciiTheme="minorHAnsi" w:eastAsia="DengXian" w:hAnsiTheme="minorHAnsi" w:cstheme="minorBidi"/>
          <w:i/>
          <w:iCs/>
          <w:color w:val="000000" w:themeColor="text1"/>
        </w:rPr>
        <w:t xml:space="preserve"> = 0 and </w:t>
      </w:r>
      <w:r w:rsidR="000D37DC" w:rsidRPr="00BA72C0">
        <w:rPr>
          <w:rFonts w:asciiTheme="minorHAnsi" w:eastAsia="DengXian" w:hAnsiTheme="minorHAnsi" w:cstheme="minorBidi"/>
          <w:i/>
          <w:iCs/>
          <w:color w:val="000000" w:themeColor="text1"/>
        </w:rPr>
        <w:t>f</w:t>
      </w:r>
      <w:r w:rsidR="000D37DC" w:rsidRPr="00FB7939">
        <w:rPr>
          <w:rFonts w:asciiTheme="minorHAnsi" w:eastAsia="DengXian" w:hAnsiTheme="minorHAnsi" w:cstheme="minorBidi"/>
          <w:i/>
          <w:iCs/>
          <w:color w:val="000000" w:themeColor="text1"/>
        </w:rPr>
        <w:t xml:space="preserve"> = 1/2, while blue, green, and purple lines are calculated by </w:t>
      </w:r>
      <w:r w:rsidR="000D37DC" w:rsidRPr="00BA72C0">
        <w:rPr>
          <w:rFonts w:asciiTheme="minorHAnsi" w:eastAsia="DengXian" w:hAnsiTheme="minorHAnsi" w:cstheme="minorBidi"/>
          <w:i/>
          <w:iCs/>
          <w:color w:val="000000" w:themeColor="text1"/>
        </w:rPr>
        <w:t>f</w:t>
      </w:r>
      <w:r w:rsidR="000D37DC" w:rsidRPr="00BA72C0">
        <w:rPr>
          <w:rFonts w:asciiTheme="minorHAnsi" w:eastAsia="DengXian" w:hAnsiTheme="minorHAnsi" w:cstheme="minorBidi"/>
          <w:i/>
          <w:iCs/>
          <w:color w:val="000000" w:themeColor="text1"/>
          <w:vertAlign w:val="subscript"/>
        </w:rPr>
        <w:t>1</w:t>
      </w:r>
      <w:r w:rsidR="000D37DC" w:rsidRPr="00FB7939">
        <w:rPr>
          <w:rFonts w:asciiTheme="minorHAnsi" w:eastAsia="DengXian" w:hAnsiTheme="minorHAnsi" w:cstheme="minorBidi"/>
          <w:i/>
          <w:iCs/>
          <w:color w:val="000000" w:themeColor="text1"/>
        </w:rPr>
        <w:t xml:space="preserve"> + </w:t>
      </w:r>
      <w:r w:rsidR="000D37DC" w:rsidRPr="00BA72C0">
        <w:rPr>
          <w:rFonts w:asciiTheme="minorHAnsi" w:eastAsia="DengXian" w:hAnsiTheme="minorHAnsi" w:cstheme="minorBidi"/>
          <w:i/>
          <w:iCs/>
          <w:color w:val="000000" w:themeColor="text1"/>
        </w:rPr>
        <w:t>f</w:t>
      </w:r>
      <w:r w:rsidR="000D37DC" w:rsidRPr="00BA72C0">
        <w:rPr>
          <w:rFonts w:asciiTheme="minorHAnsi" w:eastAsia="DengXian" w:hAnsiTheme="minorHAnsi" w:cstheme="minorBidi"/>
          <w:i/>
          <w:iCs/>
          <w:color w:val="000000" w:themeColor="text1"/>
          <w:vertAlign w:val="subscript"/>
        </w:rPr>
        <w:t>2</w:t>
      </w:r>
      <w:r w:rsidR="000D37DC" w:rsidRPr="00BA72C0">
        <w:rPr>
          <w:rFonts w:asciiTheme="minorHAnsi" w:eastAsia="DengXian" w:hAnsiTheme="minorHAnsi" w:cstheme="minorBidi"/>
          <w:i/>
          <w:iCs/>
          <w:color w:val="000000" w:themeColor="text1"/>
        </w:rPr>
        <w:t>,</w:t>
      </w:r>
      <w:r w:rsidR="000D37DC" w:rsidRPr="00FB7939">
        <w:rPr>
          <w:rFonts w:asciiTheme="minorHAnsi" w:eastAsia="DengXian" w:hAnsiTheme="minorHAnsi" w:cstheme="minorBidi"/>
          <w:i/>
          <w:iCs/>
          <w:color w:val="000000" w:themeColor="text1"/>
        </w:rPr>
        <w:t xml:space="preserve"> 2 × </w:t>
      </w:r>
      <w:r w:rsidR="000D37DC" w:rsidRPr="00BA72C0">
        <w:rPr>
          <w:rFonts w:asciiTheme="minorHAnsi" w:eastAsia="DengXian" w:hAnsiTheme="minorHAnsi" w:cstheme="minorBidi"/>
          <w:i/>
          <w:iCs/>
          <w:color w:val="000000" w:themeColor="text1"/>
        </w:rPr>
        <w:t>f</w:t>
      </w:r>
      <w:r w:rsidR="000D37DC" w:rsidRPr="00BA72C0">
        <w:rPr>
          <w:rFonts w:asciiTheme="minorHAnsi" w:eastAsia="DengXian" w:hAnsiTheme="minorHAnsi" w:cstheme="minorBidi"/>
          <w:i/>
          <w:iCs/>
          <w:color w:val="000000" w:themeColor="text1"/>
          <w:vertAlign w:val="subscript"/>
        </w:rPr>
        <w:t>1</w:t>
      </w:r>
      <w:r w:rsidR="000D37DC" w:rsidRPr="00FB7939">
        <w:rPr>
          <w:rFonts w:asciiTheme="minorHAnsi" w:eastAsia="DengXian" w:hAnsiTheme="minorHAnsi" w:cstheme="minorBidi"/>
          <w:i/>
          <w:iCs/>
          <w:color w:val="000000" w:themeColor="text1"/>
        </w:rPr>
        <w:t xml:space="preserve"> + </w:t>
      </w:r>
      <w:r w:rsidR="000D37DC" w:rsidRPr="00BA72C0">
        <w:rPr>
          <w:rFonts w:asciiTheme="minorHAnsi" w:eastAsia="DengXian" w:hAnsiTheme="minorHAnsi" w:cstheme="minorBidi"/>
          <w:i/>
          <w:iCs/>
          <w:color w:val="000000" w:themeColor="text1"/>
        </w:rPr>
        <w:t>f</w:t>
      </w:r>
      <w:r w:rsidR="000D37DC" w:rsidRPr="00BA72C0">
        <w:rPr>
          <w:rFonts w:asciiTheme="minorHAnsi" w:eastAsia="DengXian" w:hAnsiTheme="minorHAnsi" w:cstheme="minorBidi"/>
          <w:i/>
          <w:iCs/>
          <w:color w:val="000000" w:themeColor="text1"/>
          <w:vertAlign w:val="subscript"/>
        </w:rPr>
        <w:t>2</w:t>
      </w:r>
      <w:r w:rsidR="000D37DC" w:rsidRPr="00BA72C0">
        <w:rPr>
          <w:rFonts w:asciiTheme="minorHAnsi" w:eastAsia="DengXian" w:hAnsiTheme="minorHAnsi" w:cstheme="minorBidi"/>
          <w:i/>
          <w:iCs/>
          <w:color w:val="000000" w:themeColor="text1"/>
        </w:rPr>
        <w:t xml:space="preserve">, </w:t>
      </w:r>
      <w:r w:rsidR="000D37DC" w:rsidRPr="00FB7939">
        <w:rPr>
          <w:rFonts w:asciiTheme="minorHAnsi" w:eastAsia="DengXian" w:hAnsiTheme="minorHAnsi" w:cstheme="minorBidi"/>
          <w:i/>
          <w:iCs/>
          <w:color w:val="000000" w:themeColor="text1"/>
        </w:rPr>
        <w:t xml:space="preserve">and 3 × </w:t>
      </w:r>
      <w:r w:rsidR="000D37DC" w:rsidRPr="00BA72C0">
        <w:rPr>
          <w:rFonts w:asciiTheme="minorHAnsi" w:eastAsia="DengXian" w:hAnsiTheme="minorHAnsi" w:cstheme="minorBidi"/>
          <w:i/>
          <w:iCs/>
          <w:color w:val="000000" w:themeColor="text1"/>
        </w:rPr>
        <w:t>f</w:t>
      </w:r>
      <w:r w:rsidR="000D37DC" w:rsidRPr="00BA72C0">
        <w:rPr>
          <w:rFonts w:asciiTheme="minorHAnsi" w:eastAsia="DengXian" w:hAnsiTheme="minorHAnsi" w:cstheme="minorBidi"/>
          <w:i/>
          <w:iCs/>
          <w:color w:val="000000" w:themeColor="text1"/>
          <w:vertAlign w:val="subscript"/>
        </w:rPr>
        <w:t>1</w:t>
      </w:r>
      <w:r w:rsidR="000D37DC" w:rsidRPr="00FB7939">
        <w:rPr>
          <w:rFonts w:asciiTheme="minorHAnsi" w:eastAsia="DengXian" w:hAnsiTheme="minorHAnsi" w:cstheme="minorBidi"/>
          <w:i/>
          <w:iCs/>
          <w:color w:val="000000" w:themeColor="text1"/>
        </w:rPr>
        <w:t xml:space="preserve"> + </w:t>
      </w:r>
      <w:r w:rsidR="000D37DC" w:rsidRPr="00BA72C0">
        <w:rPr>
          <w:rFonts w:asciiTheme="minorHAnsi" w:eastAsia="DengXian" w:hAnsiTheme="minorHAnsi" w:cstheme="minorBidi"/>
          <w:i/>
          <w:iCs/>
          <w:color w:val="000000" w:themeColor="text1"/>
        </w:rPr>
        <w:t>f</w:t>
      </w:r>
      <w:r w:rsidR="000D37DC" w:rsidRPr="00BA72C0">
        <w:rPr>
          <w:rFonts w:asciiTheme="minorHAnsi" w:eastAsia="DengXian" w:hAnsiTheme="minorHAnsi" w:cstheme="minorBidi"/>
          <w:i/>
          <w:iCs/>
          <w:color w:val="000000" w:themeColor="text1"/>
          <w:vertAlign w:val="subscript"/>
        </w:rPr>
        <w:t>2</w:t>
      </w:r>
      <w:r w:rsidR="000D37DC" w:rsidRPr="00BA72C0">
        <w:rPr>
          <w:rFonts w:asciiTheme="minorHAnsi" w:eastAsia="DengXian" w:hAnsiTheme="minorHAnsi" w:cstheme="minorBidi"/>
          <w:i/>
          <w:iCs/>
          <w:color w:val="000000" w:themeColor="text1"/>
        </w:rPr>
        <w:t xml:space="preserve">. </w:t>
      </w:r>
      <w:r w:rsidR="000D37DC" w:rsidRPr="00FB7939">
        <w:rPr>
          <w:rFonts w:asciiTheme="minorHAnsi" w:eastAsia="DengXian" w:hAnsiTheme="minorHAnsi" w:cstheme="minorBidi"/>
          <w:i/>
          <w:iCs/>
          <w:color w:val="000000" w:themeColor="text1"/>
        </w:rPr>
        <w:t>For |</w:t>
      </w:r>
      <w:r w:rsidR="000D37DC" w:rsidRPr="00BA72C0">
        <w:rPr>
          <w:rFonts w:asciiTheme="minorHAnsi" w:eastAsia="DengXian" w:hAnsiTheme="minorHAnsi" w:cstheme="minorBidi"/>
          <w:i/>
          <w:iCs/>
          <w:color w:val="000000" w:themeColor="text1"/>
        </w:rPr>
        <w:t>D</w:t>
      </w:r>
      <w:r w:rsidR="000D37DC" w:rsidRPr="00FB7939">
        <w:rPr>
          <w:rFonts w:asciiTheme="minorHAnsi" w:eastAsia="DengXian" w:hAnsiTheme="minorHAnsi" w:cstheme="minorBidi"/>
          <w:i/>
          <w:iCs/>
          <w:color w:val="000000" w:themeColor="text1"/>
        </w:rPr>
        <w:t xml:space="preserve">| &lt; 0.16 V/nm, blue line coincides with </w:t>
      </w:r>
      <w:r w:rsidR="000D37DC" w:rsidRPr="00BA72C0">
        <w:rPr>
          <w:rFonts w:asciiTheme="minorHAnsi" w:eastAsia="DengXian" w:hAnsiTheme="minorHAnsi" w:cstheme="minorBidi"/>
          <w:i/>
          <w:iCs/>
          <w:color w:val="000000" w:themeColor="text1"/>
        </w:rPr>
        <w:t>f</w:t>
      </w:r>
      <w:r w:rsidR="000D37DC" w:rsidRPr="00FB7939">
        <w:rPr>
          <w:rFonts w:asciiTheme="minorHAnsi" w:eastAsia="DengXian" w:hAnsiTheme="minorHAnsi" w:cstheme="minorBidi"/>
          <w:i/>
          <w:iCs/>
          <w:color w:val="000000" w:themeColor="text1"/>
        </w:rPr>
        <w:t xml:space="preserve"> = 1/2 (the grey dash line), indicating one single Fermi pocket instead of three in the less-populated isospin flavor. </w:t>
      </w:r>
      <w:r w:rsidR="000D37DC" w:rsidRPr="00FB7939">
        <w:rPr>
          <w:rFonts w:asciiTheme="minorHAnsi" w:eastAsia="DengXian" w:hAnsiTheme="minorHAnsi" w:cstheme="minorBidi"/>
          <w:b/>
          <w:bCs/>
          <w:i/>
          <w:iCs/>
          <w:color w:val="000000" w:themeColor="text1"/>
        </w:rPr>
        <w:t>g</w:t>
      </w:r>
      <w:r w:rsidR="000D37DC" w:rsidRPr="00FB7939">
        <w:rPr>
          <w:rFonts w:asciiTheme="minorHAnsi" w:eastAsia="DengXian" w:hAnsiTheme="minorHAnsi" w:cstheme="minorBidi"/>
          <w:i/>
          <w:iCs/>
          <w:color w:val="000000" w:themeColor="text1"/>
        </w:rPr>
        <w:t>, Illustration of expected Fermi surface in the PIP phase, when two of the four isospin flavors have low carrier densities. Due to the trigonal warping term, three small pockets are expected for each less-occupied flavor (upper panel). If we introduce some anisotropy in X-direction, only two or one pockets per flavor are also allowed (lower panel). Our data favors the last scenario, suggesting spontaneous nematicity.</w:t>
      </w:r>
    </w:p>
    <w:p w14:paraId="2EB97D4B" w14:textId="5CD188DF" w:rsidR="009E07DE" w:rsidRPr="009E07DE" w:rsidRDefault="00815FA3" w:rsidP="009B29CD">
      <w:pPr>
        <w:pStyle w:val="NormalWeb"/>
        <w:spacing w:before="0" w:beforeAutospacing="0" w:after="0" w:afterAutospacing="0"/>
        <w:jc w:val="both"/>
        <w:rPr>
          <w:rFonts w:ascii="Calibri" w:eastAsiaTheme="minorEastAsia" w:hAnsi="Calibri" w:cs="Calibri" w:hint="eastAsia"/>
          <w:i/>
          <w:iCs/>
        </w:rPr>
      </w:pPr>
      <w:r>
        <w:rPr>
          <w:noProof/>
        </w:rPr>
        <w:lastRenderedPageBreak/>
        <w:drawing>
          <wp:inline distT="0" distB="0" distL="0" distR="0" wp14:anchorId="0DD8B823" wp14:editId="4257C6D0">
            <wp:extent cx="5943600" cy="1649730"/>
            <wp:effectExtent l="0" t="0" r="0" b="7620"/>
            <wp:docPr id="2126877938" name="Picture 11" descr="A blue and white im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877938" name="Picture 11" descr="A blue and white image&#10;&#10;Description automatically generate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43600" cy="1649730"/>
                    </a:xfrm>
                    <a:prstGeom prst="rect">
                      <a:avLst/>
                    </a:prstGeom>
                    <a:noFill/>
                    <a:ln>
                      <a:noFill/>
                    </a:ln>
                  </pic:spPr>
                </pic:pic>
              </a:graphicData>
            </a:graphic>
          </wp:inline>
        </w:drawing>
      </w:r>
    </w:p>
    <w:p w14:paraId="47A0BB9E" w14:textId="46D7ED12" w:rsidR="009E07DE" w:rsidRDefault="009E07DE" w:rsidP="009E07DE">
      <w:pPr>
        <w:pStyle w:val="NormalWeb"/>
        <w:spacing w:before="0" w:beforeAutospacing="0" w:after="0" w:afterAutospacing="0"/>
        <w:jc w:val="both"/>
        <w:rPr>
          <w:rFonts w:asciiTheme="minorHAnsi" w:eastAsia="DengXian" w:hAnsiTheme="minorHAnsi" w:cstheme="minorBidi"/>
          <w:i/>
          <w:iCs/>
          <w:color w:val="000000" w:themeColor="text1"/>
        </w:rPr>
      </w:pPr>
      <w:r w:rsidRPr="009B29CD">
        <w:rPr>
          <w:rFonts w:ascii="Calibri" w:hAnsi="Calibri" w:cs="Calibri"/>
          <w:b/>
          <w:bCs/>
          <w:i/>
          <w:iCs/>
        </w:rPr>
        <w:t xml:space="preserve">Extended Data Figure </w:t>
      </w:r>
      <w:r>
        <w:rPr>
          <w:rFonts w:ascii="Calibri" w:eastAsiaTheme="minorEastAsia" w:hAnsi="Calibri" w:cs="Calibri" w:hint="eastAsia"/>
          <w:b/>
          <w:bCs/>
          <w:i/>
          <w:iCs/>
        </w:rPr>
        <w:t>7</w:t>
      </w:r>
      <w:r w:rsidRPr="009B29CD">
        <w:rPr>
          <w:rFonts w:ascii="Calibri" w:hAnsi="Calibri" w:cs="Calibri"/>
          <w:b/>
          <w:bCs/>
          <w:i/>
          <w:iCs/>
        </w:rPr>
        <w:t xml:space="preserve">. </w:t>
      </w:r>
      <w:r w:rsidR="00247223" w:rsidRPr="00247223">
        <w:rPr>
          <w:rFonts w:ascii="Calibri" w:hAnsi="Calibri" w:cs="Calibri"/>
          <w:b/>
          <w:bCs/>
          <w:i/>
          <w:iCs/>
        </w:rPr>
        <w:t>More Fermiology Analysis Data.</w:t>
      </w:r>
      <w:r w:rsidR="00AB1A6A">
        <w:rPr>
          <w:rFonts w:ascii="Calibri" w:eastAsiaTheme="minorEastAsia" w:hAnsi="Calibri" w:cs="Calibri" w:hint="eastAsia"/>
          <w:b/>
          <w:bCs/>
          <w:i/>
          <w:iCs/>
        </w:rPr>
        <w:t xml:space="preserve"> </w:t>
      </w:r>
      <w:r w:rsidR="0000101F" w:rsidRPr="00FB7939">
        <w:rPr>
          <w:rFonts w:asciiTheme="minorHAnsi" w:hAnsiTheme="minorHAnsi" w:cstheme="minorHAnsi"/>
          <w:b/>
          <w:bCs/>
          <w:i/>
          <w:iCs/>
        </w:rPr>
        <w:t>a</w:t>
      </w:r>
      <w:r w:rsidR="0000101F" w:rsidRPr="00FB7939">
        <w:rPr>
          <w:rFonts w:asciiTheme="minorHAnsi" w:hAnsiTheme="minorHAnsi" w:cstheme="minorHAnsi"/>
          <w:i/>
          <w:iCs/>
        </w:rPr>
        <w:t xml:space="preserve">, </w:t>
      </w:r>
      <w:proofErr w:type="gramStart"/>
      <w:r w:rsidR="0000101F" w:rsidRPr="00FB7939">
        <w:rPr>
          <w:rFonts w:asciiTheme="minorHAnsi" w:hAnsiTheme="minorHAnsi" w:cstheme="minorHAnsi"/>
          <w:i/>
          <w:iCs/>
        </w:rPr>
        <w:t>The</w:t>
      </w:r>
      <w:proofErr w:type="gramEnd"/>
      <w:r w:rsidR="0000101F" w:rsidRPr="00FB7939">
        <w:rPr>
          <w:rFonts w:asciiTheme="minorHAnsi" w:hAnsiTheme="minorHAnsi" w:cstheme="minorHAnsi"/>
          <w:i/>
          <w:iCs/>
        </w:rPr>
        <w:t xml:space="preserve"> raw quantum oscillation data for Fig. 3e. </w:t>
      </w:r>
      <w:proofErr w:type="spellStart"/>
      <w:r w:rsidR="0000101F" w:rsidRPr="00FB7939">
        <w:rPr>
          <w:rFonts w:asciiTheme="minorHAnsi" w:eastAsia="DengXian" w:hAnsiTheme="minorHAnsi" w:cstheme="minorHAnsi"/>
          <w:b/>
          <w:bCs/>
          <w:i/>
          <w:iCs/>
        </w:rPr>
        <w:t>b</w:t>
      </w:r>
      <w:r w:rsidR="0000101F" w:rsidRPr="00FB7939">
        <w:rPr>
          <w:rFonts w:asciiTheme="minorHAnsi" w:eastAsia="DengXian" w:hAnsiTheme="minorHAnsi" w:cstheme="minorHAnsi"/>
          <w:i/>
          <w:iCs/>
        </w:rPr>
        <w:t>&amp;</w:t>
      </w:r>
      <w:r w:rsidR="0000101F" w:rsidRPr="00FB7939">
        <w:rPr>
          <w:rFonts w:asciiTheme="minorHAnsi" w:eastAsia="DengXian" w:hAnsiTheme="minorHAnsi" w:cstheme="minorHAnsi"/>
          <w:b/>
          <w:bCs/>
          <w:i/>
          <w:iCs/>
        </w:rPr>
        <w:t>c</w:t>
      </w:r>
      <w:proofErr w:type="spellEnd"/>
      <w:r w:rsidR="0000101F" w:rsidRPr="00FB7939">
        <w:rPr>
          <w:rFonts w:asciiTheme="minorHAnsi" w:eastAsia="DengXian" w:hAnsiTheme="minorHAnsi" w:cstheme="minorHAnsi"/>
          <w:i/>
          <w:iCs/>
        </w:rPr>
        <w:t xml:space="preserve">, Full quantum oscillation data and its FFT spectrum, measured in D1 near SC1. Figure 4f corresponds to the left half of </w:t>
      </w:r>
      <w:r w:rsidR="0000101F">
        <w:rPr>
          <w:rFonts w:asciiTheme="minorHAnsi" w:eastAsia="DengXian" w:hAnsiTheme="minorHAnsi" w:cstheme="minorHAnsi" w:hint="eastAsia"/>
          <w:i/>
          <w:iCs/>
        </w:rPr>
        <w:t xml:space="preserve">Extended Data </w:t>
      </w:r>
      <w:r w:rsidR="0000101F" w:rsidRPr="00FB7939">
        <w:rPr>
          <w:rFonts w:asciiTheme="minorHAnsi" w:eastAsia="DengXian" w:hAnsiTheme="minorHAnsi" w:cstheme="minorHAnsi"/>
          <w:i/>
          <w:iCs/>
        </w:rPr>
        <w:t xml:space="preserve">Fig. </w:t>
      </w:r>
      <w:r w:rsidR="0000101F">
        <w:rPr>
          <w:rFonts w:asciiTheme="minorHAnsi" w:eastAsia="DengXian" w:hAnsiTheme="minorHAnsi" w:cstheme="minorHAnsi" w:hint="eastAsia"/>
          <w:i/>
          <w:iCs/>
        </w:rPr>
        <w:t>7</w:t>
      </w:r>
      <w:r w:rsidR="0000101F" w:rsidRPr="00FB7939">
        <w:rPr>
          <w:rFonts w:asciiTheme="minorHAnsi" w:eastAsia="DengXian" w:hAnsiTheme="minorHAnsi" w:cstheme="minorHAnsi"/>
          <w:i/>
          <w:iCs/>
        </w:rPr>
        <w:t>c. From low density to high density, three phases can be resolved by its FFT spectrum: HM, PIP, and FM with annular Fermi surfaces (FS), respectively.</w:t>
      </w:r>
    </w:p>
    <w:p w14:paraId="2BA8696F" w14:textId="340A7789" w:rsidR="009B29CD" w:rsidRPr="009B29CD" w:rsidRDefault="00815FA3" w:rsidP="009B29CD">
      <w:pPr>
        <w:pStyle w:val="NormalWeb"/>
        <w:spacing w:before="0" w:beforeAutospacing="0" w:after="0" w:afterAutospacing="0"/>
        <w:jc w:val="both"/>
        <w:rPr>
          <w:rFonts w:ascii="Calibri" w:hAnsi="Calibri" w:cs="Calibri"/>
          <w:i/>
          <w:iCs/>
        </w:rPr>
      </w:pPr>
      <w:r>
        <w:rPr>
          <w:noProof/>
        </w:rPr>
        <w:drawing>
          <wp:inline distT="0" distB="0" distL="0" distR="0" wp14:anchorId="0D0554CF" wp14:editId="72730A1C">
            <wp:extent cx="5943600" cy="3300095"/>
            <wp:effectExtent l="0" t="0" r="0" b="0"/>
            <wp:docPr id="1178608782" name="Picture 12" descr="A close-up of several graph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8608782" name="Picture 12" descr="A close-up of several graphs&#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43600" cy="3300095"/>
                    </a:xfrm>
                    <a:prstGeom prst="rect">
                      <a:avLst/>
                    </a:prstGeom>
                    <a:noFill/>
                    <a:ln>
                      <a:noFill/>
                    </a:ln>
                  </pic:spPr>
                </pic:pic>
              </a:graphicData>
            </a:graphic>
          </wp:inline>
        </w:drawing>
      </w:r>
    </w:p>
    <w:p w14:paraId="6A0DDCEA" w14:textId="686F716C" w:rsidR="009E07DE" w:rsidRDefault="009E07DE" w:rsidP="0066119E">
      <w:pPr>
        <w:jc w:val="both"/>
        <w:rPr>
          <w:rFonts w:eastAsia="DengXian"/>
          <w:i/>
          <w:iCs/>
          <w:color w:val="000000" w:themeColor="text1"/>
        </w:rPr>
      </w:pPr>
      <w:r w:rsidRPr="009B29CD">
        <w:rPr>
          <w:rFonts w:ascii="Calibri" w:hAnsi="Calibri" w:cs="Calibri"/>
          <w:b/>
          <w:bCs/>
          <w:i/>
          <w:iCs/>
        </w:rPr>
        <w:t xml:space="preserve">Extended Data Figure </w:t>
      </w:r>
      <w:r>
        <w:rPr>
          <w:rFonts w:ascii="Calibri" w:hAnsi="Calibri" w:cs="Calibri" w:hint="eastAsia"/>
          <w:b/>
          <w:bCs/>
          <w:i/>
          <w:iCs/>
        </w:rPr>
        <w:t>8</w:t>
      </w:r>
      <w:r w:rsidRPr="009B29CD">
        <w:rPr>
          <w:rFonts w:ascii="Calibri" w:hAnsi="Calibri" w:cs="Calibri"/>
          <w:b/>
          <w:bCs/>
          <w:i/>
          <w:iCs/>
        </w:rPr>
        <w:t xml:space="preserve">. </w:t>
      </w:r>
      <w:r w:rsidR="007260EF" w:rsidRPr="007260EF">
        <w:rPr>
          <w:rFonts w:eastAsia="DengXian"/>
          <w:b/>
          <w:bCs/>
          <w:i/>
          <w:iCs/>
          <w:color w:val="000000" w:themeColor="text1"/>
        </w:rPr>
        <w:t>Full Phase Diagram near SC1 in D1 and D3 when carriers are close to TMD.</w:t>
      </w:r>
      <w:r w:rsidRPr="009B29CD">
        <w:rPr>
          <w:rFonts w:ascii="Calibri" w:hAnsi="Calibri" w:cs="Calibri"/>
          <w:b/>
          <w:bCs/>
          <w:i/>
          <w:iCs/>
        </w:rPr>
        <w:t xml:space="preserve">  </w:t>
      </w:r>
      <w:proofErr w:type="spellStart"/>
      <w:r w:rsidR="008E3EC8" w:rsidRPr="00FB7939">
        <w:rPr>
          <w:rFonts w:eastAsia="DengXian"/>
          <w:b/>
          <w:bCs/>
          <w:i/>
          <w:iCs/>
          <w:color w:val="000000" w:themeColor="text1"/>
        </w:rPr>
        <w:t>a</w:t>
      </w:r>
      <w:r w:rsidR="008E3EC8" w:rsidRPr="00FB7939">
        <w:rPr>
          <w:rFonts w:eastAsia="DengXian"/>
          <w:i/>
          <w:iCs/>
          <w:color w:val="000000" w:themeColor="text1"/>
        </w:rPr>
        <w:t>&amp;</w:t>
      </w:r>
      <w:r w:rsidR="008E3EC8" w:rsidRPr="00FB7939">
        <w:rPr>
          <w:rFonts w:eastAsia="DengXian"/>
          <w:b/>
          <w:bCs/>
          <w:i/>
          <w:iCs/>
          <w:color w:val="000000" w:themeColor="text1"/>
        </w:rPr>
        <w:t>b</w:t>
      </w:r>
      <w:proofErr w:type="spellEnd"/>
      <w:r w:rsidR="008E3EC8" w:rsidRPr="00FB7939">
        <w:rPr>
          <w:rFonts w:eastAsia="DengXian"/>
          <w:i/>
          <w:iCs/>
          <w:color w:val="000000" w:themeColor="text1"/>
        </w:rPr>
        <w:t xml:space="preserve">, Four-terminal resistance </w:t>
      </w:r>
      <w:r w:rsidR="008E3EC8" w:rsidRPr="00BA72C0">
        <w:rPr>
          <w:rFonts w:eastAsia="DengXian"/>
          <w:i/>
          <w:iCs/>
          <w:color w:val="000000" w:themeColor="text1"/>
        </w:rPr>
        <w:t>R</w:t>
      </w:r>
      <w:r w:rsidR="008E3EC8" w:rsidRPr="00BA72C0">
        <w:rPr>
          <w:rFonts w:eastAsia="DengXian"/>
          <w:i/>
          <w:iCs/>
          <w:color w:val="000000" w:themeColor="text1"/>
          <w:vertAlign w:val="subscript"/>
        </w:rPr>
        <w:t>xx</w:t>
      </w:r>
      <w:r w:rsidR="008E3EC8" w:rsidRPr="00BA72C0">
        <w:rPr>
          <w:rFonts w:eastAsia="DengXian"/>
          <w:i/>
          <w:iCs/>
          <w:color w:val="000000" w:themeColor="text1"/>
        </w:rPr>
        <w:t xml:space="preserve"> </w:t>
      </w:r>
      <w:r w:rsidR="008E3EC8" w:rsidRPr="00FB7939">
        <w:rPr>
          <w:rFonts w:eastAsia="DengXian"/>
          <w:i/>
          <w:iCs/>
          <w:color w:val="000000" w:themeColor="text1"/>
        </w:rPr>
        <w:t xml:space="preserve">of D1 and D2 in the </w:t>
      </w:r>
      <w:r w:rsidR="008E3EC8" w:rsidRPr="00BA72C0">
        <w:rPr>
          <w:rFonts w:eastAsia="DengXian"/>
          <w:i/>
          <w:iCs/>
          <w:color w:val="000000" w:themeColor="text1"/>
        </w:rPr>
        <w:t>D</w:t>
      </w:r>
      <w:r w:rsidR="008E3EC8" w:rsidRPr="00FB7939">
        <w:rPr>
          <w:rFonts w:eastAsia="DengXian"/>
          <w:i/>
          <w:iCs/>
          <w:color w:val="000000" w:themeColor="text1"/>
        </w:rPr>
        <w:t xml:space="preserve">&gt;0, electron-doped side. Yellow dash lines highlight the three-quarter-metal phase (TQM). </w:t>
      </w:r>
      <w:r w:rsidR="008E3EC8" w:rsidRPr="00FB7939">
        <w:rPr>
          <w:rFonts w:eastAsia="DengXian"/>
          <w:b/>
          <w:bCs/>
          <w:i/>
          <w:iCs/>
          <w:color w:val="000000" w:themeColor="text1"/>
        </w:rPr>
        <w:t>c</w:t>
      </w:r>
      <w:r w:rsidR="008E3EC8" w:rsidRPr="00FB7939">
        <w:rPr>
          <w:rFonts w:eastAsia="DengXian"/>
          <w:i/>
          <w:iCs/>
          <w:color w:val="000000" w:themeColor="text1"/>
        </w:rPr>
        <w:t xml:space="preserve">, Fourier transform of </w:t>
      </w:r>
      <w:r w:rsidR="008E3EC8" w:rsidRPr="00BA72C0">
        <w:rPr>
          <w:rFonts w:eastAsia="DengXian"/>
          <w:i/>
          <w:iCs/>
          <w:color w:val="000000" w:themeColor="text1"/>
        </w:rPr>
        <w:t>R</w:t>
      </w:r>
      <w:r w:rsidR="008E3EC8" w:rsidRPr="00BA72C0">
        <w:rPr>
          <w:rFonts w:eastAsia="DengXian"/>
          <w:i/>
          <w:iCs/>
          <w:color w:val="000000" w:themeColor="text1"/>
          <w:vertAlign w:val="subscript"/>
        </w:rPr>
        <w:t>xx</w:t>
      </w:r>
      <w:r w:rsidR="008E3EC8" w:rsidRPr="00FB7939">
        <w:rPr>
          <w:rFonts w:eastAsia="DengXian"/>
          <w:i/>
          <w:iCs/>
          <w:color w:val="000000" w:themeColor="text1"/>
        </w:rPr>
        <w:t>(1/</w:t>
      </w:r>
      <w:r w:rsidR="008E3EC8" w:rsidRPr="00BA72C0">
        <w:rPr>
          <w:rFonts w:eastAsia="DengXian"/>
          <w:i/>
          <w:iCs/>
          <w:color w:val="000000" w:themeColor="text1"/>
        </w:rPr>
        <w:t>B</w:t>
      </w:r>
      <w:r w:rsidR="008E3EC8" w:rsidRPr="00FB7939">
        <w:rPr>
          <w:rFonts w:ascii="Cambria Math" w:eastAsia="DengXian" w:hAnsi="Cambria Math" w:cs="Cambria Math" w:hint="eastAsia"/>
          <w:i/>
          <w:iCs/>
          <w:color w:val="000000" w:themeColor="text1"/>
          <w:vertAlign w:val="subscript"/>
        </w:rPr>
        <w:t>⊥</w:t>
      </w:r>
      <w:r w:rsidR="008E3EC8" w:rsidRPr="00FB7939">
        <w:rPr>
          <w:rFonts w:eastAsia="DengXian"/>
          <w:i/>
          <w:iCs/>
          <w:color w:val="000000" w:themeColor="text1"/>
        </w:rPr>
        <w:t xml:space="preserve">) up to </w:t>
      </w:r>
      <w:r w:rsidR="008E3EC8" w:rsidRPr="00BA72C0">
        <w:rPr>
          <w:rFonts w:eastAsia="DengXian"/>
          <w:i/>
          <w:iCs/>
          <w:color w:val="000000" w:themeColor="text1"/>
        </w:rPr>
        <w:t>B</w:t>
      </w:r>
      <w:r w:rsidR="008E3EC8" w:rsidRPr="00FB7939">
        <w:rPr>
          <w:rFonts w:ascii="Cambria Math" w:eastAsia="DengXian" w:hAnsi="Cambria Math" w:cs="Cambria Math" w:hint="eastAsia"/>
          <w:i/>
          <w:iCs/>
          <w:color w:val="000000" w:themeColor="text1"/>
          <w:vertAlign w:val="subscript"/>
        </w:rPr>
        <w:t>⊥</w:t>
      </w:r>
      <w:r w:rsidR="008E3EC8" w:rsidRPr="00FB7939">
        <w:rPr>
          <w:rFonts w:eastAsia="DengXian"/>
          <w:i/>
          <w:iCs/>
          <w:color w:val="000000" w:themeColor="text1"/>
        </w:rPr>
        <w:t xml:space="preserve"> = 1 T in D2, measured at the black dash line in </w:t>
      </w:r>
      <w:r w:rsidR="008E3EC8" w:rsidRPr="00FB7939">
        <w:rPr>
          <w:rFonts w:eastAsia="DengXian"/>
          <w:b/>
          <w:bCs/>
          <w:i/>
          <w:iCs/>
          <w:color w:val="000000" w:themeColor="text1"/>
        </w:rPr>
        <w:t>b</w:t>
      </w:r>
      <w:r w:rsidR="008E3EC8" w:rsidRPr="00FB7939">
        <w:rPr>
          <w:rFonts w:eastAsia="DengXian"/>
          <w:i/>
          <w:iCs/>
          <w:color w:val="000000" w:themeColor="text1"/>
        </w:rPr>
        <w:t xml:space="preserve">. The red dash line corresponds to </w:t>
      </w:r>
      <w:proofErr w:type="spellStart"/>
      <w:r w:rsidR="008E3EC8" w:rsidRPr="00BA72C0">
        <w:rPr>
          <w:rFonts w:eastAsia="DengXian"/>
          <w:i/>
          <w:iCs/>
          <w:color w:val="000000" w:themeColor="text1"/>
        </w:rPr>
        <w:t>f</w:t>
      </w:r>
      <w:r w:rsidR="008E3EC8" w:rsidRPr="00BA72C0">
        <w:rPr>
          <w:rFonts w:eastAsia="DengXian"/>
          <w:i/>
          <w:iCs/>
          <w:color w:val="000000" w:themeColor="text1"/>
          <w:vertAlign w:val="subscript"/>
        </w:rPr>
        <w:t>ν</w:t>
      </w:r>
      <w:proofErr w:type="spellEnd"/>
      <w:r w:rsidR="008E3EC8" w:rsidRPr="00FB7939">
        <w:rPr>
          <w:rFonts w:eastAsia="DengXian"/>
          <w:i/>
          <w:iCs/>
          <w:color w:val="000000" w:themeColor="text1"/>
          <w:lang w:val="el-GR"/>
        </w:rPr>
        <w:t xml:space="preserve"> =1/3</w:t>
      </w:r>
      <w:r w:rsidR="008E3EC8" w:rsidRPr="00FB7939">
        <w:rPr>
          <w:rFonts w:eastAsia="DengXian"/>
          <w:i/>
          <w:iCs/>
          <w:color w:val="000000" w:themeColor="text1"/>
        </w:rPr>
        <w:t>,</w:t>
      </w:r>
      <w:r w:rsidR="008E3EC8" w:rsidRPr="008E3EC8">
        <w:rPr>
          <w:rFonts w:eastAsia="DengXian"/>
          <w:i/>
          <w:iCs/>
          <w:color w:val="000000" w:themeColor="text1"/>
        </w:rPr>
        <w:t xml:space="preserve"> </w:t>
      </w:r>
      <w:r w:rsidR="008E3EC8" w:rsidRPr="00FB7939">
        <w:rPr>
          <w:rFonts w:eastAsia="DengXian"/>
          <w:i/>
          <w:iCs/>
          <w:color w:val="000000" w:themeColor="text1"/>
        </w:rPr>
        <w:t xml:space="preserve">and the white-shaded box highlights the TQM phase. The grey dash line highlights the phase boundary of the half-metal (HM) phase, and the white arrow outlines the range of </w:t>
      </w:r>
      <w:r w:rsidR="008E3EC8" w:rsidRPr="00BA72C0">
        <w:rPr>
          <w:rFonts w:eastAsia="DengXian"/>
          <w:i/>
          <w:iCs/>
          <w:color w:val="000000" w:themeColor="text1"/>
        </w:rPr>
        <w:t>n</w:t>
      </w:r>
      <w:r w:rsidR="008E3EC8" w:rsidRPr="00FB7939">
        <w:rPr>
          <w:rFonts w:eastAsia="DengXian"/>
          <w:i/>
          <w:iCs/>
          <w:color w:val="000000" w:themeColor="text1"/>
        </w:rPr>
        <w:t xml:space="preserve"> corresponding SC3, which is again next to the boundary of HM phase. </w:t>
      </w:r>
      <w:proofErr w:type="spellStart"/>
      <w:r w:rsidR="008E3EC8" w:rsidRPr="00FB7939">
        <w:rPr>
          <w:rFonts w:eastAsia="DengXian"/>
          <w:b/>
          <w:bCs/>
          <w:i/>
          <w:iCs/>
          <w:color w:val="000000" w:themeColor="text1"/>
        </w:rPr>
        <w:t>d</w:t>
      </w:r>
      <w:r w:rsidR="008E3EC8" w:rsidRPr="00FB7939">
        <w:rPr>
          <w:rFonts w:eastAsia="DengXian"/>
          <w:i/>
          <w:iCs/>
          <w:color w:val="000000" w:themeColor="text1"/>
        </w:rPr>
        <w:t>&amp;</w:t>
      </w:r>
      <w:r w:rsidR="008E3EC8" w:rsidRPr="00FB7939">
        <w:rPr>
          <w:rFonts w:eastAsia="DengXian"/>
          <w:b/>
          <w:bCs/>
          <w:i/>
          <w:iCs/>
          <w:color w:val="000000" w:themeColor="text1"/>
        </w:rPr>
        <w:t>e</w:t>
      </w:r>
      <w:proofErr w:type="spellEnd"/>
      <w:r w:rsidR="008E3EC8" w:rsidRPr="00FB7939">
        <w:rPr>
          <w:rFonts w:eastAsia="DengXian"/>
          <w:i/>
          <w:iCs/>
          <w:color w:val="000000" w:themeColor="text1"/>
        </w:rPr>
        <w:t xml:space="preserve">, Hysteresis loop of Hall resistance </w:t>
      </w:r>
      <w:proofErr w:type="spellStart"/>
      <w:r w:rsidR="008E3EC8" w:rsidRPr="00BA72C0">
        <w:rPr>
          <w:rFonts w:eastAsia="DengXian"/>
          <w:i/>
          <w:iCs/>
          <w:color w:val="000000" w:themeColor="text1"/>
        </w:rPr>
        <w:t>R</w:t>
      </w:r>
      <w:r w:rsidR="008E3EC8" w:rsidRPr="00BA72C0">
        <w:rPr>
          <w:rFonts w:eastAsia="DengXian"/>
          <w:i/>
          <w:iCs/>
          <w:color w:val="000000" w:themeColor="text1"/>
          <w:vertAlign w:val="subscript"/>
        </w:rPr>
        <w:t>xy</w:t>
      </w:r>
      <w:proofErr w:type="spellEnd"/>
      <w:r w:rsidR="008E3EC8" w:rsidRPr="00FB7939">
        <w:rPr>
          <w:rFonts w:eastAsia="DengXian"/>
          <w:i/>
          <w:iCs/>
          <w:color w:val="000000" w:themeColor="text1"/>
        </w:rPr>
        <w:t xml:space="preserve"> measured at the quarter-metal (QM) phase on the electron side (</w:t>
      </w:r>
      <w:r w:rsidR="008E3EC8" w:rsidRPr="00FB7939">
        <w:rPr>
          <w:rFonts w:eastAsia="DengXian"/>
          <w:b/>
          <w:bCs/>
          <w:i/>
          <w:iCs/>
          <w:color w:val="000000" w:themeColor="text1"/>
        </w:rPr>
        <w:t>d</w:t>
      </w:r>
      <w:r w:rsidR="008E3EC8" w:rsidRPr="00FB7939">
        <w:rPr>
          <w:rFonts w:eastAsia="DengXian"/>
          <w:i/>
          <w:iCs/>
          <w:color w:val="000000" w:themeColor="text1"/>
        </w:rPr>
        <w:t xml:space="preserve">) at the grey triangle in </w:t>
      </w:r>
      <w:r w:rsidR="008E3EC8" w:rsidRPr="00FB7939">
        <w:rPr>
          <w:rFonts w:eastAsia="DengXian"/>
          <w:b/>
          <w:bCs/>
          <w:i/>
          <w:iCs/>
          <w:color w:val="000000" w:themeColor="text1"/>
        </w:rPr>
        <w:t>a</w:t>
      </w:r>
      <w:r w:rsidR="008E3EC8" w:rsidRPr="00FB7939">
        <w:rPr>
          <w:rFonts w:eastAsia="DengXian"/>
          <w:i/>
          <w:iCs/>
          <w:color w:val="000000" w:themeColor="text1"/>
        </w:rPr>
        <w:t>, and on the hole side (</w:t>
      </w:r>
      <w:r w:rsidR="008E3EC8" w:rsidRPr="00FB7939">
        <w:rPr>
          <w:rFonts w:eastAsia="DengXian"/>
          <w:b/>
          <w:bCs/>
          <w:i/>
          <w:iCs/>
          <w:color w:val="000000" w:themeColor="text1"/>
        </w:rPr>
        <w:t>e</w:t>
      </w:r>
      <w:r w:rsidR="008E3EC8" w:rsidRPr="00FB7939">
        <w:rPr>
          <w:rFonts w:eastAsia="DengXian"/>
          <w:i/>
          <w:iCs/>
          <w:color w:val="000000" w:themeColor="text1"/>
        </w:rPr>
        <w:t xml:space="preserve">). Data are anti-symmetrized with positive and negative magnetic field (also for </w:t>
      </w:r>
      <w:r w:rsidR="008E3EC8" w:rsidRPr="00FB7939">
        <w:rPr>
          <w:rFonts w:eastAsia="DengXian"/>
          <w:b/>
          <w:bCs/>
          <w:i/>
          <w:iCs/>
          <w:color w:val="000000" w:themeColor="text1"/>
        </w:rPr>
        <w:t>f</w:t>
      </w:r>
      <w:r w:rsidR="008E3EC8" w:rsidRPr="00FB7939">
        <w:rPr>
          <w:rFonts w:eastAsia="DengXian"/>
          <w:i/>
          <w:iCs/>
          <w:color w:val="000000" w:themeColor="text1"/>
        </w:rPr>
        <w:t xml:space="preserve">). The anomalous Hall signal and the hysteresis effect are the signatures of valley polarization. </w:t>
      </w:r>
      <w:r w:rsidR="008E3EC8" w:rsidRPr="00FB7939">
        <w:rPr>
          <w:rFonts w:eastAsia="DengXian"/>
          <w:b/>
          <w:bCs/>
          <w:i/>
          <w:iCs/>
          <w:color w:val="000000" w:themeColor="text1"/>
        </w:rPr>
        <w:t>f</w:t>
      </w:r>
      <w:r w:rsidR="008E3EC8" w:rsidRPr="00FB7939">
        <w:rPr>
          <w:rFonts w:eastAsia="DengXian"/>
          <w:i/>
          <w:iCs/>
          <w:color w:val="000000" w:themeColor="text1"/>
        </w:rPr>
        <w:t xml:space="preserve">, Hall </w:t>
      </w:r>
      <w:r w:rsidR="008E3EC8" w:rsidRPr="00FB7939">
        <w:rPr>
          <w:rFonts w:eastAsia="DengXian"/>
          <w:i/>
          <w:iCs/>
          <w:color w:val="000000" w:themeColor="text1"/>
        </w:rPr>
        <w:lastRenderedPageBreak/>
        <w:t xml:space="preserve">resistance </w:t>
      </w:r>
      <w:proofErr w:type="spellStart"/>
      <w:r w:rsidR="008E3EC8" w:rsidRPr="00BA72C0">
        <w:rPr>
          <w:rFonts w:eastAsia="DengXian"/>
          <w:i/>
          <w:iCs/>
          <w:color w:val="000000" w:themeColor="text1"/>
        </w:rPr>
        <w:t>R</w:t>
      </w:r>
      <w:r w:rsidR="008E3EC8" w:rsidRPr="00BA72C0">
        <w:rPr>
          <w:rFonts w:eastAsia="DengXian"/>
          <w:i/>
          <w:iCs/>
          <w:color w:val="000000" w:themeColor="text1"/>
          <w:vertAlign w:val="subscript"/>
        </w:rPr>
        <w:t>xy</w:t>
      </w:r>
      <w:proofErr w:type="spellEnd"/>
      <w:r w:rsidR="008E3EC8" w:rsidRPr="00BA72C0">
        <w:rPr>
          <w:rFonts w:eastAsia="DengXian"/>
          <w:i/>
          <w:iCs/>
          <w:color w:val="000000" w:themeColor="text1"/>
        </w:rPr>
        <w:t xml:space="preserve"> </w:t>
      </w:r>
      <w:r w:rsidR="008E3EC8" w:rsidRPr="00FB7939">
        <w:rPr>
          <w:rFonts w:eastAsia="DengXian"/>
          <w:i/>
          <w:iCs/>
          <w:color w:val="000000" w:themeColor="text1"/>
        </w:rPr>
        <w:t xml:space="preserve">measured at full-metal (FM) phase and TQM phase, at the blue and red dot marker position in </w:t>
      </w:r>
      <w:r w:rsidR="008E3EC8" w:rsidRPr="00FB7939">
        <w:rPr>
          <w:rFonts w:eastAsia="DengXian"/>
          <w:b/>
          <w:bCs/>
          <w:i/>
          <w:iCs/>
          <w:color w:val="000000" w:themeColor="text1"/>
        </w:rPr>
        <w:t>a</w:t>
      </w:r>
      <w:r w:rsidR="008E3EC8" w:rsidRPr="00FB7939">
        <w:rPr>
          <w:rFonts w:eastAsia="DengXian"/>
          <w:i/>
          <w:iCs/>
          <w:color w:val="000000" w:themeColor="text1"/>
        </w:rPr>
        <w:t>. Anomalous Hall effect is observed in the TQM phase but not in the FM phase, indicating a net valley polarization in the TQM phase.</w:t>
      </w:r>
    </w:p>
    <w:p w14:paraId="04B3AADD" w14:textId="33863A11" w:rsidR="00815FA3" w:rsidRDefault="00815FA3" w:rsidP="00815FA3">
      <w:pPr>
        <w:pStyle w:val="NormalWeb"/>
        <w:spacing w:before="0" w:beforeAutospacing="0" w:after="0" w:afterAutospacing="0"/>
        <w:jc w:val="center"/>
        <w:rPr>
          <w:rFonts w:ascii="Calibri" w:eastAsiaTheme="minorEastAsia" w:hAnsi="Calibri" w:cs="Calibri"/>
          <w:b/>
          <w:bCs/>
          <w:i/>
          <w:iCs/>
        </w:rPr>
      </w:pPr>
      <w:r>
        <w:rPr>
          <w:noProof/>
        </w:rPr>
        <w:drawing>
          <wp:inline distT="0" distB="0" distL="0" distR="0" wp14:anchorId="49618A6D" wp14:editId="1832DDC8">
            <wp:extent cx="4319905" cy="1799590"/>
            <wp:effectExtent l="0" t="0" r="4445" b="0"/>
            <wp:docPr id="314939765" name="Picture 13" descr="A close-up of a blue and red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939765" name="Picture 13" descr="A close-up of a blue and red graph&#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319905" cy="1799590"/>
                    </a:xfrm>
                    <a:prstGeom prst="rect">
                      <a:avLst/>
                    </a:prstGeom>
                    <a:noFill/>
                    <a:ln>
                      <a:noFill/>
                    </a:ln>
                  </pic:spPr>
                </pic:pic>
              </a:graphicData>
            </a:graphic>
          </wp:inline>
        </w:drawing>
      </w:r>
    </w:p>
    <w:p w14:paraId="323825A5" w14:textId="7AA0C508" w:rsidR="009E07DE" w:rsidRDefault="009E07DE" w:rsidP="009E07DE">
      <w:pPr>
        <w:pStyle w:val="NormalWeb"/>
        <w:spacing w:before="0" w:beforeAutospacing="0" w:after="0" w:afterAutospacing="0"/>
        <w:jc w:val="both"/>
        <w:rPr>
          <w:rFonts w:asciiTheme="minorHAnsi" w:eastAsia="DengXian" w:hAnsiTheme="minorHAnsi" w:cstheme="minorBidi"/>
          <w:i/>
          <w:iCs/>
          <w:color w:val="000000" w:themeColor="text1"/>
        </w:rPr>
      </w:pPr>
      <w:r w:rsidRPr="009B29CD">
        <w:rPr>
          <w:rFonts w:ascii="Calibri" w:hAnsi="Calibri" w:cs="Calibri"/>
          <w:b/>
          <w:bCs/>
          <w:i/>
          <w:iCs/>
        </w:rPr>
        <w:t xml:space="preserve">Extended Data Figure </w:t>
      </w:r>
      <w:r>
        <w:rPr>
          <w:rFonts w:ascii="Calibri" w:eastAsiaTheme="minorEastAsia" w:hAnsi="Calibri" w:cs="Calibri" w:hint="eastAsia"/>
          <w:b/>
          <w:bCs/>
          <w:i/>
          <w:iCs/>
        </w:rPr>
        <w:t>9</w:t>
      </w:r>
      <w:r w:rsidRPr="009B29CD">
        <w:rPr>
          <w:rFonts w:ascii="Calibri" w:hAnsi="Calibri" w:cs="Calibri"/>
          <w:b/>
          <w:bCs/>
          <w:i/>
          <w:iCs/>
        </w:rPr>
        <w:t xml:space="preserve">. </w:t>
      </w:r>
      <w:r w:rsidRPr="008B10BF">
        <w:rPr>
          <w:rFonts w:ascii="Calibri" w:hAnsi="Calibri" w:cs="Calibri"/>
          <w:b/>
          <w:bCs/>
          <w:i/>
          <w:iCs/>
        </w:rPr>
        <w:t>Temperature Dependence of SC states in the single-side-TMD device D3.</w:t>
      </w:r>
      <w:r w:rsidRPr="009B29CD">
        <w:rPr>
          <w:rFonts w:ascii="Calibri" w:hAnsi="Calibri" w:cs="Calibri"/>
          <w:b/>
          <w:bCs/>
          <w:i/>
          <w:iCs/>
        </w:rPr>
        <w:t xml:space="preserve">  </w:t>
      </w:r>
      <w:r w:rsidR="0067297D" w:rsidRPr="00FB7939">
        <w:rPr>
          <w:rFonts w:asciiTheme="minorHAnsi" w:hAnsiTheme="minorHAnsi" w:cstheme="minorHAnsi"/>
          <w:i/>
          <w:iCs/>
        </w:rPr>
        <w:t xml:space="preserve">Longitudinal resistance </w:t>
      </w:r>
      <w:r w:rsidR="0067297D" w:rsidRPr="00BA72C0">
        <w:rPr>
          <w:rFonts w:asciiTheme="minorHAnsi" w:hAnsiTheme="minorHAnsi" w:cstheme="minorHAnsi"/>
          <w:i/>
          <w:iCs/>
        </w:rPr>
        <w:t>R</w:t>
      </w:r>
      <w:r w:rsidR="0067297D" w:rsidRPr="00BA72C0">
        <w:rPr>
          <w:rFonts w:asciiTheme="minorHAnsi" w:hAnsiTheme="minorHAnsi" w:cstheme="minorHAnsi"/>
          <w:i/>
          <w:iCs/>
          <w:vertAlign w:val="subscript"/>
        </w:rPr>
        <w:t>xx</w:t>
      </w:r>
      <w:r w:rsidR="0067297D" w:rsidRPr="00FB7939">
        <w:rPr>
          <w:rFonts w:asciiTheme="minorHAnsi" w:hAnsiTheme="minorHAnsi" w:cstheme="minorHAnsi"/>
          <w:i/>
          <w:iCs/>
        </w:rPr>
        <w:t xml:space="preserve"> as a function of </w:t>
      </w:r>
      <w:r w:rsidR="0067297D" w:rsidRPr="00BA72C0">
        <w:rPr>
          <w:rFonts w:asciiTheme="minorHAnsi" w:hAnsiTheme="minorHAnsi" w:cstheme="minorHAnsi"/>
          <w:i/>
          <w:iCs/>
        </w:rPr>
        <w:t>n</w:t>
      </w:r>
      <w:r w:rsidR="0067297D" w:rsidRPr="00FB7939">
        <w:rPr>
          <w:rFonts w:asciiTheme="minorHAnsi" w:hAnsiTheme="minorHAnsi" w:cstheme="minorHAnsi"/>
          <w:i/>
          <w:iCs/>
        </w:rPr>
        <w:t xml:space="preserve"> &amp; </w:t>
      </w:r>
      <w:r w:rsidR="0067297D" w:rsidRPr="00BA72C0">
        <w:rPr>
          <w:rFonts w:asciiTheme="minorHAnsi" w:hAnsiTheme="minorHAnsi" w:cstheme="minorHAnsi"/>
          <w:i/>
          <w:iCs/>
        </w:rPr>
        <w:t>D</w:t>
      </w:r>
      <w:r w:rsidR="0067297D" w:rsidRPr="00FB7939">
        <w:rPr>
          <w:rFonts w:asciiTheme="minorHAnsi" w:hAnsiTheme="minorHAnsi" w:cstheme="minorHAnsi"/>
          <w:i/>
          <w:iCs/>
        </w:rPr>
        <w:t xml:space="preserve">, measured at </w:t>
      </w:r>
      <w:r w:rsidR="0067297D" w:rsidRPr="00BA72C0">
        <w:rPr>
          <w:rFonts w:asciiTheme="minorHAnsi" w:hAnsiTheme="minorHAnsi" w:cstheme="minorHAnsi" w:hint="eastAsia"/>
          <w:i/>
          <w:iCs/>
        </w:rPr>
        <w:t>B</w:t>
      </w:r>
      <w:r w:rsidR="0067297D" w:rsidRPr="00FB7939">
        <w:rPr>
          <w:rFonts w:asciiTheme="minorHAnsi" w:hAnsiTheme="minorHAnsi" w:cstheme="minorHAnsi"/>
          <w:i/>
          <w:iCs/>
        </w:rPr>
        <w:t>=0 T in (</w:t>
      </w:r>
      <w:r w:rsidR="0067297D" w:rsidRPr="00FB7939">
        <w:rPr>
          <w:rFonts w:asciiTheme="minorHAnsi" w:hAnsiTheme="minorHAnsi" w:cstheme="minorHAnsi"/>
          <w:b/>
          <w:bCs/>
          <w:i/>
          <w:iCs/>
        </w:rPr>
        <w:t>a</w:t>
      </w:r>
      <w:r w:rsidR="0067297D" w:rsidRPr="00FB7939">
        <w:rPr>
          <w:rFonts w:asciiTheme="minorHAnsi" w:hAnsiTheme="minorHAnsi" w:cstheme="minorHAnsi"/>
          <w:i/>
          <w:iCs/>
        </w:rPr>
        <w:t xml:space="preserve">) D1, </w:t>
      </w:r>
      <w:r w:rsidR="0067297D" w:rsidRPr="00BA72C0">
        <w:rPr>
          <w:rFonts w:asciiTheme="minorHAnsi" w:hAnsiTheme="minorHAnsi" w:cstheme="minorHAnsi"/>
          <w:i/>
          <w:iCs/>
        </w:rPr>
        <w:t>D</w:t>
      </w:r>
      <w:r w:rsidR="0067297D" w:rsidRPr="00FB7939">
        <w:rPr>
          <w:rFonts w:asciiTheme="minorHAnsi" w:hAnsiTheme="minorHAnsi" w:cstheme="minorHAnsi"/>
          <w:i/>
          <w:iCs/>
        </w:rPr>
        <w:t>&lt;0 and (</w:t>
      </w:r>
      <w:r w:rsidR="0067297D" w:rsidRPr="00FB7939">
        <w:rPr>
          <w:rFonts w:asciiTheme="minorHAnsi" w:hAnsiTheme="minorHAnsi" w:cstheme="minorHAnsi"/>
          <w:b/>
          <w:bCs/>
          <w:i/>
          <w:iCs/>
        </w:rPr>
        <w:t>b</w:t>
      </w:r>
      <w:r w:rsidR="0067297D" w:rsidRPr="00FB7939">
        <w:rPr>
          <w:rFonts w:asciiTheme="minorHAnsi" w:hAnsiTheme="minorHAnsi" w:cstheme="minorHAnsi"/>
          <w:i/>
          <w:iCs/>
        </w:rPr>
        <w:t xml:space="preserve">) D3, </w:t>
      </w:r>
      <w:r w:rsidR="0067297D" w:rsidRPr="00BA72C0">
        <w:rPr>
          <w:rFonts w:asciiTheme="minorHAnsi" w:hAnsiTheme="minorHAnsi" w:cstheme="minorHAnsi"/>
          <w:i/>
          <w:iCs/>
        </w:rPr>
        <w:t>D</w:t>
      </w:r>
      <w:r w:rsidR="0067297D" w:rsidRPr="00FB7939">
        <w:rPr>
          <w:rFonts w:asciiTheme="minorHAnsi" w:hAnsiTheme="minorHAnsi" w:cstheme="minorHAnsi"/>
          <w:i/>
          <w:iCs/>
        </w:rPr>
        <w:t>&gt;0. In D1, even towards the boundary of the HM phase, no signatures of superconductivity can be found.</w:t>
      </w:r>
      <w:r w:rsidR="0067297D">
        <w:rPr>
          <w:rFonts w:asciiTheme="minorHAnsi" w:hAnsiTheme="minorHAnsi" w:cstheme="minorHAnsi"/>
          <w:i/>
          <w:iCs/>
        </w:rPr>
        <w:t xml:space="preserve"> SC4 in D3 is highlighted by the yellow dashed box.</w:t>
      </w:r>
    </w:p>
    <w:p w14:paraId="295EBAFC" w14:textId="77777777" w:rsidR="009E07DE" w:rsidRPr="005968F2" w:rsidRDefault="009E07DE" w:rsidP="005968F2">
      <w:pPr>
        <w:rPr>
          <w:noProof/>
        </w:rPr>
      </w:pPr>
    </w:p>
    <w:p w14:paraId="0CB816CD" w14:textId="77777777" w:rsidR="004F1BB8" w:rsidRPr="00B12654" w:rsidRDefault="004F1BB8" w:rsidP="004F1BB8">
      <w:pPr>
        <w:jc w:val="both"/>
        <w:rPr>
          <w:b/>
          <w:bCs/>
          <w:sz w:val="32"/>
          <w:szCs w:val="32"/>
        </w:rPr>
      </w:pPr>
      <w:r w:rsidRPr="00B12654">
        <w:rPr>
          <w:rFonts w:hint="eastAsia"/>
          <w:b/>
          <w:bCs/>
          <w:sz w:val="32"/>
          <w:szCs w:val="32"/>
        </w:rPr>
        <w:t>Data Availability</w:t>
      </w:r>
    </w:p>
    <w:p w14:paraId="0D4F7C3C" w14:textId="46138BB0" w:rsidR="004F1BB8" w:rsidRDefault="004F1BB8" w:rsidP="004F1BB8">
      <w:pPr>
        <w:jc w:val="both"/>
      </w:pPr>
      <w:r w:rsidRPr="009D59C2">
        <w:t>The data shown in the main figures</w:t>
      </w:r>
      <w:r w:rsidR="00B90519">
        <w:rPr>
          <w:rFonts w:hint="eastAsia"/>
        </w:rPr>
        <w:t xml:space="preserve"> </w:t>
      </w:r>
      <w:r w:rsidRPr="009D59C2">
        <w:t>are available from the Harvard Dataverse Repository</w:t>
      </w:r>
      <w:r>
        <w:fldChar w:fldCharType="begin"/>
      </w:r>
      <w:r w:rsidR="00BF4618">
        <w:instrText xml:space="preserve"> ADDIN ZOTERO_ITEM CSL_CITATION {"citationID":"ocrk0oZJ","properties":{"formattedCitation":"\\super 63\\nosupersub{}","plainCitation":"63","noteIndex":0},"citationItems":[{"id":4878,"uris":["http://zotero.org/users/5406744/items/5WZZ3397"],"itemData":{"id":4878,"type":"dataset","DOI":"10.7910/DVN/JTUM2H","note":"section: 2025-01-12 09:27:25.402","publisher":"Harvard Dataverse","title":"Replication Data for: Impact of Spin-Orbit Coupling on Superconductivity in Rhombohedral Graphene","URL":"https://doi.org/10.7910/DVN/JTUM2H","version":"V1","author":[{"family":"Yang","given":"Jixiang"},{"family":"Yoon","given":"Chiho"}],"issued":{"date-parts":[["2025"]]}}}],"schema":"https://github.com/citation-style-language/schema/raw/master/csl-citation.json"} </w:instrText>
      </w:r>
      <w:r>
        <w:fldChar w:fldCharType="separate"/>
      </w:r>
      <w:r w:rsidR="00BF4618" w:rsidRPr="00BF4618">
        <w:rPr>
          <w:rFonts w:ascii="Calibri" w:hAnsi="Calibri" w:cs="Calibri"/>
          <w:kern w:val="0"/>
          <w:vertAlign w:val="superscript"/>
        </w:rPr>
        <w:t>63</w:t>
      </w:r>
      <w:r>
        <w:fldChar w:fldCharType="end"/>
      </w:r>
      <w:r>
        <w:rPr>
          <w:rFonts w:hint="eastAsia"/>
        </w:rPr>
        <w:t xml:space="preserve"> at </w:t>
      </w:r>
      <w:hyperlink r:id="rId22" w:history="1">
        <w:r w:rsidRPr="00A20892">
          <w:rPr>
            <w:rStyle w:val="Hyperlink"/>
            <w:rFonts w:hint="eastAsia"/>
          </w:rPr>
          <w:t>https://</w:t>
        </w:r>
        <w:r w:rsidRPr="00A20892">
          <w:rPr>
            <w:rStyle w:val="Hyperlink"/>
          </w:rPr>
          <w:t>doi:10.7910/DVN/JTUM2H</w:t>
        </w:r>
      </w:hyperlink>
      <w:r>
        <w:rPr>
          <w:rFonts w:hint="eastAsia"/>
        </w:rPr>
        <w:t xml:space="preserve">. </w:t>
      </w:r>
      <w:r w:rsidRPr="009D59C2">
        <w:t>The datasets generated during and/or analyzed during this study are available from the corresponding author upon reasonable request.</w:t>
      </w:r>
    </w:p>
    <w:p w14:paraId="7896CA3E" w14:textId="6E14B510" w:rsidR="00B90519" w:rsidRPr="00B12654" w:rsidRDefault="00B90519" w:rsidP="00B90519">
      <w:pPr>
        <w:jc w:val="both"/>
        <w:rPr>
          <w:b/>
          <w:bCs/>
          <w:sz w:val="32"/>
          <w:szCs w:val="32"/>
        </w:rPr>
      </w:pPr>
      <w:r>
        <w:rPr>
          <w:rFonts w:hint="eastAsia"/>
          <w:b/>
          <w:bCs/>
          <w:sz w:val="32"/>
          <w:szCs w:val="32"/>
        </w:rPr>
        <w:t>Code</w:t>
      </w:r>
      <w:r w:rsidRPr="00B12654">
        <w:rPr>
          <w:rFonts w:hint="eastAsia"/>
          <w:b/>
          <w:bCs/>
          <w:sz w:val="32"/>
          <w:szCs w:val="32"/>
        </w:rPr>
        <w:t xml:space="preserve"> Availability</w:t>
      </w:r>
    </w:p>
    <w:p w14:paraId="4BD99A38" w14:textId="675F3275" w:rsidR="00B90519" w:rsidRDefault="00B90519" w:rsidP="00B90519">
      <w:pPr>
        <w:jc w:val="both"/>
      </w:pPr>
      <w:r>
        <w:rPr>
          <w:rFonts w:hint="eastAsia"/>
        </w:rPr>
        <w:t>The code used to calculate Fig. 3i</w:t>
      </w:r>
      <w:r w:rsidRPr="009D59C2">
        <w:t xml:space="preserve"> </w:t>
      </w:r>
      <w:r>
        <w:rPr>
          <w:rFonts w:hint="eastAsia"/>
        </w:rPr>
        <w:t>is</w:t>
      </w:r>
      <w:r w:rsidRPr="009D59C2">
        <w:t xml:space="preserve"> available from the Harvard Dataverse Repository</w:t>
      </w:r>
      <w:r>
        <w:fldChar w:fldCharType="begin"/>
      </w:r>
      <w:r>
        <w:instrText xml:space="preserve"> ADDIN ZOTERO_ITEM CSL_CITATION {"citationID":"ocrk0oZJ","properties":{"formattedCitation":"\\super 63\\nosupersub{}","plainCitation":"63","noteIndex":0},"citationItems":[{"id":4878,"uris":["http://zotero.org/users/5406744/items/5WZZ3397"],"itemData":{"id":4878,"type":"dataset","DOI":"10.7910/DVN/JTUM2H","note":"section: 2025-01-12 09:27:25.402","publisher":"Harvard Dataverse","title":"Replication Data for: Impact of Spin-Orbit Coupling on Superconductivity in Rhombohedral Graphene","URL":"https://doi.org/10.7910/DVN/JTUM2H","version":"V1","author":[{"family":"Yang","given":"Jixiang"},{"family":"Yoon","given":"Chiho"}],"issued":{"date-parts":[["2025"]]}}}],"schema":"https://github.com/citation-style-language/schema/raw/master/csl-citation.json"} </w:instrText>
      </w:r>
      <w:r>
        <w:fldChar w:fldCharType="separate"/>
      </w:r>
      <w:r w:rsidRPr="00BF4618">
        <w:rPr>
          <w:rFonts w:ascii="Calibri" w:hAnsi="Calibri" w:cs="Calibri"/>
          <w:kern w:val="0"/>
          <w:vertAlign w:val="superscript"/>
        </w:rPr>
        <w:t>63</w:t>
      </w:r>
      <w:r>
        <w:fldChar w:fldCharType="end"/>
      </w:r>
      <w:r>
        <w:rPr>
          <w:rFonts w:hint="eastAsia"/>
        </w:rPr>
        <w:t xml:space="preserve"> at </w:t>
      </w:r>
      <w:hyperlink r:id="rId23" w:history="1">
        <w:r w:rsidRPr="00A20892">
          <w:rPr>
            <w:rStyle w:val="Hyperlink"/>
            <w:rFonts w:hint="eastAsia"/>
          </w:rPr>
          <w:t>https://</w:t>
        </w:r>
        <w:r w:rsidRPr="00A20892">
          <w:rPr>
            <w:rStyle w:val="Hyperlink"/>
          </w:rPr>
          <w:t>doi:10.7910/DVN/JTUM2H</w:t>
        </w:r>
      </w:hyperlink>
      <w:r>
        <w:rPr>
          <w:rFonts w:hint="eastAsia"/>
        </w:rPr>
        <w:t>.</w:t>
      </w:r>
    </w:p>
    <w:p w14:paraId="78F73B7F" w14:textId="73934F61" w:rsidR="00637576" w:rsidRPr="00B12654" w:rsidRDefault="00637576" w:rsidP="00637576">
      <w:pPr>
        <w:jc w:val="both"/>
        <w:rPr>
          <w:b/>
          <w:bCs/>
          <w:sz w:val="32"/>
          <w:szCs w:val="32"/>
        </w:rPr>
      </w:pPr>
      <w:r>
        <w:rPr>
          <w:rFonts w:hint="eastAsia"/>
          <w:b/>
          <w:bCs/>
          <w:sz w:val="32"/>
          <w:szCs w:val="32"/>
        </w:rPr>
        <w:t>Methods-only Reference</w:t>
      </w:r>
    </w:p>
    <w:p w14:paraId="528B1324" w14:textId="77777777" w:rsidR="00E739A1" w:rsidRDefault="00E739A1" w:rsidP="00E739A1">
      <w:pPr>
        <w:pStyle w:val="Bibliography"/>
      </w:pPr>
      <w:r>
        <w:t>55.</w:t>
      </w:r>
      <w:r>
        <w:tab/>
        <w:t xml:space="preserve">Han, T. </w:t>
      </w:r>
      <w:r>
        <w:rPr>
          <w:i/>
          <w:iCs/>
        </w:rPr>
        <w:t>et al.</w:t>
      </w:r>
      <w:r>
        <w:t xml:space="preserve"> Accurate Measurement of the Gap of Graphene/h-BN Moir\’e Superlattice through Photocurrent Spectroscopy. </w:t>
      </w:r>
      <w:r>
        <w:rPr>
          <w:i/>
          <w:iCs/>
        </w:rPr>
        <w:t>Phys. Rev. Lett.</w:t>
      </w:r>
      <w:r>
        <w:t xml:space="preserve"> </w:t>
      </w:r>
      <w:r>
        <w:rPr>
          <w:b/>
          <w:bCs/>
        </w:rPr>
        <w:t>126</w:t>
      </w:r>
      <w:r>
        <w:t>, 146402 (2021).</w:t>
      </w:r>
    </w:p>
    <w:p w14:paraId="3C6A2BFD" w14:textId="77777777" w:rsidR="00E739A1" w:rsidRDefault="00E739A1" w:rsidP="00E739A1">
      <w:pPr>
        <w:pStyle w:val="Bibliography"/>
      </w:pPr>
      <w:r>
        <w:t>56.</w:t>
      </w:r>
      <w:r>
        <w:tab/>
        <w:t xml:space="preserve">Min, H. Intrinsic and Rashba spin-orbit interactions in graphene sheets. </w:t>
      </w:r>
      <w:r>
        <w:rPr>
          <w:i/>
          <w:iCs/>
        </w:rPr>
        <w:t>Phys. Rev. B</w:t>
      </w:r>
      <w:r>
        <w:t xml:space="preserve"> </w:t>
      </w:r>
      <w:r>
        <w:rPr>
          <w:b/>
          <w:bCs/>
        </w:rPr>
        <w:t>74</w:t>
      </w:r>
      <w:r>
        <w:t>, (2006).</w:t>
      </w:r>
    </w:p>
    <w:p w14:paraId="50265D34" w14:textId="77777777" w:rsidR="00E739A1" w:rsidRDefault="00E739A1" w:rsidP="00E739A1">
      <w:pPr>
        <w:pStyle w:val="Bibliography"/>
      </w:pPr>
      <w:r>
        <w:lastRenderedPageBreak/>
        <w:t>57.</w:t>
      </w:r>
      <w:r>
        <w:tab/>
      </w:r>
      <w:proofErr w:type="spellStart"/>
      <w:r>
        <w:t>Naimer</w:t>
      </w:r>
      <w:proofErr w:type="spellEnd"/>
      <w:r>
        <w:t xml:space="preserve">, T., Zollner, K., </w:t>
      </w:r>
      <w:proofErr w:type="spellStart"/>
      <w:r>
        <w:t>Gmitra</w:t>
      </w:r>
      <w:proofErr w:type="spellEnd"/>
      <w:r>
        <w:t xml:space="preserve">, M. &amp; Fabian, J. Twist-angle dependent proximity induced spin-orbit coupling in graphene/transition metal dichalcogenide heterostructures. </w:t>
      </w:r>
      <w:r>
        <w:rPr>
          <w:i/>
          <w:iCs/>
        </w:rPr>
        <w:t>Phys. Rev. B</w:t>
      </w:r>
      <w:r>
        <w:t xml:space="preserve"> </w:t>
      </w:r>
      <w:r>
        <w:rPr>
          <w:b/>
          <w:bCs/>
        </w:rPr>
        <w:t>104</w:t>
      </w:r>
      <w:r>
        <w:t>, 195156 (2021).</w:t>
      </w:r>
    </w:p>
    <w:p w14:paraId="6AD27AFD" w14:textId="77777777" w:rsidR="00E739A1" w:rsidRDefault="00E739A1" w:rsidP="00E739A1">
      <w:pPr>
        <w:pStyle w:val="Bibliography"/>
      </w:pPr>
      <w:r>
        <w:t>58.</w:t>
      </w:r>
      <w:r>
        <w:tab/>
        <w:t xml:space="preserve">Yang, B. </w:t>
      </w:r>
      <w:r>
        <w:rPr>
          <w:i/>
          <w:iCs/>
        </w:rPr>
        <w:t>et al.</w:t>
      </w:r>
      <w:r>
        <w:t xml:space="preserve"> Strong electron-hole symmetric Rashba spin-orbit coupling in graphene/monolayer transition metal dichalcogenide heterostructures. </w:t>
      </w:r>
      <w:r>
        <w:rPr>
          <w:i/>
          <w:iCs/>
        </w:rPr>
        <w:t>Phys. Rev. B</w:t>
      </w:r>
      <w:r>
        <w:t xml:space="preserve"> </w:t>
      </w:r>
      <w:r>
        <w:rPr>
          <w:b/>
          <w:bCs/>
        </w:rPr>
        <w:t>96</w:t>
      </w:r>
      <w:r>
        <w:t>, 041409 (2017).</w:t>
      </w:r>
    </w:p>
    <w:p w14:paraId="27C539B7" w14:textId="77777777" w:rsidR="00E739A1" w:rsidRDefault="00E739A1" w:rsidP="00E739A1">
      <w:pPr>
        <w:pStyle w:val="Bibliography"/>
      </w:pPr>
      <w:r>
        <w:t>59.</w:t>
      </w:r>
      <w:r>
        <w:tab/>
        <w:t xml:space="preserve">Amann, J. </w:t>
      </w:r>
      <w:r>
        <w:rPr>
          <w:i/>
          <w:iCs/>
        </w:rPr>
        <w:t>et al.</w:t>
      </w:r>
      <w:r>
        <w:t xml:space="preserve"> Counterintuitive gate dependence of weak antilocalization in bilayer $\</w:t>
      </w:r>
      <w:proofErr w:type="spellStart"/>
      <w:r>
        <w:t>mathrm</w:t>
      </w:r>
      <w:proofErr w:type="spellEnd"/>
      <w:r>
        <w:t>{graphene}/{\</w:t>
      </w:r>
      <w:proofErr w:type="spellStart"/>
      <w:proofErr w:type="gramStart"/>
      <w:r>
        <w:t>mathrm</w:t>
      </w:r>
      <w:proofErr w:type="spellEnd"/>
      <w:r>
        <w:t>{</w:t>
      </w:r>
      <w:proofErr w:type="spellStart"/>
      <w:proofErr w:type="gramEnd"/>
      <w:r>
        <w:t>WSe</w:t>
      </w:r>
      <w:proofErr w:type="spellEnd"/>
      <w:r>
        <w:t xml:space="preserve">}}_{2}$ heterostructures. </w:t>
      </w:r>
      <w:r>
        <w:rPr>
          <w:i/>
          <w:iCs/>
        </w:rPr>
        <w:t>Phys. Rev. B</w:t>
      </w:r>
      <w:r>
        <w:t xml:space="preserve"> </w:t>
      </w:r>
      <w:r>
        <w:rPr>
          <w:b/>
          <w:bCs/>
        </w:rPr>
        <w:t>105</w:t>
      </w:r>
      <w:r>
        <w:t>, 115425 (2022).</w:t>
      </w:r>
    </w:p>
    <w:p w14:paraId="5443FA6B" w14:textId="77777777" w:rsidR="00E739A1" w:rsidRDefault="00E739A1" w:rsidP="00E739A1">
      <w:pPr>
        <w:pStyle w:val="Bibliography"/>
      </w:pPr>
      <w:r>
        <w:t>60.</w:t>
      </w:r>
      <w:r>
        <w:tab/>
        <w:t xml:space="preserve">Wang, Z. </w:t>
      </w:r>
      <w:r>
        <w:rPr>
          <w:i/>
          <w:iCs/>
        </w:rPr>
        <w:t>et al.</w:t>
      </w:r>
      <w:r>
        <w:t xml:space="preserve"> Origin and Magnitude of `Designer’ Spin-Orbit Interaction in Graphene on Semiconducting Transition Metal Dichalcogenides. </w:t>
      </w:r>
      <w:r>
        <w:rPr>
          <w:i/>
          <w:iCs/>
        </w:rPr>
        <w:t>Phys. Rev. X</w:t>
      </w:r>
      <w:r>
        <w:t xml:space="preserve"> </w:t>
      </w:r>
      <w:r>
        <w:rPr>
          <w:b/>
          <w:bCs/>
        </w:rPr>
        <w:t>6</w:t>
      </w:r>
      <w:r>
        <w:t>, 041020 (2016).</w:t>
      </w:r>
    </w:p>
    <w:p w14:paraId="4EEACC03" w14:textId="77777777" w:rsidR="00E739A1" w:rsidRDefault="00E739A1" w:rsidP="00E739A1">
      <w:pPr>
        <w:pStyle w:val="Bibliography"/>
      </w:pPr>
      <w:r>
        <w:t>61.</w:t>
      </w:r>
      <w:r>
        <w:tab/>
        <w:t xml:space="preserve">Lui, C. H., Li, Z., Mak, K. F., Cappelluti, E. &amp; Heinz, T. F. Observation of an electrically tunable band gap in trilayer graphene. </w:t>
      </w:r>
      <w:r>
        <w:rPr>
          <w:i/>
          <w:iCs/>
        </w:rPr>
        <w:t>Nat. Phys.</w:t>
      </w:r>
      <w:r>
        <w:t xml:space="preserve"> </w:t>
      </w:r>
      <w:r>
        <w:rPr>
          <w:b/>
          <w:bCs/>
        </w:rPr>
        <w:t>7</w:t>
      </w:r>
      <w:r>
        <w:t>, 944–947 (2011).</w:t>
      </w:r>
    </w:p>
    <w:p w14:paraId="20A17392" w14:textId="77777777" w:rsidR="00E739A1" w:rsidRDefault="00E739A1" w:rsidP="00E739A1">
      <w:pPr>
        <w:pStyle w:val="Bibliography"/>
      </w:pPr>
      <w:r>
        <w:t>62.</w:t>
      </w:r>
      <w:r>
        <w:tab/>
        <w:t xml:space="preserve">Velasco, J. </w:t>
      </w:r>
      <w:r>
        <w:rPr>
          <w:i/>
          <w:iCs/>
        </w:rPr>
        <w:t>et al.</w:t>
      </w:r>
      <w:r>
        <w:t xml:space="preserve"> Transport spectroscopy of symmetry-broken insulating states in bilayer graphene. </w:t>
      </w:r>
      <w:r>
        <w:rPr>
          <w:i/>
          <w:iCs/>
        </w:rPr>
        <w:t xml:space="preserve">Nat. </w:t>
      </w:r>
      <w:proofErr w:type="spellStart"/>
      <w:r>
        <w:rPr>
          <w:i/>
          <w:iCs/>
        </w:rPr>
        <w:t>Nanotechnol</w:t>
      </w:r>
      <w:proofErr w:type="spellEnd"/>
      <w:r>
        <w:rPr>
          <w:i/>
          <w:iCs/>
        </w:rPr>
        <w:t>.</w:t>
      </w:r>
      <w:r>
        <w:t xml:space="preserve"> </w:t>
      </w:r>
      <w:r>
        <w:rPr>
          <w:b/>
          <w:bCs/>
        </w:rPr>
        <w:t>7</w:t>
      </w:r>
      <w:r>
        <w:t>, 156–160 (2012).</w:t>
      </w:r>
    </w:p>
    <w:p w14:paraId="6CDB71C4" w14:textId="77777777" w:rsidR="00E739A1" w:rsidRDefault="00E739A1" w:rsidP="00E739A1">
      <w:pPr>
        <w:pStyle w:val="Bibliography"/>
      </w:pPr>
      <w:r>
        <w:t>63.</w:t>
      </w:r>
      <w:r>
        <w:tab/>
        <w:t>Yang, J. &amp; Yoon, C. Replication Data for: Impact of Spin-Orbit Coupling on Superconductivity in Rhombohedral Graphene. Harvard Dataverse https://doi.org/10.7910/DVN/JTUM2H (2025).</w:t>
      </w:r>
    </w:p>
    <w:p w14:paraId="78812011" w14:textId="77777777" w:rsidR="004F1BB8" w:rsidRPr="00F614EC" w:rsidRDefault="004F1BB8" w:rsidP="00F614EC">
      <w:pPr>
        <w:jc w:val="both"/>
        <w:rPr>
          <w:rFonts w:ascii="Calibri" w:hAnsi="Calibri" w:cs="Calibri"/>
        </w:rPr>
      </w:pPr>
    </w:p>
    <w:sectPr w:rsidR="004F1BB8" w:rsidRPr="00F614EC" w:rsidSect="0057207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93DE03" w14:textId="77777777" w:rsidR="00C425A5" w:rsidRDefault="00C425A5" w:rsidP="000B5F3A">
      <w:pPr>
        <w:spacing w:after="0" w:line="240" w:lineRule="auto"/>
      </w:pPr>
      <w:r>
        <w:separator/>
      </w:r>
    </w:p>
  </w:endnote>
  <w:endnote w:type="continuationSeparator" w:id="0">
    <w:p w14:paraId="6A8C7CD6" w14:textId="77777777" w:rsidR="00C425A5" w:rsidRDefault="00C425A5" w:rsidP="000B5F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FA3392" w14:textId="77777777" w:rsidR="00C425A5" w:rsidRDefault="00C425A5" w:rsidP="000B5F3A">
      <w:pPr>
        <w:spacing w:after="0" w:line="240" w:lineRule="auto"/>
      </w:pPr>
      <w:r>
        <w:separator/>
      </w:r>
    </w:p>
  </w:footnote>
  <w:footnote w:type="continuationSeparator" w:id="0">
    <w:p w14:paraId="638F85C3" w14:textId="77777777" w:rsidR="00C425A5" w:rsidRDefault="00C425A5" w:rsidP="000B5F3A">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4ClrQStk7WDtb" int2:id="Ch419zbz">
      <int2:state int2:value="Rejected" int2:type="LegacyProofing"/>
    </int2:textHash>
    <int2:textHash int2:hashCode="cMPXt7tS1gxI6w" int2:id="0z0nQmql">
      <int2:state int2:value="Rejected" int2:type="LegacyProofing"/>
    </int2:textHash>
    <int2:textHash int2:hashCode="udZ8Rh0M3ApDHr" int2:id="C3uAflA9">
      <int2:state int2:value="Rejected" int2:type="LegacyProofing"/>
    </int2:textHash>
    <int2:bookmark int2:bookmarkName="_Int_ue1bQUur" int2:invalidationBookmarkName="" int2:hashCode="L8taQ6Qq+o6Zcm" int2:id="N1sR6yho">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C90457"/>
    <w:multiLevelType w:val="hybridMultilevel"/>
    <w:tmpl w:val="03D456C4"/>
    <w:lvl w:ilvl="0" w:tplc="E9FAC416">
      <w:numFmt w:val="bullet"/>
      <w:lvlText w:val="-"/>
      <w:lvlJc w:val="left"/>
      <w:pPr>
        <w:ind w:left="1080" w:hanging="360"/>
      </w:pPr>
      <w:rPr>
        <w:rFonts w:ascii="Calibri" w:eastAsiaTheme="minorEastAsia" w:hAnsi="Calibri" w:cs="Calibri" w:hint="default"/>
      </w:rPr>
    </w:lvl>
    <w:lvl w:ilvl="1" w:tplc="04090003" w:tentative="1">
      <w:start w:val="1"/>
      <w:numFmt w:val="bullet"/>
      <w:lvlText w:val=""/>
      <w:lvlJc w:val="left"/>
      <w:pPr>
        <w:ind w:left="1600" w:hanging="440"/>
      </w:pPr>
      <w:rPr>
        <w:rFonts w:ascii="Wingdings" w:hAnsi="Wingdings" w:hint="default"/>
      </w:rPr>
    </w:lvl>
    <w:lvl w:ilvl="2" w:tplc="04090005" w:tentative="1">
      <w:start w:val="1"/>
      <w:numFmt w:val="bullet"/>
      <w:lvlText w:val=""/>
      <w:lvlJc w:val="left"/>
      <w:pPr>
        <w:ind w:left="2040" w:hanging="440"/>
      </w:pPr>
      <w:rPr>
        <w:rFonts w:ascii="Wingdings" w:hAnsi="Wingdings" w:hint="default"/>
      </w:rPr>
    </w:lvl>
    <w:lvl w:ilvl="3" w:tplc="04090001" w:tentative="1">
      <w:start w:val="1"/>
      <w:numFmt w:val="bullet"/>
      <w:lvlText w:val=""/>
      <w:lvlJc w:val="left"/>
      <w:pPr>
        <w:ind w:left="2480" w:hanging="440"/>
      </w:pPr>
      <w:rPr>
        <w:rFonts w:ascii="Wingdings" w:hAnsi="Wingdings" w:hint="default"/>
      </w:rPr>
    </w:lvl>
    <w:lvl w:ilvl="4" w:tplc="04090003" w:tentative="1">
      <w:start w:val="1"/>
      <w:numFmt w:val="bullet"/>
      <w:lvlText w:val=""/>
      <w:lvlJc w:val="left"/>
      <w:pPr>
        <w:ind w:left="2920" w:hanging="440"/>
      </w:pPr>
      <w:rPr>
        <w:rFonts w:ascii="Wingdings" w:hAnsi="Wingdings" w:hint="default"/>
      </w:rPr>
    </w:lvl>
    <w:lvl w:ilvl="5" w:tplc="04090005" w:tentative="1">
      <w:start w:val="1"/>
      <w:numFmt w:val="bullet"/>
      <w:lvlText w:val=""/>
      <w:lvlJc w:val="left"/>
      <w:pPr>
        <w:ind w:left="3360" w:hanging="440"/>
      </w:pPr>
      <w:rPr>
        <w:rFonts w:ascii="Wingdings" w:hAnsi="Wingdings" w:hint="default"/>
      </w:rPr>
    </w:lvl>
    <w:lvl w:ilvl="6" w:tplc="04090001" w:tentative="1">
      <w:start w:val="1"/>
      <w:numFmt w:val="bullet"/>
      <w:lvlText w:val=""/>
      <w:lvlJc w:val="left"/>
      <w:pPr>
        <w:ind w:left="3800" w:hanging="440"/>
      </w:pPr>
      <w:rPr>
        <w:rFonts w:ascii="Wingdings" w:hAnsi="Wingdings" w:hint="default"/>
      </w:rPr>
    </w:lvl>
    <w:lvl w:ilvl="7" w:tplc="04090003" w:tentative="1">
      <w:start w:val="1"/>
      <w:numFmt w:val="bullet"/>
      <w:lvlText w:val=""/>
      <w:lvlJc w:val="left"/>
      <w:pPr>
        <w:ind w:left="4240" w:hanging="440"/>
      </w:pPr>
      <w:rPr>
        <w:rFonts w:ascii="Wingdings" w:hAnsi="Wingdings" w:hint="default"/>
      </w:rPr>
    </w:lvl>
    <w:lvl w:ilvl="8" w:tplc="04090005" w:tentative="1">
      <w:start w:val="1"/>
      <w:numFmt w:val="bullet"/>
      <w:lvlText w:val=""/>
      <w:lvlJc w:val="left"/>
      <w:pPr>
        <w:ind w:left="4680" w:hanging="440"/>
      </w:pPr>
      <w:rPr>
        <w:rFonts w:ascii="Wingdings" w:hAnsi="Wingdings" w:hint="default"/>
      </w:rPr>
    </w:lvl>
  </w:abstractNum>
  <w:num w:numId="1" w16cid:durableId="10927756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oNotDisplayPageBoundaries/>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8D0"/>
    <w:rsid w:val="0000101F"/>
    <w:rsid w:val="0000175C"/>
    <w:rsid w:val="00002240"/>
    <w:rsid w:val="00002491"/>
    <w:rsid w:val="00002ECC"/>
    <w:rsid w:val="00003250"/>
    <w:rsid w:val="00004843"/>
    <w:rsid w:val="00007136"/>
    <w:rsid w:val="00007833"/>
    <w:rsid w:val="00007AEA"/>
    <w:rsid w:val="00007CEF"/>
    <w:rsid w:val="000100A1"/>
    <w:rsid w:val="000118D9"/>
    <w:rsid w:val="000214C6"/>
    <w:rsid w:val="00026FA2"/>
    <w:rsid w:val="000343AC"/>
    <w:rsid w:val="00037B3A"/>
    <w:rsid w:val="00041861"/>
    <w:rsid w:val="000451CC"/>
    <w:rsid w:val="00047C76"/>
    <w:rsid w:val="00047D88"/>
    <w:rsid w:val="00050403"/>
    <w:rsid w:val="00052799"/>
    <w:rsid w:val="00055914"/>
    <w:rsid w:val="0005735B"/>
    <w:rsid w:val="00060806"/>
    <w:rsid w:val="00061C5A"/>
    <w:rsid w:val="00063ACB"/>
    <w:rsid w:val="000645A2"/>
    <w:rsid w:val="00072D9D"/>
    <w:rsid w:val="00077584"/>
    <w:rsid w:val="00085535"/>
    <w:rsid w:val="0009388E"/>
    <w:rsid w:val="00093E4B"/>
    <w:rsid w:val="00093FD4"/>
    <w:rsid w:val="000947F1"/>
    <w:rsid w:val="00095BC5"/>
    <w:rsid w:val="000A26D3"/>
    <w:rsid w:val="000A329E"/>
    <w:rsid w:val="000A3BB8"/>
    <w:rsid w:val="000A45B7"/>
    <w:rsid w:val="000A4F7E"/>
    <w:rsid w:val="000B06B9"/>
    <w:rsid w:val="000B27E3"/>
    <w:rsid w:val="000B35A2"/>
    <w:rsid w:val="000B5112"/>
    <w:rsid w:val="000B5F3A"/>
    <w:rsid w:val="000B5FDE"/>
    <w:rsid w:val="000B7D6E"/>
    <w:rsid w:val="000C121D"/>
    <w:rsid w:val="000C1460"/>
    <w:rsid w:val="000C1EBF"/>
    <w:rsid w:val="000C40BA"/>
    <w:rsid w:val="000D107C"/>
    <w:rsid w:val="000D37DC"/>
    <w:rsid w:val="000D4E08"/>
    <w:rsid w:val="000D7114"/>
    <w:rsid w:val="000D776A"/>
    <w:rsid w:val="000E14F2"/>
    <w:rsid w:val="000E245D"/>
    <w:rsid w:val="000E302D"/>
    <w:rsid w:val="000E3DC3"/>
    <w:rsid w:val="000E616A"/>
    <w:rsid w:val="000E7B6D"/>
    <w:rsid w:val="000F012F"/>
    <w:rsid w:val="000F22C4"/>
    <w:rsid w:val="0010093F"/>
    <w:rsid w:val="00101113"/>
    <w:rsid w:val="00112390"/>
    <w:rsid w:val="00122F94"/>
    <w:rsid w:val="001232BF"/>
    <w:rsid w:val="00126E2A"/>
    <w:rsid w:val="00133A0B"/>
    <w:rsid w:val="0013589B"/>
    <w:rsid w:val="00140D6B"/>
    <w:rsid w:val="0014433D"/>
    <w:rsid w:val="00150FC4"/>
    <w:rsid w:val="001519C3"/>
    <w:rsid w:val="001526F2"/>
    <w:rsid w:val="00152C65"/>
    <w:rsid w:val="00153811"/>
    <w:rsid w:val="0015434C"/>
    <w:rsid w:val="00154C4E"/>
    <w:rsid w:val="001550F0"/>
    <w:rsid w:val="001615CF"/>
    <w:rsid w:val="00161D9D"/>
    <w:rsid w:val="00161F03"/>
    <w:rsid w:val="00164F97"/>
    <w:rsid w:val="001656C7"/>
    <w:rsid w:val="00166061"/>
    <w:rsid w:val="00166F6C"/>
    <w:rsid w:val="00175729"/>
    <w:rsid w:val="00181D06"/>
    <w:rsid w:val="0018557F"/>
    <w:rsid w:val="0018622F"/>
    <w:rsid w:val="00187E19"/>
    <w:rsid w:val="001909AB"/>
    <w:rsid w:val="00190E74"/>
    <w:rsid w:val="001925EE"/>
    <w:rsid w:val="00194416"/>
    <w:rsid w:val="00197866"/>
    <w:rsid w:val="001A10D2"/>
    <w:rsid w:val="001A4744"/>
    <w:rsid w:val="001A56CE"/>
    <w:rsid w:val="001A596A"/>
    <w:rsid w:val="001B3A33"/>
    <w:rsid w:val="001B647D"/>
    <w:rsid w:val="001C17C8"/>
    <w:rsid w:val="001C2FDA"/>
    <w:rsid w:val="001C4164"/>
    <w:rsid w:val="001C4D1E"/>
    <w:rsid w:val="001D0697"/>
    <w:rsid w:val="001D12A0"/>
    <w:rsid w:val="001D1954"/>
    <w:rsid w:val="001D1A8B"/>
    <w:rsid w:val="001D5F57"/>
    <w:rsid w:val="001D6F86"/>
    <w:rsid w:val="001D7A3C"/>
    <w:rsid w:val="001E5DA3"/>
    <w:rsid w:val="001F2EC5"/>
    <w:rsid w:val="001F441D"/>
    <w:rsid w:val="00201339"/>
    <w:rsid w:val="00205153"/>
    <w:rsid w:val="00205451"/>
    <w:rsid w:val="00206CDD"/>
    <w:rsid w:val="00212CDE"/>
    <w:rsid w:val="00216704"/>
    <w:rsid w:val="00223ECE"/>
    <w:rsid w:val="0022412A"/>
    <w:rsid w:val="002247A2"/>
    <w:rsid w:val="00225A49"/>
    <w:rsid w:val="00226272"/>
    <w:rsid w:val="00231580"/>
    <w:rsid w:val="00236621"/>
    <w:rsid w:val="002404D8"/>
    <w:rsid w:val="00240565"/>
    <w:rsid w:val="00242D1C"/>
    <w:rsid w:val="00243C83"/>
    <w:rsid w:val="00247223"/>
    <w:rsid w:val="00247E03"/>
    <w:rsid w:val="0025133E"/>
    <w:rsid w:val="00252464"/>
    <w:rsid w:val="002524B4"/>
    <w:rsid w:val="00253254"/>
    <w:rsid w:val="0025328E"/>
    <w:rsid w:val="002578CD"/>
    <w:rsid w:val="0026294F"/>
    <w:rsid w:val="002646D0"/>
    <w:rsid w:val="00265274"/>
    <w:rsid w:val="002702B6"/>
    <w:rsid w:val="00273C28"/>
    <w:rsid w:val="00281346"/>
    <w:rsid w:val="002825E7"/>
    <w:rsid w:val="00286A1B"/>
    <w:rsid w:val="00286BD5"/>
    <w:rsid w:val="00287065"/>
    <w:rsid w:val="00287172"/>
    <w:rsid w:val="002905F7"/>
    <w:rsid w:val="002911DE"/>
    <w:rsid w:val="002937C0"/>
    <w:rsid w:val="00293F48"/>
    <w:rsid w:val="00294273"/>
    <w:rsid w:val="00294559"/>
    <w:rsid w:val="00294A07"/>
    <w:rsid w:val="002950D4"/>
    <w:rsid w:val="00295C09"/>
    <w:rsid w:val="002A0326"/>
    <w:rsid w:val="002A1E3A"/>
    <w:rsid w:val="002A48C1"/>
    <w:rsid w:val="002A79F1"/>
    <w:rsid w:val="002B0E8B"/>
    <w:rsid w:val="002B17C1"/>
    <w:rsid w:val="002B2AC3"/>
    <w:rsid w:val="002B4537"/>
    <w:rsid w:val="002B505B"/>
    <w:rsid w:val="002B6E85"/>
    <w:rsid w:val="002C0272"/>
    <w:rsid w:val="002D038E"/>
    <w:rsid w:val="002D2E89"/>
    <w:rsid w:val="002D6B8F"/>
    <w:rsid w:val="002D7FBF"/>
    <w:rsid w:val="002E0330"/>
    <w:rsid w:val="002E061A"/>
    <w:rsid w:val="002E1167"/>
    <w:rsid w:val="002E16D3"/>
    <w:rsid w:val="002E1FEF"/>
    <w:rsid w:val="002E408B"/>
    <w:rsid w:val="002E40B8"/>
    <w:rsid w:val="002E4DA4"/>
    <w:rsid w:val="002E522C"/>
    <w:rsid w:val="002E69E6"/>
    <w:rsid w:val="002E7402"/>
    <w:rsid w:val="002F07E1"/>
    <w:rsid w:val="002F19C3"/>
    <w:rsid w:val="002F5FCD"/>
    <w:rsid w:val="00300150"/>
    <w:rsid w:val="003013ED"/>
    <w:rsid w:val="0030529B"/>
    <w:rsid w:val="00305CCD"/>
    <w:rsid w:val="00311E47"/>
    <w:rsid w:val="00311FC7"/>
    <w:rsid w:val="00315389"/>
    <w:rsid w:val="00320666"/>
    <w:rsid w:val="00320A0D"/>
    <w:rsid w:val="003217DE"/>
    <w:rsid w:val="00324D3B"/>
    <w:rsid w:val="0033084C"/>
    <w:rsid w:val="00343A4C"/>
    <w:rsid w:val="00344556"/>
    <w:rsid w:val="00346159"/>
    <w:rsid w:val="003477C9"/>
    <w:rsid w:val="003504E6"/>
    <w:rsid w:val="0035263C"/>
    <w:rsid w:val="003532DD"/>
    <w:rsid w:val="00353466"/>
    <w:rsid w:val="003540B5"/>
    <w:rsid w:val="003553FE"/>
    <w:rsid w:val="00356F9D"/>
    <w:rsid w:val="0035718D"/>
    <w:rsid w:val="00357C6C"/>
    <w:rsid w:val="00361785"/>
    <w:rsid w:val="00364433"/>
    <w:rsid w:val="00365AD2"/>
    <w:rsid w:val="00367217"/>
    <w:rsid w:val="00367EC9"/>
    <w:rsid w:val="00375247"/>
    <w:rsid w:val="00381D9A"/>
    <w:rsid w:val="0038361C"/>
    <w:rsid w:val="003836A2"/>
    <w:rsid w:val="003852C0"/>
    <w:rsid w:val="00386C35"/>
    <w:rsid w:val="0038740C"/>
    <w:rsid w:val="0039149F"/>
    <w:rsid w:val="00391550"/>
    <w:rsid w:val="003950C9"/>
    <w:rsid w:val="0039772D"/>
    <w:rsid w:val="003A09C1"/>
    <w:rsid w:val="003A573F"/>
    <w:rsid w:val="003B03B3"/>
    <w:rsid w:val="003B232D"/>
    <w:rsid w:val="003B25C0"/>
    <w:rsid w:val="003B2872"/>
    <w:rsid w:val="003B667D"/>
    <w:rsid w:val="003C1B1C"/>
    <w:rsid w:val="003C2207"/>
    <w:rsid w:val="003C2262"/>
    <w:rsid w:val="003C2E2D"/>
    <w:rsid w:val="003C3F22"/>
    <w:rsid w:val="003C4087"/>
    <w:rsid w:val="003C58ED"/>
    <w:rsid w:val="003C7739"/>
    <w:rsid w:val="003D086B"/>
    <w:rsid w:val="003D0EE1"/>
    <w:rsid w:val="003D18A9"/>
    <w:rsid w:val="003D3168"/>
    <w:rsid w:val="003D4943"/>
    <w:rsid w:val="003D4F44"/>
    <w:rsid w:val="003D630E"/>
    <w:rsid w:val="003D6F1C"/>
    <w:rsid w:val="003E23A2"/>
    <w:rsid w:val="003E25BF"/>
    <w:rsid w:val="003E3451"/>
    <w:rsid w:val="003E7A49"/>
    <w:rsid w:val="003F05AF"/>
    <w:rsid w:val="003F08F9"/>
    <w:rsid w:val="003F42BA"/>
    <w:rsid w:val="003F6C17"/>
    <w:rsid w:val="003F71E0"/>
    <w:rsid w:val="003F7B38"/>
    <w:rsid w:val="004007BC"/>
    <w:rsid w:val="00400FF2"/>
    <w:rsid w:val="00402341"/>
    <w:rsid w:val="00402A4E"/>
    <w:rsid w:val="00405538"/>
    <w:rsid w:val="00410341"/>
    <w:rsid w:val="0041204E"/>
    <w:rsid w:val="00414712"/>
    <w:rsid w:val="004147DB"/>
    <w:rsid w:val="00415ED7"/>
    <w:rsid w:val="00416755"/>
    <w:rsid w:val="00416AB0"/>
    <w:rsid w:val="00420950"/>
    <w:rsid w:val="00421975"/>
    <w:rsid w:val="004238A6"/>
    <w:rsid w:val="00423A6C"/>
    <w:rsid w:val="00425F00"/>
    <w:rsid w:val="00427F5B"/>
    <w:rsid w:val="004304C0"/>
    <w:rsid w:val="004319DE"/>
    <w:rsid w:val="00431EC9"/>
    <w:rsid w:val="004325E9"/>
    <w:rsid w:val="0043466A"/>
    <w:rsid w:val="004359F1"/>
    <w:rsid w:val="00436DCC"/>
    <w:rsid w:val="00437688"/>
    <w:rsid w:val="00442974"/>
    <w:rsid w:val="00442D3A"/>
    <w:rsid w:val="0044407A"/>
    <w:rsid w:val="004443EC"/>
    <w:rsid w:val="00446A84"/>
    <w:rsid w:val="00447851"/>
    <w:rsid w:val="00456BEC"/>
    <w:rsid w:val="0045795D"/>
    <w:rsid w:val="00461E96"/>
    <w:rsid w:val="00467392"/>
    <w:rsid w:val="004723C1"/>
    <w:rsid w:val="00473290"/>
    <w:rsid w:val="00474F7F"/>
    <w:rsid w:val="004770C1"/>
    <w:rsid w:val="004802E2"/>
    <w:rsid w:val="00480CD9"/>
    <w:rsid w:val="0048373D"/>
    <w:rsid w:val="004905F6"/>
    <w:rsid w:val="004917D2"/>
    <w:rsid w:val="00492880"/>
    <w:rsid w:val="004956C2"/>
    <w:rsid w:val="004A1FF8"/>
    <w:rsid w:val="004A3EA0"/>
    <w:rsid w:val="004A774E"/>
    <w:rsid w:val="004B33D9"/>
    <w:rsid w:val="004B4BA2"/>
    <w:rsid w:val="004C0AB0"/>
    <w:rsid w:val="004C48CA"/>
    <w:rsid w:val="004C69BA"/>
    <w:rsid w:val="004C6BD1"/>
    <w:rsid w:val="004C6EAF"/>
    <w:rsid w:val="004D0639"/>
    <w:rsid w:val="004D2A7C"/>
    <w:rsid w:val="004D745A"/>
    <w:rsid w:val="004E44EA"/>
    <w:rsid w:val="004E51C7"/>
    <w:rsid w:val="004F0905"/>
    <w:rsid w:val="004F093D"/>
    <w:rsid w:val="004F1497"/>
    <w:rsid w:val="004F1BB8"/>
    <w:rsid w:val="004F2C95"/>
    <w:rsid w:val="004F3F63"/>
    <w:rsid w:val="004F5E51"/>
    <w:rsid w:val="004F6AE8"/>
    <w:rsid w:val="00501E8C"/>
    <w:rsid w:val="00504CA4"/>
    <w:rsid w:val="005058CA"/>
    <w:rsid w:val="00507538"/>
    <w:rsid w:val="00507B4E"/>
    <w:rsid w:val="0051404C"/>
    <w:rsid w:val="0051461B"/>
    <w:rsid w:val="0051771D"/>
    <w:rsid w:val="00526FCB"/>
    <w:rsid w:val="00527EAC"/>
    <w:rsid w:val="00533784"/>
    <w:rsid w:val="0053530F"/>
    <w:rsid w:val="005359FA"/>
    <w:rsid w:val="0053647F"/>
    <w:rsid w:val="00544EB1"/>
    <w:rsid w:val="00550D20"/>
    <w:rsid w:val="00551103"/>
    <w:rsid w:val="00552540"/>
    <w:rsid w:val="005555A7"/>
    <w:rsid w:val="00555AF4"/>
    <w:rsid w:val="00555C13"/>
    <w:rsid w:val="005565A0"/>
    <w:rsid w:val="00556B6F"/>
    <w:rsid w:val="00560039"/>
    <w:rsid w:val="005608FE"/>
    <w:rsid w:val="00560DA7"/>
    <w:rsid w:val="005623A3"/>
    <w:rsid w:val="00562735"/>
    <w:rsid w:val="00562BE9"/>
    <w:rsid w:val="00564A41"/>
    <w:rsid w:val="00566DB3"/>
    <w:rsid w:val="00572072"/>
    <w:rsid w:val="00572B97"/>
    <w:rsid w:val="0058177F"/>
    <w:rsid w:val="00582BF2"/>
    <w:rsid w:val="0058663D"/>
    <w:rsid w:val="005911C3"/>
    <w:rsid w:val="00596263"/>
    <w:rsid w:val="005962D4"/>
    <w:rsid w:val="005968F2"/>
    <w:rsid w:val="00597CE9"/>
    <w:rsid w:val="00597F9C"/>
    <w:rsid w:val="005A16D2"/>
    <w:rsid w:val="005A2668"/>
    <w:rsid w:val="005B1C9C"/>
    <w:rsid w:val="005B3FB9"/>
    <w:rsid w:val="005C2CA6"/>
    <w:rsid w:val="005D1166"/>
    <w:rsid w:val="005D1246"/>
    <w:rsid w:val="005E2D98"/>
    <w:rsid w:val="005E510A"/>
    <w:rsid w:val="005E598F"/>
    <w:rsid w:val="005E608E"/>
    <w:rsid w:val="005E641D"/>
    <w:rsid w:val="005F1E8E"/>
    <w:rsid w:val="005F6727"/>
    <w:rsid w:val="005F743A"/>
    <w:rsid w:val="005F780E"/>
    <w:rsid w:val="005F7EB3"/>
    <w:rsid w:val="0060540D"/>
    <w:rsid w:val="00610CB5"/>
    <w:rsid w:val="00611BA4"/>
    <w:rsid w:val="006123F3"/>
    <w:rsid w:val="00615543"/>
    <w:rsid w:val="006243A7"/>
    <w:rsid w:val="00625FE3"/>
    <w:rsid w:val="00627141"/>
    <w:rsid w:val="00637576"/>
    <w:rsid w:val="00641E41"/>
    <w:rsid w:val="006424F3"/>
    <w:rsid w:val="00642AD5"/>
    <w:rsid w:val="006434F0"/>
    <w:rsid w:val="00644251"/>
    <w:rsid w:val="00644C9E"/>
    <w:rsid w:val="006461FD"/>
    <w:rsid w:val="0064682D"/>
    <w:rsid w:val="006602E5"/>
    <w:rsid w:val="0066119E"/>
    <w:rsid w:val="00661CF1"/>
    <w:rsid w:val="00662473"/>
    <w:rsid w:val="0066765D"/>
    <w:rsid w:val="00667ECF"/>
    <w:rsid w:val="0067297D"/>
    <w:rsid w:val="00674112"/>
    <w:rsid w:val="00676ED5"/>
    <w:rsid w:val="00685F76"/>
    <w:rsid w:val="00687065"/>
    <w:rsid w:val="006974FE"/>
    <w:rsid w:val="006A1D3C"/>
    <w:rsid w:val="006A777B"/>
    <w:rsid w:val="006A7D73"/>
    <w:rsid w:val="006B6819"/>
    <w:rsid w:val="006B6FD1"/>
    <w:rsid w:val="006C430E"/>
    <w:rsid w:val="006C7640"/>
    <w:rsid w:val="006D0B71"/>
    <w:rsid w:val="006D0FAA"/>
    <w:rsid w:val="006D107B"/>
    <w:rsid w:val="006D57B7"/>
    <w:rsid w:val="006D6081"/>
    <w:rsid w:val="006D6116"/>
    <w:rsid w:val="006D7954"/>
    <w:rsid w:val="006D7DF5"/>
    <w:rsid w:val="006E08E2"/>
    <w:rsid w:val="006E15CF"/>
    <w:rsid w:val="006E773A"/>
    <w:rsid w:val="006F17D0"/>
    <w:rsid w:val="006F336D"/>
    <w:rsid w:val="006F461B"/>
    <w:rsid w:val="006F4FDB"/>
    <w:rsid w:val="006F604A"/>
    <w:rsid w:val="00701155"/>
    <w:rsid w:val="007034FB"/>
    <w:rsid w:val="00707DE8"/>
    <w:rsid w:val="00710EAF"/>
    <w:rsid w:val="007143C2"/>
    <w:rsid w:val="007148CC"/>
    <w:rsid w:val="00714CD4"/>
    <w:rsid w:val="00717985"/>
    <w:rsid w:val="007212EE"/>
    <w:rsid w:val="007217A7"/>
    <w:rsid w:val="00724202"/>
    <w:rsid w:val="007260EF"/>
    <w:rsid w:val="007263D5"/>
    <w:rsid w:val="00733313"/>
    <w:rsid w:val="007359C6"/>
    <w:rsid w:val="00743B35"/>
    <w:rsid w:val="00744579"/>
    <w:rsid w:val="00747B18"/>
    <w:rsid w:val="00750503"/>
    <w:rsid w:val="007549E5"/>
    <w:rsid w:val="00764E52"/>
    <w:rsid w:val="00765915"/>
    <w:rsid w:val="00767270"/>
    <w:rsid w:val="0077071F"/>
    <w:rsid w:val="0077338B"/>
    <w:rsid w:val="0077477F"/>
    <w:rsid w:val="00782DEA"/>
    <w:rsid w:val="007849F3"/>
    <w:rsid w:val="007853DD"/>
    <w:rsid w:val="00785B3D"/>
    <w:rsid w:val="0079145C"/>
    <w:rsid w:val="0079336B"/>
    <w:rsid w:val="007950F1"/>
    <w:rsid w:val="00795410"/>
    <w:rsid w:val="00796597"/>
    <w:rsid w:val="00796F47"/>
    <w:rsid w:val="007A1531"/>
    <w:rsid w:val="007A4207"/>
    <w:rsid w:val="007A46FC"/>
    <w:rsid w:val="007B2407"/>
    <w:rsid w:val="007B3618"/>
    <w:rsid w:val="007B460E"/>
    <w:rsid w:val="007B5676"/>
    <w:rsid w:val="007B63C0"/>
    <w:rsid w:val="007C1383"/>
    <w:rsid w:val="007C20CF"/>
    <w:rsid w:val="007C20FC"/>
    <w:rsid w:val="007C24AB"/>
    <w:rsid w:val="007C2CDC"/>
    <w:rsid w:val="007C3308"/>
    <w:rsid w:val="007C3CF0"/>
    <w:rsid w:val="007C4C3A"/>
    <w:rsid w:val="007C6CAE"/>
    <w:rsid w:val="007C7A26"/>
    <w:rsid w:val="007D2D18"/>
    <w:rsid w:val="007D41A5"/>
    <w:rsid w:val="007D6277"/>
    <w:rsid w:val="007E0244"/>
    <w:rsid w:val="007E1D65"/>
    <w:rsid w:val="007E6174"/>
    <w:rsid w:val="007E7992"/>
    <w:rsid w:val="007F40D5"/>
    <w:rsid w:val="007F4240"/>
    <w:rsid w:val="007F4860"/>
    <w:rsid w:val="007F4959"/>
    <w:rsid w:val="007F5038"/>
    <w:rsid w:val="007F59AB"/>
    <w:rsid w:val="007F6B79"/>
    <w:rsid w:val="0080012B"/>
    <w:rsid w:val="00803202"/>
    <w:rsid w:val="008036F9"/>
    <w:rsid w:val="00811BFF"/>
    <w:rsid w:val="00811FCD"/>
    <w:rsid w:val="00812A99"/>
    <w:rsid w:val="00813FBB"/>
    <w:rsid w:val="0081572D"/>
    <w:rsid w:val="00815FA3"/>
    <w:rsid w:val="00820095"/>
    <w:rsid w:val="0082022F"/>
    <w:rsid w:val="0082500D"/>
    <w:rsid w:val="00827D8B"/>
    <w:rsid w:val="00832D9F"/>
    <w:rsid w:val="00832DE4"/>
    <w:rsid w:val="008337F1"/>
    <w:rsid w:val="00837075"/>
    <w:rsid w:val="0084059C"/>
    <w:rsid w:val="008411C9"/>
    <w:rsid w:val="00841C96"/>
    <w:rsid w:val="00846613"/>
    <w:rsid w:val="00850D16"/>
    <w:rsid w:val="00853F7F"/>
    <w:rsid w:val="008616E9"/>
    <w:rsid w:val="008630A2"/>
    <w:rsid w:val="0086333A"/>
    <w:rsid w:val="00863A1C"/>
    <w:rsid w:val="00863D7F"/>
    <w:rsid w:val="00866941"/>
    <w:rsid w:val="00867252"/>
    <w:rsid w:val="0086787A"/>
    <w:rsid w:val="00877121"/>
    <w:rsid w:val="00877B9C"/>
    <w:rsid w:val="00880CE4"/>
    <w:rsid w:val="0088141A"/>
    <w:rsid w:val="00882C5F"/>
    <w:rsid w:val="00882E1E"/>
    <w:rsid w:val="008846D6"/>
    <w:rsid w:val="0088556E"/>
    <w:rsid w:val="00887551"/>
    <w:rsid w:val="008919D5"/>
    <w:rsid w:val="008926ED"/>
    <w:rsid w:val="00894079"/>
    <w:rsid w:val="0089617F"/>
    <w:rsid w:val="00896325"/>
    <w:rsid w:val="008A2D7D"/>
    <w:rsid w:val="008A56DF"/>
    <w:rsid w:val="008B10BF"/>
    <w:rsid w:val="008B1A1D"/>
    <w:rsid w:val="008B2EC0"/>
    <w:rsid w:val="008B4351"/>
    <w:rsid w:val="008B56D2"/>
    <w:rsid w:val="008B69A1"/>
    <w:rsid w:val="008B75D3"/>
    <w:rsid w:val="008C0545"/>
    <w:rsid w:val="008C0AB5"/>
    <w:rsid w:val="008C415F"/>
    <w:rsid w:val="008C62C9"/>
    <w:rsid w:val="008C698A"/>
    <w:rsid w:val="008D41B1"/>
    <w:rsid w:val="008E303B"/>
    <w:rsid w:val="008E3EC8"/>
    <w:rsid w:val="008E5915"/>
    <w:rsid w:val="008E6169"/>
    <w:rsid w:val="008E6B11"/>
    <w:rsid w:val="008F1D61"/>
    <w:rsid w:val="008F25EB"/>
    <w:rsid w:val="008F29C4"/>
    <w:rsid w:val="008F2EDC"/>
    <w:rsid w:val="008F3414"/>
    <w:rsid w:val="008F3B90"/>
    <w:rsid w:val="008F3D84"/>
    <w:rsid w:val="008F4ACD"/>
    <w:rsid w:val="008F5A98"/>
    <w:rsid w:val="008F7CB7"/>
    <w:rsid w:val="009006BC"/>
    <w:rsid w:val="0090136C"/>
    <w:rsid w:val="00901C75"/>
    <w:rsid w:val="00902EB9"/>
    <w:rsid w:val="00904CD6"/>
    <w:rsid w:val="009066A9"/>
    <w:rsid w:val="009101BC"/>
    <w:rsid w:val="0091027C"/>
    <w:rsid w:val="009118B1"/>
    <w:rsid w:val="00913D55"/>
    <w:rsid w:val="00913E69"/>
    <w:rsid w:val="00914EA2"/>
    <w:rsid w:val="009223E0"/>
    <w:rsid w:val="009232C6"/>
    <w:rsid w:val="00923DA9"/>
    <w:rsid w:val="009266D4"/>
    <w:rsid w:val="00931E3F"/>
    <w:rsid w:val="00932AC7"/>
    <w:rsid w:val="00932AD4"/>
    <w:rsid w:val="009332FA"/>
    <w:rsid w:val="00933587"/>
    <w:rsid w:val="00934FE8"/>
    <w:rsid w:val="00936B7C"/>
    <w:rsid w:val="009407E4"/>
    <w:rsid w:val="00940C81"/>
    <w:rsid w:val="00944A7B"/>
    <w:rsid w:val="0095346C"/>
    <w:rsid w:val="009546F7"/>
    <w:rsid w:val="00954981"/>
    <w:rsid w:val="009551C8"/>
    <w:rsid w:val="00971DB8"/>
    <w:rsid w:val="00972E44"/>
    <w:rsid w:val="00976C74"/>
    <w:rsid w:val="00980025"/>
    <w:rsid w:val="00983F77"/>
    <w:rsid w:val="00985151"/>
    <w:rsid w:val="009926D5"/>
    <w:rsid w:val="009A2744"/>
    <w:rsid w:val="009A424A"/>
    <w:rsid w:val="009A52F9"/>
    <w:rsid w:val="009A5AA9"/>
    <w:rsid w:val="009A6E0A"/>
    <w:rsid w:val="009A7D02"/>
    <w:rsid w:val="009B0FDF"/>
    <w:rsid w:val="009B245F"/>
    <w:rsid w:val="009B29CD"/>
    <w:rsid w:val="009B3F2A"/>
    <w:rsid w:val="009B4185"/>
    <w:rsid w:val="009B7547"/>
    <w:rsid w:val="009C2BF9"/>
    <w:rsid w:val="009C54B8"/>
    <w:rsid w:val="009C55F4"/>
    <w:rsid w:val="009D544C"/>
    <w:rsid w:val="009D59C2"/>
    <w:rsid w:val="009E07DE"/>
    <w:rsid w:val="009E2E15"/>
    <w:rsid w:val="009E38C2"/>
    <w:rsid w:val="009E3A39"/>
    <w:rsid w:val="009E557B"/>
    <w:rsid w:val="009E6D6E"/>
    <w:rsid w:val="009F0CC7"/>
    <w:rsid w:val="009F1C33"/>
    <w:rsid w:val="009F1E7B"/>
    <w:rsid w:val="009F24CD"/>
    <w:rsid w:val="009F27B5"/>
    <w:rsid w:val="009F7562"/>
    <w:rsid w:val="00A021FA"/>
    <w:rsid w:val="00A02575"/>
    <w:rsid w:val="00A026E4"/>
    <w:rsid w:val="00A07212"/>
    <w:rsid w:val="00A11BEC"/>
    <w:rsid w:val="00A14083"/>
    <w:rsid w:val="00A14722"/>
    <w:rsid w:val="00A1523D"/>
    <w:rsid w:val="00A21746"/>
    <w:rsid w:val="00A22000"/>
    <w:rsid w:val="00A2435C"/>
    <w:rsid w:val="00A24A5D"/>
    <w:rsid w:val="00A26941"/>
    <w:rsid w:val="00A42D1E"/>
    <w:rsid w:val="00A47537"/>
    <w:rsid w:val="00A51809"/>
    <w:rsid w:val="00A6020D"/>
    <w:rsid w:val="00A605B6"/>
    <w:rsid w:val="00A65D42"/>
    <w:rsid w:val="00A703EA"/>
    <w:rsid w:val="00A71A17"/>
    <w:rsid w:val="00A827A8"/>
    <w:rsid w:val="00A84E4A"/>
    <w:rsid w:val="00A90B22"/>
    <w:rsid w:val="00A90F11"/>
    <w:rsid w:val="00A91F8F"/>
    <w:rsid w:val="00A935B5"/>
    <w:rsid w:val="00A94542"/>
    <w:rsid w:val="00A94DDD"/>
    <w:rsid w:val="00A968F8"/>
    <w:rsid w:val="00A97A8B"/>
    <w:rsid w:val="00AA0ED9"/>
    <w:rsid w:val="00AA1E1C"/>
    <w:rsid w:val="00AA2C52"/>
    <w:rsid w:val="00AA2EF3"/>
    <w:rsid w:val="00AA3AC9"/>
    <w:rsid w:val="00AA3DCE"/>
    <w:rsid w:val="00AA6E79"/>
    <w:rsid w:val="00AA7A35"/>
    <w:rsid w:val="00AA7EF5"/>
    <w:rsid w:val="00AB1A6A"/>
    <w:rsid w:val="00AB3348"/>
    <w:rsid w:val="00AB4959"/>
    <w:rsid w:val="00AB4A58"/>
    <w:rsid w:val="00AB7F9B"/>
    <w:rsid w:val="00AC03D0"/>
    <w:rsid w:val="00AC1230"/>
    <w:rsid w:val="00AC2B73"/>
    <w:rsid w:val="00AC444E"/>
    <w:rsid w:val="00AC4DB4"/>
    <w:rsid w:val="00AC7E54"/>
    <w:rsid w:val="00AD32AE"/>
    <w:rsid w:val="00AD3FC1"/>
    <w:rsid w:val="00AE098B"/>
    <w:rsid w:val="00AE0EF5"/>
    <w:rsid w:val="00AE3D2F"/>
    <w:rsid w:val="00AE73A4"/>
    <w:rsid w:val="00AE742D"/>
    <w:rsid w:val="00AE78D0"/>
    <w:rsid w:val="00AF02F2"/>
    <w:rsid w:val="00AF0E53"/>
    <w:rsid w:val="00AF0FC2"/>
    <w:rsid w:val="00AF3304"/>
    <w:rsid w:val="00AF3F4A"/>
    <w:rsid w:val="00AF537F"/>
    <w:rsid w:val="00AF5548"/>
    <w:rsid w:val="00AF6B35"/>
    <w:rsid w:val="00AF78C9"/>
    <w:rsid w:val="00B02636"/>
    <w:rsid w:val="00B06EAD"/>
    <w:rsid w:val="00B12654"/>
    <w:rsid w:val="00B16617"/>
    <w:rsid w:val="00B16E91"/>
    <w:rsid w:val="00B1783E"/>
    <w:rsid w:val="00B21FF6"/>
    <w:rsid w:val="00B22A0C"/>
    <w:rsid w:val="00B23F2A"/>
    <w:rsid w:val="00B2572C"/>
    <w:rsid w:val="00B25EB3"/>
    <w:rsid w:val="00B327C6"/>
    <w:rsid w:val="00B32BED"/>
    <w:rsid w:val="00B33F59"/>
    <w:rsid w:val="00B34B71"/>
    <w:rsid w:val="00B3780C"/>
    <w:rsid w:val="00B40421"/>
    <w:rsid w:val="00B41BCF"/>
    <w:rsid w:val="00B4333C"/>
    <w:rsid w:val="00B52056"/>
    <w:rsid w:val="00B52528"/>
    <w:rsid w:val="00B536CA"/>
    <w:rsid w:val="00B55A4E"/>
    <w:rsid w:val="00B571D9"/>
    <w:rsid w:val="00B60172"/>
    <w:rsid w:val="00B6031B"/>
    <w:rsid w:val="00B655A4"/>
    <w:rsid w:val="00B679CE"/>
    <w:rsid w:val="00B70C74"/>
    <w:rsid w:val="00B74564"/>
    <w:rsid w:val="00B75A45"/>
    <w:rsid w:val="00B767C0"/>
    <w:rsid w:val="00B7772C"/>
    <w:rsid w:val="00B77CA0"/>
    <w:rsid w:val="00B8023C"/>
    <w:rsid w:val="00B8432E"/>
    <w:rsid w:val="00B902FE"/>
    <w:rsid w:val="00B90519"/>
    <w:rsid w:val="00B906E8"/>
    <w:rsid w:val="00B9151D"/>
    <w:rsid w:val="00B95180"/>
    <w:rsid w:val="00B95734"/>
    <w:rsid w:val="00B97453"/>
    <w:rsid w:val="00BA26E4"/>
    <w:rsid w:val="00BA41BE"/>
    <w:rsid w:val="00BA54B4"/>
    <w:rsid w:val="00BA72C0"/>
    <w:rsid w:val="00BA766E"/>
    <w:rsid w:val="00BB0D35"/>
    <w:rsid w:val="00BB135A"/>
    <w:rsid w:val="00BB3519"/>
    <w:rsid w:val="00BB3EBC"/>
    <w:rsid w:val="00BB6C69"/>
    <w:rsid w:val="00BB7DE7"/>
    <w:rsid w:val="00BC165F"/>
    <w:rsid w:val="00BC26C4"/>
    <w:rsid w:val="00BC318F"/>
    <w:rsid w:val="00BC4630"/>
    <w:rsid w:val="00BC7896"/>
    <w:rsid w:val="00BC7C13"/>
    <w:rsid w:val="00BD31EA"/>
    <w:rsid w:val="00BD39F4"/>
    <w:rsid w:val="00BE1D52"/>
    <w:rsid w:val="00BE2729"/>
    <w:rsid w:val="00BE2C37"/>
    <w:rsid w:val="00BE481B"/>
    <w:rsid w:val="00BE5876"/>
    <w:rsid w:val="00BE5A46"/>
    <w:rsid w:val="00BE675D"/>
    <w:rsid w:val="00BE7330"/>
    <w:rsid w:val="00BF044E"/>
    <w:rsid w:val="00BF4618"/>
    <w:rsid w:val="00BF4D41"/>
    <w:rsid w:val="00BF6FF9"/>
    <w:rsid w:val="00C015D4"/>
    <w:rsid w:val="00C029E5"/>
    <w:rsid w:val="00C04B72"/>
    <w:rsid w:val="00C06A13"/>
    <w:rsid w:val="00C07282"/>
    <w:rsid w:val="00C0780C"/>
    <w:rsid w:val="00C124EB"/>
    <w:rsid w:val="00C137BD"/>
    <w:rsid w:val="00C157F8"/>
    <w:rsid w:val="00C1784A"/>
    <w:rsid w:val="00C2138C"/>
    <w:rsid w:val="00C25DF4"/>
    <w:rsid w:val="00C27A71"/>
    <w:rsid w:val="00C30AF0"/>
    <w:rsid w:val="00C30F41"/>
    <w:rsid w:val="00C31E21"/>
    <w:rsid w:val="00C3282E"/>
    <w:rsid w:val="00C331E9"/>
    <w:rsid w:val="00C342DC"/>
    <w:rsid w:val="00C3749D"/>
    <w:rsid w:val="00C37678"/>
    <w:rsid w:val="00C425A5"/>
    <w:rsid w:val="00C4464B"/>
    <w:rsid w:val="00C44D40"/>
    <w:rsid w:val="00C45B88"/>
    <w:rsid w:val="00C473BF"/>
    <w:rsid w:val="00C53683"/>
    <w:rsid w:val="00C54B30"/>
    <w:rsid w:val="00C562A2"/>
    <w:rsid w:val="00C60B4C"/>
    <w:rsid w:val="00C62D68"/>
    <w:rsid w:val="00C6314D"/>
    <w:rsid w:val="00C64334"/>
    <w:rsid w:val="00C6451F"/>
    <w:rsid w:val="00C71ACE"/>
    <w:rsid w:val="00C73D4F"/>
    <w:rsid w:val="00C82D87"/>
    <w:rsid w:val="00C870E7"/>
    <w:rsid w:val="00C90066"/>
    <w:rsid w:val="00C9022E"/>
    <w:rsid w:val="00C9204A"/>
    <w:rsid w:val="00C93E1C"/>
    <w:rsid w:val="00C94DD0"/>
    <w:rsid w:val="00C9503F"/>
    <w:rsid w:val="00C9648A"/>
    <w:rsid w:val="00CA09EB"/>
    <w:rsid w:val="00CA3E16"/>
    <w:rsid w:val="00CA3EA3"/>
    <w:rsid w:val="00CA41B7"/>
    <w:rsid w:val="00CA713E"/>
    <w:rsid w:val="00CB0356"/>
    <w:rsid w:val="00CB4225"/>
    <w:rsid w:val="00CB4308"/>
    <w:rsid w:val="00CB4594"/>
    <w:rsid w:val="00CB468C"/>
    <w:rsid w:val="00CB77A2"/>
    <w:rsid w:val="00CC023C"/>
    <w:rsid w:val="00CC0462"/>
    <w:rsid w:val="00CC0B62"/>
    <w:rsid w:val="00CC115F"/>
    <w:rsid w:val="00CC1B99"/>
    <w:rsid w:val="00CC20E7"/>
    <w:rsid w:val="00CC2190"/>
    <w:rsid w:val="00CC5156"/>
    <w:rsid w:val="00CC5667"/>
    <w:rsid w:val="00CC5A80"/>
    <w:rsid w:val="00CC65D7"/>
    <w:rsid w:val="00CD29E2"/>
    <w:rsid w:val="00CD58DC"/>
    <w:rsid w:val="00CD71B2"/>
    <w:rsid w:val="00CE0499"/>
    <w:rsid w:val="00CE349A"/>
    <w:rsid w:val="00CE52E0"/>
    <w:rsid w:val="00CE7BC8"/>
    <w:rsid w:val="00CF2B97"/>
    <w:rsid w:val="00CF4B26"/>
    <w:rsid w:val="00CF5187"/>
    <w:rsid w:val="00D005B6"/>
    <w:rsid w:val="00D03CE3"/>
    <w:rsid w:val="00D06A86"/>
    <w:rsid w:val="00D0724F"/>
    <w:rsid w:val="00D103AC"/>
    <w:rsid w:val="00D13475"/>
    <w:rsid w:val="00D16855"/>
    <w:rsid w:val="00D17786"/>
    <w:rsid w:val="00D219AA"/>
    <w:rsid w:val="00D32EA1"/>
    <w:rsid w:val="00D34589"/>
    <w:rsid w:val="00D35AE9"/>
    <w:rsid w:val="00D3681C"/>
    <w:rsid w:val="00D37CC1"/>
    <w:rsid w:val="00D443C7"/>
    <w:rsid w:val="00D477D0"/>
    <w:rsid w:val="00D47AE8"/>
    <w:rsid w:val="00D51753"/>
    <w:rsid w:val="00D51A12"/>
    <w:rsid w:val="00D56462"/>
    <w:rsid w:val="00D62840"/>
    <w:rsid w:val="00D62A31"/>
    <w:rsid w:val="00D726B6"/>
    <w:rsid w:val="00D7361B"/>
    <w:rsid w:val="00D74856"/>
    <w:rsid w:val="00D7747A"/>
    <w:rsid w:val="00D829C5"/>
    <w:rsid w:val="00D85B4D"/>
    <w:rsid w:val="00D85E4B"/>
    <w:rsid w:val="00D863A8"/>
    <w:rsid w:val="00D87729"/>
    <w:rsid w:val="00D87778"/>
    <w:rsid w:val="00D87DEA"/>
    <w:rsid w:val="00D9478A"/>
    <w:rsid w:val="00D955D6"/>
    <w:rsid w:val="00D956A2"/>
    <w:rsid w:val="00D97975"/>
    <w:rsid w:val="00DA241F"/>
    <w:rsid w:val="00DA26C5"/>
    <w:rsid w:val="00DA5723"/>
    <w:rsid w:val="00DB2475"/>
    <w:rsid w:val="00DB2D04"/>
    <w:rsid w:val="00DB56B3"/>
    <w:rsid w:val="00DB745F"/>
    <w:rsid w:val="00DC3260"/>
    <w:rsid w:val="00DC53F2"/>
    <w:rsid w:val="00DC72C1"/>
    <w:rsid w:val="00DC7FC8"/>
    <w:rsid w:val="00DD0114"/>
    <w:rsid w:val="00DD12CC"/>
    <w:rsid w:val="00DD1902"/>
    <w:rsid w:val="00DD320F"/>
    <w:rsid w:val="00DD6BCE"/>
    <w:rsid w:val="00DE15AB"/>
    <w:rsid w:val="00DE2B5C"/>
    <w:rsid w:val="00DE31FA"/>
    <w:rsid w:val="00DE43C4"/>
    <w:rsid w:val="00DE587B"/>
    <w:rsid w:val="00DE6D58"/>
    <w:rsid w:val="00DF1B5E"/>
    <w:rsid w:val="00DF2993"/>
    <w:rsid w:val="00E020FA"/>
    <w:rsid w:val="00E055CB"/>
    <w:rsid w:val="00E10465"/>
    <w:rsid w:val="00E11784"/>
    <w:rsid w:val="00E12D82"/>
    <w:rsid w:val="00E140D1"/>
    <w:rsid w:val="00E16E68"/>
    <w:rsid w:val="00E16E7A"/>
    <w:rsid w:val="00E260AE"/>
    <w:rsid w:val="00E345B1"/>
    <w:rsid w:val="00E34C17"/>
    <w:rsid w:val="00E40592"/>
    <w:rsid w:val="00E4093B"/>
    <w:rsid w:val="00E41BB7"/>
    <w:rsid w:val="00E4232D"/>
    <w:rsid w:val="00E44A69"/>
    <w:rsid w:val="00E57407"/>
    <w:rsid w:val="00E57428"/>
    <w:rsid w:val="00E57468"/>
    <w:rsid w:val="00E5777E"/>
    <w:rsid w:val="00E57C1C"/>
    <w:rsid w:val="00E57C45"/>
    <w:rsid w:val="00E617AF"/>
    <w:rsid w:val="00E62867"/>
    <w:rsid w:val="00E64CDC"/>
    <w:rsid w:val="00E65FA1"/>
    <w:rsid w:val="00E66356"/>
    <w:rsid w:val="00E66869"/>
    <w:rsid w:val="00E70D3F"/>
    <w:rsid w:val="00E71993"/>
    <w:rsid w:val="00E739A1"/>
    <w:rsid w:val="00E741CE"/>
    <w:rsid w:val="00E75BD0"/>
    <w:rsid w:val="00E8345F"/>
    <w:rsid w:val="00E9087A"/>
    <w:rsid w:val="00E925A4"/>
    <w:rsid w:val="00E9532C"/>
    <w:rsid w:val="00E9564D"/>
    <w:rsid w:val="00E95B92"/>
    <w:rsid w:val="00E972EB"/>
    <w:rsid w:val="00EA0B39"/>
    <w:rsid w:val="00EA67BD"/>
    <w:rsid w:val="00EB3839"/>
    <w:rsid w:val="00EB65E7"/>
    <w:rsid w:val="00EB77BF"/>
    <w:rsid w:val="00EC04AC"/>
    <w:rsid w:val="00EC3ED6"/>
    <w:rsid w:val="00EC549E"/>
    <w:rsid w:val="00EC7398"/>
    <w:rsid w:val="00ED07AA"/>
    <w:rsid w:val="00ED0E4A"/>
    <w:rsid w:val="00ED16C0"/>
    <w:rsid w:val="00ED16F7"/>
    <w:rsid w:val="00EE0BCD"/>
    <w:rsid w:val="00EE167E"/>
    <w:rsid w:val="00EE2966"/>
    <w:rsid w:val="00EE2E28"/>
    <w:rsid w:val="00EE3379"/>
    <w:rsid w:val="00EE4959"/>
    <w:rsid w:val="00EE4F98"/>
    <w:rsid w:val="00EE6833"/>
    <w:rsid w:val="00EE6F7E"/>
    <w:rsid w:val="00EE7D9B"/>
    <w:rsid w:val="00EF003C"/>
    <w:rsid w:val="00EF169E"/>
    <w:rsid w:val="00EF51EA"/>
    <w:rsid w:val="00EF7469"/>
    <w:rsid w:val="00F02363"/>
    <w:rsid w:val="00F03CC5"/>
    <w:rsid w:val="00F0560C"/>
    <w:rsid w:val="00F06141"/>
    <w:rsid w:val="00F1087E"/>
    <w:rsid w:val="00F13DFA"/>
    <w:rsid w:val="00F1468D"/>
    <w:rsid w:val="00F14A3C"/>
    <w:rsid w:val="00F14B11"/>
    <w:rsid w:val="00F175D5"/>
    <w:rsid w:val="00F2307A"/>
    <w:rsid w:val="00F2566A"/>
    <w:rsid w:val="00F25B68"/>
    <w:rsid w:val="00F25E41"/>
    <w:rsid w:val="00F321C5"/>
    <w:rsid w:val="00F32F7E"/>
    <w:rsid w:val="00F33673"/>
    <w:rsid w:val="00F34AF5"/>
    <w:rsid w:val="00F411A6"/>
    <w:rsid w:val="00F4430F"/>
    <w:rsid w:val="00F4738C"/>
    <w:rsid w:val="00F54770"/>
    <w:rsid w:val="00F56D81"/>
    <w:rsid w:val="00F60A95"/>
    <w:rsid w:val="00F614EC"/>
    <w:rsid w:val="00F629F7"/>
    <w:rsid w:val="00F62C9A"/>
    <w:rsid w:val="00F632ED"/>
    <w:rsid w:val="00F648F8"/>
    <w:rsid w:val="00F654D2"/>
    <w:rsid w:val="00F672EB"/>
    <w:rsid w:val="00F806CD"/>
    <w:rsid w:val="00F840C3"/>
    <w:rsid w:val="00F85FFB"/>
    <w:rsid w:val="00F910F6"/>
    <w:rsid w:val="00F915FE"/>
    <w:rsid w:val="00F94BA9"/>
    <w:rsid w:val="00F95D59"/>
    <w:rsid w:val="00F96085"/>
    <w:rsid w:val="00FA0CC6"/>
    <w:rsid w:val="00FA53B1"/>
    <w:rsid w:val="00FA69FB"/>
    <w:rsid w:val="00FA69FF"/>
    <w:rsid w:val="00FA6C7A"/>
    <w:rsid w:val="00FA73A4"/>
    <w:rsid w:val="00FB1344"/>
    <w:rsid w:val="00FB1E07"/>
    <w:rsid w:val="00FB5D7B"/>
    <w:rsid w:val="00FB6466"/>
    <w:rsid w:val="00FB6FC6"/>
    <w:rsid w:val="00FB71F9"/>
    <w:rsid w:val="00FB7939"/>
    <w:rsid w:val="00FB7AF7"/>
    <w:rsid w:val="00FC0BDB"/>
    <w:rsid w:val="00FC10FB"/>
    <w:rsid w:val="00FC1474"/>
    <w:rsid w:val="00FC2FCE"/>
    <w:rsid w:val="00FC5A02"/>
    <w:rsid w:val="00FC5E6C"/>
    <w:rsid w:val="00FC66C8"/>
    <w:rsid w:val="00FC68B0"/>
    <w:rsid w:val="00FD1D39"/>
    <w:rsid w:val="00FD2BE4"/>
    <w:rsid w:val="00FD3160"/>
    <w:rsid w:val="00FD34AB"/>
    <w:rsid w:val="00FD5903"/>
    <w:rsid w:val="00FD7004"/>
    <w:rsid w:val="00FE0ED9"/>
    <w:rsid w:val="00FE22AA"/>
    <w:rsid w:val="00FE2BC4"/>
    <w:rsid w:val="00FE4843"/>
    <w:rsid w:val="00FE79A9"/>
    <w:rsid w:val="00FF03F1"/>
    <w:rsid w:val="00FF3E6C"/>
    <w:rsid w:val="00FF4DDC"/>
    <w:rsid w:val="00FF5F19"/>
    <w:rsid w:val="00FF6439"/>
    <w:rsid w:val="029A1BC5"/>
    <w:rsid w:val="02B258A9"/>
    <w:rsid w:val="0407519C"/>
    <w:rsid w:val="04201BE3"/>
    <w:rsid w:val="04501ACD"/>
    <w:rsid w:val="04F092B6"/>
    <w:rsid w:val="05FB5DEF"/>
    <w:rsid w:val="0600D554"/>
    <w:rsid w:val="0611CD5A"/>
    <w:rsid w:val="0707C3EE"/>
    <w:rsid w:val="08C95A63"/>
    <w:rsid w:val="0989A3C2"/>
    <w:rsid w:val="09A19D3D"/>
    <w:rsid w:val="0B39936C"/>
    <w:rsid w:val="0C7B75AF"/>
    <w:rsid w:val="0D6137ED"/>
    <w:rsid w:val="0DBB803D"/>
    <w:rsid w:val="0EFF3AFE"/>
    <w:rsid w:val="0F77CE73"/>
    <w:rsid w:val="0FEA8259"/>
    <w:rsid w:val="0FECECC8"/>
    <w:rsid w:val="127A7E13"/>
    <w:rsid w:val="128E1566"/>
    <w:rsid w:val="13E43DFE"/>
    <w:rsid w:val="15A40741"/>
    <w:rsid w:val="162D7C5E"/>
    <w:rsid w:val="169108E4"/>
    <w:rsid w:val="1C90EF4D"/>
    <w:rsid w:val="1D5515BA"/>
    <w:rsid w:val="1DA2D21B"/>
    <w:rsid w:val="1EAC130A"/>
    <w:rsid w:val="2061118A"/>
    <w:rsid w:val="21FF8186"/>
    <w:rsid w:val="22FCBFB5"/>
    <w:rsid w:val="264FEC3B"/>
    <w:rsid w:val="26BF962A"/>
    <w:rsid w:val="26D95A99"/>
    <w:rsid w:val="28E3F25A"/>
    <w:rsid w:val="2AEBB979"/>
    <w:rsid w:val="2B5889E1"/>
    <w:rsid w:val="2EF2D92E"/>
    <w:rsid w:val="2F3FFA3D"/>
    <w:rsid w:val="321DD0B6"/>
    <w:rsid w:val="326830F1"/>
    <w:rsid w:val="3310272A"/>
    <w:rsid w:val="368FE6D1"/>
    <w:rsid w:val="36A2C19C"/>
    <w:rsid w:val="36D8F529"/>
    <w:rsid w:val="3818B990"/>
    <w:rsid w:val="38393B06"/>
    <w:rsid w:val="38DCBD61"/>
    <w:rsid w:val="39626A4F"/>
    <w:rsid w:val="3BAAA842"/>
    <w:rsid w:val="3CAA56FB"/>
    <w:rsid w:val="3DB0FCB1"/>
    <w:rsid w:val="3DC37452"/>
    <w:rsid w:val="3FBC7711"/>
    <w:rsid w:val="4055B882"/>
    <w:rsid w:val="413060DC"/>
    <w:rsid w:val="41613C53"/>
    <w:rsid w:val="46D49E37"/>
    <w:rsid w:val="48700F19"/>
    <w:rsid w:val="48D685D6"/>
    <w:rsid w:val="48EEDEA7"/>
    <w:rsid w:val="4A8F77B3"/>
    <w:rsid w:val="4CF9AB45"/>
    <w:rsid w:val="4CFA1C51"/>
    <w:rsid w:val="4D372101"/>
    <w:rsid w:val="4D946A18"/>
    <w:rsid w:val="4DAF4770"/>
    <w:rsid w:val="4E362CC5"/>
    <w:rsid w:val="4E9911E7"/>
    <w:rsid w:val="4F6B3D90"/>
    <w:rsid w:val="51342F7D"/>
    <w:rsid w:val="51C3CBFC"/>
    <w:rsid w:val="53F09298"/>
    <w:rsid w:val="5611BB55"/>
    <w:rsid w:val="5AA9C0C1"/>
    <w:rsid w:val="5BC7F8A9"/>
    <w:rsid w:val="5BE58D12"/>
    <w:rsid w:val="5BFAFC05"/>
    <w:rsid w:val="5D3435C4"/>
    <w:rsid w:val="5F643985"/>
    <w:rsid w:val="60707EF4"/>
    <w:rsid w:val="60AE1ACD"/>
    <w:rsid w:val="60F4942A"/>
    <w:rsid w:val="6312E694"/>
    <w:rsid w:val="63414971"/>
    <w:rsid w:val="64CE1DE0"/>
    <w:rsid w:val="6681FB7D"/>
    <w:rsid w:val="673755F8"/>
    <w:rsid w:val="682906BB"/>
    <w:rsid w:val="689FF381"/>
    <w:rsid w:val="6AEBAF9E"/>
    <w:rsid w:val="6D94F270"/>
    <w:rsid w:val="6DBCA5EF"/>
    <w:rsid w:val="6EA77C65"/>
    <w:rsid w:val="6EF7791E"/>
    <w:rsid w:val="73E53386"/>
    <w:rsid w:val="75AA1910"/>
    <w:rsid w:val="788BB32C"/>
    <w:rsid w:val="79ADF5B4"/>
    <w:rsid w:val="7DB3B1DE"/>
    <w:rsid w:val="7F69999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C9C571"/>
  <w15:chartTrackingRefBased/>
  <w15:docId w15:val="{353952BF-E446-4CFF-9BA0-11A0347B3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68F2"/>
  </w:style>
  <w:style w:type="paragraph" w:styleId="Heading1">
    <w:name w:val="heading 1"/>
    <w:basedOn w:val="Normal"/>
    <w:next w:val="Normal"/>
    <w:link w:val="Heading1Char"/>
    <w:uiPriority w:val="9"/>
    <w:qFormat/>
    <w:rsid w:val="00AE78D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AE78D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E78D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E78D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E78D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E78D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E78D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E78D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E78D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78D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AE78D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E78D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E78D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E78D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E78D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E78D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E78D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E78D0"/>
    <w:rPr>
      <w:rFonts w:eastAsiaTheme="majorEastAsia" w:cstheme="majorBidi"/>
      <w:color w:val="272727" w:themeColor="text1" w:themeTint="D8"/>
    </w:rPr>
  </w:style>
  <w:style w:type="paragraph" w:styleId="Title">
    <w:name w:val="Title"/>
    <w:basedOn w:val="Normal"/>
    <w:next w:val="Normal"/>
    <w:link w:val="TitleChar"/>
    <w:uiPriority w:val="10"/>
    <w:qFormat/>
    <w:rsid w:val="00AE78D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E78D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E78D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78D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E78D0"/>
    <w:pPr>
      <w:spacing w:before="160"/>
      <w:jc w:val="center"/>
    </w:pPr>
    <w:rPr>
      <w:i/>
      <w:iCs/>
      <w:color w:val="404040" w:themeColor="text1" w:themeTint="BF"/>
    </w:rPr>
  </w:style>
  <w:style w:type="character" w:customStyle="1" w:styleId="QuoteChar">
    <w:name w:val="Quote Char"/>
    <w:basedOn w:val="DefaultParagraphFont"/>
    <w:link w:val="Quote"/>
    <w:uiPriority w:val="29"/>
    <w:rsid w:val="00AE78D0"/>
    <w:rPr>
      <w:i/>
      <w:iCs/>
      <w:color w:val="404040" w:themeColor="text1" w:themeTint="BF"/>
    </w:rPr>
  </w:style>
  <w:style w:type="paragraph" w:styleId="ListParagraph">
    <w:name w:val="List Paragraph"/>
    <w:basedOn w:val="Normal"/>
    <w:uiPriority w:val="34"/>
    <w:qFormat/>
    <w:rsid w:val="00AE78D0"/>
    <w:pPr>
      <w:ind w:left="720"/>
      <w:contextualSpacing/>
    </w:pPr>
  </w:style>
  <w:style w:type="character" w:styleId="IntenseEmphasis">
    <w:name w:val="Intense Emphasis"/>
    <w:basedOn w:val="DefaultParagraphFont"/>
    <w:uiPriority w:val="21"/>
    <w:qFormat/>
    <w:rsid w:val="00AE78D0"/>
    <w:rPr>
      <w:i/>
      <w:iCs/>
      <w:color w:val="2F5496" w:themeColor="accent1" w:themeShade="BF"/>
    </w:rPr>
  </w:style>
  <w:style w:type="paragraph" w:styleId="IntenseQuote">
    <w:name w:val="Intense Quote"/>
    <w:basedOn w:val="Normal"/>
    <w:next w:val="Normal"/>
    <w:link w:val="IntenseQuoteChar"/>
    <w:uiPriority w:val="30"/>
    <w:qFormat/>
    <w:rsid w:val="00AE78D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E78D0"/>
    <w:rPr>
      <w:i/>
      <w:iCs/>
      <w:color w:val="2F5496" w:themeColor="accent1" w:themeShade="BF"/>
    </w:rPr>
  </w:style>
  <w:style w:type="character" w:styleId="IntenseReference">
    <w:name w:val="Intense Reference"/>
    <w:basedOn w:val="DefaultParagraphFont"/>
    <w:uiPriority w:val="32"/>
    <w:qFormat/>
    <w:rsid w:val="00AE78D0"/>
    <w:rPr>
      <w:b/>
      <w:bCs/>
      <w:smallCaps/>
      <w:color w:val="2F5496" w:themeColor="accent1" w:themeShade="BF"/>
      <w:spacing w:val="5"/>
    </w:rPr>
  </w:style>
  <w:style w:type="character" w:styleId="PlaceholderText">
    <w:name w:val="Placeholder Text"/>
    <w:basedOn w:val="DefaultParagraphFont"/>
    <w:uiPriority w:val="99"/>
    <w:semiHidden/>
    <w:rsid w:val="00E9087A"/>
    <w:rPr>
      <w:color w:val="666666"/>
    </w:rPr>
  </w:style>
  <w:style w:type="paragraph" w:styleId="Header">
    <w:name w:val="header"/>
    <w:basedOn w:val="Normal"/>
    <w:link w:val="HeaderChar"/>
    <w:uiPriority w:val="99"/>
    <w:unhideWhenUsed/>
    <w:rsid w:val="000B5F3A"/>
    <w:pPr>
      <w:tabs>
        <w:tab w:val="center" w:pos="4153"/>
        <w:tab w:val="right" w:pos="8306"/>
      </w:tabs>
      <w:snapToGrid w:val="0"/>
      <w:spacing w:line="240" w:lineRule="auto"/>
      <w:jc w:val="center"/>
    </w:pPr>
    <w:rPr>
      <w:sz w:val="18"/>
      <w:szCs w:val="18"/>
    </w:rPr>
  </w:style>
  <w:style w:type="character" w:customStyle="1" w:styleId="HeaderChar">
    <w:name w:val="Header Char"/>
    <w:basedOn w:val="DefaultParagraphFont"/>
    <w:link w:val="Header"/>
    <w:uiPriority w:val="99"/>
    <w:rsid w:val="000B5F3A"/>
    <w:rPr>
      <w:sz w:val="18"/>
      <w:szCs w:val="18"/>
    </w:rPr>
  </w:style>
  <w:style w:type="paragraph" w:styleId="Footer">
    <w:name w:val="footer"/>
    <w:basedOn w:val="Normal"/>
    <w:link w:val="FooterChar"/>
    <w:uiPriority w:val="99"/>
    <w:unhideWhenUsed/>
    <w:rsid w:val="000B5F3A"/>
    <w:pPr>
      <w:tabs>
        <w:tab w:val="center" w:pos="4153"/>
        <w:tab w:val="right" w:pos="8306"/>
      </w:tabs>
      <w:snapToGrid w:val="0"/>
      <w:spacing w:line="240" w:lineRule="auto"/>
    </w:pPr>
    <w:rPr>
      <w:sz w:val="18"/>
      <w:szCs w:val="18"/>
    </w:rPr>
  </w:style>
  <w:style w:type="character" w:customStyle="1" w:styleId="FooterChar">
    <w:name w:val="Footer Char"/>
    <w:basedOn w:val="DefaultParagraphFont"/>
    <w:link w:val="Footer"/>
    <w:uiPriority w:val="99"/>
    <w:rsid w:val="000B5F3A"/>
    <w:rPr>
      <w:sz w:val="18"/>
      <w:szCs w:val="18"/>
    </w:rPr>
  </w:style>
  <w:style w:type="table" w:styleId="TableGrid">
    <w:name w:val="Table Grid"/>
    <w:basedOn w:val="TableNormal"/>
    <w:uiPriority w:val="39"/>
    <w:rsid w:val="00B257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0529B"/>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Bibliography">
    <w:name w:val="Bibliography"/>
    <w:basedOn w:val="Normal"/>
    <w:next w:val="Normal"/>
    <w:uiPriority w:val="37"/>
    <w:unhideWhenUsed/>
    <w:rsid w:val="009C55F4"/>
    <w:pPr>
      <w:tabs>
        <w:tab w:val="left" w:pos="264"/>
      </w:tabs>
      <w:spacing w:after="0" w:line="480" w:lineRule="auto"/>
      <w:ind w:left="264" w:hanging="264"/>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FD3160"/>
    <w:pPr>
      <w:spacing w:after="0" w:line="240" w:lineRule="auto"/>
    </w:pPr>
  </w:style>
  <w:style w:type="paragraph" w:styleId="CommentSubject">
    <w:name w:val="annotation subject"/>
    <w:basedOn w:val="CommentText"/>
    <w:next w:val="CommentText"/>
    <w:link w:val="CommentSubjectChar"/>
    <w:uiPriority w:val="99"/>
    <w:semiHidden/>
    <w:unhideWhenUsed/>
    <w:rsid w:val="008C415F"/>
    <w:rPr>
      <w:b/>
      <w:bCs/>
    </w:rPr>
  </w:style>
  <w:style w:type="character" w:customStyle="1" w:styleId="CommentSubjectChar">
    <w:name w:val="Comment Subject Char"/>
    <w:basedOn w:val="CommentTextChar"/>
    <w:link w:val="CommentSubject"/>
    <w:uiPriority w:val="99"/>
    <w:semiHidden/>
    <w:rsid w:val="008C415F"/>
    <w:rPr>
      <w:b/>
      <w:bCs/>
      <w:sz w:val="20"/>
      <w:szCs w:val="20"/>
    </w:rPr>
  </w:style>
  <w:style w:type="character" w:styleId="Hyperlink">
    <w:name w:val="Hyperlink"/>
    <w:basedOn w:val="DefaultParagraphFont"/>
    <w:uiPriority w:val="99"/>
    <w:unhideWhenUsed/>
    <w:rsid w:val="00811BFF"/>
    <w:rPr>
      <w:color w:val="0563C1" w:themeColor="hyperlink"/>
      <w:u w:val="single"/>
    </w:rPr>
  </w:style>
  <w:style w:type="character" w:styleId="UnresolvedMention">
    <w:name w:val="Unresolved Mention"/>
    <w:basedOn w:val="DefaultParagraphFont"/>
    <w:uiPriority w:val="99"/>
    <w:semiHidden/>
    <w:unhideWhenUsed/>
    <w:rsid w:val="00811BFF"/>
    <w:rPr>
      <w:color w:val="605E5C"/>
      <w:shd w:val="clear" w:color="auto" w:fill="E1DFDD"/>
    </w:rPr>
  </w:style>
  <w:style w:type="character" w:styleId="FollowedHyperlink">
    <w:name w:val="FollowedHyperlink"/>
    <w:basedOn w:val="DefaultParagraphFont"/>
    <w:uiPriority w:val="99"/>
    <w:semiHidden/>
    <w:unhideWhenUsed/>
    <w:rsid w:val="0013589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99022">
      <w:bodyDiv w:val="1"/>
      <w:marLeft w:val="0"/>
      <w:marRight w:val="0"/>
      <w:marTop w:val="0"/>
      <w:marBottom w:val="0"/>
      <w:divBdr>
        <w:top w:val="none" w:sz="0" w:space="0" w:color="auto"/>
        <w:left w:val="none" w:sz="0" w:space="0" w:color="auto"/>
        <w:bottom w:val="none" w:sz="0" w:space="0" w:color="auto"/>
        <w:right w:val="none" w:sz="0" w:space="0" w:color="auto"/>
      </w:divBdr>
    </w:div>
    <w:div w:id="10837627">
      <w:bodyDiv w:val="1"/>
      <w:marLeft w:val="0"/>
      <w:marRight w:val="0"/>
      <w:marTop w:val="0"/>
      <w:marBottom w:val="0"/>
      <w:divBdr>
        <w:top w:val="none" w:sz="0" w:space="0" w:color="auto"/>
        <w:left w:val="none" w:sz="0" w:space="0" w:color="auto"/>
        <w:bottom w:val="none" w:sz="0" w:space="0" w:color="auto"/>
        <w:right w:val="none" w:sz="0" w:space="0" w:color="auto"/>
      </w:divBdr>
    </w:div>
    <w:div w:id="42759879">
      <w:bodyDiv w:val="1"/>
      <w:marLeft w:val="0"/>
      <w:marRight w:val="0"/>
      <w:marTop w:val="0"/>
      <w:marBottom w:val="0"/>
      <w:divBdr>
        <w:top w:val="none" w:sz="0" w:space="0" w:color="auto"/>
        <w:left w:val="none" w:sz="0" w:space="0" w:color="auto"/>
        <w:bottom w:val="none" w:sz="0" w:space="0" w:color="auto"/>
        <w:right w:val="none" w:sz="0" w:space="0" w:color="auto"/>
      </w:divBdr>
      <w:divsChild>
        <w:div w:id="161550892">
          <w:marLeft w:val="0"/>
          <w:marRight w:val="0"/>
          <w:marTop w:val="0"/>
          <w:marBottom w:val="0"/>
          <w:divBdr>
            <w:top w:val="none" w:sz="0" w:space="0" w:color="auto"/>
            <w:left w:val="none" w:sz="0" w:space="0" w:color="auto"/>
            <w:bottom w:val="none" w:sz="0" w:space="0" w:color="auto"/>
            <w:right w:val="none" w:sz="0" w:space="0" w:color="auto"/>
          </w:divBdr>
        </w:div>
        <w:div w:id="869417233">
          <w:marLeft w:val="0"/>
          <w:marRight w:val="0"/>
          <w:marTop w:val="0"/>
          <w:marBottom w:val="0"/>
          <w:divBdr>
            <w:top w:val="none" w:sz="0" w:space="0" w:color="auto"/>
            <w:left w:val="none" w:sz="0" w:space="0" w:color="auto"/>
            <w:bottom w:val="none" w:sz="0" w:space="0" w:color="auto"/>
            <w:right w:val="none" w:sz="0" w:space="0" w:color="auto"/>
          </w:divBdr>
        </w:div>
        <w:div w:id="979505884">
          <w:marLeft w:val="0"/>
          <w:marRight w:val="0"/>
          <w:marTop w:val="0"/>
          <w:marBottom w:val="0"/>
          <w:divBdr>
            <w:top w:val="none" w:sz="0" w:space="0" w:color="auto"/>
            <w:left w:val="none" w:sz="0" w:space="0" w:color="auto"/>
            <w:bottom w:val="none" w:sz="0" w:space="0" w:color="auto"/>
            <w:right w:val="none" w:sz="0" w:space="0" w:color="auto"/>
          </w:divBdr>
        </w:div>
        <w:div w:id="281612236">
          <w:marLeft w:val="0"/>
          <w:marRight w:val="0"/>
          <w:marTop w:val="0"/>
          <w:marBottom w:val="0"/>
          <w:divBdr>
            <w:top w:val="none" w:sz="0" w:space="0" w:color="auto"/>
            <w:left w:val="none" w:sz="0" w:space="0" w:color="auto"/>
            <w:bottom w:val="none" w:sz="0" w:space="0" w:color="auto"/>
            <w:right w:val="none" w:sz="0" w:space="0" w:color="auto"/>
          </w:divBdr>
        </w:div>
        <w:div w:id="31610809">
          <w:marLeft w:val="0"/>
          <w:marRight w:val="0"/>
          <w:marTop w:val="0"/>
          <w:marBottom w:val="0"/>
          <w:divBdr>
            <w:top w:val="none" w:sz="0" w:space="0" w:color="auto"/>
            <w:left w:val="none" w:sz="0" w:space="0" w:color="auto"/>
            <w:bottom w:val="none" w:sz="0" w:space="0" w:color="auto"/>
            <w:right w:val="none" w:sz="0" w:space="0" w:color="auto"/>
          </w:divBdr>
        </w:div>
        <w:div w:id="2015763948">
          <w:marLeft w:val="0"/>
          <w:marRight w:val="0"/>
          <w:marTop w:val="0"/>
          <w:marBottom w:val="0"/>
          <w:divBdr>
            <w:top w:val="none" w:sz="0" w:space="0" w:color="auto"/>
            <w:left w:val="none" w:sz="0" w:space="0" w:color="auto"/>
            <w:bottom w:val="none" w:sz="0" w:space="0" w:color="auto"/>
            <w:right w:val="none" w:sz="0" w:space="0" w:color="auto"/>
          </w:divBdr>
        </w:div>
      </w:divsChild>
    </w:div>
    <w:div w:id="43799959">
      <w:bodyDiv w:val="1"/>
      <w:marLeft w:val="0"/>
      <w:marRight w:val="0"/>
      <w:marTop w:val="0"/>
      <w:marBottom w:val="0"/>
      <w:divBdr>
        <w:top w:val="none" w:sz="0" w:space="0" w:color="auto"/>
        <w:left w:val="none" w:sz="0" w:space="0" w:color="auto"/>
        <w:bottom w:val="none" w:sz="0" w:space="0" w:color="auto"/>
        <w:right w:val="none" w:sz="0" w:space="0" w:color="auto"/>
      </w:divBdr>
    </w:div>
    <w:div w:id="112141193">
      <w:bodyDiv w:val="1"/>
      <w:marLeft w:val="0"/>
      <w:marRight w:val="0"/>
      <w:marTop w:val="0"/>
      <w:marBottom w:val="0"/>
      <w:divBdr>
        <w:top w:val="none" w:sz="0" w:space="0" w:color="auto"/>
        <w:left w:val="none" w:sz="0" w:space="0" w:color="auto"/>
        <w:bottom w:val="none" w:sz="0" w:space="0" w:color="auto"/>
        <w:right w:val="none" w:sz="0" w:space="0" w:color="auto"/>
      </w:divBdr>
    </w:div>
    <w:div w:id="135071322">
      <w:bodyDiv w:val="1"/>
      <w:marLeft w:val="0"/>
      <w:marRight w:val="0"/>
      <w:marTop w:val="0"/>
      <w:marBottom w:val="0"/>
      <w:divBdr>
        <w:top w:val="none" w:sz="0" w:space="0" w:color="auto"/>
        <w:left w:val="none" w:sz="0" w:space="0" w:color="auto"/>
        <w:bottom w:val="none" w:sz="0" w:space="0" w:color="auto"/>
        <w:right w:val="none" w:sz="0" w:space="0" w:color="auto"/>
      </w:divBdr>
    </w:div>
    <w:div w:id="178400014">
      <w:bodyDiv w:val="1"/>
      <w:marLeft w:val="0"/>
      <w:marRight w:val="0"/>
      <w:marTop w:val="0"/>
      <w:marBottom w:val="0"/>
      <w:divBdr>
        <w:top w:val="none" w:sz="0" w:space="0" w:color="auto"/>
        <w:left w:val="none" w:sz="0" w:space="0" w:color="auto"/>
        <w:bottom w:val="none" w:sz="0" w:space="0" w:color="auto"/>
        <w:right w:val="none" w:sz="0" w:space="0" w:color="auto"/>
      </w:divBdr>
    </w:div>
    <w:div w:id="357438649">
      <w:bodyDiv w:val="1"/>
      <w:marLeft w:val="0"/>
      <w:marRight w:val="0"/>
      <w:marTop w:val="0"/>
      <w:marBottom w:val="0"/>
      <w:divBdr>
        <w:top w:val="none" w:sz="0" w:space="0" w:color="auto"/>
        <w:left w:val="none" w:sz="0" w:space="0" w:color="auto"/>
        <w:bottom w:val="none" w:sz="0" w:space="0" w:color="auto"/>
        <w:right w:val="none" w:sz="0" w:space="0" w:color="auto"/>
      </w:divBdr>
    </w:div>
    <w:div w:id="368772228">
      <w:bodyDiv w:val="1"/>
      <w:marLeft w:val="0"/>
      <w:marRight w:val="0"/>
      <w:marTop w:val="0"/>
      <w:marBottom w:val="0"/>
      <w:divBdr>
        <w:top w:val="none" w:sz="0" w:space="0" w:color="auto"/>
        <w:left w:val="none" w:sz="0" w:space="0" w:color="auto"/>
        <w:bottom w:val="none" w:sz="0" w:space="0" w:color="auto"/>
        <w:right w:val="none" w:sz="0" w:space="0" w:color="auto"/>
      </w:divBdr>
    </w:div>
    <w:div w:id="648482915">
      <w:bodyDiv w:val="1"/>
      <w:marLeft w:val="0"/>
      <w:marRight w:val="0"/>
      <w:marTop w:val="0"/>
      <w:marBottom w:val="0"/>
      <w:divBdr>
        <w:top w:val="none" w:sz="0" w:space="0" w:color="auto"/>
        <w:left w:val="none" w:sz="0" w:space="0" w:color="auto"/>
        <w:bottom w:val="none" w:sz="0" w:space="0" w:color="auto"/>
        <w:right w:val="none" w:sz="0" w:space="0" w:color="auto"/>
      </w:divBdr>
    </w:div>
    <w:div w:id="666202768">
      <w:bodyDiv w:val="1"/>
      <w:marLeft w:val="0"/>
      <w:marRight w:val="0"/>
      <w:marTop w:val="0"/>
      <w:marBottom w:val="0"/>
      <w:divBdr>
        <w:top w:val="none" w:sz="0" w:space="0" w:color="auto"/>
        <w:left w:val="none" w:sz="0" w:space="0" w:color="auto"/>
        <w:bottom w:val="none" w:sz="0" w:space="0" w:color="auto"/>
        <w:right w:val="none" w:sz="0" w:space="0" w:color="auto"/>
      </w:divBdr>
    </w:div>
    <w:div w:id="670062548">
      <w:bodyDiv w:val="1"/>
      <w:marLeft w:val="0"/>
      <w:marRight w:val="0"/>
      <w:marTop w:val="0"/>
      <w:marBottom w:val="0"/>
      <w:divBdr>
        <w:top w:val="none" w:sz="0" w:space="0" w:color="auto"/>
        <w:left w:val="none" w:sz="0" w:space="0" w:color="auto"/>
        <w:bottom w:val="none" w:sz="0" w:space="0" w:color="auto"/>
        <w:right w:val="none" w:sz="0" w:space="0" w:color="auto"/>
      </w:divBdr>
    </w:div>
    <w:div w:id="697969602">
      <w:bodyDiv w:val="1"/>
      <w:marLeft w:val="0"/>
      <w:marRight w:val="0"/>
      <w:marTop w:val="0"/>
      <w:marBottom w:val="0"/>
      <w:divBdr>
        <w:top w:val="none" w:sz="0" w:space="0" w:color="auto"/>
        <w:left w:val="none" w:sz="0" w:space="0" w:color="auto"/>
        <w:bottom w:val="none" w:sz="0" w:space="0" w:color="auto"/>
        <w:right w:val="none" w:sz="0" w:space="0" w:color="auto"/>
      </w:divBdr>
    </w:div>
    <w:div w:id="779030177">
      <w:bodyDiv w:val="1"/>
      <w:marLeft w:val="0"/>
      <w:marRight w:val="0"/>
      <w:marTop w:val="0"/>
      <w:marBottom w:val="0"/>
      <w:divBdr>
        <w:top w:val="none" w:sz="0" w:space="0" w:color="auto"/>
        <w:left w:val="none" w:sz="0" w:space="0" w:color="auto"/>
        <w:bottom w:val="none" w:sz="0" w:space="0" w:color="auto"/>
        <w:right w:val="none" w:sz="0" w:space="0" w:color="auto"/>
      </w:divBdr>
    </w:div>
    <w:div w:id="826244715">
      <w:bodyDiv w:val="1"/>
      <w:marLeft w:val="0"/>
      <w:marRight w:val="0"/>
      <w:marTop w:val="0"/>
      <w:marBottom w:val="0"/>
      <w:divBdr>
        <w:top w:val="none" w:sz="0" w:space="0" w:color="auto"/>
        <w:left w:val="none" w:sz="0" w:space="0" w:color="auto"/>
        <w:bottom w:val="none" w:sz="0" w:space="0" w:color="auto"/>
        <w:right w:val="none" w:sz="0" w:space="0" w:color="auto"/>
      </w:divBdr>
    </w:div>
    <w:div w:id="881405431">
      <w:bodyDiv w:val="1"/>
      <w:marLeft w:val="0"/>
      <w:marRight w:val="0"/>
      <w:marTop w:val="0"/>
      <w:marBottom w:val="0"/>
      <w:divBdr>
        <w:top w:val="none" w:sz="0" w:space="0" w:color="auto"/>
        <w:left w:val="none" w:sz="0" w:space="0" w:color="auto"/>
        <w:bottom w:val="none" w:sz="0" w:space="0" w:color="auto"/>
        <w:right w:val="none" w:sz="0" w:space="0" w:color="auto"/>
      </w:divBdr>
    </w:div>
    <w:div w:id="885262635">
      <w:bodyDiv w:val="1"/>
      <w:marLeft w:val="0"/>
      <w:marRight w:val="0"/>
      <w:marTop w:val="0"/>
      <w:marBottom w:val="0"/>
      <w:divBdr>
        <w:top w:val="none" w:sz="0" w:space="0" w:color="auto"/>
        <w:left w:val="none" w:sz="0" w:space="0" w:color="auto"/>
        <w:bottom w:val="none" w:sz="0" w:space="0" w:color="auto"/>
        <w:right w:val="none" w:sz="0" w:space="0" w:color="auto"/>
      </w:divBdr>
    </w:div>
    <w:div w:id="920800323">
      <w:bodyDiv w:val="1"/>
      <w:marLeft w:val="0"/>
      <w:marRight w:val="0"/>
      <w:marTop w:val="0"/>
      <w:marBottom w:val="0"/>
      <w:divBdr>
        <w:top w:val="none" w:sz="0" w:space="0" w:color="auto"/>
        <w:left w:val="none" w:sz="0" w:space="0" w:color="auto"/>
        <w:bottom w:val="none" w:sz="0" w:space="0" w:color="auto"/>
        <w:right w:val="none" w:sz="0" w:space="0" w:color="auto"/>
      </w:divBdr>
    </w:div>
    <w:div w:id="1065640666">
      <w:bodyDiv w:val="1"/>
      <w:marLeft w:val="0"/>
      <w:marRight w:val="0"/>
      <w:marTop w:val="0"/>
      <w:marBottom w:val="0"/>
      <w:divBdr>
        <w:top w:val="none" w:sz="0" w:space="0" w:color="auto"/>
        <w:left w:val="none" w:sz="0" w:space="0" w:color="auto"/>
        <w:bottom w:val="none" w:sz="0" w:space="0" w:color="auto"/>
        <w:right w:val="none" w:sz="0" w:space="0" w:color="auto"/>
      </w:divBdr>
    </w:div>
    <w:div w:id="1122069932">
      <w:bodyDiv w:val="1"/>
      <w:marLeft w:val="0"/>
      <w:marRight w:val="0"/>
      <w:marTop w:val="0"/>
      <w:marBottom w:val="0"/>
      <w:divBdr>
        <w:top w:val="none" w:sz="0" w:space="0" w:color="auto"/>
        <w:left w:val="none" w:sz="0" w:space="0" w:color="auto"/>
        <w:bottom w:val="none" w:sz="0" w:space="0" w:color="auto"/>
        <w:right w:val="none" w:sz="0" w:space="0" w:color="auto"/>
      </w:divBdr>
    </w:div>
    <w:div w:id="1163933062">
      <w:bodyDiv w:val="1"/>
      <w:marLeft w:val="0"/>
      <w:marRight w:val="0"/>
      <w:marTop w:val="0"/>
      <w:marBottom w:val="0"/>
      <w:divBdr>
        <w:top w:val="none" w:sz="0" w:space="0" w:color="auto"/>
        <w:left w:val="none" w:sz="0" w:space="0" w:color="auto"/>
        <w:bottom w:val="none" w:sz="0" w:space="0" w:color="auto"/>
        <w:right w:val="none" w:sz="0" w:space="0" w:color="auto"/>
      </w:divBdr>
    </w:div>
    <w:div w:id="1222987844">
      <w:bodyDiv w:val="1"/>
      <w:marLeft w:val="0"/>
      <w:marRight w:val="0"/>
      <w:marTop w:val="0"/>
      <w:marBottom w:val="0"/>
      <w:divBdr>
        <w:top w:val="none" w:sz="0" w:space="0" w:color="auto"/>
        <w:left w:val="none" w:sz="0" w:space="0" w:color="auto"/>
        <w:bottom w:val="none" w:sz="0" w:space="0" w:color="auto"/>
        <w:right w:val="none" w:sz="0" w:space="0" w:color="auto"/>
      </w:divBdr>
    </w:div>
    <w:div w:id="1281641859">
      <w:bodyDiv w:val="1"/>
      <w:marLeft w:val="0"/>
      <w:marRight w:val="0"/>
      <w:marTop w:val="0"/>
      <w:marBottom w:val="0"/>
      <w:divBdr>
        <w:top w:val="none" w:sz="0" w:space="0" w:color="auto"/>
        <w:left w:val="none" w:sz="0" w:space="0" w:color="auto"/>
        <w:bottom w:val="none" w:sz="0" w:space="0" w:color="auto"/>
        <w:right w:val="none" w:sz="0" w:space="0" w:color="auto"/>
      </w:divBdr>
    </w:div>
    <w:div w:id="1351951980">
      <w:bodyDiv w:val="1"/>
      <w:marLeft w:val="0"/>
      <w:marRight w:val="0"/>
      <w:marTop w:val="0"/>
      <w:marBottom w:val="0"/>
      <w:divBdr>
        <w:top w:val="none" w:sz="0" w:space="0" w:color="auto"/>
        <w:left w:val="none" w:sz="0" w:space="0" w:color="auto"/>
        <w:bottom w:val="none" w:sz="0" w:space="0" w:color="auto"/>
        <w:right w:val="none" w:sz="0" w:space="0" w:color="auto"/>
      </w:divBdr>
    </w:div>
    <w:div w:id="1367173600">
      <w:bodyDiv w:val="1"/>
      <w:marLeft w:val="0"/>
      <w:marRight w:val="0"/>
      <w:marTop w:val="0"/>
      <w:marBottom w:val="0"/>
      <w:divBdr>
        <w:top w:val="none" w:sz="0" w:space="0" w:color="auto"/>
        <w:left w:val="none" w:sz="0" w:space="0" w:color="auto"/>
        <w:bottom w:val="none" w:sz="0" w:space="0" w:color="auto"/>
        <w:right w:val="none" w:sz="0" w:space="0" w:color="auto"/>
      </w:divBdr>
    </w:div>
    <w:div w:id="1470592777">
      <w:bodyDiv w:val="1"/>
      <w:marLeft w:val="0"/>
      <w:marRight w:val="0"/>
      <w:marTop w:val="0"/>
      <w:marBottom w:val="0"/>
      <w:divBdr>
        <w:top w:val="none" w:sz="0" w:space="0" w:color="auto"/>
        <w:left w:val="none" w:sz="0" w:space="0" w:color="auto"/>
        <w:bottom w:val="none" w:sz="0" w:space="0" w:color="auto"/>
        <w:right w:val="none" w:sz="0" w:space="0" w:color="auto"/>
      </w:divBdr>
    </w:div>
    <w:div w:id="1479497850">
      <w:bodyDiv w:val="1"/>
      <w:marLeft w:val="0"/>
      <w:marRight w:val="0"/>
      <w:marTop w:val="0"/>
      <w:marBottom w:val="0"/>
      <w:divBdr>
        <w:top w:val="none" w:sz="0" w:space="0" w:color="auto"/>
        <w:left w:val="none" w:sz="0" w:space="0" w:color="auto"/>
        <w:bottom w:val="none" w:sz="0" w:space="0" w:color="auto"/>
        <w:right w:val="none" w:sz="0" w:space="0" w:color="auto"/>
      </w:divBdr>
    </w:div>
    <w:div w:id="1491021432">
      <w:bodyDiv w:val="1"/>
      <w:marLeft w:val="0"/>
      <w:marRight w:val="0"/>
      <w:marTop w:val="0"/>
      <w:marBottom w:val="0"/>
      <w:divBdr>
        <w:top w:val="none" w:sz="0" w:space="0" w:color="auto"/>
        <w:left w:val="none" w:sz="0" w:space="0" w:color="auto"/>
        <w:bottom w:val="none" w:sz="0" w:space="0" w:color="auto"/>
        <w:right w:val="none" w:sz="0" w:space="0" w:color="auto"/>
      </w:divBdr>
    </w:div>
    <w:div w:id="1598319843">
      <w:bodyDiv w:val="1"/>
      <w:marLeft w:val="0"/>
      <w:marRight w:val="0"/>
      <w:marTop w:val="0"/>
      <w:marBottom w:val="0"/>
      <w:divBdr>
        <w:top w:val="none" w:sz="0" w:space="0" w:color="auto"/>
        <w:left w:val="none" w:sz="0" w:space="0" w:color="auto"/>
        <w:bottom w:val="none" w:sz="0" w:space="0" w:color="auto"/>
        <w:right w:val="none" w:sz="0" w:space="0" w:color="auto"/>
      </w:divBdr>
      <w:divsChild>
        <w:div w:id="2016805550">
          <w:marLeft w:val="0"/>
          <w:marRight w:val="0"/>
          <w:marTop w:val="0"/>
          <w:marBottom w:val="0"/>
          <w:divBdr>
            <w:top w:val="none" w:sz="0" w:space="0" w:color="auto"/>
            <w:left w:val="none" w:sz="0" w:space="0" w:color="auto"/>
            <w:bottom w:val="none" w:sz="0" w:space="0" w:color="auto"/>
            <w:right w:val="none" w:sz="0" w:space="0" w:color="auto"/>
          </w:divBdr>
        </w:div>
        <w:div w:id="1426148095">
          <w:marLeft w:val="0"/>
          <w:marRight w:val="0"/>
          <w:marTop w:val="0"/>
          <w:marBottom w:val="0"/>
          <w:divBdr>
            <w:top w:val="none" w:sz="0" w:space="0" w:color="auto"/>
            <w:left w:val="none" w:sz="0" w:space="0" w:color="auto"/>
            <w:bottom w:val="none" w:sz="0" w:space="0" w:color="auto"/>
            <w:right w:val="none" w:sz="0" w:space="0" w:color="auto"/>
          </w:divBdr>
        </w:div>
        <w:div w:id="1152865853">
          <w:marLeft w:val="0"/>
          <w:marRight w:val="0"/>
          <w:marTop w:val="0"/>
          <w:marBottom w:val="0"/>
          <w:divBdr>
            <w:top w:val="none" w:sz="0" w:space="0" w:color="auto"/>
            <w:left w:val="none" w:sz="0" w:space="0" w:color="auto"/>
            <w:bottom w:val="none" w:sz="0" w:space="0" w:color="auto"/>
            <w:right w:val="none" w:sz="0" w:space="0" w:color="auto"/>
          </w:divBdr>
        </w:div>
        <w:div w:id="386074797">
          <w:marLeft w:val="0"/>
          <w:marRight w:val="0"/>
          <w:marTop w:val="0"/>
          <w:marBottom w:val="0"/>
          <w:divBdr>
            <w:top w:val="none" w:sz="0" w:space="0" w:color="auto"/>
            <w:left w:val="none" w:sz="0" w:space="0" w:color="auto"/>
            <w:bottom w:val="none" w:sz="0" w:space="0" w:color="auto"/>
            <w:right w:val="none" w:sz="0" w:space="0" w:color="auto"/>
          </w:divBdr>
        </w:div>
        <w:div w:id="1632782961">
          <w:marLeft w:val="0"/>
          <w:marRight w:val="0"/>
          <w:marTop w:val="0"/>
          <w:marBottom w:val="0"/>
          <w:divBdr>
            <w:top w:val="none" w:sz="0" w:space="0" w:color="auto"/>
            <w:left w:val="none" w:sz="0" w:space="0" w:color="auto"/>
            <w:bottom w:val="none" w:sz="0" w:space="0" w:color="auto"/>
            <w:right w:val="none" w:sz="0" w:space="0" w:color="auto"/>
          </w:divBdr>
        </w:div>
        <w:div w:id="36660450">
          <w:marLeft w:val="0"/>
          <w:marRight w:val="0"/>
          <w:marTop w:val="0"/>
          <w:marBottom w:val="0"/>
          <w:divBdr>
            <w:top w:val="none" w:sz="0" w:space="0" w:color="auto"/>
            <w:left w:val="none" w:sz="0" w:space="0" w:color="auto"/>
            <w:bottom w:val="none" w:sz="0" w:space="0" w:color="auto"/>
            <w:right w:val="none" w:sz="0" w:space="0" w:color="auto"/>
          </w:divBdr>
        </w:div>
      </w:divsChild>
    </w:div>
    <w:div w:id="1613627942">
      <w:bodyDiv w:val="1"/>
      <w:marLeft w:val="0"/>
      <w:marRight w:val="0"/>
      <w:marTop w:val="0"/>
      <w:marBottom w:val="0"/>
      <w:divBdr>
        <w:top w:val="none" w:sz="0" w:space="0" w:color="auto"/>
        <w:left w:val="none" w:sz="0" w:space="0" w:color="auto"/>
        <w:bottom w:val="none" w:sz="0" w:space="0" w:color="auto"/>
        <w:right w:val="none" w:sz="0" w:space="0" w:color="auto"/>
      </w:divBdr>
    </w:div>
    <w:div w:id="1624850714">
      <w:bodyDiv w:val="1"/>
      <w:marLeft w:val="0"/>
      <w:marRight w:val="0"/>
      <w:marTop w:val="0"/>
      <w:marBottom w:val="0"/>
      <w:divBdr>
        <w:top w:val="none" w:sz="0" w:space="0" w:color="auto"/>
        <w:left w:val="none" w:sz="0" w:space="0" w:color="auto"/>
        <w:bottom w:val="none" w:sz="0" w:space="0" w:color="auto"/>
        <w:right w:val="none" w:sz="0" w:space="0" w:color="auto"/>
      </w:divBdr>
    </w:div>
    <w:div w:id="1721392625">
      <w:bodyDiv w:val="1"/>
      <w:marLeft w:val="0"/>
      <w:marRight w:val="0"/>
      <w:marTop w:val="0"/>
      <w:marBottom w:val="0"/>
      <w:divBdr>
        <w:top w:val="none" w:sz="0" w:space="0" w:color="auto"/>
        <w:left w:val="none" w:sz="0" w:space="0" w:color="auto"/>
        <w:bottom w:val="none" w:sz="0" w:space="0" w:color="auto"/>
        <w:right w:val="none" w:sz="0" w:space="0" w:color="auto"/>
      </w:divBdr>
    </w:div>
    <w:div w:id="1749300425">
      <w:bodyDiv w:val="1"/>
      <w:marLeft w:val="0"/>
      <w:marRight w:val="0"/>
      <w:marTop w:val="0"/>
      <w:marBottom w:val="0"/>
      <w:divBdr>
        <w:top w:val="none" w:sz="0" w:space="0" w:color="auto"/>
        <w:left w:val="none" w:sz="0" w:space="0" w:color="auto"/>
        <w:bottom w:val="none" w:sz="0" w:space="0" w:color="auto"/>
        <w:right w:val="none" w:sz="0" w:space="0" w:color="auto"/>
      </w:divBdr>
    </w:div>
    <w:div w:id="1850219189">
      <w:bodyDiv w:val="1"/>
      <w:marLeft w:val="0"/>
      <w:marRight w:val="0"/>
      <w:marTop w:val="0"/>
      <w:marBottom w:val="0"/>
      <w:divBdr>
        <w:top w:val="none" w:sz="0" w:space="0" w:color="auto"/>
        <w:left w:val="none" w:sz="0" w:space="0" w:color="auto"/>
        <w:bottom w:val="none" w:sz="0" w:space="0" w:color="auto"/>
        <w:right w:val="none" w:sz="0" w:space="0" w:color="auto"/>
      </w:divBdr>
    </w:div>
    <w:div w:id="1874725330">
      <w:bodyDiv w:val="1"/>
      <w:marLeft w:val="0"/>
      <w:marRight w:val="0"/>
      <w:marTop w:val="0"/>
      <w:marBottom w:val="0"/>
      <w:divBdr>
        <w:top w:val="none" w:sz="0" w:space="0" w:color="auto"/>
        <w:left w:val="none" w:sz="0" w:space="0" w:color="auto"/>
        <w:bottom w:val="none" w:sz="0" w:space="0" w:color="auto"/>
        <w:right w:val="none" w:sz="0" w:space="0" w:color="auto"/>
      </w:divBdr>
    </w:div>
    <w:div w:id="1896116909">
      <w:bodyDiv w:val="1"/>
      <w:marLeft w:val="0"/>
      <w:marRight w:val="0"/>
      <w:marTop w:val="0"/>
      <w:marBottom w:val="0"/>
      <w:divBdr>
        <w:top w:val="none" w:sz="0" w:space="0" w:color="auto"/>
        <w:left w:val="none" w:sz="0" w:space="0" w:color="auto"/>
        <w:bottom w:val="none" w:sz="0" w:space="0" w:color="auto"/>
        <w:right w:val="none" w:sz="0" w:space="0" w:color="auto"/>
      </w:divBdr>
    </w:div>
    <w:div w:id="1934437226">
      <w:bodyDiv w:val="1"/>
      <w:marLeft w:val="0"/>
      <w:marRight w:val="0"/>
      <w:marTop w:val="0"/>
      <w:marBottom w:val="0"/>
      <w:divBdr>
        <w:top w:val="none" w:sz="0" w:space="0" w:color="auto"/>
        <w:left w:val="none" w:sz="0" w:space="0" w:color="auto"/>
        <w:bottom w:val="none" w:sz="0" w:space="0" w:color="auto"/>
        <w:right w:val="none" w:sz="0" w:space="0" w:color="auto"/>
      </w:divBdr>
    </w:div>
    <w:div w:id="2025084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ongju@mit.edu" TargetMode="External"/><Relationship Id="rId13" Type="http://schemas.openxmlformats.org/officeDocument/2006/relationships/image" Target="media/image5.jpeg"/><Relationship Id="rId18" Type="http://schemas.openxmlformats.org/officeDocument/2006/relationships/image" Target="media/image10.jpeg"/><Relationship Id="rId26" Type="http://schemas.microsoft.com/office/2020/10/relationships/intelligence" Target="intelligence2.xml"/><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hyperlink" Target="https://doi:10.7910/DVN/JTUM2H" TargetMode="External"/><Relationship Id="rId10" Type="http://schemas.openxmlformats.org/officeDocument/2006/relationships/image" Target="media/image2.pn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hyperlink" Target="https://doi:10.7910/DVN/JTUM2H"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BCD3E0-2A2A-4698-8B4E-52F6279324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507</TotalTime>
  <Pages>32</Pages>
  <Words>57326</Words>
  <Characters>326763</Characters>
  <Application>Microsoft Office Word</Application>
  <DocSecurity>0</DocSecurity>
  <Lines>2723</Lines>
  <Paragraphs>766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Jixiang Yang</dc:creator>
  <cp:keywords/>
  <dc:description/>
  <cp:lastModifiedBy>Jixiang Yang</cp:lastModifiedBy>
  <cp:revision>72</cp:revision>
  <cp:lastPrinted>2024-08-27T22:41:00Z</cp:lastPrinted>
  <dcterms:created xsi:type="dcterms:W3CDTF">2024-12-01T21:28:00Z</dcterms:created>
  <dcterms:modified xsi:type="dcterms:W3CDTF">2025-02-01T01:59:00Z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id="U3Qiqgwr"/&gt;&lt;style id="http://www.zotero.org/styles/nature" hasBibliography="1" bibliographyStyleHasBeenSet="1"/&gt;&lt;prefs&gt;&lt;pref name="fieldType" value="Field"/&gt;&lt;pref name="automaticJournalAbbreviati</vt:lpwstr>
  </property>
  <property fmtid="{D5CDD505-2E9C-101B-9397-08002B2CF9AE}" pid="3" name="ZOTERO_PREF_2">
    <vt:lpwstr>ons" value="true"/&gt;&lt;pref name="dontAskDelayCitationUpdates" value="true"/&gt;&lt;/prefs&gt;&lt;/data&gt;</vt:lpwstr>
  </property>
</Properties>
</file>