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AE92" w14:textId="38230E47" w:rsidR="004718A9" w:rsidRPr="00FA54DF" w:rsidRDefault="00645F82">
      <w:pPr>
        <w:pStyle w:val="Authors"/>
        <w:rPr>
          <w:rFonts w:ascii="Arial" w:hAnsi="Arial" w:cs="Arial"/>
          <w:sz w:val="22"/>
          <w:szCs w:val="22"/>
        </w:rPr>
      </w:pPr>
      <w:r w:rsidRPr="00645F82">
        <w:rPr>
          <w:rFonts w:ascii="Arial" w:hAnsi="Arial" w:cs="Arial"/>
          <w:b/>
          <w:lang w:val="en-US"/>
        </w:rPr>
        <w:t>Role of Oxygen in Work Hardening and Fatigue Deformation of {0001}</w:t>
      </w:r>
      <w:r w:rsidRPr="00645F82">
        <w:rPr>
          <w:rFonts w:ascii="Cambria Math" w:hAnsi="Cambria Math" w:cs="Cambria Math"/>
          <w:b/>
          <w:lang w:val="en-US"/>
        </w:rPr>
        <w:t>⟨</w:t>
      </w:r>
      <w:r w:rsidRPr="00645F82">
        <w:rPr>
          <w:rFonts w:ascii="Arial" w:hAnsi="Arial" w:cs="Arial"/>
          <w:b/>
          <w:lang w:val="en-US"/>
        </w:rPr>
        <w:t>10–10</w:t>
      </w:r>
      <w:r w:rsidRPr="00645F82">
        <w:rPr>
          <w:rFonts w:ascii="Cambria Math" w:hAnsi="Cambria Math" w:cs="Cambria Math"/>
          <w:b/>
          <w:lang w:val="en-US"/>
        </w:rPr>
        <w:t>⟩</w:t>
      </w:r>
      <w:r w:rsidRPr="00645F82">
        <w:rPr>
          <w:rFonts w:ascii="Arial" w:hAnsi="Arial" w:cs="Arial"/>
          <w:b/>
          <w:lang w:val="en-US"/>
        </w:rPr>
        <w:t xml:space="preserve"> Textured Titanium Alloys</w:t>
      </w:r>
    </w:p>
    <w:p w14:paraId="21BFC8DE" w14:textId="11DAD654" w:rsidR="004718A9" w:rsidRPr="00E97F80" w:rsidRDefault="00E97F80">
      <w:pPr>
        <w:pStyle w:val="Authors"/>
        <w:snapToGrid w:val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Motoaki Morita</w:t>
      </w:r>
      <w:r w:rsidR="004718A9" w:rsidRPr="00FA54DF">
        <w:rPr>
          <w:rFonts w:ascii="Arial" w:hAnsi="Arial" w:cs="Arial"/>
          <w:sz w:val="22"/>
          <w:szCs w:val="22"/>
          <w:vertAlign w:val="superscript"/>
        </w:rPr>
        <w:t>1</w:t>
      </w:r>
      <w:r w:rsidR="004718A9" w:rsidRPr="00FA54D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:lang w:val="en-US"/>
        </w:rPr>
        <w:t>Shogo Hara</w:t>
      </w:r>
      <w:r w:rsidRPr="00E97F80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2161AB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Yoshiaki Toda</w:t>
      </w:r>
      <w:r w:rsidRPr="00E97F80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>
        <w:rPr>
          <w:rFonts w:ascii="Arial" w:hAnsi="Arial" w:cs="Arial"/>
          <w:sz w:val="22"/>
          <w:szCs w:val="22"/>
          <w:lang w:val="en-US"/>
        </w:rPr>
        <w:t>, Osamu Umezawa</w:t>
      </w:r>
      <w:r w:rsidRPr="00E97F80">
        <w:rPr>
          <w:rFonts w:ascii="Arial" w:hAnsi="Arial" w:cs="Arial"/>
          <w:sz w:val="22"/>
          <w:szCs w:val="22"/>
          <w:vertAlign w:val="superscript"/>
          <w:lang w:val="en-US"/>
        </w:rPr>
        <w:t>3</w:t>
      </w:r>
    </w:p>
    <w:p w14:paraId="5589BE79" w14:textId="1C10D585" w:rsidR="00D80FDE" w:rsidRPr="00FA54DF" w:rsidRDefault="004718A9">
      <w:pPr>
        <w:pStyle w:val="Authors"/>
        <w:snapToGrid w:val="0"/>
        <w:rPr>
          <w:rStyle w:val="AuthorsafiiliationChar"/>
          <w:rFonts w:ascii="Arial" w:hAnsi="Arial" w:cs="Arial"/>
          <w:sz w:val="22"/>
          <w:szCs w:val="22"/>
        </w:rPr>
      </w:pPr>
      <w:r w:rsidRPr="00FA54DF">
        <w:rPr>
          <w:rFonts w:ascii="Arial" w:hAnsi="Arial" w:cs="Arial"/>
          <w:sz w:val="22"/>
          <w:szCs w:val="22"/>
          <w:vertAlign w:val="superscript"/>
        </w:rPr>
        <w:t>1</w:t>
      </w:r>
      <w:r w:rsidRPr="00FA54DF">
        <w:rPr>
          <w:rStyle w:val="AuthorsafiiliationChar"/>
          <w:rFonts w:ascii="Arial" w:hAnsi="Arial" w:cs="Arial"/>
          <w:sz w:val="22"/>
          <w:szCs w:val="22"/>
        </w:rPr>
        <w:t>First author's affiliation</w:t>
      </w:r>
    </w:p>
    <w:p w14:paraId="7CE731B4" w14:textId="5C9B0542" w:rsidR="002161AB" w:rsidRDefault="004718A9" w:rsidP="002161AB">
      <w:pPr>
        <w:pStyle w:val="Authors"/>
        <w:snapToGrid w:val="0"/>
        <w:rPr>
          <w:rStyle w:val="AuthorsafiiliationChar"/>
          <w:rFonts w:ascii="Arial" w:hAnsi="Arial" w:cs="Arial"/>
          <w:sz w:val="22"/>
          <w:szCs w:val="22"/>
        </w:rPr>
      </w:pPr>
      <w:r w:rsidRPr="00FA54DF">
        <w:rPr>
          <w:rFonts w:ascii="Arial" w:hAnsi="Arial" w:cs="Arial"/>
          <w:sz w:val="22"/>
          <w:szCs w:val="22"/>
          <w:vertAlign w:val="superscript"/>
        </w:rPr>
        <w:t>2</w:t>
      </w:r>
      <w:r w:rsidR="002161AB">
        <w:rPr>
          <w:rStyle w:val="AuthorsafiiliationChar"/>
          <w:rFonts w:ascii="Arial" w:hAnsi="Arial" w:cs="Arial"/>
          <w:sz w:val="22"/>
          <w:szCs w:val="22"/>
        </w:rPr>
        <w:t>National Institute of Materials Science</w:t>
      </w:r>
    </w:p>
    <w:p w14:paraId="01DEF6D5" w14:textId="3CEA2E7C" w:rsidR="002161AB" w:rsidRPr="002161AB" w:rsidRDefault="002161AB" w:rsidP="002161AB">
      <w:pPr>
        <w:pStyle w:val="Authors"/>
        <w:snapToGrid w:val="0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Style w:val="AuthorsafiiliationChar"/>
          <w:rFonts w:ascii="Arial" w:hAnsi="Arial" w:cs="Arial"/>
          <w:sz w:val="22"/>
          <w:szCs w:val="22"/>
        </w:rPr>
        <w:t>Yokohama National University</w:t>
      </w:r>
    </w:p>
    <w:p w14:paraId="2AD2E404" w14:textId="390E1960" w:rsidR="004718A9" w:rsidRPr="00FA54DF" w:rsidRDefault="00FD4FD6">
      <w:pPr>
        <w:pStyle w:val="Papertext"/>
        <w:jc w:val="center"/>
        <w:rPr>
          <w:rFonts w:ascii="Arial" w:hAnsi="Arial" w:cs="Arial"/>
          <w:sz w:val="22"/>
          <w:szCs w:val="22"/>
          <w:lang w:val="hr-HR"/>
        </w:rPr>
      </w:pPr>
      <w:r w:rsidRPr="00FA54DF">
        <w:rPr>
          <w:rFonts w:ascii="Arial" w:hAnsi="Arial" w:cs="Arial"/>
          <w:sz w:val="22"/>
          <w:szCs w:val="22"/>
          <w:lang w:val="hr-HR"/>
        </w:rPr>
        <w:t>e</w:t>
      </w:r>
      <w:r w:rsidR="004718A9" w:rsidRPr="00FA54DF">
        <w:rPr>
          <w:rFonts w:ascii="Arial" w:hAnsi="Arial" w:cs="Arial"/>
          <w:sz w:val="22"/>
          <w:szCs w:val="22"/>
          <w:lang w:val="hr-HR"/>
        </w:rPr>
        <w:t xml:space="preserve">: </w:t>
      </w:r>
      <w:r w:rsidR="002161AB">
        <w:rPr>
          <w:rFonts w:ascii="Arial" w:hAnsi="Arial" w:cs="Arial"/>
          <w:sz w:val="22"/>
          <w:szCs w:val="22"/>
          <w:lang w:val="hr-HR"/>
        </w:rPr>
        <w:t>morita@kaiyodai.ac.jp</w:t>
      </w:r>
    </w:p>
    <w:p w14:paraId="618BB05C" w14:textId="7FB28F80" w:rsidR="00815DEE" w:rsidRDefault="00815DEE" w:rsidP="008E37F7">
      <w:pPr>
        <w:autoSpaceDE w:val="0"/>
        <w:jc w:val="both"/>
        <w:rPr>
          <w:rFonts w:ascii="Arial" w:hAnsi="Arial" w:cs="Arial"/>
          <w:sz w:val="20"/>
          <w:szCs w:val="20"/>
        </w:rPr>
      </w:pPr>
    </w:p>
    <w:p w14:paraId="7D17ACFD" w14:textId="77777777" w:rsidR="00EC2A77" w:rsidRDefault="00815DEE" w:rsidP="008E37F7">
      <w:pPr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Ti-0.21mass%</w:t>
      </w:r>
      <w:r w:rsidR="008C3A07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and Ti-0.71mass%O with {0001}&lt;10-10&gt; texture were pre</w:t>
      </w:r>
      <w:r w:rsidR="0008737C">
        <w:rPr>
          <w:rFonts w:ascii="Arial" w:hAnsi="Arial" w:cs="Arial"/>
          <w:sz w:val="20"/>
          <w:szCs w:val="20"/>
        </w:rPr>
        <w:t>pa</w:t>
      </w:r>
      <w:r>
        <w:rPr>
          <w:rFonts w:ascii="Arial" w:hAnsi="Arial" w:cs="Arial"/>
          <w:sz w:val="20"/>
          <w:szCs w:val="20"/>
        </w:rPr>
        <w:t>red</w:t>
      </w:r>
      <w:r w:rsidR="00BA1082">
        <w:rPr>
          <w:rFonts w:ascii="Arial" w:hAnsi="Arial" w:cs="Arial"/>
          <w:sz w:val="20"/>
          <w:szCs w:val="20"/>
        </w:rPr>
        <w:t>, and t</w:t>
      </w:r>
      <w:r>
        <w:rPr>
          <w:rFonts w:ascii="Arial" w:hAnsi="Arial" w:cs="Arial"/>
          <w:sz w:val="20"/>
          <w:szCs w:val="20"/>
        </w:rPr>
        <w:t>he</w:t>
      </w:r>
      <w:r w:rsidR="0008737C">
        <w:rPr>
          <w:rFonts w:ascii="Arial" w:hAnsi="Arial" w:cs="Arial"/>
          <w:sz w:val="20"/>
          <w:szCs w:val="20"/>
        </w:rPr>
        <w:t>ir</w:t>
      </w:r>
      <w:r>
        <w:rPr>
          <w:rFonts w:ascii="Arial" w:hAnsi="Arial" w:cs="Arial"/>
          <w:sz w:val="20"/>
          <w:szCs w:val="20"/>
        </w:rPr>
        <w:t xml:space="preserve"> tensile and fatigue properties were investigated. </w:t>
      </w:r>
    </w:p>
    <w:p w14:paraId="5CE60034" w14:textId="6F733093" w:rsidR="00815DEE" w:rsidRDefault="00815DEE" w:rsidP="008E37F7">
      <w:pPr>
        <w:autoSpaceDE w:val="0"/>
        <w:jc w:val="both"/>
        <w:rPr>
          <w:rFonts w:ascii="Arial" w:hAnsi="Arial" w:cs="Arial"/>
          <w:sz w:val="20"/>
          <w:szCs w:val="20"/>
          <w:lang w:eastAsia="ja-JP"/>
        </w:rPr>
      </w:pPr>
      <w:r>
        <w:rPr>
          <w:rFonts w:ascii="Arial" w:hAnsi="Arial" w:cs="Arial"/>
          <w:sz w:val="20"/>
          <w:szCs w:val="20"/>
        </w:rPr>
        <w:t xml:space="preserve">In tensile </w:t>
      </w:r>
      <w:r w:rsidR="0008737C">
        <w:rPr>
          <w:rFonts w:ascii="Arial" w:hAnsi="Arial" w:cs="Arial"/>
          <w:sz w:val="20"/>
          <w:szCs w:val="20"/>
        </w:rPr>
        <w:t>tests</w:t>
      </w:r>
      <w:r>
        <w:rPr>
          <w:rFonts w:ascii="Arial" w:hAnsi="Arial" w:cs="Arial"/>
          <w:sz w:val="20"/>
          <w:szCs w:val="20"/>
        </w:rPr>
        <w:t>, Ti-0.71mass%O exhibited higher elongation</w:t>
      </w:r>
      <w:r w:rsidR="0008737C">
        <w:rPr>
          <w:rFonts w:ascii="Arial" w:hAnsi="Arial" w:cs="Arial"/>
          <w:sz w:val="20"/>
          <w:szCs w:val="20"/>
        </w:rPr>
        <w:t xml:space="preserve"> than that of Ti-0.21mass%O. </w:t>
      </w:r>
      <w:r w:rsidR="000456B9">
        <w:rPr>
          <w:rFonts w:ascii="Arial" w:hAnsi="Arial" w:cs="Arial"/>
          <w:sz w:val="20"/>
          <w:szCs w:val="20"/>
        </w:rPr>
        <w:t xml:space="preserve">Furthermore, the </w:t>
      </w:r>
      <w:r w:rsidR="0008737C">
        <w:rPr>
          <w:rFonts w:ascii="Arial" w:hAnsi="Arial" w:cs="Arial"/>
          <w:sz w:val="20"/>
          <w:szCs w:val="20"/>
        </w:rPr>
        <w:t>work</w:t>
      </w:r>
      <w:r w:rsidR="00EC2A77">
        <w:rPr>
          <w:rFonts w:ascii="Arial" w:hAnsi="Arial" w:cs="Arial"/>
          <w:sz w:val="20"/>
          <w:szCs w:val="20"/>
        </w:rPr>
        <w:t>-hardening rate of Ti-0.71 mass%O</w:t>
      </w:r>
      <w:r w:rsidR="000456B9">
        <w:rPr>
          <w:rFonts w:ascii="Arial" w:hAnsi="Arial" w:cs="Arial"/>
          <w:sz w:val="20"/>
          <w:szCs w:val="20"/>
        </w:rPr>
        <w:t xml:space="preserve"> </w:t>
      </w:r>
      <w:r w:rsidR="004550D7">
        <w:rPr>
          <w:rFonts w:ascii="Arial" w:hAnsi="Arial" w:cs="Arial"/>
          <w:sz w:val="20"/>
          <w:szCs w:val="20"/>
        </w:rPr>
        <w:t>remained</w:t>
      </w:r>
      <w:r w:rsidR="00ED0000">
        <w:rPr>
          <w:rFonts w:ascii="Arial" w:hAnsi="Arial" w:cs="Arial"/>
          <w:sz w:val="20"/>
          <w:szCs w:val="20"/>
        </w:rPr>
        <w:t xml:space="preserve"> </w:t>
      </w:r>
      <w:r w:rsidR="000456B9">
        <w:rPr>
          <w:rFonts w:ascii="Arial" w:hAnsi="Arial" w:cs="Arial"/>
          <w:sz w:val="20"/>
          <w:szCs w:val="20"/>
        </w:rPr>
        <w:t>high until</w:t>
      </w:r>
      <w:r w:rsidR="0008737C">
        <w:rPr>
          <w:rFonts w:ascii="Arial" w:hAnsi="Arial" w:cs="Arial"/>
          <w:sz w:val="20"/>
          <w:szCs w:val="20"/>
        </w:rPr>
        <w:t xml:space="preserve"> the end of deformation. </w:t>
      </w:r>
      <w:r w:rsidR="00F91778">
        <w:rPr>
          <w:rFonts w:ascii="Arial" w:hAnsi="Arial" w:cs="Arial"/>
          <w:sz w:val="20"/>
          <w:szCs w:val="20"/>
        </w:rPr>
        <w:t>T</w:t>
      </w:r>
      <w:r w:rsidR="000C3239">
        <w:rPr>
          <w:rFonts w:ascii="Arial" w:hAnsi="Arial" w:cs="Arial"/>
          <w:sz w:val="20"/>
          <w:szCs w:val="20"/>
        </w:rPr>
        <w:t xml:space="preserve">he </w:t>
      </w:r>
      <w:r w:rsidR="00B265D5">
        <w:rPr>
          <w:rFonts w:ascii="Arial" w:hAnsi="Arial" w:cs="Arial"/>
          <w:sz w:val="20"/>
          <w:szCs w:val="20"/>
        </w:rPr>
        <w:t>p</w:t>
      </w:r>
      <w:r w:rsidR="0008737C">
        <w:rPr>
          <w:rFonts w:ascii="Arial" w:hAnsi="Arial" w:cs="Arial"/>
          <w:sz w:val="20"/>
          <w:szCs w:val="20"/>
        </w:rPr>
        <w:t xml:space="preserve">yramidal slip in Ti-0.71mass%O alloy </w:t>
      </w:r>
      <w:r w:rsidR="005F016E">
        <w:rPr>
          <w:rFonts w:ascii="Arial" w:hAnsi="Arial" w:cs="Arial"/>
          <w:sz w:val="20"/>
          <w:szCs w:val="20"/>
        </w:rPr>
        <w:t>was activated</w:t>
      </w:r>
      <w:r w:rsidR="00EC2A77">
        <w:rPr>
          <w:rFonts w:ascii="Arial" w:hAnsi="Arial" w:cs="Arial"/>
          <w:sz w:val="20"/>
          <w:szCs w:val="20"/>
        </w:rPr>
        <w:t>, and</w:t>
      </w:r>
      <w:r w:rsidR="00EC2A77">
        <w:rPr>
          <w:rFonts w:ascii="Arial" w:hAnsi="Arial" w:cs="Arial"/>
          <w:sz w:val="20"/>
          <w:szCs w:val="20"/>
          <w:lang w:eastAsia="ja-JP"/>
        </w:rPr>
        <w:t xml:space="preserve"> the number of </w:t>
      </w:r>
      <w:r w:rsidR="00B87781">
        <w:rPr>
          <w:rFonts w:ascii="Arial" w:hAnsi="Arial" w:cs="Arial"/>
          <w:sz w:val="20"/>
          <w:szCs w:val="20"/>
          <w:lang w:eastAsia="ja-JP"/>
        </w:rPr>
        <w:t>active</w:t>
      </w:r>
      <w:r w:rsidR="00EC2A77">
        <w:rPr>
          <w:rFonts w:ascii="Arial" w:hAnsi="Arial" w:cs="Arial"/>
          <w:sz w:val="20"/>
          <w:szCs w:val="20"/>
          <w:lang w:eastAsia="ja-JP"/>
        </w:rPr>
        <w:t xml:space="preserve"> slip systems increased. </w:t>
      </w:r>
      <w:r w:rsidR="00EC2A77" w:rsidRPr="00EC2A77">
        <w:rPr>
          <w:rFonts w:ascii="Arial" w:hAnsi="Arial" w:cs="Arial"/>
          <w:sz w:val="20"/>
          <w:szCs w:val="20"/>
          <w:lang w:eastAsia="ja-JP"/>
        </w:rPr>
        <w:t>The enhanced work-hardening behavior is likely associated with increased dislocation interactions promoted by the texture-controlled slip activity.</w:t>
      </w:r>
    </w:p>
    <w:p w14:paraId="63CAAB13" w14:textId="12CD1CF4" w:rsidR="00716F00" w:rsidRDefault="008C16F7" w:rsidP="008E37F7">
      <w:pPr>
        <w:autoSpaceDE w:val="0"/>
        <w:jc w:val="both"/>
        <w:rPr>
          <w:rFonts w:ascii="Arial" w:hAnsi="Arial" w:cs="Arial"/>
          <w:sz w:val="20"/>
          <w:szCs w:val="20"/>
        </w:rPr>
      </w:pPr>
      <w:r w:rsidRPr="008C16F7">
        <w:rPr>
          <w:rFonts w:ascii="Arial" w:hAnsi="Arial" w:cs="Arial"/>
          <w:sz w:val="20"/>
          <w:szCs w:val="20"/>
        </w:rPr>
        <w:t xml:space="preserve">Cyclic and dwell fatigue tests were conducted on both Ti–O alloys. Ti–0.21 mass% O alloy exhibited significant elongation and ductile fracture under both cyclic and dwell fatigue at a cyclic stress </w:t>
      </w:r>
      <w:r w:rsidR="00E512AE">
        <w:rPr>
          <w:rFonts w:ascii="Arial" w:hAnsi="Arial" w:cs="Arial"/>
          <w:sz w:val="20"/>
          <w:szCs w:val="20"/>
        </w:rPr>
        <w:t xml:space="preserve">of </w:t>
      </w:r>
      <w:r w:rsidRPr="008C16F7">
        <w:rPr>
          <w:rFonts w:ascii="Arial" w:hAnsi="Arial" w:cs="Arial"/>
          <w:sz w:val="20"/>
          <w:szCs w:val="20"/>
        </w:rPr>
        <w:t xml:space="preserve">90% of the 0.2% proof stress. In contrast, Ti–0.71 mass%O alloy showed lower </w:t>
      </w:r>
      <w:r w:rsidR="00C054EA">
        <w:rPr>
          <w:rFonts w:ascii="Arial" w:hAnsi="Arial" w:cs="Arial"/>
          <w:sz w:val="20"/>
          <w:szCs w:val="20"/>
          <w:lang w:eastAsia="ja-JP"/>
        </w:rPr>
        <w:t xml:space="preserve">elongation </w:t>
      </w:r>
      <w:r w:rsidR="00FF597C">
        <w:rPr>
          <w:rFonts w:ascii="Arial" w:hAnsi="Arial" w:cs="Arial" w:hint="eastAsia"/>
          <w:sz w:val="20"/>
          <w:szCs w:val="20"/>
          <w:lang w:eastAsia="ja-JP"/>
        </w:rPr>
        <w:t>a</w:t>
      </w:r>
      <w:r w:rsidR="00FF597C">
        <w:rPr>
          <w:rFonts w:ascii="Arial" w:hAnsi="Arial" w:cs="Arial"/>
          <w:sz w:val="20"/>
          <w:szCs w:val="20"/>
        </w:rPr>
        <w:t xml:space="preserve">nd </w:t>
      </w:r>
      <w:r w:rsidR="000C4EAF">
        <w:rPr>
          <w:rFonts w:ascii="Arial" w:hAnsi="Arial" w:cs="Arial"/>
          <w:sz w:val="20"/>
          <w:szCs w:val="20"/>
        </w:rPr>
        <w:t>the formation of</w:t>
      </w:r>
      <w:r w:rsidRPr="008C16F7">
        <w:rPr>
          <w:rFonts w:ascii="Arial" w:hAnsi="Arial" w:cs="Arial"/>
          <w:sz w:val="20"/>
          <w:szCs w:val="20"/>
        </w:rPr>
        <w:t xml:space="preserve"> localized strain fields near grain boundaries. Similar fatigue deformation behavior was observed even when the cyclic stress was reduced to 60% of the 0.2% proof stress.</w:t>
      </w:r>
      <w:r w:rsidR="000C6D61">
        <w:rPr>
          <w:rFonts w:ascii="Arial" w:hAnsi="Arial" w:cs="Arial"/>
          <w:sz w:val="20"/>
          <w:szCs w:val="20"/>
        </w:rPr>
        <w:t xml:space="preserve"> </w:t>
      </w:r>
    </w:p>
    <w:p w14:paraId="0570DFA7" w14:textId="1208FB31" w:rsidR="004718A9" w:rsidRPr="00715073" w:rsidRDefault="00CA4AAE">
      <w:pPr>
        <w:rPr>
          <w:rFonts w:ascii="Arial" w:hAnsi="Arial" w:cs="Arial"/>
          <w:sz w:val="20"/>
          <w:szCs w:val="20"/>
        </w:rPr>
      </w:pPr>
      <w:r w:rsidRPr="00CA4AAE">
        <w:rPr>
          <w:rFonts w:ascii="Arial" w:hAnsi="Arial" w:cs="Arial"/>
          <w:sz w:val="20"/>
          <w:szCs w:val="20"/>
          <w:lang w:eastAsia="ja-JP"/>
        </w:rPr>
        <w:t>Ti–0.71 mass% O alloy contained a high density of pinned, sessile dislocations, which limited dislocation pile-up lengths and hindered the activation of dislocation sources such as the Frank–Read source. Consequently, oxygen addition modified the fatigue deformation behavior by limiting dislocation multiplication under cyclic and dwell loading.</w:t>
      </w:r>
    </w:p>
    <w:p w14:paraId="6096DC29" w14:textId="0018450C" w:rsidR="00A66635" w:rsidRPr="00715073" w:rsidRDefault="00A66635">
      <w:pPr>
        <w:rPr>
          <w:rFonts w:ascii="Arial" w:hAnsi="Arial" w:cs="Arial"/>
          <w:b/>
          <w:bCs/>
          <w:sz w:val="20"/>
          <w:szCs w:val="20"/>
          <w:lang w:eastAsia="ja-JP"/>
        </w:rPr>
      </w:pPr>
    </w:p>
    <w:sectPr w:rsidR="00A66635" w:rsidRPr="00715073" w:rsidSect="00C764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upperLetter"/>
        <w:numRestart w:val="eachPage"/>
      </w:footnotePr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07C5" w14:textId="77777777" w:rsidR="00173320" w:rsidRDefault="00173320" w:rsidP="00EC28C5">
      <w:r>
        <w:separator/>
      </w:r>
    </w:p>
  </w:endnote>
  <w:endnote w:type="continuationSeparator" w:id="0">
    <w:p w14:paraId="06A2539E" w14:textId="77777777" w:rsidR="00173320" w:rsidRDefault="00173320" w:rsidP="00EC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80"/>
    <w:family w:val="swiss"/>
    <w:pitch w:val="variable"/>
  </w:font>
  <w:font w:name="DejaVu Sans">
    <w:panose1 w:val="020B0604020202020204"/>
    <w:charset w:val="80"/>
    <w:family w:val="auto"/>
    <w:pitch w:val="variable"/>
  </w:font>
  <w:font w:name="Lohit Hindi">
    <w:altName w:val="ＭＳ 明朝"/>
    <w:panose1 w:val="020B0604020202020204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ngSong_GB2312">
    <w:altName w:val="仿宋_GB2312"/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”“Times New Roman”“">
    <w:altName w:val="宋体"/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ACA0" w14:textId="77777777" w:rsidR="00440C95" w:rsidRDefault="00440C9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102A" w14:textId="77777777" w:rsidR="00C7641E" w:rsidRDefault="00C7641E" w:rsidP="00EC28C5">
    <w:pPr>
      <w:pStyle w:val="a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B249" w14:textId="77777777" w:rsidR="00440C95" w:rsidRDefault="00440C9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32EE" w14:textId="77777777" w:rsidR="00173320" w:rsidRDefault="00173320" w:rsidP="00EC28C5">
      <w:r>
        <w:separator/>
      </w:r>
    </w:p>
  </w:footnote>
  <w:footnote w:type="continuationSeparator" w:id="0">
    <w:p w14:paraId="3FB726CC" w14:textId="77777777" w:rsidR="00173320" w:rsidRDefault="00173320" w:rsidP="00EC2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46B0" w14:textId="77777777" w:rsidR="00440C95" w:rsidRDefault="00440C9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80A0" w14:textId="77777777" w:rsidR="00440C95" w:rsidRPr="00440C95" w:rsidRDefault="00440C95" w:rsidP="00440C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4F742" w14:textId="77777777" w:rsidR="00440C95" w:rsidRDefault="00440C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F9EF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89560708">
    <w:abstractNumId w:val="1"/>
  </w:num>
  <w:num w:numId="2" w16cid:durableId="106144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Fmt w:val="upperLetter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DC"/>
    <w:rsid w:val="000428D4"/>
    <w:rsid w:val="000456B9"/>
    <w:rsid w:val="000530DD"/>
    <w:rsid w:val="0008737C"/>
    <w:rsid w:val="000C3239"/>
    <w:rsid w:val="000C4EAF"/>
    <w:rsid w:val="000C6D61"/>
    <w:rsid w:val="00111602"/>
    <w:rsid w:val="00156AA0"/>
    <w:rsid w:val="00173320"/>
    <w:rsid w:val="001800AF"/>
    <w:rsid w:val="001D7A37"/>
    <w:rsid w:val="002161AB"/>
    <w:rsid w:val="002A0EB9"/>
    <w:rsid w:val="00326FE1"/>
    <w:rsid w:val="00333656"/>
    <w:rsid w:val="0035466B"/>
    <w:rsid w:val="003710D1"/>
    <w:rsid w:val="003A4F1B"/>
    <w:rsid w:val="003B5BDC"/>
    <w:rsid w:val="003C2961"/>
    <w:rsid w:val="003D2EC0"/>
    <w:rsid w:val="00424281"/>
    <w:rsid w:val="00440C95"/>
    <w:rsid w:val="004550D7"/>
    <w:rsid w:val="004718A9"/>
    <w:rsid w:val="004B6626"/>
    <w:rsid w:val="004C1B61"/>
    <w:rsid w:val="004C44C7"/>
    <w:rsid w:val="004F3B0B"/>
    <w:rsid w:val="00510FCB"/>
    <w:rsid w:val="00552AC8"/>
    <w:rsid w:val="005F016E"/>
    <w:rsid w:val="005F1E51"/>
    <w:rsid w:val="00645F82"/>
    <w:rsid w:val="00660DC9"/>
    <w:rsid w:val="00685C54"/>
    <w:rsid w:val="006F0B7D"/>
    <w:rsid w:val="0070223C"/>
    <w:rsid w:val="00715073"/>
    <w:rsid w:val="00716F00"/>
    <w:rsid w:val="00781363"/>
    <w:rsid w:val="007853A0"/>
    <w:rsid w:val="00791CF4"/>
    <w:rsid w:val="00815DEE"/>
    <w:rsid w:val="00842A45"/>
    <w:rsid w:val="00847321"/>
    <w:rsid w:val="0087595F"/>
    <w:rsid w:val="008C16F7"/>
    <w:rsid w:val="008C3A07"/>
    <w:rsid w:val="008D6F04"/>
    <w:rsid w:val="008E37F7"/>
    <w:rsid w:val="009242FE"/>
    <w:rsid w:val="00957625"/>
    <w:rsid w:val="00975D46"/>
    <w:rsid w:val="009A2E58"/>
    <w:rsid w:val="00A41895"/>
    <w:rsid w:val="00A66635"/>
    <w:rsid w:val="00B25456"/>
    <w:rsid w:val="00B265D5"/>
    <w:rsid w:val="00B87781"/>
    <w:rsid w:val="00BA1082"/>
    <w:rsid w:val="00BA4E78"/>
    <w:rsid w:val="00BE6223"/>
    <w:rsid w:val="00C054EA"/>
    <w:rsid w:val="00C2507A"/>
    <w:rsid w:val="00C7641E"/>
    <w:rsid w:val="00C82FC6"/>
    <w:rsid w:val="00CA4AAE"/>
    <w:rsid w:val="00CE20F3"/>
    <w:rsid w:val="00D07B13"/>
    <w:rsid w:val="00D13563"/>
    <w:rsid w:val="00D572B5"/>
    <w:rsid w:val="00D80FDE"/>
    <w:rsid w:val="00DD238A"/>
    <w:rsid w:val="00E06756"/>
    <w:rsid w:val="00E22D7C"/>
    <w:rsid w:val="00E512AE"/>
    <w:rsid w:val="00E5759F"/>
    <w:rsid w:val="00E60F79"/>
    <w:rsid w:val="00E97F80"/>
    <w:rsid w:val="00EB0C88"/>
    <w:rsid w:val="00EC28C5"/>
    <w:rsid w:val="00EC2A77"/>
    <w:rsid w:val="00ED0000"/>
    <w:rsid w:val="00EF5CAF"/>
    <w:rsid w:val="00F91778"/>
    <w:rsid w:val="00FA54DF"/>
    <w:rsid w:val="00FD4FD6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FB4BC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F0B7D"/>
    <w:pPr>
      <w:suppressAutoHyphens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qFormat/>
    <w:rsid w:val="006F0B7D"/>
    <w:pPr>
      <w:keepNext/>
      <w:numPr>
        <w:numId w:val="1"/>
      </w:numPr>
      <w:outlineLvl w:val="0"/>
    </w:pPr>
    <w:rPr>
      <w:b/>
      <w:bCs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F0B7D"/>
    <w:rPr>
      <w:rFonts w:ascii="Wingdings" w:hAnsi="Wingdings"/>
    </w:rPr>
  </w:style>
  <w:style w:type="character" w:customStyle="1" w:styleId="AuthorsChar">
    <w:name w:val="Authors Char"/>
    <w:basedOn w:val="a0"/>
    <w:rsid w:val="006F0B7D"/>
    <w:rPr>
      <w:sz w:val="24"/>
      <w:szCs w:val="24"/>
      <w:lang w:val="hr-HR" w:eastAsia="ar-SA" w:bidi="ar-SA"/>
    </w:rPr>
  </w:style>
  <w:style w:type="character" w:customStyle="1" w:styleId="AuthorsafiiliationChar">
    <w:name w:val="Author's afiiliation Char"/>
    <w:basedOn w:val="AuthorsChar"/>
    <w:rsid w:val="006F0B7D"/>
    <w:rPr>
      <w:i/>
      <w:sz w:val="24"/>
      <w:szCs w:val="24"/>
      <w:lang w:val="hr-HR" w:eastAsia="ar-SA" w:bidi="ar-SA"/>
    </w:rPr>
  </w:style>
  <w:style w:type="character" w:styleId="a3">
    <w:name w:val="Hyperlink"/>
    <w:basedOn w:val="a0"/>
    <w:rsid w:val="006F0B7D"/>
    <w:rPr>
      <w:color w:val="FFFFFF"/>
      <w:u w:val="single"/>
    </w:rPr>
  </w:style>
  <w:style w:type="character" w:styleId="a4">
    <w:name w:val="Strong"/>
    <w:basedOn w:val="a0"/>
    <w:qFormat/>
    <w:rsid w:val="006F0B7D"/>
    <w:rPr>
      <w:b/>
      <w:bCs/>
    </w:rPr>
  </w:style>
  <w:style w:type="character" w:styleId="a5">
    <w:name w:val="Emphasis"/>
    <w:basedOn w:val="a0"/>
    <w:qFormat/>
    <w:rsid w:val="006F0B7D"/>
    <w:rPr>
      <w:i/>
      <w:iCs/>
    </w:rPr>
  </w:style>
  <w:style w:type="character" w:customStyle="1" w:styleId="HeaderChar">
    <w:name w:val="Header Char"/>
    <w:basedOn w:val="a0"/>
    <w:rsid w:val="006F0B7D"/>
    <w:rPr>
      <w:sz w:val="18"/>
      <w:szCs w:val="18"/>
    </w:rPr>
  </w:style>
  <w:style w:type="character" w:customStyle="1" w:styleId="FooterChar">
    <w:name w:val="Footer Char"/>
    <w:basedOn w:val="a0"/>
    <w:rsid w:val="006F0B7D"/>
    <w:rPr>
      <w:sz w:val="18"/>
      <w:szCs w:val="18"/>
    </w:rPr>
  </w:style>
  <w:style w:type="character" w:customStyle="1" w:styleId="BalloonTextChar">
    <w:name w:val="Balloon Text Char"/>
    <w:basedOn w:val="a0"/>
    <w:rsid w:val="006F0B7D"/>
    <w:rPr>
      <w:sz w:val="18"/>
      <w:szCs w:val="18"/>
    </w:rPr>
  </w:style>
  <w:style w:type="paragraph" w:customStyle="1" w:styleId="Heading">
    <w:name w:val="Heading"/>
    <w:basedOn w:val="a"/>
    <w:next w:val="a6"/>
    <w:rsid w:val="006F0B7D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6">
    <w:name w:val="Body Text"/>
    <w:basedOn w:val="a"/>
    <w:rsid w:val="006F0B7D"/>
    <w:pPr>
      <w:spacing w:after="120"/>
    </w:pPr>
  </w:style>
  <w:style w:type="paragraph" w:styleId="a7">
    <w:name w:val="List"/>
    <w:basedOn w:val="a6"/>
    <w:rsid w:val="006F0B7D"/>
    <w:rPr>
      <w:rFonts w:cs="Lohit Hindi"/>
    </w:rPr>
  </w:style>
  <w:style w:type="paragraph" w:styleId="a8">
    <w:name w:val="caption"/>
    <w:basedOn w:val="a"/>
    <w:qFormat/>
    <w:rsid w:val="006F0B7D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"/>
    <w:rsid w:val="006F0B7D"/>
    <w:pPr>
      <w:suppressLineNumbers/>
    </w:pPr>
    <w:rPr>
      <w:rFonts w:cs="Lohit Hindi"/>
    </w:rPr>
  </w:style>
  <w:style w:type="paragraph" w:customStyle="1" w:styleId="Authors">
    <w:name w:val="Authors"/>
    <w:basedOn w:val="a"/>
    <w:next w:val="Papertext"/>
    <w:rsid w:val="006F0B7D"/>
    <w:pPr>
      <w:jc w:val="center"/>
    </w:pPr>
    <w:rPr>
      <w:lang w:val="hr-HR"/>
    </w:rPr>
  </w:style>
  <w:style w:type="paragraph" w:customStyle="1" w:styleId="Authorsafiiliation">
    <w:name w:val="Author's afiiliation"/>
    <w:basedOn w:val="Authors"/>
    <w:next w:val="Papertext"/>
    <w:rsid w:val="006F0B7D"/>
    <w:rPr>
      <w:i/>
    </w:rPr>
  </w:style>
  <w:style w:type="paragraph" w:customStyle="1" w:styleId="PaperTitle">
    <w:name w:val="Paper Title"/>
    <w:basedOn w:val="a"/>
    <w:next w:val="Authors"/>
    <w:rsid w:val="006F0B7D"/>
    <w:pPr>
      <w:jc w:val="center"/>
    </w:pPr>
    <w:rPr>
      <w:b/>
      <w:caps/>
      <w:sz w:val="28"/>
      <w:szCs w:val="28"/>
    </w:rPr>
  </w:style>
  <w:style w:type="paragraph" w:customStyle="1" w:styleId="Papertext">
    <w:name w:val="Paper text"/>
    <w:basedOn w:val="a"/>
    <w:rsid w:val="006F0B7D"/>
    <w:pPr>
      <w:jc w:val="both"/>
    </w:pPr>
  </w:style>
  <w:style w:type="paragraph" w:styleId="a9">
    <w:name w:val="header"/>
    <w:basedOn w:val="a"/>
    <w:rsid w:val="006F0B7D"/>
    <w:pPr>
      <w:pBdr>
        <w:bottom w:val="single" w:sz="4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rsid w:val="006F0B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Balloon Text"/>
    <w:basedOn w:val="a"/>
    <w:rsid w:val="006F0B7D"/>
    <w:rPr>
      <w:sz w:val="18"/>
      <w:szCs w:val="18"/>
    </w:rPr>
  </w:style>
  <w:style w:type="paragraph" w:customStyle="1" w:styleId="CharCharChar">
    <w:name w:val="Char Char Char"/>
    <w:basedOn w:val="a"/>
    <w:rsid w:val="006F0B7D"/>
    <w:pPr>
      <w:spacing w:after="160" w:line="240" w:lineRule="exact"/>
    </w:pPr>
    <w:rPr>
      <w:rFonts w:ascii="Verdana" w:eastAsia="FangSong_GB2312" w:hAnsi="Verdana" w:cs="”“Times New Roman”“"/>
      <w:szCs w:val="20"/>
    </w:rPr>
  </w:style>
  <w:style w:type="paragraph" w:styleId="ac">
    <w:name w:val="footnote text"/>
    <w:basedOn w:val="a"/>
    <w:link w:val="ad"/>
    <w:uiPriority w:val="99"/>
    <w:unhideWhenUsed/>
    <w:rsid w:val="00EC28C5"/>
  </w:style>
  <w:style w:type="character" w:customStyle="1" w:styleId="ad">
    <w:name w:val="脚注文字列 (文字)"/>
    <w:basedOn w:val="a0"/>
    <w:link w:val="ac"/>
    <w:uiPriority w:val="99"/>
    <w:rsid w:val="00EC28C5"/>
    <w:rPr>
      <w:sz w:val="24"/>
      <w:szCs w:val="24"/>
      <w:lang w:val="en-US" w:eastAsia="ar-SA"/>
    </w:rPr>
  </w:style>
  <w:style w:type="character" w:styleId="ae">
    <w:name w:val="footnote reference"/>
    <w:basedOn w:val="a0"/>
    <w:uiPriority w:val="99"/>
    <w:unhideWhenUsed/>
    <w:rsid w:val="00EC28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52A4FC-A2A5-DC4B-9EEB-5A2F63CF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237</Words>
  <Characters>1453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 Template</vt:lpstr>
    </vt:vector>
  </TitlesOfParts>
  <Company>Toshiba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Template</dc:title>
  <dc:creator>MCO2</dc:creator>
  <cp:lastModifiedBy>盛田　元彰</cp:lastModifiedBy>
  <cp:revision>63</cp:revision>
  <cp:lastPrinted>2003-09-25T07:29:00Z</cp:lastPrinted>
  <dcterms:created xsi:type="dcterms:W3CDTF">2025-05-16T03:38:00Z</dcterms:created>
  <dcterms:modified xsi:type="dcterms:W3CDTF">2025-12-15T05:30:00Z</dcterms:modified>
</cp:coreProperties>
</file>