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66E0C" w14:textId="119D72BF" w:rsidR="008C3EE4" w:rsidRPr="00C00214" w:rsidRDefault="000810DD">
      <w:pPr>
        <w:jc w:val="center"/>
        <w:rPr>
          <w:b/>
          <w:sz w:val="36"/>
        </w:rPr>
      </w:pPr>
      <w:bookmarkStart w:id="0" w:name="OLE_LINK22"/>
      <w:bookmarkStart w:id="1" w:name="OLE_LINK33"/>
      <w:r w:rsidRPr="00C00214">
        <w:rPr>
          <w:b/>
          <w:sz w:val="36"/>
        </w:rPr>
        <w:t>Measurement of the low-energy electron inelastic mean free path in monolayer graphene</w:t>
      </w:r>
      <w:bookmarkEnd w:id="0"/>
      <w:bookmarkEnd w:id="1"/>
    </w:p>
    <w:p w14:paraId="24D8AE7C" w14:textId="58068A2C" w:rsidR="008C3EE4" w:rsidRPr="00C00214" w:rsidRDefault="004C2AEC">
      <w:pPr>
        <w:jc w:val="center"/>
      </w:pPr>
      <w:r w:rsidRPr="00C00214">
        <w:t>Bo Da</w:t>
      </w:r>
      <w:r w:rsidRPr="00C00214">
        <w:rPr>
          <w:vertAlign w:val="superscript"/>
        </w:rPr>
        <w:t>1,2*</w:t>
      </w:r>
      <w:r w:rsidRPr="00C00214">
        <w:t xml:space="preserve">, </w:t>
      </w:r>
      <w:r w:rsidRPr="00C00214">
        <w:rPr>
          <w:lang w:eastAsia="zh-CN"/>
        </w:rPr>
        <w:t>Yang Sun</w:t>
      </w:r>
      <w:r w:rsidRPr="00C00214">
        <w:rPr>
          <w:vertAlign w:val="superscript"/>
          <w:lang w:eastAsia="zh-CN"/>
        </w:rPr>
        <w:t>3</w:t>
      </w:r>
      <w:r w:rsidRPr="00C00214">
        <w:rPr>
          <w:lang w:eastAsia="zh-CN"/>
        </w:rPr>
        <w:t>, Zhufeng Hou</w:t>
      </w:r>
      <w:r w:rsidRPr="00C00214">
        <w:rPr>
          <w:vertAlign w:val="superscript"/>
          <w:lang w:eastAsia="zh-CN"/>
        </w:rPr>
        <w:t>1</w:t>
      </w:r>
      <w:r w:rsidRPr="00C00214">
        <w:rPr>
          <w:lang w:eastAsia="zh-CN"/>
        </w:rPr>
        <w:t xml:space="preserve">, </w:t>
      </w:r>
      <w:r w:rsidRPr="00C00214">
        <w:t>Jiangwei Liu</w:t>
      </w:r>
      <w:r w:rsidRPr="00C00214">
        <w:rPr>
          <w:vertAlign w:val="superscript"/>
          <w:lang w:eastAsia="zh-CN"/>
        </w:rPr>
        <w:t>4</w:t>
      </w:r>
      <w:r w:rsidRPr="00C00214">
        <w:t xml:space="preserve">, </w:t>
      </w:r>
      <w:r w:rsidRPr="00C00214">
        <w:rPr>
          <w:lang w:eastAsia="zh-CN"/>
        </w:rPr>
        <w:t>Nguyen Thanh Cuong</w:t>
      </w:r>
      <w:r w:rsidRPr="00C00214">
        <w:rPr>
          <w:vertAlign w:val="superscript"/>
        </w:rPr>
        <w:t>5,6</w:t>
      </w:r>
      <w:r w:rsidRPr="00C00214">
        <w:t>, Kazuhito Tsukagoshi</w:t>
      </w:r>
      <w:r w:rsidRPr="00C00214">
        <w:rPr>
          <w:vertAlign w:val="superscript"/>
        </w:rPr>
        <w:t>6</w:t>
      </w:r>
      <w:r w:rsidRPr="00C00214">
        <w:rPr>
          <w:lang w:eastAsia="zh-CN"/>
        </w:rPr>
        <w:t xml:space="preserve">, </w:t>
      </w:r>
      <w:r w:rsidRPr="00C00214">
        <w:t>Hideki Yoshikawa</w:t>
      </w:r>
      <w:r w:rsidRPr="00C00214">
        <w:rPr>
          <w:vertAlign w:val="superscript"/>
        </w:rPr>
        <w:t>1,2</w:t>
      </w:r>
      <w:r w:rsidR="008B3DEC" w:rsidRPr="00C00214">
        <w:rPr>
          <w:vertAlign w:val="superscript"/>
        </w:rPr>
        <w:t>†</w:t>
      </w:r>
      <w:r w:rsidRPr="00C00214">
        <w:t>, Shigeo Tanuma</w:t>
      </w:r>
      <w:r w:rsidRPr="00C00214">
        <w:rPr>
          <w:vertAlign w:val="superscript"/>
        </w:rPr>
        <w:t>2</w:t>
      </w:r>
      <w:r w:rsidRPr="00C00214">
        <w:t>, Jin Hu</w:t>
      </w:r>
      <w:r w:rsidRPr="00C00214">
        <w:rPr>
          <w:vertAlign w:val="superscript"/>
        </w:rPr>
        <w:t>7</w:t>
      </w:r>
      <w:r w:rsidRPr="00C00214">
        <w:t>, Zhaoshun Gao</w:t>
      </w:r>
      <w:r w:rsidRPr="00C00214">
        <w:rPr>
          <w:vertAlign w:val="superscript"/>
        </w:rPr>
        <w:t>8</w:t>
      </w:r>
      <w:r w:rsidRPr="00C00214">
        <w:t xml:space="preserve"> &amp; Zejun Ding</w:t>
      </w:r>
      <w:r w:rsidR="007B42F6" w:rsidRPr="00C00214">
        <w:rPr>
          <w:vertAlign w:val="superscript"/>
        </w:rPr>
        <w:t>9</w:t>
      </w:r>
      <w:r w:rsidR="008B3DEC" w:rsidRPr="00C00214">
        <w:rPr>
          <w:vertAlign w:val="superscript"/>
        </w:rPr>
        <w:t>‡</w:t>
      </w:r>
    </w:p>
    <w:p w14:paraId="27AA82B8" w14:textId="571C2DA2" w:rsidR="008C3EE4" w:rsidRPr="00C00214" w:rsidRDefault="004C2AEC">
      <w:pPr>
        <w:jc w:val="center"/>
      </w:pPr>
      <w:r w:rsidRPr="00C00214">
        <w:rPr>
          <w:vertAlign w:val="superscript"/>
        </w:rPr>
        <w:t>1</w:t>
      </w:r>
      <w:r w:rsidRPr="00C00214">
        <w:t xml:space="preserve">Research and Services Division of Materials Data and Integrated System, National Institute for Materials Science, </w:t>
      </w:r>
      <w:r w:rsidR="00A650FB" w:rsidRPr="00C00214">
        <w:t>1-1 Namiki</w:t>
      </w:r>
      <w:r w:rsidRPr="00C00214">
        <w:t>, Tsukuba,</w:t>
      </w:r>
      <w:r w:rsidR="00D84170" w:rsidRPr="00C00214">
        <w:t xml:space="preserve"> Ibaraki</w:t>
      </w:r>
      <w:r w:rsidRPr="00C00214">
        <w:t xml:space="preserve"> 305-</w:t>
      </w:r>
      <w:r w:rsidR="00A650FB" w:rsidRPr="00C00214">
        <w:t>0044</w:t>
      </w:r>
      <w:r w:rsidRPr="00C00214">
        <w:t>, Japan.</w:t>
      </w:r>
    </w:p>
    <w:p w14:paraId="5365A51C" w14:textId="77777777" w:rsidR="008C3EE4" w:rsidRPr="00C00214" w:rsidRDefault="004C2AEC">
      <w:pPr>
        <w:jc w:val="center"/>
      </w:pPr>
      <w:r w:rsidRPr="00C00214">
        <w:rPr>
          <w:vertAlign w:val="superscript"/>
        </w:rPr>
        <w:t>2</w:t>
      </w:r>
      <w:r w:rsidRPr="00C00214">
        <w:t>Research Center for Advanced Measurement and Characterization, National Institute for Materials Science, 1-2-1 Sengen, Tsukuba, Ibaraki 305-0047, Japan.</w:t>
      </w:r>
    </w:p>
    <w:p w14:paraId="7D7BFBF5" w14:textId="1F55E1E5" w:rsidR="008C3EE4" w:rsidRPr="00C00214" w:rsidRDefault="004C2AEC">
      <w:pPr>
        <w:jc w:val="center"/>
      </w:pPr>
      <w:r w:rsidRPr="00C00214">
        <w:rPr>
          <w:vertAlign w:val="superscript"/>
        </w:rPr>
        <w:t>3</w:t>
      </w:r>
      <w:r w:rsidR="00971062" w:rsidRPr="00C00214">
        <w:t>Department of Applied Physics and Applied Mathematics, Columbia University, New York, NY, 10027, USA</w:t>
      </w:r>
      <w:r w:rsidRPr="00C00214">
        <w:t>.</w:t>
      </w:r>
    </w:p>
    <w:p w14:paraId="187DEF93" w14:textId="77777777" w:rsidR="008C3EE4" w:rsidRPr="00C00214" w:rsidRDefault="004C2AEC">
      <w:pPr>
        <w:jc w:val="center"/>
      </w:pPr>
      <w:r w:rsidRPr="00C00214">
        <w:rPr>
          <w:vertAlign w:val="superscript"/>
        </w:rPr>
        <w:t>4</w:t>
      </w:r>
      <w:r w:rsidRPr="00C00214">
        <w:t>Research Center for Functional Materials, National Institute for Materials Science, 1-2-1 Sengen, Tsukuba, Ibaraki 305-0047, Japan.</w:t>
      </w:r>
    </w:p>
    <w:p w14:paraId="325CA0C3" w14:textId="77777777" w:rsidR="008C3EE4" w:rsidRPr="00C00214" w:rsidRDefault="004C2AEC">
      <w:pPr>
        <w:jc w:val="center"/>
      </w:pPr>
      <w:r w:rsidRPr="00C00214">
        <w:rPr>
          <w:vertAlign w:val="superscript"/>
        </w:rPr>
        <w:t>5</w:t>
      </w:r>
      <w:r w:rsidRPr="00C00214">
        <w:t>International Center for Young Scientists (ICYS), National Institute for Materials Science, Tsukuba, Ibaraki 305-0044, Japan.</w:t>
      </w:r>
    </w:p>
    <w:p w14:paraId="269021D2" w14:textId="77777777" w:rsidR="008C3EE4" w:rsidRPr="00C00214" w:rsidRDefault="004C2AEC">
      <w:pPr>
        <w:jc w:val="center"/>
      </w:pPr>
      <w:r w:rsidRPr="00C00214">
        <w:rPr>
          <w:vertAlign w:val="superscript"/>
        </w:rPr>
        <w:t>6</w:t>
      </w:r>
      <w:r w:rsidRPr="00C00214">
        <w:t>International Center for Materials Nanoarchitectonics (WPI-MANA), National Institute for Materials Science, Tsukuba, Ibaraki 305-0044, Japan.</w:t>
      </w:r>
    </w:p>
    <w:p w14:paraId="026E4BFC" w14:textId="77777777" w:rsidR="008C3EE4" w:rsidRPr="00C00214" w:rsidRDefault="004C2AEC">
      <w:pPr>
        <w:jc w:val="center"/>
      </w:pPr>
      <w:r w:rsidRPr="00C00214">
        <w:rPr>
          <w:vertAlign w:val="superscript"/>
        </w:rPr>
        <w:t>7</w:t>
      </w:r>
      <w:r w:rsidRPr="00C00214">
        <w:t xml:space="preserve">Department of Physics and Institute for Nanoscience and Engineering, </w:t>
      </w:r>
      <w:bookmarkStart w:id="2" w:name="OLE_LINK54"/>
      <w:r w:rsidRPr="00C00214">
        <w:t>University of Arkansas</w:t>
      </w:r>
      <w:bookmarkEnd w:id="2"/>
      <w:r w:rsidRPr="00C00214">
        <w:t>, Fayetteville, Arkansas 72701, USA.</w:t>
      </w:r>
    </w:p>
    <w:p w14:paraId="5C65BC17" w14:textId="77777777" w:rsidR="008C3EE4" w:rsidRPr="00C00214" w:rsidRDefault="004C2AEC">
      <w:pPr>
        <w:jc w:val="center"/>
      </w:pPr>
      <w:r w:rsidRPr="00C00214">
        <w:rPr>
          <w:vertAlign w:val="superscript"/>
        </w:rPr>
        <w:t>8</w:t>
      </w:r>
      <w:r w:rsidRPr="00C00214">
        <w:t>Institute of Electrical Engineering, Chinese Academy of Sciences, Beijing, 100190, P.R. China.</w:t>
      </w:r>
    </w:p>
    <w:p w14:paraId="181604D9" w14:textId="77777777" w:rsidR="008B3DEC" w:rsidRPr="00C00214" w:rsidRDefault="007B42F6">
      <w:pPr>
        <w:jc w:val="center"/>
      </w:pPr>
      <w:r w:rsidRPr="00C00214">
        <w:rPr>
          <w:vertAlign w:val="superscript"/>
        </w:rPr>
        <w:t>9</w:t>
      </w:r>
      <w:r w:rsidR="004C2AEC" w:rsidRPr="00C00214">
        <w:t>Department of Physics, University of Science and Technology of China, Hefei, Auhui 230026, P.R. China.</w:t>
      </w:r>
    </w:p>
    <w:p w14:paraId="5F7D8464" w14:textId="152A8F56" w:rsidR="008B3DEC" w:rsidRPr="00C00214" w:rsidRDefault="008B3DEC" w:rsidP="008B3DEC">
      <w:pPr>
        <w:jc w:val="center"/>
      </w:pPr>
      <w:r w:rsidRPr="00C00214">
        <w:rPr>
          <w:vertAlign w:val="superscript"/>
        </w:rPr>
        <w:t>*</w:t>
      </w:r>
      <w:hyperlink r:id="rId8" w:history="1">
        <w:r w:rsidRPr="00C00214">
          <w:rPr>
            <w:rStyle w:val="Hyperlink"/>
            <w:color w:val="auto"/>
            <w:u w:val="none"/>
          </w:rPr>
          <w:t>DA.Bo@nims.go.jp</w:t>
        </w:r>
      </w:hyperlink>
    </w:p>
    <w:p w14:paraId="6CEA4E5B" w14:textId="05926C9A" w:rsidR="008B3DEC" w:rsidRPr="00C00214" w:rsidRDefault="008B3DEC" w:rsidP="008B3DEC">
      <w:pPr>
        <w:jc w:val="center"/>
      </w:pPr>
      <w:r w:rsidRPr="00C00214">
        <w:rPr>
          <w:vertAlign w:val="superscript"/>
        </w:rPr>
        <w:lastRenderedPageBreak/>
        <w:t>†</w:t>
      </w:r>
      <w:hyperlink r:id="rId9" w:history="1">
        <w:r w:rsidRPr="00C00214">
          <w:rPr>
            <w:rStyle w:val="Hyperlink"/>
            <w:color w:val="auto"/>
            <w:u w:val="none"/>
          </w:rPr>
          <w:t>YOSHIKAWA.Hideki@nims.go.jp</w:t>
        </w:r>
      </w:hyperlink>
    </w:p>
    <w:p w14:paraId="4F7AF695" w14:textId="770D0B28" w:rsidR="008B3DEC" w:rsidRPr="00C00214" w:rsidRDefault="008B3DEC" w:rsidP="008B3DEC">
      <w:pPr>
        <w:jc w:val="center"/>
      </w:pPr>
      <w:r w:rsidRPr="00C00214">
        <w:rPr>
          <w:vertAlign w:val="superscript"/>
        </w:rPr>
        <w:t>‡</w:t>
      </w:r>
      <w:r w:rsidRPr="00C00214">
        <w:t>Zjding@ustc.edu.cn</w:t>
      </w:r>
    </w:p>
    <w:p w14:paraId="45EDAB61" w14:textId="1FC4BC6B" w:rsidR="008C3EE4" w:rsidRPr="00C00214" w:rsidRDefault="004C2AEC">
      <w:pPr>
        <w:jc w:val="center"/>
        <w:rPr>
          <w:b/>
        </w:rPr>
      </w:pPr>
      <w:r w:rsidRPr="00C00214">
        <w:rPr>
          <w:b/>
          <w:lang w:eastAsia="zh-CN"/>
        </w:rPr>
        <w:br w:type="page"/>
      </w:r>
    </w:p>
    <w:p w14:paraId="4EDC9673" w14:textId="77777777" w:rsidR="000810DD" w:rsidRPr="00C00214" w:rsidRDefault="004C2AEC">
      <w:pPr>
        <w:jc w:val="both"/>
      </w:pPr>
      <w:r w:rsidRPr="00C00214">
        <w:rPr>
          <w:b/>
        </w:rPr>
        <w:lastRenderedPageBreak/>
        <w:t>Abstract</w:t>
      </w:r>
      <w:r w:rsidRPr="00C00214">
        <w:t xml:space="preserve">: </w:t>
      </w:r>
    </w:p>
    <w:p w14:paraId="77E8526F" w14:textId="65C3D258" w:rsidR="008C3EE4" w:rsidRPr="00C00214" w:rsidRDefault="000810DD">
      <w:pPr>
        <w:jc w:val="both"/>
        <w:rPr>
          <w:lang w:eastAsia="zh-CN"/>
        </w:rPr>
      </w:pPr>
      <w:r w:rsidRPr="00C00214">
        <w:t>Measuring electron transport properties of substrate-supported nanomaterials</w:t>
      </w:r>
      <w:r w:rsidRPr="00C00214" w:rsidDel="002454E0">
        <w:t xml:space="preserve"> </w:t>
      </w:r>
      <w:r w:rsidRPr="00C00214">
        <w:t xml:space="preserve">with the traditional two-point comparison method is difficult at electron energies below 50 eV, where core-level signals are too feeble to be detected against the strong secondary-electron background. Herein, a data-driven spectral analysis technique is used to study the low-energy electron </w:t>
      </w:r>
      <w:r w:rsidRPr="00C00214">
        <w:rPr>
          <w:lang w:eastAsia="zh-CN"/>
        </w:rPr>
        <w:t>transport properties</w:t>
      </w:r>
      <w:r w:rsidRPr="00C00214">
        <w:t xml:space="preserve"> of substrate-supported target nanomaterials while eliminating the influence from the substrate signal. </w:t>
      </w:r>
      <w:r w:rsidRPr="00C00214">
        <w:rPr>
          <w:lang w:eastAsia="zh-CN"/>
        </w:rPr>
        <w:t xml:space="preserve">Applying this </w:t>
      </w:r>
      <w:r w:rsidRPr="00C00214">
        <w:t>technique</w:t>
      </w:r>
      <w:r w:rsidRPr="00C00214">
        <w:rPr>
          <w:lang w:eastAsia="zh-CN"/>
        </w:rPr>
        <w:t>, the electron transport properties of the effective attenuation length and the inelastic mean free path (IMFP) can be determined with extremely high efficiency over the entire measured energy range of</w:t>
      </w:r>
      <w:r w:rsidRPr="00C00214">
        <w:t xml:space="preserve"> 6–600 eV.</w:t>
      </w:r>
      <w:r w:rsidRPr="00C00214">
        <w:rPr>
          <w:lang w:eastAsia="zh-CN"/>
        </w:rPr>
        <w:t xml:space="preserve"> Further, these results show excellent agreement with other experimental and theoretical results. Significant differences are observed between monolayer graphene and bulk graphite IMFP, which illustrates the importance of the nanometer effect in the electron transport properties of the material. Furthermore, this technique is readily applicable to any ultrathin material that can be transferred onto a polycrystalline gold substrate.</w:t>
      </w:r>
    </w:p>
    <w:p w14:paraId="26AF74EC" w14:textId="1BACD9E5" w:rsidR="008C3EE4" w:rsidRPr="00C00214" w:rsidRDefault="001C6150">
      <w:pPr>
        <w:jc w:val="both"/>
        <w:rPr>
          <w:b/>
        </w:rPr>
      </w:pPr>
      <w:r w:rsidRPr="00C00214">
        <w:rPr>
          <w:b/>
        </w:rPr>
        <w:t>1</w:t>
      </w:r>
      <w:r w:rsidR="009E1C37" w:rsidRPr="00C00214">
        <w:rPr>
          <w:b/>
        </w:rPr>
        <w:t xml:space="preserve">. </w:t>
      </w:r>
      <w:r w:rsidR="004C2AEC" w:rsidRPr="00C00214">
        <w:rPr>
          <w:b/>
        </w:rPr>
        <w:t>Introduction</w:t>
      </w:r>
      <w:bookmarkStart w:id="3" w:name="OLE_LINK32"/>
      <w:bookmarkStart w:id="4" w:name="OLE_LINK66"/>
    </w:p>
    <w:p w14:paraId="38567E69" w14:textId="380346B7" w:rsidR="000810DD" w:rsidRPr="00C00214" w:rsidRDefault="000810DD" w:rsidP="000810DD">
      <w:pPr>
        <w:jc w:val="both"/>
        <w:rPr>
          <w:lang w:eastAsia="zh-CN"/>
        </w:rPr>
      </w:pPr>
      <w:r w:rsidRPr="00C00214">
        <w:rPr>
          <w:rFonts w:hint="eastAsia"/>
          <w:lang w:eastAsia="zh-CN"/>
        </w:rPr>
        <w:t xml:space="preserve">Surface analysis </w:t>
      </w:r>
      <w:r w:rsidRPr="00C00214">
        <w:rPr>
          <w:lang w:eastAsia="zh-CN"/>
        </w:rPr>
        <w:t>techniques</w:t>
      </w:r>
      <w:r w:rsidRPr="00C00214">
        <w:rPr>
          <w:rFonts w:hint="eastAsia"/>
          <w:lang w:eastAsia="zh-CN"/>
        </w:rPr>
        <w:t xml:space="preserve"> such</w:t>
      </w:r>
      <w:r w:rsidRPr="00C00214">
        <w:rPr>
          <w:lang w:eastAsia="zh-CN"/>
        </w:rPr>
        <w:t xml:space="preserve"> as </w:t>
      </w:r>
      <w:r w:rsidRPr="00C00214">
        <w:rPr>
          <w:rFonts w:hint="eastAsia"/>
          <w:lang w:eastAsia="zh-CN"/>
        </w:rPr>
        <w:t>x-ray pho</w:t>
      </w:r>
      <w:r w:rsidRPr="00C00214">
        <w:rPr>
          <w:lang w:eastAsia="zh-CN"/>
        </w:rPr>
        <w:t>toelectron spectroscopy (XPS) and Auger electron spectroscopy (AES) are widely used for a broad range of materials, and provide quantitative elemental and chemical state information from the surface of the material being studied [</w:t>
      </w:r>
      <w:r w:rsidRPr="00C00214">
        <w:rPr>
          <w:i/>
          <w:lang w:eastAsia="zh-CN"/>
        </w:rPr>
        <w:t>1–4</w:t>
      </w:r>
      <w:r w:rsidRPr="00C00214">
        <w:rPr>
          <w:lang w:eastAsia="zh-CN"/>
        </w:rPr>
        <w:t>]. Nowadays, these techniques are intensively employed to study nanomaterials and focus on a sole target, mapping the surface elemental composition of nanomaterial [</w:t>
      </w:r>
      <w:r w:rsidRPr="00C00214">
        <w:rPr>
          <w:i/>
          <w:lang w:eastAsia="zh-CN"/>
        </w:rPr>
        <w:t>5–</w:t>
      </w:r>
      <w:r w:rsidR="004C3D25" w:rsidRPr="00C00214">
        <w:rPr>
          <w:i/>
          <w:lang w:eastAsia="zh-CN"/>
        </w:rPr>
        <w:t>6</w:t>
      </w:r>
      <w:r w:rsidRPr="00C00214">
        <w:rPr>
          <w:lang w:eastAsia="zh-CN"/>
        </w:rPr>
        <w:t xml:space="preserve">]. However, the capabilities of these techniques to play a greater role in nanomaterial studies are limited owing to the lack of quantitative knowledge of electron transport properties in the target nanomaterials. Although knowing that the transport properties of nanomaterials must differ from those of its </w:t>
      </w:r>
      <w:r w:rsidRPr="00C00214">
        <w:rPr>
          <w:lang w:eastAsia="zh-CN"/>
        </w:rPr>
        <w:lastRenderedPageBreak/>
        <w:t>corresponding allotrope in bulk form, physicists working in surface analysis still try to analyze the measured spectra of nanomaterials using its bulk form parameters. Obviously, the information obtained thereby is built upon a false premise, making it unreliable for providing even qualitative information, let alone quantitative information. Even for the most straightforward application of mapping the surface elemental composition of a nanomaterial, the exact depth from which these elemental compositions were obtained is generally unknown.</w:t>
      </w:r>
      <w:r w:rsidRPr="00C00214">
        <w:rPr>
          <w:rFonts w:hint="eastAsia"/>
          <w:lang w:eastAsia="zh-CN"/>
        </w:rPr>
        <w:t xml:space="preserve"> </w:t>
      </w:r>
      <w:r w:rsidRPr="00C00214">
        <w:rPr>
          <w:lang w:eastAsia="zh-CN"/>
        </w:rPr>
        <w:t>The situation is even worse when studying substrate-supported nanomaterials using any electron-beam techniques that employ low-energy electrons (generally below 50 eV) as information carriers because of the ineluctable disturbance of secondary electron (SE) signals from both the covering nanomaterial and underlying substrate.</w:t>
      </w:r>
      <w:r w:rsidRPr="00C00214">
        <w:rPr>
          <w:rFonts w:hint="eastAsia"/>
          <w:lang w:eastAsia="zh-CN"/>
        </w:rPr>
        <w:t xml:space="preserve"> </w:t>
      </w:r>
      <w:r w:rsidRPr="00C00214">
        <w:rPr>
          <w:lang w:eastAsia="zh-CN"/>
        </w:rPr>
        <w:t>For instance, we have no idea whether the scanning electron microscope image of a substrate-supported nanomaterial sample displays the nanomaterial itself or the morphology of the substrate beneath the nanomaterial. Undisputedly, this lack of quantitative information concerning the electron transport properties of nanomaterials has significantly blocked the way for further development of nanomaterial study using electron beam techniques. This is especially true for techniques involving low-energy electrons such as next-generation energy-filtered SE microscopy with improved energy resolution [</w:t>
      </w:r>
      <w:r w:rsidR="004C3D25" w:rsidRPr="00C00214">
        <w:rPr>
          <w:i/>
          <w:lang w:eastAsia="zh-CN"/>
        </w:rPr>
        <w:t>7</w:t>
      </w:r>
      <w:r w:rsidRPr="00C00214">
        <w:rPr>
          <w:lang w:eastAsia="zh-CN"/>
        </w:rPr>
        <w:t xml:space="preserve">]. </w:t>
      </w:r>
    </w:p>
    <w:bookmarkEnd w:id="3"/>
    <w:bookmarkEnd w:id="4"/>
    <w:p w14:paraId="133AA17F" w14:textId="77777777" w:rsidR="008C3EE4" w:rsidRPr="00C00214" w:rsidRDefault="004C2AEC">
      <w:pPr>
        <w:jc w:val="both"/>
      </w:pPr>
      <w:r w:rsidRPr="00C00214">
        <w:t>Electron transport properties are generally quantified by the inelastic mean free path (IMFP) of electrons [</w:t>
      </w:r>
      <w:r w:rsidRPr="00C00214">
        <w:rPr>
          <w:i/>
        </w:rPr>
        <w:t>8</w:t>
      </w:r>
      <w:r w:rsidRPr="00C00214">
        <w:t xml:space="preserve">], which characterizes the average distance that an electron travels through a solid before losing energy. Much effort has been devoted to measuring the IMFPs of electrons in various materials, generally at kiloelectronvolt-scale energies, using elastic peak electron spectroscopy (EPES) </w:t>
      </w:r>
      <w:bookmarkStart w:id="5" w:name="OLE_LINK68"/>
      <w:bookmarkStart w:id="6" w:name="OLE_LINK75"/>
      <w:r w:rsidRPr="00C00214">
        <w:t>combined with a corresponding</w:t>
      </w:r>
      <w:bookmarkEnd w:id="5"/>
      <w:bookmarkEnd w:id="6"/>
      <w:r w:rsidRPr="00C00214">
        <w:t xml:space="preserve"> Monte Carlo (MC) simulation [</w:t>
      </w:r>
      <w:r w:rsidRPr="00C00214">
        <w:rPr>
          <w:i/>
        </w:rPr>
        <w:t>9–11</w:t>
      </w:r>
      <w:r w:rsidRPr="00C00214">
        <w:t>]. Recently, X-ray absorption fine structure techniques have been used to determine the IMFPs of bulk materials at electron energies (</w:t>
      </w:r>
      <w:r w:rsidRPr="00C00214">
        <w:rPr>
          <w:i/>
        </w:rPr>
        <w:t>E</w:t>
      </w:r>
      <w:r w:rsidRPr="00C00214">
        <w:t xml:space="preserve">) below 120 eV by </w:t>
      </w:r>
      <w:bookmarkStart w:id="7" w:name="OLE_LINK57"/>
      <w:bookmarkStart w:id="8" w:name="OLE_LINK61"/>
      <w:r w:rsidRPr="00C00214">
        <w:t xml:space="preserve">comparison with a theoretical prediction </w:t>
      </w:r>
      <w:bookmarkEnd w:id="7"/>
      <w:bookmarkEnd w:id="8"/>
      <w:r w:rsidRPr="00C00214">
        <w:t>[</w:t>
      </w:r>
      <w:r w:rsidRPr="00C00214">
        <w:rPr>
          <w:i/>
        </w:rPr>
        <w:t>12</w:t>
      </w:r>
      <w:r w:rsidRPr="00C00214">
        <w:t xml:space="preserve">]. However, </w:t>
      </w:r>
      <w:r w:rsidRPr="00C00214">
        <w:lastRenderedPageBreak/>
        <w:t xml:space="preserve">these two techniques developed for bulk materials cannot be extended to nanofilm samples. </w:t>
      </w:r>
      <w:bookmarkStart w:id="9" w:name="OLE_LINK64"/>
      <w:bookmarkStart w:id="10" w:name="OLE_LINK65"/>
      <w:r w:rsidRPr="00C00214">
        <w:t>The low-energy electron reflectivity from a nanofilm has been used to extract the IMFP of Fe in the energy range from 4 to 18 eV from an Fe film on W(110) [</w:t>
      </w:r>
      <w:r w:rsidRPr="00C00214">
        <w:rPr>
          <w:i/>
        </w:rPr>
        <w:t>13</w:t>
      </w:r>
      <w:r w:rsidRPr="00C00214">
        <w:t>]. However, such a measurement is difficult to apply to a graphene sample and/or to a wider energy range, because considerable prior knowledge of both the nanofilm and substrate is required.</w:t>
      </w:r>
      <w:bookmarkEnd w:id="9"/>
      <w:bookmarkEnd w:id="10"/>
    </w:p>
    <w:p w14:paraId="4B5252D6" w14:textId="77777777" w:rsidR="008C3EE4" w:rsidRPr="00C00214" w:rsidRDefault="004C2AEC">
      <w:pPr>
        <w:jc w:val="both"/>
      </w:pPr>
      <w:r w:rsidRPr="00C00214">
        <w:t>In addition to the IMFP, an experimentally defined quantification of the electron transport properties that includes the contribution of elastic scattering to their trajectories is given by the effective attenuation length (EAL) [</w:t>
      </w:r>
      <w:r w:rsidRPr="00C00214">
        <w:rPr>
          <w:i/>
        </w:rPr>
        <w:t>14</w:t>
      </w:r>
      <w:r w:rsidRPr="00C00214">
        <w:t>]. EAL is generally determined using the so-called overlayer method [</w:t>
      </w:r>
      <w:r w:rsidRPr="00C00214">
        <w:rPr>
          <w:i/>
        </w:rPr>
        <w:t>15</w:t>
      </w:r>
      <w:r w:rsidRPr="00C00214">
        <w:t>] from changes in the AES or XPS core-level signal intensities for overlayer films of various thicknesses deposited on a substrate. A large number of EAL measurements [</w:t>
      </w:r>
      <w:r w:rsidRPr="00C00214">
        <w:rPr>
          <w:i/>
        </w:rPr>
        <w:t>14</w:t>
      </w:r>
      <w:r w:rsidRPr="00C00214">
        <w:t>,</w:t>
      </w:r>
      <w:r w:rsidRPr="00C00214">
        <w:rPr>
          <w:i/>
        </w:rPr>
        <w:t>16</w:t>
      </w:r>
      <w:r w:rsidRPr="00C00214">
        <w:t>,</w:t>
      </w:r>
      <w:r w:rsidRPr="00C00214">
        <w:rPr>
          <w:i/>
        </w:rPr>
        <w:t>17</w:t>
      </w:r>
      <w:r w:rsidRPr="00C00214">
        <w:t>] have been obtained for thin films of various materials with thicknesses ranging from a few nanometres to tens of nanometres at the core-level energies of substrates. However, even using a synchrotron radiation source, this technique does not work at energies below 15 eV, where the core-level signals from the substrate are overwhelmed by the strong secondary electron (SE) background in AES and XPS measurements.</w:t>
      </w:r>
    </w:p>
    <w:p w14:paraId="7CEEF58F" w14:textId="630376D3" w:rsidR="008B1F6A" w:rsidRPr="00C00214" w:rsidRDefault="008B1F6A" w:rsidP="008B1F6A">
      <w:pPr>
        <w:jc w:val="both"/>
      </w:pPr>
      <w:bookmarkStart w:id="11" w:name="OLE_LINK83"/>
      <w:bookmarkStart w:id="12" w:name="OLE_LINK84"/>
      <w:r w:rsidRPr="00C00214">
        <w:t xml:space="preserve">However, in most </w:t>
      </w:r>
      <w:r w:rsidR="0000572A" w:rsidRPr="00C00214">
        <w:t xml:space="preserve">electron </w:t>
      </w:r>
      <w:r w:rsidRPr="00C00214">
        <w:t>spectroscopic data analyses the</w:t>
      </w:r>
      <w:r w:rsidR="0000572A" w:rsidRPr="00C00214">
        <w:t xml:space="preserve"> SE </w:t>
      </w:r>
      <w:r w:rsidRPr="00C00214">
        <w:t>background signal</w:t>
      </w:r>
      <w:r w:rsidR="002D4CC1" w:rsidRPr="00C00214">
        <w:t>s</w:t>
      </w:r>
      <w:r w:rsidRPr="00C00214">
        <w:t xml:space="preserve"> are </w:t>
      </w:r>
      <w:r w:rsidR="0000572A" w:rsidRPr="00C00214">
        <w:rPr>
          <w:lang w:eastAsia="zh-CN"/>
        </w:rPr>
        <w:t xml:space="preserve">neglected </w:t>
      </w:r>
      <w:r w:rsidRPr="00C00214">
        <w:t>as noise</w:t>
      </w:r>
      <w:r w:rsidR="0000572A" w:rsidRPr="00C00214">
        <w:t xml:space="preserve"> </w:t>
      </w:r>
      <w:r w:rsidR="008F3423" w:rsidRPr="00C00214">
        <w:t>and are not</w:t>
      </w:r>
      <w:r w:rsidR="0000572A" w:rsidRPr="00C00214">
        <w:t xml:space="preserve"> quantitatively analy</w:t>
      </w:r>
      <w:r w:rsidR="00654D04" w:rsidRPr="00C00214">
        <w:t>z</w:t>
      </w:r>
      <w:r w:rsidR="0000572A" w:rsidRPr="00C00214">
        <w:t>ed</w:t>
      </w:r>
      <w:r w:rsidRPr="00C00214">
        <w:t xml:space="preserve">. The main reason </w:t>
      </w:r>
      <w:r w:rsidR="00A71008" w:rsidRPr="00C00214">
        <w:t>for this</w:t>
      </w:r>
      <w:r w:rsidRPr="00C00214">
        <w:t xml:space="preserve"> is </w:t>
      </w:r>
      <w:r w:rsidR="00A24D72" w:rsidRPr="00C00214">
        <w:t xml:space="preserve">that </w:t>
      </w:r>
      <w:r w:rsidRPr="00C00214">
        <w:t xml:space="preserve">the widely used physics-driven spectral analysis </w:t>
      </w:r>
      <w:r w:rsidR="008258CE" w:rsidRPr="00C00214">
        <w:t>approaches</w:t>
      </w:r>
      <w:r w:rsidRPr="00C00214">
        <w:t xml:space="preserve"> </w:t>
      </w:r>
      <w:r w:rsidR="00A24D72" w:rsidRPr="00C00214">
        <w:t>o</w:t>
      </w:r>
      <w:r w:rsidRPr="00C00214">
        <w:t>n which the analysis is based</w:t>
      </w:r>
      <w:r w:rsidR="00A24D72" w:rsidRPr="00C00214">
        <w:t>,</w:t>
      </w:r>
      <w:r w:rsidRPr="00C00214">
        <w:t xml:space="preserve"> describ</w:t>
      </w:r>
      <w:r w:rsidR="00A24D72" w:rsidRPr="00C00214">
        <w:t>e</w:t>
      </w:r>
      <w:r w:rsidRPr="00C00214">
        <w:t xml:space="preserve"> the measured data in terms of physically meaningful parameters, </w:t>
      </w:r>
      <w:r w:rsidR="0000572A" w:rsidRPr="00C00214">
        <w:t xml:space="preserve">i.e. </w:t>
      </w:r>
      <w:r w:rsidRPr="00C00214">
        <w:t xml:space="preserve">physically defined </w:t>
      </w:r>
      <w:r w:rsidR="001F65E1" w:rsidRPr="00C00214">
        <w:t xml:space="preserve">(PD) </w:t>
      </w:r>
      <w:r w:rsidRPr="00C00214">
        <w:t xml:space="preserve">descriptors </w:t>
      </w:r>
      <w:r w:rsidR="002C50F0" w:rsidRPr="00C00214">
        <w:t xml:space="preserve">designated </w:t>
      </w:r>
      <w:r w:rsidR="00306149" w:rsidRPr="00C00214">
        <w:t>from an informatics point of view.</w:t>
      </w:r>
      <w:r w:rsidR="0000572A" w:rsidRPr="00C00214">
        <w:t xml:space="preserve"> Therefore, the current</w:t>
      </w:r>
      <w:r w:rsidR="00295A7C" w:rsidRPr="00C00214">
        <w:t>ly</w:t>
      </w:r>
      <w:r w:rsidR="0000572A" w:rsidRPr="00C00214">
        <w:t xml:space="preserve"> available physics-driven spectral analysis approaches </w:t>
      </w:r>
      <w:r w:rsidR="00295A7C" w:rsidRPr="00C00214">
        <w:t xml:space="preserve">are </w:t>
      </w:r>
      <w:r w:rsidR="0000572A" w:rsidRPr="00C00214">
        <w:t>only</w:t>
      </w:r>
      <w:r w:rsidR="00295A7C" w:rsidRPr="00C00214">
        <w:t xml:space="preserve"> able to</w:t>
      </w:r>
      <w:r w:rsidR="0000572A" w:rsidRPr="00C00214">
        <w:t xml:space="preserve"> analy</w:t>
      </w:r>
      <w:r w:rsidR="00A71008" w:rsidRPr="00C00214">
        <w:t>z</w:t>
      </w:r>
      <w:r w:rsidR="0000572A" w:rsidRPr="00C00214">
        <w:t xml:space="preserve">e the peak signal and </w:t>
      </w:r>
      <w:r w:rsidR="00F90330" w:rsidRPr="00C00214">
        <w:t xml:space="preserve">generally </w:t>
      </w:r>
      <w:r w:rsidR="0000572A" w:rsidRPr="00C00214">
        <w:t xml:space="preserve">do not </w:t>
      </w:r>
      <w:r w:rsidR="00BE0C84" w:rsidRPr="00C00214">
        <w:t>make use of</w:t>
      </w:r>
      <w:r w:rsidR="0000572A" w:rsidRPr="00C00214">
        <w:t xml:space="preserve"> the SE background signal</w:t>
      </w:r>
      <w:r w:rsidR="00F90330" w:rsidRPr="00C00214">
        <w:t xml:space="preserve"> owing to the difficulty in modelling accurate physical mechanism</w:t>
      </w:r>
      <w:r w:rsidR="00A71008" w:rsidRPr="00C00214">
        <w:t>s</w:t>
      </w:r>
      <w:r w:rsidR="00F90330" w:rsidRPr="00C00214">
        <w:t xml:space="preserve"> of SE excitation and emission</w:t>
      </w:r>
      <w:r w:rsidR="000D01C8" w:rsidRPr="00C00214">
        <w:t>,</w:t>
      </w:r>
      <w:r w:rsidR="0000572A" w:rsidRPr="00C00214">
        <w:t xml:space="preserve"> </w:t>
      </w:r>
      <w:r w:rsidR="00BE0C84" w:rsidRPr="00C00214">
        <w:t>despite</w:t>
      </w:r>
      <w:r w:rsidR="0000572A" w:rsidRPr="00C00214">
        <w:t xml:space="preserve"> </w:t>
      </w:r>
      <w:r w:rsidR="00BE0C84" w:rsidRPr="00C00214">
        <w:t>it being</w:t>
      </w:r>
      <w:r w:rsidR="0000572A" w:rsidRPr="00C00214">
        <w:t xml:space="preserve"> know</w:t>
      </w:r>
      <w:r w:rsidR="009B4B0A" w:rsidRPr="00C00214">
        <w:t>n</w:t>
      </w:r>
      <w:r w:rsidR="0000572A" w:rsidRPr="00C00214">
        <w:t xml:space="preserve"> </w:t>
      </w:r>
      <w:r w:rsidR="00A71008" w:rsidRPr="00C00214">
        <w:t xml:space="preserve">that </w:t>
      </w:r>
      <w:r w:rsidR="0000572A" w:rsidRPr="00C00214">
        <w:t xml:space="preserve">the SE background signals must involve </w:t>
      </w:r>
      <w:r w:rsidR="00F90330" w:rsidRPr="00C00214">
        <w:lastRenderedPageBreak/>
        <w:t xml:space="preserve">quantitative </w:t>
      </w:r>
      <w:r w:rsidR="0000572A" w:rsidRPr="00C00214">
        <w:t xml:space="preserve">information </w:t>
      </w:r>
      <w:r w:rsidR="00F90330" w:rsidRPr="00C00214">
        <w:t>about the</w:t>
      </w:r>
      <w:r w:rsidR="0000572A" w:rsidRPr="00C00214">
        <w:t xml:space="preserve"> electron transport properties. </w:t>
      </w:r>
      <w:r w:rsidR="00306149" w:rsidRPr="00C00214">
        <w:t xml:space="preserve">To extract </w:t>
      </w:r>
      <w:r w:rsidRPr="00C00214">
        <w:t xml:space="preserve">meaningful information </w:t>
      </w:r>
      <w:r w:rsidR="00A71008" w:rsidRPr="00C00214">
        <w:t xml:space="preserve">from </w:t>
      </w:r>
      <w:r w:rsidRPr="00C00214">
        <w:t xml:space="preserve">the </w:t>
      </w:r>
      <w:r w:rsidR="00F90330" w:rsidRPr="00C00214">
        <w:t xml:space="preserve">SE </w:t>
      </w:r>
      <w:r w:rsidRPr="00C00214">
        <w:t xml:space="preserve">background signal, </w:t>
      </w:r>
      <w:bookmarkStart w:id="13" w:name="OLE_LINK74"/>
      <w:bookmarkStart w:id="14" w:name="OLE_LINK77"/>
      <w:r w:rsidRPr="00C00214">
        <w:t xml:space="preserve">a new </w:t>
      </w:r>
      <w:r w:rsidR="00F90330" w:rsidRPr="00C00214">
        <w:t xml:space="preserve">method is </w:t>
      </w:r>
      <w:r w:rsidR="00F76338" w:rsidRPr="00C00214">
        <w:t>requir</w:t>
      </w:r>
      <w:r w:rsidR="00F90330" w:rsidRPr="00C00214">
        <w:t xml:space="preserve">ed that </w:t>
      </w:r>
      <w:r w:rsidR="00F76338" w:rsidRPr="00C00214">
        <w:t>is</w:t>
      </w:r>
      <w:r w:rsidR="00F90330" w:rsidRPr="00C00214">
        <w:t xml:space="preserve"> fundamentally </w:t>
      </w:r>
      <w:bookmarkEnd w:id="13"/>
      <w:bookmarkEnd w:id="14"/>
      <w:r w:rsidR="009B4B0A" w:rsidRPr="00C00214">
        <w:t xml:space="preserve">different to </w:t>
      </w:r>
      <w:r w:rsidR="00306149" w:rsidRPr="00C00214">
        <w:t xml:space="preserve">the </w:t>
      </w:r>
      <w:r w:rsidR="00F90330" w:rsidRPr="00C00214">
        <w:rPr>
          <w:lang w:eastAsia="zh-CN"/>
        </w:rPr>
        <w:t xml:space="preserve">conventional </w:t>
      </w:r>
      <w:r w:rsidR="00306149" w:rsidRPr="00C00214">
        <w:t xml:space="preserve">physics-driven spectral analysis </w:t>
      </w:r>
      <w:r w:rsidR="00F90330" w:rsidRPr="00C00214">
        <w:t xml:space="preserve">approaches in which </w:t>
      </w:r>
      <w:r w:rsidR="00F90330" w:rsidRPr="00C00214">
        <w:rPr>
          <w:lang w:eastAsia="zh-CN"/>
        </w:rPr>
        <w:t>only peak signals can be analy</w:t>
      </w:r>
      <w:r w:rsidR="00981CDD" w:rsidRPr="00C00214">
        <w:rPr>
          <w:lang w:eastAsia="zh-CN"/>
        </w:rPr>
        <w:t>z</w:t>
      </w:r>
      <w:r w:rsidR="00F90330" w:rsidRPr="00C00214">
        <w:rPr>
          <w:lang w:eastAsia="zh-CN"/>
        </w:rPr>
        <w:t>ed</w:t>
      </w:r>
      <w:r w:rsidRPr="00C00214">
        <w:t>.</w:t>
      </w:r>
    </w:p>
    <w:bookmarkEnd w:id="11"/>
    <w:bookmarkEnd w:id="12"/>
    <w:p w14:paraId="2224FEA0" w14:textId="605815BB" w:rsidR="00306149" w:rsidRPr="00C00214" w:rsidRDefault="00ED2390" w:rsidP="00306149">
      <w:pPr>
        <w:jc w:val="both"/>
        <w:rPr>
          <w:lang w:eastAsia="zh-CN"/>
        </w:rPr>
      </w:pPr>
      <w:r w:rsidRPr="00C00214">
        <w:rPr>
          <w:lang w:eastAsia="zh-CN"/>
        </w:rPr>
        <w:t>In this work, we</w:t>
      </w:r>
      <w:r w:rsidR="008B1F6A" w:rsidRPr="00C00214">
        <w:rPr>
          <w:lang w:eastAsia="zh-CN"/>
        </w:rPr>
        <w:t xml:space="preserve"> </w:t>
      </w:r>
      <w:r w:rsidRPr="00C00214">
        <w:rPr>
          <w:lang w:eastAsia="zh-CN"/>
        </w:rPr>
        <w:t>propose</w:t>
      </w:r>
      <w:r w:rsidR="008B1F6A" w:rsidRPr="00C00214">
        <w:rPr>
          <w:lang w:eastAsia="zh-CN"/>
        </w:rPr>
        <w:t xml:space="preserve"> </w:t>
      </w:r>
      <w:r w:rsidR="00306149" w:rsidRPr="00C00214">
        <w:rPr>
          <w:lang w:eastAsia="zh-CN"/>
        </w:rPr>
        <w:t>a new heuristic</w:t>
      </w:r>
      <w:r w:rsidR="008B1F6A" w:rsidRPr="00C00214">
        <w:rPr>
          <w:lang w:eastAsia="zh-CN"/>
        </w:rPr>
        <w:t xml:space="preserve"> data-driven spectral analysis technique</w:t>
      </w:r>
      <w:r w:rsidRPr="00C00214">
        <w:rPr>
          <w:lang w:eastAsia="zh-CN"/>
        </w:rPr>
        <w:t xml:space="preserve"> to </w:t>
      </w:r>
      <w:r w:rsidR="008258CE" w:rsidRPr="00C00214">
        <w:t>overcome</w:t>
      </w:r>
      <w:r w:rsidR="00924A92" w:rsidRPr="00C00214">
        <w:t xml:space="preserve"> current limitations</w:t>
      </w:r>
      <w:r w:rsidRPr="00C00214">
        <w:t>.</w:t>
      </w:r>
      <w:r w:rsidR="00306149" w:rsidRPr="00C00214">
        <w:rPr>
          <w:lang w:eastAsia="zh-CN"/>
        </w:rPr>
        <w:t xml:space="preserve"> Instead of interpreting individual measurements in terms of </w:t>
      </w:r>
      <w:r w:rsidR="00AC7352" w:rsidRPr="00C00214">
        <w:rPr>
          <w:lang w:eastAsia="zh-CN"/>
        </w:rPr>
        <w:t xml:space="preserve">only </w:t>
      </w:r>
      <w:r w:rsidR="00306149" w:rsidRPr="00C00214">
        <w:rPr>
          <w:lang w:eastAsia="zh-CN"/>
        </w:rPr>
        <w:t>PD descriptors, analytically</w:t>
      </w:r>
      <w:r w:rsidR="000D01C8" w:rsidRPr="00C00214">
        <w:rPr>
          <w:lang w:eastAsia="zh-CN"/>
        </w:rPr>
        <w:t xml:space="preserve"> </w:t>
      </w:r>
      <w:r w:rsidR="00306149" w:rsidRPr="00C00214">
        <w:rPr>
          <w:lang w:eastAsia="zh-CN"/>
        </w:rPr>
        <w:t>defined (AD) descriptors</w:t>
      </w:r>
      <w:r w:rsidRPr="00C00214">
        <w:rPr>
          <w:lang w:eastAsia="zh-CN"/>
        </w:rPr>
        <w:t xml:space="preserve"> obtained through the data analysis of many </w:t>
      </w:r>
      <w:r w:rsidRPr="00C00214">
        <w:t>slightly different conditions,</w:t>
      </w:r>
      <w:r w:rsidR="00306149" w:rsidRPr="00C00214">
        <w:rPr>
          <w:lang w:eastAsia="zh-CN"/>
        </w:rPr>
        <w:t xml:space="preserve"> are used to describe the </w:t>
      </w:r>
      <w:r w:rsidRPr="00C00214">
        <w:rPr>
          <w:lang w:eastAsia="zh-CN"/>
        </w:rPr>
        <w:t>background</w:t>
      </w:r>
      <w:r w:rsidR="00306149" w:rsidRPr="00C00214">
        <w:rPr>
          <w:lang w:eastAsia="zh-CN"/>
        </w:rPr>
        <w:t xml:space="preserve"> data. These </w:t>
      </w:r>
      <w:r w:rsidRPr="00C00214">
        <w:rPr>
          <w:lang w:eastAsia="zh-CN"/>
        </w:rPr>
        <w:t xml:space="preserve">AD </w:t>
      </w:r>
      <w:r w:rsidR="00306149" w:rsidRPr="00C00214">
        <w:rPr>
          <w:lang w:eastAsia="zh-CN"/>
        </w:rPr>
        <w:t>descriptors are ranked according to specified scores so that those with high scores may be effective for describing the measurements under slightly different experimental conditions</w:t>
      </w:r>
      <w:r w:rsidR="008258CE" w:rsidRPr="00C00214">
        <w:rPr>
          <w:lang w:eastAsia="zh-CN"/>
        </w:rPr>
        <w:t>.</w:t>
      </w:r>
    </w:p>
    <w:p w14:paraId="72AF83FE" w14:textId="46364787" w:rsidR="00E47405" w:rsidRPr="00C00214" w:rsidRDefault="00A8673E" w:rsidP="008258CE">
      <w:pPr>
        <w:jc w:val="both"/>
        <w:rPr>
          <w:lang w:eastAsia="zh-CN"/>
        </w:rPr>
      </w:pPr>
      <w:bookmarkStart w:id="15" w:name="OLE_LINK82"/>
      <w:bookmarkStart w:id="16" w:name="OLE_LINK37"/>
      <w:bookmarkStart w:id="17" w:name="OLE_LINK50"/>
      <w:r w:rsidRPr="00C00214">
        <w:rPr>
          <w:lang w:eastAsia="zh-CN"/>
        </w:rPr>
        <w:t xml:space="preserve">In </w:t>
      </w:r>
      <w:r w:rsidR="00ED2390" w:rsidRPr="00C00214">
        <w:rPr>
          <w:lang w:eastAsia="zh-CN"/>
        </w:rPr>
        <w:t xml:space="preserve">the </w:t>
      </w:r>
      <w:r w:rsidR="008258CE" w:rsidRPr="00C00214">
        <w:rPr>
          <w:lang w:eastAsia="zh-CN"/>
        </w:rPr>
        <w:t xml:space="preserve">following </w:t>
      </w:r>
      <w:r w:rsidR="00ED2390" w:rsidRPr="00C00214">
        <w:rPr>
          <w:lang w:eastAsia="zh-CN"/>
        </w:rPr>
        <w:t>section</w:t>
      </w:r>
      <w:bookmarkEnd w:id="15"/>
      <w:r w:rsidR="00ED2390" w:rsidRPr="00C00214">
        <w:rPr>
          <w:lang w:eastAsia="zh-CN"/>
        </w:rPr>
        <w:t xml:space="preserve">, we demonstrate this </w:t>
      </w:r>
      <w:r w:rsidR="008258CE" w:rsidRPr="00C00214">
        <w:rPr>
          <w:lang w:eastAsia="zh-CN"/>
        </w:rPr>
        <w:t>new</w:t>
      </w:r>
      <w:r w:rsidRPr="00C00214">
        <w:rPr>
          <w:lang w:eastAsia="zh-CN"/>
        </w:rPr>
        <w:t xml:space="preserve"> </w:t>
      </w:r>
      <w:r w:rsidR="008258CE" w:rsidRPr="00C00214">
        <w:rPr>
          <w:lang w:eastAsia="zh-CN"/>
        </w:rPr>
        <w:t>technique</w:t>
      </w:r>
      <w:r w:rsidRPr="00C00214">
        <w:rPr>
          <w:lang w:eastAsia="zh-CN"/>
        </w:rPr>
        <w:t xml:space="preserve"> </w:t>
      </w:r>
      <w:r w:rsidR="00DA261E" w:rsidRPr="00C00214">
        <w:rPr>
          <w:lang w:eastAsia="zh-CN"/>
        </w:rPr>
        <w:t xml:space="preserve">using </w:t>
      </w:r>
      <w:r w:rsidRPr="00C00214">
        <w:rPr>
          <w:lang w:eastAsia="zh-CN"/>
        </w:rPr>
        <w:t xml:space="preserve">an example </w:t>
      </w:r>
      <w:r w:rsidR="00DA261E" w:rsidRPr="00C00214">
        <w:rPr>
          <w:lang w:eastAsia="zh-CN"/>
        </w:rPr>
        <w:t xml:space="preserve">that </w:t>
      </w:r>
      <w:r w:rsidRPr="00C00214">
        <w:rPr>
          <w:lang w:eastAsia="zh-CN"/>
        </w:rPr>
        <w:t>aim</w:t>
      </w:r>
      <w:r w:rsidR="00DA261E" w:rsidRPr="00C00214">
        <w:rPr>
          <w:lang w:eastAsia="zh-CN"/>
        </w:rPr>
        <w:t>s</w:t>
      </w:r>
      <w:r w:rsidRPr="00C00214">
        <w:rPr>
          <w:lang w:eastAsia="zh-CN"/>
        </w:rPr>
        <w:t xml:space="preserve"> to </w:t>
      </w:r>
      <w:r w:rsidR="008258CE" w:rsidRPr="00C00214">
        <w:rPr>
          <w:lang w:eastAsia="zh-CN"/>
        </w:rPr>
        <w:t>measure</w:t>
      </w:r>
      <w:r w:rsidRPr="00C00214">
        <w:rPr>
          <w:lang w:eastAsia="zh-CN"/>
        </w:rPr>
        <w:t xml:space="preserve"> </w:t>
      </w:r>
      <w:r w:rsidR="00AC7352" w:rsidRPr="00C00214">
        <w:rPr>
          <w:lang w:eastAsia="zh-CN"/>
        </w:rPr>
        <w:t xml:space="preserve">the </w:t>
      </w:r>
      <w:r w:rsidRPr="00C00214">
        <w:rPr>
          <w:lang w:eastAsia="zh-CN"/>
        </w:rPr>
        <w:t xml:space="preserve">electron </w:t>
      </w:r>
      <w:r w:rsidR="008258CE" w:rsidRPr="00C00214">
        <w:rPr>
          <w:lang w:eastAsia="zh-CN"/>
        </w:rPr>
        <w:t xml:space="preserve">transport properties </w:t>
      </w:r>
      <w:r w:rsidRPr="00C00214">
        <w:rPr>
          <w:lang w:eastAsia="zh-CN"/>
        </w:rPr>
        <w:t xml:space="preserve">of </w:t>
      </w:r>
      <w:r w:rsidR="008258CE" w:rsidRPr="00C00214">
        <w:rPr>
          <w:lang w:eastAsia="zh-CN"/>
        </w:rPr>
        <w:t xml:space="preserve">substrate-supported </w:t>
      </w:r>
      <w:r w:rsidRPr="00C00214">
        <w:rPr>
          <w:lang w:eastAsia="zh-CN"/>
        </w:rPr>
        <w:t xml:space="preserve">graphene </w:t>
      </w:r>
      <w:r w:rsidR="008258CE" w:rsidRPr="00C00214">
        <w:rPr>
          <w:lang w:eastAsia="zh-CN"/>
        </w:rPr>
        <w:t>using</w:t>
      </w:r>
      <w:r w:rsidRPr="00C00214">
        <w:rPr>
          <w:lang w:eastAsia="zh-CN"/>
        </w:rPr>
        <w:t xml:space="preserve"> </w:t>
      </w:r>
      <w:r w:rsidR="0067317B" w:rsidRPr="00C00214">
        <w:rPr>
          <w:lang w:eastAsia="zh-CN"/>
        </w:rPr>
        <w:t xml:space="preserve">the </w:t>
      </w:r>
      <w:r w:rsidRPr="00C00214">
        <w:rPr>
          <w:lang w:eastAsia="zh-CN"/>
        </w:rPr>
        <w:t>SE background in AES spectra</w:t>
      </w:r>
      <w:r w:rsidR="00BA40A2" w:rsidRPr="00C00214">
        <w:rPr>
          <w:lang w:eastAsia="zh-CN"/>
        </w:rPr>
        <w:t>,</w:t>
      </w:r>
      <w:r w:rsidRPr="00C00214">
        <w:rPr>
          <w:lang w:eastAsia="zh-CN"/>
        </w:rPr>
        <w:t xml:space="preserve"> </w:t>
      </w:r>
      <w:r w:rsidR="008258CE" w:rsidRPr="00C00214">
        <w:rPr>
          <w:lang w:eastAsia="zh-CN"/>
        </w:rPr>
        <w:t>with no influence from the substrate</w:t>
      </w:r>
      <w:r w:rsidRPr="00C00214">
        <w:rPr>
          <w:lang w:eastAsia="zh-CN"/>
        </w:rPr>
        <w:t xml:space="preserve">. </w:t>
      </w:r>
      <w:bookmarkStart w:id="18" w:name="OLE_LINK55"/>
      <w:r w:rsidRPr="00C00214">
        <w:rPr>
          <w:lang w:eastAsia="zh-CN"/>
        </w:rPr>
        <w:t>The implementation of this method comprise</w:t>
      </w:r>
      <w:r w:rsidR="006B43D6" w:rsidRPr="00C00214">
        <w:rPr>
          <w:lang w:eastAsia="zh-CN"/>
        </w:rPr>
        <w:t>s</w:t>
      </w:r>
      <w:r w:rsidRPr="00C00214">
        <w:rPr>
          <w:lang w:eastAsia="zh-CN"/>
        </w:rPr>
        <w:t xml:space="preserve"> three steps: First, the SE spectra of graphene samples with different thicknesses or on different substrates are measured to accumulate information about graphene (Section 2.1). Then, specific combinations of these measurements, termed analytically defined (AD) descriptors, which have a </w:t>
      </w:r>
      <w:r w:rsidR="00AC7352" w:rsidRPr="00C00214">
        <w:rPr>
          <w:lang w:eastAsia="zh-CN"/>
        </w:rPr>
        <w:t>high</w:t>
      </w:r>
      <w:r w:rsidRPr="00C00214">
        <w:rPr>
          <w:lang w:eastAsia="zh-CN"/>
        </w:rPr>
        <w:t xml:space="preserve"> graphene information</w:t>
      </w:r>
      <w:r w:rsidR="006B43D6" w:rsidRPr="00C00214">
        <w:rPr>
          <w:lang w:eastAsia="zh-CN"/>
        </w:rPr>
        <w:t xml:space="preserve"> content</w:t>
      </w:r>
      <w:r w:rsidRPr="00C00214">
        <w:rPr>
          <w:lang w:eastAsia="zh-CN"/>
        </w:rPr>
        <w:t xml:space="preserve"> are sorted from the extensive list of candidates (Section 2.2). Finally, </w:t>
      </w:r>
      <w:r w:rsidR="008258CE" w:rsidRPr="00C00214">
        <w:rPr>
          <w:lang w:eastAsia="zh-CN"/>
        </w:rPr>
        <w:t xml:space="preserve">the selected </w:t>
      </w:r>
      <w:r w:rsidR="006B43D6" w:rsidRPr="00C00214">
        <w:rPr>
          <w:lang w:eastAsia="zh-CN"/>
        </w:rPr>
        <w:t>princip</w:t>
      </w:r>
      <w:r w:rsidR="008E5559" w:rsidRPr="00C00214">
        <w:rPr>
          <w:lang w:eastAsia="zh-CN"/>
        </w:rPr>
        <w:t>le</w:t>
      </w:r>
      <w:r w:rsidRPr="00C00214">
        <w:rPr>
          <w:lang w:eastAsia="zh-CN"/>
        </w:rPr>
        <w:t xml:space="preserve"> AD descriptors are further analy</w:t>
      </w:r>
      <w:r w:rsidR="006B43D6" w:rsidRPr="00C00214">
        <w:rPr>
          <w:lang w:eastAsia="zh-CN"/>
        </w:rPr>
        <w:t>z</w:t>
      </w:r>
      <w:r w:rsidRPr="00C00214">
        <w:rPr>
          <w:lang w:eastAsia="zh-CN"/>
        </w:rPr>
        <w:t xml:space="preserve">ed using a corresponding physical model to quantitatively reveal the </w:t>
      </w:r>
      <w:bookmarkStart w:id="19" w:name="OLE_LINK56"/>
      <w:r w:rsidR="008258CE" w:rsidRPr="00C00214">
        <w:rPr>
          <w:lang w:eastAsia="zh-CN"/>
        </w:rPr>
        <w:t xml:space="preserve">electron transport properties of </w:t>
      </w:r>
      <w:r w:rsidRPr="00C00214">
        <w:rPr>
          <w:lang w:eastAsia="zh-CN"/>
        </w:rPr>
        <w:t>graphene</w:t>
      </w:r>
      <w:bookmarkEnd w:id="19"/>
      <w:r w:rsidR="00F30BAA" w:rsidRPr="00C00214">
        <w:rPr>
          <w:lang w:eastAsia="zh-CN"/>
        </w:rPr>
        <w:t>,</w:t>
      </w:r>
      <w:r w:rsidRPr="00C00214">
        <w:rPr>
          <w:lang w:eastAsia="zh-CN"/>
        </w:rPr>
        <w:t xml:space="preserve"> </w:t>
      </w:r>
      <w:r w:rsidR="00F30BAA" w:rsidRPr="00C00214">
        <w:rPr>
          <w:lang w:eastAsia="zh-CN"/>
        </w:rPr>
        <w:t>as</w:t>
      </w:r>
      <w:r w:rsidRPr="00C00214">
        <w:rPr>
          <w:lang w:eastAsia="zh-CN"/>
        </w:rPr>
        <w:t xml:space="preserve"> described in Section 2.3.</w:t>
      </w:r>
      <w:r w:rsidR="008258CE" w:rsidRPr="00C00214">
        <w:rPr>
          <w:lang w:eastAsia="zh-CN"/>
        </w:rPr>
        <w:t xml:space="preserve"> </w:t>
      </w:r>
      <w:r w:rsidR="006908CE" w:rsidRPr="00C00214">
        <w:rPr>
          <w:lang w:eastAsia="zh-CN"/>
        </w:rPr>
        <w:t>In addition</w:t>
      </w:r>
      <w:r w:rsidRPr="00C00214">
        <w:rPr>
          <w:lang w:eastAsia="zh-CN"/>
        </w:rPr>
        <w:t>, the correctness of th</w:t>
      </w:r>
      <w:r w:rsidR="008258CE" w:rsidRPr="00C00214">
        <w:rPr>
          <w:lang w:eastAsia="zh-CN"/>
        </w:rPr>
        <w:t>e</w:t>
      </w:r>
      <w:r w:rsidRPr="00C00214">
        <w:rPr>
          <w:lang w:eastAsia="zh-CN"/>
        </w:rPr>
        <w:t xml:space="preserve"> physical quantities of graphene </w:t>
      </w:r>
      <w:r w:rsidR="008258CE" w:rsidRPr="00C00214">
        <w:rPr>
          <w:lang w:eastAsia="zh-CN"/>
        </w:rPr>
        <w:t xml:space="preserve">obtained in this work </w:t>
      </w:r>
      <w:r w:rsidR="004174EF" w:rsidRPr="00C00214">
        <w:rPr>
          <w:lang w:eastAsia="zh-CN"/>
        </w:rPr>
        <w:t xml:space="preserve">is </w:t>
      </w:r>
      <w:r w:rsidRPr="00C00214">
        <w:rPr>
          <w:lang w:eastAsia="zh-CN"/>
        </w:rPr>
        <w:t>verified in Section 3</w:t>
      </w:r>
      <w:bookmarkStart w:id="20" w:name="OLE_LINK63"/>
      <w:bookmarkStart w:id="21" w:name="OLE_LINK67"/>
      <w:r w:rsidRPr="00C00214">
        <w:rPr>
          <w:lang w:eastAsia="zh-CN"/>
        </w:rPr>
        <w:t xml:space="preserve">. </w:t>
      </w:r>
      <w:r w:rsidR="008258CE" w:rsidRPr="00C00214">
        <w:rPr>
          <w:lang w:eastAsia="zh-CN"/>
        </w:rPr>
        <w:t>T</w:t>
      </w:r>
      <w:r w:rsidRPr="00C00214">
        <w:rPr>
          <w:lang w:eastAsia="zh-CN"/>
        </w:rPr>
        <w:t xml:space="preserve">he reliability of </w:t>
      </w:r>
      <w:r w:rsidR="006B43D6" w:rsidRPr="00C00214">
        <w:rPr>
          <w:lang w:eastAsia="zh-CN"/>
        </w:rPr>
        <w:t xml:space="preserve">the </w:t>
      </w:r>
      <w:r w:rsidRPr="00C00214">
        <w:rPr>
          <w:lang w:eastAsia="zh-CN"/>
        </w:rPr>
        <w:t>proposed technique in the energy range 50</w:t>
      </w:r>
      <w:r w:rsidR="006B43D6" w:rsidRPr="00C00214">
        <w:rPr>
          <w:lang w:eastAsia="zh-CN"/>
        </w:rPr>
        <w:t>–</w:t>
      </w:r>
      <w:r w:rsidRPr="00C00214">
        <w:rPr>
          <w:lang w:eastAsia="zh-CN"/>
        </w:rPr>
        <w:t>600 eV</w:t>
      </w:r>
      <w:r w:rsidR="008258CE" w:rsidRPr="00C00214">
        <w:rPr>
          <w:lang w:eastAsia="zh-CN"/>
        </w:rPr>
        <w:t xml:space="preserve"> is first verified</w:t>
      </w:r>
      <w:r w:rsidRPr="00C00214">
        <w:rPr>
          <w:lang w:eastAsia="zh-CN"/>
        </w:rPr>
        <w:t xml:space="preserve"> </w:t>
      </w:r>
      <w:r w:rsidR="00984823" w:rsidRPr="00C00214">
        <w:rPr>
          <w:lang w:eastAsia="zh-CN"/>
        </w:rPr>
        <w:t xml:space="preserve">by </w:t>
      </w:r>
      <w:r w:rsidRPr="00C00214">
        <w:rPr>
          <w:lang w:eastAsia="zh-CN"/>
        </w:rPr>
        <w:t xml:space="preserve">comparing the extracted EAL and IMFP values of graphene with well-established ones obtained theoretically or experimentally and this is described in Section 3.1. </w:t>
      </w:r>
      <w:r w:rsidR="008258CE" w:rsidRPr="00C00214">
        <w:rPr>
          <w:lang w:eastAsia="zh-CN"/>
        </w:rPr>
        <w:t>T</w:t>
      </w:r>
      <w:r w:rsidRPr="00C00214">
        <w:rPr>
          <w:lang w:eastAsia="zh-CN"/>
        </w:rPr>
        <w:t xml:space="preserve">he low energy </w:t>
      </w:r>
      <w:r w:rsidRPr="00C00214">
        <w:rPr>
          <w:lang w:eastAsia="zh-CN"/>
        </w:rPr>
        <w:lastRenderedPageBreak/>
        <w:t xml:space="preserve">performance of </w:t>
      </w:r>
      <w:r w:rsidR="00E323C7" w:rsidRPr="00C00214">
        <w:rPr>
          <w:lang w:eastAsia="zh-CN"/>
        </w:rPr>
        <w:t xml:space="preserve">the </w:t>
      </w:r>
      <w:r w:rsidRPr="00C00214">
        <w:rPr>
          <w:lang w:eastAsia="zh-CN"/>
        </w:rPr>
        <w:t xml:space="preserve">proposed technique is </w:t>
      </w:r>
      <w:r w:rsidR="008258CE" w:rsidRPr="00C00214">
        <w:rPr>
          <w:lang w:eastAsia="zh-CN"/>
        </w:rPr>
        <w:t xml:space="preserve">then discussed </w:t>
      </w:r>
      <w:r w:rsidR="00E47405" w:rsidRPr="00C00214">
        <w:rPr>
          <w:lang w:eastAsia="zh-CN"/>
        </w:rPr>
        <w:t>in Section 3.2 and Section 3.3</w:t>
      </w:r>
      <w:r w:rsidR="004174EF" w:rsidRPr="00C00214">
        <w:rPr>
          <w:lang w:eastAsia="zh-CN"/>
        </w:rPr>
        <w:t>,</w:t>
      </w:r>
      <w:r w:rsidR="00E47405" w:rsidRPr="00C00214">
        <w:rPr>
          <w:lang w:eastAsia="zh-CN"/>
        </w:rPr>
        <w:t xml:space="preserve"> focusing on the low energy electron transmissivity of graphene, and the resulting EAL and IMFP values of graphene, respectively. </w:t>
      </w:r>
      <w:r w:rsidRPr="00C00214">
        <w:rPr>
          <w:lang w:eastAsia="zh-CN"/>
        </w:rPr>
        <w:t xml:space="preserve">All </w:t>
      </w:r>
      <w:r w:rsidR="00E323C7" w:rsidRPr="00C00214">
        <w:rPr>
          <w:lang w:eastAsia="zh-CN"/>
        </w:rPr>
        <w:t xml:space="preserve">of </w:t>
      </w:r>
      <w:r w:rsidRPr="00C00214">
        <w:rPr>
          <w:lang w:eastAsia="zh-CN"/>
        </w:rPr>
        <w:t xml:space="preserve">the evidence </w:t>
      </w:r>
      <w:r w:rsidR="008258CE" w:rsidRPr="00C00214">
        <w:rPr>
          <w:lang w:eastAsia="zh-CN"/>
        </w:rPr>
        <w:t>presented in this work suggest</w:t>
      </w:r>
      <w:r w:rsidR="00E323C7" w:rsidRPr="00C00214">
        <w:rPr>
          <w:lang w:eastAsia="zh-CN"/>
        </w:rPr>
        <w:t>s</w:t>
      </w:r>
      <w:r w:rsidR="008258CE" w:rsidRPr="00C00214">
        <w:rPr>
          <w:lang w:eastAsia="zh-CN"/>
        </w:rPr>
        <w:t xml:space="preserve"> that</w:t>
      </w:r>
      <w:r w:rsidRPr="00C00214">
        <w:rPr>
          <w:lang w:eastAsia="zh-CN"/>
        </w:rPr>
        <w:t xml:space="preserve"> the proposed method is </w:t>
      </w:r>
      <w:r w:rsidR="008258CE" w:rsidRPr="00C00214">
        <w:rPr>
          <w:lang w:eastAsia="zh-CN"/>
        </w:rPr>
        <w:t xml:space="preserve">able to extract </w:t>
      </w:r>
      <w:r w:rsidR="00E47405" w:rsidRPr="00C00214">
        <w:rPr>
          <w:lang w:eastAsia="zh-CN"/>
        </w:rPr>
        <w:t xml:space="preserve">reliable electron transport properties </w:t>
      </w:r>
      <w:r w:rsidR="00984823" w:rsidRPr="00C00214">
        <w:rPr>
          <w:lang w:eastAsia="zh-CN"/>
        </w:rPr>
        <w:t>for</w:t>
      </w:r>
      <w:r w:rsidR="00E47405" w:rsidRPr="00C00214">
        <w:rPr>
          <w:lang w:eastAsia="zh-CN"/>
        </w:rPr>
        <w:t xml:space="preserve"> graphene from SE background signal even when the graphene is supported by a substrate. </w:t>
      </w:r>
    </w:p>
    <w:bookmarkEnd w:id="16"/>
    <w:bookmarkEnd w:id="17"/>
    <w:bookmarkEnd w:id="18"/>
    <w:bookmarkEnd w:id="20"/>
    <w:bookmarkEnd w:id="21"/>
    <w:p w14:paraId="11FBDAFF" w14:textId="77777777" w:rsidR="006E560F" w:rsidRPr="00C00214" w:rsidRDefault="001C6150" w:rsidP="006E560F">
      <w:pPr>
        <w:jc w:val="center"/>
        <w:rPr>
          <w:b/>
        </w:rPr>
      </w:pPr>
      <w:r w:rsidRPr="00C00214">
        <w:rPr>
          <w:b/>
        </w:rPr>
        <w:t>2</w:t>
      </w:r>
      <w:r w:rsidR="009E1C37" w:rsidRPr="00C00214">
        <w:rPr>
          <w:b/>
        </w:rPr>
        <w:t>. Experimental Methods</w:t>
      </w:r>
    </w:p>
    <w:p w14:paraId="56FE47E1" w14:textId="060D31D8" w:rsidR="009E1C37" w:rsidRPr="00C00214" w:rsidRDefault="001C6150" w:rsidP="006E560F">
      <w:pPr>
        <w:jc w:val="center"/>
        <w:rPr>
          <w:b/>
        </w:rPr>
      </w:pPr>
      <w:r w:rsidRPr="00C00214">
        <w:rPr>
          <w:b/>
        </w:rPr>
        <w:t>2.1</w:t>
      </w:r>
      <w:r w:rsidR="009E1C37" w:rsidRPr="00C00214">
        <w:rPr>
          <w:b/>
        </w:rPr>
        <w:t xml:space="preserve">. </w:t>
      </w:r>
      <w:r w:rsidR="004C2AEC" w:rsidRPr="00C00214">
        <w:rPr>
          <w:b/>
        </w:rPr>
        <w:t>Measurements under slightly different conditions</w:t>
      </w:r>
    </w:p>
    <w:p w14:paraId="12BFA5A3" w14:textId="71452AFB" w:rsidR="008C3EE4" w:rsidRPr="00C00214" w:rsidRDefault="004C2AEC">
      <w:pPr>
        <w:jc w:val="both"/>
      </w:pPr>
      <w:r w:rsidRPr="00C00214">
        <w:t xml:space="preserve">Because our goal was to extract quantitative information of graphene from SE spectra, the first step was to gather enough SE spectra containing graphene information in different ways. Figure 1a shows a commercial AES setup with a cylindrical mirror analyser (CMA). Focused electrons were incident on the substrate-supported graphene sample and emitted electrons were detected by the CMA to capture SE spectra. A polycrystalline gold (Au) substrate </w:t>
      </w:r>
      <w:r w:rsidR="00F24AD6" w:rsidRPr="00C00214">
        <w:t>(</w:t>
      </w:r>
      <w:r w:rsidR="001A6E85" w:rsidRPr="00C00214">
        <w:t xml:space="preserve">see </w:t>
      </w:r>
      <w:bookmarkStart w:id="22" w:name="OLE_LINK78"/>
      <w:bookmarkStart w:id="23" w:name="OLE_LINK79"/>
      <w:r w:rsidR="001A6E85" w:rsidRPr="00C00214">
        <w:t xml:space="preserve">Appendix </w:t>
      </w:r>
      <w:bookmarkEnd w:id="22"/>
      <w:bookmarkEnd w:id="23"/>
      <w:r w:rsidR="001A6E85" w:rsidRPr="00C00214">
        <w:t>A</w:t>
      </w:r>
      <w:r w:rsidR="00F24AD6" w:rsidRPr="00C00214">
        <w:t xml:space="preserve">) </w:t>
      </w:r>
      <w:r w:rsidRPr="00C00214">
        <w:t xml:space="preserve">was selected to support the target graphene because different types of SE spectra can be measured at different regions of a polycrystalline substrate to accumulate graphene information as a result of its distinct crystallographic orientations. According to the scanning electron microscopy image in the inset of Fig. 1b, four types of SE spectra </w:t>
      </w:r>
      <w:bookmarkStart w:id="24" w:name="OLE_LINK36"/>
      <w:r w:rsidRPr="00C00214">
        <w:t xml:space="preserve">with sufficient stability and repeatability </w:t>
      </w:r>
      <w:bookmarkEnd w:id="24"/>
      <w:r w:rsidRPr="00C00214">
        <w:t>were measured by selecting incident positions on bright (</w:t>
      </w:r>
      <w:r w:rsidRPr="00C00214">
        <w:rPr>
          <w:i/>
        </w:rPr>
        <w:t>S</w:t>
      </w:r>
      <w:r w:rsidRPr="00C00214">
        <w:rPr>
          <w:vertAlign w:val="subscript"/>
        </w:rPr>
        <w:t>B</w:t>
      </w:r>
      <w:r w:rsidRPr="00C00214">
        <w:t>) and dark (</w:t>
      </w:r>
      <w:r w:rsidRPr="00C00214">
        <w:rPr>
          <w:i/>
        </w:rPr>
        <w:t>S</w:t>
      </w:r>
      <w:r w:rsidRPr="00C00214">
        <w:rPr>
          <w:vertAlign w:val="subscript"/>
        </w:rPr>
        <w:t>D</w:t>
      </w:r>
      <w:r w:rsidRPr="00C00214">
        <w:t xml:space="preserve">) regions of the bare substrate and similar regions covered by graphene sheets, as illustrated in Fig. 1b. In these SE spectra, broad SE peaks with some weak features as shoulders were observed, which may originate from the coupling of several physical mechanisms including the diffraction effect and characteristic SE emission, and therefore are generally regarded as part of the uninterpreted SE background. </w:t>
      </w:r>
    </w:p>
    <w:p w14:paraId="5D422505" w14:textId="5C66AB3E" w:rsidR="008C3EE4" w:rsidRPr="00C00214" w:rsidRDefault="004C2AEC">
      <w:pPr>
        <w:jc w:val="both"/>
      </w:pPr>
      <w:r w:rsidRPr="00C00214">
        <w:t xml:space="preserve">Although these four SE spectra measured from different specified regions of the same sample were of suitable quality for use as basic elements to construct candidate AD descriptors, more </w:t>
      </w:r>
      <w:r w:rsidRPr="00C00214">
        <w:lastRenderedPageBreak/>
        <w:t xml:space="preserve">interrelated SE spectra were needed to implement the proposed data-driven spectral analysis method. Here, two more representative experiment variables were applied to accumulate more graphene information from different aspects; </w:t>
      </w:r>
      <w:bookmarkStart w:id="25" w:name="OLE_LINK107"/>
      <w:r w:rsidRPr="00C00214">
        <w:t>these variables were the energy of the incident electron beam (</w:t>
      </w:r>
      <w:r w:rsidRPr="00C00214">
        <w:rPr>
          <w:i/>
        </w:rPr>
        <w:t>E</w:t>
      </w:r>
      <w:r w:rsidRPr="00C00214">
        <w:rPr>
          <w:vertAlign w:val="subscript"/>
        </w:rPr>
        <w:t>in</w:t>
      </w:r>
      <w:r w:rsidRPr="00C00214">
        <w:t>)</w:t>
      </w:r>
      <w:bookmarkEnd w:id="25"/>
      <w:r w:rsidRPr="00C00214">
        <w:t>, which was assessed at three levels, i.e., 10 keV (</w:t>
      </w:r>
      <w:r w:rsidRPr="00C00214">
        <w:rPr>
          <w:i/>
        </w:rPr>
        <w:t>E</w:t>
      </w:r>
      <w:r w:rsidRPr="00C00214">
        <w:rPr>
          <w:vertAlign w:val="subscript"/>
        </w:rPr>
        <w:t>10</w:t>
      </w:r>
      <w:r w:rsidRPr="00C00214">
        <w:t>), 15 keV (</w:t>
      </w:r>
      <w:r w:rsidRPr="00C00214">
        <w:rPr>
          <w:i/>
        </w:rPr>
        <w:t>E</w:t>
      </w:r>
      <w:r w:rsidRPr="00C00214">
        <w:rPr>
          <w:vertAlign w:val="subscript"/>
        </w:rPr>
        <w:t>15</w:t>
      </w:r>
      <w:r w:rsidRPr="00C00214">
        <w:t>), and 20 keV (</w:t>
      </w:r>
      <w:r w:rsidRPr="00C00214">
        <w:rPr>
          <w:i/>
        </w:rPr>
        <w:t>E</w:t>
      </w:r>
      <w:r w:rsidRPr="00C00214">
        <w:rPr>
          <w:vertAlign w:val="subscript"/>
        </w:rPr>
        <w:t>20</w:t>
      </w:r>
      <w:r w:rsidRPr="00C00214">
        <w:t>), and the layer number of graphene (</w:t>
      </w:r>
      <w:r w:rsidRPr="00C00214">
        <w:rPr>
          <w:i/>
        </w:rPr>
        <w:t>G</w:t>
      </w:r>
      <w:r w:rsidRPr="00C00214">
        <w:rPr>
          <w:vertAlign w:val="subscript"/>
        </w:rPr>
        <w:t>n</w:t>
      </w:r>
      <w:r w:rsidRPr="00C00214">
        <w:t>), for which two levels were considered; i.e., monolayer graphene (</w:t>
      </w:r>
      <w:r w:rsidRPr="00C00214">
        <w:rPr>
          <w:i/>
        </w:rPr>
        <w:t>G</w:t>
      </w:r>
      <w:r w:rsidRPr="00C00214">
        <w:rPr>
          <w:vertAlign w:val="subscript"/>
        </w:rPr>
        <w:t>1</w:t>
      </w:r>
      <w:r w:rsidRPr="00C00214">
        <w:t>) and bilayer graphene (</w:t>
      </w:r>
      <w:r w:rsidRPr="00C00214">
        <w:rPr>
          <w:i/>
        </w:rPr>
        <w:t>G</w:t>
      </w:r>
      <w:r w:rsidRPr="00C00214">
        <w:rPr>
          <w:vertAlign w:val="subscript"/>
        </w:rPr>
        <w:t>2</w:t>
      </w:r>
      <w:r w:rsidRPr="00C00214">
        <w:t>). Taking into account the two possible incident positions (</w:t>
      </w:r>
      <w:r w:rsidRPr="00C00214">
        <w:rPr>
          <w:i/>
        </w:rPr>
        <w:t>S</w:t>
      </w:r>
      <w:r w:rsidRPr="00C00214">
        <w:rPr>
          <w:vertAlign w:val="subscript"/>
        </w:rPr>
        <w:t>B</w:t>
      </w:r>
      <w:r w:rsidRPr="00C00214">
        <w:t xml:space="preserve"> and </w:t>
      </w:r>
      <w:r w:rsidRPr="00C00214">
        <w:rPr>
          <w:i/>
        </w:rPr>
        <w:t>S</w:t>
      </w:r>
      <w:r w:rsidRPr="00C00214">
        <w:rPr>
          <w:vertAlign w:val="subscript"/>
        </w:rPr>
        <w:t>D</w:t>
      </w:r>
      <w:r w:rsidRPr="00C00214">
        <w:t xml:space="preserve">), up to 18 different types of SE spectra could be measured from one sample in the energy range of 0–50 eV, as </w:t>
      </w:r>
      <w:r w:rsidR="001A6E85" w:rsidRPr="00C00214">
        <w:t xml:space="preserve">presented in </w:t>
      </w:r>
      <w:bookmarkStart w:id="26" w:name="OLE_LINK71"/>
      <w:r w:rsidR="001A6E85" w:rsidRPr="00C00214">
        <w:t>Appendix A</w:t>
      </w:r>
      <w:bookmarkEnd w:id="26"/>
      <w:r w:rsidRPr="00C00214">
        <w:t xml:space="preserve">. To </w:t>
      </w:r>
      <w:bookmarkStart w:id="27" w:name="OLE_LINK106"/>
      <w:r w:rsidRPr="00C00214">
        <w:t xml:space="preserve">compare our results with </w:t>
      </w:r>
      <w:bookmarkEnd w:id="27"/>
      <w:r w:rsidRPr="00C00214">
        <w:t>well-established theoretical and experimental approaches that are only available at electron energies (</w:t>
      </w:r>
      <w:r w:rsidRPr="00C00214">
        <w:rPr>
          <w:i/>
        </w:rPr>
        <w:t>E</w:t>
      </w:r>
      <w:r w:rsidRPr="00C00214">
        <w:t xml:space="preserve">) above 50 eV, one more group of SE spectra was measured at </w:t>
      </w:r>
      <w:r w:rsidRPr="00C00214">
        <w:rPr>
          <w:i/>
        </w:rPr>
        <w:t>E</w:t>
      </w:r>
      <w:r w:rsidRPr="00C00214">
        <w:t xml:space="preserve"> </w:t>
      </w:r>
      <w:bookmarkStart w:id="28" w:name="OLE_LINK136"/>
      <w:r w:rsidRPr="00C00214">
        <w:t>of up to</w:t>
      </w:r>
      <w:bookmarkEnd w:id="28"/>
      <w:r w:rsidRPr="00C00214">
        <w:t xml:space="preserve"> 600 eV (</w:t>
      </w:r>
      <w:r w:rsidR="001A6E85" w:rsidRPr="00C00214">
        <w:t>see Appendix A</w:t>
      </w:r>
      <w:r w:rsidRPr="00C00214">
        <w:t xml:space="preserve">). From the viewpoint of mathematics, SE spectra can be interpreted as functions that depend on the selected experimental variables; thereby, the spectra measured for the bare substrate and graphene could be written as </w:t>
      </w:r>
      <w:r w:rsidRPr="00C00214">
        <w:rPr>
          <w:i/>
        </w:rPr>
        <w:t>J</w:t>
      </w:r>
      <w:r w:rsidRPr="00C00214">
        <w:rPr>
          <w:vertAlign w:val="subscript"/>
        </w:rPr>
        <w:t>Sub</w:t>
      </w:r>
      <w:r w:rsidRPr="00C00214">
        <w:t>(</w:t>
      </w:r>
      <w:r w:rsidRPr="00C00214">
        <w:rPr>
          <w:i/>
        </w:rPr>
        <w:t>E</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and </w:t>
      </w:r>
      <w:r w:rsidRPr="00C00214">
        <w:rPr>
          <w:i/>
        </w:rPr>
        <w:t>J</w:t>
      </w:r>
      <w:r w:rsidRPr="00C00214">
        <w:rPr>
          <w:vertAlign w:val="subscript"/>
        </w:rPr>
        <w:t>Gra</w:t>
      </w:r>
      <w:r w:rsidRPr="00C00214">
        <w:t>(</w:t>
      </w:r>
      <w:r w:rsidRPr="00C00214">
        <w:rPr>
          <w:i/>
        </w:rPr>
        <w:t>E</w:t>
      </w:r>
      <w:r w:rsidRPr="00C00214">
        <w:t xml:space="preserve">, </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respectively, where </w:t>
      </w:r>
      <w:r w:rsidRPr="00C00214">
        <w:rPr>
          <w:i/>
        </w:rPr>
        <w:t>S</w:t>
      </w:r>
      <w:r w:rsidRPr="00C00214">
        <w:rPr>
          <w:vertAlign w:val="subscript"/>
        </w:rPr>
        <w:t>i</w:t>
      </w:r>
      <w:r w:rsidRPr="00C00214">
        <w:t xml:space="preserve"> represents specific regions on the substrate </w:t>
      </w:r>
      <w:r w:rsidRPr="00C00214">
        <w:rPr>
          <w:rFonts w:eastAsia="Times New Roman"/>
          <w:noProof/>
          <w:position w:val="-14"/>
          <w:lang w:eastAsia="zh-CN"/>
        </w:rPr>
        <w:drawing>
          <wp:inline distT="0" distB="0" distL="0" distR="0" wp14:anchorId="06D9A764" wp14:editId="66F76957">
            <wp:extent cx="739140" cy="27051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9140" cy="270510"/>
                    </a:xfrm>
                    <a:prstGeom prst="rect">
                      <a:avLst/>
                    </a:prstGeom>
                    <a:noFill/>
                    <a:ln>
                      <a:noFill/>
                    </a:ln>
                  </pic:spPr>
                </pic:pic>
              </a:graphicData>
            </a:graphic>
          </wp:inline>
        </w:drawing>
      </w:r>
      <w:r w:rsidRPr="00C00214">
        <w:t xml:space="preserve">. </w:t>
      </w:r>
      <w:r w:rsidRPr="00C00214">
        <w:rPr>
          <w:i/>
        </w:rPr>
        <w:t>E</w:t>
      </w:r>
      <w:r w:rsidRPr="00C00214">
        <w:t xml:space="preserve"> is omitted below for brevity.</w:t>
      </w:r>
    </w:p>
    <w:p w14:paraId="4A925E5C" w14:textId="24C24CDA" w:rsidR="005F6970" w:rsidRPr="00C00214" w:rsidRDefault="001C6150" w:rsidP="006E560F">
      <w:pPr>
        <w:jc w:val="center"/>
        <w:rPr>
          <w:b/>
        </w:rPr>
      </w:pPr>
      <w:r w:rsidRPr="00C00214">
        <w:rPr>
          <w:b/>
        </w:rPr>
        <w:t>2.2</w:t>
      </w:r>
      <w:r w:rsidR="009E1C37" w:rsidRPr="00C00214">
        <w:rPr>
          <w:b/>
        </w:rPr>
        <w:t xml:space="preserve">. </w:t>
      </w:r>
      <w:r w:rsidR="004C2AEC" w:rsidRPr="00C00214">
        <w:rPr>
          <w:b/>
        </w:rPr>
        <w:t>Determining principle AD descriptors</w:t>
      </w:r>
    </w:p>
    <w:p w14:paraId="4D93239B" w14:textId="682F7C4D" w:rsidR="008C3EE4" w:rsidRPr="00C00214" w:rsidRDefault="004C2AEC">
      <w:pPr>
        <w:jc w:val="both"/>
      </w:pPr>
      <w:r w:rsidRPr="00C00214">
        <w:t xml:space="preserve">Based on these SE spectra, candidate AD descriptors for certain combinational math operations of these spectra were randomly constructed with </w:t>
      </w:r>
      <w:bookmarkStart w:id="29" w:name="OLE_LINK119"/>
      <w:r w:rsidRPr="00C00214">
        <w:t xml:space="preserve">algebra and further defined as a </w:t>
      </w:r>
      <w:bookmarkEnd w:id="29"/>
      <w:r w:rsidRPr="00C00214">
        <w:t>descriptor space. To create an affordable descriptor space, here, the candidate AD descriptors were constructed merely by exhaustively listing all the possible ratios of linear combinations of four SE spectra measured from different specified regions of the same sample, as follows:</w:t>
      </w:r>
    </w:p>
    <w:p w14:paraId="20C9D5A4" w14:textId="2AA24356" w:rsidR="008C3EE4" w:rsidRPr="00C00214" w:rsidRDefault="004C2AEC">
      <w:pPr>
        <w:pStyle w:val="MTDisplayEquation"/>
      </w:pPr>
      <w:r w:rsidRPr="00C00214">
        <w:tab/>
      </w:r>
      <w:r w:rsidR="00EF1C4A" w:rsidRPr="00C00214">
        <w:rPr>
          <w:noProof/>
          <w:position w:val="-32"/>
          <w:lang w:eastAsia="zh-CN"/>
        </w:rPr>
        <w:drawing>
          <wp:inline distT="0" distB="0" distL="0" distR="0" wp14:anchorId="3C91096B" wp14:editId="0104A7B4">
            <wp:extent cx="5486400" cy="467995"/>
            <wp:effectExtent l="0" t="0" r="0" b="8255"/>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467995"/>
                    </a:xfrm>
                    <a:prstGeom prst="rect">
                      <a:avLst/>
                    </a:prstGeom>
                    <a:noFill/>
                    <a:ln>
                      <a:noFill/>
                    </a:ln>
                  </pic:spPr>
                </pic:pic>
              </a:graphicData>
            </a:graphic>
          </wp:inline>
        </w:drawing>
      </w:r>
      <w:r w:rsidRPr="00C00214">
        <w:t xml:space="preserve"> </w:t>
      </w:r>
      <w:r w:rsidRPr="00C00214">
        <w:tab/>
      </w:r>
      <w:r w:rsidRPr="00C00214">
        <w:fldChar w:fldCharType="begin"/>
      </w:r>
      <w:r w:rsidRPr="00C00214">
        <w:instrText xml:space="preserve"> MACROBUTTON MTPlaceRef \* MERGEFORMAT </w:instrText>
      </w:r>
      <w:r w:rsidRPr="00C00214">
        <w:fldChar w:fldCharType="begin"/>
      </w:r>
      <w:r w:rsidRPr="00C00214">
        <w:instrText xml:space="preserve"> SEQ MTEqn \h \* MERGEFORMAT </w:instrText>
      </w:r>
      <w:r w:rsidRPr="00C00214">
        <w:fldChar w:fldCharType="end"/>
      </w:r>
      <w:r w:rsidRPr="00C00214">
        <w:instrText>(</w:instrText>
      </w:r>
      <w:fldSimple w:instr=" SEQ MTEqn \c \* Arabic \* MERGEFORMAT ">
        <w:r w:rsidR="00C95F7D">
          <w:rPr>
            <w:noProof/>
          </w:rPr>
          <w:instrText>1</w:instrText>
        </w:r>
      </w:fldSimple>
      <w:r w:rsidRPr="00C00214">
        <w:instrText>)</w:instrText>
      </w:r>
      <w:r w:rsidRPr="00C00214">
        <w:fldChar w:fldCharType="end"/>
      </w:r>
    </w:p>
    <w:p w14:paraId="7A15B05E" w14:textId="77777777" w:rsidR="008C3EE4" w:rsidRPr="00C00214" w:rsidRDefault="004C2AEC">
      <w:pPr>
        <w:jc w:val="both"/>
      </w:pPr>
      <w:r w:rsidRPr="00C00214">
        <w:lastRenderedPageBreak/>
        <w:t>where D(</w:t>
      </w:r>
      <w:r w:rsidRPr="00C00214">
        <w:rPr>
          <w:b/>
        </w:rPr>
        <w:t>a</w:t>
      </w:r>
      <w:r w:rsidRPr="00C00214">
        <w:t xml:space="preserve">, </w:t>
      </w:r>
      <w:r w:rsidRPr="00C00214">
        <w:rPr>
          <w:i/>
        </w:rPr>
        <w:t>G</w:t>
      </w:r>
      <w:r w:rsidRPr="00C00214">
        <w:rPr>
          <w:vertAlign w:val="subscript"/>
        </w:rPr>
        <w:t>n</w:t>
      </w:r>
      <w:r w:rsidRPr="00C00214">
        <w:t xml:space="preserve">, </w:t>
      </w:r>
      <w:r w:rsidRPr="00C00214">
        <w:rPr>
          <w:i/>
        </w:rPr>
        <w:t>E</w:t>
      </w:r>
      <w:r w:rsidRPr="00C00214">
        <w:rPr>
          <w:vertAlign w:val="subscript"/>
        </w:rPr>
        <w:t>in</w:t>
      </w:r>
      <w:r w:rsidRPr="00C00214">
        <w:t xml:space="preserve">) is a candidate AD descriptor as a function of weight factor vector </w:t>
      </w:r>
      <w:r w:rsidRPr="00C00214">
        <w:rPr>
          <w:b/>
        </w:rPr>
        <w:t>a</w:t>
      </w:r>
      <w:r w:rsidRPr="00C00214">
        <w:t xml:space="preserve">, </w:t>
      </w:r>
      <w:r w:rsidRPr="00C00214">
        <w:rPr>
          <w:i/>
        </w:rPr>
        <w:t>G</w:t>
      </w:r>
      <w:r w:rsidRPr="00C00214">
        <w:rPr>
          <w:vertAlign w:val="subscript"/>
        </w:rPr>
        <w:t>n</w:t>
      </w:r>
      <w:r w:rsidRPr="00C00214">
        <w:t xml:space="preserve">, and </w:t>
      </w:r>
      <w:r w:rsidRPr="00C00214">
        <w:rPr>
          <w:i/>
        </w:rPr>
        <w:t>E</w:t>
      </w:r>
      <w:r w:rsidRPr="00C00214">
        <w:rPr>
          <w:vertAlign w:val="subscript"/>
        </w:rPr>
        <w:t>in</w:t>
      </w:r>
      <w:r w:rsidRPr="00C00214">
        <w:t xml:space="preserve">. The eight components of vector </w:t>
      </w:r>
      <w:r w:rsidRPr="00C00214">
        <w:rPr>
          <w:b/>
        </w:rPr>
        <w:t>a</w:t>
      </w:r>
      <w:r w:rsidRPr="00C00214">
        <w:t xml:space="preserve"> (</w:t>
      </w:r>
      <w:r w:rsidRPr="00C00214">
        <w:rPr>
          <w:i/>
        </w:rPr>
        <w:t>a</w:t>
      </w:r>
      <w:r w:rsidRPr="00C00214">
        <w:rPr>
          <w:vertAlign w:val="subscript"/>
        </w:rPr>
        <w:t>1</w:t>
      </w:r>
      <w:r w:rsidRPr="00C00214">
        <w:t xml:space="preserve">, </w:t>
      </w:r>
      <w:r w:rsidRPr="00C00214">
        <w:rPr>
          <w:i/>
        </w:rPr>
        <w:t>a</w:t>
      </w:r>
      <w:r w:rsidRPr="00C00214">
        <w:rPr>
          <w:vertAlign w:val="subscript"/>
        </w:rPr>
        <w:t>2</w:t>
      </w:r>
      <w:r w:rsidRPr="00C00214">
        <w:t xml:space="preserve">, </w:t>
      </w:r>
      <w:r w:rsidRPr="00C00214">
        <w:rPr>
          <w:i/>
        </w:rPr>
        <w:t>a</w:t>
      </w:r>
      <w:r w:rsidRPr="00C00214">
        <w:rPr>
          <w:vertAlign w:val="subscript"/>
        </w:rPr>
        <w:t>3</w:t>
      </w:r>
      <w:r w:rsidRPr="00C00214">
        <w:t xml:space="preserve">, </w:t>
      </w:r>
      <w:r w:rsidRPr="00C00214">
        <w:rPr>
          <w:i/>
        </w:rPr>
        <w:t>a</w:t>
      </w:r>
      <w:r w:rsidRPr="00C00214">
        <w:rPr>
          <w:vertAlign w:val="subscript"/>
        </w:rPr>
        <w:t>4</w:t>
      </w:r>
      <w:r w:rsidRPr="00C00214">
        <w:t>,</w:t>
      </w:r>
      <w:r w:rsidRPr="00C00214">
        <w:rPr>
          <w:i/>
        </w:rPr>
        <w:t xml:space="preserve"> a</w:t>
      </w:r>
      <w:r w:rsidRPr="00C00214">
        <w:rPr>
          <w:vertAlign w:val="subscript"/>
        </w:rPr>
        <w:t>5</w:t>
      </w:r>
      <w:r w:rsidRPr="00C00214">
        <w:t xml:space="preserve">, </w:t>
      </w:r>
      <w:r w:rsidRPr="00C00214">
        <w:rPr>
          <w:i/>
        </w:rPr>
        <w:t>a</w:t>
      </w:r>
      <w:r w:rsidRPr="00C00214">
        <w:rPr>
          <w:vertAlign w:val="subscript"/>
        </w:rPr>
        <w:t>6</w:t>
      </w:r>
      <w:r w:rsidRPr="00C00214">
        <w:t>,</w:t>
      </w:r>
      <w:r w:rsidRPr="00C00214">
        <w:rPr>
          <w:i/>
        </w:rPr>
        <w:t xml:space="preserve"> a</w:t>
      </w:r>
      <w:r w:rsidRPr="00C00214">
        <w:rPr>
          <w:vertAlign w:val="subscript"/>
        </w:rPr>
        <w:t>7</w:t>
      </w:r>
      <w:r w:rsidRPr="00C00214">
        <w:t xml:space="preserve">, and </w:t>
      </w:r>
      <w:r w:rsidRPr="00C00214">
        <w:rPr>
          <w:i/>
        </w:rPr>
        <w:t>a</w:t>
      </w:r>
      <w:r w:rsidRPr="00C00214">
        <w:rPr>
          <w:vertAlign w:val="subscript"/>
        </w:rPr>
        <w:t>8</w:t>
      </w:r>
      <w:r w:rsidRPr="00C00214">
        <w:t xml:space="preserve">) were used as weight factors to construct candidate descriptors and each component </w:t>
      </w:r>
      <w:r w:rsidRPr="00C00214">
        <w:rPr>
          <w:i/>
        </w:rPr>
        <w:t>a</w:t>
      </w:r>
      <w:r w:rsidRPr="00C00214">
        <w:rPr>
          <w:vertAlign w:val="subscript"/>
        </w:rPr>
        <w:t>i</w:t>
      </w:r>
      <w:r w:rsidRPr="00C00214">
        <w:t xml:space="preserve"> was restricted to the value of −1, 0, or 1 for simplicity. </w:t>
      </w:r>
    </w:p>
    <w:p w14:paraId="2D1C0467" w14:textId="1920FBCC" w:rsidR="008C3EE4" w:rsidRPr="00C00214" w:rsidRDefault="004C2AEC">
      <w:pPr>
        <w:jc w:val="both"/>
      </w:pPr>
      <w:r w:rsidRPr="00C00214">
        <w:t xml:space="preserve">The next step involved identifying the AD descriptors with a large percentage of graphene information from the candidates. Clearly, such AD descriptors should be insensitive to the experiment variable that </w:t>
      </w:r>
      <w:bookmarkStart w:id="30" w:name="OLE_LINK34"/>
      <w:r w:rsidRPr="00C00214">
        <w:t xml:space="preserve">has almost no effect on </w:t>
      </w:r>
      <w:bookmarkEnd w:id="30"/>
      <w:r w:rsidRPr="00C00214">
        <w:t xml:space="preserve">the proportion of graphene information in the measured spectra, represented by </w:t>
      </w:r>
      <w:r w:rsidRPr="00C00214">
        <w:rPr>
          <w:i/>
        </w:rPr>
        <w:t>E</w:t>
      </w:r>
      <w:r w:rsidRPr="00C00214">
        <w:rPr>
          <w:vertAlign w:val="subscript"/>
        </w:rPr>
        <w:t>in</w:t>
      </w:r>
      <w:r w:rsidRPr="00C00214">
        <w:t xml:space="preserve">, and simultaneously sensitive to any slight changes in the experiment variable that strongly affect the proportion of graphene information in the measured spectra, represented by </w:t>
      </w:r>
      <w:r w:rsidRPr="00C00214">
        <w:rPr>
          <w:i/>
        </w:rPr>
        <w:t>G</w:t>
      </w:r>
      <w:r w:rsidRPr="00C00214">
        <w:rPr>
          <w:vertAlign w:val="subscript"/>
        </w:rPr>
        <w:t>n</w:t>
      </w:r>
      <w:r w:rsidRPr="00C00214">
        <w:t xml:space="preserve">. Therefore, the essence of the selection of requested AD descriptors according to their sensitivities to experiment variables is a typical multi-objective optimization problem, and could be solved by introducing the economic concept of </w:t>
      </w:r>
      <w:bookmarkStart w:id="31" w:name="OLE_LINK118"/>
      <w:r w:rsidRPr="00C00214">
        <w:t>Pareto optimality</w:t>
      </w:r>
      <w:bookmarkEnd w:id="31"/>
      <w:r w:rsidRPr="00C00214">
        <w:t xml:space="preserve"> [</w:t>
      </w:r>
      <w:r w:rsidRPr="00C00214">
        <w:rPr>
          <w:i/>
        </w:rPr>
        <w:t>18</w:t>
      </w:r>
      <w:r w:rsidRPr="00C00214">
        <w:t>].</w:t>
      </w:r>
      <w:r w:rsidR="00C426C9" w:rsidRPr="00C00214">
        <w:t xml:space="preserve"> The Pareto optimality </w:t>
      </w:r>
      <w:r w:rsidR="008F2C24" w:rsidRPr="00C00214">
        <w:t>describes</w:t>
      </w:r>
      <w:r w:rsidR="00C426C9" w:rsidRPr="00C00214">
        <w:t xml:space="preserve"> </w:t>
      </w:r>
      <w:r w:rsidR="009826D8" w:rsidRPr="00C00214">
        <w:t xml:space="preserve">resource </w:t>
      </w:r>
      <w:r w:rsidR="00C426C9" w:rsidRPr="00C00214">
        <w:t xml:space="preserve">allocation </w:t>
      </w:r>
      <w:r w:rsidR="00AF3B84" w:rsidRPr="00C00214">
        <w:t>in</w:t>
      </w:r>
      <w:r w:rsidR="00C426C9" w:rsidRPr="00C00214">
        <w:t xml:space="preserve"> which reallocat</w:t>
      </w:r>
      <w:r w:rsidR="00AF3B84" w:rsidRPr="00C00214">
        <w:t>ion</w:t>
      </w:r>
      <w:r w:rsidR="00C426C9" w:rsidRPr="00C00214">
        <w:t xml:space="preserve"> to </w:t>
      </w:r>
      <w:r w:rsidR="008F2C24" w:rsidRPr="00C00214">
        <w:t xml:space="preserve">benefit </w:t>
      </w:r>
      <w:r w:rsidR="00C426C9" w:rsidRPr="00C00214">
        <w:t xml:space="preserve">any one individual or preference criterion </w:t>
      </w:r>
      <w:r w:rsidR="00AF3B84" w:rsidRPr="00C00214">
        <w:t xml:space="preserve">is not possible </w:t>
      </w:r>
      <w:r w:rsidR="00C426C9" w:rsidRPr="00C00214">
        <w:t xml:space="preserve">without making at least one individual or preference criterion worse off. </w:t>
      </w:r>
      <w:r w:rsidR="00561EA3" w:rsidRPr="00C00214">
        <w:t>Here</w:t>
      </w:r>
      <w:r w:rsidR="00A44F30" w:rsidRPr="00C00214">
        <w:t>, the sensitivities of AD descriptors to experiment</w:t>
      </w:r>
      <w:r w:rsidR="00A36BAA" w:rsidRPr="00C00214">
        <w:t>al</w:t>
      </w:r>
      <w:r w:rsidR="00A44F30" w:rsidRPr="00C00214">
        <w:t xml:space="preserve"> variables are set as criteri</w:t>
      </w:r>
      <w:r w:rsidR="00F02844" w:rsidRPr="00C00214">
        <w:t>a</w:t>
      </w:r>
      <w:r w:rsidR="00A44F30" w:rsidRPr="00C00214">
        <w:t xml:space="preserve"> in the </w:t>
      </w:r>
      <w:r w:rsidR="00561EA3" w:rsidRPr="00C00214">
        <w:t xml:space="preserve">presented </w:t>
      </w:r>
      <w:r w:rsidR="00A44F30" w:rsidRPr="00C00214">
        <w:t xml:space="preserve">Pareto optimization process </w:t>
      </w:r>
      <w:r w:rsidR="00561EA3" w:rsidRPr="00C00214">
        <w:t xml:space="preserve">to </w:t>
      </w:r>
      <w:r w:rsidR="00D91265" w:rsidRPr="00C00214">
        <w:t>determine</w:t>
      </w:r>
      <w:r w:rsidR="00561EA3" w:rsidRPr="00C00214">
        <w:t xml:space="preserve"> the Pareto optimal descriptors that </w:t>
      </w:r>
      <w:bookmarkStart w:id="32" w:name="OLE_LINK98"/>
      <w:r w:rsidR="004366AD" w:rsidRPr="00C00214">
        <w:t xml:space="preserve">reach an optimal insensitivity to </w:t>
      </w:r>
      <w:r w:rsidR="004366AD" w:rsidRPr="00C00214">
        <w:rPr>
          <w:i/>
        </w:rPr>
        <w:t>E</w:t>
      </w:r>
      <w:r w:rsidR="004366AD" w:rsidRPr="00C00214">
        <w:rPr>
          <w:vertAlign w:val="subscript"/>
        </w:rPr>
        <w:t>in</w:t>
      </w:r>
      <w:r w:rsidR="004366AD" w:rsidRPr="00C00214">
        <w:t xml:space="preserve"> and optimal sensitivity to</w:t>
      </w:r>
      <w:r w:rsidR="004366AD" w:rsidRPr="00C00214">
        <w:rPr>
          <w:i/>
        </w:rPr>
        <w:t xml:space="preserve"> G</w:t>
      </w:r>
      <w:r w:rsidR="004366AD" w:rsidRPr="00C00214">
        <w:rPr>
          <w:vertAlign w:val="subscript"/>
        </w:rPr>
        <w:t>n</w:t>
      </w:r>
      <w:r w:rsidR="004366AD" w:rsidRPr="00C00214">
        <w:t xml:space="preserve"> at the same time. </w:t>
      </w:r>
      <w:bookmarkEnd w:id="32"/>
      <w:r w:rsidR="00561EA3" w:rsidRPr="00C00214">
        <w:t>To demonstrate such Pareto optimization process</w:t>
      </w:r>
      <w:bookmarkStart w:id="33" w:name="OLE_LINK89"/>
      <w:bookmarkStart w:id="34" w:name="OLE_LINK90"/>
      <w:r w:rsidR="00481DF3" w:rsidRPr="00C00214">
        <w:t>es</w:t>
      </w:r>
      <w:r w:rsidR="00561EA3" w:rsidRPr="00C00214">
        <w:t xml:space="preserve"> in a more intuitive</w:t>
      </w:r>
      <w:bookmarkEnd w:id="33"/>
      <w:bookmarkEnd w:id="34"/>
      <w:r w:rsidR="00561EA3" w:rsidRPr="00C00214">
        <w:t xml:space="preserve"> way, t</w:t>
      </w:r>
      <w:r w:rsidRPr="00C00214">
        <w:t xml:space="preserve">he sensitivities of every candidate descriptor to </w:t>
      </w:r>
      <w:r w:rsidRPr="00C00214">
        <w:rPr>
          <w:i/>
        </w:rPr>
        <w:t>E</w:t>
      </w:r>
      <w:r w:rsidRPr="00C00214">
        <w:rPr>
          <w:vertAlign w:val="subscript"/>
        </w:rPr>
        <w:t>in</w:t>
      </w:r>
      <w:r w:rsidRPr="00C00214">
        <w:t xml:space="preserve"> (Score1) and </w:t>
      </w:r>
      <w:bookmarkStart w:id="35" w:name="OLE_LINK87"/>
      <w:bookmarkStart w:id="36" w:name="OLE_LINK88"/>
      <w:r w:rsidRPr="00C00214">
        <w:rPr>
          <w:i/>
        </w:rPr>
        <w:t>G</w:t>
      </w:r>
      <w:r w:rsidRPr="00C00214">
        <w:rPr>
          <w:vertAlign w:val="subscript"/>
        </w:rPr>
        <w:t>n</w:t>
      </w:r>
      <w:r w:rsidRPr="00C00214">
        <w:t xml:space="preserve"> </w:t>
      </w:r>
      <w:bookmarkEnd w:id="35"/>
      <w:bookmarkEnd w:id="36"/>
      <w:r w:rsidRPr="00C00214">
        <w:t>(Score2) were calculated using simple statistical arguments (refer to the Methods section for details) and drawn in a descriptor performance map (Fig. 2a) as the x- and y-axis, respectively. In this map, a set of Pareto optimal descriptors (D</w:t>
      </w:r>
      <w:r w:rsidRPr="00C00214">
        <w:rPr>
          <w:vertAlign w:val="subscript"/>
        </w:rPr>
        <w:t>n</w:t>
      </w:r>
      <w:r w:rsidRPr="00C00214">
        <w:t xml:space="preserve">) that could not be improved in either Score1 or Score2 without degrading the other one was found at the </w:t>
      </w:r>
      <w:r w:rsidR="00DF2B07" w:rsidRPr="00C00214">
        <w:t>upper-left</w:t>
      </w:r>
      <w:r w:rsidRPr="00C00214">
        <w:t xml:space="preserve"> boundary of all candidate descriptors and numbered in this descriptor performance map in order </w:t>
      </w:r>
      <w:r w:rsidRPr="00C00214">
        <w:lastRenderedPageBreak/>
        <w:t xml:space="preserve">of increasing Score1. </w:t>
      </w:r>
      <w:r w:rsidR="000A35D1" w:rsidRPr="00C00214">
        <w:t xml:space="preserve">The weight factors </w:t>
      </w:r>
      <w:r w:rsidR="000A35D1" w:rsidRPr="00C00214">
        <w:rPr>
          <w:b/>
        </w:rPr>
        <w:t>a</w:t>
      </w:r>
      <w:r w:rsidR="000A35D1" w:rsidRPr="00C00214">
        <w:t xml:space="preserve"> of </w:t>
      </w:r>
      <w:r w:rsidR="00F37B9F" w:rsidRPr="00C00214">
        <w:t xml:space="preserve">these </w:t>
      </w:r>
      <w:r w:rsidR="000A35D1" w:rsidRPr="00C00214">
        <w:t xml:space="preserve">Pareto optimal descriptors are </w:t>
      </w:r>
      <w:r w:rsidR="00E37374" w:rsidRPr="00C00214">
        <w:t xml:space="preserve">listed in Table </w:t>
      </w:r>
      <w:r w:rsidR="00E37374">
        <w:t>1</w:t>
      </w:r>
      <w:r w:rsidR="000A35D1" w:rsidRPr="00C00214">
        <w:t>.</w:t>
      </w:r>
    </w:p>
    <w:p w14:paraId="26E1BFCE" w14:textId="1FC50DAD" w:rsidR="008C3EE4" w:rsidRPr="00C00214" w:rsidRDefault="004C2AEC">
      <w:pPr>
        <w:jc w:val="both"/>
      </w:pPr>
      <w:bookmarkStart w:id="37" w:name="OLE_LINK1"/>
      <w:bookmarkStart w:id="38" w:name="OLE_LINK2"/>
      <w:r w:rsidRPr="00C00214">
        <w:t>For comparison, three traditional AD descriptor</w:t>
      </w:r>
      <w:r w:rsidRPr="00C00214">
        <w:rPr>
          <w:rFonts w:eastAsia="Times New Roman"/>
        </w:rPr>
        <w:t>s</w:t>
      </w:r>
      <w:r w:rsidRPr="00C00214">
        <w:t xml:space="preserve">, i.e. </w:t>
      </w:r>
      <w:r w:rsidRPr="00C00214">
        <w:rPr>
          <w:i/>
        </w:rPr>
        <w:t>J</w:t>
      </w:r>
      <w:r w:rsidRPr="00C00214">
        <w:rPr>
          <w:vertAlign w:val="subscript"/>
        </w:rPr>
        <w:t>Gra</w:t>
      </w:r>
      <w:r w:rsidRPr="00C00214">
        <w:t>(G</w:t>
      </w:r>
      <w:r w:rsidRPr="00C00214">
        <w:rPr>
          <w:vertAlign w:val="subscript"/>
        </w:rPr>
        <w:t>n</w:t>
      </w:r>
      <w:r w:rsidRPr="00C00214">
        <w:t>,</w:t>
      </w:r>
      <w:r w:rsidR="00F37B9F" w:rsidRPr="00C00214">
        <w:t xml:space="preserve"> </w:t>
      </w:r>
      <w:r w:rsidRPr="00C00214">
        <w:rPr>
          <w:i/>
        </w:rPr>
        <w:t>S</w:t>
      </w:r>
      <w:r w:rsidRPr="00C00214">
        <w:rPr>
          <w:vertAlign w:val="subscript"/>
        </w:rPr>
        <w:t>i</w:t>
      </w:r>
      <w:r w:rsidRPr="00C00214">
        <w:t>)/</w:t>
      </w:r>
      <w:r w:rsidRPr="00C00214">
        <w:rPr>
          <w:i/>
        </w:rPr>
        <w:t>J</w:t>
      </w:r>
      <w:r w:rsidRPr="00C00214">
        <w:rPr>
          <w:vertAlign w:val="subscript"/>
        </w:rPr>
        <w:t>Sub</w:t>
      </w:r>
      <w:r w:rsidRPr="00C00214">
        <w:t>(</w:t>
      </w:r>
      <w:r w:rsidRPr="00C00214">
        <w:rPr>
          <w:i/>
        </w:rPr>
        <w:t>S</w:t>
      </w:r>
      <w:r w:rsidRPr="00C00214">
        <w:rPr>
          <w:vertAlign w:val="subscript"/>
        </w:rPr>
        <w:t>i</w:t>
      </w:r>
      <w:r w:rsidRPr="00C00214">
        <w:t xml:space="preserve">), </w:t>
      </w:r>
      <w:r w:rsidRPr="00C00214">
        <w:rPr>
          <w:position w:val="-32"/>
        </w:rPr>
        <w:object w:dxaOrig="2240" w:dyaOrig="740" w14:anchorId="23232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36pt" o:ole="">
            <v:imagedata r:id="rId12" o:title=""/>
          </v:shape>
          <o:OLEObject Type="Embed" ProgID="Equation.DSMT4" ShapeID="_x0000_i1025" DrawAspect="Content" ObjectID="_1646139054" r:id="rId13"/>
        </w:object>
      </w:r>
      <w:r w:rsidRPr="00C00214">
        <w:t xml:space="preserve">, and </w:t>
      </w:r>
      <w:r w:rsidRPr="00C00214">
        <w:rPr>
          <w:position w:val="-32"/>
        </w:rPr>
        <w:object w:dxaOrig="2240" w:dyaOrig="740" w14:anchorId="1791B8F7">
          <v:shape id="_x0000_i1026" type="#_x0000_t75" style="width:115.5pt;height:36pt" o:ole="">
            <v:imagedata r:id="rId14" o:title=""/>
          </v:shape>
          <o:OLEObject Type="Embed" ProgID="Equation.DSMT4" ShapeID="_x0000_i1026" DrawAspect="Content" ObjectID="_1646139055" r:id="rId15"/>
        </w:object>
      </w:r>
      <w:r w:rsidRPr="00C00214">
        <w:t xml:space="preserve">, are also presented in this map. The first </w:t>
      </w:r>
      <w:r w:rsidRPr="00C00214">
        <w:rPr>
          <w:rFonts w:eastAsia="Times New Roman"/>
        </w:rPr>
        <w:t>corresponds</w:t>
      </w:r>
      <w:r w:rsidRPr="00C00214">
        <w:t xml:space="preserve"> to the most widely used spectr</w:t>
      </w:r>
      <w:r w:rsidRPr="00C00214">
        <w:rPr>
          <w:rFonts w:eastAsia="Times New Roman"/>
        </w:rPr>
        <w:t>al</w:t>
      </w:r>
      <w:r w:rsidRPr="00C00214">
        <w:t xml:space="preserve"> ratioing technique</w:t>
      </w:r>
      <w:r w:rsidRPr="00C00214">
        <w:rPr>
          <w:rFonts w:eastAsia="Times New Roman"/>
        </w:rPr>
        <w:t>. It</w:t>
      </w:r>
      <w:r w:rsidRPr="00C00214">
        <w:t xml:space="preserve"> is located in the central area of deleted candidates, which implies </w:t>
      </w:r>
      <w:r w:rsidRPr="00C00214">
        <w:rPr>
          <w:rFonts w:eastAsia="Times New Roman"/>
        </w:rPr>
        <w:t>that</w:t>
      </w:r>
      <w:r w:rsidRPr="00C00214">
        <w:t xml:space="preserve"> is not an appropriate solution to provide quantitative information </w:t>
      </w:r>
      <w:r w:rsidRPr="00C00214">
        <w:rPr>
          <w:rFonts w:eastAsia="Times New Roman"/>
        </w:rPr>
        <w:t xml:space="preserve">on </w:t>
      </w:r>
      <w:r w:rsidRPr="00C00214">
        <w:t>a substrate-supported graphene sample from the collected SE signals</w:t>
      </w:r>
      <w:r w:rsidRPr="00C00214">
        <w:rPr>
          <w:rFonts w:eastAsia="Times New Roman"/>
        </w:rPr>
        <w:t>.</w:t>
      </w:r>
      <w:r w:rsidRPr="00C00214">
        <w:t xml:space="preserve"> </w:t>
      </w:r>
      <w:r w:rsidRPr="00C00214">
        <w:rPr>
          <w:rFonts w:eastAsia="Times New Roman"/>
        </w:rPr>
        <w:t>Mean</w:t>
      </w:r>
      <w:r w:rsidRPr="00C00214">
        <w:t xml:space="preserve">while the latter two </w:t>
      </w:r>
      <w:r w:rsidRPr="00C00214">
        <w:rPr>
          <w:rFonts w:eastAsia="Times New Roman"/>
        </w:rPr>
        <w:t xml:space="preserve">are </w:t>
      </w:r>
      <w:r w:rsidRPr="00C00214">
        <w:t>located at the</w:t>
      </w:r>
      <w:r w:rsidR="000D55BA" w:rsidRPr="00C00214">
        <w:t xml:space="preserve"> upper left</w:t>
      </w:r>
      <w:r w:rsidRPr="00C00214">
        <w:t xml:space="preserve"> boundary of all candidate descriptors, and </w:t>
      </w:r>
      <w:r w:rsidRPr="00C00214">
        <w:rPr>
          <w:rFonts w:eastAsia="Times New Roman"/>
        </w:rPr>
        <w:t>are D</w:t>
      </w:r>
      <w:r w:rsidRPr="00C00214">
        <w:rPr>
          <w:rFonts w:eastAsia="Times New Roman"/>
          <w:vertAlign w:val="subscript"/>
        </w:rPr>
        <w:t>28</w:t>
      </w:r>
      <w:r w:rsidRPr="00C00214">
        <w:rPr>
          <w:rFonts w:eastAsia="Times New Roman"/>
        </w:rPr>
        <w:t xml:space="preserve"> and D</w:t>
      </w:r>
      <w:r w:rsidRPr="00C00214">
        <w:rPr>
          <w:rFonts w:eastAsia="Times New Roman"/>
          <w:vertAlign w:val="subscript"/>
        </w:rPr>
        <w:t>33</w:t>
      </w:r>
      <w:r w:rsidRPr="00C00214">
        <w:t xml:space="preserve"> of the selected </w:t>
      </w:r>
      <w:bookmarkStart w:id="39" w:name="OLE_LINK51"/>
      <w:bookmarkStart w:id="40" w:name="OLE_LINK53"/>
      <w:r w:rsidRPr="00C00214">
        <w:t>Pareto optimal descriptors</w:t>
      </w:r>
      <w:bookmarkStart w:id="41" w:name="OLE_LINK6"/>
      <w:bookmarkStart w:id="42" w:name="OLE_LINK7"/>
      <w:bookmarkEnd w:id="39"/>
      <w:bookmarkEnd w:id="40"/>
      <w:r w:rsidRPr="00C00214">
        <w:t xml:space="preserve">, </w:t>
      </w:r>
      <w:bookmarkEnd w:id="41"/>
      <w:bookmarkEnd w:id="42"/>
      <w:r w:rsidRPr="00C00214">
        <w:t xml:space="preserve">respectively. </w:t>
      </w:r>
      <w:r w:rsidRPr="00C00214">
        <w:rPr>
          <w:rFonts w:eastAsia="Times New Roman"/>
        </w:rPr>
        <w:t>They are</w:t>
      </w:r>
      <w:r w:rsidRPr="00C00214">
        <w:t xml:space="preserve"> the best solutions </w:t>
      </w:r>
      <w:r w:rsidRPr="00C00214">
        <w:rPr>
          <w:rFonts w:eastAsia="Times New Roman"/>
        </w:rPr>
        <w:t xml:space="preserve">that were </w:t>
      </w:r>
      <w:r w:rsidRPr="00C00214">
        <w:t xml:space="preserve">produced completely digitally to extract information </w:t>
      </w:r>
      <w:r w:rsidRPr="00C00214">
        <w:rPr>
          <w:rFonts w:eastAsia="Times New Roman"/>
        </w:rPr>
        <w:t xml:space="preserve">on the </w:t>
      </w:r>
      <w:bookmarkStart w:id="43" w:name="OLE_LINK8"/>
      <w:bookmarkStart w:id="44" w:name="OLE_LINK9"/>
      <w:r w:rsidRPr="00C00214">
        <w:t xml:space="preserve">substrate-supported </w:t>
      </w:r>
      <w:bookmarkEnd w:id="43"/>
      <w:bookmarkEnd w:id="44"/>
      <w:r w:rsidRPr="00C00214">
        <w:t>graphene</w:t>
      </w:r>
      <w:r w:rsidRPr="00C00214">
        <w:rPr>
          <w:rFonts w:eastAsia="Times New Roman"/>
        </w:rPr>
        <w:t>. Furthermore,</w:t>
      </w:r>
      <w:r w:rsidRPr="00C00214">
        <w:t xml:space="preserve"> D</w:t>
      </w:r>
      <w:r w:rsidRPr="00C00214">
        <w:rPr>
          <w:vertAlign w:val="subscript"/>
        </w:rPr>
        <w:t>28</w:t>
      </w:r>
      <w:r w:rsidRPr="00C00214">
        <w:t xml:space="preserve"> and D</w:t>
      </w:r>
      <w:r w:rsidRPr="00C00214">
        <w:rPr>
          <w:vertAlign w:val="subscript"/>
        </w:rPr>
        <w:t>33</w:t>
      </w:r>
      <w:r w:rsidRPr="00C00214">
        <w:t xml:space="preserve"> </w:t>
      </w:r>
      <w:r w:rsidRPr="00C00214">
        <w:rPr>
          <w:rFonts w:eastAsia="Times New Roman"/>
        </w:rPr>
        <w:t>were</w:t>
      </w:r>
      <w:r w:rsidRPr="00C00214">
        <w:t xml:space="preserve"> used as contrast parameter</w:t>
      </w:r>
      <w:r w:rsidRPr="00C00214">
        <w:rPr>
          <w:rFonts w:eastAsia="Times New Roman"/>
        </w:rPr>
        <w:t>s</w:t>
      </w:r>
      <w:r w:rsidRPr="00C00214">
        <w:t xml:space="preserve"> in Ref</w:t>
      </w:r>
      <w:r w:rsidRPr="00C00214">
        <w:rPr>
          <w:rFonts w:eastAsia="Times New Roman"/>
        </w:rPr>
        <w:t>s</w:t>
      </w:r>
      <w:r w:rsidRPr="00C00214">
        <w:t>. [</w:t>
      </w:r>
      <w:r w:rsidRPr="00C00214">
        <w:rPr>
          <w:i/>
        </w:rPr>
        <w:t>19</w:t>
      </w:r>
      <w:r w:rsidRPr="00C00214">
        <w:rPr>
          <w:rFonts w:eastAsia="Times New Roman"/>
        </w:rPr>
        <w:t>,</w:t>
      </w:r>
      <w:r w:rsidRPr="00C00214">
        <w:rPr>
          <w:i/>
        </w:rPr>
        <w:t>20</w:t>
      </w:r>
      <w:r w:rsidRPr="00C00214">
        <w:t xml:space="preserve">], respectively, to quantitatively analyse the </w:t>
      </w:r>
      <w:r w:rsidRPr="00C00214">
        <w:rPr>
          <w:rFonts w:eastAsia="Times New Roman"/>
        </w:rPr>
        <w:t>incident beam energy-</w:t>
      </w:r>
      <w:r w:rsidRPr="00C00214">
        <w:t xml:space="preserve">dependence of the SEM contrast of graphene for various layers. </w:t>
      </w:r>
    </w:p>
    <w:bookmarkEnd w:id="37"/>
    <w:bookmarkEnd w:id="38"/>
    <w:p w14:paraId="3D881A40" w14:textId="1EDFF382" w:rsidR="008C3EE4" w:rsidRPr="00C00214" w:rsidRDefault="004C2AEC">
      <w:pPr>
        <w:jc w:val="both"/>
      </w:pPr>
      <w:r w:rsidRPr="00C00214">
        <w:t>Although every Pareto optimal descriptor has a large percentage of graphene information and can be directly used to characterize graphene as D</w:t>
      </w:r>
      <w:r w:rsidRPr="00C00214">
        <w:rPr>
          <w:vertAlign w:val="subscript"/>
        </w:rPr>
        <w:t>28</w:t>
      </w:r>
      <w:r w:rsidRPr="00C00214">
        <w:t xml:space="preserve"> and D</w:t>
      </w:r>
      <w:r w:rsidRPr="00C00214">
        <w:rPr>
          <w:vertAlign w:val="subscript"/>
        </w:rPr>
        <w:t>33</w:t>
      </w:r>
      <w:r w:rsidRPr="00C00214">
        <w:rPr>
          <w:rFonts w:eastAsia="Times New Roman"/>
        </w:rPr>
        <w:t xml:space="preserve"> descriptors</w:t>
      </w:r>
      <w:r w:rsidRPr="00C00214">
        <w:t>, some of them contain more graphene information than others and can be further identified by their coefficient of variation (</w:t>
      </w:r>
      <w:r w:rsidRPr="00C00214">
        <w:rPr>
          <w:i/>
        </w:rPr>
        <w:t>c</w:t>
      </w:r>
      <w:r w:rsidRPr="00C00214">
        <w:rPr>
          <w:i/>
          <w:vertAlign w:val="subscript"/>
        </w:rPr>
        <w:t>v</w:t>
      </w:r>
      <w:r w:rsidRPr="00C00214">
        <w:t xml:space="preserve">). As shown in Fig. 2b, the </w:t>
      </w:r>
      <w:r w:rsidRPr="00C00214">
        <w:rPr>
          <w:i/>
        </w:rPr>
        <w:t>c</w:t>
      </w:r>
      <w:r w:rsidRPr="00C00214">
        <w:rPr>
          <w:i/>
          <w:vertAlign w:val="subscript"/>
        </w:rPr>
        <w:t>v</w:t>
      </w:r>
      <w:r w:rsidRPr="00C00214">
        <w:t xml:space="preserve"> of these descriptors was calculated to evaluate whether the bias of the Pareto optimal descriptors caused by different </w:t>
      </w:r>
      <w:r w:rsidRPr="00C00214">
        <w:rPr>
          <w:i/>
        </w:rPr>
        <w:t>G</w:t>
      </w:r>
      <w:r w:rsidRPr="00C00214">
        <w:rPr>
          <w:vertAlign w:val="subscript"/>
        </w:rPr>
        <w:t>n</w:t>
      </w:r>
      <w:r w:rsidRPr="00C00214">
        <w:t xml:space="preserve"> was sufficiently large to be observed under the disturbance of different </w:t>
      </w:r>
      <w:r w:rsidRPr="00C00214">
        <w:rPr>
          <w:i/>
        </w:rPr>
        <w:t>E</w:t>
      </w:r>
      <w:r w:rsidRPr="00C00214">
        <w:rPr>
          <w:vertAlign w:val="subscript"/>
        </w:rPr>
        <w:t>in</w:t>
      </w:r>
      <w:r w:rsidRPr="00C00214">
        <w:t xml:space="preserve"> (see the </w:t>
      </w:r>
      <w:r w:rsidR="00C95F7D" w:rsidRPr="00C00214">
        <w:t xml:space="preserve">Appendix B </w:t>
      </w:r>
      <w:r w:rsidRPr="00C00214">
        <w:t xml:space="preserve">for details). A total of 12 Pareto optimal descriptors with </w:t>
      </w:r>
      <w:r w:rsidRPr="00C00214">
        <w:rPr>
          <w:i/>
        </w:rPr>
        <w:t>c</w:t>
      </w:r>
      <w:r w:rsidRPr="00C00214">
        <w:rPr>
          <w:i/>
          <w:vertAlign w:val="subscript"/>
        </w:rPr>
        <w:t>v</w:t>
      </w:r>
      <w:r w:rsidRPr="00C00214">
        <w:t xml:space="preserve"> smaller than 15% were found in Fig. 2b, but only nine of them </w:t>
      </w:r>
      <w:bookmarkStart w:id="45" w:name="OLE_LINK39"/>
      <w:r w:rsidRPr="00C00214">
        <w:t xml:space="preserve">were a suitable distance away from </w:t>
      </w:r>
      <w:bookmarkEnd w:id="45"/>
      <w:r w:rsidRPr="00C00214">
        <w:t>the main area of deleted candidates indicated by a blue</w:t>
      </w:r>
      <w:r w:rsidR="00ED78FB" w:rsidRPr="00C00214">
        <w:t xml:space="preserve"> dashed</w:t>
      </w:r>
      <w:r w:rsidRPr="00C00214">
        <w:t xml:space="preserve"> oval in Fig. 2a. Considering that the distance between two descriptors in Fig. 2a roughly reflects the difference </w:t>
      </w:r>
      <w:r w:rsidRPr="00C00214">
        <w:lastRenderedPageBreak/>
        <w:t>between them, only nine descriptors; (i.e., D</w:t>
      </w:r>
      <w:r w:rsidRPr="00C00214">
        <w:rPr>
          <w:vertAlign w:val="subscript"/>
        </w:rPr>
        <w:t>18</w:t>
      </w:r>
      <w:r w:rsidRPr="00C00214">
        <w:t>, D</w:t>
      </w:r>
      <w:r w:rsidRPr="00C00214">
        <w:rPr>
          <w:vertAlign w:val="subscript"/>
        </w:rPr>
        <w:t>19</w:t>
      </w:r>
      <w:r w:rsidRPr="00C00214">
        <w:t>, D</w:t>
      </w:r>
      <w:r w:rsidRPr="00C00214">
        <w:rPr>
          <w:vertAlign w:val="subscript"/>
        </w:rPr>
        <w:t>20</w:t>
      </w:r>
      <w:r w:rsidRPr="00C00214">
        <w:t>, D</w:t>
      </w:r>
      <w:r w:rsidRPr="00C00214">
        <w:rPr>
          <w:vertAlign w:val="subscript"/>
        </w:rPr>
        <w:t>21</w:t>
      </w:r>
      <w:r w:rsidRPr="00C00214">
        <w:t>, D</w:t>
      </w:r>
      <w:r w:rsidRPr="00C00214">
        <w:rPr>
          <w:vertAlign w:val="subscript"/>
        </w:rPr>
        <w:t>22</w:t>
      </w:r>
      <w:r w:rsidRPr="00C00214">
        <w:t>, D</w:t>
      </w:r>
      <w:r w:rsidRPr="00C00214">
        <w:rPr>
          <w:vertAlign w:val="subscript"/>
        </w:rPr>
        <w:t>23</w:t>
      </w:r>
      <w:r w:rsidRPr="00C00214">
        <w:t>, D</w:t>
      </w:r>
      <w:r w:rsidRPr="00C00214">
        <w:rPr>
          <w:vertAlign w:val="subscript"/>
        </w:rPr>
        <w:t>38</w:t>
      </w:r>
      <w:r w:rsidRPr="00C00214">
        <w:t>, D</w:t>
      </w:r>
      <w:r w:rsidRPr="00C00214">
        <w:rPr>
          <w:vertAlign w:val="subscript"/>
        </w:rPr>
        <w:t>39</w:t>
      </w:r>
      <w:r w:rsidRPr="00C00214">
        <w:t>, and D</w:t>
      </w:r>
      <w:r w:rsidRPr="00C00214">
        <w:rPr>
          <w:vertAlign w:val="subscript"/>
        </w:rPr>
        <w:t>40</w:t>
      </w:r>
      <w:r w:rsidRPr="00C00214">
        <w:t xml:space="preserve">, see </w:t>
      </w:r>
      <w:r w:rsidR="001A6E85" w:rsidRPr="00C00214">
        <w:t xml:space="preserve">Appendix B </w:t>
      </w:r>
      <w:r w:rsidRPr="00C00214">
        <w:t>for more details) are of the most interest. This is because these descriptors have a larger probability of providing unique graphene information than those located near the main area of deleted candidates. These descriptors are hereafter named the principle AD descriptors.</w:t>
      </w:r>
    </w:p>
    <w:p w14:paraId="50BFF7E9" w14:textId="705A5283" w:rsidR="009E1C37" w:rsidRPr="00C00214" w:rsidRDefault="001C6150" w:rsidP="006E560F">
      <w:pPr>
        <w:jc w:val="center"/>
        <w:rPr>
          <w:b/>
        </w:rPr>
      </w:pPr>
      <w:r w:rsidRPr="00C00214">
        <w:rPr>
          <w:b/>
        </w:rPr>
        <w:t>2.3</w:t>
      </w:r>
      <w:r w:rsidR="009E1C37" w:rsidRPr="00C00214">
        <w:rPr>
          <w:b/>
        </w:rPr>
        <w:t xml:space="preserve">. </w:t>
      </w:r>
      <w:r w:rsidR="004C2AEC" w:rsidRPr="00C00214">
        <w:rPr>
          <w:b/>
        </w:rPr>
        <w:t>Physical picture of principle AD descriptors</w:t>
      </w:r>
    </w:p>
    <w:p w14:paraId="2963EFFA" w14:textId="59196361" w:rsidR="008C3EE4" w:rsidRPr="00C00214" w:rsidRDefault="004C2AEC">
      <w:pPr>
        <w:jc w:val="both"/>
      </w:pPr>
      <w:r w:rsidRPr="00C00214">
        <w:t xml:space="preserve">The weight factors </w:t>
      </w:r>
      <w:r w:rsidRPr="00C00214">
        <w:rPr>
          <w:b/>
        </w:rPr>
        <w:t>a</w:t>
      </w:r>
      <w:r w:rsidRPr="00C00214">
        <w:t xml:space="preserve"> of the principle AD descriptors are listed in Table </w:t>
      </w:r>
      <w:r w:rsidR="0073776A">
        <w:t>2</w:t>
      </w:r>
      <w:r w:rsidRPr="00C00214">
        <w:t xml:space="preserve">. Careful inspection revealed that </w:t>
      </w:r>
      <w:r w:rsidRPr="00C00214">
        <w:rPr>
          <w:b/>
        </w:rPr>
        <w:t>a</w:t>
      </w:r>
      <w:r w:rsidRPr="00C00214">
        <w:t xml:space="preserve"> associated with two different substrates (i.e., [</w:t>
      </w:r>
      <w:r w:rsidRPr="00C00214">
        <w:rPr>
          <w:i/>
        </w:rPr>
        <w:t>a</w:t>
      </w:r>
      <w:r w:rsidRPr="00C00214">
        <w:rPr>
          <w:vertAlign w:val="subscript"/>
        </w:rPr>
        <w:t>1</w:t>
      </w:r>
      <w:r w:rsidRPr="00C00214">
        <w:t xml:space="preserve">, </w:t>
      </w:r>
      <w:r w:rsidRPr="00C00214">
        <w:rPr>
          <w:i/>
        </w:rPr>
        <w:t>a</w:t>
      </w:r>
      <w:r w:rsidRPr="00C00214">
        <w:rPr>
          <w:vertAlign w:val="subscript"/>
        </w:rPr>
        <w:t>2</w:t>
      </w:r>
      <w:r w:rsidRPr="00C00214">
        <w:t>], [</w:t>
      </w:r>
      <w:r w:rsidRPr="00C00214">
        <w:rPr>
          <w:i/>
        </w:rPr>
        <w:t>a</w:t>
      </w:r>
      <w:r w:rsidRPr="00C00214">
        <w:rPr>
          <w:vertAlign w:val="subscript"/>
        </w:rPr>
        <w:t>3</w:t>
      </w:r>
      <w:r w:rsidRPr="00C00214">
        <w:t xml:space="preserve">, </w:t>
      </w:r>
      <w:r w:rsidRPr="00C00214">
        <w:rPr>
          <w:i/>
        </w:rPr>
        <w:t>a</w:t>
      </w:r>
      <w:r w:rsidRPr="00C00214">
        <w:rPr>
          <w:vertAlign w:val="subscript"/>
        </w:rPr>
        <w:t>4</w:t>
      </w:r>
      <w:r w:rsidRPr="00C00214">
        <w:t>], [</w:t>
      </w:r>
      <w:r w:rsidRPr="00C00214">
        <w:rPr>
          <w:i/>
        </w:rPr>
        <w:t>a</w:t>
      </w:r>
      <w:r w:rsidRPr="00C00214">
        <w:rPr>
          <w:vertAlign w:val="subscript"/>
        </w:rPr>
        <w:t>5</w:t>
      </w:r>
      <w:r w:rsidRPr="00C00214">
        <w:t xml:space="preserve">, </w:t>
      </w:r>
      <w:r w:rsidRPr="00C00214">
        <w:rPr>
          <w:i/>
        </w:rPr>
        <w:t>a</w:t>
      </w:r>
      <w:r w:rsidRPr="00C00214">
        <w:rPr>
          <w:vertAlign w:val="subscript"/>
        </w:rPr>
        <w:t>6</w:t>
      </w:r>
      <w:r w:rsidRPr="00C00214">
        <w:t>], and [</w:t>
      </w:r>
      <w:r w:rsidRPr="00C00214">
        <w:rPr>
          <w:i/>
        </w:rPr>
        <w:t>a</w:t>
      </w:r>
      <w:r w:rsidRPr="00C00214">
        <w:rPr>
          <w:vertAlign w:val="subscript"/>
        </w:rPr>
        <w:t>7</w:t>
      </w:r>
      <w:r w:rsidRPr="00C00214">
        <w:t xml:space="preserve">, </w:t>
      </w:r>
      <w:r w:rsidRPr="00C00214">
        <w:rPr>
          <w:i/>
        </w:rPr>
        <w:t>a</w:t>
      </w:r>
      <w:r w:rsidRPr="00C00214">
        <w:rPr>
          <w:vertAlign w:val="subscript"/>
        </w:rPr>
        <w:t>8</w:t>
      </w:r>
      <w:r w:rsidRPr="00C00214">
        <w:t xml:space="preserve">]) always appeared in the same combination with opposite signs. Therefore, Eqn. 1 can be rewritten as </w:t>
      </w:r>
    </w:p>
    <w:p w14:paraId="79FA24C8" w14:textId="77777777" w:rsidR="008C3EE4" w:rsidRPr="00C00214" w:rsidRDefault="004C2AEC">
      <w:pPr>
        <w:pStyle w:val="MTDisplayEquation"/>
      </w:pPr>
      <w:r w:rsidRPr="00C00214">
        <w:rPr>
          <w:position w:val="-34"/>
        </w:rPr>
        <w:object w:dxaOrig="9300" w:dyaOrig="800" w14:anchorId="4C718876">
          <v:shape id="_x0000_i1027" type="#_x0000_t75" style="width:468pt;height:43.5pt" o:ole="">
            <v:imagedata r:id="rId16" o:title=""/>
          </v:shape>
          <o:OLEObject Type="Embed" ProgID="Equation.DSMT4" ShapeID="_x0000_i1027" DrawAspect="Content" ObjectID="_1646139056" r:id="rId17"/>
        </w:object>
      </w:r>
      <w:r w:rsidRPr="00C00214">
        <w:t xml:space="preserve"> </w:t>
      </w:r>
      <w:r w:rsidRPr="00C00214">
        <w:tab/>
      </w:r>
      <w:r w:rsidRPr="00C00214">
        <w:fldChar w:fldCharType="begin"/>
      </w:r>
      <w:r w:rsidRPr="00C00214">
        <w:instrText xml:space="preserve"> MACROBUTTON MTPlaceRef \* MERGEFORMAT </w:instrText>
      </w:r>
      <w:r w:rsidRPr="00C00214">
        <w:fldChar w:fldCharType="begin"/>
      </w:r>
      <w:r w:rsidRPr="00C00214">
        <w:instrText xml:space="preserve"> SEQ MTEqn \h \* MERGEFORMAT </w:instrText>
      </w:r>
      <w:r w:rsidRPr="00C00214">
        <w:fldChar w:fldCharType="end"/>
      </w:r>
      <w:r w:rsidRPr="00C00214">
        <w:instrText>(</w:instrText>
      </w:r>
      <w:fldSimple w:instr=" SEQ MTEqn \c \* Arabic \* MERGEFORMAT ">
        <w:r w:rsidR="00C95F7D">
          <w:rPr>
            <w:noProof/>
          </w:rPr>
          <w:instrText>2</w:instrText>
        </w:r>
      </w:fldSimple>
      <w:r w:rsidRPr="00C00214">
        <w:instrText>)</w:instrText>
      </w:r>
      <w:r w:rsidRPr="00C00214">
        <w:fldChar w:fldCharType="end"/>
      </w:r>
    </w:p>
    <w:p w14:paraId="0C61FA21" w14:textId="4523B9D6" w:rsidR="008C3EE4" w:rsidRPr="00C00214" w:rsidRDefault="004C2AEC">
      <w:pPr>
        <w:jc w:val="both"/>
      </w:pPr>
      <w:r w:rsidRPr="00C00214">
        <w:t xml:space="preserve">where four components of vector </w:t>
      </w:r>
      <w:r w:rsidRPr="00C00214">
        <w:rPr>
          <w:b/>
        </w:rPr>
        <w:t>b</w:t>
      </w:r>
      <w:r w:rsidRPr="00C00214">
        <w:t xml:space="preserve"> = [</w:t>
      </w:r>
      <w:r w:rsidRPr="00C00214">
        <w:rPr>
          <w:i/>
        </w:rPr>
        <w:t>b</w:t>
      </w:r>
      <w:r w:rsidRPr="00C00214">
        <w:rPr>
          <w:vertAlign w:val="subscript"/>
        </w:rPr>
        <w:t>1</w:t>
      </w:r>
      <w:r w:rsidRPr="00C00214">
        <w:t xml:space="preserve">, </w:t>
      </w:r>
      <w:r w:rsidRPr="00C00214">
        <w:rPr>
          <w:i/>
        </w:rPr>
        <w:t>b</w:t>
      </w:r>
      <w:r w:rsidRPr="00C00214">
        <w:rPr>
          <w:vertAlign w:val="subscript"/>
        </w:rPr>
        <w:t>2</w:t>
      </w:r>
      <w:r w:rsidRPr="00C00214">
        <w:t xml:space="preserve">, </w:t>
      </w:r>
      <w:r w:rsidRPr="00C00214">
        <w:rPr>
          <w:i/>
        </w:rPr>
        <w:t>b</w:t>
      </w:r>
      <w:r w:rsidRPr="00C00214">
        <w:rPr>
          <w:vertAlign w:val="subscript"/>
        </w:rPr>
        <w:t>3</w:t>
      </w:r>
      <w:r w:rsidRPr="00C00214">
        <w:t xml:space="preserve">, </w:t>
      </w:r>
      <w:r w:rsidRPr="00C00214">
        <w:rPr>
          <w:i/>
        </w:rPr>
        <w:t>b</w:t>
      </w:r>
      <w:r w:rsidRPr="00C00214">
        <w:rPr>
          <w:vertAlign w:val="subscript"/>
        </w:rPr>
        <w:t>4</w:t>
      </w:r>
      <w:r w:rsidRPr="00C00214">
        <w:t xml:space="preserve">] are used to replace the eight-component vector </w:t>
      </w:r>
      <w:r w:rsidRPr="00C00214">
        <w:rPr>
          <w:b/>
        </w:rPr>
        <w:t>a</w:t>
      </w:r>
      <w:r w:rsidRPr="00C00214">
        <w:rPr>
          <w:b/>
          <w:vertAlign w:val="subscript"/>
        </w:rPr>
        <w:t>,</w:t>
      </w:r>
      <w:r w:rsidRPr="00C00214">
        <w:t xml:space="preserve"> as shown in Table </w:t>
      </w:r>
      <w:r w:rsidR="0073776A">
        <w:t>2</w:t>
      </w:r>
      <w:r w:rsidRPr="00C00214">
        <w:t xml:space="preserve">. This simplification of Eqn. 1 implies that </w:t>
      </w:r>
      <w:r w:rsidRPr="00C00214">
        <w:rPr>
          <w:i/>
        </w:rPr>
        <w:t>S</w:t>
      </w:r>
      <w:r w:rsidRPr="00C00214">
        <w:rPr>
          <w:vertAlign w:val="subscript"/>
        </w:rPr>
        <w:t>i</w:t>
      </w:r>
      <w:r w:rsidRPr="00C00214">
        <w:t>-independent terms exist in the measured SE spectra that can be offset through the subtraction of one measurement from another for the principle descriptors. According to this reasoning, the SE spectra measured for graphene,</w:t>
      </w:r>
      <w:r w:rsidRPr="00C00214">
        <w:rPr>
          <w:i/>
        </w:rPr>
        <w:t xml:space="preserve"> J</w:t>
      </w:r>
      <w:r w:rsidRPr="00C00214">
        <w:rPr>
          <w:vertAlign w:val="subscript"/>
        </w:rPr>
        <w:t>Gra</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are considered to be the sum of the offset term </w:t>
      </w:r>
      <w:r w:rsidRPr="00C00214">
        <w:rPr>
          <w:i/>
        </w:rPr>
        <w:t>f</w:t>
      </w:r>
      <w:r w:rsidRPr="00C00214">
        <w:rPr>
          <w:vertAlign w:val="subscript"/>
        </w:rPr>
        <w:t>Off</w:t>
      </w:r>
      <w:r w:rsidRPr="00C00214">
        <w:t>(</w:t>
      </w:r>
      <w:r w:rsidRPr="00C00214">
        <w:rPr>
          <w:i/>
        </w:rPr>
        <w:t>G</w:t>
      </w:r>
      <w:r w:rsidRPr="00C00214">
        <w:rPr>
          <w:vertAlign w:val="subscript"/>
        </w:rPr>
        <w:t>n</w:t>
      </w:r>
      <w:r w:rsidRPr="00C00214">
        <w:t xml:space="preserve">, </w:t>
      </w:r>
      <w:r w:rsidRPr="00C00214">
        <w:rPr>
          <w:i/>
        </w:rPr>
        <w:t>E</w:t>
      </w:r>
      <w:r w:rsidRPr="00C00214">
        <w:rPr>
          <w:vertAlign w:val="subscript"/>
        </w:rPr>
        <w:t>in</w:t>
      </w:r>
      <w:r w:rsidRPr="00C00214">
        <w:t>)</w:t>
      </w:r>
      <w:r w:rsidRPr="00C00214">
        <w:rPr>
          <w:i/>
        </w:rPr>
        <w:t>TF</w:t>
      </w:r>
      <w:r w:rsidRPr="00C00214">
        <w:rPr>
          <w:vertAlign w:val="subscript"/>
        </w:rPr>
        <w:t>CMA</w:t>
      </w:r>
      <w:r w:rsidRPr="00C00214">
        <w:t>(</w:t>
      </w:r>
      <w:r w:rsidRPr="00C00214">
        <w:rPr>
          <w:i/>
        </w:rPr>
        <w:t>E</w:t>
      </w:r>
      <w:r w:rsidRPr="00C00214">
        <w:t xml:space="preserve">), which is independent of the variable </w:t>
      </w:r>
      <w:r w:rsidRPr="00C00214">
        <w:rPr>
          <w:i/>
        </w:rPr>
        <w:t>S</w:t>
      </w:r>
      <w:r w:rsidRPr="00C00214">
        <w:rPr>
          <w:vertAlign w:val="subscript"/>
        </w:rPr>
        <w:t>i</w:t>
      </w:r>
      <w:r w:rsidRPr="00C00214">
        <w:t xml:space="preserve"> and the remaining term </w:t>
      </w:r>
      <w:r w:rsidRPr="00C00214">
        <w:rPr>
          <w:i/>
        </w:rPr>
        <w:t>f</w:t>
      </w:r>
      <w:r w:rsidRPr="00C00214">
        <w:rPr>
          <w:vertAlign w:val="subscript"/>
        </w:rPr>
        <w:t>Rem</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w:t>
      </w:r>
      <w:r w:rsidRPr="00C00214">
        <w:rPr>
          <w:i/>
        </w:rPr>
        <w:t>TF</w:t>
      </w:r>
      <w:r w:rsidRPr="00C00214">
        <w:rPr>
          <w:vertAlign w:val="subscript"/>
        </w:rPr>
        <w:t>CMA</w:t>
      </w:r>
      <w:r w:rsidRPr="00C00214">
        <w:t>(</w:t>
      </w:r>
      <w:r w:rsidRPr="00C00214">
        <w:rPr>
          <w:i/>
        </w:rPr>
        <w:t>E</w:t>
      </w:r>
      <w:r w:rsidRPr="00C00214">
        <w:rPr>
          <w:rFonts w:eastAsia="Times New Roman"/>
        </w:rPr>
        <w:t>).</w:t>
      </w:r>
      <w:r w:rsidRPr="00C00214">
        <w:t xml:space="preserve"> </w:t>
      </w:r>
      <w:bookmarkStart w:id="46" w:name="OLE_LINK4"/>
      <w:bookmarkStart w:id="47" w:name="OLE_LINK5"/>
      <w:r w:rsidRPr="00C00214">
        <w:rPr>
          <w:i/>
        </w:rPr>
        <w:t>TF</w:t>
      </w:r>
      <w:r w:rsidRPr="00C00214">
        <w:rPr>
          <w:vertAlign w:val="subscript"/>
        </w:rPr>
        <w:t>CMA</w:t>
      </w:r>
      <w:r w:rsidRPr="00C00214">
        <w:t>(</w:t>
      </w:r>
      <w:r w:rsidRPr="00C00214">
        <w:rPr>
          <w:i/>
        </w:rPr>
        <w:t>E</w:t>
      </w:r>
      <w:r w:rsidRPr="00C00214">
        <w:t xml:space="preserve">) </w:t>
      </w:r>
      <w:bookmarkEnd w:id="46"/>
      <w:bookmarkEnd w:id="47"/>
      <w:r w:rsidRPr="00C00214">
        <w:t>represent</w:t>
      </w:r>
      <w:r w:rsidRPr="00C00214">
        <w:rPr>
          <w:rFonts w:eastAsia="Times New Roman"/>
        </w:rPr>
        <w:t>s</w:t>
      </w:r>
      <w:r w:rsidRPr="00C00214">
        <w:t xml:space="preserve"> the </w:t>
      </w:r>
      <w:r w:rsidRPr="00C00214">
        <w:rPr>
          <w:rFonts w:eastAsia="Times New Roman"/>
        </w:rPr>
        <w:t xml:space="preserve">CMA </w:t>
      </w:r>
      <w:r w:rsidRPr="00C00214">
        <w:t xml:space="preserve">transmission function, and </w:t>
      </w:r>
      <w:r w:rsidRPr="00C00214">
        <w:rPr>
          <w:rFonts w:eastAsia="Times New Roman"/>
        </w:rPr>
        <w:t>is</w:t>
      </w:r>
      <w:r w:rsidRPr="00C00214">
        <w:t xml:space="preserve"> written as TF</w:t>
      </w:r>
      <w:r w:rsidRPr="00C00214">
        <w:rPr>
          <w:vertAlign w:val="subscript"/>
        </w:rPr>
        <w:t>CMA</w:t>
      </w:r>
      <w:r w:rsidRPr="00C00214">
        <w:t xml:space="preserve"> below for brevity. Because the SE spectra </w:t>
      </w:r>
      <w:r w:rsidRPr="00C00214">
        <w:rPr>
          <w:rFonts w:eastAsia="Times New Roman"/>
        </w:rPr>
        <w:t>of</w:t>
      </w:r>
      <w:r w:rsidRPr="00C00214">
        <w:t xml:space="preserve"> the substrate </w:t>
      </w:r>
      <w:r w:rsidRPr="00C00214">
        <w:rPr>
          <w:i/>
        </w:rPr>
        <w:t>J</w:t>
      </w:r>
      <w:r w:rsidRPr="00C00214">
        <w:rPr>
          <w:vertAlign w:val="subscript"/>
        </w:rPr>
        <w:t>Sub</w:t>
      </w:r>
      <w:r w:rsidRPr="00C00214">
        <w:t>(</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are the limiting cases of graphene </w:t>
      </w:r>
      <w:r w:rsidRPr="00C00214">
        <w:rPr>
          <w:rFonts w:eastAsia="Times New Roman"/>
        </w:rPr>
        <w:t xml:space="preserve">spectra </w:t>
      </w:r>
      <w:r w:rsidRPr="00C00214">
        <w:rPr>
          <w:i/>
        </w:rPr>
        <w:t>J</w:t>
      </w:r>
      <w:r w:rsidRPr="00C00214">
        <w:rPr>
          <w:vertAlign w:val="subscript"/>
        </w:rPr>
        <w:t>Gra</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w:t>
      </w:r>
      <w:r w:rsidRPr="00C00214">
        <w:rPr>
          <w:rFonts w:eastAsia="Times New Roman"/>
        </w:rPr>
        <w:t>where</w:t>
      </w:r>
      <w:r w:rsidRPr="00C00214">
        <w:t xml:space="preserve"> any </w:t>
      </w:r>
      <w:r w:rsidRPr="00C00214">
        <w:rPr>
          <w:i/>
        </w:rPr>
        <w:t>S</w:t>
      </w:r>
      <w:r w:rsidRPr="00C00214">
        <w:rPr>
          <w:vertAlign w:val="subscript"/>
        </w:rPr>
        <w:t>i</w:t>
      </w:r>
      <w:r w:rsidRPr="00C00214">
        <w:t xml:space="preserve">-independent terms are zero, it follows that </w:t>
      </w:r>
      <w:r w:rsidRPr="00C00214">
        <w:rPr>
          <w:i/>
        </w:rPr>
        <w:t>J</w:t>
      </w:r>
      <w:r w:rsidRPr="00C00214">
        <w:rPr>
          <w:vertAlign w:val="subscript"/>
        </w:rPr>
        <w:t>Sub</w:t>
      </w:r>
      <w:r w:rsidRPr="00C00214">
        <w:t>(</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 </w:t>
      </w:r>
      <w:r w:rsidRPr="00C00214">
        <w:rPr>
          <w:i/>
        </w:rPr>
        <w:t>J</w:t>
      </w:r>
      <w:r w:rsidRPr="00C00214">
        <w:rPr>
          <w:vertAlign w:val="subscript"/>
        </w:rPr>
        <w:t>Gra</w:t>
      </w:r>
      <w:r w:rsidRPr="00C00214">
        <w:t>(</w:t>
      </w:r>
      <w:r w:rsidRPr="00C00214">
        <w:rPr>
          <w:i/>
        </w:rPr>
        <w:t>G</w:t>
      </w:r>
      <w:r w:rsidRPr="00C00214">
        <w:rPr>
          <w:vertAlign w:val="subscript"/>
        </w:rPr>
        <w:t>n</w:t>
      </w:r>
      <w:r w:rsidRPr="00C00214">
        <w:t xml:space="preserve"> = 0,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 </w:t>
      </w:r>
      <w:r w:rsidRPr="00C00214">
        <w:rPr>
          <w:i/>
        </w:rPr>
        <w:t>f</w:t>
      </w:r>
      <w:r w:rsidRPr="00C00214">
        <w:rPr>
          <w:vertAlign w:val="subscript"/>
        </w:rPr>
        <w:t>Rem</w:t>
      </w:r>
      <w:r w:rsidRPr="00C00214">
        <w:t>(</w:t>
      </w:r>
      <w:r w:rsidRPr="00C00214">
        <w:rPr>
          <w:i/>
        </w:rPr>
        <w:t>G</w:t>
      </w:r>
      <w:r w:rsidRPr="00C00214">
        <w:rPr>
          <w:vertAlign w:val="subscript"/>
        </w:rPr>
        <w:t>n</w:t>
      </w:r>
      <w:r w:rsidRPr="00C00214">
        <w:t xml:space="preserve"> = 0,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w:t>
      </w:r>
      <w:r w:rsidRPr="00C00214">
        <w:rPr>
          <w:i/>
        </w:rPr>
        <w:t>TF</w:t>
      </w:r>
      <w:r w:rsidRPr="00C00214">
        <w:rPr>
          <w:vertAlign w:val="subscript"/>
        </w:rPr>
        <w:t>CMA</w:t>
      </w:r>
      <w:r w:rsidRPr="00C00214">
        <w:t xml:space="preserve">. </w:t>
      </w:r>
      <w:bookmarkStart w:id="48" w:name="OLE_LINK150"/>
      <w:r w:rsidRPr="00C00214">
        <w:rPr>
          <w:rFonts w:eastAsia="Times New Roman"/>
        </w:rPr>
        <w:t>By</w:t>
      </w:r>
      <w:r w:rsidRPr="00C00214">
        <w:t xml:space="preserve"> </w:t>
      </w:r>
      <w:bookmarkEnd w:id="48"/>
      <w:r w:rsidRPr="00C00214">
        <w:t xml:space="preserve">separating the terms associated with </w:t>
      </w:r>
      <w:r w:rsidRPr="00C00214">
        <w:rPr>
          <w:rFonts w:eastAsia="Times New Roman"/>
        </w:rPr>
        <w:t xml:space="preserve">the </w:t>
      </w:r>
      <w:r w:rsidRPr="00C00214">
        <w:t xml:space="preserve">variable </w:t>
      </w:r>
      <w:r w:rsidRPr="00C00214">
        <w:rPr>
          <w:i/>
        </w:rPr>
        <w:t>G</w:t>
      </w:r>
      <w:r w:rsidRPr="00C00214">
        <w:rPr>
          <w:vertAlign w:val="subscript"/>
        </w:rPr>
        <w:t>n</w:t>
      </w:r>
      <w:r w:rsidRPr="00C00214">
        <w:t xml:space="preserve">, </w:t>
      </w:r>
      <w:r w:rsidRPr="00C00214">
        <w:rPr>
          <w:rFonts w:eastAsia="Times New Roman"/>
        </w:rPr>
        <w:t xml:space="preserve">then </w:t>
      </w:r>
      <w:r w:rsidRPr="00C00214">
        <w:rPr>
          <w:i/>
        </w:rPr>
        <w:t>f</w:t>
      </w:r>
      <w:r w:rsidRPr="00C00214">
        <w:rPr>
          <w:vertAlign w:val="subscript"/>
        </w:rPr>
        <w:t>Rem</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w:t>
      </w:r>
      <w:r w:rsidRPr="00C00214">
        <w:rPr>
          <w:i/>
        </w:rPr>
        <w:t>TF</w:t>
      </w:r>
      <w:r w:rsidRPr="00C00214">
        <w:rPr>
          <w:vertAlign w:val="subscript"/>
        </w:rPr>
        <w:t>CMA</w:t>
      </w:r>
      <w:r w:rsidRPr="00C00214">
        <w:t xml:space="preserve"> could be rewritten as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w:t>
      </w:r>
      <w:r w:rsidRPr="00C00214">
        <w:rPr>
          <w:i/>
        </w:rPr>
        <w:t>f</w:t>
      </w:r>
      <w:r w:rsidRPr="00C00214">
        <w:rPr>
          <w:vertAlign w:val="subscript"/>
        </w:rPr>
        <w:t>Rem</w:t>
      </w:r>
      <w:r w:rsidRPr="00C00214">
        <w:t>(</w:t>
      </w:r>
      <w:r w:rsidRPr="00C00214">
        <w:rPr>
          <w:i/>
        </w:rPr>
        <w:t>G</w:t>
      </w:r>
      <w:r w:rsidRPr="00C00214">
        <w:rPr>
          <w:vertAlign w:val="subscript"/>
        </w:rPr>
        <w:t>n</w:t>
      </w:r>
      <w:r w:rsidRPr="00C00214">
        <w:t xml:space="preserve"> = 0,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w:t>
      </w:r>
      <w:r w:rsidRPr="00C00214">
        <w:rPr>
          <w:i/>
        </w:rPr>
        <w:t>TF</w:t>
      </w:r>
      <w:r w:rsidRPr="00C00214">
        <w:rPr>
          <w:vertAlign w:val="subscript"/>
        </w:rPr>
        <w:t>CMA</w:t>
      </w:r>
      <w:r w:rsidRPr="00C00214">
        <w:t xml:space="preserve"> and </w:t>
      </w:r>
      <w:r w:rsidRPr="00C00214">
        <w:rPr>
          <w:rFonts w:eastAsia="Times New Roman"/>
        </w:rPr>
        <w:t>then re-written</w:t>
      </w:r>
      <w:r w:rsidRPr="00C00214">
        <w:t xml:space="preserve"> as </w:t>
      </w:r>
      <w:r w:rsidRPr="00C00214">
        <w:rPr>
          <w:i/>
        </w:rPr>
        <w:lastRenderedPageBreak/>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w:t>
      </w:r>
      <w:r w:rsidRPr="00C00214">
        <w:rPr>
          <w:i/>
        </w:rPr>
        <w:t>J</w:t>
      </w:r>
      <w:r w:rsidRPr="00C00214">
        <w:rPr>
          <w:vertAlign w:val="subscript"/>
        </w:rPr>
        <w:t>Sub</w:t>
      </w:r>
      <w:r w:rsidRPr="00C00214">
        <w:t>(</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where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w:t>
      </w:r>
      <w:bookmarkStart w:id="49" w:name="OLE_LINK139"/>
      <w:r w:rsidRPr="00C00214">
        <w:t>is equal to 1</w:t>
      </w:r>
      <w:bookmarkEnd w:id="49"/>
      <w:r w:rsidRPr="00C00214">
        <w:t xml:space="preserve"> when </w:t>
      </w:r>
      <w:r w:rsidRPr="00C00214">
        <w:rPr>
          <w:i/>
        </w:rPr>
        <w:t>G</w:t>
      </w:r>
      <w:r w:rsidRPr="00C00214">
        <w:rPr>
          <w:vertAlign w:val="subscript"/>
        </w:rPr>
        <w:t>n</w:t>
      </w:r>
      <w:r w:rsidRPr="00C00214">
        <w:t xml:space="preserve"> is zero. Therefore, a measurement of graphene could be w</w:t>
      </w:r>
      <w:r w:rsidR="00DB0A45">
        <w:t>ritten as the following formula</w:t>
      </w:r>
      <w:r w:rsidRPr="00C00214">
        <w:t xml:space="preserve">. </w:t>
      </w:r>
    </w:p>
    <w:p w14:paraId="25C58601" w14:textId="77777777" w:rsidR="008C3EE4" w:rsidRPr="00C00214" w:rsidRDefault="004C2AEC">
      <w:pPr>
        <w:pStyle w:val="MTDisplayEquation"/>
      </w:pPr>
      <w:r w:rsidRPr="00C00214">
        <w:tab/>
      </w:r>
      <w:r w:rsidRPr="00C00214">
        <w:rPr>
          <w:position w:val="-14"/>
        </w:rPr>
        <w:object w:dxaOrig="6560" w:dyaOrig="400" w14:anchorId="3A8D0191">
          <v:shape id="_x0000_i1028" type="#_x0000_t75" style="width:332pt;height:21.5pt" o:ole="">
            <v:imagedata r:id="rId18" o:title=""/>
          </v:shape>
          <o:OLEObject Type="Embed" ProgID="Equation.DSMT4" ShapeID="_x0000_i1028" DrawAspect="Content" ObjectID="_1646139057" r:id="rId19"/>
        </w:object>
      </w:r>
      <w:r w:rsidRPr="00C00214">
        <w:t xml:space="preserve"> </w:t>
      </w:r>
      <w:r w:rsidRPr="00C00214">
        <w:tab/>
      </w:r>
      <w:r w:rsidRPr="00C00214">
        <w:fldChar w:fldCharType="begin"/>
      </w:r>
      <w:r w:rsidRPr="00C00214">
        <w:instrText xml:space="preserve"> MACROBUTTON MTPlaceRef \* MERGEFORMAT </w:instrText>
      </w:r>
      <w:r w:rsidRPr="00C00214">
        <w:fldChar w:fldCharType="begin"/>
      </w:r>
      <w:r w:rsidRPr="00C00214">
        <w:instrText xml:space="preserve"> SEQ MTEqn \h \* MERGEFORMAT </w:instrText>
      </w:r>
      <w:r w:rsidRPr="00C00214">
        <w:fldChar w:fldCharType="end"/>
      </w:r>
      <w:r w:rsidRPr="00C00214">
        <w:instrText>(</w:instrText>
      </w:r>
      <w:fldSimple w:instr=" SEQ MTEqn \c \* Arabic \* MERGEFORMAT ">
        <w:r w:rsidR="00C95F7D">
          <w:rPr>
            <w:noProof/>
          </w:rPr>
          <w:instrText>3</w:instrText>
        </w:r>
      </w:fldSimple>
      <w:r w:rsidRPr="00C00214">
        <w:instrText>)</w:instrText>
      </w:r>
      <w:r w:rsidRPr="00C00214">
        <w:fldChar w:fldCharType="end"/>
      </w:r>
    </w:p>
    <w:p w14:paraId="25B288D1" w14:textId="77777777" w:rsidR="008C3EE4" w:rsidRPr="00C00214" w:rsidRDefault="004C2AEC">
      <w:pPr>
        <w:jc w:val="both"/>
      </w:pPr>
      <w:r w:rsidRPr="00C00214">
        <w:t>Substituting Eqn. 3 into Eqn. 2 gives:</w:t>
      </w:r>
    </w:p>
    <w:p w14:paraId="4D377318" w14:textId="77777777" w:rsidR="008C3EE4" w:rsidRPr="00C00214" w:rsidRDefault="004C2AEC">
      <w:pPr>
        <w:pStyle w:val="MTDisplayEquation"/>
      </w:pPr>
      <w:r w:rsidRPr="00C00214">
        <w:tab/>
      </w:r>
      <w:r w:rsidRPr="00C00214">
        <w:rPr>
          <w:position w:val="-54"/>
        </w:rPr>
        <w:object w:dxaOrig="9740" w:dyaOrig="1200" w14:anchorId="4E81E454">
          <v:shape id="_x0000_i1029" type="#_x0000_t75" style="width:490.5pt;height:58.5pt" o:ole="">
            <v:imagedata r:id="rId20" o:title=""/>
          </v:shape>
          <o:OLEObject Type="Embed" ProgID="Equation.DSMT4" ShapeID="_x0000_i1029" DrawAspect="Content" ObjectID="_1646139058" r:id="rId21"/>
        </w:object>
      </w:r>
      <w:r w:rsidRPr="00C00214">
        <w:t xml:space="preserve"> </w:t>
      </w:r>
      <w:r w:rsidRPr="00C00214">
        <w:tab/>
      </w:r>
      <w:r w:rsidRPr="00C00214">
        <w:fldChar w:fldCharType="begin"/>
      </w:r>
      <w:r w:rsidRPr="00C00214">
        <w:instrText xml:space="preserve"> MACROBUTTON MTPlaceRef \* MERGEFORMAT </w:instrText>
      </w:r>
      <w:r w:rsidRPr="00C00214">
        <w:fldChar w:fldCharType="begin"/>
      </w:r>
      <w:r w:rsidRPr="00C00214">
        <w:instrText xml:space="preserve"> SEQ MTEqn \h \* MERGEFORMAT </w:instrText>
      </w:r>
      <w:r w:rsidRPr="00C00214">
        <w:fldChar w:fldCharType="end"/>
      </w:r>
      <w:r w:rsidRPr="00C00214">
        <w:instrText>(</w:instrText>
      </w:r>
      <w:fldSimple w:instr=" SEQ MTEqn \c \* Arabic \* MERGEFORMAT ">
        <w:r w:rsidR="00C95F7D">
          <w:rPr>
            <w:noProof/>
          </w:rPr>
          <w:instrText>4</w:instrText>
        </w:r>
      </w:fldSimple>
      <w:r w:rsidRPr="00C00214">
        <w:instrText>)</w:instrText>
      </w:r>
      <w:r w:rsidRPr="00C00214">
        <w:fldChar w:fldCharType="end"/>
      </w:r>
    </w:p>
    <w:p w14:paraId="63475042" w14:textId="77777777" w:rsidR="008C3EE4" w:rsidRPr="00C00214" w:rsidRDefault="004C2AEC">
      <w:pPr>
        <w:jc w:val="both"/>
      </w:pPr>
      <w:r w:rsidRPr="00C00214">
        <w:t xml:space="preserve">In Eqn. 4, only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depends on </w:t>
      </w:r>
      <w:r w:rsidRPr="00C00214">
        <w:rPr>
          <w:i/>
        </w:rPr>
        <w:t>G</w:t>
      </w:r>
      <w:r w:rsidRPr="00C00214">
        <w:rPr>
          <w:vertAlign w:val="subscript"/>
        </w:rPr>
        <w:t>n</w:t>
      </w:r>
      <w:r w:rsidRPr="00C00214">
        <w:t>, which is the reason for naming it</w:t>
      </w:r>
      <w:r w:rsidRPr="00C00214">
        <w:rPr>
          <w:i/>
        </w:rPr>
        <w:t xml:space="preserve"> </w:t>
      </w:r>
      <w:r w:rsidRPr="00C00214">
        <w:t xml:space="preserve">the “target” term. Because the principle descriptors should only be sensitive to </w:t>
      </w:r>
      <w:r w:rsidRPr="00C00214">
        <w:rPr>
          <w:i/>
        </w:rPr>
        <w:t>G</w:t>
      </w:r>
      <w:r w:rsidRPr="00C00214">
        <w:rPr>
          <w:vertAlign w:val="subscript"/>
        </w:rPr>
        <w:t>n</w:t>
      </w:r>
      <w:r w:rsidRPr="00C00214">
        <w:t xml:space="preserve">, the </w:t>
      </w:r>
      <w:r w:rsidRPr="00C00214">
        <w:rPr>
          <w:i/>
        </w:rPr>
        <w:t>J</w:t>
      </w:r>
      <w:r w:rsidRPr="00C00214">
        <w:rPr>
          <w:vertAlign w:val="subscript"/>
        </w:rPr>
        <w:t>Sub</w:t>
      </w:r>
      <w:r w:rsidRPr="00C00214">
        <w:t>(</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term, which only depends on </w:t>
      </w:r>
      <w:r w:rsidRPr="00C00214">
        <w:rPr>
          <w:i/>
        </w:rPr>
        <w:t>E</w:t>
      </w:r>
      <w:r w:rsidRPr="00C00214">
        <w:rPr>
          <w:vertAlign w:val="subscript"/>
        </w:rPr>
        <w:t>in</w:t>
      </w:r>
      <w:r w:rsidRPr="00C00214">
        <w:t xml:space="preserve"> and is independent of </w:t>
      </w:r>
      <w:r w:rsidRPr="00C00214">
        <w:rPr>
          <w:i/>
        </w:rPr>
        <w:t>G</w:t>
      </w:r>
      <w:r w:rsidRPr="00C00214">
        <w:rPr>
          <w:vertAlign w:val="subscript"/>
        </w:rPr>
        <w:t>n</w:t>
      </w:r>
      <w:r w:rsidRPr="00C00214">
        <w:t xml:space="preserve">, must be cancelled in the numerator and denominator of Eqn. 4. To this end,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is assumed to be independent of </w:t>
      </w:r>
      <w:r w:rsidRPr="00C00214">
        <w:rPr>
          <w:i/>
        </w:rPr>
        <w:t>S</w:t>
      </w:r>
      <w:r w:rsidRPr="00C00214">
        <w:rPr>
          <w:vertAlign w:val="subscript"/>
        </w:rPr>
        <w:t>i</w:t>
      </w:r>
      <w:r w:rsidRPr="00C00214">
        <w:t xml:space="preserve"> as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E</w:t>
      </w:r>
      <w:r w:rsidRPr="00C00214">
        <w:rPr>
          <w:vertAlign w:val="subscript"/>
        </w:rPr>
        <w:t>in</w:t>
      </w:r>
      <w:r w:rsidRPr="00C00214">
        <w:t xml:space="preserve">), so Eqn. 4 can be rewritten as </w:t>
      </w:r>
    </w:p>
    <w:p w14:paraId="41DEED6F" w14:textId="77777777" w:rsidR="008C3EE4" w:rsidRPr="00C00214" w:rsidRDefault="004C2AEC">
      <w:pPr>
        <w:pStyle w:val="MTDisplayEquation"/>
      </w:pPr>
      <w:r w:rsidRPr="00C00214">
        <w:tab/>
      </w:r>
      <w:r w:rsidRPr="00C00214">
        <w:rPr>
          <w:position w:val="-32"/>
        </w:rPr>
        <w:object w:dxaOrig="3980" w:dyaOrig="740" w14:anchorId="68213D62">
          <v:shape id="_x0000_i1030" type="#_x0000_t75" style="width:202pt;height:36pt" o:ole="">
            <v:imagedata r:id="rId22" o:title=""/>
          </v:shape>
          <o:OLEObject Type="Embed" ProgID="Equation.DSMT4" ShapeID="_x0000_i1030" DrawAspect="Content" ObjectID="_1646139059" r:id="rId23"/>
        </w:object>
      </w:r>
      <w:r w:rsidRPr="00C00214">
        <w:t xml:space="preserve"> </w:t>
      </w:r>
      <w:r w:rsidRPr="00C00214">
        <w:tab/>
      </w:r>
      <w:r w:rsidRPr="00C00214">
        <w:fldChar w:fldCharType="begin"/>
      </w:r>
      <w:r w:rsidRPr="00C00214">
        <w:instrText xml:space="preserve"> MACROBUTTON MTPlaceRef \* MERGEFORMAT </w:instrText>
      </w:r>
      <w:r w:rsidRPr="00C00214">
        <w:fldChar w:fldCharType="begin"/>
      </w:r>
      <w:r w:rsidRPr="00C00214">
        <w:instrText xml:space="preserve"> SEQ MTEqn \h \* MERGEFORMAT </w:instrText>
      </w:r>
      <w:r w:rsidRPr="00C00214">
        <w:fldChar w:fldCharType="end"/>
      </w:r>
      <w:r w:rsidRPr="00C00214">
        <w:instrText>(</w:instrText>
      </w:r>
      <w:fldSimple w:instr=" SEQ MTEqn \c \* Arabic \* MERGEFORMAT ">
        <w:r w:rsidR="00C95F7D">
          <w:rPr>
            <w:noProof/>
          </w:rPr>
          <w:instrText>5</w:instrText>
        </w:r>
      </w:fldSimple>
      <w:r w:rsidRPr="00C00214">
        <w:instrText>)</w:instrText>
      </w:r>
      <w:r w:rsidRPr="00C00214">
        <w:fldChar w:fldCharType="end"/>
      </w:r>
    </w:p>
    <w:p w14:paraId="40131089" w14:textId="59476237" w:rsidR="00C712EB" w:rsidRPr="00C00214" w:rsidRDefault="004C2AEC">
      <w:pPr>
        <w:jc w:val="both"/>
      </w:pPr>
      <w:r w:rsidRPr="00C00214">
        <w:t xml:space="preserve">The assumption that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is independent of </w:t>
      </w:r>
      <w:r w:rsidRPr="00C00214">
        <w:rPr>
          <w:i/>
        </w:rPr>
        <w:t>S</w:t>
      </w:r>
      <w:r w:rsidRPr="00C00214">
        <w:rPr>
          <w:vertAlign w:val="subscript"/>
        </w:rPr>
        <w:t>i</w:t>
      </w:r>
      <w:r w:rsidRPr="00C00214">
        <w:t xml:space="preserve"> was verified by examining the consistency of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E</w:t>
      </w:r>
      <w:r w:rsidRPr="00C00214">
        <w:rPr>
          <w:vertAlign w:val="subscript"/>
        </w:rPr>
        <w:t>in</w:t>
      </w:r>
      <w:r w:rsidRPr="00C00214">
        <w:t xml:space="preserve">) when substituting different principle descriptors into Eqn. 5. Thus, these principle descriptors only depend on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E</w:t>
      </w:r>
      <w:r w:rsidRPr="00C00214">
        <w:rPr>
          <w:vertAlign w:val="subscript"/>
        </w:rPr>
        <w:t>in</w:t>
      </w:r>
      <w:r w:rsidRPr="00C00214">
        <w:t xml:space="preserve">). Considering that the selected principle descriptors are insensitive to </w:t>
      </w:r>
      <w:r w:rsidRPr="00C00214">
        <w:rPr>
          <w:i/>
        </w:rPr>
        <w:t>E</w:t>
      </w:r>
      <w:r w:rsidRPr="00C00214">
        <w:rPr>
          <w:vertAlign w:val="subscript"/>
        </w:rPr>
        <w:t>in</w:t>
      </w:r>
      <w:r w:rsidRPr="00C00214">
        <w:t xml:space="preserve">,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E</w:t>
      </w:r>
      <w:r w:rsidRPr="00C00214">
        <w:rPr>
          <w:vertAlign w:val="subscript"/>
        </w:rPr>
        <w:t>in</w:t>
      </w:r>
      <w:r w:rsidRPr="00C00214">
        <w:t xml:space="preserve">) should also be insensitive to </w:t>
      </w:r>
      <w:r w:rsidRPr="00C00214">
        <w:rPr>
          <w:i/>
        </w:rPr>
        <w:t>E</w:t>
      </w:r>
      <w:r w:rsidRPr="00C00214">
        <w:rPr>
          <w:vertAlign w:val="subscript"/>
        </w:rPr>
        <w:t>in</w:t>
      </w:r>
      <w:r w:rsidRPr="00C00214">
        <w:t xml:space="preserve"> and can therefore be further approximated as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To confirm this, </w:t>
      </w:r>
      <w:r w:rsidRPr="00C00214">
        <w:rPr>
          <w:i/>
        </w:rPr>
        <w:t>f</w:t>
      </w:r>
      <w:r w:rsidRPr="00C00214">
        <w:rPr>
          <w:vertAlign w:val="subscript"/>
        </w:rPr>
        <w:t>Tar</w:t>
      </w:r>
      <w:r w:rsidRPr="00C00214">
        <w:t>(</w:t>
      </w:r>
      <w:r w:rsidRPr="00C00214">
        <w:rPr>
          <w:i/>
        </w:rPr>
        <w:t>G</w:t>
      </w:r>
      <w:r w:rsidRPr="00C00214">
        <w:rPr>
          <w:vertAlign w:val="subscript"/>
        </w:rPr>
        <w:t>1</w:t>
      </w:r>
      <w:r w:rsidRPr="00C00214">
        <w:t xml:space="preserve">) and </w:t>
      </w:r>
      <w:r w:rsidRPr="00C00214">
        <w:rPr>
          <w:i/>
        </w:rPr>
        <w:t>f</w:t>
      </w:r>
      <w:r w:rsidRPr="00C00214">
        <w:rPr>
          <w:vertAlign w:val="subscript"/>
        </w:rPr>
        <w:t>Tar</w:t>
      </w:r>
      <w:r w:rsidRPr="00C00214">
        <w:t>(</w:t>
      </w:r>
      <w:r w:rsidRPr="00C00214">
        <w:rPr>
          <w:i/>
        </w:rPr>
        <w:t>G</w:t>
      </w:r>
      <w:r w:rsidRPr="00C00214">
        <w:rPr>
          <w:vertAlign w:val="subscript"/>
        </w:rPr>
        <w:t>2</w:t>
      </w:r>
      <w:r w:rsidRPr="00C00214">
        <w:t xml:space="preserve">) at different </w:t>
      </w:r>
      <w:r w:rsidRPr="00C00214">
        <w:rPr>
          <w:i/>
        </w:rPr>
        <w:t>E</w:t>
      </w:r>
      <w:r w:rsidRPr="00C00214">
        <w:rPr>
          <w:vertAlign w:val="subscript"/>
        </w:rPr>
        <w:t>in</w:t>
      </w:r>
      <w:r w:rsidRPr="00C00214">
        <w:t xml:space="preserve"> were calculated and found to be around 5% over the whole energy range </w:t>
      </w:r>
      <w:r w:rsidR="00971062" w:rsidRPr="00C00214">
        <w:t xml:space="preserve">as shown in </w:t>
      </w:r>
      <w:r w:rsidRPr="00C00214">
        <w:t xml:space="preserve">Fig. </w:t>
      </w:r>
      <w:r w:rsidR="00971062" w:rsidRPr="00C00214">
        <w:t>3</w:t>
      </w:r>
      <w:r w:rsidRPr="00C00214">
        <w:t xml:space="preserve">, which is much smaller than the typical deviations between these SE spectra with different </w:t>
      </w:r>
      <w:r w:rsidRPr="00C00214">
        <w:rPr>
          <w:i/>
        </w:rPr>
        <w:t>E</w:t>
      </w:r>
      <w:r w:rsidRPr="00C00214">
        <w:rPr>
          <w:vertAlign w:val="subscript"/>
        </w:rPr>
        <w:t>in</w:t>
      </w:r>
      <w:r w:rsidRPr="00C00214">
        <w:t xml:space="preserve"> of more than 30%.</w:t>
      </w:r>
    </w:p>
    <w:p w14:paraId="77B900D4" w14:textId="77777777" w:rsidR="008C3EE4" w:rsidRPr="00C00214" w:rsidRDefault="004C2AEC">
      <w:pPr>
        <w:jc w:val="both"/>
      </w:pPr>
      <w:r w:rsidRPr="00C00214">
        <w:lastRenderedPageBreak/>
        <w:t xml:space="preserve">Using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instead of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the expression of a measurement of graphene could be further updated to</w:t>
      </w:r>
    </w:p>
    <w:p w14:paraId="0F61BE41" w14:textId="77777777" w:rsidR="008C3EE4" w:rsidRPr="00C00214" w:rsidRDefault="004C2AEC">
      <w:pPr>
        <w:pStyle w:val="MTDisplayEquation"/>
      </w:pPr>
      <w:r w:rsidRPr="00C00214">
        <w:tab/>
      </w:r>
      <w:r w:rsidRPr="00C00214">
        <w:rPr>
          <w:position w:val="-14"/>
        </w:rPr>
        <w:object w:dxaOrig="5899" w:dyaOrig="400" w14:anchorId="5E3CD4C2">
          <v:shape id="_x0000_i1031" type="#_x0000_t75" style="width:297pt;height:21.5pt" o:ole="">
            <v:imagedata r:id="rId24" o:title=""/>
          </v:shape>
          <o:OLEObject Type="Embed" ProgID="Equation.DSMT4" ShapeID="_x0000_i1031" DrawAspect="Content" ObjectID="_1646139060" r:id="rId25"/>
        </w:object>
      </w:r>
      <w:r w:rsidRPr="00C00214">
        <w:t xml:space="preserve"> </w:t>
      </w:r>
      <w:r w:rsidRPr="00C00214">
        <w:tab/>
      </w:r>
      <w:r w:rsidRPr="00C00214">
        <w:fldChar w:fldCharType="begin"/>
      </w:r>
      <w:r w:rsidRPr="00C00214">
        <w:instrText xml:space="preserve"> MACROBUTTON MTPlaceRef \* MERGEFORMAT </w:instrText>
      </w:r>
      <w:r w:rsidRPr="00C00214">
        <w:fldChar w:fldCharType="begin"/>
      </w:r>
      <w:r w:rsidRPr="00C00214">
        <w:instrText xml:space="preserve"> SEQ MTEqn \h \* MERGEFORMAT </w:instrText>
      </w:r>
      <w:r w:rsidRPr="00C00214">
        <w:fldChar w:fldCharType="end"/>
      </w:r>
      <w:r w:rsidRPr="00C00214">
        <w:instrText>(</w:instrText>
      </w:r>
      <w:fldSimple w:instr=" SEQ MTEqn \c \* Arabic \* MERGEFORMAT ">
        <w:r w:rsidR="00C95F7D">
          <w:rPr>
            <w:noProof/>
          </w:rPr>
          <w:instrText>6</w:instrText>
        </w:r>
      </w:fldSimple>
      <w:r w:rsidRPr="00C00214">
        <w:instrText>)</w:instrText>
      </w:r>
      <w:r w:rsidRPr="00C00214">
        <w:fldChar w:fldCharType="end"/>
      </w:r>
    </w:p>
    <w:p w14:paraId="33CC7332" w14:textId="42E459AD" w:rsidR="008C3EE4" w:rsidRPr="00C00214" w:rsidRDefault="004C2AEC">
      <w:pPr>
        <w:jc w:val="both"/>
      </w:pPr>
      <w:r w:rsidRPr="00C00214">
        <w:t xml:space="preserve">Based on Eqn. 6, the physical meaning of </w:t>
      </w:r>
      <w:r w:rsidRPr="00C00214">
        <w:rPr>
          <w:i/>
        </w:rPr>
        <w:t>f</w:t>
      </w:r>
      <w:r w:rsidRPr="00C00214">
        <w:rPr>
          <w:vertAlign w:val="subscript"/>
        </w:rPr>
        <w:t>Tar</w:t>
      </w:r>
      <w:r w:rsidRPr="00C00214">
        <w:t>(</w:t>
      </w:r>
      <w:r w:rsidRPr="00C00214">
        <w:rPr>
          <w:i/>
        </w:rPr>
        <w:t>G</w:t>
      </w:r>
      <w:r w:rsidRPr="00C00214">
        <w:rPr>
          <w:vertAlign w:val="subscript"/>
        </w:rPr>
        <w:t>n</w:t>
      </w:r>
      <w:r w:rsidRPr="00C00214">
        <w:t>) can be revealed with the help of a phenomenological picture of SE spectral measurement</w:t>
      </w:r>
      <w:r w:rsidR="00F65A5A">
        <w:t xml:space="preserve"> (the inset of Fig. 3)</w:t>
      </w:r>
      <w:r w:rsidRPr="00C00214">
        <w:t xml:space="preserve">. Physically, an SE spectrum of substrate-supported graphene includes contributions from two sources. The first source is the reflection from graphene, which typically contains SEs originating from the interaction of the high-energy monochromatic incident electrons with graphene when the electron beam is first incident on graphene. These SEs are reflected from graphene before interacting with the underlying Au substrate and are thereby functions of </w:t>
      </w:r>
      <w:r w:rsidRPr="00C00214">
        <w:rPr>
          <w:i/>
        </w:rPr>
        <w:t>G</w:t>
      </w:r>
      <w:r w:rsidRPr="00C00214">
        <w:rPr>
          <w:vertAlign w:val="subscript"/>
        </w:rPr>
        <w:t>n</w:t>
      </w:r>
      <w:r w:rsidRPr="00C00214">
        <w:t xml:space="preserve"> and </w:t>
      </w:r>
      <w:r w:rsidRPr="00C00214">
        <w:rPr>
          <w:i/>
        </w:rPr>
        <w:t>E</w:t>
      </w:r>
      <w:r w:rsidRPr="00C00214">
        <w:rPr>
          <w:vertAlign w:val="subscript"/>
        </w:rPr>
        <w:t>in</w:t>
      </w:r>
      <w:r w:rsidRPr="00C00214">
        <w:t xml:space="preserve">, which match up with </w:t>
      </w:r>
      <w:r w:rsidRPr="00C00214">
        <w:rPr>
          <w:i/>
        </w:rPr>
        <w:t>f</w:t>
      </w:r>
      <w:r w:rsidRPr="00C00214">
        <w:rPr>
          <w:vertAlign w:val="subscript"/>
        </w:rPr>
        <w:t>Off</w:t>
      </w:r>
      <w:r w:rsidRPr="00C00214">
        <w:t>(</w:t>
      </w:r>
      <w:r w:rsidRPr="00C00214">
        <w:rPr>
          <w:i/>
        </w:rPr>
        <w:t>G</w:t>
      </w:r>
      <w:r w:rsidRPr="00C00214">
        <w:rPr>
          <w:vertAlign w:val="subscript"/>
        </w:rPr>
        <w:t>n</w:t>
      </w:r>
      <w:r w:rsidRPr="00C00214">
        <w:t xml:space="preserve">, </w:t>
      </w:r>
      <w:r w:rsidRPr="00C00214">
        <w:rPr>
          <w:i/>
        </w:rPr>
        <w:t>E</w:t>
      </w:r>
      <w:r w:rsidRPr="00C00214">
        <w:rPr>
          <w:vertAlign w:val="subscript"/>
        </w:rPr>
        <w:t>in</w:t>
      </w:r>
      <w:r w:rsidRPr="00C00214">
        <w:t>)</w:t>
      </w:r>
      <w:r w:rsidRPr="00C00214">
        <w:rPr>
          <w:i/>
        </w:rPr>
        <w:t>TF</w:t>
      </w:r>
      <w:r w:rsidRPr="00C00214">
        <w:rPr>
          <w:vertAlign w:val="subscript"/>
        </w:rPr>
        <w:t>CMA</w:t>
      </w:r>
      <w:r w:rsidRPr="00C00214">
        <w:t xml:space="preserve"> in Eqn. 6. When the electron beam </w:t>
      </w:r>
      <w:bookmarkStart w:id="50" w:name="OLE_LINK76"/>
      <w:r w:rsidRPr="00C00214">
        <w:t xml:space="preserve">is incident on </w:t>
      </w:r>
      <w:bookmarkEnd w:id="50"/>
      <w:r w:rsidRPr="00C00214">
        <w:t xml:space="preserve">graphene, a transmission process also occurs. These transmitted electrons then interact with the underlying substrate and lead to a reflected spectrum. Furthermore, these substrate-reflected electrons subsequently pass through the graphene on the top of the substrate, forming the second source contributing to the obtained spectrum. Because of the complete transmission of high-energy electrons through the graphene film, the spectrum of the substrate-reflected electrons can be reasonably approximated as that without graphene (i.e., </w:t>
      </w:r>
      <w:r w:rsidRPr="00C00214">
        <w:rPr>
          <w:i/>
        </w:rPr>
        <w:t>J</w:t>
      </w:r>
      <w:r w:rsidRPr="00C00214">
        <w:rPr>
          <w:vertAlign w:val="subscript"/>
        </w:rPr>
        <w:t>Sub</w:t>
      </w:r>
      <w:r w:rsidRPr="00C00214">
        <w:t>(</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In this case, the transmitted spectrum originating from these substrate-reflected electrons should be </w:t>
      </w:r>
      <w:r w:rsidRPr="00C00214">
        <w:rPr>
          <w:i/>
        </w:rPr>
        <w:t>J</w:t>
      </w:r>
      <w:r w:rsidRPr="00C00214">
        <w:rPr>
          <w:vertAlign w:val="subscript"/>
        </w:rPr>
        <w:t>Sub</w:t>
      </w:r>
      <w:r w:rsidRPr="00C00214">
        <w:t>(</w:t>
      </w:r>
      <w:r w:rsidRPr="00C00214">
        <w:rPr>
          <w:i/>
        </w:rPr>
        <w:t>S</w:t>
      </w:r>
      <w:r w:rsidRPr="00C00214">
        <w:rPr>
          <w:vertAlign w:val="subscript"/>
        </w:rPr>
        <w:t>i</w:t>
      </w:r>
      <w:r w:rsidRPr="00C00214">
        <w:t xml:space="preserve">, </w:t>
      </w:r>
      <w:r w:rsidRPr="00C00214">
        <w:rPr>
          <w:i/>
        </w:rPr>
        <w:t>E</w:t>
      </w:r>
      <w:r w:rsidRPr="00C00214">
        <w:rPr>
          <w:vertAlign w:val="subscript"/>
        </w:rPr>
        <w:t>in</w:t>
      </w:r>
      <w:r w:rsidRPr="00C00214">
        <w:t xml:space="preserve">) multiplied by the </w:t>
      </w:r>
      <w:bookmarkStart w:id="51" w:name="OLE_LINK85"/>
      <w:bookmarkStart w:id="52" w:name="OLE_LINK86"/>
      <w:r w:rsidRPr="00C00214">
        <w:t xml:space="preserve">elastic electron </w:t>
      </w:r>
      <w:bookmarkEnd w:id="51"/>
      <w:bookmarkEnd w:id="52"/>
      <w:r w:rsidR="006B33E1" w:rsidRPr="00C00214">
        <w:t xml:space="preserve">transmission </w:t>
      </w:r>
      <w:r w:rsidRPr="00C00214">
        <w:t xml:space="preserve">of graphene, which should depend on the single variable </w:t>
      </w:r>
      <w:r w:rsidRPr="00C00214">
        <w:rPr>
          <w:i/>
        </w:rPr>
        <w:t>G</w:t>
      </w:r>
      <w:r w:rsidRPr="00C00214">
        <w:rPr>
          <w:vertAlign w:val="subscript"/>
        </w:rPr>
        <w:t>n</w:t>
      </w:r>
      <w:r w:rsidRPr="00C00214">
        <w:t xml:space="preserve">, which has a value from 0 to 1, and perfectly match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Therefore, </w:t>
      </w:r>
      <w:r w:rsidRPr="00C00214">
        <w:rPr>
          <w:i/>
        </w:rPr>
        <w:t>f</w:t>
      </w:r>
      <w:r w:rsidRPr="00C00214">
        <w:rPr>
          <w:vertAlign w:val="subscript"/>
        </w:rPr>
        <w:t>Tar</w:t>
      </w:r>
      <w:r w:rsidRPr="00C00214">
        <w:t>(</w:t>
      </w:r>
      <w:r w:rsidRPr="00C00214">
        <w:rPr>
          <w:i/>
        </w:rPr>
        <w:t>G</w:t>
      </w:r>
      <w:r w:rsidRPr="00C00214">
        <w:rPr>
          <w:vertAlign w:val="subscript"/>
        </w:rPr>
        <w:t>n</w:t>
      </w:r>
      <w:r w:rsidRPr="00C00214">
        <w:t xml:space="preserve">) is the elastic electron </w:t>
      </w:r>
      <w:r w:rsidR="006B33E1" w:rsidRPr="00C00214">
        <w:t xml:space="preserve">transmission </w:t>
      </w:r>
      <w:r w:rsidRPr="00C00214">
        <w:t>of graphene and quantifies the possibility of energy loss by inelastic scattering when energetic electrons passed through the graphene layer.</w:t>
      </w:r>
    </w:p>
    <w:p w14:paraId="456C05C1" w14:textId="77777777" w:rsidR="008C3EE4" w:rsidRPr="00C00214" w:rsidRDefault="004C2AEC">
      <w:pPr>
        <w:jc w:val="both"/>
      </w:pPr>
      <w:r w:rsidRPr="00C00214">
        <w:lastRenderedPageBreak/>
        <w:t>It is worth mentioning that D</w:t>
      </w:r>
      <w:r w:rsidRPr="00C00214">
        <w:rPr>
          <w:vertAlign w:val="subscript"/>
        </w:rPr>
        <w:t>23</w:t>
      </w:r>
      <w:r w:rsidRPr="00C00214">
        <w:t xml:space="preserve">, which has a </w:t>
      </w:r>
      <w:r w:rsidRPr="00C00214">
        <w:rPr>
          <w:b/>
        </w:rPr>
        <w:t>b</w:t>
      </w:r>
      <w:r w:rsidRPr="00C00214">
        <w:t xml:space="preserve"> weight factor of [−1, 0, 0, −1], happens to have the same expression as </w:t>
      </w:r>
      <w:r w:rsidRPr="00C00214">
        <w:rPr>
          <w:i/>
        </w:rPr>
        <w:t>f</w:t>
      </w:r>
      <w:r w:rsidRPr="00C00214">
        <w:rPr>
          <w:vertAlign w:val="subscript"/>
        </w:rPr>
        <w:t>Tar</w:t>
      </w:r>
      <w:r w:rsidRPr="00C00214">
        <w:t>(</w:t>
      </w:r>
      <w:r w:rsidRPr="00C00214">
        <w:rPr>
          <w:i/>
        </w:rPr>
        <w:t>G</w:t>
      </w:r>
      <w:r w:rsidRPr="00C00214">
        <w:rPr>
          <w:vertAlign w:val="subscript"/>
        </w:rPr>
        <w:t>n</w:t>
      </w:r>
      <w:r w:rsidRPr="00C00214">
        <w:t>). Here, D</w:t>
      </w:r>
      <w:r w:rsidRPr="00C00214">
        <w:rPr>
          <w:vertAlign w:val="subscript"/>
        </w:rPr>
        <w:t>23</w:t>
      </w:r>
      <w:r w:rsidRPr="00C00214">
        <w:t xml:space="preserve"> was produced completely digitally, but turned out to be a meaningful physical parameter, which in the past has only been obtained by carefully considering the physical picture throughout the whole process of data measurement [</w:t>
      </w:r>
      <w:r w:rsidRPr="00C00214">
        <w:rPr>
          <w:i/>
        </w:rPr>
        <w:t>21</w:t>
      </w:r>
      <w:r w:rsidRPr="00C00214">
        <w:t xml:space="preserve">]. </w:t>
      </w:r>
      <w:r w:rsidRPr="00C00214">
        <w:rPr>
          <w:rFonts w:eastAsia="Times New Roman"/>
        </w:rPr>
        <w:t xml:space="preserve">In addition, </w:t>
      </w:r>
      <w:r w:rsidRPr="00C00214">
        <w:rPr>
          <w:i/>
        </w:rPr>
        <w:t>f</w:t>
      </w:r>
      <w:r w:rsidRPr="00C00214">
        <w:rPr>
          <w:vertAlign w:val="subscript"/>
        </w:rPr>
        <w:t>Tar</w:t>
      </w:r>
      <w:r w:rsidRPr="00C00214">
        <w:t>(</w:t>
      </w:r>
      <w:r w:rsidRPr="00C00214">
        <w:rPr>
          <w:i/>
        </w:rPr>
        <w:t>G</w:t>
      </w:r>
      <w:r w:rsidRPr="00C00214">
        <w:rPr>
          <w:vertAlign w:val="subscript"/>
        </w:rPr>
        <w:t>n</w:t>
      </w:r>
      <w:r w:rsidRPr="00C00214">
        <w:t>), as quantitative graphene</w:t>
      </w:r>
      <w:r w:rsidRPr="00C00214">
        <w:rPr>
          <w:rFonts w:eastAsia="Times New Roman"/>
        </w:rPr>
        <w:t xml:space="preserve"> data</w:t>
      </w:r>
      <w:r w:rsidRPr="00C00214">
        <w:t>, is obtained from the SE spectra</w:t>
      </w:r>
      <w:r w:rsidRPr="00C00214">
        <w:rPr>
          <w:rFonts w:eastAsia="Times New Roman"/>
        </w:rPr>
        <w:t>,</w:t>
      </w:r>
      <w:r w:rsidRPr="00C00214">
        <w:t xml:space="preserve"> even though the </w:t>
      </w:r>
      <w:r w:rsidRPr="00C00214">
        <w:rPr>
          <w:i/>
        </w:rPr>
        <w:t>TF</w:t>
      </w:r>
      <w:r w:rsidRPr="00C00214">
        <w:rPr>
          <w:vertAlign w:val="subscript"/>
        </w:rPr>
        <w:t>CMA</w:t>
      </w:r>
      <w:r w:rsidRPr="00C00214">
        <w:t xml:space="preserve"> of the </w:t>
      </w:r>
      <w:r w:rsidRPr="00C00214">
        <w:rPr>
          <w:rFonts w:eastAsia="Times New Roman"/>
        </w:rPr>
        <w:t>instrumentation</w:t>
      </w:r>
      <w:r w:rsidRPr="00C00214">
        <w:t xml:space="preserve"> is unknown. </w:t>
      </w:r>
      <w:r w:rsidRPr="00C00214">
        <w:rPr>
          <w:rFonts w:eastAsia="Times New Roman"/>
        </w:rPr>
        <w:t xml:space="preserve">That is, even though many </w:t>
      </w:r>
      <w:r w:rsidRPr="00C00214">
        <w:rPr>
          <w:shd w:val="clear" w:color="auto" w:fill="FFFFFF"/>
        </w:rPr>
        <w:t>instrumental parameters</w:t>
      </w:r>
      <w:r w:rsidRPr="00C00214">
        <w:rPr>
          <w:rFonts w:eastAsia="Microsoft YaHei"/>
          <w:szCs w:val="27"/>
          <w:shd w:val="clear" w:color="auto" w:fill="FFFFFF"/>
        </w:rPr>
        <w:t>,</w:t>
      </w:r>
      <w:r w:rsidRPr="00C00214">
        <w:rPr>
          <w:shd w:val="clear" w:color="auto" w:fill="FFFFFF"/>
        </w:rPr>
        <w:t xml:space="preserve"> such as</w:t>
      </w:r>
      <w:r w:rsidRPr="00C00214">
        <w:t xml:space="preserve"> pass energy, bias voltage</w:t>
      </w:r>
      <w:r w:rsidRPr="00C00214">
        <w:rPr>
          <w:rFonts w:eastAsia="Times New Roman"/>
        </w:rPr>
        <w:t>,</w:t>
      </w:r>
      <w:r w:rsidRPr="00C00214">
        <w:t xml:space="preserve"> and </w:t>
      </w:r>
      <w:r w:rsidRPr="00C00214">
        <w:rPr>
          <w:shd w:val="clear" w:color="auto" w:fill="FFFFFF"/>
        </w:rPr>
        <w:t>magnetic shield</w:t>
      </w:r>
      <w:r w:rsidRPr="00C00214">
        <w:rPr>
          <w:rFonts w:eastAsia="Microsoft YaHei"/>
          <w:szCs w:val="27"/>
          <w:shd w:val="clear" w:color="auto" w:fill="FFFFFF"/>
        </w:rPr>
        <w:t>ing</w:t>
      </w:r>
      <w:r w:rsidRPr="00C00214">
        <w:rPr>
          <w:shd w:val="clear" w:color="auto" w:fill="FFFFFF"/>
        </w:rPr>
        <w:t xml:space="preserve">, could greatly affect </w:t>
      </w:r>
      <w:r w:rsidRPr="00C00214">
        <w:rPr>
          <w:rFonts w:eastAsia="Microsoft YaHei"/>
          <w:szCs w:val="27"/>
          <w:shd w:val="clear" w:color="auto" w:fill="FFFFFF"/>
        </w:rPr>
        <w:t>SE spectral</w:t>
      </w:r>
      <w:r w:rsidRPr="00C00214">
        <w:rPr>
          <w:shd w:val="clear" w:color="auto" w:fill="FFFFFF"/>
        </w:rPr>
        <w:t xml:space="preserve"> intensities</w:t>
      </w:r>
      <w:r w:rsidRPr="00C00214">
        <w:rPr>
          <w:rFonts w:eastAsia="Microsoft YaHei"/>
          <w:szCs w:val="27"/>
          <w:shd w:val="clear" w:color="auto" w:fill="FFFFFF"/>
        </w:rPr>
        <w:t>, they</w:t>
      </w:r>
      <w:r w:rsidRPr="00C00214">
        <w:rPr>
          <w:shd w:val="clear" w:color="auto" w:fill="FFFFFF"/>
        </w:rPr>
        <w:t xml:space="preserve"> will not affect the intensities of these selected principle descriptors</w:t>
      </w:r>
      <w:r w:rsidRPr="00C00214">
        <w:rPr>
          <w:rFonts w:eastAsia="Microsoft YaHei"/>
          <w:szCs w:val="27"/>
          <w:shd w:val="clear" w:color="auto" w:fill="FFFFFF"/>
        </w:rPr>
        <w:t>. This is</w:t>
      </w:r>
      <w:r w:rsidRPr="00C00214">
        <w:rPr>
          <w:shd w:val="clear" w:color="auto" w:fill="FFFFFF"/>
        </w:rPr>
        <w:t xml:space="preserve"> because the instrumental </w:t>
      </w:r>
      <w:r w:rsidRPr="00C00214">
        <w:rPr>
          <w:rFonts w:eastAsia="Microsoft YaHei"/>
          <w:szCs w:val="27"/>
          <w:shd w:val="clear" w:color="auto" w:fill="FFFFFF"/>
        </w:rPr>
        <w:t>effects</w:t>
      </w:r>
      <w:r w:rsidRPr="00C00214">
        <w:rPr>
          <w:shd w:val="clear" w:color="auto" w:fill="FFFFFF"/>
        </w:rPr>
        <w:t xml:space="preserve"> are counteracted </w:t>
      </w:r>
      <w:r w:rsidRPr="00C00214">
        <w:t xml:space="preserve">via subtraction and ratioing between SE spectra measured with the same </w:t>
      </w:r>
      <w:r w:rsidRPr="00C00214">
        <w:rPr>
          <w:shd w:val="clear" w:color="auto" w:fill="FFFFFF"/>
        </w:rPr>
        <w:t>instrumental parameter</w:t>
      </w:r>
      <w:r w:rsidRPr="00C00214">
        <w:rPr>
          <w:rFonts w:eastAsia="Microsoft YaHei"/>
          <w:szCs w:val="27"/>
          <w:shd w:val="clear" w:color="auto" w:fill="FFFFFF"/>
        </w:rPr>
        <w:t>s</w:t>
      </w:r>
      <w:r w:rsidRPr="00C00214">
        <w:t>.</w:t>
      </w:r>
    </w:p>
    <w:p w14:paraId="4C952E08" w14:textId="4692CD38" w:rsidR="009E1C37" w:rsidRPr="00C00214" w:rsidRDefault="001C6150">
      <w:pPr>
        <w:jc w:val="both"/>
        <w:rPr>
          <w:b/>
        </w:rPr>
      </w:pPr>
      <w:r w:rsidRPr="00C00214">
        <w:rPr>
          <w:b/>
        </w:rPr>
        <w:t>3</w:t>
      </w:r>
      <w:r w:rsidR="009E1C37" w:rsidRPr="00C00214">
        <w:rPr>
          <w:b/>
        </w:rPr>
        <w:t>. Results</w:t>
      </w:r>
    </w:p>
    <w:p w14:paraId="588E5793" w14:textId="541C5517" w:rsidR="009E1C37" w:rsidRPr="00C00214" w:rsidRDefault="001C6150" w:rsidP="006E560F">
      <w:pPr>
        <w:jc w:val="center"/>
        <w:rPr>
          <w:b/>
        </w:rPr>
      </w:pPr>
      <w:r w:rsidRPr="00C00214">
        <w:rPr>
          <w:b/>
        </w:rPr>
        <w:t>3.1</w:t>
      </w:r>
      <w:r w:rsidR="009E1C37" w:rsidRPr="00C00214">
        <w:rPr>
          <w:b/>
        </w:rPr>
        <w:t xml:space="preserve">. </w:t>
      </w:r>
      <w:r w:rsidR="004C2AEC" w:rsidRPr="00C00214">
        <w:rPr>
          <w:b/>
        </w:rPr>
        <w:t xml:space="preserve">Extracting </w:t>
      </w:r>
      <w:bookmarkStart w:id="53" w:name="OLE_LINK128"/>
      <w:bookmarkStart w:id="54" w:name="OLE_LINK129"/>
      <w:r w:rsidR="004C2AEC" w:rsidRPr="00C00214">
        <w:rPr>
          <w:b/>
        </w:rPr>
        <w:t>EAL and IMFP of graphene</w:t>
      </w:r>
      <w:bookmarkEnd w:id="53"/>
      <w:bookmarkEnd w:id="54"/>
    </w:p>
    <w:p w14:paraId="5C25869E" w14:textId="67C2980A" w:rsidR="008C3EE4" w:rsidRPr="00C00214" w:rsidRDefault="004C2AEC">
      <w:pPr>
        <w:jc w:val="both"/>
      </w:pPr>
      <w:r w:rsidRPr="00C00214">
        <w:t>The EAL of graphene (</w:t>
      </w:r>
      <w:r w:rsidRPr="00C00214">
        <w:rPr>
          <w:i/>
        </w:rPr>
        <w:t>λ</w:t>
      </w:r>
      <w:r w:rsidRPr="00C00214">
        <w:rPr>
          <w:vertAlign w:val="subscript"/>
        </w:rPr>
        <w:t>EAL</w:t>
      </w:r>
      <w:r w:rsidRPr="00C00214">
        <w:t xml:space="preserve">) was determined from </w:t>
      </w:r>
      <w:r w:rsidRPr="00C00214">
        <w:rPr>
          <w:i/>
        </w:rPr>
        <w:t>f</w:t>
      </w:r>
      <w:r w:rsidRPr="00C00214">
        <w:rPr>
          <w:vertAlign w:val="subscript"/>
        </w:rPr>
        <w:t>Tar</w:t>
      </w:r>
      <w:r w:rsidRPr="00C00214">
        <w:t>(</w:t>
      </w:r>
      <w:r w:rsidRPr="00C00214">
        <w:rPr>
          <w:i/>
        </w:rPr>
        <w:t>G</w:t>
      </w:r>
      <w:r w:rsidRPr="00C00214">
        <w:rPr>
          <w:vertAlign w:val="subscript"/>
        </w:rPr>
        <w:t>n</w:t>
      </w:r>
      <w:r w:rsidRPr="00C00214">
        <w:t>) using the standard relationship of a straight-line approximation [</w:t>
      </w:r>
      <w:r w:rsidRPr="00C00214">
        <w:rPr>
          <w:i/>
        </w:rPr>
        <w:t>22</w:t>
      </w:r>
      <w:r w:rsidRPr="00C00214">
        <w:t>] by</w:t>
      </w:r>
    </w:p>
    <w:p w14:paraId="26AA3C82" w14:textId="77777777" w:rsidR="008C3EE4" w:rsidRPr="00C00214" w:rsidRDefault="004C2AEC">
      <w:pPr>
        <w:pStyle w:val="MTDisplayEquation"/>
      </w:pPr>
      <w:r w:rsidRPr="00C00214">
        <w:tab/>
      </w:r>
      <w:r w:rsidRPr="00C00214">
        <w:rPr>
          <w:position w:val="-14"/>
        </w:rPr>
        <w:object w:dxaOrig="3519" w:dyaOrig="400" w14:anchorId="5EBAEF7D">
          <v:shape id="_x0000_i1032" type="#_x0000_t75" style="width:172pt;height:21.5pt" o:ole="">
            <v:imagedata r:id="rId26" o:title=""/>
          </v:shape>
          <o:OLEObject Type="Embed" ProgID="Equation.DSMT4" ShapeID="_x0000_i1032" DrawAspect="Content" ObjectID="_1646139061" r:id="rId27"/>
        </w:object>
      </w:r>
      <w:r w:rsidRPr="00C00214">
        <w:t xml:space="preserve"> </w:t>
      </w:r>
      <w:r w:rsidRPr="00C00214">
        <w:tab/>
      </w:r>
      <w:r w:rsidRPr="00C00214">
        <w:fldChar w:fldCharType="begin"/>
      </w:r>
      <w:r w:rsidRPr="00C00214">
        <w:instrText xml:space="preserve"> MACROBUTTON MTPlaceRef \* MERGEFORMAT </w:instrText>
      </w:r>
      <w:r w:rsidRPr="00C00214">
        <w:fldChar w:fldCharType="begin"/>
      </w:r>
      <w:r w:rsidRPr="00C00214">
        <w:instrText xml:space="preserve"> SEQ MTEqn \h \* MERGEFORMAT </w:instrText>
      </w:r>
      <w:r w:rsidRPr="00C00214">
        <w:fldChar w:fldCharType="end"/>
      </w:r>
      <w:r w:rsidRPr="00C00214">
        <w:instrText>(</w:instrText>
      </w:r>
      <w:fldSimple w:instr=" SEQ MTEqn \c \* Arabic \* MERGEFORMAT ">
        <w:r w:rsidR="00C95F7D">
          <w:rPr>
            <w:noProof/>
          </w:rPr>
          <w:instrText>7</w:instrText>
        </w:r>
      </w:fldSimple>
      <w:r w:rsidRPr="00C00214">
        <w:instrText>)</w:instrText>
      </w:r>
      <w:r w:rsidRPr="00C00214">
        <w:fldChar w:fldCharType="end"/>
      </w:r>
    </w:p>
    <w:p w14:paraId="6BE00A49" w14:textId="77777777" w:rsidR="008C3EE4" w:rsidRPr="00C00214" w:rsidRDefault="004C2AEC">
      <w:pPr>
        <w:jc w:val="both"/>
      </w:pPr>
      <w:r w:rsidRPr="00C00214">
        <w:t xml:space="preserve">where </w:t>
      </w:r>
      <w:r w:rsidRPr="00C00214">
        <w:rPr>
          <w:i/>
        </w:rPr>
        <w:t>d</w:t>
      </w:r>
      <w:r w:rsidRPr="00C00214">
        <w:rPr>
          <w:vertAlign w:val="subscript"/>
        </w:rPr>
        <w:t>0</w:t>
      </w:r>
      <w:r w:rsidRPr="00C00214">
        <w:t xml:space="preserve"> is the thickness of a graphene layer (3.35 Å) and </w:t>
      </w:r>
      <w:r w:rsidRPr="00C00214">
        <w:rPr>
          <w:i/>
        </w:rPr>
        <w:t>θ</w:t>
      </w:r>
      <w:r w:rsidRPr="00C00214">
        <w:t xml:space="preserve"> is the emission angle. Considering that the expression of D</w:t>
      </w:r>
      <w:r w:rsidRPr="00C00214">
        <w:rPr>
          <w:vertAlign w:val="subscript"/>
        </w:rPr>
        <w:t>39</w:t>
      </w:r>
      <w:r w:rsidRPr="00C00214">
        <w:t>(</w:t>
      </w:r>
      <w:r w:rsidRPr="00C00214">
        <w:rPr>
          <w:i/>
        </w:rPr>
        <w:t>G</w:t>
      </w:r>
      <w:r w:rsidRPr="00C00214">
        <w:rPr>
          <w:vertAlign w:val="subscript"/>
        </w:rPr>
        <w:t>n</w:t>
      </w:r>
      <w:r w:rsidRPr="00C00214">
        <w:t xml:space="preserve">) is </w:t>
      </w:r>
      <w:r w:rsidRPr="00C00214">
        <w:rPr>
          <w:rFonts w:eastAsia="Times New Roman"/>
          <w:position w:val="-32"/>
          <w:lang w:eastAsia="zh-CN"/>
        </w:rPr>
        <w:object w:dxaOrig="1219" w:dyaOrig="740" w14:anchorId="44828685">
          <v:shape id="_x0000_i1033" type="#_x0000_t75" style="width:57pt;height:36pt" o:ole="">
            <v:imagedata r:id="rId28" o:title=""/>
          </v:shape>
          <o:OLEObject Type="Embed" ProgID="Equation.DSMT4" ShapeID="_x0000_i1033" DrawAspect="Content" ObjectID="_1646139062" r:id="rId29"/>
        </w:object>
      </w:r>
      <w:r w:rsidRPr="00C00214">
        <w:t xml:space="preserve"> which could be further approximated to </w:t>
      </w:r>
      <w:r w:rsidRPr="00C00214">
        <w:rPr>
          <w:rFonts w:eastAsia="Times New Roman"/>
          <w:position w:val="-14"/>
        </w:rPr>
        <w:object w:dxaOrig="1520" w:dyaOrig="400" w14:anchorId="5E6F7CAC">
          <v:shape id="_x0000_i1034" type="#_x0000_t75" style="width:79pt;height:21.5pt" o:ole="">
            <v:imagedata r:id="rId30" o:title=""/>
          </v:shape>
          <o:OLEObject Type="Embed" ProgID="Equation.DSMT4" ShapeID="_x0000_i1034" DrawAspect="Content" ObjectID="_1646139063" r:id="rId31"/>
        </w:object>
      </w:r>
      <w:r w:rsidRPr="00C00214">
        <w:t xml:space="preserve"> Eqn. 7 could be updated to </w:t>
      </w:r>
    </w:p>
    <w:p w14:paraId="0CF7822B" w14:textId="77777777" w:rsidR="008C3EE4" w:rsidRPr="00C00214" w:rsidRDefault="004C2AEC">
      <w:pPr>
        <w:pStyle w:val="MTDisplayEquation"/>
      </w:pPr>
      <w:r w:rsidRPr="00C00214">
        <w:tab/>
      </w:r>
      <w:r w:rsidRPr="00C00214">
        <w:rPr>
          <w:position w:val="-14"/>
        </w:rPr>
        <w:object w:dxaOrig="3240" w:dyaOrig="400" w14:anchorId="760EC2F3">
          <v:shape id="_x0000_i1035" type="#_x0000_t75" style="width:165pt;height:21.5pt" o:ole="">
            <v:imagedata r:id="rId32" o:title=""/>
          </v:shape>
          <o:OLEObject Type="Embed" ProgID="Equation.DSMT4" ShapeID="_x0000_i1035" DrawAspect="Content" ObjectID="_1646139064" r:id="rId33"/>
        </w:object>
      </w:r>
      <w:r w:rsidRPr="00C00214">
        <w:t xml:space="preserve"> </w:t>
      </w:r>
      <w:r w:rsidRPr="00C00214">
        <w:tab/>
      </w:r>
      <w:r w:rsidRPr="00C00214">
        <w:fldChar w:fldCharType="begin"/>
      </w:r>
      <w:r w:rsidRPr="00C00214">
        <w:instrText xml:space="preserve"> MACROBUTTON MTPlaceRef \* MERGEFORMAT </w:instrText>
      </w:r>
      <w:r w:rsidRPr="00C00214">
        <w:fldChar w:fldCharType="begin"/>
      </w:r>
      <w:r w:rsidRPr="00C00214">
        <w:instrText xml:space="preserve"> SEQ MTEqn \h \* MERGEFORMAT </w:instrText>
      </w:r>
      <w:r w:rsidRPr="00C00214">
        <w:fldChar w:fldCharType="end"/>
      </w:r>
      <w:r w:rsidRPr="00C00214">
        <w:instrText>(</w:instrText>
      </w:r>
      <w:fldSimple w:instr=" SEQ MTEqn \c \* Arabic \* MERGEFORMAT ">
        <w:r w:rsidR="00C95F7D">
          <w:rPr>
            <w:noProof/>
          </w:rPr>
          <w:instrText>8</w:instrText>
        </w:r>
      </w:fldSimple>
      <w:r w:rsidRPr="00C00214">
        <w:instrText>)</w:instrText>
      </w:r>
      <w:r w:rsidRPr="00C00214">
        <w:fldChar w:fldCharType="end"/>
      </w:r>
    </w:p>
    <w:p w14:paraId="0E49519D" w14:textId="77777777" w:rsidR="008C3EE4" w:rsidRPr="00C00214" w:rsidRDefault="004C2AEC">
      <w:pPr>
        <w:jc w:val="both"/>
      </w:pPr>
      <w:r w:rsidRPr="00C00214">
        <w:t xml:space="preserve">In Eqn. 8, </w:t>
      </w:r>
      <w:r w:rsidRPr="00C00214">
        <w:rPr>
          <w:i/>
        </w:rPr>
        <w:t>λ</w:t>
      </w:r>
      <w:r w:rsidRPr="00C00214">
        <w:rPr>
          <w:vertAlign w:val="subscript"/>
        </w:rPr>
        <w:t>EAL</w:t>
      </w:r>
      <w:r w:rsidRPr="00C00214">
        <w:t xml:space="preserve"> is the ratio of the electron flight length in graphene (</w:t>
      </w:r>
      <w:r w:rsidRPr="00C00214">
        <w:rPr>
          <w:i/>
        </w:rPr>
        <w:t>G</w:t>
      </w:r>
      <w:r w:rsidRPr="00C00214">
        <w:rPr>
          <w:i/>
          <w:vertAlign w:val="subscript"/>
        </w:rPr>
        <w:t>n</w:t>
      </w:r>
      <w:r w:rsidRPr="00C00214">
        <w:rPr>
          <w:i/>
        </w:rPr>
        <w:t>d</w:t>
      </w:r>
      <w:r w:rsidRPr="00C00214">
        <w:rPr>
          <w:vertAlign w:val="subscript"/>
        </w:rPr>
        <w:t>0</w:t>
      </w:r>
      <w:r w:rsidRPr="00C00214">
        <w:t>/cos</w:t>
      </w:r>
      <w:r w:rsidRPr="00C00214">
        <w:rPr>
          <w:i/>
        </w:rPr>
        <w:t>θ</w:t>
      </w:r>
      <w:r w:rsidRPr="00C00214">
        <w:t>) to D</w:t>
      </w:r>
      <w:r w:rsidRPr="00C00214">
        <w:rPr>
          <w:vertAlign w:val="subscript"/>
        </w:rPr>
        <w:t>39</w:t>
      </w:r>
      <w:r w:rsidRPr="00C00214">
        <w:t>(</w:t>
      </w:r>
      <w:r w:rsidRPr="00C00214">
        <w:rPr>
          <w:i/>
        </w:rPr>
        <w:t>G</w:t>
      </w:r>
      <w:r w:rsidRPr="00C00214">
        <w:rPr>
          <w:vertAlign w:val="subscript"/>
        </w:rPr>
        <w:t>n</w:t>
      </w:r>
      <w:r w:rsidRPr="00C00214">
        <w:t>); thereby, in a sense, D</w:t>
      </w:r>
      <w:r w:rsidRPr="00C00214">
        <w:rPr>
          <w:vertAlign w:val="subscript"/>
        </w:rPr>
        <w:t>39</w:t>
      </w:r>
      <w:r w:rsidRPr="00C00214">
        <w:t>(</w:t>
      </w:r>
      <w:r w:rsidRPr="00C00214">
        <w:rPr>
          <w:i/>
        </w:rPr>
        <w:t>G</w:t>
      </w:r>
      <w:r w:rsidRPr="00C00214">
        <w:rPr>
          <w:vertAlign w:val="subscript"/>
        </w:rPr>
        <w:t>n</w:t>
      </w:r>
      <w:r w:rsidRPr="00C00214">
        <w:t xml:space="preserve">) produced completely digitally is an undefined important physical parameter </w:t>
      </w:r>
      <w:r w:rsidRPr="00C00214">
        <w:lastRenderedPageBreak/>
        <w:t xml:space="preserve">related to </w:t>
      </w:r>
      <w:r w:rsidRPr="00C00214">
        <w:rPr>
          <w:i/>
        </w:rPr>
        <w:t>λ</w:t>
      </w:r>
      <w:r w:rsidRPr="00C00214">
        <w:rPr>
          <w:vertAlign w:val="subscript"/>
        </w:rPr>
        <w:t>EAL</w:t>
      </w:r>
      <w:r w:rsidRPr="00C00214">
        <w:t xml:space="preserve">. Furthermore, Eqn. 8 also provides a theoretical basis that supports that </w:t>
      </w:r>
      <w:r w:rsidRPr="00C00214">
        <w:rPr>
          <w:i/>
        </w:rPr>
        <w:t>λ</w:t>
      </w:r>
      <w:r w:rsidRPr="00C00214">
        <w:rPr>
          <w:vertAlign w:val="subscript"/>
        </w:rPr>
        <w:t>EAL</w:t>
      </w:r>
      <w:r w:rsidRPr="00C00214">
        <w:t xml:space="preserve"> is one of the best descriptors to summarize the essential information of a target sample from electron beam-based measurements, even if its definition was created seemingly inadvertently according to several modifications of the definition of attenuation length based on human experience [</w:t>
      </w:r>
      <w:r w:rsidRPr="00C00214">
        <w:rPr>
          <w:i/>
        </w:rPr>
        <w:t>23</w:t>
      </w:r>
      <w:r w:rsidRPr="00C00214">
        <w:t>].</w:t>
      </w:r>
    </w:p>
    <w:p w14:paraId="2DCCAB09" w14:textId="1110D9DB" w:rsidR="008C3EE4" w:rsidRPr="00C00214" w:rsidRDefault="004C2AEC">
      <w:pPr>
        <w:jc w:val="both"/>
      </w:pPr>
      <w:r w:rsidRPr="00C00214">
        <w:t xml:space="preserve">The resulting </w:t>
      </w:r>
      <w:r w:rsidRPr="00C00214">
        <w:rPr>
          <w:i/>
        </w:rPr>
        <w:t>λ</w:t>
      </w:r>
      <w:r w:rsidRPr="00C00214">
        <w:rPr>
          <w:vertAlign w:val="subscript"/>
        </w:rPr>
        <w:t>EAL</w:t>
      </w:r>
      <w:r w:rsidRPr="00C00214">
        <w:t xml:space="preserve"> for both mono- and bilayer graphene are plotted in Fig. </w:t>
      </w:r>
      <w:r w:rsidR="00971062" w:rsidRPr="00C00214">
        <w:t>4</w:t>
      </w:r>
      <w:r w:rsidRPr="00C00214">
        <w:t xml:space="preserve">. At </w:t>
      </w:r>
      <w:r w:rsidRPr="00C00214">
        <w:rPr>
          <w:i/>
        </w:rPr>
        <w:t>E</w:t>
      </w:r>
      <w:r w:rsidRPr="00C00214">
        <w:t xml:space="preserve"> above 150 eV, the </w:t>
      </w:r>
      <w:r w:rsidRPr="00C00214">
        <w:rPr>
          <w:i/>
        </w:rPr>
        <w:t>λ</w:t>
      </w:r>
      <w:r w:rsidRPr="00C00214">
        <w:rPr>
          <w:vertAlign w:val="subscript"/>
        </w:rPr>
        <w:t>EAL</w:t>
      </w:r>
      <w:r w:rsidRPr="00C00214">
        <w:t xml:space="preserve"> values determined for mono- and bilayer graphene are broadly consistent with each other except around the C KVV Auger electron energy range, where the disagreement originates from the different levels of overestimation of </w:t>
      </w:r>
      <w:r w:rsidRPr="00C00214">
        <w:rPr>
          <w:i/>
        </w:rPr>
        <w:t>λ</w:t>
      </w:r>
      <w:r w:rsidRPr="00C00214">
        <w:rPr>
          <w:vertAlign w:val="subscript"/>
        </w:rPr>
        <w:t>EAL</w:t>
      </w:r>
      <w:r w:rsidRPr="00C00214">
        <w:t xml:space="preserve"> caused by the accompanying C KVV Auger electrons in mono- and bilayer graphene. However, at </w:t>
      </w:r>
      <w:r w:rsidRPr="00C00214">
        <w:rPr>
          <w:i/>
        </w:rPr>
        <w:t>E</w:t>
      </w:r>
      <w:r w:rsidRPr="00C00214">
        <w:t xml:space="preserve"> below 150 eV, marked differences between </w:t>
      </w:r>
      <w:r w:rsidRPr="00C00214">
        <w:rPr>
          <w:i/>
        </w:rPr>
        <w:t>λ</w:t>
      </w:r>
      <w:r w:rsidRPr="00C00214">
        <w:rPr>
          <w:vertAlign w:val="subscript"/>
        </w:rPr>
        <w:t>EAL</w:t>
      </w:r>
      <w:r w:rsidRPr="00C00214">
        <w:t xml:space="preserve"> of mono- and bilayer graphene are observed. The </w:t>
      </w:r>
      <w:r w:rsidRPr="00C00214">
        <w:rPr>
          <w:i/>
        </w:rPr>
        <w:t>λ</w:t>
      </w:r>
      <w:r w:rsidRPr="00C00214">
        <w:rPr>
          <w:vertAlign w:val="subscript"/>
        </w:rPr>
        <w:t>EAL</w:t>
      </w:r>
      <w:r w:rsidRPr="00C00214">
        <w:t xml:space="preserve"> values of monolayer graphene are about 20% lower than those of bilayer graphene in the energy range of 10–150 eV. This deviation </w:t>
      </w:r>
      <w:r w:rsidR="001E5115" w:rsidRPr="00C00214">
        <w:t xml:space="preserve">is </w:t>
      </w:r>
      <w:r w:rsidRPr="00C00214">
        <w:t xml:space="preserve">probably </w:t>
      </w:r>
      <w:r w:rsidR="001E5115" w:rsidRPr="00C00214">
        <w:t>the result of</w:t>
      </w:r>
      <w:r w:rsidRPr="00C00214">
        <w:t xml:space="preserve"> </w:t>
      </w:r>
      <w:r w:rsidR="00195976" w:rsidRPr="00C00214">
        <w:t xml:space="preserve">two </w:t>
      </w:r>
      <w:r w:rsidR="00E8113A" w:rsidRPr="00C00214">
        <w:t>factors</w:t>
      </w:r>
      <w:r w:rsidR="00195976" w:rsidRPr="00C00214">
        <w:t xml:space="preserve">. One is the difference </w:t>
      </w:r>
      <w:r w:rsidR="00005D79" w:rsidRPr="00C00214">
        <w:t xml:space="preserve">between </w:t>
      </w:r>
      <w:r w:rsidR="00195976" w:rsidRPr="00C00214">
        <w:t xml:space="preserve">the electronic states in monolayer graphene and bilayer graphene. The other is that the </w:t>
      </w:r>
      <w:r w:rsidRPr="00C00214">
        <w:t xml:space="preserve">accompanying SE contributions excited when the substrate-reflected electrons pass through the graphene layer, which </w:t>
      </w:r>
      <w:bookmarkStart w:id="55" w:name="OLE_LINK24"/>
      <w:r w:rsidRPr="00C00214">
        <w:t xml:space="preserve">can no longer </w:t>
      </w:r>
      <w:bookmarkEnd w:id="55"/>
      <w:r w:rsidRPr="00C00214">
        <w:t xml:space="preserve">be neglected in the case of bilayer graphene. This point can be proved by the comparison of the presented </w:t>
      </w:r>
      <w:r w:rsidRPr="00C00214">
        <w:rPr>
          <w:i/>
        </w:rPr>
        <w:t>λ</w:t>
      </w:r>
      <w:r w:rsidRPr="00C00214">
        <w:rPr>
          <w:vertAlign w:val="subscript"/>
        </w:rPr>
        <w:t>EAL</w:t>
      </w:r>
      <w:r w:rsidRPr="00C00214">
        <w:t xml:space="preserve"> values with other independently measured or calculated </w:t>
      </w:r>
      <w:r w:rsidRPr="00C00214">
        <w:rPr>
          <w:i/>
        </w:rPr>
        <w:t>λ</w:t>
      </w:r>
      <w:r w:rsidRPr="00C00214">
        <w:rPr>
          <w:vertAlign w:val="subscript"/>
        </w:rPr>
        <w:t>EAL</w:t>
      </w:r>
      <w:r w:rsidRPr="00C00214">
        <w:t xml:space="preserve"> values. The </w:t>
      </w:r>
      <w:r w:rsidRPr="00C00214">
        <w:rPr>
          <w:i/>
        </w:rPr>
        <w:t>λ</w:t>
      </w:r>
      <w:r w:rsidRPr="00C00214">
        <w:rPr>
          <w:vertAlign w:val="subscript"/>
        </w:rPr>
        <w:t>EAL</w:t>
      </w:r>
      <w:r w:rsidRPr="00C00214">
        <w:t xml:space="preserve"> values predicted by a newly developed hybrid method </w:t>
      </w:r>
      <w:r w:rsidR="00B221E6" w:rsidRPr="00C00214">
        <w:t xml:space="preserve">(see Appendix C) </w:t>
      </w:r>
      <w:r w:rsidRPr="00C00214">
        <w:t xml:space="preserve">at 50 </w:t>
      </w:r>
      <w:r w:rsidRPr="00C00214">
        <w:rPr>
          <w:rFonts w:eastAsia="Times New Roman"/>
        </w:rPr>
        <w:t xml:space="preserve">eV </w:t>
      </w:r>
      <w:r w:rsidRPr="00C00214">
        <w:t xml:space="preserve">and 100 eV for both mono- and bilayer graphene show excellent agreement with the presented </w:t>
      </w:r>
      <w:r w:rsidRPr="00C00214">
        <w:rPr>
          <w:i/>
        </w:rPr>
        <w:t>λ</w:t>
      </w:r>
      <w:r w:rsidRPr="00C00214">
        <w:rPr>
          <w:vertAlign w:val="subscript"/>
        </w:rPr>
        <w:t>EAL</w:t>
      </w:r>
      <w:r w:rsidR="00B221E6" w:rsidRPr="00C00214">
        <w:t xml:space="preserve"> values for monolayer graphene. </w:t>
      </w:r>
      <w:r w:rsidRPr="00C00214">
        <w:t xml:space="preserve">Furthermore, the </w:t>
      </w:r>
      <w:r w:rsidRPr="00C00214">
        <w:rPr>
          <w:i/>
        </w:rPr>
        <w:t>λ</w:t>
      </w:r>
      <w:r w:rsidRPr="00C00214">
        <w:rPr>
          <w:vertAlign w:val="subscript"/>
        </w:rPr>
        <w:t>EAL</w:t>
      </w:r>
      <w:r w:rsidRPr="00C00214">
        <w:t xml:space="preserve"> values measured </w:t>
      </w:r>
      <w:r w:rsidRPr="00C00214">
        <w:rPr>
          <w:rFonts w:eastAsia="Times New Roman"/>
        </w:rPr>
        <w:t>with</w:t>
      </w:r>
      <w:r w:rsidRPr="00C00214">
        <w:t xml:space="preserve"> the overlayer method using </w:t>
      </w:r>
      <w:r w:rsidRPr="00C00214">
        <w:rPr>
          <w:rFonts w:eastAsia="Times New Roman"/>
        </w:rPr>
        <w:t xml:space="preserve">the </w:t>
      </w:r>
      <w:r w:rsidRPr="00C00214">
        <w:t>AES technique for a graphene/nickel sample at 57 eV (Ni MVV spectra) [</w:t>
      </w:r>
      <w:r w:rsidRPr="00C00214">
        <w:rPr>
          <w:i/>
        </w:rPr>
        <w:t>24</w:t>
      </w:r>
      <w:r w:rsidRPr="00C00214">
        <w:rPr>
          <w:rFonts w:eastAsia="Times New Roman"/>
        </w:rPr>
        <w:t>],</w:t>
      </w:r>
      <w:r w:rsidRPr="00C00214">
        <w:t xml:space="preserve"> for a graphene/silica (SiO</w:t>
      </w:r>
      <w:r w:rsidRPr="00C00214">
        <w:rPr>
          <w:vertAlign w:val="subscript"/>
        </w:rPr>
        <w:t>2</w:t>
      </w:r>
      <w:r w:rsidRPr="00C00214">
        <w:t>) sample at 78 eV (Si LVV spectra) [</w:t>
      </w:r>
      <w:r w:rsidRPr="00C00214">
        <w:rPr>
          <w:i/>
        </w:rPr>
        <w:t>24</w:t>
      </w:r>
      <w:r w:rsidRPr="00C00214">
        <w:t xml:space="preserve">], </w:t>
      </w:r>
      <w:r w:rsidRPr="00C00214">
        <w:rPr>
          <w:rFonts w:eastAsia="Times New Roman"/>
        </w:rPr>
        <w:t>and</w:t>
      </w:r>
      <w:r w:rsidRPr="00C00214">
        <w:t xml:space="preserve"> for a graphene/buffer layer/SiC sample at 48 eV, 228 eV, 298 eV and 498 eV (</w:t>
      </w:r>
      <w:bookmarkStart w:id="56" w:name="OLE_LINK12"/>
      <w:bookmarkStart w:id="57" w:name="OLE_LINK13"/>
      <w:r w:rsidRPr="00C00214">
        <w:t>Si 2p spectra</w:t>
      </w:r>
      <w:bookmarkEnd w:id="56"/>
      <w:bookmarkEnd w:id="57"/>
      <w:r w:rsidRPr="00C00214">
        <w:t>) [</w:t>
      </w:r>
      <w:r w:rsidRPr="00C00214">
        <w:rPr>
          <w:i/>
        </w:rPr>
        <w:t>25</w:t>
      </w:r>
      <w:r w:rsidRPr="00C00214">
        <w:t xml:space="preserve">], </w:t>
      </w:r>
      <w:r w:rsidRPr="00C00214">
        <w:rPr>
          <w:rFonts w:eastAsia="Times New Roman"/>
        </w:rPr>
        <w:t xml:space="preserve">measured using synchrotron photoelectron spectroscopy, </w:t>
      </w:r>
      <w:r w:rsidRPr="00C00214">
        <w:t xml:space="preserve">also agree well with the presented </w:t>
      </w:r>
      <w:r w:rsidRPr="00C00214">
        <w:rPr>
          <w:i/>
        </w:rPr>
        <w:t>λ</w:t>
      </w:r>
      <w:r w:rsidRPr="00C00214">
        <w:rPr>
          <w:vertAlign w:val="subscript"/>
        </w:rPr>
        <w:t>EAL</w:t>
      </w:r>
      <w:r w:rsidRPr="00C00214">
        <w:t xml:space="preserve"> values, particularly for monolayer graphene </w:t>
      </w:r>
      <w:r w:rsidRPr="00C00214">
        <w:lastRenderedPageBreak/>
        <w:t xml:space="preserve">at </w:t>
      </w:r>
      <w:r w:rsidRPr="00C00214">
        <w:rPr>
          <w:i/>
        </w:rPr>
        <w:t>E</w:t>
      </w:r>
      <w:r w:rsidRPr="00C00214">
        <w:t xml:space="preserve"> below 100 eV. </w:t>
      </w:r>
      <w:r w:rsidR="001A6E85" w:rsidRPr="00C00214">
        <w:t xml:space="preserve">We present the details in Appendix D. </w:t>
      </w:r>
      <w:r w:rsidRPr="00C00214">
        <w:t xml:space="preserve">Considering the excellent agreement between the presented </w:t>
      </w:r>
      <w:r w:rsidRPr="00C00214">
        <w:rPr>
          <w:i/>
        </w:rPr>
        <w:t>λ</w:t>
      </w:r>
      <w:r w:rsidRPr="00C00214">
        <w:rPr>
          <w:vertAlign w:val="subscript"/>
        </w:rPr>
        <w:t>EAL</w:t>
      </w:r>
      <w:r w:rsidRPr="00C00214">
        <w:t xml:space="preserve"> values for both mono- and bilayer graphene with those measured by AES at 503 eV (O KLL spectra) for a graphene/SiO</w:t>
      </w:r>
      <w:r w:rsidRPr="00C00214">
        <w:rPr>
          <w:vertAlign w:val="subscript"/>
        </w:rPr>
        <w:t>2</w:t>
      </w:r>
      <w:r w:rsidRPr="00C00214">
        <w:t xml:space="preserve"> sample, the present </w:t>
      </w:r>
      <w:r w:rsidRPr="00C00214">
        <w:rPr>
          <w:i/>
        </w:rPr>
        <w:t>λ</w:t>
      </w:r>
      <w:r w:rsidRPr="00C00214">
        <w:rPr>
          <w:vertAlign w:val="subscript"/>
        </w:rPr>
        <w:t>EAL</w:t>
      </w:r>
      <w:r w:rsidRPr="00C00214">
        <w:t xml:space="preserve"> data for monolayer graphene should be recognized as reliable, at least in the energy range of 50–600 eV. </w:t>
      </w:r>
    </w:p>
    <w:p w14:paraId="1FCA3830" w14:textId="636AD16D" w:rsidR="008C3EE4" w:rsidRPr="00C00214" w:rsidRDefault="004C2AEC">
      <w:pPr>
        <w:jc w:val="both"/>
      </w:pPr>
      <w:bookmarkStart w:id="58" w:name="OLE_LINK17"/>
      <w:r w:rsidRPr="00C00214">
        <w:t>Some principle descriptors can even be further exploited using conventional spectral analysis approaches. Here, the reverse Monte Carlo (RMC) technique [</w:t>
      </w:r>
      <w:r w:rsidRPr="00C00214">
        <w:rPr>
          <w:i/>
        </w:rPr>
        <w:t>26</w:t>
      </w:r>
      <w:r w:rsidR="00C3782F" w:rsidRPr="00C00214">
        <w:t xml:space="preserve">] </w:t>
      </w:r>
      <w:r w:rsidRPr="00C00214">
        <w:t>was used to extract the IMFP of monolayer graphene (</w:t>
      </w:r>
      <w:r w:rsidRPr="00C00214">
        <w:rPr>
          <w:i/>
        </w:rPr>
        <w:t>λ</w:t>
      </w:r>
      <w:r w:rsidRPr="00C00214">
        <w:rPr>
          <w:vertAlign w:val="subscript"/>
        </w:rPr>
        <w:t>IMFP</w:t>
      </w:r>
      <w:r w:rsidRPr="00C00214">
        <w:t>) from D</w:t>
      </w:r>
      <w:r w:rsidRPr="00C00214">
        <w:rPr>
          <w:vertAlign w:val="subscript"/>
        </w:rPr>
        <w:t>23</w:t>
      </w:r>
      <w:r w:rsidRPr="00C00214">
        <w:t>(</w:t>
      </w:r>
      <w:r w:rsidRPr="00C00214">
        <w:rPr>
          <w:i/>
        </w:rPr>
        <w:t>G</w:t>
      </w:r>
      <w:r w:rsidRPr="00C00214">
        <w:rPr>
          <w:vertAlign w:val="subscript"/>
        </w:rPr>
        <w:t>n</w:t>
      </w:r>
      <w:r w:rsidRPr="00C00214">
        <w:t>).</w:t>
      </w:r>
      <w:bookmarkEnd w:id="58"/>
      <w:r w:rsidRPr="00C00214">
        <w:t xml:space="preserve"> </w:t>
      </w:r>
      <w:r w:rsidR="00B221E6" w:rsidRPr="00C00214">
        <w:t xml:space="preserve">The details can be found in </w:t>
      </w:r>
      <w:bookmarkStart w:id="59" w:name="_GoBack"/>
      <w:r w:rsidR="00B221E6" w:rsidRPr="00C00214">
        <w:t>Append</w:t>
      </w:r>
      <w:bookmarkEnd w:id="59"/>
      <w:r w:rsidR="00B221E6" w:rsidRPr="00C00214">
        <w:t xml:space="preserve">ix E. </w:t>
      </w:r>
      <w:r w:rsidRPr="00C00214">
        <w:t xml:space="preserve">The resulting </w:t>
      </w:r>
      <w:r w:rsidRPr="00C00214">
        <w:rPr>
          <w:i/>
        </w:rPr>
        <w:t>λ</w:t>
      </w:r>
      <w:r w:rsidRPr="00C00214">
        <w:rPr>
          <w:vertAlign w:val="subscript"/>
        </w:rPr>
        <w:t>IMFP</w:t>
      </w:r>
      <w:r w:rsidRPr="00C00214">
        <w:t xml:space="preserve"> values averaged for the three different incident energies are plotted in Fig. </w:t>
      </w:r>
      <w:r w:rsidR="00971062" w:rsidRPr="00C00214">
        <w:t>5</w:t>
      </w:r>
      <w:r w:rsidRPr="00C00214">
        <w:t xml:space="preserve">. For comparison, we also included the </w:t>
      </w:r>
      <w:r w:rsidRPr="00C00214">
        <w:rPr>
          <w:i/>
        </w:rPr>
        <w:t>λ</w:t>
      </w:r>
      <w:r w:rsidRPr="00C00214">
        <w:rPr>
          <w:vertAlign w:val="subscript"/>
        </w:rPr>
        <w:t>IMFP</w:t>
      </w:r>
      <w:r w:rsidRPr="00C00214">
        <w:t xml:space="preserve"> values for bulk graphite obtained experimentally by EPES [</w:t>
      </w:r>
      <w:r w:rsidRPr="00C00214">
        <w:rPr>
          <w:i/>
        </w:rPr>
        <w:t>11</w:t>
      </w:r>
      <w:r w:rsidRPr="00C00214">
        <w:t>] and for both bulk graphite and graphene calculated theoretically by the extended Mermin (EM) method [</w:t>
      </w:r>
      <w:r w:rsidRPr="00C00214">
        <w:rPr>
          <w:i/>
        </w:rPr>
        <w:t>27</w:t>
      </w:r>
      <w:r w:rsidRPr="00C00214">
        <w:t xml:space="preserve">]. As illustrated in Fig. </w:t>
      </w:r>
      <w:r w:rsidR="00971062" w:rsidRPr="00C00214">
        <w:t>5</w:t>
      </w:r>
      <w:r w:rsidRPr="00C00214">
        <w:t xml:space="preserve">, the presented </w:t>
      </w:r>
      <w:r w:rsidRPr="00C00214">
        <w:rPr>
          <w:i/>
        </w:rPr>
        <w:t>λ</w:t>
      </w:r>
      <w:r w:rsidRPr="00C00214">
        <w:rPr>
          <w:vertAlign w:val="subscript"/>
        </w:rPr>
        <w:t>IMFP</w:t>
      </w:r>
      <w:r w:rsidRPr="00C00214">
        <w:t xml:space="preserve"> values of monolayer graphene agreed well with the data calculated by the EM method </w:t>
      </w:r>
      <w:bookmarkStart w:id="60" w:name="OLE_LINK41"/>
      <w:r w:rsidRPr="00C00214">
        <w:t>except for at the C KVV Auger electron energy</w:t>
      </w:r>
      <w:bookmarkEnd w:id="60"/>
      <w:r w:rsidRPr="00C00214">
        <w:t xml:space="preserve">. It is obvious that the </w:t>
      </w:r>
      <w:r w:rsidRPr="00C00214">
        <w:rPr>
          <w:i/>
        </w:rPr>
        <w:t>λ</w:t>
      </w:r>
      <w:r w:rsidRPr="00C00214">
        <w:rPr>
          <w:vertAlign w:val="subscript"/>
        </w:rPr>
        <w:t>IMFP</w:t>
      </w:r>
      <w:r w:rsidRPr="00C00214">
        <w:t xml:space="preserve"> values of monolayer graphene are much higher than those of bulk graphite. We also included the </w:t>
      </w:r>
      <w:r w:rsidRPr="00C00214">
        <w:rPr>
          <w:i/>
        </w:rPr>
        <w:t>λ</w:t>
      </w:r>
      <w:r w:rsidRPr="00C00214">
        <w:rPr>
          <w:vertAlign w:val="subscript"/>
        </w:rPr>
        <w:t>IMFP</w:t>
      </w:r>
      <w:r w:rsidRPr="00C00214">
        <w:t xml:space="preserve"> values of a fictitious graphite surface in Fig. </w:t>
      </w:r>
      <w:r w:rsidR="00BE4BE0" w:rsidRPr="00C00214">
        <w:t>5</w:t>
      </w:r>
      <w:r w:rsidRPr="00C00214">
        <w:t xml:space="preserve"> in addition to those of bulk graphite</w:t>
      </w:r>
      <w:r w:rsidR="007642C0" w:rsidRPr="00C00214">
        <w:t xml:space="preserve">, </w:t>
      </w:r>
      <w:r w:rsidR="00227969" w:rsidRPr="00C00214">
        <w:t>which is roughly estimated from the dielectric response of an individual graphite surface by means of the surface energy loss function Im{−1/</w:t>
      </w:r>
      <w:r w:rsidR="00227969" w:rsidRPr="00C00214">
        <w:rPr>
          <w:i/>
        </w:rPr>
        <w:t>ε</w:t>
      </w:r>
      <w:r w:rsidR="00227969" w:rsidRPr="00C00214">
        <w:t>+1} [</w:t>
      </w:r>
      <w:r w:rsidR="006E560F" w:rsidRPr="00C00214">
        <w:rPr>
          <w:i/>
        </w:rPr>
        <w:t>28</w:t>
      </w:r>
      <w:r w:rsidR="00227969" w:rsidRPr="00C00214">
        <w:t>], where ε is the bulk dielectric function of graphite [</w:t>
      </w:r>
      <w:r w:rsidR="006E560F" w:rsidRPr="00C00214">
        <w:rPr>
          <w:i/>
        </w:rPr>
        <w:t>29</w:t>
      </w:r>
      <w:r w:rsidR="00227969" w:rsidRPr="00C00214">
        <w:t>].</w:t>
      </w:r>
      <w:r w:rsidR="00660623" w:rsidRPr="00C00214">
        <w:t xml:space="preserve"> </w:t>
      </w:r>
      <w:r w:rsidRPr="00C00214">
        <w:t xml:space="preserve">It is not surprising that the presented </w:t>
      </w:r>
      <w:r w:rsidRPr="00C00214">
        <w:rPr>
          <w:i/>
        </w:rPr>
        <w:t>λ</w:t>
      </w:r>
      <w:r w:rsidRPr="00C00214">
        <w:rPr>
          <w:vertAlign w:val="subscript"/>
        </w:rPr>
        <w:t>IMFP</w:t>
      </w:r>
      <w:r w:rsidRPr="00C00214">
        <w:t xml:space="preserve"> values of monolayer graphene are somewhere between those of bulk graphite and the fictitious graphite surface. This implies that an inherent property of any nanomaterial is that their character is strongly affected by the associated surface.</w:t>
      </w:r>
    </w:p>
    <w:p w14:paraId="2BDA3A98" w14:textId="4B66D599" w:rsidR="008C3EE4" w:rsidRPr="00C00214" w:rsidRDefault="001C6150" w:rsidP="006E560F">
      <w:pPr>
        <w:jc w:val="center"/>
        <w:rPr>
          <w:b/>
        </w:rPr>
      </w:pPr>
      <w:r w:rsidRPr="00C00214">
        <w:rPr>
          <w:b/>
        </w:rPr>
        <w:t>3.2</w:t>
      </w:r>
      <w:r w:rsidR="009E1C37" w:rsidRPr="00C00214">
        <w:rPr>
          <w:b/>
        </w:rPr>
        <w:t xml:space="preserve">. </w:t>
      </w:r>
      <w:r w:rsidR="004C2AEC" w:rsidRPr="00C00214">
        <w:rPr>
          <w:b/>
        </w:rPr>
        <w:t xml:space="preserve">Low-energy </w:t>
      </w:r>
      <w:bookmarkStart w:id="61" w:name="OLE_LINK43"/>
      <w:r w:rsidR="004C2AEC" w:rsidRPr="00C00214">
        <w:rPr>
          <w:b/>
        </w:rPr>
        <w:t>electron transmissivity</w:t>
      </w:r>
      <w:bookmarkEnd w:id="61"/>
    </w:p>
    <w:p w14:paraId="6E0692B0" w14:textId="72C4DE79" w:rsidR="008C3EE4" w:rsidRPr="00C00214" w:rsidRDefault="004C2AEC">
      <w:pPr>
        <w:jc w:val="both"/>
      </w:pPr>
      <w:r w:rsidRPr="00C00214">
        <w:t xml:space="preserve">The presented data-driven analysis was performed </w:t>
      </w:r>
      <w:r w:rsidRPr="00C00214">
        <w:rPr>
          <w:rFonts w:eastAsia="Times New Roman"/>
        </w:rPr>
        <w:t>again for</w:t>
      </w:r>
      <w:r w:rsidRPr="00C00214">
        <w:t xml:space="preserve"> the energy range 0–50 eV</w:t>
      </w:r>
      <w:r w:rsidRPr="00C00214">
        <w:rPr>
          <w:rFonts w:eastAsia="Times New Roman"/>
        </w:rPr>
        <w:t>,</w:t>
      </w:r>
      <w:r w:rsidRPr="00C00214">
        <w:t xml:space="preserve"> using the </w:t>
      </w:r>
      <w:r w:rsidR="00B221E6" w:rsidRPr="00C00214">
        <w:t xml:space="preserve">corresponding </w:t>
      </w:r>
      <w:r w:rsidRPr="00C00214">
        <w:t xml:space="preserve">SE spectra </w:t>
      </w:r>
      <w:r w:rsidR="00B221E6" w:rsidRPr="00C00214">
        <w:t xml:space="preserve">included in Appendix A </w:t>
      </w:r>
      <w:r w:rsidRPr="00C00214">
        <w:t>to provide fine structure</w:t>
      </w:r>
      <w:r w:rsidRPr="00C00214">
        <w:rPr>
          <w:rFonts w:eastAsia="Times New Roman"/>
        </w:rPr>
        <w:t xml:space="preserve"> information</w:t>
      </w:r>
      <w:r w:rsidRPr="00C00214">
        <w:t xml:space="preserve">. The </w:t>
      </w:r>
      <w:r w:rsidRPr="00C00214">
        <w:lastRenderedPageBreak/>
        <w:t>resulting D</w:t>
      </w:r>
      <w:r w:rsidRPr="00C00214">
        <w:rPr>
          <w:vertAlign w:val="subscript"/>
        </w:rPr>
        <w:t>23</w:t>
      </w:r>
      <w:r w:rsidRPr="00C00214">
        <w:t>(</w:t>
      </w:r>
      <w:r w:rsidRPr="00C00214">
        <w:rPr>
          <w:i/>
        </w:rPr>
        <w:t>G</w:t>
      </w:r>
      <w:r w:rsidRPr="00C00214">
        <w:rPr>
          <w:vertAlign w:val="subscript"/>
        </w:rPr>
        <w:t>1</w:t>
      </w:r>
      <w:r w:rsidRPr="00C00214">
        <w:t>), i.e</w:t>
      </w:r>
      <w:r w:rsidRPr="00C00214">
        <w:rPr>
          <w:rFonts w:eastAsia="Times New Roman"/>
        </w:rPr>
        <w:t>.,</w:t>
      </w:r>
      <w:r w:rsidRPr="00C00214">
        <w:t xml:space="preserve"> elastic electron </w:t>
      </w:r>
      <w:bookmarkStart w:id="62" w:name="OLE_LINK101"/>
      <w:r w:rsidRPr="00C00214">
        <w:t xml:space="preserve">transmission </w:t>
      </w:r>
      <w:bookmarkEnd w:id="62"/>
      <w:r w:rsidRPr="00C00214">
        <w:t>of monolayer graphene</w:t>
      </w:r>
      <w:r w:rsidRPr="00C00214">
        <w:rPr>
          <w:rFonts w:eastAsia="Times New Roman"/>
        </w:rPr>
        <w:t>,</w:t>
      </w:r>
      <w:r w:rsidRPr="00C00214">
        <w:t xml:space="preserve"> are plotted in Fig. </w:t>
      </w:r>
      <w:r w:rsidR="00971062" w:rsidRPr="00C00214">
        <w:t>6</w:t>
      </w:r>
      <w:r w:rsidRPr="00C00214">
        <w:t>a</w:t>
      </w:r>
      <w:r w:rsidRPr="00C00214">
        <w:rPr>
          <w:rFonts w:eastAsia="Times New Roman"/>
        </w:rPr>
        <w:t>. They</w:t>
      </w:r>
      <w:bookmarkStart w:id="63" w:name="OLE_LINK11"/>
      <w:r w:rsidRPr="00C00214">
        <w:t xml:space="preserve"> approximate </w:t>
      </w:r>
      <w:bookmarkEnd w:id="63"/>
      <w:r w:rsidRPr="00C00214">
        <w:t xml:space="preserve">transmission because the electrons are </w:t>
      </w:r>
      <w:r w:rsidRPr="00C00214">
        <w:rPr>
          <w:rFonts w:eastAsia="Times New Roman"/>
        </w:rPr>
        <w:t>not significantly</w:t>
      </w:r>
      <w:r w:rsidRPr="00C00214">
        <w:t xml:space="preserve"> inelastically scattered in </w:t>
      </w:r>
      <w:r w:rsidRPr="00C00214">
        <w:rPr>
          <w:rFonts w:eastAsia="Times New Roman"/>
        </w:rPr>
        <w:t xml:space="preserve">the </w:t>
      </w:r>
      <w:r w:rsidRPr="00C00214">
        <w:t xml:space="preserve">graphene layer </w:t>
      </w:r>
      <w:r w:rsidRPr="00C00214">
        <w:rPr>
          <w:rFonts w:eastAsia="Times New Roman"/>
        </w:rPr>
        <w:t>at this</w:t>
      </w:r>
      <w:r w:rsidRPr="00C00214">
        <w:t xml:space="preserve"> low energy range. </w:t>
      </w:r>
    </w:p>
    <w:p w14:paraId="0D364FFE" w14:textId="29647CE3" w:rsidR="008C3EE4" w:rsidRPr="00C00214" w:rsidRDefault="004C2AEC">
      <w:pPr>
        <w:jc w:val="both"/>
      </w:pPr>
      <w:r w:rsidRPr="00C00214">
        <w:t>In the transmission data,</w:t>
      </w:r>
      <w:r w:rsidRPr="00C00214">
        <w:rPr>
          <w:rFonts w:eastAsia="Times New Roman"/>
        </w:rPr>
        <w:t xml:space="preserve"> there were</w:t>
      </w:r>
      <w:r w:rsidRPr="00C00214">
        <w:t xml:space="preserve"> significant fluctuations </w:t>
      </w:r>
      <w:r w:rsidRPr="00C00214">
        <w:rPr>
          <w:rFonts w:eastAsia="Times New Roman"/>
        </w:rPr>
        <w:t>in</w:t>
      </w:r>
      <w:r w:rsidRPr="00C00214">
        <w:t xml:space="preserve"> electron energy that were mainly attributed</w:t>
      </w:r>
      <w:r w:rsidRPr="00C00214">
        <w:rPr>
          <w:rFonts w:eastAsia="Times New Roman"/>
        </w:rPr>
        <w:t xml:space="preserve"> </w:t>
      </w:r>
      <w:r w:rsidRPr="00C00214">
        <w:t xml:space="preserve">to the diffraction of the crystal potential at certain energies. These fluctuations become weaker with increasing electron energy because the electrons are elastically scattered to a lesser extent by the potential change at higher energies. Over the whole energy range, three significant high-transmission peaks at </w:t>
      </w:r>
      <w:r w:rsidRPr="00C00214">
        <w:rPr>
          <w:i/>
        </w:rPr>
        <w:t>E</w:t>
      </w:r>
      <w:r w:rsidRPr="00C00214">
        <w:t xml:space="preserve"> = 0</w:t>
      </w:r>
      <w:r w:rsidRPr="00C00214">
        <w:rPr>
          <w:rFonts w:eastAsia="Times New Roman"/>
        </w:rPr>
        <w:t>–</w:t>
      </w:r>
      <w:r w:rsidRPr="00C00214">
        <w:t xml:space="preserve">10 eV, </w:t>
      </w:r>
      <w:r w:rsidRPr="00C00214">
        <w:rPr>
          <w:i/>
        </w:rPr>
        <w:t>E</w:t>
      </w:r>
      <w:r w:rsidRPr="00C00214">
        <w:t xml:space="preserve"> = 14</w:t>
      </w:r>
      <w:r w:rsidRPr="00C00214">
        <w:rPr>
          <w:rFonts w:eastAsia="Times New Roman"/>
        </w:rPr>
        <w:t>–</w:t>
      </w:r>
      <w:r w:rsidRPr="00C00214">
        <w:t xml:space="preserve">22 eV, and </w:t>
      </w:r>
      <w:r w:rsidRPr="00C00214">
        <w:rPr>
          <w:i/>
        </w:rPr>
        <w:t>E</w:t>
      </w:r>
      <w:r w:rsidRPr="00C00214">
        <w:t xml:space="preserve"> = 28</w:t>
      </w:r>
      <w:r w:rsidRPr="00C00214">
        <w:rPr>
          <w:rFonts w:eastAsia="Times New Roman"/>
        </w:rPr>
        <w:t>–</w:t>
      </w:r>
      <w:r w:rsidRPr="00C00214">
        <w:t>34 eV (</w:t>
      </w:r>
      <w:r w:rsidRPr="00C00214">
        <w:rPr>
          <w:lang w:eastAsia="zh-CN"/>
        </w:rPr>
        <w:t>highlighted by red arrows</w:t>
      </w:r>
      <w:r w:rsidRPr="00C00214">
        <w:t xml:space="preserve">) can be identified. In graphene, these peaks are often </w:t>
      </w:r>
      <w:bookmarkStart w:id="64" w:name="OLE_LINK52"/>
      <w:bookmarkStart w:id="65" w:name="OLE_LINK60"/>
      <w:r w:rsidRPr="00C00214">
        <w:t xml:space="preserve">low-reflectivity valleys </w:t>
      </w:r>
      <w:bookmarkEnd w:id="64"/>
      <w:bookmarkEnd w:id="65"/>
      <w:r w:rsidRPr="00C00214">
        <w:t>in low-energy electron microscopy (LEEM) [</w:t>
      </w:r>
      <w:r w:rsidR="006E560F" w:rsidRPr="00C00214">
        <w:rPr>
          <w:i/>
        </w:rPr>
        <w:t>30</w:t>
      </w:r>
      <w:r w:rsidRPr="00C00214">
        <w:t>,</w:t>
      </w:r>
      <w:r w:rsidR="006E560F" w:rsidRPr="00C00214">
        <w:rPr>
          <w:i/>
        </w:rPr>
        <w:t>31</w:t>
      </w:r>
      <w:r w:rsidRPr="00C00214">
        <w:t xml:space="preserve">]. For comparison, the transmission of monolayer graphene </w:t>
      </w:r>
      <w:r w:rsidRPr="00C00214">
        <w:rPr>
          <w:rFonts w:eastAsia="Times New Roman"/>
        </w:rPr>
        <w:t xml:space="preserve">that was </w:t>
      </w:r>
      <w:r w:rsidRPr="00C00214">
        <w:t>roughly estimated by LEEM of graphene on a SiC substrate [</w:t>
      </w:r>
      <w:r w:rsidR="006E560F" w:rsidRPr="00C00214">
        <w:rPr>
          <w:i/>
        </w:rPr>
        <w:t>30</w:t>
      </w:r>
      <w:r w:rsidRPr="00C00214">
        <w:t xml:space="preserve">] are plotted in Fig. </w:t>
      </w:r>
      <w:r w:rsidR="00971062" w:rsidRPr="00C00214">
        <w:t>6</w:t>
      </w:r>
      <w:r w:rsidRPr="00C00214">
        <w:t xml:space="preserve">b. </w:t>
      </w:r>
      <w:r w:rsidRPr="00C00214">
        <w:rPr>
          <w:rFonts w:eastAsia="Times New Roman"/>
        </w:rPr>
        <w:t>The</w:t>
      </w:r>
      <w:r w:rsidRPr="00C00214">
        <w:t xml:space="preserve"> two data </w:t>
      </w:r>
      <w:r w:rsidRPr="00C00214">
        <w:rPr>
          <w:rFonts w:eastAsia="Times New Roman"/>
        </w:rPr>
        <w:t>sets are</w:t>
      </w:r>
      <w:r w:rsidRPr="00C00214">
        <w:t xml:space="preserve"> similar </w:t>
      </w:r>
      <w:r w:rsidRPr="00C00214">
        <w:rPr>
          <w:rFonts w:eastAsia="Times New Roman"/>
        </w:rPr>
        <w:t>with respect to</w:t>
      </w:r>
      <w:r w:rsidRPr="00C00214">
        <w:t xml:space="preserve"> the electron energy, especially over 10</w:t>
      </w:r>
      <w:r w:rsidRPr="00C00214">
        <w:rPr>
          <w:rFonts w:eastAsia="Times New Roman"/>
        </w:rPr>
        <w:t>–</w:t>
      </w:r>
      <w:r w:rsidRPr="00C00214">
        <w:t>50 eV, where consistent</w:t>
      </w:r>
      <w:r w:rsidRPr="00C00214">
        <w:rPr>
          <w:rFonts w:eastAsia="Times New Roman"/>
        </w:rPr>
        <w:t>ly</w:t>
      </w:r>
      <w:r w:rsidRPr="00C00214">
        <w:t xml:space="preserve"> high-transmission peaks can be observed. To further investigate these peaks, an electronic band structure of graphene in the Γ−A direction </w:t>
      </w:r>
      <w:r w:rsidRPr="00C00214">
        <w:rPr>
          <w:rFonts w:eastAsia="Times New Roman"/>
        </w:rPr>
        <w:t>was</w:t>
      </w:r>
      <w:r w:rsidRPr="00C00214">
        <w:t xml:space="preserve"> calculated </w:t>
      </w:r>
      <w:r w:rsidRPr="00C00214">
        <w:rPr>
          <w:rFonts w:eastAsia="Times New Roman"/>
        </w:rPr>
        <w:t>via the</w:t>
      </w:r>
      <w:r w:rsidRPr="00C00214">
        <w:t xml:space="preserve"> “graphene pseudo-crystal” [</w:t>
      </w:r>
      <w:r w:rsidR="006E560F" w:rsidRPr="00C00214">
        <w:rPr>
          <w:i/>
        </w:rPr>
        <w:t>32</w:t>
      </w:r>
      <w:r w:rsidRPr="00C00214">
        <w:t xml:space="preserve">] </w:t>
      </w:r>
      <w:r w:rsidRPr="00C00214">
        <w:rPr>
          <w:rFonts w:eastAsia="Times New Roman"/>
        </w:rPr>
        <w:t xml:space="preserve">first-principles method. </w:t>
      </w:r>
      <w:r w:rsidR="00BE4BE0" w:rsidRPr="00C00214">
        <w:rPr>
          <w:rFonts w:eastAsia="Times New Roman"/>
        </w:rPr>
        <w:t xml:space="preserve">The details of first-principles calculations are presented in Appendix G. </w:t>
      </w:r>
      <w:r w:rsidRPr="00C00214">
        <w:rPr>
          <w:rFonts w:eastAsia="Times New Roman"/>
        </w:rPr>
        <w:t xml:space="preserve">The graphene </w:t>
      </w:r>
      <w:r w:rsidRPr="00C00214">
        <w:t>interlayer distance was set to 6 Å</w:t>
      </w:r>
      <w:r w:rsidRPr="00C00214">
        <w:rPr>
          <w:rFonts w:eastAsia="Times New Roman"/>
        </w:rPr>
        <w:t>,</w:t>
      </w:r>
      <w:r w:rsidRPr="00C00214">
        <w:t xml:space="preserve"> rather than </w:t>
      </w:r>
      <w:r w:rsidRPr="00C00214">
        <w:rPr>
          <w:rFonts w:eastAsia="Times New Roman"/>
        </w:rPr>
        <w:t xml:space="preserve">the </w:t>
      </w:r>
      <w:r w:rsidRPr="00C00214">
        <w:t>3.35</w:t>
      </w:r>
      <w:r w:rsidRPr="00C00214">
        <w:rPr>
          <w:rFonts w:eastAsia="Times New Roman"/>
        </w:rPr>
        <w:t>-</w:t>
      </w:r>
      <w:r w:rsidRPr="00C00214">
        <w:t xml:space="preserve">Å </w:t>
      </w:r>
      <w:r w:rsidRPr="00C00214">
        <w:rPr>
          <w:rFonts w:eastAsia="Times New Roman"/>
        </w:rPr>
        <w:t xml:space="preserve">interlayer distance </w:t>
      </w:r>
      <w:r w:rsidRPr="00C00214">
        <w:t>in graphite</w:t>
      </w:r>
      <w:r w:rsidRPr="00C00214">
        <w:rPr>
          <w:rFonts w:eastAsia="Times New Roman"/>
        </w:rPr>
        <w:t>,</w:t>
      </w:r>
      <w:r w:rsidRPr="00C00214">
        <w:t xml:space="preserve"> and plotted in Fig. </w:t>
      </w:r>
      <w:r w:rsidR="00971062" w:rsidRPr="00C00214">
        <w:t>6</w:t>
      </w:r>
      <w:r w:rsidRPr="00C00214">
        <w:t xml:space="preserve">c. The </w:t>
      </w:r>
      <w:r w:rsidRPr="00C00214">
        <w:rPr>
          <w:lang w:eastAsia="zh-CN"/>
        </w:rPr>
        <w:t>peaks observed in both the presented transmission data and from LEEM perfectly correspond to dispersive bands at the same energies over the whole range, except for the 0</w:t>
      </w:r>
      <w:r w:rsidRPr="00C00214">
        <w:rPr>
          <w:rFonts w:eastAsia="Times New Roman"/>
        </w:rPr>
        <w:t>–</w:t>
      </w:r>
      <w:r w:rsidRPr="00C00214">
        <w:rPr>
          <w:lang w:eastAsia="zh-CN"/>
        </w:rPr>
        <w:t xml:space="preserve">5 eV range. At the low energies, deviations between transmission data and the bulk graphite band structure derive from graphene-substrate interactions. </w:t>
      </w:r>
      <w:bookmarkStart w:id="66" w:name="OLE_LINK73"/>
      <w:bookmarkStart w:id="67" w:name="OLE_LINK69"/>
      <w:bookmarkStart w:id="68" w:name="OLE_LINK72"/>
      <w:r w:rsidRPr="00C00214">
        <w:rPr>
          <w:lang w:eastAsia="zh-CN"/>
        </w:rPr>
        <w:t>Nevertheless, the results reveal</w:t>
      </w:r>
      <w:bookmarkEnd w:id="66"/>
      <w:bookmarkEnd w:id="67"/>
      <w:bookmarkEnd w:id="68"/>
      <w:r w:rsidRPr="00C00214">
        <w:rPr>
          <w:lang w:eastAsia="zh-CN"/>
        </w:rPr>
        <w:t xml:space="preserve"> that electrons at appropriate energies can couple to the allowed states and have larger transmission probabilities through graphene. </w:t>
      </w:r>
    </w:p>
    <w:p w14:paraId="77A78608" w14:textId="263BF312" w:rsidR="008C3EE4" w:rsidRPr="00C00214" w:rsidRDefault="004C2AEC">
      <w:pPr>
        <w:jc w:val="both"/>
        <w:rPr>
          <w:rFonts w:eastAsia="Times New Roman"/>
        </w:rPr>
      </w:pPr>
      <w:r w:rsidRPr="00C00214">
        <w:rPr>
          <w:lang w:eastAsia="zh-CN"/>
        </w:rPr>
        <w:lastRenderedPageBreak/>
        <w:t>To investigate the contribution of graphene-Au interactions in the presented transmission data, the intensities were compared with those from a suspended graphene sample.</w:t>
      </w:r>
      <w:r w:rsidRPr="00C00214">
        <w:rPr>
          <w:rFonts w:eastAsia="Times New Roman"/>
        </w:rPr>
        <w:t xml:space="preserve"> </w:t>
      </w:r>
      <w:r w:rsidRPr="00C00214">
        <w:rPr>
          <w:lang w:eastAsia="zh-CN"/>
        </w:rPr>
        <w:t>For 0</w:t>
      </w:r>
      <w:r w:rsidRPr="00C00214">
        <w:rPr>
          <w:rFonts w:eastAsia="Times New Roman"/>
        </w:rPr>
        <w:t>–</w:t>
      </w:r>
      <w:r w:rsidRPr="00C00214">
        <w:rPr>
          <w:lang w:eastAsia="zh-CN"/>
        </w:rPr>
        <w:t>5 eV, the intensities of the presented transmission data are 80–90%, with relatively large error bars because of</w:t>
      </w:r>
      <w:r w:rsidRPr="00C00214">
        <w:t xml:space="preserve"> small SE intensities. Above 5 eV, the transmission intensities decreased sharply up to 10 eV, and then stabilized at 50</w:t>
      </w:r>
      <w:r w:rsidRPr="00C00214">
        <w:rPr>
          <w:rFonts w:eastAsia="Times New Roman"/>
        </w:rPr>
        <w:t>–</w:t>
      </w:r>
      <w:r w:rsidRPr="00C00214">
        <w:t>60% in the 10</w:t>
      </w:r>
      <w:r w:rsidRPr="00C00214">
        <w:rPr>
          <w:rFonts w:eastAsia="Times New Roman"/>
        </w:rPr>
        <w:t>–</w:t>
      </w:r>
      <w:r w:rsidRPr="00C00214">
        <w:t>50 eV</w:t>
      </w:r>
      <w:r w:rsidRPr="00C00214">
        <w:rPr>
          <w:rFonts w:eastAsia="Times New Roman"/>
        </w:rPr>
        <w:t xml:space="preserve"> range</w:t>
      </w:r>
      <w:r w:rsidRPr="00C00214">
        <w:t xml:space="preserve">. It </w:t>
      </w:r>
      <w:r w:rsidRPr="00C00214">
        <w:rPr>
          <w:rFonts w:eastAsia="Times New Roman"/>
        </w:rPr>
        <w:t>should be noted</w:t>
      </w:r>
      <w:r w:rsidRPr="00C00214">
        <w:t xml:space="preserve"> that </w:t>
      </w:r>
      <w:r w:rsidRPr="00C00214">
        <w:rPr>
          <w:rFonts w:eastAsia="Times New Roman"/>
        </w:rPr>
        <w:t>the</w:t>
      </w:r>
      <w:r w:rsidRPr="00C00214">
        <w:t xml:space="preserve"> high transparency of monolayer graphene over the range 0</w:t>
      </w:r>
      <w:r w:rsidRPr="00C00214">
        <w:rPr>
          <w:lang w:eastAsia="zh-CN"/>
        </w:rPr>
        <w:t>–</w:t>
      </w:r>
      <w:r w:rsidRPr="00C00214">
        <w:t xml:space="preserve">5 eV is in contrast to previous results that were lower than 2% at </w:t>
      </w:r>
      <w:r w:rsidRPr="00C00214">
        <w:rPr>
          <w:i/>
        </w:rPr>
        <w:t>E</w:t>
      </w:r>
      <w:r w:rsidRPr="00C00214">
        <w:t xml:space="preserve"> below 5 eV [</w:t>
      </w:r>
      <w:r w:rsidR="006E560F" w:rsidRPr="00C00214">
        <w:rPr>
          <w:i/>
        </w:rPr>
        <w:t>33</w:t>
      </w:r>
      <w:r w:rsidRPr="00C00214">
        <w:t>]. However, Srisonphan et al. [</w:t>
      </w:r>
      <w:r w:rsidR="006E560F" w:rsidRPr="00C00214">
        <w:rPr>
          <w:i/>
        </w:rPr>
        <w:t>34</w:t>
      </w:r>
      <w:r w:rsidRPr="00C00214">
        <w:t>] reported 99.9% transparency below 3 eV for monolayer graphene suspended on a trenched metal-oxide-semiconductor diode. Kojima et al. [</w:t>
      </w:r>
      <w:r w:rsidR="006E560F" w:rsidRPr="00C00214">
        <w:rPr>
          <w:i/>
        </w:rPr>
        <w:t>35</w:t>
      </w:r>
      <w:r w:rsidRPr="00C00214">
        <w:t>] also suggested high transmissivity of quasi-ballistic electrons from a nanocrystalline porous Si cold cathode and a monolayer graphene surface electrode.</w:t>
      </w:r>
      <w:bookmarkStart w:id="69" w:name="OLE_LINK104"/>
      <w:bookmarkStart w:id="70" w:name="OLE_LINK111"/>
      <w:r w:rsidRPr="00C00214">
        <w:t xml:space="preserve"> Scatter</w:t>
      </w:r>
      <w:bookmarkEnd w:id="69"/>
      <w:bookmarkEnd w:id="70"/>
      <w:r w:rsidRPr="00C00214">
        <w:t xml:space="preserve"> in the data at 2.3 eV is due to </w:t>
      </w:r>
      <w:r w:rsidR="00FB0731">
        <w:t xml:space="preserve">the plasmon gain phenomenon </w:t>
      </w:r>
      <w:r w:rsidRPr="00C00214">
        <w:rPr>
          <w:rFonts w:eastAsia="Times New Roman"/>
        </w:rPr>
        <w:t>in</w:t>
      </w:r>
      <w:r w:rsidRPr="00C00214">
        <w:t xml:space="preserve"> the Au substrate [</w:t>
      </w:r>
      <w:r w:rsidR="00CF6F31" w:rsidRPr="00C00214">
        <w:rPr>
          <w:i/>
        </w:rPr>
        <w:t>36</w:t>
      </w:r>
      <w:r w:rsidRPr="00C00214">
        <w:t xml:space="preserve">]. </w:t>
      </w:r>
      <w:r w:rsidRPr="00C00214">
        <w:rPr>
          <w:rFonts w:eastAsia="Times New Roman"/>
        </w:rPr>
        <w:t>The</w:t>
      </w:r>
      <w:r w:rsidRPr="00C00214">
        <w:t xml:space="preserve"> electron transmissivity of graphene exhibits </w:t>
      </w:r>
      <w:r w:rsidRPr="00C00214">
        <w:rPr>
          <w:rFonts w:eastAsia="Times New Roman"/>
        </w:rPr>
        <w:t xml:space="preserve">a </w:t>
      </w:r>
      <w:r w:rsidRPr="00C00214">
        <w:t>maximum at 5 eV, which is consistent with that of Mikmekova et al. [</w:t>
      </w:r>
      <w:r w:rsidR="00CF6F31" w:rsidRPr="00C00214">
        <w:rPr>
          <w:i/>
        </w:rPr>
        <w:t>37</w:t>
      </w:r>
      <w:r w:rsidRPr="00C00214">
        <w:t>] for a suspended monolayer sample using LEEM in a scanning transmission electron microscope. The 50</w:t>
      </w:r>
      <w:r w:rsidRPr="00C00214">
        <w:rPr>
          <w:lang w:eastAsia="zh-CN"/>
        </w:rPr>
        <w:t>–</w:t>
      </w:r>
      <w:r w:rsidRPr="00C00214">
        <w:t>60% intensities over the range 10</w:t>
      </w:r>
      <w:r w:rsidRPr="00C00214">
        <w:rPr>
          <w:rFonts w:eastAsia="Times New Roman"/>
        </w:rPr>
        <w:t>–</w:t>
      </w:r>
      <w:r w:rsidRPr="00C00214">
        <w:t>50 eV agree well with previous results [</w:t>
      </w:r>
      <w:r w:rsidR="00CF6F31" w:rsidRPr="00C00214">
        <w:rPr>
          <w:i/>
        </w:rPr>
        <w:t>38</w:t>
      </w:r>
      <w:r w:rsidRPr="00C00214">
        <w:t>] from a suspended graphene sample. In that case</w:t>
      </w:r>
      <w:r w:rsidRPr="00C00214">
        <w:rPr>
          <w:rFonts w:eastAsia="Times New Roman"/>
        </w:rPr>
        <w:t>,</w:t>
      </w:r>
      <w:r w:rsidRPr="00C00214">
        <w:t xml:space="preserve"> the </w:t>
      </w:r>
      <w:r w:rsidRPr="00C00214">
        <w:rPr>
          <w:rFonts w:eastAsia="Times New Roman"/>
        </w:rPr>
        <w:t>graphene</w:t>
      </w:r>
      <w:r w:rsidRPr="00C00214">
        <w:t xml:space="preserve"> transparency was 60% </w:t>
      </w:r>
      <w:r w:rsidRPr="00C00214">
        <w:rPr>
          <w:rFonts w:eastAsia="Times New Roman"/>
        </w:rPr>
        <w:t>over</w:t>
      </w:r>
      <w:r w:rsidRPr="00C00214">
        <w:t xml:space="preserve"> 10</w:t>
      </w:r>
      <w:r w:rsidRPr="00C00214">
        <w:rPr>
          <w:rFonts w:eastAsia="Times New Roman"/>
        </w:rPr>
        <w:t>–</w:t>
      </w:r>
      <w:r w:rsidRPr="00C00214">
        <w:t xml:space="preserve">40 eV using vacuum-three-electrode configurations. </w:t>
      </w:r>
    </w:p>
    <w:p w14:paraId="70CDDB09" w14:textId="4E6C1F97" w:rsidR="008C3EE4" w:rsidRPr="00C00214" w:rsidRDefault="004C2AEC">
      <w:pPr>
        <w:jc w:val="both"/>
        <w:rPr>
          <w:rFonts w:eastAsia="Microsoft YaHei"/>
          <w:szCs w:val="27"/>
          <w:shd w:val="clear" w:color="auto" w:fill="FFFFFF"/>
        </w:rPr>
      </w:pPr>
      <w:r w:rsidRPr="00C00214">
        <w:rPr>
          <w:rFonts w:eastAsia="Times New Roman"/>
        </w:rPr>
        <w:t>According to the above discussion,</w:t>
      </w:r>
      <w:bookmarkStart w:id="71" w:name="OLE_LINK115"/>
      <w:bookmarkStart w:id="72" w:name="OLE_LINK116"/>
      <w:r w:rsidRPr="00C00214">
        <w:rPr>
          <w:rFonts w:eastAsia="Times New Roman"/>
        </w:rPr>
        <w:t xml:space="preserve"> graphene-Au interactions were significant at </w:t>
      </w:r>
      <w:r w:rsidRPr="00C00214">
        <w:rPr>
          <w:rFonts w:eastAsia="Times New Roman"/>
          <w:i/>
        </w:rPr>
        <w:t>E</w:t>
      </w:r>
      <w:r w:rsidRPr="00C00214">
        <w:rPr>
          <w:rFonts w:eastAsia="Times New Roman"/>
        </w:rPr>
        <w:t xml:space="preserve"> below 10 eV, but negligible over the 10–50 eV range. Therefore, quantitative information on suspended graphene can be approximated with an Au-supported graphene sample with acceptable accuracy at </w:t>
      </w:r>
      <w:r w:rsidRPr="00C00214">
        <w:rPr>
          <w:rFonts w:eastAsia="Times New Roman"/>
          <w:i/>
        </w:rPr>
        <w:t>E</w:t>
      </w:r>
      <w:r w:rsidRPr="00C00214">
        <w:rPr>
          <w:rFonts w:eastAsia="Times New Roman"/>
        </w:rPr>
        <w:t xml:space="preserve"> above 10 eV, even though the electronic properties of graphene are affected by the underlying Au substrate. For example, </w:t>
      </w:r>
      <w:r w:rsidRPr="00C00214">
        <w:rPr>
          <w:rFonts w:eastAsia="Microsoft YaHei"/>
          <w:szCs w:val="27"/>
          <w:shd w:val="clear" w:color="auto" w:fill="FFFFFF"/>
        </w:rPr>
        <w:t xml:space="preserve">the </w:t>
      </w:r>
      <w:r w:rsidRPr="00C00214">
        <w:rPr>
          <w:rFonts w:eastAsia="Microsoft YaHei"/>
          <w:i/>
          <w:szCs w:val="27"/>
          <w:shd w:val="clear" w:color="auto" w:fill="FFFFFF"/>
        </w:rPr>
        <w:t>π</w:t>
      </w:r>
      <w:r w:rsidRPr="00C00214">
        <w:rPr>
          <w:rFonts w:eastAsia="Microsoft YaHei"/>
          <w:szCs w:val="27"/>
          <w:shd w:val="clear" w:color="auto" w:fill="FFFFFF"/>
        </w:rPr>
        <w:t>-orbitals of the sp</w:t>
      </w:r>
      <w:r w:rsidRPr="00C00214">
        <w:rPr>
          <w:rFonts w:eastAsia="Microsoft YaHei"/>
          <w:szCs w:val="27"/>
          <w:shd w:val="clear" w:color="auto" w:fill="FFFFFF"/>
          <w:vertAlign w:val="superscript"/>
        </w:rPr>
        <w:t>2</w:t>
      </w:r>
      <w:r w:rsidRPr="00C00214">
        <w:rPr>
          <w:rFonts w:eastAsia="Microsoft YaHei"/>
          <w:szCs w:val="27"/>
          <w:shd w:val="clear" w:color="auto" w:fill="FFFFFF"/>
        </w:rPr>
        <w:t xml:space="preserve">-hybridized graphene atoms are coupled to </w:t>
      </w:r>
      <w:r w:rsidRPr="00C00214">
        <w:rPr>
          <w:rFonts w:eastAsia="Times New Roman"/>
        </w:rPr>
        <w:t xml:space="preserve">the </w:t>
      </w:r>
      <w:r w:rsidRPr="00C00214">
        <w:rPr>
          <w:rFonts w:eastAsia="Microsoft YaHei"/>
          <w:i/>
          <w:szCs w:val="27"/>
          <w:shd w:val="clear" w:color="auto" w:fill="FFFFFF"/>
        </w:rPr>
        <w:t>d</w:t>
      </w:r>
      <w:r w:rsidRPr="00C00214">
        <w:rPr>
          <w:rFonts w:eastAsia="Microsoft YaHei"/>
          <w:szCs w:val="27"/>
          <w:shd w:val="clear" w:color="auto" w:fill="FFFFFF"/>
        </w:rPr>
        <w:t>-orbitals of the Au atoms [</w:t>
      </w:r>
      <w:r w:rsidR="00CF6F31" w:rsidRPr="00C00214">
        <w:rPr>
          <w:rFonts w:eastAsia="Microsoft YaHei"/>
          <w:i/>
          <w:szCs w:val="27"/>
          <w:shd w:val="clear" w:color="auto" w:fill="FFFFFF"/>
        </w:rPr>
        <w:t>39</w:t>
      </w:r>
      <w:r w:rsidRPr="00C00214">
        <w:rPr>
          <w:rFonts w:eastAsia="Microsoft YaHei"/>
          <w:szCs w:val="27"/>
          <w:shd w:val="clear" w:color="auto" w:fill="FFFFFF"/>
        </w:rPr>
        <w:t xml:space="preserve">], and the </w:t>
      </w:r>
      <w:bookmarkStart w:id="73" w:name="OLE_LINK121"/>
      <w:bookmarkStart w:id="74" w:name="OLE_LINK122"/>
      <w:r w:rsidRPr="00C00214">
        <w:rPr>
          <w:rFonts w:eastAsia="Microsoft YaHei"/>
          <w:szCs w:val="27"/>
          <w:shd w:val="clear" w:color="auto" w:fill="FFFFFF"/>
        </w:rPr>
        <w:t xml:space="preserve">graphene </w:t>
      </w:r>
      <w:bookmarkEnd w:id="73"/>
      <w:bookmarkEnd w:id="74"/>
      <w:r w:rsidRPr="00C00214">
        <w:rPr>
          <w:rFonts w:eastAsia="Microsoft YaHei"/>
          <w:szCs w:val="27"/>
          <w:shd w:val="clear" w:color="auto" w:fill="FFFFFF"/>
        </w:rPr>
        <w:t>surface is reconstructed on an Au(111) substrate [</w:t>
      </w:r>
      <w:r w:rsidR="00CF6F31" w:rsidRPr="00C00214">
        <w:rPr>
          <w:rFonts w:eastAsia="Microsoft YaHei"/>
          <w:i/>
          <w:szCs w:val="27"/>
          <w:shd w:val="clear" w:color="auto" w:fill="FFFFFF"/>
        </w:rPr>
        <w:t>40</w:t>
      </w:r>
      <w:r w:rsidRPr="00C00214">
        <w:rPr>
          <w:rFonts w:eastAsia="Microsoft YaHei"/>
          <w:szCs w:val="27"/>
          <w:shd w:val="clear" w:color="auto" w:fill="FFFFFF"/>
        </w:rPr>
        <w:t xml:space="preserve">]. </w:t>
      </w:r>
    </w:p>
    <w:bookmarkEnd w:id="71"/>
    <w:bookmarkEnd w:id="72"/>
    <w:p w14:paraId="2458EB79" w14:textId="4968139F" w:rsidR="008C3EE4" w:rsidRPr="00C00214" w:rsidRDefault="001C6150" w:rsidP="006E560F">
      <w:pPr>
        <w:jc w:val="center"/>
        <w:rPr>
          <w:rFonts w:eastAsia="Times New Roman"/>
          <w:b/>
        </w:rPr>
      </w:pPr>
      <w:r w:rsidRPr="00C00214">
        <w:rPr>
          <w:rFonts w:eastAsia="Times New Roman"/>
          <w:b/>
        </w:rPr>
        <w:lastRenderedPageBreak/>
        <w:t>3.3</w:t>
      </w:r>
      <w:r w:rsidR="009E1C37" w:rsidRPr="00C00214">
        <w:rPr>
          <w:rFonts w:eastAsia="Times New Roman"/>
          <w:b/>
        </w:rPr>
        <w:t xml:space="preserve">. </w:t>
      </w:r>
      <w:r w:rsidR="004C2AEC" w:rsidRPr="00C00214">
        <w:rPr>
          <w:rFonts w:eastAsia="Times New Roman"/>
          <w:b/>
        </w:rPr>
        <w:t>Low-energy EAL and IMFP determination</w:t>
      </w:r>
    </w:p>
    <w:p w14:paraId="024E3689" w14:textId="41BAB46A" w:rsidR="008C3EE4" w:rsidRPr="00C00214" w:rsidRDefault="004C2AEC">
      <w:pPr>
        <w:jc w:val="both"/>
        <w:rPr>
          <w:rFonts w:eastAsia="Times New Roman"/>
        </w:rPr>
      </w:pPr>
      <w:r w:rsidRPr="00C00214">
        <w:rPr>
          <w:rFonts w:eastAsia="Times New Roman"/>
        </w:rPr>
        <w:t xml:space="preserve">The </w:t>
      </w:r>
      <w:r w:rsidRPr="00C00214">
        <w:rPr>
          <w:rFonts w:eastAsia="Times New Roman"/>
          <w:i/>
        </w:rPr>
        <w:t>λ</w:t>
      </w:r>
      <w:r w:rsidRPr="00C00214">
        <w:rPr>
          <w:rFonts w:eastAsia="Times New Roman"/>
          <w:vertAlign w:val="subscript"/>
        </w:rPr>
        <w:t>EAL</w:t>
      </w:r>
      <w:r w:rsidRPr="00C00214">
        <w:rPr>
          <w:rFonts w:eastAsia="Times New Roman"/>
        </w:rPr>
        <w:t xml:space="preserve"> </w:t>
      </w:r>
      <w:bookmarkStart w:id="75" w:name="OLE_LINK35"/>
      <w:r w:rsidRPr="00C00214">
        <w:rPr>
          <w:rFonts w:eastAsia="Times New Roman"/>
        </w:rPr>
        <w:t xml:space="preserve">values of monolayer graphene </w:t>
      </w:r>
      <w:bookmarkEnd w:id="75"/>
      <w:r w:rsidRPr="00C00214">
        <w:rPr>
          <w:rFonts w:eastAsia="Times New Roman"/>
        </w:rPr>
        <w:t xml:space="preserve">obtained from </w:t>
      </w:r>
      <w:r w:rsidRPr="00C00214">
        <w:t xml:space="preserve">the </w:t>
      </w:r>
      <w:r w:rsidRPr="00C00214">
        <w:rPr>
          <w:rFonts w:eastAsia="Times New Roman"/>
        </w:rPr>
        <w:t>D</w:t>
      </w:r>
      <w:r w:rsidRPr="00C00214">
        <w:rPr>
          <w:rFonts w:eastAsia="Times New Roman"/>
          <w:vertAlign w:val="subscript"/>
        </w:rPr>
        <w:t>23</w:t>
      </w:r>
      <w:r w:rsidRPr="00C00214">
        <w:rPr>
          <w:rFonts w:eastAsia="Times New Roman"/>
        </w:rPr>
        <w:t>(</w:t>
      </w:r>
      <w:r w:rsidRPr="00C00214">
        <w:rPr>
          <w:rFonts w:eastAsia="Times New Roman"/>
          <w:i/>
        </w:rPr>
        <w:t>G</w:t>
      </w:r>
      <w:r w:rsidRPr="00C00214">
        <w:rPr>
          <w:rFonts w:eastAsia="Times New Roman"/>
          <w:vertAlign w:val="subscript"/>
        </w:rPr>
        <w:t>1</w:t>
      </w:r>
      <w:r w:rsidRPr="00C00214">
        <w:rPr>
          <w:rFonts w:eastAsia="Times New Roman"/>
        </w:rPr>
        <w:t>)</w:t>
      </w:r>
      <w:r w:rsidRPr="00C00214">
        <w:t xml:space="preserve"> </w:t>
      </w:r>
      <w:r w:rsidRPr="00C00214">
        <w:rPr>
          <w:rFonts w:eastAsia="Times New Roman"/>
        </w:rPr>
        <w:t xml:space="preserve">in the energy range of 0–50 eV are plotted in Fig. </w:t>
      </w:r>
      <w:r w:rsidR="00971062" w:rsidRPr="00C00214">
        <w:rPr>
          <w:rFonts w:eastAsia="Times New Roman"/>
        </w:rPr>
        <w:t>7</w:t>
      </w:r>
      <w:r w:rsidRPr="00C00214">
        <w:rPr>
          <w:rFonts w:eastAsia="Times New Roman"/>
        </w:rPr>
        <w:t xml:space="preserve"> together with those of single-crystal graphite obtained by very-low-energy electron diffraction [</w:t>
      </w:r>
      <w:r w:rsidR="00CF6F31" w:rsidRPr="00C00214">
        <w:rPr>
          <w:rFonts w:eastAsia="Times New Roman"/>
          <w:i/>
        </w:rPr>
        <w:t>41</w:t>
      </w:r>
      <w:r w:rsidRPr="00C00214">
        <w:rPr>
          <w:rFonts w:eastAsia="Times New Roman"/>
        </w:rPr>
        <w:t xml:space="preserve">]. In the energy range of 0–6 eV, </w:t>
      </w:r>
      <w:r w:rsidRPr="00C00214">
        <w:rPr>
          <w:rFonts w:eastAsia="Times New Roman"/>
          <w:i/>
        </w:rPr>
        <w:t>λ</w:t>
      </w:r>
      <w:r w:rsidRPr="00C00214">
        <w:rPr>
          <w:rFonts w:eastAsia="Times New Roman"/>
          <w:vertAlign w:val="subscript"/>
        </w:rPr>
        <w:t>EAL</w:t>
      </w:r>
      <w:r w:rsidRPr="00C00214">
        <w:rPr>
          <w:rFonts w:eastAsia="Times New Roman"/>
        </w:rPr>
        <w:t xml:space="preserve"> of monolayer graphene shows an obvious peak structure at 4-5 eV similar to that of single-crystal graphite. Such peak structure in the </w:t>
      </w:r>
      <w:r w:rsidRPr="00C00214">
        <w:rPr>
          <w:rFonts w:eastAsia="Times New Roman"/>
          <w:i/>
        </w:rPr>
        <w:t>λ</w:t>
      </w:r>
      <w:r w:rsidRPr="00C00214">
        <w:rPr>
          <w:rFonts w:eastAsia="Times New Roman"/>
          <w:vertAlign w:val="subscript"/>
        </w:rPr>
        <w:t>EAL</w:t>
      </w:r>
      <w:r w:rsidRPr="00C00214">
        <w:rPr>
          <w:rFonts w:eastAsia="Times New Roman"/>
        </w:rPr>
        <w:t xml:space="preserve"> values of graphene perfectly explains the features of the SE main peak observed in the spectra measured for substrate-supported graphene, because the substrate-reflected SEs are modulated by this peak structure when they pass through the covering graphene layer. In the energy range around 2.3 eV, </w:t>
      </w:r>
      <w:r w:rsidRPr="00C00214">
        <w:rPr>
          <w:rFonts w:eastAsia="Times New Roman"/>
          <w:i/>
        </w:rPr>
        <w:t>λ</w:t>
      </w:r>
      <w:r w:rsidRPr="00C00214">
        <w:rPr>
          <w:rFonts w:eastAsia="Times New Roman"/>
          <w:vertAlign w:val="subscript"/>
        </w:rPr>
        <w:t>EAL</w:t>
      </w:r>
      <w:r w:rsidRPr="00C00214">
        <w:rPr>
          <w:rFonts w:eastAsia="Times New Roman"/>
        </w:rPr>
        <w:t xml:space="preserve"> values of monolayer graphene are scattered because of the influence from surface plasmons of the underlying Au substrate. In this region, one independent </w:t>
      </w:r>
      <w:r w:rsidRPr="00C00214">
        <w:rPr>
          <w:rFonts w:eastAsia="Times New Roman"/>
          <w:i/>
        </w:rPr>
        <w:t>λ</w:t>
      </w:r>
      <w:r w:rsidRPr="00C00214">
        <w:rPr>
          <w:rFonts w:eastAsia="Times New Roman"/>
          <w:vertAlign w:val="subscript"/>
        </w:rPr>
        <w:t>EAL</w:t>
      </w:r>
      <w:r w:rsidRPr="00C00214">
        <w:rPr>
          <w:rFonts w:eastAsia="Times New Roman"/>
        </w:rPr>
        <w:t xml:space="preserve"> value of graphene at ~2.3 eV can be measured by the overlayer method according to the attenuation of surface plasmons of Au (approximately equalling the attenuation of electrons) by graphene sheets</w:t>
      </w:r>
      <w:r w:rsidR="00697D2E">
        <w:rPr>
          <w:rFonts w:eastAsia="Times New Roman"/>
        </w:rPr>
        <w:t xml:space="preserve"> [</w:t>
      </w:r>
      <w:r w:rsidR="00697D2E" w:rsidRPr="00697D2E">
        <w:rPr>
          <w:rFonts w:eastAsia="Times New Roman"/>
          <w:i/>
        </w:rPr>
        <w:t>36</w:t>
      </w:r>
      <w:r w:rsidR="00697D2E">
        <w:rPr>
          <w:rFonts w:eastAsia="Times New Roman"/>
        </w:rPr>
        <w:t>]</w:t>
      </w:r>
      <w:r w:rsidRPr="00C00214">
        <w:rPr>
          <w:rFonts w:eastAsia="Times New Roman"/>
        </w:rPr>
        <w:t xml:space="preserve">. This independent </w:t>
      </w:r>
      <w:r w:rsidRPr="00C00214">
        <w:rPr>
          <w:rFonts w:eastAsia="Times New Roman"/>
          <w:i/>
        </w:rPr>
        <w:t>λ</w:t>
      </w:r>
      <w:r w:rsidRPr="00C00214">
        <w:rPr>
          <w:rFonts w:eastAsia="Times New Roman"/>
          <w:vertAlign w:val="subscript"/>
        </w:rPr>
        <w:t>EAL</w:t>
      </w:r>
      <w:r w:rsidRPr="00C00214">
        <w:rPr>
          <w:rFonts w:eastAsia="Times New Roman"/>
        </w:rPr>
        <w:t xml:space="preserve"> data point is also plotted in Fig. </w:t>
      </w:r>
      <w:r w:rsidR="00971062" w:rsidRPr="00C00214">
        <w:rPr>
          <w:rFonts w:eastAsia="Times New Roman"/>
        </w:rPr>
        <w:t>7</w:t>
      </w:r>
      <w:r w:rsidRPr="00C00214">
        <w:rPr>
          <w:rFonts w:eastAsia="Times New Roman"/>
        </w:rPr>
        <w:t xml:space="preserve"> and is broadly consistent with the </w:t>
      </w:r>
      <w:r w:rsidRPr="00C00214">
        <w:rPr>
          <w:rFonts w:eastAsia="Times New Roman"/>
          <w:i/>
        </w:rPr>
        <w:t>λ</w:t>
      </w:r>
      <w:r w:rsidRPr="00C00214">
        <w:rPr>
          <w:rFonts w:eastAsia="Times New Roman"/>
          <w:vertAlign w:val="subscript"/>
        </w:rPr>
        <w:t>EAL</w:t>
      </w:r>
      <w:r w:rsidRPr="00C00214">
        <w:rPr>
          <w:rFonts w:eastAsia="Times New Roman"/>
        </w:rPr>
        <w:t xml:space="preserve"> values determined by the data-driven spectral analysis method, which improves the credibility of the presented </w:t>
      </w:r>
      <w:r w:rsidRPr="00C00214">
        <w:rPr>
          <w:rFonts w:eastAsia="Times New Roman"/>
          <w:i/>
        </w:rPr>
        <w:t>λ</w:t>
      </w:r>
      <w:r w:rsidRPr="00C00214">
        <w:rPr>
          <w:rFonts w:eastAsia="Times New Roman"/>
          <w:vertAlign w:val="subscript"/>
        </w:rPr>
        <w:t>EAL</w:t>
      </w:r>
      <w:r w:rsidRPr="00C00214">
        <w:rPr>
          <w:rFonts w:eastAsia="Times New Roman"/>
        </w:rPr>
        <w:t xml:space="preserve"> data. </w:t>
      </w:r>
    </w:p>
    <w:p w14:paraId="0D8ED461" w14:textId="77777777" w:rsidR="008C3EE4" w:rsidRPr="00C00214" w:rsidRDefault="004C2AEC">
      <w:pPr>
        <w:jc w:val="both"/>
        <w:rPr>
          <w:rFonts w:eastAsia="Times New Roman"/>
        </w:rPr>
      </w:pPr>
      <w:r w:rsidRPr="00C00214">
        <w:rPr>
          <w:rFonts w:eastAsia="Times New Roman"/>
        </w:rPr>
        <w:t xml:space="preserve">As for </w:t>
      </w:r>
      <w:r w:rsidRPr="00C00214">
        <w:rPr>
          <w:rFonts w:eastAsia="Times New Roman"/>
          <w:i/>
        </w:rPr>
        <w:t>E</w:t>
      </w:r>
      <w:r w:rsidRPr="00C00214">
        <w:rPr>
          <w:rFonts w:eastAsia="Times New Roman"/>
        </w:rPr>
        <w:t xml:space="preserve"> above 6 eV, although similar fluctuations of </w:t>
      </w:r>
      <w:r w:rsidRPr="00C00214">
        <w:rPr>
          <w:rFonts w:eastAsia="Times New Roman"/>
          <w:i/>
        </w:rPr>
        <w:t>E</w:t>
      </w:r>
      <w:r w:rsidRPr="00C00214">
        <w:rPr>
          <w:rFonts w:eastAsia="Times New Roman"/>
        </w:rPr>
        <w:t xml:space="preserve"> in the </w:t>
      </w:r>
      <w:r w:rsidRPr="00C00214">
        <w:rPr>
          <w:rFonts w:eastAsia="Times New Roman"/>
          <w:i/>
        </w:rPr>
        <w:t>λ</w:t>
      </w:r>
      <w:r w:rsidRPr="00C00214">
        <w:rPr>
          <w:rFonts w:eastAsia="Times New Roman"/>
          <w:vertAlign w:val="subscript"/>
        </w:rPr>
        <w:t>EAL</w:t>
      </w:r>
      <w:r w:rsidRPr="00C00214">
        <w:rPr>
          <w:rFonts w:eastAsia="Times New Roman"/>
        </w:rPr>
        <w:t xml:space="preserve"> data were observed for both monolayer graphene and single-crystal graphite, the intensity of the fluctuations in </w:t>
      </w:r>
      <w:r w:rsidRPr="00C00214">
        <w:rPr>
          <w:rFonts w:eastAsia="Times New Roman"/>
          <w:i/>
        </w:rPr>
        <w:t>λ</w:t>
      </w:r>
      <w:r w:rsidRPr="00C00214">
        <w:rPr>
          <w:rFonts w:eastAsia="Times New Roman"/>
          <w:vertAlign w:val="subscript"/>
        </w:rPr>
        <w:t>EAL</w:t>
      </w:r>
      <w:r w:rsidRPr="00C00214">
        <w:rPr>
          <w:rFonts w:eastAsia="Times New Roman"/>
        </w:rPr>
        <w:t xml:space="preserve"> of monolayer graphene was much weaker than that of single-crystal graphite, which is because of the vastly suppressed diffraction effect in monolayer graphene compared with that in single-crystal graphite. </w:t>
      </w:r>
    </w:p>
    <w:p w14:paraId="3B763FF8" w14:textId="15B8C2A8" w:rsidR="008C3EE4" w:rsidRPr="00C00214" w:rsidRDefault="004C2AEC">
      <w:pPr>
        <w:jc w:val="both"/>
        <w:rPr>
          <w:rFonts w:eastAsia="Times New Roman"/>
        </w:rPr>
      </w:pPr>
      <w:r w:rsidRPr="00C00214">
        <w:rPr>
          <w:rFonts w:eastAsia="Times New Roman"/>
          <w:lang w:eastAsia="zh-CN"/>
        </w:rPr>
        <w:t xml:space="preserve">For comparison, the </w:t>
      </w:r>
      <w:bookmarkStart w:id="76" w:name="OLE_LINK18"/>
      <w:r w:rsidRPr="00C00214">
        <w:rPr>
          <w:rFonts w:eastAsia="Times New Roman"/>
          <w:i/>
          <w:lang w:eastAsia="zh-CN"/>
        </w:rPr>
        <w:t>λ</w:t>
      </w:r>
      <w:r w:rsidRPr="00C00214">
        <w:rPr>
          <w:rFonts w:eastAsia="Times New Roman"/>
          <w:vertAlign w:val="subscript"/>
          <w:lang w:eastAsia="zh-CN"/>
        </w:rPr>
        <w:t>EAL</w:t>
      </w:r>
      <w:r w:rsidRPr="00C00214">
        <w:rPr>
          <w:rFonts w:eastAsia="Times New Roman"/>
          <w:lang w:eastAsia="zh-CN"/>
        </w:rPr>
        <w:t xml:space="preserve"> energy-filtered SEM data </w:t>
      </w:r>
      <w:bookmarkEnd w:id="76"/>
      <w:r w:rsidRPr="00C00214">
        <w:rPr>
          <w:rFonts w:eastAsia="Times New Roman"/>
        </w:rPr>
        <w:t>for a graphene/nickel sample</w:t>
      </w:r>
      <w:r w:rsidRPr="00C00214">
        <w:rPr>
          <w:rFonts w:eastAsia="Times New Roman"/>
          <w:lang w:eastAsia="zh-CN"/>
        </w:rPr>
        <w:t xml:space="preserve"> [</w:t>
      </w:r>
      <w:r w:rsidR="00CF6F31" w:rsidRPr="00C00214">
        <w:rPr>
          <w:rFonts w:eastAsia="Times New Roman"/>
          <w:i/>
          <w:lang w:eastAsia="zh-CN"/>
        </w:rPr>
        <w:t>42</w:t>
      </w:r>
      <w:r w:rsidRPr="00C00214">
        <w:rPr>
          <w:rFonts w:eastAsia="Times New Roman"/>
          <w:lang w:eastAsia="zh-CN"/>
        </w:rPr>
        <w:t xml:space="preserve">] is also plotted in Fig. </w:t>
      </w:r>
      <w:r w:rsidR="00971062" w:rsidRPr="00C00214">
        <w:rPr>
          <w:rFonts w:eastAsia="Times New Roman"/>
          <w:lang w:eastAsia="zh-CN"/>
        </w:rPr>
        <w:t>7</w:t>
      </w:r>
      <w:r w:rsidRPr="00C00214">
        <w:rPr>
          <w:rFonts w:eastAsia="Times New Roman"/>
          <w:lang w:eastAsia="zh-CN"/>
        </w:rPr>
        <w:t xml:space="preserve">. These data have larger values than the presented </w:t>
      </w:r>
      <w:r w:rsidRPr="00C00214">
        <w:rPr>
          <w:rFonts w:eastAsia="Times New Roman"/>
          <w:i/>
          <w:lang w:eastAsia="zh-CN"/>
        </w:rPr>
        <w:t>λ</w:t>
      </w:r>
      <w:r w:rsidRPr="00C00214">
        <w:rPr>
          <w:rFonts w:eastAsia="Times New Roman"/>
          <w:vertAlign w:val="subscript"/>
          <w:lang w:eastAsia="zh-CN"/>
        </w:rPr>
        <w:t>EAL</w:t>
      </w:r>
      <w:r w:rsidRPr="00C00214">
        <w:rPr>
          <w:rFonts w:eastAsia="Times New Roman"/>
          <w:lang w:eastAsia="zh-CN"/>
        </w:rPr>
        <w:t xml:space="preserve"> data in the overlapping energy range, especially for </w:t>
      </w:r>
      <w:r w:rsidRPr="00C00214">
        <w:rPr>
          <w:rFonts w:eastAsia="Times New Roman"/>
          <w:i/>
          <w:lang w:eastAsia="zh-CN"/>
        </w:rPr>
        <w:t>E</w:t>
      </w:r>
      <w:r w:rsidRPr="00C00214">
        <w:rPr>
          <w:rFonts w:eastAsia="Times New Roman"/>
          <w:lang w:eastAsia="zh-CN"/>
        </w:rPr>
        <w:t xml:space="preserve"> lower than 18 eV. There are two reasons for the deviations. One </w:t>
      </w:r>
      <w:r w:rsidRPr="00C00214">
        <w:rPr>
          <w:rFonts w:eastAsia="Times New Roman"/>
          <w:lang w:eastAsia="zh-CN"/>
        </w:rPr>
        <w:lastRenderedPageBreak/>
        <w:t xml:space="preserve">reason is that the interactions between graphene and an </w:t>
      </w:r>
      <w:r w:rsidR="008116CC">
        <w:rPr>
          <w:rFonts w:eastAsia="Times New Roman"/>
          <w:lang w:eastAsia="zh-CN"/>
        </w:rPr>
        <w:t>Au</w:t>
      </w:r>
      <w:r w:rsidRPr="00C00214">
        <w:rPr>
          <w:rFonts w:eastAsia="Times New Roman"/>
          <w:lang w:eastAsia="zh-CN"/>
        </w:rPr>
        <w:t xml:space="preserve"> substrate are relatively weak compared with those between graphene and Ni. The other reason is the oversimplified overlayer method used in Ref. [</w:t>
      </w:r>
      <w:r w:rsidR="00CF6F31" w:rsidRPr="00C00214">
        <w:rPr>
          <w:rFonts w:eastAsia="Times New Roman"/>
          <w:i/>
          <w:lang w:eastAsia="zh-CN"/>
        </w:rPr>
        <w:t>42</w:t>
      </w:r>
      <w:r w:rsidRPr="00C00214">
        <w:rPr>
          <w:rFonts w:eastAsia="Times New Roman"/>
          <w:lang w:eastAsia="zh-CN"/>
        </w:rPr>
        <w:t xml:space="preserve">] to determine the </w:t>
      </w:r>
      <w:r w:rsidRPr="00C00214">
        <w:rPr>
          <w:rFonts w:eastAsia="Times New Roman"/>
          <w:i/>
          <w:lang w:eastAsia="zh-CN"/>
        </w:rPr>
        <w:t>λ</w:t>
      </w:r>
      <w:r w:rsidRPr="00C00214">
        <w:rPr>
          <w:rFonts w:eastAsia="Times New Roman"/>
          <w:vertAlign w:val="subscript"/>
          <w:lang w:eastAsia="zh-CN"/>
        </w:rPr>
        <w:t>EAL</w:t>
      </w:r>
      <w:r w:rsidRPr="00C00214">
        <w:rPr>
          <w:rFonts w:eastAsia="Times New Roman"/>
          <w:lang w:eastAsia="zh-CN"/>
        </w:rPr>
        <w:t xml:space="preserve"> data, where</w:t>
      </w:r>
      <w:bookmarkStart w:id="77" w:name="OLE_LINK23"/>
      <w:r w:rsidRPr="00C00214">
        <w:rPr>
          <w:rFonts w:eastAsia="Times New Roman"/>
          <w:lang w:eastAsia="zh-CN"/>
        </w:rPr>
        <w:t xml:space="preserve"> the </w:t>
      </w:r>
      <w:r w:rsidRPr="00C00214">
        <w:rPr>
          <w:rFonts w:eastAsia="Times New Roman"/>
        </w:rPr>
        <w:t xml:space="preserve">elastic electron </w:t>
      </w:r>
      <w:r w:rsidR="006B33E1" w:rsidRPr="00C00214">
        <w:t xml:space="preserve">transmission </w:t>
      </w:r>
      <w:r w:rsidRPr="00C00214">
        <w:rPr>
          <w:rFonts w:eastAsia="Times New Roman"/>
        </w:rPr>
        <w:t xml:space="preserve">of graphene is roughly approximated by the </w:t>
      </w:r>
      <w:bookmarkEnd w:id="77"/>
      <w:r w:rsidRPr="00C00214">
        <w:rPr>
          <w:rFonts w:eastAsia="Times New Roman"/>
          <w:lang w:eastAsia="zh-CN"/>
        </w:rPr>
        <w:t xml:space="preserve">ratio of SE signals measured on graphene to that measured on substrate, i.e. </w:t>
      </w:r>
      <w:r w:rsidRPr="00C00214">
        <w:rPr>
          <w:i/>
        </w:rPr>
        <w:t>J</w:t>
      </w:r>
      <w:r w:rsidRPr="00C00214">
        <w:rPr>
          <w:vertAlign w:val="subscript"/>
        </w:rPr>
        <w:t>Gra</w:t>
      </w:r>
      <w:r w:rsidRPr="00C00214">
        <w:t>(G</w:t>
      </w:r>
      <w:r w:rsidRPr="00C00214">
        <w:rPr>
          <w:vertAlign w:val="subscript"/>
        </w:rPr>
        <w:t>n</w:t>
      </w:r>
      <w:r w:rsidRPr="00C00214">
        <w:t xml:space="preserve">, </w:t>
      </w:r>
      <w:r w:rsidRPr="00C00214">
        <w:rPr>
          <w:i/>
        </w:rPr>
        <w:t>S</w:t>
      </w:r>
      <w:r w:rsidRPr="00C00214">
        <w:rPr>
          <w:vertAlign w:val="subscript"/>
        </w:rPr>
        <w:t>i</w:t>
      </w:r>
      <w:r w:rsidRPr="00C00214">
        <w:t>)/</w:t>
      </w:r>
      <w:r w:rsidRPr="00C00214">
        <w:rPr>
          <w:i/>
        </w:rPr>
        <w:t>J</w:t>
      </w:r>
      <w:r w:rsidRPr="00C00214">
        <w:rPr>
          <w:vertAlign w:val="subscript"/>
        </w:rPr>
        <w:t>Sub</w:t>
      </w:r>
      <w:r w:rsidRPr="00C00214">
        <w:t>(</w:t>
      </w:r>
      <w:r w:rsidRPr="00C00214">
        <w:rPr>
          <w:i/>
        </w:rPr>
        <w:t>S</w:t>
      </w:r>
      <w:r w:rsidRPr="00C00214">
        <w:rPr>
          <w:vertAlign w:val="subscript"/>
        </w:rPr>
        <w:t>i</w:t>
      </w:r>
      <w:r w:rsidRPr="00C00214">
        <w:t xml:space="preserve">). According to Eq. 6, </w:t>
      </w:r>
      <w:r w:rsidRPr="00C00214">
        <w:rPr>
          <w:i/>
        </w:rPr>
        <w:t>J</w:t>
      </w:r>
      <w:r w:rsidRPr="00C00214">
        <w:rPr>
          <w:vertAlign w:val="subscript"/>
        </w:rPr>
        <w:t>Gra</w:t>
      </w:r>
      <w:r w:rsidRPr="00C00214">
        <w:t>(G</w:t>
      </w:r>
      <w:r w:rsidRPr="00C00214">
        <w:rPr>
          <w:vertAlign w:val="subscript"/>
        </w:rPr>
        <w:t>n</w:t>
      </w:r>
      <w:r w:rsidRPr="00C00214">
        <w:t xml:space="preserve">, </w:t>
      </w:r>
      <w:r w:rsidRPr="00C00214">
        <w:rPr>
          <w:i/>
        </w:rPr>
        <w:t>S</w:t>
      </w:r>
      <w:r w:rsidRPr="00C00214">
        <w:rPr>
          <w:vertAlign w:val="subscript"/>
        </w:rPr>
        <w:t>i</w:t>
      </w:r>
      <w:r w:rsidRPr="00C00214">
        <w:t>)/</w:t>
      </w:r>
      <w:r w:rsidRPr="00C00214">
        <w:rPr>
          <w:i/>
        </w:rPr>
        <w:t>J</w:t>
      </w:r>
      <w:r w:rsidRPr="00C00214">
        <w:rPr>
          <w:vertAlign w:val="subscript"/>
        </w:rPr>
        <w:t>Sub</w:t>
      </w:r>
      <w:r w:rsidRPr="00C00214">
        <w:t>(</w:t>
      </w:r>
      <w:r w:rsidRPr="00C00214">
        <w:rPr>
          <w:i/>
        </w:rPr>
        <w:t>S</w:t>
      </w:r>
      <w:r w:rsidRPr="00C00214">
        <w:rPr>
          <w:vertAlign w:val="subscript"/>
        </w:rPr>
        <w:t>i</w:t>
      </w:r>
      <w:r w:rsidRPr="00C00214">
        <w:t xml:space="preserve">) can be rewritten as the sum of </w:t>
      </w:r>
      <w:r w:rsidRPr="00C00214">
        <w:rPr>
          <w:rFonts w:eastAsia="Times New Roman"/>
          <w:i/>
        </w:rPr>
        <w:t>f</w:t>
      </w:r>
      <w:r w:rsidRPr="00C00214">
        <w:rPr>
          <w:rFonts w:eastAsia="Times New Roman"/>
          <w:vertAlign w:val="subscript"/>
        </w:rPr>
        <w:t>Tar</w:t>
      </w:r>
      <w:r w:rsidRPr="00C00214">
        <w:rPr>
          <w:rFonts w:eastAsia="Times New Roman"/>
        </w:rPr>
        <w:t>(</w:t>
      </w:r>
      <w:r w:rsidRPr="00C00214">
        <w:rPr>
          <w:rFonts w:eastAsia="Times New Roman"/>
          <w:i/>
        </w:rPr>
        <w:t>G</w:t>
      </w:r>
      <w:r w:rsidRPr="00C00214">
        <w:rPr>
          <w:rFonts w:eastAsia="Times New Roman"/>
          <w:vertAlign w:val="subscript"/>
        </w:rPr>
        <w:t>n</w:t>
      </w:r>
      <w:r w:rsidRPr="00C00214">
        <w:rPr>
          <w:rFonts w:eastAsia="Times New Roman"/>
        </w:rPr>
        <w:t xml:space="preserve">) and </w:t>
      </w:r>
      <w:r w:rsidRPr="00C00214">
        <w:rPr>
          <w:rFonts w:eastAsia="Times New Roman"/>
          <w:i/>
        </w:rPr>
        <w:t>f</w:t>
      </w:r>
      <w:r w:rsidRPr="00C00214">
        <w:rPr>
          <w:rFonts w:eastAsia="Times New Roman"/>
          <w:vertAlign w:val="subscript"/>
        </w:rPr>
        <w:t>Off</w:t>
      </w:r>
      <w:r w:rsidRPr="00C00214">
        <w:rPr>
          <w:rFonts w:eastAsia="Times New Roman"/>
        </w:rPr>
        <w:t>(</w:t>
      </w:r>
      <w:r w:rsidRPr="00C00214">
        <w:rPr>
          <w:rFonts w:eastAsia="Times New Roman"/>
          <w:i/>
        </w:rPr>
        <w:t>G</w:t>
      </w:r>
      <w:r w:rsidRPr="00C00214">
        <w:rPr>
          <w:rFonts w:eastAsia="Times New Roman"/>
          <w:vertAlign w:val="subscript"/>
        </w:rPr>
        <w:t>n</w:t>
      </w:r>
      <w:r w:rsidRPr="00C00214">
        <w:rPr>
          <w:rFonts w:eastAsia="Times New Roman"/>
        </w:rPr>
        <w:t xml:space="preserve">, </w:t>
      </w:r>
      <w:r w:rsidRPr="00C00214">
        <w:rPr>
          <w:rFonts w:eastAsia="Times New Roman"/>
          <w:i/>
        </w:rPr>
        <w:t>E</w:t>
      </w:r>
      <w:r w:rsidRPr="00C00214">
        <w:rPr>
          <w:rFonts w:eastAsia="Times New Roman"/>
          <w:vertAlign w:val="subscript"/>
        </w:rPr>
        <w:t>in</w:t>
      </w:r>
      <w:r w:rsidRPr="00C00214">
        <w:rPr>
          <w:rFonts w:eastAsia="Times New Roman"/>
        </w:rPr>
        <w:t>)</w:t>
      </w:r>
      <w:r w:rsidRPr="00C00214">
        <w:rPr>
          <w:rFonts w:eastAsia="Times New Roman"/>
          <w:i/>
        </w:rPr>
        <w:t>TF</w:t>
      </w:r>
      <w:r w:rsidRPr="00C00214">
        <w:rPr>
          <w:rFonts w:eastAsia="Times New Roman"/>
          <w:vertAlign w:val="subscript"/>
        </w:rPr>
        <w:t>CMA</w:t>
      </w:r>
      <w:r w:rsidRPr="00C00214">
        <w:rPr>
          <w:rFonts w:eastAsia="Times New Roman"/>
        </w:rPr>
        <w:t>/</w:t>
      </w:r>
      <w:r w:rsidRPr="00C00214">
        <w:rPr>
          <w:i/>
        </w:rPr>
        <w:t>J</w:t>
      </w:r>
      <w:r w:rsidRPr="00C00214">
        <w:rPr>
          <w:vertAlign w:val="subscript"/>
        </w:rPr>
        <w:t>Sub</w:t>
      </w:r>
      <w:r w:rsidRPr="00C00214">
        <w:t>(</w:t>
      </w:r>
      <w:r w:rsidRPr="00C00214">
        <w:rPr>
          <w:i/>
        </w:rPr>
        <w:t>S</w:t>
      </w:r>
      <w:r w:rsidRPr="00C00214">
        <w:rPr>
          <w:vertAlign w:val="subscript"/>
        </w:rPr>
        <w:t>i</w:t>
      </w:r>
      <w:r w:rsidRPr="00C00214">
        <w:t>).</w:t>
      </w:r>
      <w:r w:rsidRPr="00C00214">
        <w:rPr>
          <w:rFonts w:eastAsia="Times New Roman"/>
        </w:rPr>
        <w:t xml:space="preserve"> Although </w:t>
      </w:r>
      <w:r w:rsidRPr="00C00214">
        <w:rPr>
          <w:rFonts w:eastAsia="Times New Roman"/>
          <w:i/>
        </w:rPr>
        <w:t>f</w:t>
      </w:r>
      <w:r w:rsidRPr="00C00214">
        <w:rPr>
          <w:rFonts w:eastAsia="Times New Roman"/>
          <w:vertAlign w:val="subscript"/>
        </w:rPr>
        <w:t>Tar</w:t>
      </w:r>
      <w:r w:rsidRPr="00C00214">
        <w:rPr>
          <w:rFonts w:eastAsia="Times New Roman"/>
        </w:rPr>
        <w:t>(</w:t>
      </w:r>
      <w:r w:rsidRPr="00C00214">
        <w:rPr>
          <w:rFonts w:eastAsia="Times New Roman"/>
          <w:i/>
        </w:rPr>
        <w:t>G</w:t>
      </w:r>
      <w:r w:rsidRPr="00C00214">
        <w:rPr>
          <w:rFonts w:eastAsia="Times New Roman"/>
          <w:vertAlign w:val="subscript"/>
        </w:rPr>
        <w:t>n</w:t>
      </w:r>
      <w:r w:rsidRPr="00C00214">
        <w:rPr>
          <w:rFonts w:eastAsia="Times New Roman"/>
        </w:rPr>
        <w:t xml:space="preserve">) is </w:t>
      </w:r>
      <w:r w:rsidRPr="00C00214">
        <w:rPr>
          <w:rFonts w:eastAsia="Times New Roman"/>
          <w:lang w:eastAsia="zh-CN"/>
        </w:rPr>
        <w:t xml:space="preserve">the </w:t>
      </w:r>
      <w:r w:rsidRPr="00C00214">
        <w:rPr>
          <w:rFonts w:eastAsia="Times New Roman"/>
        </w:rPr>
        <w:t xml:space="preserve">elastic electron </w:t>
      </w:r>
      <w:r w:rsidR="006B33E1" w:rsidRPr="00C00214">
        <w:t xml:space="preserve">transmission </w:t>
      </w:r>
      <w:r w:rsidRPr="00C00214">
        <w:rPr>
          <w:rFonts w:eastAsia="Times New Roman"/>
        </w:rPr>
        <w:t xml:space="preserve">of graphene, </w:t>
      </w:r>
      <w:r w:rsidRPr="00C00214">
        <w:rPr>
          <w:rFonts w:eastAsia="Times New Roman"/>
          <w:i/>
        </w:rPr>
        <w:t>f</w:t>
      </w:r>
      <w:r w:rsidRPr="00C00214">
        <w:rPr>
          <w:rFonts w:eastAsia="Times New Roman"/>
          <w:vertAlign w:val="subscript"/>
        </w:rPr>
        <w:t>Off</w:t>
      </w:r>
      <w:r w:rsidRPr="00C00214">
        <w:rPr>
          <w:rFonts w:eastAsia="Times New Roman"/>
        </w:rPr>
        <w:t>(</w:t>
      </w:r>
      <w:r w:rsidRPr="00C00214">
        <w:rPr>
          <w:rFonts w:eastAsia="Times New Roman"/>
          <w:i/>
        </w:rPr>
        <w:t>G</w:t>
      </w:r>
      <w:r w:rsidRPr="00C00214">
        <w:rPr>
          <w:rFonts w:eastAsia="Times New Roman"/>
          <w:vertAlign w:val="subscript"/>
        </w:rPr>
        <w:t>n</w:t>
      </w:r>
      <w:r w:rsidRPr="00C00214">
        <w:rPr>
          <w:rFonts w:eastAsia="Times New Roman"/>
        </w:rPr>
        <w:t xml:space="preserve">, </w:t>
      </w:r>
      <w:r w:rsidRPr="00C00214">
        <w:rPr>
          <w:rFonts w:eastAsia="Times New Roman"/>
          <w:i/>
        </w:rPr>
        <w:t>E</w:t>
      </w:r>
      <w:r w:rsidRPr="00C00214">
        <w:rPr>
          <w:rFonts w:eastAsia="Times New Roman"/>
          <w:vertAlign w:val="subscript"/>
        </w:rPr>
        <w:t>in</w:t>
      </w:r>
      <w:r w:rsidRPr="00C00214">
        <w:rPr>
          <w:rFonts w:eastAsia="Times New Roman"/>
        </w:rPr>
        <w:t>)</w:t>
      </w:r>
      <w:r w:rsidRPr="00C00214">
        <w:rPr>
          <w:rFonts w:eastAsia="Times New Roman"/>
          <w:i/>
        </w:rPr>
        <w:t>TF</w:t>
      </w:r>
      <w:r w:rsidRPr="00C00214">
        <w:rPr>
          <w:rFonts w:eastAsia="Times New Roman"/>
          <w:vertAlign w:val="subscript"/>
        </w:rPr>
        <w:t>CMA</w:t>
      </w:r>
      <w:r w:rsidRPr="00C00214">
        <w:rPr>
          <w:rFonts w:eastAsia="Times New Roman"/>
        </w:rPr>
        <w:t>/</w:t>
      </w:r>
      <w:r w:rsidRPr="00C00214">
        <w:rPr>
          <w:i/>
        </w:rPr>
        <w:t>J</w:t>
      </w:r>
      <w:r w:rsidRPr="00C00214">
        <w:rPr>
          <w:vertAlign w:val="subscript"/>
        </w:rPr>
        <w:t>Sub</w:t>
      </w:r>
      <w:r w:rsidRPr="00C00214">
        <w:t>(</w:t>
      </w:r>
      <w:r w:rsidRPr="00C00214">
        <w:rPr>
          <w:i/>
        </w:rPr>
        <w:t>S</w:t>
      </w:r>
      <w:r w:rsidRPr="00C00214">
        <w:rPr>
          <w:vertAlign w:val="subscript"/>
        </w:rPr>
        <w:t>i</w:t>
      </w:r>
      <w:r w:rsidRPr="00C00214">
        <w:t xml:space="preserve">) originating from </w:t>
      </w:r>
      <w:r w:rsidRPr="00C00214">
        <w:rPr>
          <w:rFonts w:eastAsia="Times New Roman"/>
        </w:rPr>
        <w:t xml:space="preserve">those SEs </w:t>
      </w:r>
      <w:r w:rsidRPr="00C00214">
        <w:t xml:space="preserve">excited and emitted from graphene when </w:t>
      </w:r>
      <w:r w:rsidRPr="00C00214">
        <w:rPr>
          <w:rFonts w:eastAsia="Times New Roman"/>
        </w:rPr>
        <w:t xml:space="preserve">electron beam is first incident is the error source in calculating </w:t>
      </w:r>
      <w:r w:rsidRPr="00C00214">
        <w:rPr>
          <w:rFonts w:eastAsia="Times New Roman"/>
          <w:lang w:eastAsia="zh-CN"/>
        </w:rPr>
        <w:t xml:space="preserve">the </w:t>
      </w:r>
      <w:r w:rsidRPr="00C00214">
        <w:rPr>
          <w:rFonts w:eastAsia="Times New Roman"/>
          <w:i/>
          <w:lang w:eastAsia="zh-CN"/>
        </w:rPr>
        <w:t>λ</w:t>
      </w:r>
      <w:r w:rsidRPr="00C00214">
        <w:rPr>
          <w:rFonts w:eastAsia="Times New Roman"/>
          <w:vertAlign w:val="subscript"/>
          <w:lang w:eastAsia="zh-CN"/>
        </w:rPr>
        <w:t>EAL</w:t>
      </w:r>
      <w:r w:rsidRPr="00C00214">
        <w:rPr>
          <w:rFonts w:eastAsia="Times New Roman"/>
          <w:lang w:eastAsia="zh-CN"/>
        </w:rPr>
        <w:t xml:space="preserve"> data. This could result in an overestimation of the </w:t>
      </w:r>
      <w:r w:rsidRPr="00C00214">
        <w:rPr>
          <w:rFonts w:eastAsia="Times New Roman"/>
          <w:i/>
          <w:lang w:eastAsia="zh-CN"/>
        </w:rPr>
        <w:t>λ</w:t>
      </w:r>
      <w:r w:rsidRPr="00C00214">
        <w:rPr>
          <w:rFonts w:eastAsia="Times New Roman"/>
          <w:vertAlign w:val="subscript"/>
          <w:lang w:eastAsia="zh-CN"/>
        </w:rPr>
        <w:t>EAL</w:t>
      </w:r>
      <w:r w:rsidRPr="00C00214">
        <w:rPr>
          <w:rFonts w:eastAsia="Times New Roman"/>
          <w:lang w:eastAsia="zh-CN"/>
        </w:rPr>
        <w:t xml:space="preserve"> data, especially at very low </w:t>
      </w:r>
      <w:r w:rsidRPr="00C00214">
        <w:rPr>
          <w:rFonts w:eastAsia="Times New Roman"/>
          <w:i/>
          <w:lang w:eastAsia="zh-CN"/>
        </w:rPr>
        <w:t>E</w:t>
      </w:r>
      <w:r w:rsidRPr="00C00214">
        <w:rPr>
          <w:rFonts w:eastAsia="Times New Roman"/>
          <w:lang w:eastAsia="zh-CN"/>
        </w:rPr>
        <w:t xml:space="preserve"> (18 eV), where the intensity of SEs </w:t>
      </w:r>
      <w:r w:rsidRPr="00C00214">
        <w:t xml:space="preserve">excited and emitted from graphene sharply increase. </w:t>
      </w:r>
    </w:p>
    <w:p w14:paraId="63AFCCF2" w14:textId="477BD082" w:rsidR="008C3EE4" w:rsidRPr="00C00214" w:rsidRDefault="004C2AEC">
      <w:pPr>
        <w:jc w:val="both"/>
        <w:rPr>
          <w:rFonts w:eastAsia="Times New Roman"/>
        </w:rPr>
      </w:pPr>
      <w:r w:rsidRPr="00C00214">
        <w:rPr>
          <w:rFonts w:eastAsia="Times New Roman"/>
        </w:rPr>
        <w:t xml:space="preserve">The </w:t>
      </w:r>
      <w:r w:rsidRPr="00C00214">
        <w:rPr>
          <w:rFonts w:eastAsia="Times New Roman"/>
          <w:i/>
        </w:rPr>
        <w:t>λ</w:t>
      </w:r>
      <w:r w:rsidRPr="00C00214">
        <w:rPr>
          <w:rFonts w:eastAsia="Times New Roman"/>
          <w:vertAlign w:val="subscript"/>
        </w:rPr>
        <w:t>IMFP</w:t>
      </w:r>
      <w:r w:rsidRPr="00C00214">
        <w:rPr>
          <w:rFonts w:eastAsia="Times New Roman"/>
        </w:rPr>
        <w:t xml:space="preserve"> values of monolayer graphene were also determined from these more detailed SE spectra with the help of RMC calculations at </w:t>
      </w:r>
      <w:r w:rsidRPr="00C00214">
        <w:rPr>
          <w:rFonts w:eastAsia="Times New Roman"/>
          <w:i/>
        </w:rPr>
        <w:t>E</w:t>
      </w:r>
      <w:r w:rsidRPr="00C00214">
        <w:rPr>
          <w:rFonts w:eastAsia="Times New Roman"/>
        </w:rPr>
        <w:t xml:space="preserve"> above 6 eV. The presented </w:t>
      </w:r>
      <w:r w:rsidRPr="00C00214">
        <w:rPr>
          <w:rFonts w:eastAsia="Times New Roman"/>
          <w:i/>
        </w:rPr>
        <w:t>λ</w:t>
      </w:r>
      <w:r w:rsidRPr="00C00214">
        <w:rPr>
          <w:rFonts w:eastAsia="Times New Roman"/>
          <w:vertAlign w:val="subscript"/>
        </w:rPr>
        <w:t>IMFP</w:t>
      </w:r>
      <w:r w:rsidRPr="00C00214">
        <w:rPr>
          <w:rFonts w:eastAsia="Times New Roman"/>
        </w:rPr>
        <w:t xml:space="preserve"> values of graphene were higher than the </w:t>
      </w:r>
      <w:r w:rsidRPr="00C00214">
        <w:rPr>
          <w:rFonts w:eastAsia="Times New Roman"/>
          <w:i/>
        </w:rPr>
        <w:t>λ</w:t>
      </w:r>
      <w:r w:rsidRPr="00C00214">
        <w:rPr>
          <w:rFonts w:eastAsia="Times New Roman"/>
          <w:vertAlign w:val="subscript"/>
        </w:rPr>
        <w:t>EAL</w:t>
      </w:r>
      <w:r w:rsidRPr="00C00214">
        <w:rPr>
          <w:rFonts w:eastAsia="Times New Roman"/>
        </w:rPr>
        <w:t xml:space="preserve"> values of graphene because of the removal of the elastic scattering effect from </w:t>
      </w:r>
      <w:r w:rsidRPr="00C00214">
        <w:rPr>
          <w:rFonts w:eastAsia="Times New Roman"/>
          <w:i/>
        </w:rPr>
        <w:t>λ</w:t>
      </w:r>
      <w:r w:rsidRPr="00C00214">
        <w:rPr>
          <w:rFonts w:eastAsia="Times New Roman"/>
          <w:vertAlign w:val="subscript"/>
        </w:rPr>
        <w:t>IMFP</w:t>
      </w:r>
      <w:r w:rsidRPr="00C00214">
        <w:rPr>
          <w:rFonts w:eastAsia="Times New Roman"/>
        </w:rPr>
        <w:t xml:space="preserve">. However, it is unusual that the </w:t>
      </w:r>
      <w:r w:rsidRPr="00C00214">
        <w:rPr>
          <w:rFonts w:eastAsia="Times New Roman"/>
          <w:i/>
        </w:rPr>
        <w:t>λ</w:t>
      </w:r>
      <w:r w:rsidRPr="00C00214">
        <w:rPr>
          <w:rFonts w:eastAsia="Times New Roman"/>
          <w:vertAlign w:val="subscript"/>
        </w:rPr>
        <w:t>EAL</w:t>
      </w:r>
      <w:r w:rsidRPr="00C00214">
        <w:rPr>
          <w:rFonts w:eastAsia="Times New Roman"/>
        </w:rPr>
        <w:t xml:space="preserve"> data showed weak dependence on </w:t>
      </w:r>
      <w:r w:rsidRPr="00C00214">
        <w:rPr>
          <w:rFonts w:eastAsia="Times New Roman"/>
          <w:i/>
        </w:rPr>
        <w:t>E</w:t>
      </w:r>
      <w:r w:rsidRPr="00C00214">
        <w:rPr>
          <w:rFonts w:eastAsia="Times New Roman"/>
        </w:rPr>
        <w:t xml:space="preserve"> whereas the </w:t>
      </w:r>
      <w:r w:rsidRPr="00C00214">
        <w:rPr>
          <w:rFonts w:eastAsia="Times New Roman"/>
          <w:i/>
        </w:rPr>
        <w:t>λ</w:t>
      </w:r>
      <w:r w:rsidRPr="00C00214">
        <w:rPr>
          <w:rFonts w:eastAsia="Times New Roman"/>
          <w:vertAlign w:val="subscript"/>
        </w:rPr>
        <w:t>IMFP</w:t>
      </w:r>
      <w:r w:rsidRPr="00C00214">
        <w:rPr>
          <w:rFonts w:eastAsia="Times New Roman"/>
        </w:rPr>
        <w:t xml:space="preserve"> data showed strong fluctuations of </w:t>
      </w:r>
      <w:r w:rsidRPr="00C00214">
        <w:rPr>
          <w:rFonts w:eastAsia="Times New Roman"/>
          <w:i/>
        </w:rPr>
        <w:t xml:space="preserve">E </w:t>
      </w:r>
      <w:r w:rsidRPr="00C00214">
        <w:rPr>
          <w:rFonts w:eastAsia="Times New Roman"/>
        </w:rPr>
        <w:t xml:space="preserve">at certain energies. In the case of a bulk material, inelastic scattering generally results in a simple dependence of </w:t>
      </w:r>
      <w:r w:rsidRPr="00C00214">
        <w:rPr>
          <w:rFonts w:eastAsia="Times New Roman"/>
          <w:i/>
        </w:rPr>
        <w:t>λ</w:t>
      </w:r>
      <w:r w:rsidRPr="00C00214">
        <w:rPr>
          <w:rFonts w:eastAsia="Times New Roman"/>
          <w:vertAlign w:val="subscript"/>
        </w:rPr>
        <w:t>IMFP</w:t>
      </w:r>
      <w:r w:rsidRPr="00C00214">
        <w:rPr>
          <w:rFonts w:eastAsia="Times New Roman"/>
        </w:rPr>
        <w:t xml:space="preserve"> on energy as a well-known universal curve [</w:t>
      </w:r>
      <w:r w:rsidR="00CF6F31" w:rsidRPr="00C00214">
        <w:rPr>
          <w:rFonts w:eastAsia="Times New Roman"/>
          <w:i/>
        </w:rPr>
        <w:t>43</w:t>
      </w:r>
      <w:r w:rsidRPr="00C00214">
        <w:rPr>
          <w:rFonts w:eastAsia="Times New Roman"/>
        </w:rPr>
        <w:t xml:space="preserve">] and the elastic scattering results in diffraction minima in the </w:t>
      </w:r>
      <w:r w:rsidRPr="00C00214">
        <w:rPr>
          <w:rFonts w:eastAsia="Times New Roman"/>
          <w:i/>
        </w:rPr>
        <w:t>λ</w:t>
      </w:r>
      <w:r w:rsidRPr="00C00214">
        <w:rPr>
          <w:rFonts w:eastAsia="Times New Roman"/>
          <w:vertAlign w:val="subscript"/>
        </w:rPr>
        <w:t>EAL</w:t>
      </w:r>
      <w:r w:rsidRPr="00C00214">
        <w:rPr>
          <w:rFonts w:eastAsia="Times New Roman"/>
        </w:rPr>
        <w:t xml:space="preserve"> curve. The fluctuations of </w:t>
      </w:r>
      <w:r w:rsidRPr="00C00214">
        <w:rPr>
          <w:rFonts w:eastAsia="Times New Roman"/>
          <w:i/>
        </w:rPr>
        <w:t xml:space="preserve">E </w:t>
      </w:r>
      <w:r w:rsidRPr="00C00214">
        <w:rPr>
          <w:rFonts w:eastAsia="Times New Roman"/>
        </w:rPr>
        <w:t xml:space="preserve">in the </w:t>
      </w:r>
      <w:r w:rsidRPr="00C00214">
        <w:rPr>
          <w:rFonts w:eastAsia="Times New Roman"/>
          <w:i/>
        </w:rPr>
        <w:t>λ</w:t>
      </w:r>
      <w:r w:rsidRPr="00C00214">
        <w:rPr>
          <w:rFonts w:eastAsia="Times New Roman"/>
          <w:vertAlign w:val="subscript"/>
        </w:rPr>
        <w:t>IMFP</w:t>
      </w:r>
      <w:r w:rsidRPr="00C00214">
        <w:rPr>
          <w:rFonts w:eastAsia="Times New Roman"/>
        </w:rPr>
        <w:t xml:space="preserve"> data probably originated from the coupling between the crystal potential of monolayer graphene and that of the surface layer of the underlying Au substrate, which remained in the presented</w:t>
      </w:r>
      <w:r w:rsidRPr="00C00214">
        <w:rPr>
          <w:rFonts w:eastAsia="Times New Roman"/>
          <w:i/>
        </w:rPr>
        <w:t xml:space="preserve"> λ</w:t>
      </w:r>
      <w:r w:rsidRPr="00C00214">
        <w:rPr>
          <w:rFonts w:eastAsia="Times New Roman"/>
          <w:vertAlign w:val="subscript"/>
        </w:rPr>
        <w:t>IMFP</w:t>
      </w:r>
      <w:r w:rsidRPr="00C00214">
        <w:rPr>
          <w:rFonts w:eastAsia="Times New Roman"/>
        </w:rPr>
        <w:t xml:space="preserve"> data because of the oversimplified RMC program. This conjecture is supported by the observed </w:t>
      </w:r>
      <w:r w:rsidRPr="00C00214">
        <w:rPr>
          <w:rFonts w:eastAsia="Times New Roman"/>
          <w:i/>
        </w:rPr>
        <w:t>λ</w:t>
      </w:r>
      <w:r w:rsidRPr="00C00214">
        <w:rPr>
          <w:rFonts w:eastAsia="Times New Roman"/>
          <w:vertAlign w:val="subscript"/>
        </w:rPr>
        <w:t>EAL</w:t>
      </w:r>
      <w:r w:rsidRPr="00C00214">
        <w:rPr>
          <w:rFonts w:eastAsia="Times New Roman"/>
        </w:rPr>
        <w:t xml:space="preserve"> data, because similar fluctuations of </w:t>
      </w:r>
      <w:r w:rsidRPr="00C00214">
        <w:rPr>
          <w:rFonts w:eastAsia="Times New Roman"/>
          <w:i/>
        </w:rPr>
        <w:t xml:space="preserve">E </w:t>
      </w:r>
      <w:r w:rsidRPr="00C00214">
        <w:rPr>
          <w:rFonts w:eastAsia="Times New Roman"/>
        </w:rPr>
        <w:t xml:space="preserve">were observed in the </w:t>
      </w:r>
      <w:r w:rsidRPr="00C00214">
        <w:rPr>
          <w:rFonts w:eastAsia="Times New Roman"/>
          <w:i/>
        </w:rPr>
        <w:t>λ</w:t>
      </w:r>
      <w:r w:rsidRPr="00C00214">
        <w:rPr>
          <w:rFonts w:eastAsia="Times New Roman"/>
          <w:vertAlign w:val="subscript"/>
        </w:rPr>
        <w:t>EAL</w:t>
      </w:r>
      <w:r w:rsidRPr="00C00214">
        <w:rPr>
          <w:rFonts w:eastAsia="Times New Roman"/>
        </w:rPr>
        <w:t xml:space="preserve"> values determined for both monolayer graphene and single-crystal graphite. </w:t>
      </w:r>
      <w:r w:rsidRPr="00C00214">
        <w:rPr>
          <w:rFonts w:eastAsia="Microsoft YaHei"/>
          <w:szCs w:val="27"/>
          <w:shd w:val="clear" w:color="auto" w:fill="FFFFFF"/>
        </w:rPr>
        <w:t xml:space="preserve">The </w:t>
      </w:r>
      <w:r w:rsidRPr="00C00214">
        <w:rPr>
          <w:rFonts w:eastAsia="Times New Roman"/>
          <w:i/>
        </w:rPr>
        <w:t>λ</w:t>
      </w:r>
      <w:r w:rsidRPr="00C00214">
        <w:rPr>
          <w:rFonts w:eastAsia="Times New Roman"/>
          <w:vertAlign w:val="subscript"/>
        </w:rPr>
        <w:t>EAL</w:t>
      </w:r>
      <w:r w:rsidRPr="00C00214">
        <w:rPr>
          <w:rFonts w:eastAsia="Times New Roman"/>
        </w:rPr>
        <w:t xml:space="preserve"> and </w:t>
      </w:r>
      <w:r w:rsidRPr="00C00214">
        <w:rPr>
          <w:rFonts w:eastAsia="Times New Roman"/>
          <w:i/>
        </w:rPr>
        <w:t>λ</w:t>
      </w:r>
      <w:r w:rsidRPr="00C00214">
        <w:rPr>
          <w:rFonts w:eastAsia="Times New Roman"/>
          <w:vertAlign w:val="subscript"/>
        </w:rPr>
        <w:t>IMFP</w:t>
      </w:r>
      <w:r w:rsidRPr="00C00214">
        <w:rPr>
          <w:rFonts w:eastAsia="Times New Roman"/>
        </w:rPr>
        <w:t xml:space="preserve"> of monolayer graphene determined from the presented transmission data correspond to Au-supported </w:t>
      </w:r>
      <w:r w:rsidRPr="00C00214">
        <w:rPr>
          <w:rFonts w:eastAsia="Times New Roman"/>
        </w:rPr>
        <w:lastRenderedPageBreak/>
        <w:t xml:space="preserve">graphene over the whole energy range. However, as discussed above, they can be used to approximate those of suspended graphene at </w:t>
      </w:r>
      <w:r w:rsidRPr="00C00214">
        <w:rPr>
          <w:rFonts w:eastAsia="Times New Roman"/>
          <w:i/>
        </w:rPr>
        <w:t>E</w:t>
      </w:r>
      <w:r w:rsidRPr="00C00214">
        <w:rPr>
          <w:rFonts w:eastAsia="Times New Roman"/>
        </w:rPr>
        <w:t xml:space="preserve"> above 10 eV.</w:t>
      </w:r>
    </w:p>
    <w:p w14:paraId="6A565194" w14:textId="655F3AA9" w:rsidR="008C3EE4" w:rsidRPr="00C00214" w:rsidRDefault="004C2AEC">
      <w:pPr>
        <w:jc w:val="both"/>
        <w:rPr>
          <w:rFonts w:eastAsia="Times New Roman"/>
        </w:rPr>
      </w:pPr>
      <w:r w:rsidRPr="00C00214">
        <w:rPr>
          <w:rFonts w:eastAsia="Times New Roman"/>
        </w:rPr>
        <w:t xml:space="preserve">Last but not least, it is not </w:t>
      </w:r>
      <w:r w:rsidR="00ED78FB" w:rsidRPr="00C00214">
        <w:rPr>
          <w:rFonts w:eastAsia="Times New Roman"/>
        </w:rPr>
        <w:t xml:space="preserve">surprising </w:t>
      </w:r>
      <w:r w:rsidRPr="00C00214">
        <w:rPr>
          <w:rFonts w:eastAsia="Times New Roman"/>
        </w:rPr>
        <w:t xml:space="preserve">that the </w:t>
      </w:r>
      <w:r w:rsidRPr="00C00214">
        <w:rPr>
          <w:rFonts w:eastAsia="Times New Roman"/>
          <w:i/>
        </w:rPr>
        <w:t>λ</w:t>
      </w:r>
      <w:r w:rsidRPr="00C00214">
        <w:rPr>
          <w:rFonts w:eastAsia="Times New Roman"/>
          <w:vertAlign w:val="subscript"/>
        </w:rPr>
        <w:t>EAL</w:t>
      </w:r>
      <w:r w:rsidRPr="00C00214">
        <w:rPr>
          <w:rFonts w:eastAsia="Times New Roman"/>
        </w:rPr>
        <w:t xml:space="preserve"> values of monolayer graphene were much higher than those of single-crystal graphite at </w:t>
      </w:r>
      <w:r w:rsidRPr="00C00214">
        <w:rPr>
          <w:rFonts w:eastAsia="Times New Roman"/>
          <w:i/>
        </w:rPr>
        <w:t xml:space="preserve">E </w:t>
      </w:r>
      <w:r w:rsidRPr="00C00214">
        <w:rPr>
          <w:rFonts w:eastAsia="Times New Roman"/>
        </w:rPr>
        <w:t xml:space="preserve">below 50 eV, which is in accordance with the observations of </w:t>
      </w:r>
      <w:r w:rsidRPr="00C00214">
        <w:rPr>
          <w:rFonts w:eastAsia="Times New Roman"/>
          <w:i/>
        </w:rPr>
        <w:t>λ</w:t>
      </w:r>
      <w:r w:rsidRPr="00C00214">
        <w:rPr>
          <w:rFonts w:eastAsia="Times New Roman"/>
          <w:vertAlign w:val="subscript"/>
        </w:rPr>
        <w:t>IMFP</w:t>
      </w:r>
      <w:r w:rsidRPr="00C00214">
        <w:rPr>
          <w:rFonts w:eastAsia="Times New Roman"/>
        </w:rPr>
        <w:t xml:space="preserve"> in the energy range of 50–600 eV, as shown in Fig. </w:t>
      </w:r>
      <w:r w:rsidR="00971062" w:rsidRPr="00C00214">
        <w:rPr>
          <w:rFonts w:eastAsia="Times New Roman"/>
        </w:rPr>
        <w:t>5</w:t>
      </w:r>
      <w:r w:rsidRPr="00C00214">
        <w:rPr>
          <w:rFonts w:eastAsia="Times New Roman"/>
        </w:rPr>
        <w:t xml:space="preserve">. These results indicate that </w:t>
      </w:r>
      <w:bookmarkStart w:id="78" w:name="OLE_LINK110"/>
      <w:r w:rsidRPr="00C00214">
        <w:rPr>
          <w:rFonts w:eastAsia="Times New Roman"/>
        </w:rPr>
        <w:t xml:space="preserve">the possibility of an electron </w:t>
      </w:r>
      <w:bookmarkEnd w:id="78"/>
      <w:r w:rsidRPr="00C00214">
        <w:rPr>
          <w:rFonts w:eastAsia="Times New Roman"/>
        </w:rPr>
        <w:t>colliding with monolayer graphene is very low compared with that of an electron colliding with graphite, resulting in monolayer graphene possessing an ultralow SE yield, which is consistent with a recent experimental observation [</w:t>
      </w:r>
      <w:r w:rsidR="00CF6F31" w:rsidRPr="00C00214">
        <w:rPr>
          <w:rFonts w:eastAsia="Times New Roman"/>
          <w:i/>
        </w:rPr>
        <w:t>44</w:t>
      </w:r>
      <w:r w:rsidRPr="00C00214">
        <w:rPr>
          <w:rFonts w:eastAsia="Times New Roman"/>
        </w:rPr>
        <w:t>] and recent theoretical calculations [</w:t>
      </w:r>
      <w:r w:rsidR="00CF6F31" w:rsidRPr="00C00214">
        <w:rPr>
          <w:rFonts w:eastAsia="Times New Roman"/>
          <w:i/>
        </w:rPr>
        <w:t>45</w:t>
      </w:r>
      <w:r w:rsidRPr="00C00214">
        <w:rPr>
          <w:rFonts w:eastAsia="Times New Roman"/>
        </w:rPr>
        <w:t>].</w:t>
      </w:r>
    </w:p>
    <w:p w14:paraId="0CF5A820" w14:textId="5A47E0B6" w:rsidR="009E1C37" w:rsidRPr="00C00214" w:rsidRDefault="001C6150">
      <w:pPr>
        <w:jc w:val="both"/>
        <w:rPr>
          <w:rFonts w:eastAsia="Times New Roman"/>
          <w:b/>
        </w:rPr>
      </w:pPr>
      <w:r w:rsidRPr="00C00214">
        <w:rPr>
          <w:rFonts w:eastAsia="Times New Roman"/>
          <w:b/>
        </w:rPr>
        <w:t>4.</w:t>
      </w:r>
      <w:r w:rsidR="009E1C37" w:rsidRPr="00C00214">
        <w:rPr>
          <w:rFonts w:eastAsia="Times New Roman"/>
          <w:b/>
        </w:rPr>
        <w:t xml:space="preserve"> Discussion</w:t>
      </w:r>
    </w:p>
    <w:p w14:paraId="19828352" w14:textId="451C701A" w:rsidR="006E560F" w:rsidRPr="00C00214" w:rsidRDefault="00570770">
      <w:pPr>
        <w:jc w:val="both"/>
      </w:pPr>
      <w:r w:rsidRPr="00C00214">
        <w:t xml:space="preserve">Using AD descriptors to separate useful information from collected SE signals has a long history, however, </w:t>
      </w:r>
      <w:r w:rsidR="00F725AA" w:rsidRPr="00C00214">
        <w:t>a</w:t>
      </w:r>
      <w:r w:rsidRPr="00C00214">
        <w:t xml:space="preserve"> paradigm </w:t>
      </w:r>
      <w:r w:rsidR="00F725AA" w:rsidRPr="00C00214">
        <w:t>for</w:t>
      </w:r>
      <w:r w:rsidRPr="00C00214">
        <w:t xml:space="preserve"> design</w:t>
      </w:r>
      <w:r w:rsidR="00F725AA" w:rsidRPr="00C00214">
        <w:t>ing</w:t>
      </w:r>
      <w:r w:rsidRPr="00C00214">
        <w:t xml:space="preserve"> useful AD descriptor</w:t>
      </w:r>
      <w:r w:rsidR="00F725AA" w:rsidRPr="00C00214">
        <w:t>s</w:t>
      </w:r>
      <w:r w:rsidRPr="00C00214">
        <w:t xml:space="preserve"> has not </w:t>
      </w:r>
      <w:r w:rsidR="00F725AA" w:rsidRPr="00C00214">
        <w:t xml:space="preserve">yet </w:t>
      </w:r>
      <w:r w:rsidR="00A23E20" w:rsidRPr="00C00214">
        <w:t>emerged</w:t>
      </w:r>
      <w:r w:rsidRPr="00C00214">
        <w:t>. The widely used spectral subtraction and spectral ratioing techniques are the simplest approaches that employ AD descriptors, which entail the subtraction or ratioing, respectively, of two interrelated measurements to highlight interesting spectral features. When these two simple techniques are insufficient to extract useful information from SE signals, more complex AD descriptors are developed via subtraction and ratioing between two interrelated measurements to enlarge small differences between the two measurements, such as D</w:t>
      </w:r>
      <w:r w:rsidRPr="00C00214">
        <w:rPr>
          <w:vertAlign w:val="subscript"/>
        </w:rPr>
        <w:t>28</w:t>
      </w:r>
      <w:r w:rsidRPr="00C00214">
        <w:t xml:space="preserve"> in Ref. [</w:t>
      </w:r>
      <w:r w:rsidRPr="00C00214">
        <w:rPr>
          <w:i/>
        </w:rPr>
        <w:t>19</w:t>
      </w:r>
      <w:r w:rsidRPr="00C00214">
        <w:t>] and D</w:t>
      </w:r>
      <w:r w:rsidRPr="00C00214">
        <w:rPr>
          <w:vertAlign w:val="subscript"/>
        </w:rPr>
        <w:t>33</w:t>
      </w:r>
      <w:r w:rsidRPr="00C00214">
        <w:t xml:space="preserve"> in Ref. [</w:t>
      </w:r>
      <w:r w:rsidRPr="00C00214">
        <w:rPr>
          <w:i/>
        </w:rPr>
        <w:t>20</w:t>
      </w:r>
      <w:r w:rsidRPr="00C00214">
        <w:t>]. When these AD descriptors fail, the complexity can be increased with more than two interrelated measurements. For example, the four-point probe technique in materials science precisely determines electrical resistance by excluding contributions from parasitic contact resistances [</w:t>
      </w:r>
      <w:r w:rsidR="00C911B4" w:rsidRPr="00C00214">
        <w:rPr>
          <w:i/>
        </w:rPr>
        <w:t>46</w:t>
      </w:r>
      <w:r w:rsidRPr="00C00214">
        <w:t>], the chop-nod method in radio astronomy detects faint astronomical sources against the bright, variable sky background using ground-based telescopes [</w:t>
      </w:r>
      <w:r w:rsidR="00C911B4" w:rsidRPr="00C00214">
        <w:rPr>
          <w:i/>
        </w:rPr>
        <w:t>47</w:t>
      </w:r>
      <w:r w:rsidRPr="00C00214">
        <w:t xml:space="preserve">], and the virtual substrate method in surface analysis </w:t>
      </w:r>
      <w:r w:rsidRPr="00C00214">
        <w:lastRenderedPageBreak/>
        <w:t>characterizes nanomaterials without effects from the underlying substrate [</w:t>
      </w:r>
      <w:r w:rsidRPr="00C00214">
        <w:rPr>
          <w:i/>
        </w:rPr>
        <w:t>21</w:t>
      </w:r>
      <w:r w:rsidRPr="00C00214">
        <w:t xml:space="preserve">]. </w:t>
      </w:r>
      <w:r w:rsidR="00950D59" w:rsidRPr="00C00214">
        <w:t xml:space="preserve">These </w:t>
      </w:r>
      <w:r w:rsidRPr="00C00214">
        <w:t xml:space="preserve">are </w:t>
      </w:r>
      <w:r w:rsidR="0029318E" w:rsidRPr="00C00214">
        <w:t xml:space="preserve">examples of </w:t>
      </w:r>
      <w:r w:rsidRPr="00C00214">
        <w:t xml:space="preserve">three well-designed AD descriptors constructed from more than two interrelated measurements. This paper attempts to </w:t>
      </w:r>
      <w:r w:rsidR="00950D59" w:rsidRPr="00C00214">
        <w:t xml:space="preserve">provide </w:t>
      </w:r>
      <w:r w:rsidRPr="00C00214">
        <w:t xml:space="preserve">a paradigm </w:t>
      </w:r>
      <w:r w:rsidR="00950D59" w:rsidRPr="00C00214">
        <w:t>for the</w:t>
      </w:r>
      <w:r w:rsidRPr="00C00214">
        <w:t xml:space="preserve"> construct</w:t>
      </w:r>
      <w:r w:rsidR="00950D59" w:rsidRPr="00C00214">
        <w:t>ion of</w:t>
      </w:r>
      <w:r w:rsidRPr="00C00214">
        <w:t xml:space="preserve"> well-designed AD descriptors according to the given requirements. The presented data-driven spectral analysis method is an extension of conventional spectral analyses with the goal of comprehensive exploration of AD descriptors. </w:t>
      </w:r>
      <w:r w:rsidR="00063109" w:rsidRPr="00C00214">
        <w:t>By u</w:t>
      </w:r>
      <w:r w:rsidRPr="00C00214">
        <w:t xml:space="preserve">sing this extension, we improve our chance of finding well-designed AD descriptors that meet realistic requirements according to the experience garnered from many measurements under different experimental conditions, which is particularly important </w:t>
      </w:r>
      <w:r w:rsidR="00063109" w:rsidRPr="00C00214">
        <w:t>for</w:t>
      </w:r>
      <w:r w:rsidRPr="00C00214">
        <w:t xml:space="preserve"> reach</w:t>
      </w:r>
      <w:r w:rsidR="00063109" w:rsidRPr="00C00214">
        <w:t>ing</w:t>
      </w:r>
      <w:r w:rsidRPr="00C00214">
        <w:t xml:space="preserve"> a quantitative understanding of backgrounds.</w:t>
      </w:r>
    </w:p>
    <w:p w14:paraId="0C8489AA" w14:textId="3EF49DEE" w:rsidR="008C3EE4" w:rsidRPr="00C00214" w:rsidRDefault="001C6150">
      <w:pPr>
        <w:jc w:val="both"/>
      </w:pPr>
      <w:r w:rsidRPr="00C00214">
        <w:rPr>
          <w:b/>
        </w:rPr>
        <w:t>5</w:t>
      </w:r>
      <w:r w:rsidR="009E1C37" w:rsidRPr="00C00214">
        <w:rPr>
          <w:b/>
        </w:rPr>
        <w:t xml:space="preserve">. </w:t>
      </w:r>
      <w:r w:rsidR="008B10D9" w:rsidRPr="00C00214">
        <w:rPr>
          <w:b/>
        </w:rPr>
        <w:t>Conclusion</w:t>
      </w:r>
    </w:p>
    <w:p w14:paraId="05D9C4DA" w14:textId="247D2498" w:rsidR="008C3EE4" w:rsidRPr="00C00214" w:rsidRDefault="004C2AEC">
      <w:pPr>
        <w:jc w:val="both"/>
      </w:pPr>
      <w:r w:rsidRPr="00C00214">
        <w:t xml:space="preserve">In summary, we developed a data-driven spectral analysis method to measure the electron transport properties of monolayer graphene, </w:t>
      </w:r>
      <w:r w:rsidR="00400A12" w:rsidRPr="00C00214">
        <w:rPr>
          <w:rFonts w:eastAsiaTheme="minorEastAsia"/>
          <w:lang w:eastAsia="ja-JP"/>
        </w:rPr>
        <w:t>which is particularly incisive in the low-energy regime</w:t>
      </w:r>
      <w:r w:rsidRPr="00C00214">
        <w:t xml:space="preserve">. Instead of focusing on the spectral features observed in an individual spectrum, we used AD descriptors to extract quantitative information about graphene hidden in the interrelationship of absolute intensities of the SE spectra measured under slightly different conditions. This new method measured both </w:t>
      </w:r>
      <w:r w:rsidRPr="00C00214">
        <w:rPr>
          <w:i/>
        </w:rPr>
        <w:t>λ</w:t>
      </w:r>
      <w:r w:rsidRPr="00C00214">
        <w:rPr>
          <w:vertAlign w:val="subscript"/>
        </w:rPr>
        <w:t>EAL</w:t>
      </w:r>
      <w:r w:rsidRPr="00C00214">
        <w:t xml:space="preserve"> and </w:t>
      </w:r>
      <w:r w:rsidRPr="00C00214">
        <w:rPr>
          <w:i/>
        </w:rPr>
        <w:t>λ</w:t>
      </w:r>
      <w:r w:rsidRPr="00C00214">
        <w:rPr>
          <w:vertAlign w:val="subscript"/>
        </w:rPr>
        <w:t>IMFP</w:t>
      </w:r>
      <w:r w:rsidRPr="00C00214">
        <w:t xml:space="preserve"> of monolayer graphene over the whole energy range in parallel using one set of SE spectra. In addition, this technique extended the analysable energy scale to the levels of only several electron volts, which allowed the continuous extraction of electron–electron interactions in graphene down to a very low energy scale. This method also holds potential to extract much other useful information hidden in SE backgrounds beyond that of electron–electron interactions when different selection criteria for AD descriptors or different experimental variables are used. The developed method can be readily extended to other 2D materials such as 2D magnets and may provide useful information about electron exchange interactions and dimensional-</w:t>
      </w:r>
      <w:r w:rsidRPr="00C00214">
        <w:lastRenderedPageBreak/>
        <w:t>dependent magnetism. Furthermore, the application of this method could even extend beyond materials science to many other fields where electron interactions play important roles, such as 2D material-based quantum information technology.</w:t>
      </w:r>
    </w:p>
    <w:p w14:paraId="4641B646" w14:textId="00CCE15A" w:rsidR="008B3DEC" w:rsidRPr="00C00214" w:rsidRDefault="008B3DEC">
      <w:pPr>
        <w:spacing w:line="240" w:lineRule="auto"/>
      </w:pPr>
      <w:r w:rsidRPr="00C00214">
        <w:br w:type="page"/>
      </w:r>
    </w:p>
    <w:p w14:paraId="5F3FCFA4" w14:textId="7085F5B5" w:rsidR="008B3DEC" w:rsidRPr="00C00214" w:rsidRDefault="008B3DEC" w:rsidP="008B3DEC">
      <w:pPr>
        <w:jc w:val="both"/>
      </w:pPr>
      <w:r w:rsidRPr="00C00214">
        <w:rPr>
          <w:b/>
        </w:rPr>
        <w:lastRenderedPageBreak/>
        <w:t xml:space="preserve">Acknowledgements </w:t>
      </w:r>
      <w:r w:rsidRPr="00C00214">
        <w:t xml:space="preserve">We thank Dr. C. J. Powell, Prof. Tarakura, and Prof. Tanaka for helpful comments and discussions. We thank Prof. M. S. Xu for providing the AES data for graphene on a Ni substrate and graphene on a SiO2 substrate. We thank Prof. Homma for providing the EAL data of monolayer graphene measured using energy-filtered SEM. We thank Dr. Y. Ueda and Prof. K. Watanabe for performing the TDDFT calculation. This work was supported by the “Materials Research by Information Integration” Initiative (MI2I) Project of the Support Program for Starting Up Innovation Hub from the Japan Science and Technology Agency (JST). </w:t>
      </w:r>
      <w:bookmarkStart w:id="79" w:name="OLE_LINK134"/>
      <w:r w:rsidRPr="00C00214">
        <w:t>K.T. was supported by a Grant-in-Aid (grant no. 18K18868) from Ministry of Education, Culture, Sports, Science and Technology (MEXT</w:t>
      </w:r>
      <w:bookmarkEnd w:id="79"/>
      <w:r w:rsidRPr="00C00214">
        <w:t xml:space="preserve">). J.H. was supported by the U.S. Department of Energy (DOE), Office of Science, Office of Basic Energy Sciences under Award DE-SC0019467. Z.J.D was supported by the National Natural Science Foundation of China (No. 11574289). </w:t>
      </w:r>
      <w:r w:rsidRPr="00C00214">
        <w:rPr>
          <w:lang w:eastAsia="zh-CN"/>
        </w:rPr>
        <w:t>All DFT calculations were performed on the Numerical Materials Simulator supercomputer at the National Institute for Materials Science (NIMS)</w:t>
      </w:r>
      <w:r w:rsidRPr="00C00214">
        <w:t>.</w:t>
      </w:r>
    </w:p>
    <w:p w14:paraId="0E61A39C" w14:textId="545DFAB3" w:rsidR="008C3EE4" w:rsidRPr="00C00214" w:rsidRDefault="004C2AEC" w:rsidP="00CD7432">
      <w:pPr>
        <w:jc w:val="both"/>
        <w:rPr>
          <w:rFonts w:eastAsia="Times New Roman"/>
        </w:rPr>
      </w:pPr>
      <w:r w:rsidRPr="00C00214">
        <w:rPr>
          <w:rFonts w:eastAsia="Times New Roman"/>
        </w:rPr>
        <w:br w:type="page"/>
      </w:r>
    </w:p>
    <w:p w14:paraId="29D98A95" w14:textId="37A939EC" w:rsidR="00CD7432" w:rsidRPr="00363CCA" w:rsidRDefault="00CD7432" w:rsidP="00402515">
      <w:pPr>
        <w:jc w:val="center"/>
        <w:rPr>
          <w:b/>
        </w:rPr>
      </w:pPr>
      <w:r w:rsidRPr="00363CCA">
        <w:rPr>
          <w:b/>
        </w:rPr>
        <w:lastRenderedPageBreak/>
        <w:t xml:space="preserve">Appendix A: </w:t>
      </w:r>
      <w:r w:rsidR="00402515" w:rsidRPr="00363CCA">
        <w:rPr>
          <w:b/>
        </w:rPr>
        <w:t>SE spectra of graphene</w:t>
      </w:r>
      <w:r w:rsidR="00FD5122" w:rsidRPr="00363CCA">
        <w:rPr>
          <w:b/>
        </w:rPr>
        <w:t>/Au sample</w:t>
      </w:r>
      <w:r w:rsidR="00F27D41" w:rsidRPr="00363CCA">
        <w:rPr>
          <w:b/>
        </w:rPr>
        <w:t xml:space="preserve"> </w:t>
      </w:r>
    </w:p>
    <w:p w14:paraId="4F5B0409" w14:textId="693FE35F" w:rsidR="00402515" w:rsidRPr="00363CCA" w:rsidRDefault="00402515" w:rsidP="00402515">
      <w:pPr>
        <w:jc w:val="center"/>
        <w:rPr>
          <w:b/>
        </w:rPr>
      </w:pPr>
      <w:r w:rsidRPr="00363CCA">
        <w:rPr>
          <w:b/>
        </w:rPr>
        <w:t xml:space="preserve">1. </w:t>
      </w:r>
      <w:r w:rsidRPr="00363CCA">
        <w:rPr>
          <w:rFonts w:eastAsia="Times New Roman"/>
          <w:b/>
        </w:rPr>
        <w:t>Substrate preparation</w:t>
      </w:r>
    </w:p>
    <w:p w14:paraId="19A64854" w14:textId="59958A17" w:rsidR="00CD7432" w:rsidRPr="00C00214" w:rsidRDefault="00CD7432" w:rsidP="00CD7432">
      <w:pPr>
        <w:jc w:val="both"/>
        <w:rPr>
          <w:rFonts w:eastAsia="Times New Roman"/>
        </w:rPr>
      </w:pPr>
      <w:r w:rsidRPr="00363CCA">
        <w:rPr>
          <w:rFonts w:eastAsia="Times New Roman"/>
        </w:rPr>
        <w:t xml:space="preserve">Au layers (200 nm) were </w:t>
      </w:r>
      <w:r w:rsidRPr="00363CCA">
        <w:t>evaporated</w:t>
      </w:r>
      <w:r w:rsidRPr="00363CCA">
        <w:rPr>
          <w:rFonts w:eastAsia="Times New Roman"/>
        </w:rPr>
        <w:t xml:space="preserve"> at rates of 0.2 nm s</w:t>
      </w:r>
      <w:r w:rsidRPr="00363CCA">
        <w:rPr>
          <w:rFonts w:eastAsia="Times New Roman"/>
          <w:vertAlign w:val="superscript"/>
        </w:rPr>
        <w:t>−1</w:t>
      </w:r>
      <w:r w:rsidRPr="00363CCA">
        <w:rPr>
          <w:rFonts w:eastAsia="Times New Roman"/>
        </w:rPr>
        <w:t xml:space="preserve"> on Si(100) substrates with Ti buffer layers (5 nm) pre-evaporated at rates of 0.05 nm s</w:t>
      </w:r>
      <w:r w:rsidRPr="00363CCA">
        <w:rPr>
          <w:rFonts w:eastAsia="Times New Roman"/>
          <w:vertAlign w:val="superscript"/>
        </w:rPr>
        <w:t>−1</w:t>
      </w:r>
      <w:r w:rsidRPr="00363CCA">
        <w:rPr>
          <w:rFonts w:eastAsia="Times New Roman"/>
        </w:rPr>
        <w:t xml:space="preserve"> by electron-beam evaporation (RDEB-1206K, R-DEC Co. Ltd., Ibaraki, Japan) with a chamber pressure of ~1.0×10</w:t>
      </w:r>
      <w:r w:rsidRPr="00363CCA">
        <w:rPr>
          <w:rFonts w:eastAsia="Times New Roman"/>
          <w:vertAlign w:val="superscript"/>
        </w:rPr>
        <w:t>−5</w:t>
      </w:r>
      <w:r w:rsidRPr="00363CCA">
        <w:rPr>
          <w:rFonts w:eastAsia="Times New Roman"/>
        </w:rPr>
        <w:t xml:space="preserve"> Pa. After evaporation, the samples were annealed by rapid thermal annealing (QHC-P410, Ulvac-Riko Inc., Kanagawa, Japan) under an N</w:t>
      </w:r>
      <w:r w:rsidRPr="00363CCA">
        <w:rPr>
          <w:rFonts w:eastAsia="Times New Roman"/>
          <w:vertAlign w:val="subscript"/>
        </w:rPr>
        <w:t>2</w:t>
      </w:r>
      <w:r w:rsidRPr="00363CCA">
        <w:rPr>
          <w:rFonts w:eastAsia="Times New Roman"/>
        </w:rPr>
        <w:t xml:space="preserve"> atmosphere at 300 °C for 30 s. The relative orientation between bright and dark</w:t>
      </w:r>
      <w:r w:rsidRPr="00C00214">
        <w:rPr>
          <w:rFonts w:eastAsia="Times New Roman"/>
        </w:rPr>
        <w:t xml:space="preserve"> regions on the polycrystalline Au substrate measured by electron backscatter diffraction was about 4°.</w:t>
      </w:r>
      <w:r w:rsidR="00D97DB3" w:rsidRPr="00C00214">
        <w:rPr>
          <w:rFonts w:eastAsia="Times New Roman"/>
        </w:rPr>
        <w:t xml:space="preserve"> </w:t>
      </w:r>
      <w:r w:rsidR="00F15EF8" w:rsidRPr="00C00214">
        <w:rPr>
          <w:rFonts w:eastAsia="Times New Roman"/>
        </w:rPr>
        <w:t xml:space="preserve">The </w:t>
      </w:r>
      <w:r w:rsidR="00F15EF8" w:rsidRPr="00C00214">
        <w:rPr>
          <w:lang w:val="en-GB" w:eastAsia="zh-CN"/>
        </w:rPr>
        <w:t xml:space="preserve">SEM, and electron backscatter diffraction (EBSD) images of </w:t>
      </w:r>
      <w:r w:rsidR="00F15EF8" w:rsidRPr="00C00214">
        <w:rPr>
          <w:rStyle w:val="fontstyle11"/>
          <w:rFonts w:ascii="Times New Roman" w:hAnsi="Times New Roman"/>
          <w:color w:val="auto"/>
          <w:lang w:val="en-GB"/>
        </w:rPr>
        <w:t xml:space="preserve">the polycrystalline Au substrate are presented in Fig. 8. </w:t>
      </w:r>
    </w:p>
    <w:p w14:paraId="455897AA" w14:textId="77777777" w:rsidR="00402515" w:rsidRPr="00C00214" w:rsidRDefault="00402515" w:rsidP="00402515">
      <w:pPr>
        <w:jc w:val="center"/>
        <w:rPr>
          <w:rFonts w:eastAsia="Times New Roman"/>
          <w:b/>
        </w:rPr>
      </w:pPr>
      <w:r w:rsidRPr="00C00214">
        <w:rPr>
          <w:b/>
        </w:rPr>
        <w:t xml:space="preserve">2. </w:t>
      </w:r>
      <w:r w:rsidR="00CD7432" w:rsidRPr="00C00214">
        <w:rPr>
          <w:rFonts w:eastAsia="Times New Roman"/>
          <w:b/>
        </w:rPr>
        <w:t>Graphene fabrication</w:t>
      </w:r>
    </w:p>
    <w:p w14:paraId="1B317BF6" w14:textId="1877D24B" w:rsidR="00CD7432" w:rsidRPr="00C00214" w:rsidRDefault="00CD7432" w:rsidP="00CD7432">
      <w:pPr>
        <w:jc w:val="both"/>
        <w:rPr>
          <w:rFonts w:eastAsia="Times New Roman"/>
        </w:rPr>
      </w:pPr>
      <w:r w:rsidRPr="00C00214">
        <w:rPr>
          <w:rFonts w:eastAsia="Times New Roman"/>
        </w:rPr>
        <w:t xml:space="preserve">Graphene flakes were produced on the Au substrates by mechanical exfoliation. These graphene layers on the Au substrates can be considered as </w:t>
      </w:r>
      <w:r w:rsidRPr="00C00214">
        <w:rPr>
          <w:rFonts w:eastAsia="Times New Roman"/>
          <w:bCs/>
        </w:rPr>
        <w:t xml:space="preserve">quasi-free-standing graphene layers that have </w:t>
      </w:r>
      <w:r w:rsidRPr="00C00214">
        <w:rPr>
          <w:rFonts w:eastAsia="Times New Roman"/>
        </w:rPr>
        <w:t xml:space="preserve">ignorable lattice mismatch and </w:t>
      </w:r>
      <w:r w:rsidRPr="00C00214">
        <w:rPr>
          <w:rFonts w:eastAsia="Times New Roman"/>
          <w:bCs/>
        </w:rPr>
        <w:t xml:space="preserve">similar electronic properties to those of free-standing graphene layers. </w:t>
      </w:r>
      <w:r w:rsidRPr="00C00214">
        <w:rPr>
          <w:rFonts w:eastAsia="Times New Roman"/>
        </w:rPr>
        <w:t>The number of graphene layers was confirmed by Raman spectroscopy.</w:t>
      </w:r>
      <w:r w:rsidR="00F15EF8" w:rsidRPr="00C00214">
        <w:rPr>
          <w:rFonts w:eastAsia="Times New Roman"/>
        </w:rPr>
        <w:t xml:space="preserve"> The SEM images of graphene/Au samples are presented in </w:t>
      </w:r>
      <w:r w:rsidR="00F15EF8" w:rsidRPr="00C00214">
        <w:rPr>
          <w:rStyle w:val="fontstyle11"/>
          <w:rFonts w:ascii="Times New Roman" w:hAnsi="Times New Roman"/>
          <w:color w:val="auto"/>
          <w:lang w:val="en-GB"/>
        </w:rPr>
        <w:t>Fig. 8.</w:t>
      </w:r>
    </w:p>
    <w:p w14:paraId="7875280A" w14:textId="77777777" w:rsidR="00402515" w:rsidRPr="00C00214" w:rsidRDefault="00402515" w:rsidP="00402515">
      <w:pPr>
        <w:jc w:val="center"/>
        <w:rPr>
          <w:rFonts w:eastAsia="Times New Roman"/>
        </w:rPr>
      </w:pPr>
      <w:r w:rsidRPr="00C00214">
        <w:rPr>
          <w:b/>
        </w:rPr>
        <w:t xml:space="preserve">3. </w:t>
      </w:r>
      <w:r w:rsidR="00CD7432" w:rsidRPr="00C00214">
        <w:rPr>
          <w:rFonts w:eastAsia="Times New Roman"/>
          <w:b/>
        </w:rPr>
        <w:t>SE spectra measurement.</w:t>
      </w:r>
      <w:r w:rsidR="00CD7432" w:rsidRPr="00C00214">
        <w:rPr>
          <w:rFonts w:eastAsia="Times New Roman"/>
        </w:rPr>
        <w:t xml:space="preserve"> </w:t>
      </w:r>
    </w:p>
    <w:p w14:paraId="69F450D2" w14:textId="2AA93DC6" w:rsidR="00A6747B" w:rsidRPr="00C00214" w:rsidRDefault="00CD7432" w:rsidP="00F15EF8">
      <w:pPr>
        <w:jc w:val="both"/>
        <w:rPr>
          <w:rFonts w:eastAsia="Times New Roman"/>
        </w:rPr>
      </w:pPr>
      <w:r w:rsidRPr="00C00214">
        <w:rPr>
          <w:rFonts w:eastAsia="Times New Roman"/>
        </w:rPr>
        <w:t xml:space="preserve">SE spectra were measured at room temperature with a scanning Auger electron spectrometer (SAM650, Ulvac-Phi, Kanagawa, Japan) with a CMA (Fig. 1a). The take-off angle of the instrument was 42.3±6°. The incident electron beam current for the raw spectra was ~0.87 nA, as calibrated with a Faraday cup before the measurements. To minimize the influence of changes in the stability of the instrument over time, short-term repeated measurements for multiple cycles at different measurement sites were used. Two groups of SE spectra were measured independently </w:t>
      </w:r>
      <w:r w:rsidRPr="00C00214">
        <w:rPr>
          <w:rFonts w:eastAsia="Times New Roman"/>
        </w:rPr>
        <w:lastRenderedPageBreak/>
        <w:t xml:space="preserve">from the same sample at similar measurement sites in the energy ranges of 0–50 and 0–600 eV, as shown in Fig. </w:t>
      </w:r>
      <w:r w:rsidR="00F15EF8" w:rsidRPr="00C00214">
        <w:rPr>
          <w:rFonts w:eastAsia="Times New Roman"/>
        </w:rPr>
        <w:t>9</w:t>
      </w:r>
      <w:r w:rsidRPr="00C00214">
        <w:rPr>
          <w:rFonts w:eastAsia="Times New Roman"/>
        </w:rPr>
        <w:t xml:space="preserve"> and </w:t>
      </w:r>
      <w:r w:rsidR="00F15EF8" w:rsidRPr="00C00214">
        <w:rPr>
          <w:rFonts w:eastAsia="Times New Roman"/>
        </w:rPr>
        <w:t>10</w:t>
      </w:r>
      <w:r w:rsidRPr="00C00214">
        <w:rPr>
          <w:rFonts w:eastAsia="Times New Roman"/>
        </w:rPr>
        <w:t xml:space="preserve">, respectively. Each group contained 18 different types of SE spectra measured at bright and dark regions on the bare substrate and similar neighbouring regions covered by monolayer graphene or bilayer graphene sheets with </w:t>
      </w:r>
      <w:r w:rsidRPr="00C00214">
        <w:rPr>
          <w:rFonts w:eastAsia="Times New Roman"/>
          <w:i/>
        </w:rPr>
        <w:t>E</w:t>
      </w:r>
      <w:r w:rsidRPr="00C00214">
        <w:rPr>
          <w:rFonts w:eastAsia="Times New Roman"/>
          <w:vertAlign w:val="subscript"/>
        </w:rPr>
        <w:t>10</w:t>
      </w:r>
      <w:r w:rsidRPr="00C00214">
        <w:rPr>
          <w:rFonts w:eastAsia="Times New Roman"/>
        </w:rPr>
        <w:t xml:space="preserve">, </w:t>
      </w:r>
      <w:r w:rsidRPr="00C00214">
        <w:rPr>
          <w:rFonts w:eastAsia="Times New Roman"/>
          <w:i/>
        </w:rPr>
        <w:t>E</w:t>
      </w:r>
      <w:r w:rsidRPr="00C00214">
        <w:rPr>
          <w:rFonts w:eastAsia="Times New Roman"/>
          <w:vertAlign w:val="subscript"/>
        </w:rPr>
        <w:t>15</w:t>
      </w:r>
      <w:r w:rsidRPr="00C00214">
        <w:rPr>
          <w:rFonts w:eastAsia="Times New Roman"/>
        </w:rPr>
        <w:t xml:space="preserve">, and </w:t>
      </w:r>
      <w:r w:rsidRPr="00C00214">
        <w:rPr>
          <w:rFonts w:eastAsia="Times New Roman"/>
          <w:i/>
        </w:rPr>
        <w:t>E</w:t>
      </w:r>
      <w:r w:rsidRPr="00C00214">
        <w:rPr>
          <w:rFonts w:eastAsia="Times New Roman"/>
          <w:vertAlign w:val="subscript"/>
        </w:rPr>
        <w:t>20</w:t>
      </w:r>
      <w:r w:rsidRPr="00C00214">
        <w:rPr>
          <w:rFonts w:eastAsia="Times New Roman"/>
        </w:rPr>
        <w:t>. Each SE spectrum was averaged from eight different sample regions on the bare substrate as well as on mono- or bilayer graphene samples.</w:t>
      </w:r>
    </w:p>
    <w:p w14:paraId="0E6F5E97" w14:textId="23F1C2E4" w:rsidR="00402515" w:rsidRPr="00C00214" w:rsidRDefault="00402515" w:rsidP="00402515">
      <w:pPr>
        <w:jc w:val="center"/>
        <w:rPr>
          <w:rFonts w:eastAsia="Times New Roman"/>
          <w:b/>
        </w:rPr>
      </w:pPr>
      <w:r w:rsidRPr="00C00214">
        <w:rPr>
          <w:b/>
        </w:rPr>
        <w:t xml:space="preserve">Appendix B: </w:t>
      </w:r>
      <w:r w:rsidRPr="00C00214">
        <w:rPr>
          <w:rFonts w:eastAsia="Times New Roman"/>
          <w:b/>
        </w:rPr>
        <w:t>AD descriptors</w:t>
      </w:r>
    </w:p>
    <w:p w14:paraId="4DB479D1" w14:textId="4314D791" w:rsidR="00402515" w:rsidRPr="00C00214" w:rsidRDefault="00402515" w:rsidP="00402515">
      <w:pPr>
        <w:jc w:val="center"/>
        <w:rPr>
          <w:rFonts w:eastAsia="Times New Roman"/>
          <w:b/>
        </w:rPr>
      </w:pPr>
      <w:r w:rsidRPr="00C00214">
        <w:rPr>
          <w:rFonts w:eastAsia="Times New Roman"/>
          <w:b/>
        </w:rPr>
        <w:t xml:space="preserve">1. </w:t>
      </w:r>
      <w:r w:rsidR="00CD7432" w:rsidRPr="00C00214">
        <w:rPr>
          <w:rFonts w:eastAsia="Times New Roman"/>
          <w:b/>
        </w:rPr>
        <w:t>Sensitivities of AD descriptors</w:t>
      </w:r>
    </w:p>
    <w:p w14:paraId="7DE696C2" w14:textId="1FB21DB2" w:rsidR="00CD7432" w:rsidRPr="00C00214" w:rsidRDefault="00CD7432" w:rsidP="00402515">
      <w:pPr>
        <w:jc w:val="both"/>
        <w:rPr>
          <w:rFonts w:eastAsia="Times New Roman"/>
        </w:rPr>
      </w:pPr>
      <w:r w:rsidRPr="00C00214">
        <w:rPr>
          <w:rFonts w:eastAsia="Times New Roman"/>
        </w:rPr>
        <w:t>Like the measured SE spectra, the AD descriptor D(</w:t>
      </w:r>
      <w:r w:rsidRPr="00C00214">
        <w:rPr>
          <w:rFonts w:eastAsia="Times New Roman"/>
          <w:b/>
        </w:rPr>
        <w:t>a</w:t>
      </w:r>
      <w:r w:rsidRPr="00C00214">
        <w:rPr>
          <w:rFonts w:eastAsia="Times New Roman"/>
        </w:rPr>
        <w:t xml:space="preserve">, </w:t>
      </w:r>
      <w:r w:rsidRPr="00C00214">
        <w:rPr>
          <w:rFonts w:eastAsia="Times New Roman"/>
          <w:i/>
        </w:rPr>
        <w:t>G</w:t>
      </w:r>
      <w:r w:rsidRPr="00C00214">
        <w:rPr>
          <w:rFonts w:eastAsia="Times New Roman"/>
          <w:vertAlign w:val="subscript"/>
        </w:rPr>
        <w:t>n</w:t>
      </w:r>
      <w:r w:rsidRPr="00C00214">
        <w:rPr>
          <w:rFonts w:eastAsia="Times New Roman"/>
        </w:rPr>
        <w:t xml:space="preserve">, </w:t>
      </w:r>
      <w:r w:rsidRPr="00C00214">
        <w:rPr>
          <w:rFonts w:eastAsia="Times New Roman"/>
          <w:i/>
        </w:rPr>
        <w:t>E</w:t>
      </w:r>
      <w:r w:rsidRPr="00C00214">
        <w:rPr>
          <w:rFonts w:eastAsia="Times New Roman"/>
          <w:vertAlign w:val="subscript"/>
        </w:rPr>
        <w:t>in</w:t>
      </w:r>
      <w:r w:rsidRPr="00C00214">
        <w:rPr>
          <w:rFonts w:eastAsia="Times New Roman"/>
        </w:rPr>
        <w:t xml:space="preserve">) is also a function of </w:t>
      </w:r>
      <w:r w:rsidRPr="00C00214">
        <w:rPr>
          <w:rFonts w:eastAsia="Times New Roman"/>
          <w:i/>
        </w:rPr>
        <w:t>E</w:t>
      </w:r>
      <w:r w:rsidRPr="00C00214">
        <w:rPr>
          <w:rFonts w:eastAsia="Times New Roman"/>
        </w:rPr>
        <w:t xml:space="preserve"> but </w:t>
      </w:r>
      <w:r w:rsidRPr="00C00214">
        <w:rPr>
          <w:rFonts w:eastAsia="Times New Roman"/>
          <w:i/>
        </w:rPr>
        <w:t>E</w:t>
      </w:r>
      <w:r w:rsidRPr="00C00214">
        <w:rPr>
          <w:rFonts w:eastAsia="Times New Roman"/>
        </w:rPr>
        <w:t xml:space="preserve"> has been </w:t>
      </w:r>
      <w:bookmarkStart w:id="80" w:name="OLE_LINK31"/>
      <w:r w:rsidRPr="00C00214">
        <w:rPr>
          <w:rFonts w:eastAsia="Times New Roman"/>
        </w:rPr>
        <w:t xml:space="preserve">omitted from the expression for </w:t>
      </w:r>
      <w:bookmarkEnd w:id="80"/>
      <w:r w:rsidRPr="00C00214">
        <w:rPr>
          <w:rFonts w:eastAsia="Times New Roman"/>
        </w:rPr>
        <w:t>simplicity. Furthermore, the expansion of D(</w:t>
      </w:r>
      <w:r w:rsidRPr="00C00214">
        <w:rPr>
          <w:rFonts w:eastAsia="Times New Roman"/>
          <w:b/>
        </w:rPr>
        <w:t>a</w:t>
      </w:r>
      <w:r w:rsidRPr="00C00214">
        <w:rPr>
          <w:rFonts w:eastAsia="Times New Roman"/>
        </w:rPr>
        <w:t xml:space="preserve">, </w:t>
      </w:r>
      <w:r w:rsidRPr="00C00214">
        <w:rPr>
          <w:rFonts w:eastAsia="Times New Roman"/>
          <w:i/>
        </w:rPr>
        <w:t>G</w:t>
      </w:r>
      <w:r w:rsidRPr="00C00214">
        <w:rPr>
          <w:rFonts w:eastAsia="Times New Roman"/>
          <w:vertAlign w:val="subscript"/>
        </w:rPr>
        <w:t>n</w:t>
      </w:r>
      <w:r w:rsidRPr="00C00214">
        <w:rPr>
          <w:rFonts w:eastAsia="Times New Roman"/>
        </w:rPr>
        <w:t xml:space="preserve">, </w:t>
      </w:r>
      <w:r w:rsidRPr="00C00214">
        <w:rPr>
          <w:rFonts w:eastAsia="Times New Roman"/>
          <w:i/>
        </w:rPr>
        <w:t>E</w:t>
      </w:r>
      <w:r w:rsidRPr="00C00214">
        <w:rPr>
          <w:rFonts w:eastAsia="Times New Roman"/>
          <w:vertAlign w:val="subscript"/>
        </w:rPr>
        <w:t>in</w:t>
      </w:r>
      <w:r w:rsidRPr="00C00214">
        <w:rPr>
          <w:rFonts w:eastAsia="Times New Roman"/>
        </w:rPr>
        <w:t xml:space="preserve">) in terms of </w:t>
      </w:r>
      <w:r w:rsidRPr="00C00214">
        <w:rPr>
          <w:rFonts w:eastAsia="Times New Roman"/>
          <w:i/>
        </w:rPr>
        <w:t>E</w:t>
      </w:r>
      <w:r w:rsidRPr="00C00214">
        <w:rPr>
          <w:rFonts w:eastAsia="Times New Roman"/>
        </w:rPr>
        <w:t xml:space="preserve"> is [d</w:t>
      </w:r>
      <w:r w:rsidRPr="00C00214">
        <w:rPr>
          <w:rFonts w:eastAsia="Times New Roman"/>
          <w:vertAlign w:val="subscript"/>
        </w:rPr>
        <w:t>1</w:t>
      </w:r>
      <w:r w:rsidRPr="00C00214">
        <w:rPr>
          <w:rFonts w:eastAsia="Times New Roman"/>
        </w:rPr>
        <w:t>, d</w:t>
      </w:r>
      <w:r w:rsidRPr="00C00214">
        <w:rPr>
          <w:rFonts w:eastAsia="Times New Roman"/>
          <w:vertAlign w:val="subscript"/>
        </w:rPr>
        <w:t>2</w:t>
      </w:r>
      <w:r w:rsidRPr="00C00214">
        <w:rPr>
          <w:rFonts w:eastAsia="Times New Roman"/>
        </w:rPr>
        <w:t>, …, d</w:t>
      </w:r>
      <w:r w:rsidRPr="00C00214">
        <w:rPr>
          <w:rFonts w:eastAsia="Times New Roman"/>
          <w:vertAlign w:val="subscript"/>
        </w:rPr>
        <w:t>M</w:t>
      </w:r>
      <w:r w:rsidRPr="00C00214">
        <w:rPr>
          <w:rFonts w:eastAsia="Times New Roman"/>
        </w:rPr>
        <w:t>] (omitting the variables), where d</w:t>
      </w:r>
      <w:r w:rsidRPr="00C00214">
        <w:rPr>
          <w:rFonts w:eastAsia="Times New Roman"/>
          <w:i/>
          <w:vertAlign w:val="subscript"/>
        </w:rPr>
        <w:t>j</w:t>
      </w:r>
      <w:r w:rsidRPr="00C00214">
        <w:rPr>
          <w:rFonts w:eastAsia="Times New Roman"/>
        </w:rPr>
        <w:t xml:space="preserve"> is the calculated value at a given </w:t>
      </w:r>
      <w:r w:rsidRPr="00C00214">
        <w:rPr>
          <w:rFonts w:eastAsia="Times New Roman"/>
          <w:i/>
        </w:rPr>
        <w:t>E</w:t>
      </w:r>
      <w:r w:rsidRPr="00C00214">
        <w:rPr>
          <w:rFonts w:eastAsia="Times New Roman"/>
        </w:rPr>
        <w:t xml:space="preserve"> and </w:t>
      </w:r>
      <w:r w:rsidRPr="00C00214">
        <w:rPr>
          <w:rFonts w:eastAsia="Times New Roman"/>
          <w:i/>
        </w:rPr>
        <w:t>M</w:t>
      </w:r>
      <w:r w:rsidRPr="00C00214">
        <w:rPr>
          <w:rFonts w:eastAsia="Times New Roman"/>
        </w:rPr>
        <w:t xml:space="preserve"> is the number of points in the energy axis of spectra.</w:t>
      </w:r>
    </w:p>
    <w:p w14:paraId="12329088" w14:textId="77777777" w:rsidR="00CD7432" w:rsidRPr="00C00214" w:rsidRDefault="00CD7432" w:rsidP="00CD7432">
      <w:pPr>
        <w:jc w:val="both"/>
        <w:rPr>
          <w:rFonts w:eastAsia="Times New Roman"/>
        </w:rPr>
      </w:pPr>
      <w:r w:rsidRPr="00C00214">
        <w:rPr>
          <w:rFonts w:eastAsia="Times New Roman"/>
        </w:rPr>
        <w:t xml:space="preserve">Score1, which quantifies the sensitivity of the descriptor to </w:t>
      </w:r>
      <w:r w:rsidRPr="00C00214">
        <w:rPr>
          <w:rFonts w:eastAsia="Times New Roman"/>
          <w:i/>
        </w:rPr>
        <w:t>E</w:t>
      </w:r>
      <w:r w:rsidRPr="00C00214">
        <w:rPr>
          <w:rFonts w:eastAsia="Times New Roman"/>
          <w:vertAlign w:val="subscript"/>
        </w:rPr>
        <w:t>in</w:t>
      </w:r>
      <w:r w:rsidRPr="00C00214">
        <w:rPr>
          <w:rFonts w:eastAsia="Times New Roman"/>
        </w:rPr>
        <w:t>, was calculated for every candidate descriptor using the following formula:</w:t>
      </w:r>
    </w:p>
    <w:p w14:paraId="27641892" w14:textId="593FF71F" w:rsidR="008D563B" w:rsidRPr="00C00214" w:rsidRDefault="008D563B" w:rsidP="008D563B">
      <w:pPr>
        <w:pStyle w:val="MTDisplayEquation"/>
      </w:pPr>
      <w:r w:rsidRPr="00C00214">
        <w:tab/>
      </w:r>
      <w:r w:rsidRPr="00C00214">
        <w:rPr>
          <w:position w:val="-30"/>
        </w:rPr>
        <w:object w:dxaOrig="4540" w:dyaOrig="700" w14:anchorId="326334AD">
          <v:shape id="_x0000_i1036" type="#_x0000_t75" style="width:227pt;height:35pt" o:ole="">
            <v:imagedata r:id="rId34" o:title=""/>
          </v:shape>
          <o:OLEObject Type="Embed" ProgID="Equation.DSMT4" ShapeID="_x0000_i1036" DrawAspect="Content" ObjectID="_1646139065" r:id="rId35"/>
        </w:object>
      </w:r>
      <w:r w:rsidRPr="00C00214">
        <w:t xml:space="preserve"> </w:t>
      </w:r>
      <w:r w:rsidRPr="00C00214">
        <w:tab/>
      </w:r>
      <w:r w:rsidRPr="00C00214">
        <w:rPr>
          <w:rFonts w:hint="eastAsia"/>
        </w:rPr>
        <w:t>(</w:t>
      </w:r>
      <w:r w:rsidRPr="00C00214">
        <w:t>B1</w:t>
      </w:r>
      <w:r w:rsidRPr="00C00214">
        <w:rPr>
          <w:rFonts w:hint="eastAsia"/>
        </w:rPr>
        <w:t>)</w:t>
      </w:r>
    </w:p>
    <w:p w14:paraId="6FA0A794" w14:textId="77777777" w:rsidR="00CD7432" w:rsidRPr="00C00214" w:rsidRDefault="00CD7432" w:rsidP="00CD7432">
      <w:pPr>
        <w:jc w:val="both"/>
        <w:rPr>
          <w:rFonts w:eastAsia="Times New Roman"/>
        </w:rPr>
      </w:pPr>
      <w:r w:rsidRPr="00C00214">
        <w:rPr>
          <w:rFonts w:eastAsia="Times New Roman"/>
        </w:rPr>
        <w:t>where Score1[D(</w:t>
      </w:r>
      <w:r w:rsidRPr="00C00214">
        <w:rPr>
          <w:rFonts w:eastAsia="Times New Roman"/>
          <w:b/>
        </w:rPr>
        <w:t>a</w:t>
      </w:r>
      <w:r w:rsidRPr="00C00214">
        <w:rPr>
          <w:rFonts w:eastAsia="Times New Roman"/>
        </w:rPr>
        <w:t xml:space="preserve">)] is the sensitivity of a descriptor determined by a given weight factor </w:t>
      </w:r>
      <w:r w:rsidRPr="00C00214">
        <w:rPr>
          <w:rFonts w:eastAsia="Times New Roman"/>
          <w:b/>
        </w:rPr>
        <w:t>a</w:t>
      </w:r>
      <w:r w:rsidRPr="00C00214">
        <w:rPr>
          <w:rFonts w:eastAsia="Times New Roman"/>
        </w:rPr>
        <w:t xml:space="preserve"> to </w:t>
      </w:r>
      <w:r w:rsidRPr="00C00214">
        <w:rPr>
          <w:rFonts w:eastAsia="Times New Roman"/>
          <w:i/>
        </w:rPr>
        <w:t>E</w:t>
      </w:r>
      <w:r w:rsidRPr="00C00214">
        <w:rPr>
          <w:rFonts w:eastAsia="Times New Roman"/>
          <w:vertAlign w:val="subscript"/>
        </w:rPr>
        <w:t>in</w:t>
      </w:r>
      <w:r w:rsidRPr="00C00214">
        <w:rPr>
          <w:rFonts w:eastAsia="Times New Roman"/>
        </w:rPr>
        <w:t xml:space="preserve"> and d</w:t>
      </w:r>
      <w:r w:rsidRPr="00C00214">
        <w:rPr>
          <w:rFonts w:eastAsia="Times New Roman"/>
          <w:i/>
          <w:vertAlign w:val="subscript"/>
        </w:rPr>
        <w:t>j</w:t>
      </w:r>
      <w:r w:rsidRPr="00C00214">
        <w:rPr>
          <w:rFonts w:eastAsia="Times New Roman"/>
        </w:rPr>
        <w:t>(</w:t>
      </w:r>
      <w:r w:rsidRPr="00C00214">
        <w:rPr>
          <w:rFonts w:eastAsia="Times New Roman"/>
          <w:b/>
        </w:rPr>
        <w:t>a</w:t>
      </w:r>
      <w:r w:rsidRPr="00C00214">
        <w:rPr>
          <w:rFonts w:eastAsia="Times New Roman"/>
        </w:rPr>
        <w:t xml:space="preserve">, </w:t>
      </w:r>
      <w:r w:rsidRPr="00C00214">
        <w:rPr>
          <w:rFonts w:eastAsia="Times New Roman"/>
          <w:i/>
        </w:rPr>
        <w:t>G</w:t>
      </w:r>
      <w:r w:rsidRPr="00C00214">
        <w:rPr>
          <w:rFonts w:eastAsia="Times New Roman"/>
          <w:vertAlign w:val="subscript"/>
        </w:rPr>
        <w:t>n</w:t>
      </w:r>
      <w:r w:rsidRPr="00C00214">
        <w:rPr>
          <w:rFonts w:eastAsia="Times New Roman"/>
        </w:rPr>
        <w:t>,</w:t>
      </w:r>
      <w:r w:rsidRPr="00C00214">
        <w:rPr>
          <w:rFonts w:eastAsia="Times New Roman"/>
          <w:i/>
        </w:rPr>
        <w:t xml:space="preserve"> E</w:t>
      </w:r>
      <w:r w:rsidRPr="00C00214">
        <w:rPr>
          <w:rFonts w:eastAsia="Times New Roman"/>
          <w:vertAlign w:val="subscript"/>
        </w:rPr>
        <w:t>in</w:t>
      </w:r>
      <w:r w:rsidRPr="00C00214">
        <w:rPr>
          <w:rFonts w:eastAsia="Times New Roman"/>
        </w:rPr>
        <w:t>) is the component of the AD descriptor D(</w:t>
      </w:r>
      <w:r w:rsidRPr="00C00214">
        <w:rPr>
          <w:rFonts w:eastAsia="Times New Roman"/>
          <w:b/>
        </w:rPr>
        <w:t>a</w:t>
      </w:r>
      <w:r w:rsidRPr="00C00214">
        <w:rPr>
          <w:rFonts w:eastAsia="Times New Roman"/>
        </w:rPr>
        <w:t xml:space="preserve">, </w:t>
      </w:r>
      <w:r w:rsidRPr="00C00214">
        <w:rPr>
          <w:rFonts w:eastAsia="Times New Roman"/>
          <w:i/>
        </w:rPr>
        <w:t>G</w:t>
      </w:r>
      <w:r w:rsidRPr="00C00214">
        <w:rPr>
          <w:rFonts w:eastAsia="Times New Roman"/>
          <w:vertAlign w:val="subscript"/>
        </w:rPr>
        <w:t>n</w:t>
      </w:r>
      <w:r w:rsidRPr="00C00214">
        <w:rPr>
          <w:rFonts w:eastAsia="Times New Roman"/>
        </w:rPr>
        <w:t xml:space="preserve">, </w:t>
      </w:r>
      <w:r w:rsidRPr="00C00214">
        <w:rPr>
          <w:rFonts w:eastAsia="Times New Roman"/>
          <w:i/>
        </w:rPr>
        <w:t>E</w:t>
      </w:r>
      <w:r w:rsidRPr="00C00214">
        <w:rPr>
          <w:rFonts w:eastAsia="Times New Roman"/>
          <w:vertAlign w:val="subscript"/>
        </w:rPr>
        <w:t>in</w:t>
      </w:r>
      <w:r w:rsidRPr="00C00214">
        <w:rPr>
          <w:rFonts w:eastAsia="Times New Roman"/>
        </w:rPr>
        <w:t xml:space="preserve">) at a given </w:t>
      </w:r>
      <w:r w:rsidRPr="00C00214">
        <w:rPr>
          <w:rFonts w:eastAsia="Times New Roman"/>
          <w:i/>
        </w:rPr>
        <w:t>E</w:t>
      </w:r>
      <w:r w:rsidRPr="00C00214">
        <w:rPr>
          <w:rFonts w:eastAsia="Times New Roman"/>
          <w:i/>
          <w:vertAlign w:val="subscript"/>
        </w:rPr>
        <w:t>j</w:t>
      </w:r>
      <w:r w:rsidRPr="00C00214">
        <w:rPr>
          <w:rFonts w:eastAsia="Times New Roman"/>
        </w:rPr>
        <w:t>. The coefficient of variation (</w:t>
      </w:r>
      <w:r w:rsidRPr="00C00214">
        <w:rPr>
          <w:rFonts w:eastAsia="Times New Roman"/>
          <w:i/>
        </w:rPr>
        <w:t>c</w:t>
      </w:r>
      <w:r w:rsidRPr="00C00214">
        <w:rPr>
          <w:rFonts w:eastAsia="Times New Roman"/>
          <w:i/>
          <w:vertAlign w:val="subscript"/>
        </w:rPr>
        <w:t>v</w:t>
      </w:r>
      <w:r w:rsidRPr="00C00214">
        <w:rPr>
          <w:rFonts w:eastAsia="Times New Roman"/>
        </w:rPr>
        <w:t xml:space="preserve"> = </w:t>
      </w:r>
      <w:r w:rsidRPr="00C00214">
        <w:rPr>
          <w:rFonts w:eastAsia="Times New Roman"/>
          <w:i/>
        </w:rPr>
        <w:t>σ</w:t>
      </w:r>
      <w:r w:rsidRPr="00C00214">
        <w:rPr>
          <w:rFonts w:eastAsia="Times New Roman"/>
        </w:rPr>
        <w:t>/</w:t>
      </w:r>
      <w:r w:rsidRPr="00C00214">
        <w:rPr>
          <w:rFonts w:eastAsia="Times New Roman"/>
          <w:i/>
        </w:rPr>
        <w:t>µ</w:t>
      </w:r>
      <w:r w:rsidRPr="00C00214">
        <w:rPr>
          <w:rFonts w:eastAsia="Times New Roman"/>
        </w:rPr>
        <w:t>) of the component of descriptor</w:t>
      </w:r>
      <w:r w:rsidRPr="00C00214">
        <w:rPr>
          <w:rFonts w:eastAsia="Times New Roman"/>
          <w:i/>
        </w:rPr>
        <w:t xml:space="preserve"> </w:t>
      </w:r>
      <w:r w:rsidRPr="00C00214">
        <w:rPr>
          <w:rFonts w:eastAsia="Times New Roman"/>
        </w:rPr>
        <w:t>d</w:t>
      </w:r>
      <w:r w:rsidRPr="00C00214">
        <w:rPr>
          <w:rFonts w:eastAsia="Times New Roman"/>
          <w:i/>
          <w:vertAlign w:val="subscript"/>
        </w:rPr>
        <w:t>j</w:t>
      </w:r>
      <w:r w:rsidRPr="00C00214">
        <w:rPr>
          <w:rFonts w:eastAsia="Times New Roman"/>
        </w:rPr>
        <w:t>(</w:t>
      </w:r>
      <w:r w:rsidRPr="00C00214">
        <w:rPr>
          <w:rFonts w:eastAsia="Times New Roman"/>
          <w:b/>
        </w:rPr>
        <w:t>a</w:t>
      </w:r>
      <w:r w:rsidRPr="00C00214">
        <w:rPr>
          <w:rFonts w:eastAsia="Times New Roman"/>
        </w:rPr>
        <w:t xml:space="preserve">, </w:t>
      </w:r>
      <w:r w:rsidRPr="00C00214">
        <w:rPr>
          <w:rFonts w:eastAsia="Times New Roman"/>
          <w:i/>
        </w:rPr>
        <w:t>G</w:t>
      </w:r>
      <w:r w:rsidRPr="00C00214">
        <w:rPr>
          <w:rFonts w:eastAsia="Times New Roman"/>
          <w:vertAlign w:val="subscript"/>
        </w:rPr>
        <w:t>n</w:t>
      </w:r>
      <w:r w:rsidRPr="00C00214">
        <w:rPr>
          <w:rFonts w:eastAsia="Times New Roman"/>
        </w:rPr>
        <w:t>,</w:t>
      </w:r>
      <w:r w:rsidRPr="00C00214">
        <w:rPr>
          <w:rFonts w:eastAsia="Times New Roman"/>
          <w:i/>
        </w:rPr>
        <w:t xml:space="preserve"> E</w:t>
      </w:r>
      <w:r w:rsidRPr="00C00214">
        <w:rPr>
          <w:rFonts w:eastAsia="Times New Roman"/>
          <w:vertAlign w:val="subscript"/>
        </w:rPr>
        <w:t>in</w:t>
      </w:r>
      <w:r w:rsidRPr="00C00214">
        <w:rPr>
          <w:rFonts w:eastAsia="Times New Roman"/>
        </w:rPr>
        <w:t xml:space="preserve">,) with respect to </w:t>
      </w:r>
      <w:r w:rsidRPr="00C00214">
        <w:rPr>
          <w:rFonts w:eastAsia="Times New Roman"/>
          <w:i/>
        </w:rPr>
        <w:t>E</w:t>
      </w:r>
      <w:r w:rsidRPr="00C00214">
        <w:rPr>
          <w:rFonts w:eastAsia="Times New Roman"/>
          <w:vertAlign w:val="subscript"/>
        </w:rPr>
        <w:t>in</w:t>
      </w:r>
      <w:r w:rsidRPr="00C00214">
        <w:rPr>
          <w:rFonts w:eastAsia="Times New Roman"/>
        </w:rPr>
        <w:t xml:space="preserve"> was used to estimate the sensitivity and further averaged over </w:t>
      </w:r>
      <w:r w:rsidRPr="00C00214">
        <w:rPr>
          <w:rFonts w:eastAsia="Times New Roman"/>
          <w:i/>
        </w:rPr>
        <w:t>M</w:t>
      </w:r>
      <w:r w:rsidRPr="00C00214">
        <w:rPr>
          <w:rFonts w:eastAsia="Times New Roman"/>
        </w:rPr>
        <w:t xml:space="preserve"> (</w:t>
      </w:r>
      <w:r w:rsidRPr="00C00214">
        <w:rPr>
          <w:rFonts w:eastAsia="Times New Roman"/>
          <w:i/>
        </w:rPr>
        <w:t>M</w:t>
      </w:r>
      <w:r w:rsidRPr="00C00214">
        <w:rPr>
          <w:rFonts w:eastAsia="Times New Roman"/>
        </w:rPr>
        <w:t xml:space="preserve"> = 600) data points in the measured SE spectra and over the number of different graphene layer numbers </w:t>
      </w:r>
      <w:r w:rsidRPr="00C00214">
        <w:rPr>
          <w:rFonts w:eastAsia="Times New Roman"/>
          <w:i/>
        </w:rPr>
        <w:t>N</w:t>
      </w:r>
      <w:r w:rsidRPr="00C00214">
        <w:rPr>
          <w:rFonts w:eastAsia="Times New Roman"/>
        </w:rPr>
        <w:t xml:space="preserve"> (</w:t>
      </w:r>
      <w:r w:rsidRPr="00C00214">
        <w:rPr>
          <w:rFonts w:eastAsia="Times New Roman"/>
          <w:i/>
        </w:rPr>
        <w:t>N</w:t>
      </w:r>
      <w:r w:rsidRPr="00C00214">
        <w:rPr>
          <w:rFonts w:eastAsia="Times New Roman"/>
        </w:rPr>
        <w:t xml:space="preserve"> = 2).</w:t>
      </w:r>
    </w:p>
    <w:p w14:paraId="0149C87D" w14:textId="77777777" w:rsidR="00CD7432" w:rsidRPr="00C00214" w:rsidRDefault="00CD7432" w:rsidP="00CD7432">
      <w:pPr>
        <w:jc w:val="both"/>
        <w:rPr>
          <w:rFonts w:eastAsia="Times New Roman"/>
        </w:rPr>
      </w:pPr>
      <w:r w:rsidRPr="00C00214">
        <w:rPr>
          <w:rFonts w:eastAsia="Times New Roman"/>
        </w:rPr>
        <w:t xml:space="preserve">Score2 was used to quantify the sensitivity of a descriptor to </w:t>
      </w:r>
      <w:r w:rsidRPr="00C00214">
        <w:rPr>
          <w:rFonts w:eastAsia="Times New Roman"/>
          <w:i/>
        </w:rPr>
        <w:t>G</w:t>
      </w:r>
      <w:r w:rsidRPr="00C00214">
        <w:rPr>
          <w:rFonts w:eastAsia="Times New Roman"/>
          <w:vertAlign w:val="subscript"/>
        </w:rPr>
        <w:t>n</w:t>
      </w:r>
      <w:r w:rsidRPr="00C00214">
        <w:rPr>
          <w:rFonts w:eastAsia="Times New Roman"/>
        </w:rPr>
        <w:t xml:space="preserve"> as:</w:t>
      </w:r>
    </w:p>
    <w:p w14:paraId="0E6A5806" w14:textId="6046E78C" w:rsidR="008D563B" w:rsidRPr="00C00214" w:rsidRDefault="008D563B" w:rsidP="008D563B">
      <w:pPr>
        <w:pStyle w:val="MTDisplayEquation"/>
      </w:pPr>
      <w:r w:rsidRPr="00C00214">
        <w:lastRenderedPageBreak/>
        <w:tab/>
      </w:r>
      <w:r w:rsidRPr="00C00214">
        <w:rPr>
          <w:position w:val="-30"/>
        </w:rPr>
        <w:object w:dxaOrig="4740" w:dyaOrig="700" w14:anchorId="149A4BDB">
          <v:shape id="_x0000_i1037" type="#_x0000_t75" style="width:237pt;height:35pt" o:ole="">
            <v:imagedata r:id="rId36" o:title=""/>
          </v:shape>
          <o:OLEObject Type="Embed" ProgID="Equation.DSMT4" ShapeID="_x0000_i1037" DrawAspect="Content" ObjectID="_1646139066" r:id="rId37"/>
        </w:object>
      </w:r>
      <w:r w:rsidRPr="00C00214">
        <w:t xml:space="preserve"> </w:t>
      </w:r>
      <w:r w:rsidRPr="00C00214">
        <w:tab/>
        <w:t>(B2)</w:t>
      </w:r>
    </w:p>
    <w:p w14:paraId="5286DF85" w14:textId="4F668118" w:rsidR="00CD7432" w:rsidRPr="00C00214" w:rsidRDefault="00CD7432" w:rsidP="00CD7432">
      <w:pPr>
        <w:jc w:val="both"/>
        <w:rPr>
          <w:rFonts w:eastAsia="Times New Roman"/>
        </w:rPr>
      </w:pPr>
      <w:r w:rsidRPr="00C00214">
        <w:rPr>
          <w:rFonts w:eastAsia="Times New Roman"/>
        </w:rPr>
        <w:t>where Score2[D(</w:t>
      </w:r>
      <w:r w:rsidRPr="00C00214">
        <w:rPr>
          <w:rFonts w:eastAsia="Times New Roman"/>
          <w:b/>
        </w:rPr>
        <w:t>a</w:t>
      </w:r>
      <w:r w:rsidRPr="00C00214">
        <w:rPr>
          <w:rFonts w:eastAsia="Times New Roman"/>
        </w:rPr>
        <w:t xml:space="preserve">)] is the sensitivity of a descriptor determined by a given weight factor </w:t>
      </w:r>
      <w:r w:rsidRPr="00C00214">
        <w:rPr>
          <w:rFonts w:eastAsia="Times New Roman"/>
          <w:b/>
        </w:rPr>
        <w:t>a</w:t>
      </w:r>
      <w:r w:rsidRPr="00C00214">
        <w:rPr>
          <w:rFonts w:eastAsia="Times New Roman"/>
        </w:rPr>
        <w:t xml:space="preserve"> to </w:t>
      </w:r>
      <w:r w:rsidRPr="00C00214">
        <w:rPr>
          <w:rFonts w:eastAsia="Times New Roman"/>
          <w:i/>
        </w:rPr>
        <w:t>G</w:t>
      </w:r>
      <w:r w:rsidRPr="00C00214">
        <w:rPr>
          <w:rFonts w:eastAsia="Times New Roman"/>
          <w:vertAlign w:val="subscript"/>
        </w:rPr>
        <w:t>n</w:t>
      </w:r>
      <w:r w:rsidRPr="00C00214">
        <w:rPr>
          <w:rFonts w:eastAsia="Times New Roman"/>
        </w:rPr>
        <w:t xml:space="preserve">. Here, a variant of the square root of the </w:t>
      </w:r>
      <w:r w:rsidRPr="00C00214">
        <w:rPr>
          <w:rFonts w:eastAsia="Times New Roman"/>
          <w:i/>
        </w:rPr>
        <w:t>χ</w:t>
      </w:r>
      <w:r w:rsidRPr="00C00214">
        <w:rPr>
          <w:rFonts w:eastAsia="Times New Roman"/>
          <w:vertAlign w:val="superscript"/>
        </w:rPr>
        <w:t>2</w:t>
      </w:r>
      <w:r w:rsidRPr="00C00214">
        <w:rPr>
          <w:rFonts w:eastAsia="Times New Roman"/>
        </w:rPr>
        <w:t xml:space="preserve"> formula (</w:t>
      </w:r>
      <w:r w:rsidRPr="00C00214">
        <w:rPr>
          <w:rFonts w:eastAsia="Times New Roman"/>
          <w:position w:val="-30"/>
        </w:rPr>
        <w:object w:dxaOrig="1860" w:dyaOrig="780" w14:anchorId="65E35149">
          <v:shape id="_x0000_i1038" type="#_x0000_t75" style="width:92pt;height:35pt" o:ole="">
            <v:imagedata r:id="rId38" o:title=""/>
          </v:shape>
          <o:OLEObject Type="Embed" ProgID="Equation.DSMT4" ShapeID="_x0000_i1038" DrawAspect="Content" ObjectID="_1646139067" r:id="rId39"/>
        </w:object>
      </w:r>
      <w:r w:rsidRPr="00C00214">
        <w:rPr>
          <w:rFonts w:eastAsia="Times New Roman"/>
        </w:rPr>
        <w:t>) was used to estimate the sensitivity where the observed frequencies O</w:t>
      </w:r>
      <w:r w:rsidRPr="00C00214">
        <w:rPr>
          <w:rFonts w:eastAsia="Times New Roman"/>
          <w:vertAlign w:val="subscript"/>
        </w:rPr>
        <w:t>i</w:t>
      </w:r>
      <w:r w:rsidRPr="00C00214">
        <w:rPr>
          <w:rFonts w:eastAsia="Times New Roman"/>
        </w:rPr>
        <w:t xml:space="preserve"> and expected frequencies E</w:t>
      </w:r>
      <w:r w:rsidRPr="00C00214">
        <w:rPr>
          <w:rFonts w:eastAsia="Times New Roman"/>
          <w:vertAlign w:val="subscript"/>
        </w:rPr>
        <w:t>i</w:t>
      </w:r>
      <w:r w:rsidRPr="00C00214">
        <w:rPr>
          <w:rFonts w:eastAsia="Times New Roman"/>
        </w:rPr>
        <w:t xml:space="preserve"> were replaced by the component value of descriptor d</w:t>
      </w:r>
      <w:r w:rsidRPr="00C00214">
        <w:rPr>
          <w:rFonts w:eastAsia="Times New Roman"/>
          <w:i/>
          <w:vertAlign w:val="subscript"/>
        </w:rPr>
        <w:t>j</w:t>
      </w:r>
      <w:r w:rsidRPr="00C00214">
        <w:rPr>
          <w:rFonts w:eastAsia="Times New Roman"/>
        </w:rPr>
        <w:t>(</w:t>
      </w:r>
      <w:r w:rsidRPr="00C00214">
        <w:rPr>
          <w:rFonts w:eastAsia="Times New Roman"/>
          <w:b/>
        </w:rPr>
        <w:t>a</w:t>
      </w:r>
      <w:r w:rsidRPr="00C00214">
        <w:rPr>
          <w:rFonts w:eastAsia="Times New Roman"/>
        </w:rPr>
        <w:t xml:space="preserve">, </w:t>
      </w:r>
      <w:r w:rsidRPr="00C00214">
        <w:rPr>
          <w:rFonts w:eastAsia="Times New Roman"/>
          <w:i/>
        </w:rPr>
        <w:t>G</w:t>
      </w:r>
      <w:r w:rsidRPr="00C00214">
        <w:rPr>
          <w:rFonts w:eastAsia="Times New Roman"/>
          <w:vertAlign w:val="subscript"/>
        </w:rPr>
        <w:t>n</w:t>
      </w:r>
      <w:r w:rsidRPr="00C00214">
        <w:rPr>
          <w:rFonts w:eastAsia="Times New Roman"/>
        </w:rPr>
        <w:t>,</w:t>
      </w:r>
      <w:r w:rsidRPr="00C00214">
        <w:rPr>
          <w:rFonts w:eastAsia="Times New Roman"/>
          <w:i/>
        </w:rPr>
        <w:t xml:space="preserve"> E</w:t>
      </w:r>
      <w:r w:rsidRPr="00C00214">
        <w:rPr>
          <w:rFonts w:eastAsia="Times New Roman"/>
          <w:vertAlign w:val="subscript"/>
        </w:rPr>
        <w:t>in</w:t>
      </w:r>
      <w:r w:rsidRPr="00C00214">
        <w:rPr>
          <w:rFonts w:eastAsia="Times New Roman"/>
        </w:rPr>
        <w:t>) and the mean value of these d</w:t>
      </w:r>
      <w:r w:rsidRPr="00C00214">
        <w:rPr>
          <w:rFonts w:eastAsia="Times New Roman"/>
          <w:i/>
          <w:vertAlign w:val="subscript"/>
        </w:rPr>
        <w:t>j</w:t>
      </w:r>
      <w:r w:rsidRPr="00C00214">
        <w:rPr>
          <w:rFonts w:eastAsia="Times New Roman"/>
        </w:rPr>
        <w:t>(</w:t>
      </w:r>
      <w:r w:rsidRPr="00C00214">
        <w:rPr>
          <w:rFonts w:eastAsia="Times New Roman"/>
          <w:b/>
        </w:rPr>
        <w:t>a</w:t>
      </w:r>
      <w:r w:rsidRPr="00C00214">
        <w:rPr>
          <w:rFonts w:eastAsia="Times New Roman"/>
        </w:rPr>
        <w:t xml:space="preserve">, </w:t>
      </w:r>
      <w:r w:rsidRPr="00C00214">
        <w:rPr>
          <w:rFonts w:eastAsia="Times New Roman"/>
          <w:i/>
        </w:rPr>
        <w:t>G</w:t>
      </w:r>
      <w:r w:rsidRPr="00C00214">
        <w:rPr>
          <w:rFonts w:eastAsia="Times New Roman"/>
          <w:vertAlign w:val="subscript"/>
        </w:rPr>
        <w:t>n</w:t>
      </w:r>
      <w:r w:rsidRPr="00C00214">
        <w:rPr>
          <w:rFonts w:eastAsia="Times New Roman"/>
        </w:rPr>
        <w:t>,</w:t>
      </w:r>
      <w:r w:rsidRPr="00C00214">
        <w:rPr>
          <w:rFonts w:eastAsia="Times New Roman"/>
          <w:i/>
        </w:rPr>
        <w:t xml:space="preserve"> E</w:t>
      </w:r>
      <w:r w:rsidRPr="00C00214">
        <w:rPr>
          <w:rFonts w:eastAsia="Times New Roman"/>
          <w:vertAlign w:val="subscript"/>
        </w:rPr>
        <w:t>in</w:t>
      </w:r>
      <w:r w:rsidRPr="00C00214">
        <w:rPr>
          <w:rFonts w:eastAsia="Times New Roman"/>
        </w:rPr>
        <w:t xml:space="preserve">) were averaged for different </w:t>
      </w:r>
      <w:r w:rsidRPr="00C00214">
        <w:rPr>
          <w:rFonts w:eastAsia="Times New Roman"/>
          <w:i/>
        </w:rPr>
        <w:t>G</w:t>
      </w:r>
      <w:r w:rsidRPr="00C00214">
        <w:rPr>
          <w:rFonts w:eastAsia="Times New Roman"/>
          <w:vertAlign w:val="subscript"/>
        </w:rPr>
        <w:t>n</w:t>
      </w:r>
      <w:r w:rsidRPr="00C00214">
        <w:rPr>
          <w:rFonts w:eastAsia="Times New Roman"/>
        </w:rPr>
        <w:t xml:space="preserve">. Furthermore, these calculated sensitivities were averaged from </w:t>
      </w:r>
      <w:r w:rsidRPr="00C00214">
        <w:rPr>
          <w:rFonts w:eastAsia="Times New Roman"/>
          <w:i/>
        </w:rPr>
        <w:t>M</w:t>
      </w:r>
      <w:r w:rsidRPr="00C00214">
        <w:rPr>
          <w:rFonts w:eastAsia="Times New Roman"/>
        </w:rPr>
        <w:t xml:space="preserve"> (</w:t>
      </w:r>
      <w:r w:rsidRPr="00C00214">
        <w:rPr>
          <w:rFonts w:eastAsia="Times New Roman"/>
          <w:i/>
        </w:rPr>
        <w:t>M</w:t>
      </w:r>
      <w:r w:rsidRPr="00C00214">
        <w:rPr>
          <w:rFonts w:eastAsia="Times New Roman"/>
        </w:rPr>
        <w:t xml:space="preserve"> = 600) data points in the measured spectra and </w:t>
      </w:r>
      <w:r w:rsidRPr="00C00214">
        <w:rPr>
          <w:rFonts w:eastAsia="Times New Roman"/>
          <w:i/>
        </w:rPr>
        <w:t>L</w:t>
      </w:r>
      <w:r w:rsidRPr="00C00214">
        <w:rPr>
          <w:rFonts w:eastAsia="Times New Roman"/>
        </w:rPr>
        <w:t xml:space="preserve"> (</w:t>
      </w:r>
      <w:r w:rsidRPr="00C00214">
        <w:rPr>
          <w:rFonts w:eastAsia="Times New Roman"/>
          <w:i/>
        </w:rPr>
        <w:t>L</w:t>
      </w:r>
      <w:r w:rsidRPr="00C00214">
        <w:rPr>
          <w:rFonts w:eastAsia="Times New Roman"/>
        </w:rPr>
        <w:t xml:space="preserve"> = 3) options of </w:t>
      </w:r>
      <w:r w:rsidRPr="00C00214">
        <w:rPr>
          <w:rFonts w:eastAsia="Times New Roman"/>
          <w:i/>
        </w:rPr>
        <w:t>E</w:t>
      </w:r>
      <w:r w:rsidRPr="00C00214">
        <w:rPr>
          <w:rFonts w:eastAsia="Times New Roman"/>
          <w:vertAlign w:val="subscript"/>
        </w:rPr>
        <w:t>in</w:t>
      </w:r>
      <w:r w:rsidRPr="00C00214">
        <w:rPr>
          <w:rFonts w:eastAsia="Times New Roman"/>
        </w:rPr>
        <w:t>.</w:t>
      </w:r>
      <w:r w:rsidR="000A61E0" w:rsidRPr="00C00214">
        <w:rPr>
          <w:rFonts w:eastAsia="Times New Roman"/>
        </w:rPr>
        <w:t xml:space="preserve"> The Pareto optimal descriptors sorted out from the candidates according to their Score1 and Score2 are listed in Table </w:t>
      </w:r>
      <w:r w:rsidR="0073776A">
        <w:rPr>
          <w:rFonts w:eastAsia="Times New Roman"/>
        </w:rPr>
        <w:t>1</w:t>
      </w:r>
      <w:r w:rsidR="000A61E0" w:rsidRPr="00C00214">
        <w:rPr>
          <w:rFonts w:eastAsia="Times New Roman"/>
        </w:rPr>
        <w:t>.</w:t>
      </w:r>
    </w:p>
    <w:p w14:paraId="6AE5CFA9" w14:textId="255F3A49" w:rsidR="00402515" w:rsidRPr="00C00214" w:rsidRDefault="00402515" w:rsidP="00402515">
      <w:pPr>
        <w:jc w:val="center"/>
        <w:rPr>
          <w:rFonts w:eastAsia="Times New Roman"/>
          <w:b/>
        </w:rPr>
      </w:pPr>
      <w:r w:rsidRPr="00C00214">
        <w:rPr>
          <w:rFonts w:eastAsia="Times New Roman"/>
          <w:b/>
        </w:rPr>
        <w:t xml:space="preserve">2. </w:t>
      </w:r>
      <w:r w:rsidR="00CD7432" w:rsidRPr="00C00214">
        <w:rPr>
          <w:rFonts w:eastAsia="Times New Roman"/>
          <w:b/>
        </w:rPr>
        <w:t>Coefficient of var</w:t>
      </w:r>
      <w:r w:rsidRPr="00C00214">
        <w:rPr>
          <w:rFonts w:eastAsia="Times New Roman"/>
          <w:b/>
        </w:rPr>
        <w:t>iation of principle descriptors</w:t>
      </w:r>
    </w:p>
    <w:p w14:paraId="7A843241" w14:textId="02083F38" w:rsidR="00A6747B" w:rsidRPr="00C00214" w:rsidRDefault="00CD7432" w:rsidP="000A61E0">
      <w:pPr>
        <w:jc w:val="both"/>
        <w:rPr>
          <w:rFonts w:eastAsia="Times New Roman"/>
        </w:rPr>
      </w:pPr>
      <w:r w:rsidRPr="00C00214">
        <w:rPr>
          <w:rFonts w:eastAsia="Times New Roman"/>
        </w:rPr>
        <w:t>The coefficient of variation (</w:t>
      </w:r>
      <w:r w:rsidRPr="00C00214">
        <w:rPr>
          <w:rFonts w:eastAsia="Times New Roman"/>
          <w:position w:val="-30"/>
        </w:rPr>
        <w:object w:dxaOrig="2040" w:dyaOrig="780" w14:anchorId="5CB2430C">
          <v:shape id="_x0000_i1039" type="#_x0000_t75" style="width:99.5pt;height:35pt" o:ole="">
            <v:imagedata r:id="rId40" o:title=""/>
          </v:shape>
          <o:OLEObject Type="Embed" ProgID="Equation.DSMT4" ShapeID="_x0000_i1039" DrawAspect="Content" ObjectID="_1646139068" r:id="rId41"/>
        </w:object>
      </w:r>
      <w:r w:rsidRPr="00C00214">
        <w:rPr>
          <w:rFonts w:eastAsia="Times New Roman"/>
        </w:rPr>
        <w:t xml:space="preserve">) was used to evaluate whether or not the deviations of the Pareto optimal descriptors caused by different </w:t>
      </w:r>
      <w:r w:rsidRPr="00C00214">
        <w:rPr>
          <w:rFonts w:eastAsia="Times New Roman"/>
          <w:i/>
        </w:rPr>
        <w:t>G</w:t>
      </w:r>
      <w:r w:rsidRPr="00C00214">
        <w:rPr>
          <w:rFonts w:eastAsia="Times New Roman"/>
          <w:vertAlign w:val="subscript"/>
        </w:rPr>
        <w:t>n</w:t>
      </w:r>
      <w:r w:rsidRPr="00C00214">
        <w:rPr>
          <w:rFonts w:eastAsia="Times New Roman"/>
        </w:rPr>
        <w:t xml:space="preserve"> was sufficiently large to be observed under disturbance of the deviations caused by different </w:t>
      </w:r>
      <w:r w:rsidRPr="00C00214">
        <w:rPr>
          <w:rFonts w:eastAsia="Times New Roman"/>
          <w:i/>
        </w:rPr>
        <w:t>E</w:t>
      </w:r>
      <w:r w:rsidRPr="00C00214">
        <w:rPr>
          <w:rFonts w:eastAsia="Times New Roman"/>
          <w:vertAlign w:val="subscript"/>
        </w:rPr>
        <w:t>in</w:t>
      </w:r>
      <w:r w:rsidRPr="00C00214">
        <w:rPr>
          <w:rFonts w:eastAsia="Times New Roman"/>
        </w:rPr>
        <w:t xml:space="preserve">, where </w:t>
      </w:r>
      <w:r w:rsidRPr="00C00214">
        <w:rPr>
          <w:rFonts w:eastAsia="Times New Roman"/>
          <w:i/>
        </w:rPr>
        <w:t>µ</w:t>
      </w:r>
      <w:r w:rsidRPr="00C00214">
        <w:rPr>
          <w:rFonts w:eastAsia="Times New Roman"/>
          <w:vertAlign w:val="subscript"/>
        </w:rPr>
        <w:t>1L</w:t>
      </w:r>
      <w:r w:rsidRPr="00C00214">
        <w:rPr>
          <w:rFonts w:eastAsia="Times New Roman"/>
        </w:rPr>
        <w:t xml:space="preserve">, </w:t>
      </w:r>
      <w:r w:rsidRPr="00C00214">
        <w:rPr>
          <w:rFonts w:eastAsia="Times New Roman"/>
          <w:i/>
        </w:rPr>
        <w:t>σ</w:t>
      </w:r>
      <w:r w:rsidRPr="00C00214">
        <w:rPr>
          <w:rFonts w:eastAsia="Times New Roman"/>
          <w:vertAlign w:val="subscript"/>
        </w:rPr>
        <w:t>1L</w:t>
      </w:r>
      <w:r w:rsidRPr="00C00214">
        <w:rPr>
          <w:rFonts w:eastAsia="Times New Roman"/>
        </w:rPr>
        <w:t xml:space="preserve">, </w:t>
      </w:r>
      <w:r w:rsidRPr="00C00214">
        <w:rPr>
          <w:rFonts w:eastAsia="Times New Roman"/>
          <w:i/>
        </w:rPr>
        <w:t>µ</w:t>
      </w:r>
      <w:r w:rsidRPr="00C00214">
        <w:rPr>
          <w:rFonts w:eastAsia="Times New Roman"/>
          <w:vertAlign w:val="subscript"/>
        </w:rPr>
        <w:t>2L</w:t>
      </w:r>
      <w:r w:rsidRPr="00C00214">
        <w:rPr>
          <w:rFonts w:eastAsia="Times New Roman"/>
        </w:rPr>
        <w:t xml:space="preserve">, and </w:t>
      </w:r>
      <w:r w:rsidRPr="00C00214">
        <w:rPr>
          <w:rFonts w:eastAsia="Times New Roman"/>
          <w:i/>
        </w:rPr>
        <w:t>σ</w:t>
      </w:r>
      <w:r w:rsidRPr="00C00214">
        <w:rPr>
          <w:rFonts w:eastAsia="Times New Roman"/>
          <w:vertAlign w:val="subscript"/>
        </w:rPr>
        <w:t>2L</w:t>
      </w:r>
      <w:r w:rsidRPr="00C00214">
        <w:rPr>
          <w:rFonts w:eastAsia="Times New Roman"/>
        </w:rPr>
        <w:t xml:space="preserve"> are mean values (</w:t>
      </w:r>
      <w:r w:rsidRPr="00C00214">
        <w:rPr>
          <w:rFonts w:eastAsia="Times New Roman"/>
          <w:i/>
        </w:rPr>
        <w:t>µ</w:t>
      </w:r>
      <w:r w:rsidRPr="00C00214">
        <w:rPr>
          <w:rFonts w:eastAsia="Times New Roman"/>
          <w:vertAlign w:val="subscript"/>
        </w:rPr>
        <w:t>1L</w:t>
      </w:r>
      <w:r w:rsidRPr="00C00214">
        <w:rPr>
          <w:rFonts w:eastAsia="Times New Roman"/>
        </w:rPr>
        <w:t xml:space="preserve">, </w:t>
      </w:r>
      <w:r w:rsidRPr="00C00214">
        <w:rPr>
          <w:rFonts w:eastAsia="Times New Roman"/>
          <w:i/>
        </w:rPr>
        <w:t>µ</w:t>
      </w:r>
      <w:r w:rsidRPr="00C00214">
        <w:rPr>
          <w:rFonts w:eastAsia="Times New Roman"/>
          <w:vertAlign w:val="subscript"/>
        </w:rPr>
        <w:t>2L</w:t>
      </w:r>
      <w:r w:rsidRPr="00C00214">
        <w:rPr>
          <w:rFonts w:eastAsia="Times New Roman"/>
        </w:rPr>
        <w:t>) and standard deviations (</w:t>
      </w:r>
      <w:r w:rsidRPr="00C00214">
        <w:rPr>
          <w:rFonts w:eastAsia="Times New Roman"/>
          <w:i/>
        </w:rPr>
        <w:t>σ</w:t>
      </w:r>
      <w:r w:rsidRPr="00C00214">
        <w:rPr>
          <w:rFonts w:eastAsia="Times New Roman"/>
          <w:vertAlign w:val="subscript"/>
        </w:rPr>
        <w:t>1L</w:t>
      </w:r>
      <w:r w:rsidRPr="00C00214">
        <w:rPr>
          <w:rFonts w:eastAsia="Times New Roman"/>
        </w:rPr>
        <w:t xml:space="preserve">, </w:t>
      </w:r>
      <w:r w:rsidRPr="00C00214">
        <w:rPr>
          <w:rFonts w:eastAsia="Times New Roman"/>
          <w:i/>
        </w:rPr>
        <w:t>σ</w:t>
      </w:r>
      <w:r w:rsidRPr="00C00214">
        <w:rPr>
          <w:rFonts w:eastAsia="Times New Roman"/>
          <w:vertAlign w:val="subscript"/>
        </w:rPr>
        <w:t>2L</w:t>
      </w:r>
      <w:r w:rsidRPr="00C00214">
        <w:rPr>
          <w:rFonts w:eastAsia="Times New Roman"/>
        </w:rPr>
        <w:t>) of the summed descriptor (</w:t>
      </w:r>
      <w:r w:rsidRPr="00C00214">
        <w:rPr>
          <w:rFonts w:eastAsia="Times New Roman"/>
          <w:position w:val="-30"/>
        </w:rPr>
        <w:object w:dxaOrig="1640" w:dyaOrig="700" w14:anchorId="3DC301EB">
          <v:shape id="_x0000_i1040" type="#_x0000_t75" style="width:87pt;height:37pt" o:ole="">
            <v:imagedata r:id="rId42" o:title=""/>
          </v:shape>
          <o:OLEObject Type="Embed" ProgID="Equation.DSMT4" ShapeID="_x0000_i1040" DrawAspect="Content" ObjectID="_1646139069" r:id="rId43"/>
        </w:object>
      </w:r>
      <w:r w:rsidRPr="00C00214">
        <w:rPr>
          <w:rFonts w:eastAsia="Times New Roman"/>
        </w:rPr>
        <w:t>) for mono- (</w:t>
      </w:r>
      <w:r w:rsidRPr="00C00214">
        <w:rPr>
          <w:rFonts w:eastAsia="Times New Roman"/>
          <w:i/>
        </w:rPr>
        <w:t>µ</w:t>
      </w:r>
      <w:r w:rsidRPr="00C00214">
        <w:rPr>
          <w:rFonts w:eastAsia="Times New Roman"/>
          <w:vertAlign w:val="subscript"/>
        </w:rPr>
        <w:t>1L</w:t>
      </w:r>
      <w:r w:rsidRPr="00C00214">
        <w:rPr>
          <w:rFonts w:eastAsia="Times New Roman"/>
        </w:rPr>
        <w:t xml:space="preserve">, </w:t>
      </w:r>
      <w:r w:rsidRPr="00C00214">
        <w:rPr>
          <w:rFonts w:eastAsia="Times New Roman"/>
          <w:i/>
        </w:rPr>
        <w:t>σ</w:t>
      </w:r>
      <w:r w:rsidRPr="00C00214">
        <w:rPr>
          <w:rFonts w:eastAsia="Times New Roman"/>
          <w:vertAlign w:val="subscript"/>
        </w:rPr>
        <w:t>1L</w:t>
      </w:r>
      <w:r w:rsidRPr="00C00214">
        <w:rPr>
          <w:rFonts w:eastAsia="Times New Roman"/>
        </w:rPr>
        <w:t>) and bilayer (</w:t>
      </w:r>
      <w:r w:rsidRPr="00C00214">
        <w:rPr>
          <w:rFonts w:eastAsia="Times New Roman"/>
          <w:i/>
        </w:rPr>
        <w:t>µ</w:t>
      </w:r>
      <w:r w:rsidRPr="00C00214">
        <w:rPr>
          <w:rFonts w:eastAsia="Times New Roman"/>
          <w:vertAlign w:val="subscript"/>
        </w:rPr>
        <w:t>2L</w:t>
      </w:r>
      <w:r w:rsidRPr="00C00214">
        <w:rPr>
          <w:rFonts w:eastAsia="Times New Roman"/>
        </w:rPr>
        <w:t xml:space="preserve">, </w:t>
      </w:r>
      <w:r w:rsidRPr="00C00214">
        <w:rPr>
          <w:rFonts w:eastAsia="Times New Roman"/>
          <w:i/>
        </w:rPr>
        <w:t>σ</w:t>
      </w:r>
      <w:r w:rsidRPr="00C00214">
        <w:rPr>
          <w:rFonts w:eastAsia="Times New Roman"/>
          <w:vertAlign w:val="subscript"/>
        </w:rPr>
        <w:t>2L</w:t>
      </w:r>
      <w:r w:rsidRPr="00C00214">
        <w:rPr>
          <w:rFonts w:eastAsia="Times New Roman"/>
        </w:rPr>
        <w:t xml:space="preserve">) graphene with respect to </w:t>
      </w:r>
      <w:r w:rsidRPr="00C00214">
        <w:rPr>
          <w:rFonts w:eastAsia="Times New Roman"/>
          <w:i/>
        </w:rPr>
        <w:t>E</w:t>
      </w:r>
      <w:r w:rsidRPr="00C00214">
        <w:rPr>
          <w:rFonts w:eastAsia="Times New Roman"/>
          <w:vertAlign w:val="subscript"/>
        </w:rPr>
        <w:t>in</w:t>
      </w:r>
      <w:r w:rsidRPr="00C00214">
        <w:rPr>
          <w:rFonts w:eastAsia="Times New Roman"/>
        </w:rPr>
        <w:t xml:space="preserve">. </w:t>
      </w:r>
      <w:r w:rsidR="000A61E0" w:rsidRPr="00C00214">
        <w:rPr>
          <w:rFonts w:eastAsia="Times New Roman"/>
        </w:rPr>
        <w:t>Nine principle descriptors sorted out from the</w:t>
      </w:r>
      <w:r w:rsidR="000A61E0" w:rsidRPr="00C00214">
        <w:t xml:space="preserve"> </w:t>
      </w:r>
      <w:r w:rsidR="000A61E0" w:rsidRPr="00C00214">
        <w:rPr>
          <w:rFonts w:eastAsia="Times New Roman"/>
        </w:rPr>
        <w:t>Pareto optimal descriptors according to its coefficient of variation are presented in Fig. 11</w:t>
      </w:r>
      <w:r w:rsidR="0073776A">
        <w:rPr>
          <w:rFonts w:eastAsia="Times New Roman"/>
        </w:rPr>
        <w:t xml:space="preserve"> and their </w:t>
      </w:r>
      <w:r w:rsidR="0073776A" w:rsidRPr="00C00214">
        <w:t xml:space="preserve">weight factors </w:t>
      </w:r>
      <w:r w:rsidR="0073776A" w:rsidRPr="00C00214">
        <w:rPr>
          <w:b/>
        </w:rPr>
        <w:t>a</w:t>
      </w:r>
      <w:r w:rsidR="0073776A" w:rsidRPr="00C00214">
        <w:t xml:space="preserve"> are listed in Table </w:t>
      </w:r>
      <w:r w:rsidR="0073776A">
        <w:t>2</w:t>
      </w:r>
      <w:r w:rsidR="0073776A" w:rsidRPr="00C00214">
        <w:rPr>
          <w:rFonts w:eastAsia="Times New Roman"/>
        </w:rPr>
        <w:t>.</w:t>
      </w:r>
    </w:p>
    <w:p w14:paraId="541B2D50" w14:textId="4EDEC6D8" w:rsidR="00402515" w:rsidRPr="00C00214" w:rsidRDefault="00402515" w:rsidP="00A6747B">
      <w:pPr>
        <w:jc w:val="center"/>
        <w:rPr>
          <w:rFonts w:eastAsia="Times New Roman"/>
          <w:b/>
        </w:rPr>
      </w:pPr>
      <w:r w:rsidRPr="00C00214">
        <w:rPr>
          <w:b/>
        </w:rPr>
        <w:t xml:space="preserve">Appendix </w:t>
      </w:r>
      <w:r w:rsidR="00B221E6" w:rsidRPr="00C00214">
        <w:rPr>
          <w:b/>
        </w:rPr>
        <w:t>C</w:t>
      </w:r>
      <w:r w:rsidRPr="00C00214">
        <w:rPr>
          <w:b/>
        </w:rPr>
        <w:t>:</w:t>
      </w:r>
      <w:r w:rsidRPr="00C00214">
        <w:rPr>
          <w:rFonts w:eastAsia="Times New Roman"/>
        </w:rPr>
        <w:t xml:space="preserve"> </w:t>
      </w:r>
      <w:r w:rsidR="00CD7432" w:rsidRPr="00C00214">
        <w:rPr>
          <w:rFonts w:eastAsia="Times New Roman"/>
          <w:b/>
        </w:rPr>
        <w:t xml:space="preserve">Hybrid method to predict </w:t>
      </w:r>
      <w:r w:rsidR="00CD7432" w:rsidRPr="00C00214">
        <w:rPr>
          <w:rFonts w:eastAsia="Times New Roman"/>
          <w:b/>
          <w:i/>
        </w:rPr>
        <w:t>λ</w:t>
      </w:r>
      <w:r w:rsidR="00CD7432" w:rsidRPr="00C00214">
        <w:rPr>
          <w:rFonts w:eastAsia="Times New Roman"/>
          <w:b/>
          <w:vertAlign w:val="subscript"/>
        </w:rPr>
        <w:t>EAL</w:t>
      </w:r>
    </w:p>
    <w:p w14:paraId="3E9E9591" w14:textId="3C324EA3" w:rsidR="00CD7432" w:rsidRPr="00C00214" w:rsidRDefault="00CD7432" w:rsidP="00CD7432">
      <w:pPr>
        <w:jc w:val="both"/>
        <w:rPr>
          <w:rFonts w:eastAsia="Times New Roman"/>
        </w:rPr>
      </w:pPr>
      <w:r w:rsidRPr="00C00214">
        <w:rPr>
          <w:rFonts w:eastAsia="Times New Roman"/>
        </w:rPr>
        <w:t xml:space="preserve">The </w:t>
      </w:r>
      <w:r w:rsidRPr="00C00214">
        <w:rPr>
          <w:rFonts w:eastAsia="Times New Roman"/>
          <w:i/>
        </w:rPr>
        <w:t>λ</w:t>
      </w:r>
      <w:r w:rsidRPr="00C00214">
        <w:rPr>
          <w:rFonts w:eastAsia="Times New Roman"/>
          <w:vertAlign w:val="subscript"/>
        </w:rPr>
        <w:t>EAL</w:t>
      </w:r>
      <w:r w:rsidRPr="00C00214">
        <w:rPr>
          <w:rFonts w:eastAsia="Times New Roman"/>
        </w:rPr>
        <w:t xml:space="preserve"> values for free-standing mono- and bilayer graphene samples were roughly estimated at 50 and 100 eV by a hybrid method using a combination of the time-dependent density functional theory (TDDFT) method [4</w:t>
      </w:r>
      <w:r w:rsidR="00B221E6" w:rsidRPr="00C00214">
        <w:rPr>
          <w:rFonts w:eastAsia="Times New Roman"/>
        </w:rPr>
        <w:t>8</w:t>
      </w:r>
      <w:r w:rsidRPr="00C00214">
        <w:rPr>
          <w:rFonts w:eastAsia="Times New Roman"/>
        </w:rPr>
        <w:t>] and MC method [</w:t>
      </w:r>
      <w:r w:rsidR="00B221E6" w:rsidRPr="00C00214">
        <w:rPr>
          <w:rFonts w:eastAsia="Times New Roman"/>
        </w:rPr>
        <w:t>49</w:t>
      </w:r>
      <w:r w:rsidRPr="00C00214">
        <w:rPr>
          <w:rFonts w:eastAsia="Times New Roman"/>
        </w:rPr>
        <w:t xml:space="preserve">]. In this calculation, transmitted electrons with </w:t>
      </w:r>
      <w:r w:rsidRPr="00C00214">
        <w:rPr>
          <w:rFonts w:eastAsia="Times New Roman"/>
        </w:rPr>
        <w:lastRenderedPageBreak/>
        <w:t>both the inelastic and elastic components were modelled using a TDDFT simulation in real time and space by representing the incident electrons as finite-sized wave packets [5</w:t>
      </w:r>
      <w:r w:rsidR="00B221E6" w:rsidRPr="00C00214">
        <w:rPr>
          <w:rFonts w:eastAsia="Times New Roman"/>
        </w:rPr>
        <w:t>0</w:t>
      </w:r>
      <w:r w:rsidRPr="00C00214">
        <w:rPr>
          <w:rFonts w:eastAsia="Times New Roman"/>
        </w:rPr>
        <w:t xml:space="preserve">]. Subsequently, to determine </w:t>
      </w:r>
      <w:r w:rsidRPr="00C00214">
        <w:rPr>
          <w:rFonts w:eastAsia="Times New Roman"/>
          <w:i/>
        </w:rPr>
        <w:t>λ</w:t>
      </w:r>
      <w:r w:rsidRPr="00C00214">
        <w:rPr>
          <w:rFonts w:eastAsia="Times New Roman"/>
          <w:vertAlign w:val="subscript"/>
        </w:rPr>
        <w:t>EAL</w:t>
      </w:r>
      <w:r w:rsidRPr="00C00214">
        <w:rPr>
          <w:rFonts w:eastAsia="Times New Roman"/>
        </w:rPr>
        <w:t>, the elastic component was derived with the help of the MC method, from which the proportion of elastic electrons was estimated. The MC simulation of electron trajectories penetrating a sample was based on a description of individual electron scattering processes; i.e., elastic scattering and inelastic scattering. The elastic scattering cross-section of a carbon atom [5</w:t>
      </w:r>
      <w:r w:rsidR="00B221E6" w:rsidRPr="00C00214">
        <w:rPr>
          <w:rFonts w:eastAsia="Times New Roman"/>
        </w:rPr>
        <w:t>1</w:t>
      </w:r>
      <w:r w:rsidRPr="00C00214">
        <w:rPr>
          <w:rFonts w:eastAsia="Times New Roman"/>
        </w:rPr>
        <w:t>] used herein was that described by the muffin-tin potential approximation. Furthermore, the inelastic scattering cross-section was determined by the EM method [</w:t>
      </w:r>
      <w:r w:rsidRPr="00C00214">
        <w:rPr>
          <w:rFonts w:eastAsia="Times New Roman"/>
          <w:i/>
        </w:rPr>
        <w:t>27</w:t>
      </w:r>
      <w:r w:rsidRPr="00C00214">
        <w:rPr>
          <w:rFonts w:eastAsia="Times New Roman"/>
        </w:rPr>
        <w:t>] from the energy loss function of graphene calculated using the WIEN2k package [</w:t>
      </w:r>
      <w:r w:rsidR="00B221E6" w:rsidRPr="00C00214">
        <w:rPr>
          <w:rFonts w:eastAsia="Times New Roman"/>
        </w:rPr>
        <w:t>52</w:t>
      </w:r>
      <w:r w:rsidRPr="00C00214">
        <w:rPr>
          <w:rFonts w:eastAsia="Times New Roman"/>
        </w:rPr>
        <w:t>].</w:t>
      </w:r>
    </w:p>
    <w:p w14:paraId="59E434EC" w14:textId="3B7C51EF" w:rsidR="00B221E6" w:rsidRPr="00C00214" w:rsidRDefault="00B221E6" w:rsidP="00B221E6">
      <w:pPr>
        <w:jc w:val="center"/>
        <w:rPr>
          <w:rFonts w:eastAsia="Times New Roman"/>
          <w:b/>
        </w:rPr>
      </w:pPr>
      <w:r w:rsidRPr="00C00214">
        <w:rPr>
          <w:b/>
        </w:rPr>
        <w:t xml:space="preserve">Appendix D: </w:t>
      </w:r>
      <w:r w:rsidRPr="00C00214">
        <w:rPr>
          <w:rFonts w:eastAsia="Times New Roman"/>
          <w:b/>
        </w:rPr>
        <w:t>Overlayer method.</w:t>
      </w:r>
      <w:r w:rsidRPr="00C00214">
        <w:rPr>
          <w:rFonts w:eastAsia="Times New Roman"/>
        </w:rPr>
        <w:t xml:space="preserve"> </w:t>
      </w:r>
    </w:p>
    <w:p w14:paraId="22CF2637" w14:textId="3B6CA8B7" w:rsidR="00B221E6" w:rsidRPr="00C00214" w:rsidRDefault="00B221E6" w:rsidP="00B221E6">
      <w:pPr>
        <w:jc w:val="both"/>
        <w:rPr>
          <w:rFonts w:eastAsia="Times New Roman"/>
        </w:rPr>
      </w:pPr>
      <w:r w:rsidRPr="00C00214">
        <w:rPr>
          <w:rFonts w:eastAsia="Times New Roman"/>
        </w:rPr>
        <w:t xml:space="preserve">The </w:t>
      </w:r>
      <w:r w:rsidRPr="00C00214">
        <w:rPr>
          <w:rFonts w:eastAsia="Times New Roman"/>
          <w:i/>
        </w:rPr>
        <w:t>λ</w:t>
      </w:r>
      <w:r w:rsidRPr="00C00214">
        <w:rPr>
          <w:rFonts w:eastAsia="Times New Roman"/>
          <w:vertAlign w:val="subscript"/>
        </w:rPr>
        <w:t>EAL</w:t>
      </w:r>
      <w:r w:rsidRPr="00C00214">
        <w:rPr>
          <w:rFonts w:eastAsia="Times New Roman"/>
        </w:rPr>
        <w:t xml:space="preserve"> values were measured by the overlayer method. The Ni MVV, Si LVV, and O KLL spectra collected from the bare substrate and covering graphene layer are presented in Fig. </w:t>
      </w:r>
      <w:r w:rsidR="00A14B65" w:rsidRPr="00C00214">
        <w:rPr>
          <w:rFonts w:eastAsia="Times New Roman"/>
        </w:rPr>
        <w:t>12</w:t>
      </w:r>
      <w:r w:rsidRPr="00C00214">
        <w:rPr>
          <w:rFonts w:eastAsia="Times New Roman"/>
        </w:rPr>
        <w:t xml:space="preserve">a, b, and c, respectively, from which the contributions from Auger electrons were extracted using the Tougaard background removal technique [53]. The standard relationship between </w:t>
      </w:r>
      <w:r w:rsidRPr="00C00214">
        <w:rPr>
          <w:rFonts w:eastAsia="Times New Roman"/>
          <w:i/>
        </w:rPr>
        <w:t>λ</w:t>
      </w:r>
      <w:r w:rsidRPr="00C00214">
        <w:rPr>
          <w:rFonts w:eastAsia="Times New Roman"/>
          <w:vertAlign w:val="subscript"/>
        </w:rPr>
        <w:t>EAL</w:t>
      </w:r>
      <w:r w:rsidRPr="00C00214">
        <w:rPr>
          <w:rFonts w:eastAsia="Times New Roman"/>
        </w:rPr>
        <w:t xml:space="preserve"> and the attenuated Auger signal in</w:t>
      </w:r>
      <w:r w:rsidRPr="00C00214">
        <w:rPr>
          <w:rFonts w:eastAsia="Times New Roman"/>
          <w:i/>
        </w:rPr>
        <w:t xml:space="preserve"> G</w:t>
      </w:r>
      <w:r w:rsidRPr="00C00214">
        <w:rPr>
          <w:rFonts w:eastAsia="Times New Roman"/>
          <w:i/>
          <w:vertAlign w:val="subscript"/>
        </w:rPr>
        <w:t>n</w:t>
      </w:r>
      <w:r w:rsidRPr="00C00214">
        <w:rPr>
          <w:rFonts w:eastAsia="Times New Roman"/>
        </w:rPr>
        <w:t xml:space="preserve"> layers of graphene is given by</w:t>
      </w:r>
    </w:p>
    <w:p w14:paraId="7FF9D5B5" w14:textId="6BC5D528" w:rsidR="00B221E6" w:rsidRPr="00C00214" w:rsidRDefault="00B221E6" w:rsidP="00B221E6">
      <w:pPr>
        <w:pStyle w:val="MTDisplayEquation"/>
      </w:pPr>
      <w:r w:rsidRPr="00C00214">
        <w:tab/>
      </w:r>
      <w:r w:rsidRPr="00C00214">
        <w:rPr>
          <w:position w:val="-32"/>
        </w:rPr>
        <w:object w:dxaOrig="2280" w:dyaOrig="700" w14:anchorId="644F8668">
          <v:shape id="_x0000_i1041" type="#_x0000_t75" style="width:114pt;height:35pt" o:ole="">
            <v:imagedata r:id="rId44" o:title=""/>
          </v:shape>
          <o:OLEObject Type="Embed" ProgID="Equation.DSMT4" ShapeID="_x0000_i1041" DrawAspect="Content" ObjectID="_1646139070" r:id="rId45"/>
        </w:object>
      </w:r>
      <w:r w:rsidRPr="00C00214">
        <w:t xml:space="preserve"> </w:t>
      </w:r>
      <w:r w:rsidRPr="00C00214">
        <w:tab/>
        <w:t>(D1)</w:t>
      </w:r>
    </w:p>
    <w:p w14:paraId="2E8876C4" w14:textId="7A28FA06" w:rsidR="00B221E6" w:rsidRPr="00C00214" w:rsidRDefault="00B221E6" w:rsidP="00B221E6">
      <w:pPr>
        <w:jc w:val="both"/>
        <w:rPr>
          <w:rFonts w:eastAsia="Times New Roman"/>
        </w:rPr>
      </w:pPr>
      <w:r w:rsidRPr="00C00214">
        <w:rPr>
          <w:rFonts w:eastAsia="Times New Roman"/>
        </w:rPr>
        <w:t xml:space="preserve">where </w:t>
      </w:r>
      <w:r w:rsidRPr="00C00214">
        <w:rPr>
          <w:rFonts w:eastAsia="Times New Roman"/>
          <w:i/>
        </w:rPr>
        <w:t>d</w:t>
      </w:r>
      <w:r w:rsidRPr="00C00214">
        <w:rPr>
          <w:rFonts w:eastAsia="Times New Roman"/>
          <w:vertAlign w:val="subscript"/>
        </w:rPr>
        <w:t>0</w:t>
      </w:r>
      <w:r w:rsidRPr="00C00214">
        <w:rPr>
          <w:rFonts w:eastAsia="Times New Roman"/>
        </w:rPr>
        <w:t xml:space="preserve"> is the thickness of a single graphene layer (3.35 Å); </w:t>
      </w:r>
      <w:r w:rsidRPr="00C00214">
        <w:rPr>
          <w:rFonts w:eastAsia="Times New Roman"/>
          <w:i/>
        </w:rPr>
        <w:t>I</w:t>
      </w:r>
      <w:r w:rsidRPr="00C00214">
        <w:rPr>
          <w:rFonts w:eastAsia="Times New Roman"/>
          <w:vertAlign w:val="subscript"/>
        </w:rPr>
        <w:t>n</w:t>
      </w:r>
      <w:r w:rsidRPr="00C00214">
        <w:rPr>
          <w:rFonts w:eastAsia="Times New Roman"/>
        </w:rPr>
        <w:t xml:space="preserve"> and </w:t>
      </w:r>
      <w:r w:rsidRPr="00C00214">
        <w:rPr>
          <w:rFonts w:eastAsia="Times New Roman"/>
          <w:i/>
        </w:rPr>
        <w:t>I</w:t>
      </w:r>
      <w:r w:rsidRPr="00C00214">
        <w:rPr>
          <w:rFonts w:eastAsia="Times New Roman"/>
          <w:vertAlign w:val="subscript"/>
        </w:rPr>
        <w:t>0</w:t>
      </w:r>
      <w:r w:rsidRPr="00C00214">
        <w:rPr>
          <w:rFonts w:eastAsia="Times New Roman"/>
        </w:rPr>
        <w:t xml:space="preserve"> are the Auger signal intensities attenuated by </w:t>
      </w:r>
      <w:r w:rsidRPr="00C00214">
        <w:rPr>
          <w:rFonts w:eastAsia="Times New Roman"/>
          <w:i/>
        </w:rPr>
        <w:t>G</w:t>
      </w:r>
      <w:r w:rsidRPr="00C00214">
        <w:rPr>
          <w:rFonts w:eastAsia="Times New Roman"/>
          <w:i/>
          <w:vertAlign w:val="subscript"/>
        </w:rPr>
        <w:t>n</w:t>
      </w:r>
      <w:r w:rsidRPr="00C00214">
        <w:rPr>
          <w:rFonts w:eastAsia="Times New Roman"/>
        </w:rPr>
        <w:t xml:space="preserve"> layers of graphene and that from a bare substrate (</w:t>
      </w:r>
      <w:r w:rsidRPr="00C00214">
        <w:rPr>
          <w:rFonts w:eastAsia="Times New Roman"/>
          <w:i/>
        </w:rPr>
        <w:t>G</w:t>
      </w:r>
      <w:r w:rsidRPr="00C00214">
        <w:rPr>
          <w:rFonts w:eastAsia="Times New Roman"/>
          <w:i/>
          <w:vertAlign w:val="subscript"/>
        </w:rPr>
        <w:t>n</w:t>
      </w:r>
      <w:r w:rsidRPr="00C00214">
        <w:rPr>
          <w:rFonts w:eastAsia="Times New Roman"/>
        </w:rPr>
        <w:t xml:space="preserve"> = 0), respectively; and </w:t>
      </w:r>
      <w:r w:rsidRPr="00C00214">
        <w:rPr>
          <w:rFonts w:eastAsia="Times New Roman"/>
          <w:i/>
        </w:rPr>
        <w:t>θ</w:t>
      </w:r>
      <w:r w:rsidRPr="00C00214">
        <w:rPr>
          <w:rFonts w:eastAsia="Times New Roman"/>
        </w:rPr>
        <w:t xml:space="preserve"> is the emission angle with respect to the sample normal. According to Eqn. </w:t>
      </w:r>
      <w:r w:rsidR="006A7D07">
        <w:rPr>
          <w:rFonts w:eastAsia="Times New Roman"/>
        </w:rPr>
        <w:t>D1</w:t>
      </w:r>
      <w:r w:rsidRPr="00C00214">
        <w:rPr>
          <w:rFonts w:eastAsia="Times New Roman"/>
        </w:rPr>
        <w:t xml:space="preserve">, </w:t>
      </w:r>
      <w:r w:rsidRPr="00C00214">
        <w:rPr>
          <w:rFonts w:eastAsia="Times New Roman"/>
          <w:i/>
        </w:rPr>
        <w:t>λ</w:t>
      </w:r>
      <w:r w:rsidRPr="00C00214">
        <w:rPr>
          <w:rFonts w:eastAsia="Times New Roman"/>
          <w:vertAlign w:val="subscript"/>
        </w:rPr>
        <w:t>EAL</w:t>
      </w:r>
      <w:r w:rsidRPr="00C00214">
        <w:rPr>
          <w:rFonts w:eastAsia="Times New Roman"/>
        </w:rPr>
        <w:t xml:space="preserve"> can be obtained at 57, 78, and 503 eV, which correspond to the Ni MVV, Si LVV, and O KLL transitions, respectively. Log plots of the Auger signal intensity attenuation of these spectra as a function of </w:t>
      </w:r>
      <w:r w:rsidRPr="00C00214">
        <w:rPr>
          <w:rFonts w:eastAsia="Times New Roman"/>
          <w:i/>
        </w:rPr>
        <w:t>G</w:t>
      </w:r>
      <w:r w:rsidRPr="00C00214">
        <w:rPr>
          <w:rFonts w:eastAsia="Times New Roman"/>
          <w:vertAlign w:val="subscript"/>
        </w:rPr>
        <w:t>n</w:t>
      </w:r>
      <w:r w:rsidRPr="00C00214">
        <w:rPr>
          <w:rFonts w:eastAsia="Times New Roman"/>
        </w:rPr>
        <w:t xml:space="preserve"> are presented in Fig. </w:t>
      </w:r>
      <w:r w:rsidR="00A14B65" w:rsidRPr="00C00214">
        <w:rPr>
          <w:rFonts w:eastAsia="Times New Roman"/>
        </w:rPr>
        <w:t>12</w:t>
      </w:r>
      <w:r w:rsidRPr="00C00214">
        <w:rPr>
          <w:rFonts w:eastAsia="Times New Roman"/>
        </w:rPr>
        <w:t xml:space="preserve">d, e, and f together with their fitting lines. From these plots, it is easy to </w:t>
      </w:r>
      <w:r w:rsidRPr="00C00214">
        <w:rPr>
          <w:rFonts w:eastAsia="Times New Roman"/>
        </w:rPr>
        <w:lastRenderedPageBreak/>
        <w:t xml:space="preserve">estimate </w:t>
      </w:r>
      <w:r w:rsidRPr="00C00214">
        <w:rPr>
          <w:rFonts w:eastAsia="Times New Roman"/>
          <w:i/>
        </w:rPr>
        <w:t>λ</w:t>
      </w:r>
      <w:r w:rsidRPr="00C00214">
        <w:rPr>
          <w:rFonts w:eastAsia="Times New Roman"/>
          <w:vertAlign w:val="subscript"/>
        </w:rPr>
        <w:t>EAL</w:t>
      </w:r>
      <w:r w:rsidRPr="00C00214">
        <w:rPr>
          <w:rFonts w:eastAsia="Times New Roman"/>
        </w:rPr>
        <w:t xml:space="preserve"> at 57, 78, and 503 eV corresponding to the Ni MVV, Si LVV, and O KLL transitions, respectively. The averaged </w:t>
      </w:r>
      <w:r w:rsidRPr="00C00214">
        <w:rPr>
          <w:rFonts w:eastAsia="Times New Roman"/>
          <w:i/>
        </w:rPr>
        <w:t>λ</w:t>
      </w:r>
      <w:r w:rsidRPr="00C00214">
        <w:rPr>
          <w:rFonts w:eastAsia="Times New Roman"/>
          <w:vertAlign w:val="subscript"/>
        </w:rPr>
        <w:t>EAL</w:t>
      </w:r>
      <w:r w:rsidRPr="00C00214">
        <w:rPr>
          <w:rFonts w:eastAsia="Times New Roman"/>
        </w:rPr>
        <w:t xml:space="preserve"> values estimated from the AES measurements collected for different </w:t>
      </w:r>
      <w:r w:rsidRPr="00C00214">
        <w:rPr>
          <w:rFonts w:eastAsia="Times New Roman"/>
          <w:i/>
        </w:rPr>
        <w:t>G</w:t>
      </w:r>
      <w:r w:rsidRPr="00C00214">
        <w:rPr>
          <w:rFonts w:eastAsia="Times New Roman"/>
          <w:vertAlign w:val="subscript"/>
        </w:rPr>
        <w:t>n</w:t>
      </w:r>
      <w:r w:rsidRPr="00C00214">
        <w:rPr>
          <w:rFonts w:eastAsia="Times New Roman"/>
        </w:rPr>
        <w:t xml:space="preserve"> are 4.6, 6.0, and 22.0 Å for the transitions at 57, 78, and 503 eV, respectively.</w:t>
      </w:r>
    </w:p>
    <w:p w14:paraId="7B221442" w14:textId="2019EC59" w:rsidR="00402515" w:rsidRPr="00C00214" w:rsidRDefault="00A6747B" w:rsidP="00402515">
      <w:pPr>
        <w:jc w:val="center"/>
        <w:rPr>
          <w:rFonts w:eastAsia="Times New Roman"/>
        </w:rPr>
      </w:pPr>
      <w:r w:rsidRPr="00C00214">
        <w:rPr>
          <w:b/>
        </w:rPr>
        <w:t>Appendix E:</w:t>
      </w:r>
      <w:r w:rsidRPr="00C00214">
        <w:rPr>
          <w:rFonts w:eastAsia="Times New Roman"/>
        </w:rPr>
        <w:t xml:space="preserve"> </w:t>
      </w:r>
      <w:r w:rsidR="00CD7432" w:rsidRPr="00C00214">
        <w:rPr>
          <w:rFonts w:eastAsia="Times New Roman"/>
          <w:b/>
        </w:rPr>
        <w:t>RMC method</w:t>
      </w:r>
      <w:r w:rsidRPr="00C00214">
        <w:rPr>
          <w:rFonts w:eastAsia="Times New Roman"/>
          <w:b/>
        </w:rPr>
        <w:t xml:space="preserve"> to predict </w:t>
      </w:r>
      <w:r w:rsidRPr="00C00214">
        <w:rPr>
          <w:rFonts w:eastAsia="Times New Roman"/>
          <w:b/>
          <w:i/>
        </w:rPr>
        <w:t>λ</w:t>
      </w:r>
      <w:r w:rsidRPr="00C00214">
        <w:rPr>
          <w:rFonts w:eastAsia="Times New Roman"/>
          <w:b/>
          <w:vertAlign w:val="subscript"/>
        </w:rPr>
        <w:t>IMFP</w:t>
      </w:r>
    </w:p>
    <w:p w14:paraId="1913195F" w14:textId="279419D0" w:rsidR="00C712EB" w:rsidRPr="00C00214" w:rsidRDefault="00CD7432" w:rsidP="00C712EB">
      <w:pPr>
        <w:jc w:val="both"/>
        <w:rPr>
          <w:lang w:val="en-GB"/>
        </w:rPr>
      </w:pPr>
      <w:r w:rsidRPr="00C00214">
        <w:rPr>
          <w:rFonts w:eastAsia="Times New Roman"/>
        </w:rPr>
        <w:t>The</w:t>
      </w:r>
      <w:r w:rsidRPr="00C00214">
        <w:rPr>
          <w:rFonts w:eastAsia="Times New Roman"/>
          <w:i/>
        </w:rPr>
        <w:t xml:space="preserve"> λ</w:t>
      </w:r>
      <w:r w:rsidRPr="00C00214">
        <w:rPr>
          <w:rFonts w:eastAsia="Times New Roman"/>
          <w:vertAlign w:val="subscript"/>
        </w:rPr>
        <w:t>IMFP</w:t>
      </w:r>
      <w:r w:rsidRPr="00C00214">
        <w:rPr>
          <w:rFonts w:eastAsia="Times New Roman"/>
        </w:rPr>
        <w:t xml:space="preserve"> of monolayer graphene was extracted from D</w:t>
      </w:r>
      <w:r w:rsidRPr="00C00214">
        <w:rPr>
          <w:rFonts w:eastAsia="Times New Roman"/>
          <w:vertAlign w:val="subscript"/>
        </w:rPr>
        <w:t>23</w:t>
      </w:r>
      <w:r w:rsidRPr="00C00214">
        <w:rPr>
          <w:rFonts w:eastAsia="Times New Roman"/>
        </w:rPr>
        <w:t>(</w:t>
      </w:r>
      <w:r w:rsidRPr="00C00214">
        <w:rPr>
          <w:rFonts w:eastAsia="Times New Roman"/>
          <w:i/>
        </w:rPr>
        <w:t>G</w:t>
      </w:r>
      <w:r w:rsidRPr="00C00214">
        <w:rPr>
          <w:rFonts w:eastAsia="Times New Roman"/>
          <w:vertAlign w:val="subscript"/>
        </w:rPr>
        <w:t>1</w:t>
      </w:r>
      <w:r w:rsidRPr="00C00214">
        <w:rPr>
          <w:rFonts w:eastAsia="Times New Roman"/>
        </w:rPr>
        <w:t>) by the RMC technique [</w:t>
      </w:r>
      <w:r w:rsidRPr="00C00214">
        <w:rPr>
          <w:rFonts w:eastAsia="Times New Roman"/>
          <w:i/>
        </w:rPr>
        <w:t>26</w:t>
      </w:r>
      <w:r w:rsidRPr="00C00214">
        <w:rPr>
          <w:rFonts w:eastAsia="Times New Roman"/>
        </w:rPr>
        <w:t xml:space="preserve">]. The RMC program used herein can be summarized as an iterative process to improve </w:t>
      </w:r>
      <w:r w:rsidRPr="00C00214">
        <w:rPr>
          <w:rFonts w:eastAsia="Times New Roman"/>
          <w:i/>
        </w:rPr>
        <w:t>λ</w:t>
      </w:r>
      <w:r w:rsidRPr="00C00214">
        <w:rPr>
          <w:rFonts w:eastAsia="Times New Roman"/>
          <w:vertAlign w:val="subscript"/>
        </w:rPr>
        <w:t>IMFP</w:t>
      </w:r>
      <w:r w:rsidRPr="00C00214">
        <w:rPr>
          <w:rFonts w:eastAsia="Times New Roman"/>
        </w:rPr>
        <w:t xml:space="preserve"> in a conventional MC simulation of electron interaction with monolayer graphene. This improvement was accomplished by minimizing the differences between the simulated and measured elastic electron transmission of monolayer graphene. In this program, we used a fixed elastic scattering cross-section of a carbon atom described by the muffin-tin model potential [52] to approximate the elastic scattering effects in monolayer graphene along the out-of-plane direction. It should be noted that this RMC program is valid only for monolayer nanomaterials, where it is appropriate to neglect the diffraction effect in the out-of-plane direction [54]. </w:t>
      </w:r>
      <w:r w:rsidR="00C712EB" w:rsidRPr="00C00214">
        <w:rPr>
          <w:lang w:val="en-GB"/>
        </w:rPr>
        <w:t xml:space="preserve">A flow chart of this RMC program is provided in Fig. </w:t>
      </w:r>
      <w:r w:rsidR="00911F18" w:rsidRPr="00C00214">
        <w:rPr>
          <w:lang w:val="en-GB"/>
        </w:rPr>
        <w:t>13</w:t>
      </w:r>
      <w:r w:rsidR="00C712EB" w:rsidRPr="00C00214">
        <w:rPr>
          <w:lang w:val="en-GB"/>
        </w:rPr>
        <w:t>a, wherein the MCMC sampling process is omitted for clarity. The algorithm is as follows:</w:t>
      </w:r>
    </w:p>
    <w:p w14:paraId="0CC118EC" w14:textId="77777777" w:rsidR="00C712EB" w:rsidRPr="00C00214" w:rsidRDefault="00C712EB" w:rsidP="00C712EB">
      <w:pPr>
        <w:pStyle w:val="Paragraph"/>
        <w:numPr>
          <w:ilvl w:val="0"/>
          <w:numId w:val="6"/>
        </w:numPr>
        <w:spacing w:line="480" w:lineRule="auto"/>
        <w:jc w:val="both"/>
        <w:rPr>
          <w:lang w:val="en-GB"/>
        </w:rPr>
      </w:pPr>
      <w:r w:rsidRPr="00C00214">
        <w:rPr>
          <w:lang w:val="en-GB"/>
        </w:rPr>
        <w:t xml:space="preserve">The initial </w:t>
      </w:r>
      <w:r w:rsidRPr="00C00214">
        <w:rPr>
          <w:i/>
          <w:lang w:val="en-GB"/>
        </w:rPr>
        <w:t>λ</w:t>
      </w:r>
      <w:r w:rsidRPr="00C00214">
        <w:rPr>
          <w:vertAlign w:val="subscript"/>
          <w:lang w:val="en-GB"/>
        </w:rPr>
        <w:t>IMFP</w:t>
      </w:r>
      <w:r w:rsidRPr="00C00214">
        <w:rPr>
          <w:lang w:val="en-GB"/>
        </w:rPr>
        <w:t xml:space="preserve"> values can be chosen as arbitrary positive numbers, but this would result in a much longer convergence time. We started with </w:t>
      </w:r>
      <w:r w:rsidRPr="00C00214">
        <w:rPr>
          <w:i/>
          <w:lang w:val="en-GB"/>
        </w:rPr>
        <w:t>λ</w:t>
      </w:r>
      <w:r w:rsidRPr="00C00214">
        <w:rPr>
          <w:vertAlign w:val="subscript"/>
          <w:lang w:val="en-GB"/>
        </w:rPr>
        <w:t>IMFP</w:t>
      </w:r>
      <w:r w:rsidRPr="00C00214">
        <w:rPr>
          <w:lang w:val="en-GB"/>
        </w:rPr>
        <w:t xml:space="preserve"> calculated based on the extended Mermin (EM) method from the energy loss function determined by a WIEN2k program package.</w:t>
      </w:r>
    </w:p>
    <w:p w14:paraId="66E5CD2E" w14:textId="2ECAC940" w:rsidR="00C712EB" w:rsidRPr="00C00214" w:rsidRDefault="00C712EB" w:rsidP="00C712EB">
      <w:pPr>
        <w:pStyle w:val="Paragraph"/>
        <w:numPr>
          <w:ilvl w:val="0"/>
          <w:numId w:val="6"/>
        </w:numPr>
        <w:spacing w:line="480" w:lineRule="auto"/>
        <w:jc w:val="both"/>
        <w:rPr>
          <w:lang w:val="en-GB"/>
        </w:rPr>
      </w:pPr>
      <w:r w:rsidRPr="00C00214">
        <w:rPr>
          <w:lang w:val="en-GB"/>
        </w:rPr>
        <w:t xml:space="preserve">Based on these </w:t>
      </w:r>
      <w:r w:rsidRPr="00C00214">
        <w:rPr>
          <w:i/>
          <w:lang w:val="en-GB"/>
        </w:rPr>
        <w:t>λ</w:t>
      </w:r>
      <w:r w:rsidRPr="00C00214">
        <w:rPr>
          <w:vertAlign w:val="subscript"/>
          <w:lang w:val="en-GB"/>
        </w:rPr>
        <w:t>IMFP</w:t>
      </w:r>
      <w:r w:rsidRPr="00C00214">
        <w:rPr>
          <w:lang w:val="en-GB"/>
        </w:rPr>
        <w:t xml:space="preserve"> values, an MC simulation was performed to obtain the elastic transmission spectrum, </w:t>
      </w:r>
      <w:r w:rsidRPr="00C00214">
        <w:rPr>
          <w:position w:val="-16"/>
          <w:lang w:val="en-GB"/>
        </w:rPr>
        <w:object w:dxaOrig="880" w:dyaOrig="440" w14:anchorId="2560E03E">
          <v:shape id="_x0000_i1042" type="#_x0000_t75" style="width:43.5pt;height:21pt" o:ole="">
            <v:imagedata r:id="rId46" o:title=""/>
          </v:shape>
          <o:OLEObject Type="Embed" ProgID="Equation.DSMT4" ShapeID="_x0000_i1042" DrawAspect="Content" ObjectID="_1646139071" r:id="rId47"/>
        </w:object>
      </w:r>
      <w:r w:rsidRPr="00C00214">
        <w:rPr>
          <w:lang w:val="en-GB"/>
        </w:rPr>
        <w:t xml:space="preserve">, where the index </w:t>
      </w:r>
      <w:r w:rsidRPr="00C00214">
        <w:rPr>
          <w:i/>
          <w:lang w:val="en-GB"/>
        </w:rPr>
        <w:t xml:space="preserve">j </w:t>
      </w:r>
      <w:r w:rsidRPr="00C00214">
        <w:rPr>
          <w:lang w:val="en-GB"/>
        </w:rPr>
        <w:t xml:space="preserve">denotes the </w:t>
      </w:r>
      <w:r w:rsidRPr="00C00214">
        <w:rPr>
          <w:i/>
          <w:lang w:val="en-GB"/>
        </w:rPr>
        <w:t>j</w:t>
      </w:r>
      <w:r w:rsidRPr="00C00214">
        <w:rPr>
          <w:lang w:val="en-GB"/>
        </w:rPr>
        <w:t xml:space="preserve">th experimental grid value of the electron energy </w:t>
      </w:r>
      <w:r w:rsidRPr="00C00214">
        <w:rPr>
          <w:i/>
          <w:lang w:val="en-GB"/>
        </w:rPr>
        <w:t>E</w:t>
      </w:r>
      <w:r w:rsidRPr="00C00214">
        <w:rPr>
          <w:lang w:val="en-GB"/>
        </w:rPr>
        <w:t xml:space="preserve">. The simulation procedure was the same as that previously used to calculate the elastic transmission of graphene (Fig. </w:t>
      </w:r>
      <w:r w:rsidR="00911F18" w:rsidRPr="00C00214">
        <w:rPr>
          <w:lang w:val="en-GB"/>
        </w:rPr>
        <w:t>13</w:t>
      </w:r>
      <w:r w:rsidRPr="00C00214">
        <w:rPr>
          <w:lang w:val="en-GB"/>
        </w:rPr>
        <w:t>b).</w:t>
      </w:r>
    </w:p>
    <w:p w14:paraId="18FD4770" w14:textId="77777777" w:rsidR="00C712EB" w:rsidRPr="00C00214" w:rsidRDefault="00C712EB" w:rsidP="00C712EB">
      <w:pPr>
        <w:pStyle w:val="Paragraph"/>
        <w:numPr>
          <w:ilvl w:val="0"/>
          <w:numId w:val="6"/>
        </w:numPr>
        <w:spacing w:line="480" w:lineRule="auto"/>
        <w:jc w:val="both"/>
        <w:rPr>
          <w:lang w:val="en-GB"/>
        </w:rPr>
      </w:pPr>
      <w:r w:rsidRPr="00C00214">
        <w:rPr>
          <w:lang w:val="en-GB"/>
        </w:rPr>
        <w:lastRenderedPageBreak/>
        <w:t xml:space="preserve">The sum of least-squares relative differences between the experimentally measured elastic transmission spectrum, </w:t>
      </w:r>
      <w:r w:rsidRPr="00C00214">
        <w:rPr>
          <w:i/>
          <w:lang w:val="en-GB"/>
        </w:rPr>
        <w:t>I</w:t>
      </w:r>
      <w:r w:rsidRPr="00C00214">
        <w:rPr>
          <w:vertAlign w:val="superscript"/>
          <w:lang w:val="en-GB"/>
        </w:rPr>
        <w:t>exp</w:t>
      </w:r>
      <w:r w:rsidRPr="00C00214">
        <w:rPr>
          <w:lang w:val="en-GB"/>
        </w:rPr>
        <w:t>(</w:t>
      </w:r>
      <w:r w:rsidRPr="00C00214">
        <w:rPr>
          <w:i/>
          <w:lang w:val="en-GB"/>
        </w:rPr>
        <w:t>E</w:t>
      </w:r>
      <w:r w:rsidRPr="00C00214">
        <w:rPr>
          <w:i/>
          <w:vertAlign w:val="subscript"/>
          <w:lang w:val="en-GB"/>
        </w:rPr>
        <w:t>j</w:t>
      </w:r>
      <w:r w:rsidRPr="00C00214">
        <w:rPr>
          <w:lang w:val="en-GB"/>
        </w:rPr>
        <w:t xml:space="preserve">), and MC-simulated spectrum, </w:t>
      </w:r>
      <w:r w:rsidRPr="00C00214">
        <w:rPr>
          <w:position w:val="-16"/>
          <w:lang w:val="en-GB"/>
        </w:rPr>
        <w:object w:dxaOrig="880" w:dyaOrig="440" w14:anchorId="10876951">
          <v:shape id="_x0000_i1043" type="#_x0000_t75" style="width:43.5pt;height:21pt" o:ole="">
            <v:imagedata r:id="rId48" o:title=""/>
          </v:shape>
          <o:OLEObject Type="Embed" ProgID="Equation.DSMT4" ShapeID="_x0000_i1043" DrawAspect="Content" ObjectID="_1646139072" r:id="rId49"/>
        </w:object>
      </w:r>
      <w:r w:rsidRPr="00C00214">
        <w:rPr>
          <w:lang w:val="en-GB"/>
        </w:rPr>
        <w:t>, was calculated</w:t>
      </w:r>
    </w:p>
    <w:p w14:paraId="7F7188C7" w14:textId="31834090" w:rsidR="00D97DB3" w:rsidRPr="00C00214" w:rsidRDefault="00D97DB3" w:rsidP="00D97DB3">
      <w:pPr>
        <w:pStyle w:val="MTDisplayEquation"/>
        <w:rPr>
          <w:lang w:val="en-GB"/>
        </w:rPr>
      </w:pPr>
      <w:r w:rsidRPr="00C00214">
        <w:rPr>
          <w:lang w:val="en-GB"/>
        </w:rPr>
        <w:tab/>
      </w:r>
      <w:r w:rsidRPr="00C00214">
        <w:rPr>
          <w:position w:val="-20"/>
          <w:lang w:val="en-GB"/>
        </w:rPr>
        <w:object w:dxaOrig="4140" w:dyaOrig="560" w14:anchorId="021F1BFE">
          <v:shape id="_x0000_i1044" type="#_x0000_t75" style="width:206.5pt;height:28.5pt" o:ole="">
            <v:imagedata r:id="rId50" o:title=""/>
          </v:shape>
          <o:OLEObject Type="Embed" ProgID="Equation.DSMT4" ShapeID="_x0000_i1044" DrawAspect="Content" ObjectID="_1646139073" r:id="rId51"/>
        </w:object>
      </w:r>
      <w:r w:rsidRPr="00C00214">
        <w:rPr>
          <w:lang w:val="en-GB"/>
        </w:rPr>
        <w:t xml:space="preserve"> </w:t>
      </w:r>
      <w:r w:rsidRPr="00C00214">
        <w:rPr>
          <w:lang w:val="en-GB"/>
        </w:rPr>
        <w:tab/>
        <w:t>(E1)</w:t>
      </w:r>
    </w:p>
    <w:p w14:paraId="6C2AF466" w14:textId="77777777" w:rsidR="00C712EB" w:rsidRPr="00C00214" w:rsidRDefault="00C712EB" w:rsidP="00C712EB">
      <w:pPr>
        <w:pStyle w:val="Paragraph"/>
        <w:spacing w:line="480" w:lineRule="auto"/>
        <w:ind w:left="567" w:firstLine="0"/>
        <w:jc w:val="both"/>
        <w:rPr>
          <w:lang w:val="en-GB"/>
        </w:rPr>
      </w:pPr>
      <w:r w:rsidRPr="00C00214">
        <w:rPr>
          <w:lang w:val="en-GB"/>
        </w:rPr>
        <w:t xml:space="preserve">where the summation is taken over </w:t>
      </w:r>
      <w:r w:rsidRPr="00C00214">
        <w:rPr>
          <w:i/>
          <w:lang w:val="en-GB"/>
        </w:rPr>
        <w:t>E</w:t>
      </w:r>
      <w:r w:rsidRPr="00C00214">
        <w:rPr>
          <w:i/>
          <w:vertAlign w:val="subscript"/>
          <w:lang w:val="en-GB"/>
        </w:rPr>
        <w:t>j</w:t>
      </w:r>
      <w:r w:rsidRPr="00C00214">
        <w:rPr>
          <w:lang w:val="en-GB"/>
        </w:rPr>
        <w:t xml:space="preserve">. The parameter </w:t>
      </w:r>
      <w:r w:rsidRPr="00C00214">
        <w:rPr>
          <w:i/>
          <w:lang w:val="en-GB"/>
        </w:rPr>
        <w:t>σ</w:t>
      </w:r>
      <w:r w:rsidRPr="00C00214">
        <w:rPr>
          <w:lang w:val="en-GB"/>
        </w:rPr>
        <w:t>(</w:t>
      </w:r>
      <w:r w:rsidRPr="00C00214">
        <w:rPr>
          <w:i/>
          <w:lang w:val="en-GB"/>
        </w:rPr>
        <w:t>E</w:t>
      </w:r>
      <w:r w:rsidRPr="00C00214">
        <w:rPr>
          <w:i/>
          <w:vertAlign w:val="subscript"/>
          <w:lang w:val="en-GB"/>
        </w:rPr>
        <w:t>j</w:t>
      </w:r>
      <w:r w:rsidRPr="00C00214">
        <w:rPr>
          <w:lang w:val="en-GB"/>
        </w:rPr>
        <w:t xml:space="preserve">) is an artificially specified weighting factor spectrum whose effect is to accelerate the convergence process. The parameter </w:t>
      </w:r>
      <w:r w:rsidRPr="00C00214">
        <w:rPr>
          <w:i/>
          <w:lang w:val="en-GB"/>
        </w:rPr>
        <w:t>σ</w:t>
      </w:r>
      <w:r w:rsidRPr="00C00214">
        <w:rPr>
          <w:lang w:val="en-GB"/>
        </w:rPr>
        <w:t>(</w:t>
      </w:r>
      <w:r w:rsidRPr="00C00214">
        <w:rPr>
          <w:i/>
          <w:lang w:val="en-GB"/>
        </w:rPr>
        <w:t>E</w:t>
      </w:r>
      <w:r w:rsidRPr="00C00214">
        <w:rPr>
          <w:i/>
          <w:vertAlign w:val="subscript"/>
          <w:lang w:val="en-GB"/>
        </w:rPr>
        <w:t>j</w:t>
      </w:r>
      <w:r w:rsidRPr="00C00214">
        <w:rPr>
          <w:lang w:val="en-GB"/>
        </w:rPr>
        <w:t xml:space="preserve">) can be considered as “temperature” in the simulated annealing and can be set as a constant in this RMC program because of the sufficient accuracy achieved by an initial “temperature” set. This removes the need for a gradual “temperature” decrease such as that used in the conventional simulated annealing method. Each </w:t>
      </w:r>
      <w:r w:rsidRPr="00C00214">
        <w:rPr>
          <w:i/>
          <w:lang w:val="en-GB"/>
        </w:rPr>
        <w:t>χ</w:t>
      </w:r>
      <w:r w:rsidRPr="00C00214">
        <w:rPr>
          <w:vertAlign w:val="superscript"/>
          <w:lang w:val="en-GB"/>
        </w:rPr>
        <w:t>2</w:t>
      </w:r>
      <w:r w:rsidRPr="00C00214">
        <w:rPr>
          <w:lang w:val="en-GB"/>
        </w:rPr>
        <w:t xml:space="preserve"> value defines the “potential energy” to be minimized in an MCMC simulation.</w:t>
      </w:r>
    </w:p>
    <w:p w14:paraId="46EEE457" w14:textId="290A8BEB" w:rsidR="00C712EB" w:rsidRPr="00C00214" w:rsidRDefault="00C712EB" w:rsidP="00C712EB">
      <w:pPr>
        <w:pStyle w:val="Paragraph"/>
        <w:numPr>
          <w:ilvl w:val="0"/>
          <w:numId w:val="6"/>
        </w:numPr>
        <w:spacing w:line="480" w:lineRule="auto"/>
        <w:jc w:val="both"/>
        <w:rPr>
          <w:lang w:val="en-GB"/>
        </w:rPr>
      </w:pPr>
      <w:r w:rsidRPr="00C00214">
        <w:rPr>
          <w:lang w:val="en-GB"/>
        </w:rPr>
        <w:t xml:space="preserve">The graphene </w:t>
      </w:r>
      <w:r w:rsidRPr="00C00214">
        <w:rPr>
          <w:i/>
          <w:lang w:val="en-GB"/>
        </w:rPr>
        <w:t>λ</w:t>
      </w:r>
      <w:r w:rsidRPr="00C00214">
        <w:rPr>
          <w:vertAlign w:val="subscript"/>
          <w:lang w:val="en-GB"/>
        </w:rPr>
        <w:t>IMFP</w:t>
      </w:r>
      <w:r w:rsidRPr="00C00214">
        <w:rPr>
          <w:lang w:val="en-GB"/>
        </w:rPr>
        <w:t xml:space="preserve"> values were adjusted at random in a specified range, although the randomness was directed using the known negative correlation between </w:t>
      </w:r>
      <w:r w:rsidRPr="00C00214">
        <w:rPr>
          <w:i/>
          <w:lang w:val="en-GB"/>
        </w:rPr>
        <w:t>λ</w:t>
      </w:r>
      <w:r w:rsidRPr="00C00214">
        <w:rPr>
          <w:vertAlign w:val="subscript"/>
          <w:lang w:val="en-GB"/>
        </w:rPr>
        <w:t>IMFP</w:t>
      </w:r>
      <w:r w:rsidRPr="00C00214">
        <w:rPr>
          <w:lang w:val="en-GB"/>
        </w:rPr>
        <w:t xml:space="preserve"> and simulated elastic transmission. Specifically, a larger </w:t>
      </w:r>
      <w:r w:rsidRPr="00C00214">
        <w:rPr>
          <w:i/>
          <w:lang w:val="en-GB"/>
        </w:rPr>
        <w:t>λ</w:t>
      </w:r>
      <w:r w:rsidRPr="00C00214">
        <w:rPr>
          <w:vertAlign w:val="subscript"/>
          <w:lang w:val="en-GB"/>
        </w:rPr>
        <w:t>IMFP</w:t>
      </w:r>
      <w:r w:rsidRPr="00C00214">
        <w:rPr>
          <w:lang w:val="en-GB"/>
        </w:rPr>
        <w:t xml:space="preserve"> leads to a smaller transmission, whereas a smaller </w:t>
      </w:r>
      <w:r w:rsidRPr="00C00214">
        <w:rPr>
          <w:i/>
          <w:lang w:val="en-GB"/>
        </w:rPr>
        <w:t>λ</w:t>
      </w:r>
      <w:r w:rsidRPr="00C00214">
        <w:rPr>
          <w:vertAlign w:val="subscript"/>
          <w:lang w:val="en-GB"/>
        </w:rPr>
        <w:t>IMFP</w:t>
      </w:r>
      <w:r w:rsidRPr="00C00214">
        <w:rPr>
          <w:lang w:val="en-GB"/>
        </w:rPr>
        <w:t xml:space="preserve"> leads to a larger transmission. New inelastic scattering cross sections were then obtained with the help of the energy loss probability determined by the EM method (Fig. </w:t>
      </w:r>
      <w:r w:rsidR="00911F18" w:rsidRPr="00C00214">
        <w:rPr>
          <w:lang w:val="en-GB"/>
        </w:rPr>
        <w:t>13</w:t>
      </w:r>
      <w:r w:rsidRPr="00C00214">
        <w:rPr>
          <w:lang w:val="en-GB"/>
        </w:rPr>
        <w:t xml:space="preserve">c). Based on this new inelastic scattering cross section combined with the unaltered elastic scattering cross section, a new MC simulation was performed with the help of the EM-determined energy loss probability of graphene to derive an updated spectrum, </w:t>
      </w:r>
      <w:r w:rsidRPr="00C00214">
        <w:rPr>
          <w:position w:val="-16"/>
          <w:lang w:val="en-GB"/>
        </w:rPr>
        <w:object w:dxaOrig="880" w:dyaOrig="440" w14:anchorId="6E0BD05D">
          <v:shape id="_x0000_i1045" type="#_x0000_t75" style="width:43.5pt;height:21pt" o:ole="">
            <v:imagedata r:id="rId52" o:title=""/>
          </v:shape>
          <o:OLEObject Type="Embed" ProgID="Equation.DSMT4" ShapeID="_x0000_i1045" DrawAspect="Content" ObjectID="_1646139074" r:id="rId53"/>
        </w:object>
      </w:r>
      <w:r w:rsidRPr="00C00214">
        <w:rPr>
          <w:lang w:val="en-GB"/>
        </w:rPr>
        <w:t>. This step produced a new “potential energy”:</w:t>
      </w:r>
    </w:p>
    <w:p w14:paraId="432A6FAE" w14:textId="4E65EE75" w:rsidR="00D97DB3" w:rsidRPr="00C00214" w:rsidRDefault="00D97DB3" w:rsidP="00D97DB3">
      <w:pPr>
        <w:pStyle w:val="MTDisplayEquation"/>
        <w:rPr>
          <w:lang w:val="en-GB"/>
        </w:rPr>
      </w:pPr>
      <w:r w:rsidRPr="00C00214">
        <w:rPr>
          <w:lang w:val="en-GB"/>
        </w:rPr>
        <w:tab/>
      </w:r>
      <w:r w:rsidRPr="00C00214">
        <w:rPr>
          <w:position w:val="-20"/>
          <w:lang w:val="en-GB"/>
        </w:rPr>
        <w:object w:dxaOrig="4120" w:dyaOrig="560" w14:anchorId="14EBD1A8">
          <v:shape id="_x0000_i1046" type="#_x0000_t75" style="width:206pt;height:28.5pt" o:ole="">
            <v:imagedata r:id="rId54" o:title=""/>
          </v:shape>
          <o:OLEObject Type="Embed" ProgID="Equation.DSMT4" ShapeID="_x0000_i1046" DrawAspect="Content" ObjectID="_1646139075" r:id="rId55"/>
        </w:object>
      </w:r>
      <w:r w:rsidRPr="00C00214">
        <w:rPr>
          <w:lang w:val="en-GB"/>
        </w:rPr>
        <w:t xml:space="preserve"> </w:t>
      </w:r>
      <w:r w:rsidRPr="00C00214">
        <w:rPr>
          <w:lang w:val="en-GB"/>
        </w:rPr>
        <w:tab/>
        <w:t>(E2)</w:t>
      </w:r>
    </w:p>
    <w:p w14:paraId="781956B4" w14:textId="77777777" w:rsidR="00C712EB" w:rsidRPr="00C00214" w:rsidRDefault="00C712EB" w:rsidP="00C712EB">
      <w:pPr>
        <w:pStyle w:val="Paragraph"/>
        <w:numPr>
          <w:ilvl w:val="0"/>
          <w:numId w:val="6"/>
        </w:numPr>
        <w:spacing w:line="480" w:lineRule="auto"/>
        <w:jc w:val="both"/>
        <w:rPr>
          <w:lang w:val="en-GB"/>
        </w:rPr>
      </w:pPr>
      <w:r w:rsidRPr="00C00214">
        <w:rPr>
          <w:lang w:val="en-GB"/>
        </w:rPr>
        <w:lastRenderedPageBreak/>
        <w:t xml:space="preserve">The change of the potential energy in this MCMC step was calculated as </w:t>
      </w:r>
      <w:r w:rsidRPr="00C00214">
        <w:rPr>
          <w:position w:val="-12"/>
          <w:lang w:val="en-GB"/>
        </w:rPr>
        <w:object w:dxaOrig="1440" w:dyaOrig="380" w14:anchorId="3E89157E">
          <v:shape id="_x0000_i1047" type="#_x0000_t75" style="width:61.5pt;height:19pt" o:ole="">
            <v:imagedata r:id="rId56" o:title=""/>
          </v:shape>
          <o:OLEObject Type="Embed" ProgID="Equation.DSMT4" ShapeID="_x0000_i1047" DrawAspect="Content" ObjectID="_1646139076" r:id="rId57"/>
        </w:object>
      </w:r>
      <w:r w:rsidRPr="00C00214">
        <w:rPr>
          <w:lang w:val="en-GB"/>
        </w:rPr>
        <w:t xml:space="preserve">. If </w:t>
      </w:r>
      <w:r w:rsidRPr="00C00214">
        <w:rPr>
          <w:position w:val="-12"/>
          <w:lang w:val="en-GB"/>
        </w:rPr>
        <w:object w:dxaOrig="840" w:dyaOrig="380" w14:anchorId="2C0A51C0">
          <v:shape id="_x0000_i1048" type="#_x0000_t75" style="width:33pt;height:17.5pt" o:ole="">
            <v:imagedata r:id="rId58" o:title=""/>
          </v:shape>
          <o:OLEObject Type="Embed" ProgID="Equation.DSMT4" ShapeID="_x0000_i1048" DrawAspect="Content" ObjectID="_1646139077" r:id="rId59"/>
        </w:object>
      </w:r>
      <w:r w:rsidRPr="00C00214">
        <w:rPr>
          <w:lang w:val="en-GB"/>
        </w:rPr>
        <w:t xml:space="preserve">, then the move was accepted only with the probability </w:t>
      </w:r>
      <w:r w:rsidRPr="00C00214">
        <w:rPr>
          <w:position w:val="-18"/>
          <w:lang w:val="en-GB"/>
        </w:rPr>
        <w:object w:dxaOrig="4040" w:dyaOrig="480" w14:anchorId="22EEF776">
          <v:shape id="_x0000_i1049" type="#_x0000_t75" style="width:191.5pt;height:21pt" o:ole="">
            <v:imagedata r:id="rId60" o:title=""/>
          </v:shape>
          <o:OLEObject Type="Embed" ProgID="Equation.DSMT4" ShapeID="_x0000_i1049" DrawAspect="Content" ObjectID="_1646139078" r:id="rId61"/>
        </w:object>
      </w:r>
      <w:r w:rsidRPr="00C00214">
        <w:rPr>
          <w:lang w:val="en-GB"/>
        </w:rPr>
        <w:t xml:space="preserve"> according to Metropolis importance sampling, where the “temperature” factor in a Boltzmann distribution has already been included in </w:t>
      </w:r>
      <w:r w:rsidRPr="00C00214">
        <w:rPr>
          <w:i/>
          <w:lang w:val="en-GB"/>
        </w:rPr>
        <w:t>σ</w:t>
      </w:r>
      <w:r w:rsidRPr="00C00214">
        <w:rPr>
          <w:lang w:val="en-GB"/>
        </w:rPr>
        <w:t>(</w:t>
      </w:r>
      <w:r w:rsidRPr="00C00214">
        <w:rPr>
          <w:i/>
          <w:lang w:val="en-GB"/>
        </w:rPr>
        <w:t>E</w:t>
      </w:r>
      <w:r w:rsidRPr="00C00214">
        <w:rPr>
          <w:i/>
          <w:vertAlign w:val="subscript"/>
          <w:lang w:val="en-GB"/>
        </w:rPr>
        <w:t>j</w:t>
      </w:r>
      <w:r w:rsidRPr="00C00214">
        <w:rPr>
          <w:lang w:val="en-GB"/>
        </w:rPr>
        <w:t xml:space="preserve">) as its absolute values. Otherwise, the move was rejected, and we repeated step 4 by adjusting the </w:t>
      </w:r>
      <w:r w:rsidRPr="00C00214">
        <w:rPr>
          <w:i/>
          <w:lang w:val="en-GB"/>
        </w:rPr>
        <w:t>λ</w:t>
      </w:r>
      <w:r w:rsidRPr="00C00214">
        <w:rPr>
          <w:vertAlign w:val="subscript"/>
          <w:lang w:val="en-GB"/>
        </w:rPr>
        <w:t>IMFP</w:t>
      </w:r>
      <w:r w:rsidRPr="00C00214">
        <w:rPr>
          <w:lang w:val="en-GB"/>
        </w:rPr>
        <w:t xml:space="preserve"> with other values. It should be noted that because the </w:t>
      </w:r>
      <w:r w:rsidRPr="00C00214">
        <w:rPr>
          <w:i/>
          <w:lang w:val="en-GB"/>
        </w:rPr>
        <w:t>λ</w:t>
      </w:r>
      <w:r w:rsidRPr="00C00214">
        <w:rPr>
          <w:vertAlign w:val="subscript"/>
          <w:lang w:val="en-GB"/>
        </w:rPr>
        <w:t>IMFP</w:t>
      </w:r>
      <w:r w:rsidRPr="00C00214">
        <w:rPr>
          <w:lang w:val="en-GB"/>
        </w:rPr>
        <w:t xml:space="preserve"> values are independent of energy, the MCMC sampling procedure for optimizing the </w:t>
      </w:r>
      <w:r w:rsidRPr="00C00214">
        <w:rPr>
          <w:i/>
          <w:lang w:val="en-GB"/>
        </w:rPr>
        <w:t>λ</w:t>
      </w:r>
      <w:r w:rsidRPr="00C00214">
        <w:rPr>
          <w:vertAlign w:val="subscript"/>
          <w:lang w:val="en-GB"/>
        </w:rPr>
        <w:t>IMFP</w:t>
      </w:r>
      <w:r w:rsidRPr="00C00214">
        <w:rPr>
          <w:lang w:val="en-GB"/>
        </w:rPr>
        <w:t xml:space="preserve"> values at different energies was performed in parallel.</w:t>
      </w:r>
    </w:p>
    <w:p w14:paraId="7F2025C2" w14:textId="77777777" w:rsidR="00C712EB" w:rsidRPr="00C00214" w:rsidRDefault="00C712EB" w:rsidP="00C712EB">
      <w:pPr>
        <w:pStyle w:val="Paragraph"/>
        <w:numPr>
          <w:ilvl w:val="0"/>
          <w:numId w:val="6"/>
        </w:numPr>
        <w:spacing w:line="480" w:lineRule="auto"/>
        <w:jc w:val="both"/>
        <w:rPr>
          <w:lang w:val="en-GB"/>
        </w:rPr>
      </w:pPr>
      <w:r w:rsidRPr="00C00214">
        <w:rPr>
          <w:lang w:val="en-GB"/>
        </w:rPr>
        <w:t xml:space="preserve">Step 4 and 5 were repeated for the next iteration. Successive iterations generated decreasing values of potential energy </w:t>
      </w:r>
      <w:r w:rsidRPr="00C00214">
        <w:rPr>
          <w:position w:val="-12"/>
          <w:lang w:val="en-GB"/>
        </w:rPr>
        <w:object w:dxaOrig="320" w:dyaOrig="380" w14:anchorId="449832FF">
          <v:shape id="_x0000_i1050" type="#_x0000_t75" style="width:14.5pt;height:21pt" o:ole="">
            <v:imagedata r:id="rId62" o:title=""/>
          </v:shape>
          <o:OLEObject Type="Embed" ProgID="Equation.DSMT4" ShapeID="_x0000_i1050" DrawAspect="Content" ObjectID="_1646139079" r:id="rId63"/>
        </w:object>
      </w:r>
      <w:r w:rsidRPr="00C00214">
        <w:rPr>
          <w:lang w:val="en-GB"/>
        </w:rPr>
        <w:t xml:space="preserve"> until they reached a minimum value. These minimum values possessed only a slight fluctuation where the difference between the simulated elastic transmission spectrum and measured spectrum was negligible.</w:t>
      </w:r>
    </w:p>
    <w:p w14:paraId="0F5572C0" w14:textId="1E55F868" w:rsidR="00C712EB" w:rsidRPr="00C00214" w:rsidRDefault="00C712EB" w:rsidP="00C712EB">
      <w:pPr>
        <w:jc w:val="both"/>
        <w:rPr>
          <w:lang w:val="en-GB"/>
        </w:rPr>
      </w:pPr>
      <w:r w:rsidRPr="00C00214">
        <w:rPr>
          <w:lang w:val="en-GB"/>
        </w:rPr>
        <w:t xml:space="preserve">In this way, our RMC simulation procedure can automatically optimize the </w:t>
      </w:r>
      <w:r w:rsidRPr="00C00214">
        <w:rPr>
          <w:i/>
          <w:lang w:val="en-GB"/>
        </w:rPr>
        <w:t>λ</w:t>
      </w:r>
      <w:r w:rsidRPr="00C00214">
        <w:rPr>
          <w:vertAlign w:val="subscript"/>
          <w:lang w:val="en-GB"/>
        </w:rPr>
        <w:t>IMFP</w:t>
      </w:r>
      <w:r w:rsidRPr="00C00214">
        <w:rPr>
          <w:lang w:val="en-GB"/>
        </w:rPr>
        <w:t xml:space="preserve"> of graphene to obtain the smallest difference between the simulated and measured elastic transmission data. It is particularly important that this RMC method uses the MCMC principle to accelerate the global optimization of the parameter set, which guarantees that the final results are independent of the initial </w:t>
      </w:r>
      <w:r w:rsidRPr="00C00214">
        <w:rPr>
          <w:i/>
          <w:lang w:val="en-GB"/>
        </w:rPr>
        <w:t>λ</w:t>
      </w:r>
      <w:r w:rsidRPr="00C00214">
        <w:rPr>
          <w:vertAlign w:val="subscript"/>
          <w:lang w:val="en-GB"/>
        </w:rPr>
        <w:t>IMFP</w:t>
      </w:r>
      <w:r w:rsidRPr="00C00214">
        <w:rPr>
          <w:lang w:val="en-GB"/>
        </w:rPr>
        <w:t xml:space="preserve"> values. Fig. </w:t>
      </w:r>
      <w:r w:rsidR="00911F18" w:rsidRPr="00C00214">
        <w:rPr>
          <w:lang w:val="en-GB"/>
        </w:rPr>
        <w:t>13</w:t>
      </w:r>
      <w:r w:rsidRPr="00C00214">
        <w:rPr>
          <w:lang w:val="en-GB"/>
        </w:rPr>
        <w:t xml:space="preserve">d shows the progression as the </w:t>
      </w:r>
      <w:r w:rsidRPr="00C00214">
        <w:rPr>
          <w:i/>
          <w:lang w:val="en-GB"/>
        </w:rPr>
        <w:t>λ</w:t>
      </w:r>
      <w:r w:rsidRPr="00C00214">
        <w:rPr>
          <w:vertAlign w:val="subscript"/>
          <w:lang w:val="en-GB"/>
        </w:rPr>
        <w:t>IMFP</w:t>
      </w:r>
      <w:r w:rsidRPr="00C00214">
        <w:rPr>
          <w:lang w:val="en-GB"/>
        </w:rPr>
        <w:t xml:space="preserve"> values are updated, as well as the simulated elastic transmission spectra resulting from the RMC process. The change in the normalized least-squares values </w:t>
      </w:r>
      <w:r w:rsidRPr="00C00214">
        <w:rPr>
          <w:position w:val="-12"/>
          <w:lang w:val="en-GB"/>
        </w:rPr>
        <w:object w:dxaOrig="740" w:dyaOrig="380" w14:anchorId="1DE94545">
          <v:shape id="_x0000_i1051" type="#_x0000_t75" style="width:32pt;height:19pt" o:ole="">
            <v:imagedata r:id="rId64" o:title=""/>
          </v:shape>
          <o:OLEObject Type="Embed" ProgID="Equation.DSMT4" ShapeID="_x0000_i1051" DrawAspect="Content" ObjectID="_1646139080" r:id="rId65"/>
        </w:object>
      </w:r>
      <w:r w:rsidRPr="00C00214">
        <w:rPr>
          <w:i/>
          <w:lang w:val="en-GB"/>
        </w:rPr>
        <w:t xml:space="preserve"> </w:t>
      </w:r>
      <w:r w:rsidRPr="00C00214">
        <w:rPr>
          <w:lang w:val="en-GB"/>
        </w:rPr>
        <w:t xml:space="preserve">with each MCMC step is also given in Fig. </w:t>
      </w:r>
      <w:r w:rsidR="00911F18" w:rsidRPr="00C00214">
        <w:rPr>
          <w:lang w:val="en-GB"/>
        </w:rPr>
        <w:t>13</w:t>
      </w:r>
      <w:r w:rsidRPr="00C00214">
        <w:rPr>
          <w:lang w:val="en-GB"/>
        </w:rPr>
        <w:t xml:space="preserve">e. The calculation time necessary to obtain satisfactory convergence (100 successive MCMC steps) was about 1 h with one CPU (Intel Core i7-3520M running at 2.90 GHz). It is obvious that the final </w:t>
      </w:r>
      <w:r w:rsidRPr="00C00214">
        <w:rPr>
          <w:lang w:val="en-GB"/>
        </w:rPr>
        <w:lastRenderedPageBreak/>
        <w:t xml:space="preserve">simulated elastic transmission spectrum (100 successive steps) fits the experimental spectrum very well. This is true even though the noise in the measured elastic transmission was completely transferred to the determined graphene </w:t>
      </w:r>
      <w:r w:rsidRPr="00C00214">
        <w:rPr>
          <w:i/>
          <w:lang w:val="en-GB"/>
        </w:rPr>
        <w:t>λ</w:t>
      </w:r>
      <w:r w:rsidRPr="00C00214">
        <w:rPr>
          <w:vertAlign w:val="subscript"/>
          <w:lang w:val="en-GB"/>
        </w:rPr>
        <w:t>IMFP</w:t>
      </w:r>
      <w:r w:rsidRPr="00C00214">
        <w:rPr>
          <w:lang w:val="en-GB"/>
        </w:rPr>
        <w:t xml:space="preserve">, which was then enhanced in the high-energy range. This enhancement is caused by the dominant role that </w:t>
      </w:r>
      <w:r w:rsidRPr="00C00214">
        <w:rPr>
          <w:i/>
          <w:lang w:val="en-GB"/>
        </w:rPr>
        <w:t>λ</w:t>
      </w:r>
      <w:r w:rsidRPr="00C00214">
        <w:rPr>
          <w:vertAlign w:val="subscript"/>
          <w:lang w:val="en-GB"/>
        </w:rPr>
        <w:t>IMFP</w:t>
      </w:r>
      <w:r w:rsidRPr="00C00214">
        <w:rPr>
          <w:lang w:val="en-GB"/>
        </w:rPr>
        <w:t xml:space="preserve"> plays in determining the electron transport behaviour at high energies. It was found that the fine structures observed in the determined </w:t>
      </w:r>
      <w:r w:rsidRPr="00C00214">
        <w:rPr>
          <w:i/>
          <w:lang w:val="en-GB"/>
        </w:rPr>
        <w:t>λ</w:t>
      </w:r>
      <w:r w:rsidRPr="00C00214">
        <w:rPr>
          <w:vertAlign w:val="subscript"/>
          <w:lang w:val="en-GB"/>
        </w:rPr>
        <w:t>IMFP</w:t>
      </w:r>
      <w:r w:rsidRPr="00C00214">
        <w:rPr>
          <w:lang w:val="en-GB"/>
        </w:rPr>
        <w:t xml:space="preserve"> corresponded precisely to the structures in the measured elastic transmission spectrum. This implies that the accuracy of the determined </w:t>
      </w:r>
      <w:r w:rsidRPr="00C00214">
        <w:rPr>
          <w:i/>
          <w:lang w:val="en-GB"/>
        </w:rPr>
        <w:t>λ</w:t>
      </w:r>
      <w:r w:rsidRPr="00C00214">
        <w:rPr>
          <w:vertAlign w:val="subscript"/>
          <w:lang w:val="en-GB"/>
        </w:rPr>
        <w:t>IMFP</w:t>
      </w:r>
      <w:r w:rsidRPr="00C00214">
        <w:rPr>
          <w:lang w:val="en-GB"/>
        </w:rPr>
        <w:t xml:space="preserve"> is mainly regulated by the accuracy of the measured elastic transmission. It should be noted that the Mott cross sections based on the muffin-tin potential model for describing elastic scattering are well-trusted for electron energies (</w:t>
      </w:r>
      <w:r w:rsidRPr="00C00214">
        <w:rPr>
          <w:i/>
          <w:lang w:val="en-GB"/>
        </w:rPr>
        <w:t>E</w:t>
      </w:r>
      <w:r w:rsidRPr="00C00214">
        <w:rPr>
          <w:lang w:val="en-GB"/>
        </w:rPr>
        <w:t>) above 50 eV (with reference to the vacuum level), but may be questionable below this energy. Because the Fermi level of monolayer graphene is at 25.4 eV, the limit for trustworthiness will shift to energies below 25.4 eV, where the constant electronic potential (</w:t>
      </w:r>
      <w:r w:rsidRPr="00C00214">
        <w:rPr>
          <w:i/>
          <w:lang w:val="en-GB"/>
        </w:rPr>
        <w:t>E</w:t>
      </w:r>
      <w:r w:rsidRPr="00C00214">
        <w:rPr>
          <w:vertAlign w:val="subscript"/>
          <w:lang w:val="en-GB"/>
        </w:rPr>
        <w:t>F</w:t>
      </w:r>
      <w:r w:rsidRPr="00C00214">
        <w:rPr>
          <w:lang w:val="en-GB"/>
        </w:rPr>
        <w:t>+</w:t>
      </w:r>
      <w:r w:rsidRPr="00C00214">
        <w:rPr>
          <w:i/>
          <w:lang w:val="en-GB"/>
        </w:rPr>
        <w:t>φ</w:t>
      </w:r>
      <w:r w:rsidRPr="00C00214">
        <w:rPr>
          <w:lang w:val="en-GB"/>
        </w:rPr>
        <w:t xml:space="preserve">) in monolayer graphene is 24.6 eV. To assess the reliability of the determined </w:t>
      </w:r>
      <w:r w:rsidRPr="00C00214">
        <w:rPr>
          <w:i/>
          <w:lang w:val="en-GB"/>
        </w:rPr>
        <w:t>λ</w:t>
      </w:r>
      <w:r w:rsidRPr="00C00214">
        <w:rPr>
          <w:vertAlign w:val="subscript"/>
          <w:lang w:val="en-GB"/>
        </w:rPr>
        <w:t>IMFP</w:t>
      </w:r>
      <w:r w:rsidRPr="00C00214">
        <w:rPr>
          <w:lang w:val="en-GB"/>
        </w:rPr>
        <w:t xml:space="preserve"> values of graphene below this limit, tests were performed wherein elastic cross sections based on different atomic potential models were used in the RMC program for the same experimental elastic transmission data measured with an incident electron energy of 10 keV. The resulting </w:t>
      </w:r>
      <w:r w:rsidRPr="00C00214">
        <w:rPr>
          <w:i/>
          <w:lang w:val="en-GB"/>
        </w:rPr>
        <w:t>λ</w:t>
      </w:r>
      <w:r w:rsidRPr="00C00214">
        <w:rPr>
          <w:vertAlign w:val="subscript"/>
          <w:lang w:val="en-GB"/>
        </w:rPr>
        <w:t>IMFP</w:t>
      </w:r>
      <w:r w:rsidRPr="00C00214">
        <w:rPr>
          <w:lang w:val="en-GB"/>
        </w:rPr>
        <w:t xml:space="preserve"> values and corresponding simulated elastic transmission spectra after 50 successive MCMC steps are shown in Fig. </w:t>
      </w:r>
      <w:r w:rsidR="00911F18" w:rsidRPr="00C00214">
        <w:rPr>
          <w:lang w:val="en-GB"/>
        </w:rPr>
        <w:t>13</w:t>
      </w:r>
      <w:r w:rsidRPr="00C00214">
        <w:rPr>
          <w:lang w:val="en-GB"/>
        </w:rPr>
        <w:t xml:space="preserve">f and g for the </w:t>
      </w:r>
      <w:r w:rsidRPr="00C00214">
        <w:rPr>
          <w:i/>
          <w:lang w:val="en-GB"/>
        </w:rPr>
        <w:t>E</w:t>
      </w:r>
      <w:r w:rsidRPr="00C00214">
        <w:rPr>
          <w:lang w:val="en-GB"/>
        </w:rPr>
        <w:t xml:space="preserve"> ranges of 0–600 and 0–50 eV, respectively. The final IMFP values and simulated elastic transmission converged above 25 eV even with different elastic scattering cross sections. This implies that at </w:t>
      </w:r>
      <w:r w:rsidRPr="00C00214">
        <w:rPr>
          <w:i/>
          <w:lang w:val="en-GB"/>
        </w:rPr>
        <w:t>E</w:t>
      </w:r>
      <w:r w:rsidRPr="00C00214">
        <w:rPr>
          <w:lang w:val="en-GB"/>
        </w:rPr>
        <w:t xml:space="preserve"> greater than 25 eV, the electron transport behaviour inside monolayer graphene is mainly determined by inelastic scattering. The excellent agreement between various atomic potential models for </w:t>
      </w:r>
      <w:r w:rsidRPr="00C00214">
        <w:rPr>
          <w:i/>
          <w:lang w:val="en-GB"/>
        </w:rPr>
        <w:t>E</w:t>
      </w:r>
      <w:r w:rsidRPr="00C00214">
        <w:rPr>
          <w:lang w:val="en-GB"/>
        </w:rPr>
        <w:t xml:space="preserve"> above 25 eV also provides clear evidence for the reliability of the determined </w:t>
      </w:r>
      <w:r w:rsidRPr="00C00214">
        <w:rPr>
          <w:i/>
          <w:lang w:val="en-GB"/>
        </w:rPr>
        <w:t>λ</w:t>
      </w:r>
      <w:r w:rsidRPr="00C00214">
        <w:rPr>
          <w:vertAlign w:val="subscript"/>
          <w:lang w:val="en-GB"/>
        </w:rPr>
        <w:t>IMFP</w:t>
      </w:r>
      <w:r w:rsidRPr="00C00214">
        <w:rPr>
          <w:lang w:val="en-GB"/>
        </w:rPr>
        <w:t xml:space="preserve"> in this range. However, elastic scattering plays an increasingly important role in </w:t>
      </w:r>
      <w:r w:rsidRPr="00C00214">
        <w:rPr>
          <w:lang w:val="en-GB"/>
        </w:rPr>
        <w:lastRenderedPageBreak/>
        <w:t xml:space="preserve">the elastic transmission spectrum when </w:t>
      </w:r>
      <w:r w:rsidRPr="00C00214">
        <w:rPr>
          <w:i/>
          <w:lang w:val="en-GB"/>
        </w:rPr>
        <w:t>E</w:t>
      </w:r>
      <w:r w:rsidRPr="00C00214">
        <w:rPr>
          <w:lang w:val="en-GB"/>
        </w:rPr>
        <w:t xml:space="preserve"> is below 25 eV, which is evidenced by the observed deviations of the determined </w:t>
      </w:r>
      <w:r w:rsidRPr="00C00214">
        <w:rPr>
          <w:i/>
          <w:lang w:val="en-GB"/>
        </w:rPr>
        <w:t>λ</w:t>
      </w:r>
      <w:r w:rsidRPr="00C00214">
        <w:rPr>
          <w:vertAlign w:val="subscript"/>
          <w:lang w:val="en-GB"/>
        </w:rPr>
        <w:t>IMFP</w:t>
      </w:r>
      <w:r w:rsidRPr="00C00214">
        <w:rPr>
          <w:lang w:val="en-GB"/>
        </w:rPr>
        <w:t xml:space="preserve"> values between different atomic potential models even though they still predicted the same elastic transmission spectrum. Therefore, the accuracy of the determined </w:t>
      </w:r>
      <w:r w:rsidRPr="00C00214">
        <w:rPr>
          <w:i/>
          <w:lang w:val="en-GB"/>
        </w:rPr>
        <w:t>λ</w:t>
      </w:r>
      <w:r w:rsidRPr="00C00214">
        <w:rPr>
          <w:vertAlign w:val="subscript"/>
          <w:lang w:val="en-GB"/>
        </w:rPr>
        <w:t>IMFP</w:t>
      </w:r>
      <w:r w:rsidRPr="00C00214">
        <w:rPr>
          <w:lang w:val="en-GB"/>
        </w:rPr>
        <w:t xml:space="preserve"> can only be determined by the accuracy of the elastic scattering cross section, including the selection of atomic potential model. Although there is no direct evidence for its accuracy below 50 eV (25.4 eV refers to the Fermi level), the muffin-tin potential model is one of the best and most popular atomic potentials even at such low </w:t>
      </w:r>
      <w:r w:rsidRPr="00C00214">
        <w:rPr>
          <w:i/>
          <w:lang w:val="en-GB"/>
        </w:rPr>
        <w:t>E</w:t>
      </w:r>
      <w:r w:rsidRPr="00C00214">
        <w:rPr>
          <w:lang w:val="en-GB"/>
        </w:rPr>
        <w:t xml:space="preserve">. Therefore, the presented </w:t>
      </w:r>
      <w:r w:rsidRPr="00C00214">
        <w:rPr>
          <w:i/>
          <w:lang w:val="en-GB"/>
        </w:rPr>
        <w:t>λ</w:t>
      </w:r>
      <w:r w:rsidRPr="00C00214">
        <w:rPr>
          <w:vertAlign w:val="subscript"/>
          <w:lang w:val="en-GB"/>
        </w:rPr>
        <w:t>IMFP</w:t>
      </w:r>
      <w:r w:rsidRPr="00C00214">
        <w:rPr>
          <w:lang w:val="en-GB"/>
        </w:rPr>
        <w:t xml:space="preserve"> values of monolayer graphene in the </w:t>
      </w:r>
      <w:r w:rsidRPr="00C00214">
        <w:rPr>
          <w:i/>
          <w:lang w:val="en-GB"/>
        </w:rPr>
        <w:t>E</w:t>
      </w:r>
      <w:r w:rsidRPr="00C00214">
        <w:rPr>
          <w:lang w:val="en-GB"/>
        </w:rPr>
        <w:t xml:space="preserve"> range of 10–25 eV are considered to be relatively reliable. This corresponds with the reliability of the elastic scattering cross sections determined based on the muffin-tin model potential in the </w:t>
      </w:r>
      <w:r w:rsidRPr="00C00214">
        <w:rPr>
          <w:i/>
          <w:lang w:val="en-GB"/>
        </w:rPr>
        <w:t>E</w:t>
      </w:r>
      <w:r w:rsidRPr="00C00214">
        <w:rPr>
          <w:lang w:val="en-GB"/>
        </w:rPr>
        <w:t xml:space="preserve"> range of 35–50 eV (10–25 eV relative to the Fermi level). When </w:t>
      </w:r>
      <w:r w:rsidRPr="00C00214">
        <w:rPr>
          <w:i/>
          <w:lang w:val="en-GB"/>
        </w:rPr>
        <w:t>E</w:t>
      </w:r>
      <w:r w:rsidRPr="00C00214">
        <w:rPr>
          <w:lang w:val="en-GB"/>
        </w:rPr>
        <w:t xml:space="preserve"> was 6 eV, even the simulated elastic transmissions based on the muffin-tin model potential did not agree with the measured transmissions regardless of any reasonable adjustments of the tentative </w:t>
      </w:r>
      <w:r w:rsidRPr="00C00214">
        <w:rPr>
          <w:i/>
          <w:lang w:val="en-GB"/>
        </w:rPr>
        <w:t>λ</w:t>
      </w:r>
      <w:r w:rsidRPr="00C00214">
        <w:rPr>
          <w:vertAlign w:val="subscript"/>
          <w:lang w:val="en-GB"/>
        </w:rPr>
        <w:t>IMFP</w:t>
      </w:r>
      <w:r w:rsidRPr="00C00214">
        <w:rPr>
          <w:lang w:val="en-GB"/>
        </w:rPr>
        <w:t xml:space="preserve">. The reasonableness of the </w:t>
      </w:r>
      <w:r w:rsidRPr="00C00214">
        <w:rPr>
          <w:i/>
          <w:lang w:val="en-GB"/>
        </w:rPr>
        <w:t>λ</w:t>
      </w:r>
      <w:r w:rsidRPr="00C00214">
        <w:rPr>
          <w:vertAlign w:val="subscript"/>
          <w:lang w:val="en-GB"/>
        </w:rPr>
        <w:t>IMFP</w:t>
      </w:r>
      <w:r w:rsidRPr="00C00214">
        <w:rPr>
          <w:lang w:val="en-GB"/>
        </w:rPr>
        <w:t xml:space="preserve"> value was judged by whether or not a reasonable SE spectrum was obtained by the MC method using this </w:t>
      </w:r>
      <w:r w:rsidRPr="00C00214">
        <w:rPr>
          <w:i/>
          <w:lang w:val="en-GB"/>
        </w:rPr>
        <w:t>λ</w:t>
      </w:r>
      <w:r w:rsidRPr="00C00214">
        <w:rPr>
          <w:vertAlign w:val="subscript"/>
          <w:lang w:val="en-GB"/>
        </w:rPr>
        <w:t>IMFP</w:t>
      </w:r>
      <w:r w:rsidRPr="00C00214">
        <w:rPr>
          <w:lang w:val="en-GB"/>
        </w:rPr>
        <w:t xml:space="preserve"> value. This result implies that either the calculated elastic scattering cross section or measured elastic transmission at very low </w:t>
      </w:r>
      <w:r w:rsidRPr="00C00214">
        <w:rPr>
          <w:i/>
          <w:lang w:val="en-GB"/>
        </w:rPr>
        <w:t>E</w:t>
      </w:r>
      <w:r w:rsidRPr="00C00214">
        <w:rPr>
          <w:lang w:val="en-GB"/>
        </w:rPr>
        <w:t xml:space="preserve"> is inaccurate. </w:t>
      </w:r>
    </w:p>
    <w:p w14:paraId="71B56661" w14:textId="54588D4E" w:rsidR="00402515" w:rsidRPr="00C00214" w:rsidRDefault="00A6747B" w:rsidP="00402515">
      <w:pPr>
        <w:jc w:val="center"/>
        <w:rPr>
          <w:rFonts w:eastAsia="Times New Roman"/>
        </w:rPr>
      </w:pPr>
      <w:r w:rsidRPr="00C00214">
        <w:rPr>
          <w:b/>
        </w:rPr>
        <w:t xml:space="preserve">Appendix F: </w:t>
      </w:r>
      <w:r w:rsidR="00CD7432" w:rsidRPr="00C00214">
        <w:rPr>
          <w:rFonts w:eastAsia="Times New Roman"/>
          <w:b/>
        </w:rPr>
        <w:t xml:space="preserve">Empirical formulas for </w:t>
      </w:r>
      <w:r w:rsidR="00CD7432" w:rsidRPr="00C00214">
        <w:rPr>
          <w:rFonts w:eastAsia="Times New Roman"/>
          <w:b/>
          <w:i/>
        </w:rPr>
        <w:t>λ</w:t>
      </w:r>
      <w:r w:rsidR="00CD7432" w:rsidRPr="00C00214">
        <w:rPr>
          <w:rFonts w:eastAsia="Times New Roman"/>
          <w:b/>
          <w:vertAlign w:val="subscript"/>
        </w:rPr>
        <w:t>IMFP</w:t>
      </w:r>
    </w:p>
    <w:p w14:paraId="5787B09E" w14:textId="77777777" w:rsidR="00CD7432" w:rsidRPr="00C00214" w:rsidRDefault="00CD7432" w:rsidP="00CD7432">
      <w:pPr>
        <w:jc w:val="both"/>
        <w:rPr>
          <w:rFonts w:eastAsia="Times New Roman"/>
        </w:rPr>
      </w:pPr>
      <w:r w:rsidRPr="00C00214">
        <w:rPr>
          <w:rFonts w:eastAsia="Times New Roman"/>
        </w:rPr>
        <w:t xml:space="preserve">The Bethe equation [55] was used to analyse the energy dependence of the presented </w:t>
      </w:r>
      <w:r w:rsidRPr="00C00214">
        <w:rPr>
          <w:rFonts w:eastAsia="Times New Roman"/>
          <w:i/>
        </w:rPr>
        <w:t>λ</w:t>
      </w:r>
      <w:r w:rsidRPr="00C00214">
        <w:rPr>
          <w:rFonts w:eastAsia="Times New Roman"/>
          <w:vertAlign w:val="subscript"/>
        </w:rPr>
        <w:t>IMFP</w:t>
      </w:r>
      <w:r w:rsidRPr="00C00214">
        <w:rPr>
          <w:rFonts w:eastAsia="Times New Roman"/>
        </w:rPr>
        <w:t xml:space="preserve"> of monolayer graphene at </w:t>
      </w:r>
      <w:r w:rsidRPr="00C00214">
        <w:rPr>
          <w:rFonts w:eastAsia="Times New Roman"/>
          <w:i/>
        </w:rPr>
        <w:t>E</w:t>
      </w:r>
      <w:r w:rsidRPr="00C00214">
        <w:rPr>
          <w:rFonts w:eastAsia="Times New Roman"/>
        </w:rPr>
        <w:t xml:space="preserve"> above 50 eV except for the C KVV Auger electron energy range. The Bethe equation is written as</w:t>
      </w:r>
    </w:p>
    <w:p w14:paraId="7DE0BDAA" w14:textId="5A8094B4" w:rsidR="00911F18" w:rsidRPr="00C00214" w:rsidRDefault="00911F18" w:rsidP="00911F18">
      <w:pPr>
        <w:pStyle w:val="MTDisplayEquation"/>
      </w:pPr>
      <w:r w:rsidRPr="00C00214">
        <w:tab/>
      </w:r>
      <w:r w:rsidRPr="00C00214">
        <w:rPr>
          <w:position w:val="-16"/>
        </w:rPr>
        <w:object w:dxaOrig="2520" w:dyaOrig="440" w14:anchorId="57581259">
          <v:shape id="_x0000_i1052" type="#_x0000_t75" style="width:126.5pt;height:21.5pt" o:ole="">
            <v:imagedata r:id="rId66" o:title=""/>
          </v:shape>
          <o:OLEObject Type="Embed" ProgID="Equation.DSMT4" ShapeID="_x0000_i1052" DrawAspect="Content" ObjectID="_1646139081" r:id="rId67"/>
        </w:object>
      </w:r>
      <w:r w:rsidRPr="00C00214">
        <w:t xml:space="preserve"> </w:t>
      </w:r>
      <w:r w:rsidRPr="00C00214">
        <w:tab/>
        <w:t>(F1)</w:t>
      </w:r>
    </w:p>
    <w:p w14:paraId="18CA4B1D" w14:textId="3BF8824B" w:rsidR="00CD7432" w:rsidRPr="00C00214" w:rsidRDefault="00CD7432" w:rsidP="00CD7432">
      <w:pPr>
        <w:jc w:val="both"/>
        <w:rPr>
          <w:rFonts w:eastAsia="Times New Roman"/>
        </w:rPr>
      </w:pPr>
      <w:r w:rsidRPr="00C00214">
        <w:rPr>
          <w:rFonts w:eastAsia="Times New Roman"/>
        </w:rPr>
        <w:lastRenderedPageBreak/>
        <w:t xml:space="preserve">where </w:t>
      </w:r>
      <w:r w:rsidRPr="00C00214">
        <w:rPr>
          <w:rFonts w:eastAsia="Times New Roman"/>
          <w:i/>
        </w:rPr>
        <w:t>E</w:t>
      </w:r>
      <w:r w:rsidRPr="00C00214">
        <w:rPr>
          <w:rFonts w:eastAsia="Times New Roman"/>
          <w:vertAlign w:val="subscript"/>
        </w:rPr>
        <w:t>p</w:t>
      </w:r>
      <w:r w:rsidRPr="00C00214">
        <w:rPr>
          <w:rFonts w:eastAsia="Times New Roman"/>
        </w:rPr>
        <w:t xml:space="preserve"> is the free-electron plasmon energy (in eV) (for carbon </w:t>
      </w:r>
      <w:r w:rsidRPr="00C00214">
        <w:rPr>
          <w:rFonts w:eastAsia="Times New Roman"/>
          <w:i/>
        </w:rPr>
        <w:t>E</w:t>
      </w:r>
      <w:r w:rsidRPr="00C00214">
        <w:rPr>
          <w:rFonts w:eastAsia="Times New Roman"/>
          <w:vertAlign w:val="subscript"/>
        </w:rPr>
        <w:t>p</w:t>
      </w:r>
      <w:r w:rsidRPr="00C00214">
        <w:rPr>
          <w:rFonts w:eastAsia="Times New Roman"/>
        </w:rPr>
        <w:t xml:space="preserve"> = 22.3 eV), and </w:t>
      </w:r>
      <w:r w:rsidRPr="00C00214">
        <w:rPr>
          <w:rFonts w:eastAsia="Times New Roman"/>
          <w:i/>
        </w:rPr>
        <w:t>β</w:t>
      </w:r>
      <w:r w:rsidRPr="00C00214">
        <w:rPr>
          <w:rFonts w:eastAsia="Times New Roman"/>
        </w:rPr>
        <w:t xml:space="preserve"> and </w:t>
      </w:r>
      <w:r w:rsidRPr="00C00214">
        <w:rPr>
          <w:rFonts w:eastAsia="Times New Roman"/>
          <w:i/>
        </w:rPr>
        <w:t>γ</w:t>
      </w:r>
      <w:r w:rsidRPr="00C00214">
        <w:rPr>
          <w:rFonts w:eastAsia="Times New Roman"/>
        </w:rPr>
        <w:t xml:space="preserve"> are material-dependent parameters (</w:t>
      </w:r>
      <w:r w:rsidRPr="00C00214">
        <w:rPr>
          <w:rFonts w:eastAsia="Times New Roman"/>
          <w:i/>
        </w:rPr>
        <w:t>β</w:t>
      </w:r>
      <w:r w:rsidRPr="00C00214">
        <w:rPr>
          <w:rFonts w:eastAsia="Times New Roman"/>
        </w:rPr>
        <w:t xml:space="preserve"> = 0.0098 eV</w:t>
      </w:r>
      <w:r w:rsidRPr="00C00214">
        <w:rPr>
          <w:rFonts w:eastAsia="Times New Roman"/>
          <w:vertAlign w:val="superscript"/>
        </w:rPr>
        <w:t>−1</w:t>
      </w:r>
      <w:r w:rsidRPr="00C00214">
        <w:rPr>
          <w:rFonts w:eastAsia="Times New Roman"/>
        </w:rPr>
        <w:t>·Å</w:t>
      </w:r>
      <w:r w:rsidRPr="00C00214">
        <w:rPr>
          <w:rFonts w:eastAsia="Times New Roman"/>
          <w:vertAlign w:val="superscript"/>
        </w:rPr>
        <w:t>−1</w:t>
      </w:r>
      <w:r w:rsidRPr="00C00214">
        <w:rPr>
          <w:rFonts w:eastAsia="Times New Roman"/>
        </w:rPr>
        <w:t xml:space="preserve"> and </w:t>
      </w:r>
      <w:r w:rsidRPr="00C00214">
        <w:rPr>
          <w:rFonts w:eastAsia="Times New Roman"/>
          <w:i/>
        </w:rPr>
        <w:t>γ</w:t>
      </w:r>
      <w:r w:rsidRPr="00C00214">
        <w:rPr>
          <w:rFonts w:eastAsia="Times New Roman"/>
        </w:rPr>
        <w:t xml:space="preserve"> = 0.053 eV</w:t>
      </w:r>
      <w:r w:rsidRPr="00C00214">
        <w:rPr>
          <w:rFonts w:eastAsia="Times New Roman"/>
          <w:vertAlign w:val="superscript"/>
        </w:rPr>
        <w:t>−1</w:t>
      </w:r>
      <w:r w:rsidRPr="00C00214">
        <w:rPr>
          <w:rFonts w:eastAsia="Times New Roman"/>
        </w:rPr>
        <w:t xml:space="preserve">). The fitted curve is plotted in Fig. </w:t>
      </w:r>
      <w:r w:rsidR="00BE4BE0" w:rsidRPr="00C00214">
        <w:rPr>
          <w:rFonts w:eastAsia="Times New Roman"/>
        </w:rPr>
        <w:t>5</w:t>
      </w:r>
      <w:r w:rsidRPr="00C00214">
        <w:rPr>
          <w:rFonts w:eastAsia="Times New Roman"/>
        </w:rPr>
        <w:t xml:space="preserve"> as a visual guide.</w:t>
      </w:r>
    </w:p>
    <w:p w14:paraId="23B04757" w14:textId="19F189B0" w:rsidR="00CD7432" w:rsidRPr="00C00214" w:rsidRDefault="00402515" w:rsidP="00402515">
      <w:pPr>
        <w:jc w:val="center"/>
        <w:rPr>
          <w:b/>
        </w:rPr>
      </w:pPr>
      <w:r w:rsidRPr="00C00214">
        <w:rPr>
          <w:b/>
        </w:rPr>
        <w:t xml:space="preserve">Appendix </w:t>
      </w:r>
      <w:r w:rsidR="00A6747B" w:rsidRPr="00C00214">
        <w:rPr>
          <w:b/>
        </w:rPr>
        <w:t>G</w:t>
      </w:r>
      <w:r w:rsidRPr="00C00214">
        <w:rPr>
          <w:b/>
        </w:rPr>
        <w:t>:</w:t>
      </w:r>
      <w:r w:rsidRPr="00C00214">
        <w:rPr>
          <w:rFonts w:eastAsia="Times New Roman"/>
        </w:rPr>
        <w:t xml:space="preserve"> </w:t>
      </w:r>
      <w:r w:rsidR="00CD7432" w:rsidRPr="00C00214">
        <w:rPr>
          <w:b/>
        </w:rPr>
        <w:t>Electronic structure of graphene</w:t>
      </w:r>
    </w:p>
    <w:p w14:paraId="3CADAA19" w14:textId="28D83F61" w:rsidR="00CD7432" w:rsidRPr="00C00214" w:rsidRDefault="00CD7432" w:rsidP="00CD7432">
      <w:pPr>
        <w:jc w:val="both"/>
        <w:rPr>
          <w:lang w:eastAsia="zh-CN"/>
        </w:rPr>
      </w:pPr>
      <w:r w:rsidRPr="00C00214">
        <w:rPr>
          <w:lang w:eastAsia="zh-CN"/>
        </w:rPr>
        <w:t xml:space="preserve">First-principles, total-energy calculations were performed within the framework of density-functional theory [56,57], as implemented in the Quantum Espresso code [58]. Projector augmented wave pseudopotentials were used to describe the electron-ion interaction [59]. The valence wave functions and augmented charge density were expanded using a plane-wave basis set with cutoff energies of 60 and 540 Ry, respectively. The electronic structure of a graphite crystal with experimental lattice parameters, and a “pseudo-graphene crystal” with an interlayer distance of 6 Å, were used to calculate the energy band. For a graphene-Au substrate, we used a slab model in which the Au thin film was simulated as a seven-layer Au(111) surface. The Au(111) thin film with </w:t>
      </w:r>
      <w:r w:rsidRPr="00C00214">
        <w:rPr>
          <w:position w:val="-8"/>
          <w:lang w:eastAsia="zh-CN"/>
        </w:rPr>
        <w:object w:dxaOrig="840" w:dyaOrig="360" w14:anchorId="459CC25F">
          <v:shape id="_x0000_i1053" type="#_x0000_t75" style="width:42pt;height:17.5pt" o:ole="">
            <v:imagedata r:id="rId68" o:title=""/>
          </v:shape>
          <o:OLEObject Type="Embed" ProgID="Equation.DSMT4" ShapeID="_x0000_i1053" DrawAspect="Content" ObjectID="_1646139082" r:id="rId69"/>
        </w:object>
      </w:r>
      <w:r w:rsidRPr="00C00214">
        <w:rPr>
          <w:lang w:eastAsia="zh-CN"/>
        </w:rPr>
        <w:t xml:space="preserve"> lateral periodicity was coated with a graphene monolayer with 2×2 lateral periodicity, in which the lateral lattice parameters of graphene were fixed to the optimized 2.928-Å lattice parameter of the Au(111) surface. A van der Waals-corrected density functional [60] for the exchange-correlation energy was used to accurately describe the weak binding between the Au(111) surface and the graphene. All atoms were fully optimized until the remaining force acting on each atom was less than 0.0001 Ry/Bohr. The Brillouin-zone integration was sampled by the Monkhorst-Pack (MP) scheme [61] with 42×42×1 k-point grids in the self-consistent field calculations for optimization structures and energy band structures. </w:t>
      </w:r>
      <w:r w:rsidR="00911F18" w:rsidRPr="00C00214">
        <w:rPr>
          <w:lang w:eastAsia="zh-CN"/>
        </w:rPr>
        <w:t xml:space="preserve">The </w:t>
      </w:r>
      <w:r w:rsidR="00911F18" w:rsidRPr="00C00214">
        <w:rPr>
          <w:lang w:val="en-GB"/>
        </w:rPr>
        <w:t>corresponding results are presented in Fig. 14.</w:t>
      </w:r>
    </w:p>
    <w:p w14:paraId="6E919243" w14:textId="0B3FA922" w:rsidR="00911F18" w:rsidRPr="00C00214" w:rsidRDefault="00911F18">
      <w:pPr>
        <w:spacing w:line="240" w:lineRule="auto"/>
        <w:rPr>
          <w:b/>
          <w:lang w:val="en-GB"/>
        </w:rPr>
      </w:pPr>
      <w:r w:rsidRPr="00C00214">
        <w:rPr>
          <w:b/>
          <w:lang w:val="en-GB"/>
        </w:rPr>
        <w:br w:type="page"/>
      </w:r>
    </w:p>
    <w:p w14:paraId="52CE44EE" w14:textId="77777777" w:rsidR="008C3EE4" w:rsidRPr="00C00214" w:rsidRDefault="004C2AEC">
      <w:pPr>
        <w:jc w:val="both"/>
      </w:pPr>
      <w:r w:rsidRPr="00C00214">
        <w:rPr>
          <w:b/>
        </w:rPr>
        <w:lastRenderedPageBreak/>
        <w:t>References</w:t>
      </w:r>
    </w:p>
    <w:p w14:paraId="43F334EE" w14:textId="4DE83585" w:rsidR="00400A12" w:rsidRPr="00C00214" w:rsidRDefault="00400A12" w:rsidP="00400A12">
      <w:pPr>
        <w:tabs>
          <w:tab w:val="right" w:pos="8640"/>
        </w:tabs>
        <w:ind w:left="432" w:hanging="432"/>
        <w:jc w:val="both"/>
        <w:rPr>
          <w:rFonts w:ascii="Times" w:hAnsi="Times" w:cs="Times"/>
          <w:lang w:eastAsia="zh-CN"/>
        </w:rPr>
      </w:pPr>
      <w:r w:rsidRPr="00C00214">
        <w:rPr>
          <w:rFonts w:ascii="Times" w:hAnsi="Times" w:cs="Times"/>
          <w:lang w:eastAsia="zh-CN"/>
        </w:rPr>
        <w:t xml:space="preserve">[1] </w:t>
      </w:r>
      <w:bookmarkStart w:id="81" w:name="OLE_LINK3"/>
      <w:bookmarkStart w:id="82" w:name="OLE_LINK10"/>
      <w:r w:rsidRPr="00C00214">
        <w:rPr>
          <w:rFonts w:ascii="Times" w:hAnsi="Times" w:cs="Times"/>
          <w:lang w:eastAsia="zh-CN"/>
        </w:rPr>
        <w:t xml:space="preserve">C. S. Fadley and D. A. Shirley, </w:t>
      </w:r>
      <w:r w:rsidR="0072140B" w:rsidRPr="00C00214">
        <w:rPr>
          <w:rFonts w:ascii="Times" w:hAnsi="Times" w:cs="Times"/>
          <w:lang w:eastAsia="zh-CN"/>
        </w:rPr>
        <w:t xml:space="preserve">X-Ray Photoelectron Spectroscopic Study of Iron, Cobalt, Nickel, Copper, and Platinum. </w:t>
      </w:r>
      <w:r w:rsidRPr="00C00214">
        <w:rPr>
          <w:rFonts w:ascii="Times" w:hAnsi="Times" w:cs="Times"/>
          <w:i/>
          <w:lang w:eastAsia="zh-CN"/>
        </w:rPr>
        <w:t>Phys. Rev. Lett.</w:t>
      </w:r>
      <w:r w:rsidRPr="00C00214">
        <w:rPr>
          <w:rFonts w:ascii="Times" w:hAnsi="Times" w:cs="Times"/>
          <w:lang w:eastAsia="zh-CN"/>
        </w:rPr>
        <w:t xml:space="preserve"> </w:t>
      </w:r>
      <w:r w:rsidRPr="00C00214">
        <w:rPr>
          <w:rFonts w:ascii="Times" w:hAnsi="Times" w:cs="Times"/>
          <w:b/>
          <w:lang w:eastAsia="zh-CN"/>
        </w:rPr>
        <w:t>21</w:t>
      </w:r>
      <w:r w:rsidRPr="00C00214">
        <w:rPr>
          <w:rFonts w:ascii="Times" w:hAnsi="Times" w:cs="Times"/>
          <w:lang w:eastAsia="zh-CN"/>
        </w:rPr>
        <w:t>, 980 (1968)</w:t>
      </w:r>
      <w:bookmarkEnd w:id="81"/>
      <w:bookmarkEnd w:id="82"/>
      <w:r w:rsidRPr="00C00214">
        <w:rPr>
          <w:rFonts w:ascii="Times" w:hAnsi="Times" w:cs="Times"/>
          <w:lang w:eastAsia="zh-CN"/>
        </w:rPr>
        <w:t>.</w:t>
      </w:r>
    </w:p>
    <w:p w14:paraId="64426081" w14:textId="21A0568A" w:rsidR="00400A12" w:rsidRPr="00C00214" w:rsidRDefault="00400A12" w:rsidP="00400A12">
      <w:pPr>
        <w:jc w:val="both"/>
      </w:pPr>
      <w:r w:rsidRPr="00C00214">
        <w:rPr>
          <w:rFonts w:hint="eastAsia"/>
        </w:rPr>
        <w:t>[</w:t>
      </w:r>
      <w:r w:rsidRPr="00C00214">
        <w:t>2</w:t>
      </w:r>
      <w:r w:rsidRPr="00C00214">
        <w:rPr>
          <w:rFonts w:hint="eastAsia"/>
        </w:rPr>
        <w:t>]</w:t>
      </w:r>
      <w:r w:rsidRPr="00C00214">
        <w:t xml:space="preserve"> </w:t>
      </w:r>
      <w:bookmarkStart w:id="83" w:name="OLE_LINK14"/>
      <w:bookmarkStart w:id="84" w:name="OLE_LINK15"/>
      <w:r w:rsidRPr="00C00214">
        <w:t xml:space="preserve">G. L. Connell, </w:t>
      </w:r>
      <w:r w:rsidR="0072140B" w:rsidRPr="00C00214">
        <w:t xml:space="preserve">Auger Electron Spectroscopy of Graphite Fibre Surfaces. </w:t>
      </w:r>
      <w:r w:rsidRPr="00C00214">
        <w:rPr>
          <w:i/>
        </w:rPr>
        <w:t>Nature</w:t>
      </w:r>
      <w:r w:rsidRPr="00C00214">
        <w:t xml:space="preserve"> </w:t>
      </w:r>
      <w:r w:rsidRPr="00C00214">
        <w:rPr>
          <w:b/>
        </w:rPr>
        <w:t>230</w:t>
      </w:r>
      <w:r w:rsidRPr="00C00214">
        <w:t>, 377 (1971)</w:t>
      </w:r>
      <w:bookmarkEnd w:id="83"/>
      <w:bookmarkEnd w:id="84"/>
      <w:r w:rsidRPr="00C00214">
        <w:t>.</w:t>
      </w:r>
    </w:p>
    <w:p w14:paraId="617D3118" w14:textId="5C293F70" w:rsidR="00400A12" w:rsidRPr="00C00214" w:rsidRDefault="00400A12" w:rsidP="00400A12">
      <w:pPr>
        <w:tabs>
          <w:tab w:val="right" w:pos="8640"/>
        </w:tabs>
        <w:ind w:left="432" w:hanging="432"/>
        <w:jc w:val="both"/>
        <w:rPr>
          <w:rFonts w:ascii="Times" w:hAnsi="Times" w:cs="Times"/>
          <w:lang w:eastAsia="zh-CN"/>
        </w:rPr>
      </w:pPr>
      <w:r w:rsidRPr="00C00214">
        <w:rPr>
          <w:rFonts w:ascii="Times" w:hAnsi="Times" w:cs="Times"/>
          <w:lang w:eastAsia="zh-CN"/>
        </w:rPr>
        <w:t xml:space="preserve">[3] </w:t>
      </w:r>
      <w:bookmarkStart w:id="85" w:name="OLE_LINK16"/>
      <w:r w:rsidRPr="00C00214">
        <w:rPr>
          <w:rFonts w:ascii="Times" w:hAnsi="Times" w:cs="Times"/>
          <w:lang w:eastAsia="zh-CN"/>
        </w:rPr>
        <w:t>C. R. Helms and W. E. Spicer,</w:t>
      </w:r>
      <w:r w:rsidR="004311A6" w:rsidRPr="00C00214">
        <w:t xml:space="preserve"> </w:t>
      </w:r>
      <w:r w:rsidR="004311A6" w:rsidRPr="00C00214">
        <w:rPr>
          <w:rFonts w:ascii="Times" w:hAnsi="Times" w:cs="Times"/>
          <w:lang w:eastAsia="zh-CN"/>
        </w:rPr>
        <w:t>Verification of the Metal-Rich Surface Model for the Oxidation of Sr, by Auger-Electron Spectroscopy.</w:t>
      </w:r>
      <w:r w:rsidRPr="00C00214">
        <w:rPr>
          <w:rFonts w:ascii="Times" w:hAnsi="Times" w:cs="Times"/>
          <w:lang w:eastAsia="zh-CN"/>
        </w:rPr>
        <w:t xml:space="preserve"> </w:t>
      </w:r>
      <w:r w:rsidRPr="00C00214">
        <w:rPr>
          <w:rFonts w:ascii="Times" w:hAnsi="Times" w:cs="Times"/>
          <w:i/>
          <w:lang w:eastAsia="zh-CN"/>
        </w:rPr>
        <w:t>Phys. Rev. Lett.</w:t>
      </w:r>
      <w:r w:rsidRPr="00C00214">
        <w:rPr>
          <w:rFonts w:ascii="Times" w:hAnsi="Times" w:cs="Times"/>
          <w:lang w:eastAsia="zh-CN"/>
        </w:rPr>
        <w:t xml:space="preserve"> </w:t>
      </w:r>
      <w:r w:rsidRPr="00C00214">
        <w:rPr>
          <w:rFonts w:ascii="Times" w:hAnsi="Times" w:cs="Times"/>
          <w:b/>
          <w:lang w:eastAsia="zh-CN"/>
        </w:rPr>
        <w:t>32</w:t>
      </w:r>
      <w:r w:rsidRPr="00C00214">
        <w:rPr>
          <w:rFonts w:ascii="Times" w:hAnsi="Times" w:cs="Times"/>
          <w:lang w:eastAsia="zh-CN"/>
        </w:rPr>
        <w:t>, 228 (1974)</w:t>
      </w:r>
      <w:bookmarkEnd w:id="85"/>
      <w:r w:rsidRPr="00C00214">
        <w:rPr>
          <w:rFonts w:ascii="Times" w:hAnsi="Times" w:cs="Times"/>
          <w:lang w:eastAsia="zh-CN"/>
        </w:rPr>
        <w:t>.</w:t>
      </w:r>
    </w:p>
    <w:p w14:paraId="1AD145B4" w14:textId="51DDC0CE" w:rsidR="00400A12" w:rsidRPr="00C00214" w:rsidRDefault="00400A12" w:rsidP="00400A12">
      <w:pPr>
        <w:jc w:val="both"/>
      </w:pPr>
      <w:r w:rsidRPr="00C00214">
        <w:t xml:space="preserve">[4] </w:t>
      </w:r>
      <w:bookmarkStart w:id="86" w:name="OLE_LINK21"/>
      <w:bookmarkStart w:id="87" w:name="OLE_LINK25"/>
      <w:r w:rsidRPr="00C00214">
        <w:t xml:space="preserve">J. J. McCarroll, R. W. Mould, H. B. Silver, and M. L. Sims, </w:t>
      </w:r>
      <w:r w:rsidR="004311A6" w:rsidRPr="00C00214">
        <w:t xml:space="preserve">Auger electron spectroscopy of wear surfaces. </w:t>
      </w:r>
      <w:r w:rsidRPr="00C00214">
        <w:rPr>
          <w:i/>
        </w:rPr>
        <w:t>Nature</w:t>
      </w:r>
      <w:r w:rsidRPr="00C00214">
        <w:t xml:space="preserve"> </w:t>
      </w:r>
      <w:r w:rsidRPr="00C00214">
        <w:rPr>
          <w:b/>
        </w:rPr>
        <w:t>266</w:t>
      </w:r>
      <w:r w:rsidRPr="00C00214">
        <w:t>, 518 (1977).</w:t>
      </w:r>
      <w:bookmarkEnd w:id="86"/>
      <w:bookmarkEnd w:id="87"/>
    </w:p>
    <w:p w14:paraId="696BD804" w14:textId="7B97DD46" w:rsidR="00400A12" w:rsidRPr="00C00214" w:rsidRDefault="00400A12" w:rsidP="00400A12">
      <w:pPr>
        <w:tabs>
          <w:tab w:val="right" w:pos="8640"/>
        </w:tabs>
        <w:jc w:val="both"/>
        <w:rPr>
          <w:rFonts w:ascii="Times" w:hAnsi="Times" w:cs="Times"/>
          <w:lang w:eastAsia="zh-CN"/>
        </w:rPr>
      </w:pPr>
      <w:r w:rsidRPr="00C00214">
        <w:rPr>
          <w:rFonts w:ascii="Times" w:hAnsi="Times" w:cs="Times"/>
          <w:lang w:eastAsia="zh-CN"/>
        </w:rPr>
        <w:t xml:space="preserve">[5] </w:t>
      </w:r>
      <w:bookmarkStart w:id="88" w:name="OLE_LINK26"/>
      <w:bookmarkStart w:id="89" w:name="OLE_LINK27"/>
      <w:r w:rsidRPr="00C00214">
        <w:rPr>
          <w:rFonts w:ascii="Times" w:hAnsi="Times" w:cs="Times"/>
          <w:lang w:eastAsia="zh-CN"/>
        </w:rPr>
        <w:t xml:space="preserve">R. Addou, A. Dahal, and M. Batzill, </w:t>
      </w:r>
      <w:r w:rsidR="004311A6" w:rsidRPr="00C00214">
        <w:rPr>
          <w:rFonts w:ascii="Times" w:hAnsi="Times" w:cs="Times"/>
          <w:lang w:eastAsia="zh-CN"/>
        </w:rPr>
        <w:t xml:space="preserve">Growth of a two-dimensional dielectric monolayer on quasi-freestanding graphene. </w:t>
      </w:r>
      <w:r w:rsidRPr="00C00214">
        <w:rPr>
          <w:rFonts w:ascii="Times" w:hAnsi="Times" w:cs="Times"/>
          <w:i/>
          <w:lang w:eastAsia="zh-CN"/>
        </w:rPr>
        <w:t>Nat. Nanotech.</w:t>
      </w:r>
      <w:r w:rsidRPr="00C00214">
        <w:rPr>
          <w:rFonts w:ascii="Times" w:hAnsi="Times" w:cs="Times"/>
          <w:lang w:eastAsia="zh-CN"/>
        </w:rPr>
        <w:t xml:space="preserve"> </w:t>
      </w:r>
      <w:r w:rsidRPr="00C00214">
        <w:rPr>
          <w:rFonts w:ascii="Times" w:hAnsi="Times" w:cs="Times"/>
          <w:b/>
          <w:lang w:eastAsia="zh-CN"/>
        </w:rPr>
        <w:t>8</w:t>
      </w:r>
      <w:r w:rsidRPr="00C00214">
        <w:rPr>
          <w:rFonts w:ascii="Times" w:hAnsi="Times" w:cs="Times"/>
          <w:lang w:eastAsia="zh-CN"/>
        </w:rPr>
        <w:t>, 41 (2013).</w:t>
      </w:r>
      <w:bookmarkEnd w:id="88"/>
      <w:bookmarkEnd w:id="89"/>
      <w:r w:rsidRPr="00C00214" w:rsidDel="002937AB">
        <w:rPr>
          <w:rFonts w:ascii="Times" w:hAnsi="Times" w:cs="Times"/>
          <w:lang w:eastAsia="zh-CN"/>
        </w:rPr>
        <w:t xml:space="preserve"> </w:t>
      </w:r>
    </w:p>
    <w:p w14:paraId="694AF22F" w14:textId="3F8EF39F" w:rsidR="00400A12" w:rsidRPr="00C00214" w:rsidRDefault="00400A12" w:rsidP="00400A12">
      <w:pPr>
        <w:tabs>
          <w:tab w:val="right" w:pos="8640"/>
        </w:tabs>
        <w:ind w:left="432" w:hanging="432"/>
        <w:jc w:val="both"/>
        <w:rPr>
          <w:rFonts w:ascii="Times" w:hAnsi="Times" w:cs="Times"/>
          <w:lang w:eastAsia="zh-CN"/>
        </w:rPr>
      </w:pPr>
      <w:r w:rsidRPr="00C00214">
        <w:rPr>
          <w:rFonts w:ascii="Times" w:hAnsi="Times" w:cs="Times" w:hint="eastAsia"/>
          <w:lang w:eastAsia="zh-CN"/>
        </w:rPr>
        <w:t>[</w:t>
      </w:r>
      <w:r w:rsidRPr="00C00214">
        <w:rPr>
          <w:rFonts w:ascii="Times" w:hAnsi="Times" w:cs="Times"/>
          <w:lang w:eastAsia="zh-CN"/>
        </w:rPr>
        <w:t>6</w:t>
      </w:r>
      <w:r w:rsidRPr="00C00214">
        <w:rPr>
          <w:rFonts w:ascii="Times" w:hAnsi="Times" w:cs="Times" w:hint="eastAsia"/>
          <w:lang w:eastAsia="zh-CN"/>
        </w:rPr>
        <w:t>]</w:t>
      </w:r>
      <w:r w:rsidRPr="00C00214">
        <w:rPr>
          <w:rFonts w:ascii="Times" w:hAnsi="Times" w:cs="Times"/>
          <w:lang w:eastAsia="zh-CN"/>
        </w:rPr>
        <w:t xml:space="preserve"> </w:t>
      </w:r>
      <w:bookmarkStart w:id="90" w:name="OLE_LINK28"/>
      <w:bookmarkStart w:id="91" w:name="OLE_LINK29"/>
      <w:bookmarkStart w:id="92" w:name="OLE_LINK30"/>
      <w:r w:rsidRPr="00C00214">
        <w:rPr>
          <w:rFonts w:ascii="Times" w:hAnsi="Times" w:cs="Times"/>
          <w:lang w:eastAsia="zh-CN"/>
        </w:rPr>
        <w:t xml:space="preserve">C. H. Zhang, C. H. Jin, A. L. Koh, Y. Zhou, W. G. Xu, Q. C. Li, Q. H. Xiong, H. L. Peng, and Z. F. Liu, </w:t>
      </w:r>
      <w:r w:rsidR="00D50413" w:rsidRPr="00C00214">
        <w:rPr>
          <w:rFonts w:ascii="Times" w:hAnsi="Times" w:cs="Times"/>
          <w:lang w:eastAsia="zh-CN"/>
        </w:rPr>
        <w:t xml:space="preserve">Direct growth of large-area graphene and boron nitride heterostructures by a co-segregation method. </w:t>
      </w:r>
      <w:r w:rsidRPr="00C00214">
        <w:rPr>
          <w:rFonts w:ascii="Times" w:hAnsi="Times" w:cs="Times"/>
          <w:i/>
          <w:lang w:eastAsia="zh-CN"/>
        </w:rPr>
        <w:t>Nat. Commun.</w:t>
      </w:r>
      <w:r w:rsidRPr="00C00214">
        <w:rPr>
          <w:rFonts w:ascii="Times" w:hAnsi="Times" w:cs="Times"/>
          <w:lang w:eastAsia="zh-CN"/>
        </w:rPr>
        <w:t xml:space="preserve"> 6, </w:t>
      </w:r>
      <w:r w:rsidRPr="00C00214">
        <w:rPr>
          <w:rFonts w:ascii="Times" w:hAnsi="Times" w:cs="Times"/>
          <w:b/>
          <w:lang w:eastAsia="zh-CN"/>
        </w:rPr>
        <w:t>6519</w:t>
      </w:r>
      <w:r w:rsidRPr="00C00214">
        <w:rPr>
          <w:rFonts w:ascii="Times" w:hAnsi="Times" w:cs="Times"/>
          <w:lang w:eastAsia="zh-CN"/>
        </w:rPr>
        <w:t xml:space="preserve"> (2015).</w:t>
      </w:r>
      <w:bookmarkEnd w:id="90"/>
      <w:bookmarkEnd w:id="91"/>
      <w:bookmarkEnd w:id="92"/>
    </w:p>
    <w:p w14:paraId="4512C0BE" w14:textId="264277B4" w:rsidR="00400A12" w:rsidRPr="00C00214" w:rsidRDefault="00400A12" w:rsidP="00C911B4">
      <w:pPr>
        <w:tabs>
          <w:tab w:val="right" w:pos="8640"/>
        </w:tabs>
        <w:ind w:left="432" w:hanging="432"/>
        <w:jc w:val="both"/>
        <w:rPr>
          <w:lang w:eastAsia="zh-CN"/>
        </w:rPr>
      </w:pPr>
      <w:r w:rsidRPr="00C00214">
        <w:rPr>
          <w:rFonts w:hint="eastAsia"/>
        </w:rPr>
        <w:t>[</w:t>
      </w:r>
      <w:r w:rsidR="004C3D25" w:rsidRPr="00C00214">
        <w:t>7</w:t>
      </w:r>
      <w:r w:rsidRPr="00C00214">
        <w:rPr>
          <w:rFonts w:hint="eastAsia"/>
        </w:rPr>
        <w:t>]</w:t>
      </w:r>
      <w:r w:rsidRPr="00C00214">
        <w:rPr>
          <w:lang w:eastAsia="zh-CN"/>
        </w:rPr>
        <w:t xml:space="preserve"> </w:t>
      </w:r>
      <w:bookmarkStart w:id="93" w:name="OLE_LINK38"/>
      <w:bookmarkStart w:id="94" w:name="OLE_LINK40"/>
      <w:r w:rsidRPr="00C00214">
        <w:rPr>
          <w:lang w:eastAsia="zh-CN"/>
        </w:rPr>
        <w:t xml:space="preserve">R. C. Masters, A. J. Pearson, T. S. Glen, F.-C. Sasam, L. Li, M. Dapor, A. M. Donald, D. G. </w:t>
      </w:r>
      <w:r w:rsidRPr="00C00214">
        <w:rPr>
          <w:rFonts w:ascii="Times" w:hAnsi="Times" w:cs="Times"/>
          <w:lang w:eastAsia="zh-CN"/>
        </w:rPr>
        <w:t>Lidzey</w:t>
      </w:r>
      <w:r w:rsidRPr="00C00214">
        <w:rPr>
          <w:lang w:eastAsia="zh-CN"/>
        </w:rPr>
        <w:t xml:space="preserve">, C. Rodenburg, </w:t>
      </w:r>
      <w:r w:rsidR="004C3D25" w:rsidRPr="00C00214">
        <w:rPr>
          <w:lang w:eastAsia="zh-CN"/>
        </w:rPr>
        <w:t xml:space="preserve">Sub-nanometre resolution imaging of polymer-fullerene photovoltaic blends using energy-filtered scanning electron microscopy. </w:t>
      </w:r>
      <w:r w:rsidRPr="00C00214">
        <w:rPr>
          <w:i/>
          <w:iCs/>
          <w:lang w:eastAsia="zh-CN"/>
        </w:rPr>
        <w:t>Nat. Commun</w:t>
      </w:r>
      <w:r w:rsidRPr="00C00214">
        <w:rPr>
          <w:i/>
          <w:lang w:eastAsia="zh-CN"/>
        </w:rPr>
        <w:t>.</w:t>
      </w:r>
      <w:r w:rsidRPr="00C00214">
        <w:rPr>
          <w:lang w:eastAsia="zh-CN"/>
        </w:rPr>
        <w:t xml:space="preserve"> </w:t>
      </w:r>
      <w:r w:rsidRPr="00C00214">
        <w:rPr>
          <w:b/>
          <w:bCs/>
          <w:lang w:eastAsia="zh-CN"/>
        </w:rPr>
        <w:t>6</w:t>
      </w:r>
      <w:r w:rsidRPr="00C00214">
        <w:rPr>
          <w:lang w:eastAsia="zh-CN"/>
        </w:rPr>
        <w:t>, 6928 (2015)</w:t>
      </w:r>
      <w:bookmarkEnd w:id="93"/>
      <w:bookmarkEnd w:id="94"/>
    </w:p>
    <w:p w14:paraId="6547961A" w14:textId="642D83F6" w:rsidR="008C3EE4" w:rsidRPr="00C00214" w:rsidRDefault="004C2AEC">
      <w:pPr>
        <w:jc w:val="both"/>
      </w:pPr>
      <w:r w:rsidRPr="00C00214">
        <w:t xml:space="preserve">[8] ISO18115 </w:t>
      </w:r>
      <w:r w:rsidRPr="00C00214">
        <w:rPr>
          <w:i/>
        </w:rPr>
        <w:t xml:space="preserve">Surface </w:t>
      </w:r>
      <w:r w:rsidRPr="00C00214">
        <w:t>Chemical</w:t>
      </w:r>
      <w:r w:rsidRPr="00C00214">
        <w:rPr>
          <w:i/>
        </w:rPr>
        <w:t xml:space="preserve"> Analysis—Vocabulary—Part 1: General terms and terms used in spectroscopy</w:t>
      </w:r>
      <w:r w:rsidRPr="00C00214">
        <w:t xml:space="preserve"> (International Organisation for Standardisation, Geneva, 2010).</w:t>
      </w:r>
    </w:p>
    <w:p w14:paraId="06564AC6" w14:textId="77777777" w:rsidR="008C3EE4" w:rsidRPr="00C00214" w:rsidRDefault="004C2AEC">
      <w:pPr>
        <w:jc w:val="both"/>
      </w:pPr>
      <w:r w:rsidRPr="00C00214">
        <w:t xml:space="preserve">[9] C. J. Powell, A. Jablonski, Evaluation of calculated and measured electron inelastic mean free paths near solid surfaces. </w:t>
      </w:r>
      <w:r w:rsidRPr="00C00214">
        <w:rPr>
          <w:i/>
        </w:rPr>
        <w:t>J. Phys. Chem. Ref. Data</w:t>
      </w:r>
      <w:r w:rsidRPr="00C00214">
        <w:t xml:space="preserve"> </w:t>
      </w:r>
      <w:r w:rsidRPr="00C00214">
        <w:rPr>
          <w:b/>
        </w:rPr>
        <w:t>28</w:t>
      </w:r>
      <w:r w:rsidRPr="00C00214">
        <w:t>, 19 (1999).</w:t>
      </w:r>
    </w:p>
    <w:p w14:paraId="377F53EA" w14:textId="77777777" w:rsidR="008C3EE4" w:rsidRPr="00C00214" w:rsidRDefault="004C2AEC">
      <w:pPr>
        <w:jc w:val="both"/>
      </w:pPr>
      <w:r w:rsidRPr="00C00214">
        <w:lastRenderedPageBreak/>
        <w:t xml:space="preserve">[10] G. Gergely, </w:t>
      </w:r>
      <w:bookmarkStart w:id="95" w:name="OLE_LINK100"/>
      <w:r w:rsidRPr="00C00214">
        <w:t xml:space="preserve">Elastic backscattering of electrons: Determination of physical parameters of electron transport processes by elastic peak electron spectroscopy. </w:t>
      </w:r>
      <w:r w:rsidRPr="00C00214">
        <w:rPr>
          <w:i/>
        </w:rPr>
        <w:t>Prog. Surf. Sci</w:t>
      </w:r>
      <w:r w:rsidRPr="00C00214">
        <w:t xml:space="preserve">. </w:t>
      </w:r>
      <w:r w:rsidRPr="00C00214">
        <w:rPr>
          <w:b/>
        </w:rPr>
        <w:t>71</w:t>
      </w:r>
      <w:r w:rsidRPr="00C00214">
        <w:t>, 31-88 (2002).</w:t>
      </w:r>
    </w:p>
    <w:bookmarkEnd w:id="95"/>
    <w:p w14:paraId="2AC30483" w14:textId="77777777" w:rsidR="008C3EE4" w:rsidRPr="00C00214" w:rsidRDefault="004C2AEC">
      <w:pPr>
        <w:jc w:val="both"/>
      </w:pPr>
      <w:r w:rsidRPr="00C00214">
        <w:t xml:space="preserve">[11] S. Tanuma, T. Shiratori, T. Kimura, K. Goto, S. Ichimura, C. J. Powell, </w:t>
      </w:r>
      <w:bookmarkStart w:id="96" w:name="OLE_LINK62"/>
      <w:r w:rsidRPr="00C00214">
        <w:t xml:space="preserve">Experimental determination of electron inelastic mean free paths in 13 elemental solids in the 50 to 5000 eV energy range by elastic-peak electron spectroscopy. </w:t>
      </w:r>
      <w:r w:rsidRPr="00C00214">
        <w:rPr>
          <w:i/>
        </w:rPr>
        <w:t>Surf. Interface Anal</w:t>
      </w:r>
      <w:r w:rsidRPr="00C00214">
        <w:t xml:space="preserve">. </w:t>
      </w:r>
      <w:r w:rsidRPr="00C00214">
        <w:rPr>
          <w:b/>
        </w:rPr>
        <w:t>37</w:t>
      </w:r>
      <w:r w:rsidRPr="00C00214">
        <w:t>, 833-845 (2005).</w:t>
      </w:r>
      <w:bookmarkEnd w:id="96"/>
    </w:p>
    <w:p w14:paraId="1690DA87" w14:textId="77777777" w:rsidR="008C3EE4" w:rsidRPr="00C00214" w:rsidRDefault="004C2AEC">
      <w:pPr>
        <w:jc w:val="both"/>
      </w:pPr>
      <w:r w:rsidRPr="00C00214">
        <w:t xml:space="preserve">[12] J. D. Bourke, C. T. Chantler, Measurements of electron inelastic mean free paths in materials. </w:t>
      </w:r>
      <w:r w:rsidRPr="00C00214">
        <w:rPr>
          <w:i/>
        </w:rPr>
        <w:t>Phys. Rev. Lett</w:t>
      </w:r>
      <w:r w:rsidRPr="00C00214">
        <w:t xml:space="preserve">. </w:t>
      </w:r>
      <w:r w:rsidRPr="00C00214">
        <w:rPr>
          <w:b/>
        </w:rPr>
        <w:t>104</w:t>
      </w:r>
      <w:r w:rsidRPr="00C00214">
        <w:t>, 206601 (2010).</w:t>
      </w:r>
    </w:p>
    <w:p w14:paraId="4E1C24B7" w14:textId="77777777" w:rsidR="008C3EE4" w:rsidRPr="00C00214" w:rsidRDefault="004C2AEC">
      <w:pPr>
        <w:jc w:val="both"/>
      </w:pPr>
      <w:r w:rsidRPr="00C00214">
        <w:t xml:space="preserve">[13] R. Zdyb, T. O. Menteş, A. Locatelli, M. A. Niño, E. Bauer, Inelastic mean free path from reflectivity of slow electrons. </w:t>
      </w:r>
      <w:r w:rsidRPr="00C00214">
        <w:rPr>
          <w:i/>
        </w:rPr>
        <w:t>Phys. Rev. B</w:t>
      </w:r>
      <w:r w:rsidRPr="00C00214">
        <w:t xml:space="preserve"> </w:t>
      </w:r>
      <w:r w:rsidRPr="00C00214">
        <w:rPr>
          <w:b/>
        </w:rPr>
        <w:t>87</w:t>
      </w:r>
      <w:r w:rsidRPr="00C00214">
        <w:t>, 075436 (2013).</w:t>
      </w:r>
    </w:p>
    <w:p w14:paraId="28B958BF" w14:textId="77777777" w:rsidR="008C3EE4" w:rsidRPr="00C00214" w:rsidRDefault="004C2AEC">
      <w:pPr>
        <w:jc w:val="both"/>
      </w:pPr>
      <w:r w:rsidRPr="00C00214">
        <w:t xml:space="preserve">[14] I. Olefjord, H. J. Mathieu, P. Marcus, Intercomparison of surface analysis of thin aluminium oxide films. </w:t>
      </w:r>
      <w:r w:rsidRPr="00C00214">
        <w:rPr>
          <w:i/>
        </w:rPr>
        <w:t>Surf. Interface Anal</w:t>
      </w:r>
      <w:r w:rsidRPr="00C00214">
        <w:t xml:space="preserve">. </w:t>
      </w:r>
      <w:r w:rsidRPr="00C00214">
        <w:rPr>
          <w:b/>
        </w:rPr>
        <w:t>15</w:t>
      </w:r>
      <w:r w:rsidRPr="00C00214">
        <w:t>, 681-692 (1990).</w:t>
      </w:r>
    </w:p>
    <w:p w14:paraId="698E702D" w14:textId="77777777" w:rsidR="008C3EE4" w:rsidRPr="00C00214" w:rsidRDefault="004C2AEC">
      <w:pPr>
        <w:jc w:val="both"/>
      </w:pPr>
      <w:r w:rsidRPr="00C00214">
        <w:t xml:space="preserve">[15] C. J. Powell, A. Jablonski, Electron effective attenuation lengths for applications in Auger electron spectroscopy and X-ray photoelectron spectroscopy. </w:t>
      </w:r>
      <w:r w:rsidRPr="00C00214">
        <w:rPr>
          <w:i/>
        </w:rPr>
        <w:t>Surf. Interface Anal</w:t>
      </w:r>
      <w:r w:rsidRPr="00C00214">
        <w:t xml:space="preserve">. </w:t>
      </w:r>
      <w:r w:rsidRPr="00C00214">
        <w:rPr>
          <w:b/>
        </w:rPr>
        <w:t>33</w:t>
      </w:r>
      <w:r w:rsidRPr="00C00214">
        <w:t>, 211-229 (2002).</w:t>
      </w:r>
    </w:p>
    <w:p w14:paraId="1872518E" w14:textId="77777777" w:rsidR="008C3EE4" w:rsidRPr="00C00214" w:rsidRDefault="004C2AEC">
      <w:pPr>
        <w:jc w:val="both"/>
      </w:pPr>
      <w:r w:rsidRPr="00C00214">
        <w:t>[16] F. L. Battye, Photoelectron determination of the attenuation of low-energy electrons in Al</w:t>
      </w:r>
      <w:r w:rsidRPr="00C00214">
        <w:rPr>
          <w:vertAlign w:val="subscript"/>
        </w:rPr>
        <w:t>2</w:t>
      </w:r>
      <w:r w:rsidRPr="00C00214">
        <w:t>O</w:t>
      </w:r>
      <w:r w:rsidRPr="00C00214">
        <w:rPr>
          <w:vertAlign w:val="subscript"/>
        </w:rPr>
        <w:t>3</w:t>
      </w:r>
      <w:r w:rsidRPr="00C00214">
        <w:t xml:space="preserve">. </w:t>
      </w:r>
      <w:r w:rsidRPr="00C00214">
        <w:rPr>
          <w:i/>
        </w:rPr>
        <w:t>Phys. Rev. B</w:t>
      </w:r>
      <w:r w:rsidRPr="00C00214">
        <w:t xml:space="preserve"> </w:t>
      </w:r>
      <w:r w:rsidRPr="00C00214">
        <w:rPr>
          <w:b/>
        </w:rPr>
        <w:t>9</w:t>
      </w:r>
      <w:r w:rsidRPr="00C00214">
        <w:t>, 2887 (1974).</w:t>
      </w:r>
    </w:p>
    <w:p w14:paraId="74AF7AF1" w14:textId="77777777" w:rsidR="008C3EE4" w:rsidRPr="00C00214" w:rsidRDefault="004C2AEC">
      <w:pPr>
        <w:jc w:val="both"/>
      </w:pPr>
      <w:r w:rsidRPr="00C00214">
        <w:t xml:space="preserve">[17] M. S. Xu, D. Fujita, J. H. Gao, N. Hanagata, Auger electron spectroscopy: A rational method for determining thickness of graphene films. </w:t>
      </w:r>
      <w:r w:rsidRPr="00C00214">
        <w:rPr>
          <w:i/>
        </w:rPr>
        <w:t>ACS Nano</w:t>
      </w:r>
      <w:r w:rsidRPr="00C00214">
        <w:t xml:space="preserve"> </w:t>
      </w:r>
      <w:r w:rsidRPr="00C00214">
        <w:rPr>
          <w:b/>
        </w:rPr>
        <w:t>4</w:t>
      </w:r>
      <w:r w:rsidRPr="00C00214">
        <w:t>, 2937-2945 (2010).</w:t>
      </w:r>
    </w:p>
    <w:p w14:paraId="0B0C5EE6" w14:textId="77777777" w:rsidR="008C3EE4" w:rsidRPr="00C00214" w:rsidRDefault="004C2AEC">
      <w:pPr>
        <w:jc w:val="both"/>
      </w:pPr>
      <w:r w:rsidRPr="00C00214">
        <w:t xml:space="preserve">[18] V. K. Mathur, How well do we know Pareto optimality? </w:t>
      </w:r>
      <w:r w:rsidRPr="00C00214">
        <w:rPr>
          <w:i/>
        </w:rPr>
        <w:t>J. Econ. Edu.</w:t>
      </w:r>
      <w:r w:rsidRPr="00C00214">
        <w:t xml:space="preserve"> </w:t>
      </w:r>
      <w:r w:rsidRPr="00C00214">
        <w:rPr>
          <w:b/>
        </w:rPr>
        <w:t>22</w:t>
      </w:r>
      <w:r w:rsidRPr="00C00214">
        <w:t>, 172-178 (1991).</w:t>
      </w:r>
    </w:p>
    <w:p w14:paraId="74A14E08" w14:textId="77777777" w:rsidR="008C3EE4" w:rsidRPr="00C00214" w:rsidRDefault="004C2AEC">
      <w:pPr>
        <w:jc w:val="both"/>
        <w:rPr>
          <w:rFonts w:eastAsia="Times New Roman"/>
        </w:rPr>
      </w:pPr>
      <w:r w:rsidRPr="00C00214">
        <w:rPr>
          <w:rFonts w:eastAsia="Times New Roman"/>
        </w:rPr>
        <w:t xml:space="preserve">[19] H. Hiura, H. Miyazaki, K. Tsukagoshi, Determination of the Number of Graphene Layers: Discrete Distribution of the Secondary Electron Intensity Stemming from Individual Graphene Layers, </w:t>
      </w:r>
      <w:r w:rsidRPr="00C00214">
        <w:rPr>
          <w:rFonts w:eastAsia="Times New Roman"/>
          <w:i/>
        </w:rPr>
        <w:t>Appl. Phys. Express</w:t>
      </w:r>
      <w:r w:rsidRPr="00C00214">
        <w:rPr>
          <w:rFonts w:eastAsia="Times New Roman"/>
        </w:rPr>
        <w:t xml:space="preserve">, </w:t>
      </w:r>
      <w:r w:rsidRPr="00C00214">
        <w:rPr>
          <w:rFonts w:eastAsia="Times New Roman"/>
          <w:b/>
        </w:rPr>
        <w:t>3</w:t>
      </w:r>
      <w:r w:rsidRPr="00C00214">
        <w:rPr>
          <w:rFonts w:eastAsia="Times New Roman"/>
        </w:rPr>
        <w:t>, 095101 (2010).</w:t>
      </w:r>
    </w:p>
    <w:p w14:paraId="6B3B76C0" w14:textId="77777777" w:rsidR="008C3EE4" w:rsidRPr="00C00214" w:rsidRDefault="004C2AEC">
      <w:pPr>
        <w:jc w:val="both"/>
        <w:rPr>
          <w:rFonts w:eastAsia="Times New Roman"/>
        </w:rPr>
      </w:pPr>
      <w:r w:rsidRPr="00C00214">
        <w:rPr>
          <w:rFonts w:eastAsia="Times New Roman"/>
        </w:rPr>
        <w:lastRenderedPageBreak/>
        <w:t xml:space="preserve">[20] S. Giménez; A. L. Rogach, A. A. Lutich, D. Gross, A. Poeschl, A. S. Susha, I. Mora-Seró, T. Lana-Villarreal, J. Bisquert, Energy Transfer versus Charge Separation in Hybrid Systems of Semiconductor Quantum Dots and Ru-Dyes as Potential Co-Sensitizers of TiO2-Based Solar Cells, </w:t>
      </w:r>
      <w:r w:rsidRPr="00C00214">
        <w:rPr>
          <w:rFonts w:eastAsia="Times New Roman"/>
          <w:i/>
        </w:rPr>
        <w:t>J. Appl. Phys.</w:t>
      </w:r>
      <w:r w:rsidRPr="00C00214">
        <w:rPr>
          <w:rFonts w:eastAsia="Times New Roman"/>
        </w:rPr>
        <w:t xml:space="preserve">, </w:t>
      </w:r>
      <w:r w:rsidRPr="00C00214">
        <w:rPr>
          <w:rFonts w:eastAsia="Times New Roman"/>
          <w:b/>
        </w:rPr>
        <w:t>110</w:t>
      </w:r>
      <w:r w:rsidRPr="00C00214">
        <w:rPr>
          <w:rFonts w:eastAsia="Times New Roman"/>
        </w:rPr>
        <w:t>, 014314 (2011).</w:t>
      </w:r>
    </w:p>
    <w:p w14:paraId="634788AD" w14:textId="77777777" w:rsidR="008C3EE4" w:rsidRPr="00C00214" w:rsidRDefault="004C2AEC">
      <w:pPr>
        <w:jc w:val="both"/>
      </w:pPr>
      <w:r w:rsidRPr="00C00214">
        <w:t xml:space="preserve">[21] B. Da, J. W. Liu, M. Yamamoto, Y. Ueda, K. Watanabe, N. T. Cuong, S. L. Li, K. Tsukagoshi, H. Yoshikawa, H. Iwai, S. Tanuma, H. X. Guo, Z. S. Gao, X. Sun, Z. J. Ding, Virtual substrate method for nanomaterials characterization, </w:t>
      </w:r>
      <w:r w:rsidRPr="00C00214">
        <w:rPr>
          <w:i/>
        </w:rPr>
        <w:t>Nat. Commun</w:t>
      </w:r>
      <w:r w:rsidRPr="00C00214">
        <w:t xml:space="preserve">. </w:t>
      </w:r>
      <w:r w:rsidRPr="00C00214">
        <w:rPr>
          <w:b/>
        </w:rPr>
        <w:t>8</w:t>
      </w:r>
      <w:r w:rsidRPr="00C00214">
        <w:t>, 15629 (2017).</w:t>
      </w:r>
    </w:p>
    <w:p w14:paraId="4A534876" w14:textId="77777777" w:rsidR="008C3EE4" w:rsidRPr="00C00214" w:rsidRDefault="004C2AEC">
      <w:pPr>
        <w:jc w:val="both"/>
      </w:pPr>
      <w:r w:rsidRPr="00C00214">
        <w:t xml:space="preserve">[22] P. J. Cumpson, M. P. Seah, Elastic scattering corrections in AES and XPS. II. Estimating attenuation lengths and conditions required for their valid use in overlayer/substrate experiments, </w:t>
      </w:r>
      <w:r w:rsidRPr="00C00214">
        <w:rPr>
          <w:i/>
        </w:rPr>
        <w:t>Surf. Interface Anal</w:t>
      </w:r>
      <w:r w:rsidRPr="00C00214">
        <w:t xml:space="preserve">. </w:t>
      </w:r>
      <w:r w:rsidRPr="00C00214">
        <w:rPr>
          <w:b/>
        </w:rPr>
        <w:t>25</w:t>
      </w:r>
      <w:r w:rsidRPr="00C00214">
        <w:t>, 430-446 (1997).</w:t>
      </w:r>
    </w:p>
    <w:p w14:paraId="780FBB1E" w14:textId="77777777" w:rsidR="008C3EE4" w:rsidRPr="00C00214" w:rsidRDefault="004C2AEC">
      <w:pPr>
        <w:jc w:val="both"/>
      </w:pPr>
      <w:r w:rsidRPr="00C00214">
        <w:t xml:space="preserve">[23] A. Jablonski, C. J. Powell, The electron attenuation length revisited. </w:t>
      </w:r>
      <w:r w:rsidRPr="00C00214">
        <w:rPr>
          <w:i/>
        </w:rPr>
        <w:t>Surf. Sci. Rep.</w:t>
      </w:r>
      <w:r w:rsidRPr="00C00214">
        <w:t xml:space="preserve"> </w:t>
      </w:r>
      <w:r w:rsidRPr="00C00214">
        <w:rPr>
          <w:b/>
        </w:rPr>
        <w:t>47</w:t>
      </w:r>
      <w:r w:rsidRPr="00C00214">
        <w:t>, 33-91 (2002).</w:t>
      </w:r>
    </w:p>
    <w:p w14:paraId="0E8A6F74" w14:textId="77777777" w:rsidR="008C3EE4" w:rsidRPr="00C00214" w:rsidRDefault="004C2AEC">
      <w:pPr>
        <w:jc w:val="both"/>
        <w:rPr>
          <w:rFonts w:eastAsia="Times New Roman"/>
        </w:rPr>
      </w:pPr>
      <w:r w:rsidRPr="00C00214">
        <w:rPr>
          <w:rFonts w:eastAsia="Times New Roman"/>
        </w:rPr>
        <w:t xml:space="preserve">[24] M. S. Xu, D. Fujita, J. Gao, and N. Hanagata, Auger Electron Spectroscopy: A Rational Method for Determining Thickness of Graphene Films, </w:t>
      </w:r>
      <w:r w:rsidRPr="00C00214">
        <w:rPr>
          <w:rFonts w:eastAsia="Times New Roman"/>
          <w:i/>
        </w:rPr>
        <w:t>ACS Nano</w:t>
      </w:r>
      <w:r w:rsidRPr="00C00214">
        <w:rPr>
          <w:rFonts w:eastAsia="Times New Roman"/>
        </w:rPr>
        <w:t xml:space="preserve"> </w:t>
      </w:r>
      <w:r w:rsidRPr="00C00214">
        <w:rPr>
          <w:rFonts w:eastAsia="Times New Roman"/>
          <w:b/>
        </w:rPr>
        <w:t>4</w:t>
      </w:r>
      <w:r w:rsidRPr="00C00214">
        <w:rPr>
          <w:rFonts w:eastAsia="Times New Roman"/>
        </w:rPr>
        <w:t>, 2937-2945 (2010).</w:t>
      </w:r>
    </w:p>
    <w:p w14:paraId="6FE26ADD" w14:textId="77777777" w:rsidR="008C3EE4" w:rsidRPr="00C00214" w:rsidRDefault="004C2AEC">
      <w:pPr>
        <w:jc w:val="both"/>
        <w:rPr>
          <w:rFonts w:eastAsia="Times New Roman"/>
        </w:rPr>
      </w:pPr>
      <w:r w:rsidRPr="00C00214">
        <w:rPr>
          <w:rFonts w:eastAsia="Times New Roman"/>
        </w:rPr>
        <w:t xml:space="preserve">[25] M. Amjadipour, J. MacLeod, J. Lipton-Duffin, A. Tadich, J. J. Boeckl, F. Iacopi, N. Motta, Electron effective attenuation length in epitaxial graphene on SiC, </w:t>
      </w:r>
      <w:r w:rsidRPr="00C00214">
        <w:rPr>
          <w:rFonts w:eastAsia="Times New Roman"/>
          <w:i/>
        </w:rPr>
        <w:t>Nanotechnology</w:t>
      </w:r>
      <w:r w:rsidRPr="00C00214">
        <w:rPr>
          <w:rFonts w:eastAsia="Times New Roman"/>
        </w:rPr>
        <w:t xml:space="preserve">, </w:t>
      </w:r>
      <w:r w:rsidRPr="00C00214">
        <w:rPr>
          <w:rFonts w:eastAsia="Times New Roman"/>
          <w:b/>
        </w:rPr>
        <w:t>30</w:t>
      </w:r>
      <w:r w:rsidRPr="00C00214">
        <w:rPr>
          <w:rFonts w:eastAsia="Times New Roman"/>
        </w:rPr>
        <w:t>, 025704 (2019).</w:t>
      </w:r>
    </w:p>
    <w:p w14:paraId="5C2A8330" w14:textId="77777777" w:rsidR="008C3EE4" w:rsidRPr="00C00214" w:rsidRDefault="004C2AEC">
      <w:pPr>
        <w:jc w:val="both"/>
      </w:pPr>
      <w:r w:rsidRPr="00C00214">
        <w:t xml:space="preserve">[26] B. Da, Y. Sun, S. F. Mao, Z. M. Zhang, H. Jin, H. Yoshikawa, S. Tanuma, Z. J. Ding, </w:t>
      </w:r>
      <w:bookmarkStart w:id="97" w:name="OLE_LINK105"/>
      <w:r w:rsidRPr="00C00214">
        <w:t>A reverse Monte Carlo method for deriving optical constants of solids from REELS spectra</w:t>
      </w:r>
      <w:bookmarkEnd w:id="97"/>
      <w:r w:rsidRPr="00C00214">
        <w:t xml:space="preserve">. </w:t>
      </w:r>
      <w:r w:rsidRPr="00C00214">
        <w:rPr>
          <w:i/>
        </w:rPr>
        <w:t>J. Appl. Phys</w:t>
      </w:r>
      <w:r w:rsidRPr="00C00214">
        <w:t xml:space="preserve">. </w:t>
      </w:r>
      <w:r w:rsidRPr="00C00214">
        <w:rPr>
          <w:b/>
        </w:rPr>
        <w:t>113</w:t>
      </w:r>
      <w:r w:rsidRPr="00C00214">
        <w:t>, 214303 (2013).</w:t>
      </w:r>
    </w:p>
    <w:p w14:paraId="65F7BFA5" w14:textId="77777777" w:rsidR="008C3EE4" w:rsidRPr="00C00214" w:rsidRDefault="004C2AEC">
      <w:pPr>
        <w:jc w:val="both"/>
      </w:pPr>
      <w:r w:rsidRPr="00C00214">
        <w:t xml:space="preserve">[27] B. Da, H. Shinotsuka, H. Yoshikawa, Z. J. Ding, S. Tanuma, Extended Mermin method for calculating the electron inelastic mean free path. </w:t>
      </w:r>
      <w:r w:rsidRPr="00C00214">
        <w:rPr>
          <w:i/>
        </w:rPr>
        <w:t>Phys. Rev. Lett</w:t>
      </w:r>
      <w:r w:rsidRPr="00C00214">
        <w:t xml:space="preserve">. </w:t>
      </w:r>
      <w:r w:rsidRPr="00C00214">
        <w:rPr>
          <w:b/>
        </w:rPr>
        <w:t>113</w:t>
      </w:r>
      <w:r w:rsidRPr="00C00214">
        <w:t>, 063201 (2014).</w:t>
      </w:r>
    </w:p>
    <w:p w14:paraId="1D0D16BF" w14:textId="6D0C0BC3" w:rsidR="006E560F" w:rsidRPr="00C00214" w:rsidRDefault="006E560F" w:rsidP="006E560F">
      <w:pPr>
        <w:jc w:val="both"/>
      </w:pPr>
      <w:r w:rsidRPr="00C00214">
        <w:lastRenderedPageBreak/>
        <w:t xml:space="preserve">[28] C. J. Tung, Y. F. Chen, C. M. Kwei, T. L. Chou, </w:t>
      </w:r>
      <w:bookmarkStart w:id="98" w:name="OLE_LINK96"/>
      <w:r w:rsidRPr="00C00214">
        <w:t xml:space="preserve">Differential cross sections for plasmon excitations and reflected electron-energy-loss spectra. </w:t>
      </w:r>
      <w:r w:rsidRPr="00C00214">
        <w:rPr>
          <w:i/>
        </w:rPr>
        <w:t>Phys. Rev. B</w:t>
      </w:r>
      <w:r w:rsidRPr="00C00214">
        <w:t xml:space="preserve"> </w:t>
      </w:r>
      <w:r w:rsidRPr="00C00214">
        <w:rPr>
          <w:b/>
        </w:rPr>
        <w:t>49</w:t>
      </w:r>
      <w:r w:rsidRPr="00C00214">
        <w:t>, 16684 (1994)</w:t>
      </w:r>
      <w:bookmarkEnd w:id="98"/>
      <w:r w:rsidRPr="00C00214">
        <w:t>.</w:t>
      </w:r>
    </w:p>
    <w:p w14:paraId="1A2E53B6" w14:textId="6CD64DC7" w:rsidR="006E560F" w:rsidRPr="00C00214" w:rsidRDefault="006E560F" w:rsidP="006E560F">
      <w:pPr>
        <w:jc w:val="both"/>
      </w:pPr>
      <w:r w:rsidRPr="00C00214">
        <w:t xml:space="preserve">[29] H. Venghaus, </w:t>
      </w:r>
      <w:bookmarkStart w:id="99" w:name="OLE_LINK97"/>
      <w:r w:rsidRPr="00C00214">
        <w:t xml:space="preserve">Redetermination of the dielectric function of graphite. </w:t>
      </w:r>
      <w:bookmarkStart w:id="100" w:name="OLE_LINK109"/>
      <w:r w:rsidRPr="00C00214">
        <w:rPr>
          <w:i/>
        </w:rPr>
        <w:t>Phys. Stat. Sol. (b)</w:t>
      </w:r>
      <w:r w:rsidRPr="00C00214">
        <w:t xml:space="preserve"> </w:t>
      </w:r>
      <w:r w:rsidRPr="00C00214">
        <w:rPr>
          <w:b/>
        </w:rPr>
        <w:t>71</w:t>
      </w:r>
      <w:r w:rsidRPr="00C00214">
        <w:t>, 609-614 (1975)</w:t>
      </w:r>
      <w:bookmarkEnd w:id="99"/>
      <w:bookmarkEnd w:id="100"/>
      <w:r w:rsidRPr="00C00214">
        <w:t>.</w:t>
      </w:r>
    </w:p>
    <w:p w14:paraId="6C801CC4" w14:textId="1561DC64" w:rsidR="008C3EE4" w:rsidRPr="00C00214" w:rsidRDefault="004C2AEC">
      <w:pPr>
        <w:jc w:val="both"/>
      </w:pPr>
      <w:r w:rsidRPr="00C00214">
        <w:t>[</w:t>
      </w:r>
      <w:r w:rsidR="00CF6F31" w:rsidRPr="00C00214">
        <w:t>30</w:t>
      </w:r>
      <w:r w:rsidRPr="00C00214">
        <w:t xml:space="preserve">] H. Hibino, H. Kageshima, F. Maeda, M. Nagase, Y. Kobayashi, Y. Kobayashi, H. Yamaguchi, Thickness Determination of Graphene Layers Formed on SiC Using Low-Energy Electron Microscopy, </w:t>
      </w:r>
      <w:r w:rsidRPr="00C00214">
        <w:rPr>
          <w:i/>
        </w:rPr>
        <w:t>e-J. Surf. Sci. Nanotechnol.</w:t>
      </w:r>
      <w:r w:rsidRPr="00C00214">
        <w:t xml:space="preserve"> </w:t>
      </w:r>
      <w:r w:rsidRPr="00C00214">
        <w:rPr>
          <w:b/>
        </w:rPr>
        <w:t>6</w:t>
      </w:r>
      <w:r w:rsidRPr="00C00214">
        <w:t>, 107-110 (2008).</w:t>
      </w:r>
    </w:p>
    <w:p w14:paraId="09DC86C3" w14:textId="5C702251" w:rsidR="008C3EE4" w:rsidRPr="00C00214" w:rsidRDefault="004C2AEC">
      <w:pPr>
        <w:jc w:val="both"/>
      </w:pPr>
      <w:r w:rsidRPr="00C00214">
        <w:t>[</w:t>
      </w:r>
      <w:r w:rsidR="00CF6F31" w:rsidRPr="00C00214">
        <w:t>31</w:t>
      </w:r>
      <w:r w:rsidRPr="00C00214">
        <w:t xml:space="preserve">] P. Sutter, J. T. Sadowski, E. Sutter, Graphene on Pt(111): growth and substrate interaction, </w:t>
      </w:r>
      <w:r w:rsidRPr="00C00214">
        <w:rPr>
          <w:i/>
        </w:rPr>
        <w:t>Phys. Rev. B</w:t>
      </w:r>
      <w:r w:rsidRPr="00C00214">
        <w:t xml:space="preserve"> </w:t>
      </w:r>
      <w:r w:rsidRPr="00C00214">
        <w:rPr>
          <w:b/>
        </w:rPr>
        <w:t>80</w:t>
      </w:r>
      <w:r w:rsidRPr="00C00214">
        <w:t>, 245411 (2009).</w:t>
      </w:r>
    </w:p>
    <w:p w14:paraId="6C2AAE8B" w14:textId="0351E12A" w:rsidR="008C3EE4" w:rsidRPr="00C00214" w:rsidRDefault="004C2AEC">
      <w:pPr>
        <w:jc w:val="both"/>
        <w:rPr>
          <w:lang w:eastAsia="zh-CN"/>
        </w:rPr>
      </w:pPr>
      <w:r w:rsidRPr="00C00214">
        <w:t>[</w:t>
      </w:r>
      <w:r w:rsidR="00CF6F31" w:rsidRPr="00C00214">
        <w:t>32</w:t>
      </w:r>
      <w:r w:rsidRPr="00C00214">
        <w:t>] V</w:t>
      </w:r>
      <w:bookmarkStart w:id="101" w:name="OLE_LINK70"/>
      <w:r w:rsidRPr="00C00214">
        <w:t xml:space="preserve">. U. Nazarov, E. E. Krasovskii, V. M. Silkin, Scattering resonances in two-dimensional crystals with application to graphene, </w:t>
      </w:r>
      <w:r w:rsidRPr="00C00214">
        <w:rPr>
          <w:i/>
        </w:rPr>
        <w:t>Phys. Rev. B</w:t>
      </w:r>
      <w:r w:rsidRPr="00C00214">
        <w:t xml:space="preserve"> </w:t>
      </w:r>
      <w:r w:rsidRPr="00C00214">
        <w:rPr>
          <w:b/>
        </w:rPr>
        <w:t>87</w:t>
      </w:r>
      <w:r w:rsidRPr="00C00214">
        <w:t>, 041405(R) (2013).</w:t>
      </w:r>
      <w:bookmarkEnd w:id="101"/>
    </w:p>
    <w:p w14:paraId="3C77042E" w14:textId="5FBBF96E" w:rsidR="008C3EE4" w:rsidRPr="00C00214" w:rsidRDefault="004C2AEC">
      <w:pPr>
        <w:jc w:val="both"/>
      </w:pPr>
      <w:r w:rsidRPr="00C00214">
        <w:t>[</w:t>
      </w:r>
      <w:r w:rsidR="00CF6F31" w:rsidRPr="00C00214">
        <w:t>33</w:t>
      </w:r>
      <w:r w:rsidRPr="00C00214">
        <w:t xml:space="preserve">] L. Frank, E. Mikmeková, I. Müllerová, M. Lejeune, Counting graphene layers with very slow electrons, </w:t>
      </w:r>
      <w:r w:rsidRPr="00C00214">
        <w:rPr>
          <w:i/>
        </w:rPr>
        <w:t>Appl. Phys. Lett.</w:t>
      </w:r>
      <w:r w:rsidRPr="00C00214">
        <w:t xml:space="preserve">, </w:t>
      </w:r>
      <w:r w:rsidRPr="00C00214">
        <w:rPr>
          <w:b/>
        </w:rPr>
        <w:t>106</w:t>
      </w:r>
      <w:r w:rsidRPr="00C00214">
        <w:t>, 013117 (2015).</w:t>
      </w:r>
    </w:p>
    <w:p w14:paraId="3CE831F3" w14:textId="53B62DFD" w:rsidR="008C3EE4" w:rsidRPr="00C00214" w:rsidRDefault="004C2AEC">
      <w:pPr>
        <w:jc w:val="both"/>
      </w:pPr>
      <w:r w:rsidRPr="00C00214">
        <w:t>[</w:t>
      </w:r>
      <w:r w:rsidR="00CF6F31" w:rsidRPr="00C00214">
        <w:t>34</w:t>
      </w:r>
      <w:r w:rsidRPr="00C00214">
        <w:t xml:space="preserve">] S. Srisonphan, M. Kim, and H. K. Kim, Space charge neutralization by electron-transparent suspended graphene, </w:t>
      </w:r>
      <w:r w:rsidRPr="00C00214">
        <w:rPr>
          <w:i/>
        </w:rPr>
        <w:t>Sci. Rep.</w:t>
      </w:r>
      <w:r w:rsidRPr="00C00214">
        <w:t xml:space="preserve"> </w:t>
      </w:r>
      <w:r w:rsidRPr="00C00214">
        <w:rPr>
          <w:b/>
        </w:rPr>
        <w:t>4</w:t>
      </w:r>
      <w:r w:rsidRPr="00C00214">
        <w:t>, 3764 (2014).</w:t>
      </w:r>
    </w:p>
    <w:p w14:paraId="32D11DEE" w14:textId="3FFC956B" w:rsidR="008C3EE4" w:rsidRPr="00C00214" w:rsidRDefault="004C2AEC">
      <w:pPr>
        <w:jc w:val="both"/>
      </w:pPr>
      <w:r w:rsidRPr="00C00214">
        <w:t>[</w:t>
      </w:r>
      <w:r w:rsidR="00CF6F31" w:rsidRPr="00C00214">
        <w:t>35</w:t>
      </w:r>
      <w:r w:rsidRPr="00C00214">
        <w:t xml:space="preserve">] A. Kojima, R. Suda, and N. Koshida, Improved quasiballistic electron emission from a nanocrystalline Si cold cathode with a monolayer-graphene surface electrode, </w:t>
      </w:r>
      <w:r w:rsidRPr="00C00214">
        <w:rPr>
          <w:i/>
        </w:rPr>
        <w:t>Appl. Phys. Lett.</w:t>
      </w:r>
      <w:r w:rsidRPr="00C00214">
        <w:t xml:space="preserve"> </w:t>
      </w:r>
      <w:r w:rsidRPr="00C00214">
        <w:rPr>
          <w:b/>
        </w:rPr>
        <w:t>112</w:t>
      </w:r>
      <w:r w:rsidRPr="00C00214">
        <w:t>, 133102 (2018).</w:t>
      </w:r>
    </w:p>
    <w:p w14:paraId="2BC0630C" w14:textId="3FF83516" w:rsidR="001A5920" w:rsidRPr="00C00214" w:rsidRDefault="001A5920">
      <w:pPr>
        <w:jc w:val="both"/>
        <w:rPr>
          <w:lang w:eastAsia="zh-CN"/>
        </w:rPr>
      </w:pPr>
      <w:r w:rsidRPr="00C00214">
        <w:t>[</w:t>
      </w:r>
      <w:bookmarkStart w:id="102" w:name="OLE_LINK80"/>
      <w:bookmarkStart w:id="103" w:name="OLE_LINK81"/>
      <w:r w:rsidRPr="00C00214">
        <w:t>36</w:t>
      </w:r>
      <w:bookmarkEnd w:id="102"/>
      <w:bookmarkEnd w:id="103"/>
      <w:r w:rsidRPr="00C00214">
        <w:t xml:space="preserve">] B. Da, J. W. Liu, Y. Harada, N. T. Cuong, K. Tsukagoshi, J. Hu, L. H. Yang, Z. J. Ding, H. Yoshikawa, and S. Tanuma, Observation of plasmon energy gain for emitted secondary electron in vacuo. J. Phys. Chem. Lett. </w:t>
      </w:r>
      <w:r w:rsidRPr="00C00214">
        <w:rPr>
          <w:b/>
        </w:rPr>
        <w:t>10</w:t>
      </w:r>
      <w:r w:rsidRPr="00C00214">
        <w:t>, 5770</w:t>
      </w:r>
      <w:r w:rsidRPr="00C00214">
        <w:rPr>
          <w:rFonts w:eastAsia="Times New Roman"/>
        </w:rPr>
        <w:t>–</w:t>
      </w:r>
      <w:r w:rsidRPr="00C00214">
        <w:t xml:space="preserve">5775 (2019). </w:t>
      </w:r>
    </w:p>
    <w:p w14:paraId="1B760775" w14:textId="2E48F2E8" w:rsidR="008C3EE4" w:rsidRPr="00C00214" w:rsidRDefault="004C2AEC">
      <w:pPr>
        <w:jc w:val="both"/>
      </w:pPr>
      <w:r w:rsidRPr="00C00214">
        <w:t>[</w:t>
      </w:r>
      <w:r w:rsidR="00CF6F31" w:rsidRPr="00C00214">
        <w:t>3</w:t>
      </w:r>
      <w:r w:rsidR="001A5920" w:rsidRPr="00C00214">
        <w:t>7</w:t>
      </w:r>
      <w:r w:rsidRPr="00C00214">
        <w:t xml:space="preserve">] E. Mikmekova, H. Bouyanfif, M. Lejeune, I. Mullerova, M. Hovorka, M. Uncovsky, and L. Frank, Very low energy electron microscopy of graphene flakes, </w:t>
      </w:r>
      <w:r w:rsidRPr="00C00214">
        <w:rPr>
          <w:i/>
        </w:rPr>
        <w:t>J. Microsc.</w:t>
      </w:r>
      <w:r w:rsidRPr="00C00214">
        <w:t xml:space="preserve"> </w:t>
      </w:r>
      <w:r w:rsidRPr="00C00214">
        <w:rPr>
          <w:b/>
        </w:rPr>
        <w:t>251</w:t>
      </w:r>
      <w:r w:rsidRPr="00C00214">
        <w:t>, 123 (2013).</w:t>
      </w:r>
    </w:p>
    <w:p w14:paraId="1A08DEBC" w14:textId="25B1F870" w:rsidR="008C3EE4" w:rsidRPr="00C00214" w:rsidRDefault="004C2AEC">
      <w:pPr>
        <w:jc w:val="both"/>
      </w:pPr>
      <w:r w:rsidRPr="00C00214">
        <w:lastRenderedPageBreak/>
        <w:t>[</w:t>
      </w:r>
      <w:r w:rsidR="00CF6F31" w:rsidRPr="00C00214">
        <w:t>3</w:t>
      </w:r>
      <w:r w:rsidR="001A5920" w:rsidRPr="00C00214">
        <w:t>8</w:t>
      </w:r>
      <w:r w:rsidRPr="00C00214">
        <w:t xml:space="preserve">] G. Hassink, R. Wanke, I. Rastegar, W. Braun, C. Stephanos, P. Herlinger, J. H. Smet, and J. Mannhart, Transparency of graphene for low-energy electrons measured in a vacuum-triode setup, </w:t>
      </w:r>
      <w:r w:rsidRPr="00C00214">
        <w:rPr>
          <w:i/>
        </w:rPr>
        <w:t>APL Mater.</w:t>
      </w:r>
      <w:r w:rsidRPr="00C00214">
        <w:t xml:space="preserve"> </w:t>
      </w:r>
      <w:r w:rsidRPr="00C00214">
        <w:rPr>
          <w:b/>
        </w:rPr>
        <w:t>3</w:t>
      </w:r>
      <w:r w:rsidRPr="00C00214">
        <w:t>, 076106 (2015).</w:t>
      </w:r>
    </w:p>
    <w:p w14:paraId="615593DC" w14:textId="11B8582C" w:rsidR="008C3EE4" w:rsidRPr="00C00214" w:rsidRDefault="004C2AEC">
      <w:pPr>
        <w:jc w:val="both"/>
        <w:rPr>
          <w:rFonts w:eastAsia="Microsoft YaHei"/>
          <w:szCs w:val="27"/>
          <w:shd w:val="clear" w:color="auto" w:fill="FFFFFF"/>
        </w:rPr>
      </w:pPr>
      <w:r w:rsidRPr="00C00214">
        <w:rPr>
          <w:rFonts w:eastAsia="Microsoft YaHei"/>
          <w:szCs w:val="27"/>
          <w:shd w:val="clear" w:color="auto" w:fill="FFFFFF"/>
        </w:rPr>
        <w:t>[</w:t>
      </w:r>
      <w:r w:rsidR="00CF6F31" w:rsidRPr="00C00214">
        <w:rPr>
          <w:rFonts w:eastAsia="Microsoft YaHei"/>
          <w:szCs w:val="27"/>
          <w:shd w:val="clear" w:color="auto" w:fill="FFFFFF"/>
        </w:rPr>
        <w:t>39</w:t>
      </w:r>
      <w:r w:rsidRPr="00C00214">
        <w:rPr>
          <w:rFonts w:eastAsia="Microsoft YaHei"/>
          <w:szCs w:val="27"/>
          <w:shd w:val="clear" w:color="auto" w:fill="FFFFFF"/>
        </w:rPr>
        <w:t xml:space="preserve">] R. S. Sundaram, M. Steiner, H.-Y. Chiu, M. Engel, A. A. Bol, R. Krupke, M. Burghard, K. Kern, and P. Avouris, </w:t>
      </w:r>
      <w:bookmarkStart w:id="104" w:name="OLE_LINK58"/>
      <w:bookmarkStart w:id="105" w:name="OLE_LINK59"/>
      <w:r w:rsidR="002969F5" w:rsidRPr="00C00214">
        <w:rPr>
          <w:rFonts w:eastAsia="Microsoft YaHei"/>
          <w:szCs w:val="27"/>
          <w:shd w:val="clear" w:color="auto" w:fill="FFFFFF"/>
        </w:rPr>
        <w:t xml:space="preserve">The graphene–gold interface and its implications for nanoelectronics. </w:t>
      </w:r>
      <w:r w:rsidRPr="00C00214">
        <w:rPr>
          <w:rFonts w:eastAsia="Microsoft YaHei"/>
          <w:szCs w:val="27"/>
          <w:shd w:val="clear" w:color="auto" w:fill="FFFFFF"/>
        </w:rPr>
        <w:t xml:space="preserve">Nano Lett. </w:t>
      </w:r>
      <w:r w:rsidRPr="00C00214">
        <w:rPr>
          <w:rFonts w:eastAsia="Microsoft YaHei"/>
          <w:b/>
          <w:szCs w:val="27"/>
          <w:shd w:val="clear" w:color="auto" w:fill="FFFFFF"/>
        </w:rPr>
        <w:t>11</w:t>
      </w:r>
      <w:r w:rsidRPr="00C00214">
        <w:rPr>
          <w:rFonts w:eastAsia="Microsoft YaHei"/>
          <w:szCs w:val="27"/>
          <w:shd w:val="clear" w:color="auto" w:fill="FFFFFF"/>
        </w:rPr>
        <w:t>, 3833 (2011)</w:t>
      </w:r>
      <w:bookmarkEnd w:id="104"/>
      <w:bookmarkEnd w:id="105"/>
      <w:r w:rsidRPr="00C00214">
        <w:rPr>
          <w:rFonts w:eastAsia="Microsoft YaHei"/>
          <w:szCs w:val="27"/>
          <w:shd w:val="clear" w:color="auto" w:fill="FFFFFF"/>
        </w:rPr>
        <w:t>.</w:t>
      </w:r>
    </w:p>
    <w:p w14:paraId="2B16364A" w14:textId="3E2C9E90" w:rsidR="008C3EE4" w:rsidRPr="00C00214" w:rsidRDefault="004C2AEC">
      <w:pPr>
        <w:jc w:val="both"/>
        <w:rPr>
          <w:rFonts w:eastAsia="Microsoft YaHei"/>
          <w:szCs w:val="27"/>
          <w:shd w:val="clear" w:color="auto" w:fill="FFFFFF"/>
        </w:rPr>
      </w:pPr>
      <w:r w:rsidRPr="00C00214">
        <w:rPr>
          <w:rFonts w:eastAsia="Microsoft YaHei"/>
          <w:szCs w:val="27"/>
          <w:shd w:val="clear" w:color="auto" w:fill="FFFFFF"/>
        </w:rPr>
        <w:t>[</w:t>
      </w:r>
      <w:r w:rsidR="00CF6F31" w:rsidRPr="00C00214">
        <w:rPr>
          <w:rFonts w:eastAsia="Microsoft YaHei"/>
          <w:szCs w:val="27"/>
          <w:shd w:val="clear" w:color="auto" w:fill="FFFFFF"/>
        </w:rPr>
        <w:t>40</w:t>
      </w:r>
      <w:r w:rsidRPr="00C00214">
        <w:rPr>
          <w:rFonts w:eastAsia="Microsoft YaHei"/>
          <w:szCs w:val="27"/>
          <w:shd w:val="clear" w:color="auto" w:fill="FFFFFF"/>
        </w:rPr>
        <w:t xml:space="preserve">] J. Tesch, P. Leicht, F. Blumenschein, L. Gragnaniello, M. Fonin, L. E. Marsoner Steinkasserer, B. Paulus, E. Voloshina, and Y. S. Dedkov, Structural and electronic properties of graphene nanoflakes on Au(111) and Ag(111). Sci. Rep. </w:t>
      </w:r>
      <w:r w:rsidRPr="00C00214">
        <w:rPr>
          <w:rFonts w:eastAsia="Microsoft YaHei"/>
          <w:b/>
          <w:szCs w:val="27"/>
          <w:shd w:val="clear" w:color="auto" w:fill="FFFFFF"/>
        </w:rPr>
        <w:t>6</w:t>
      </w:r>
      <w:r w:rsidRPr="00C00214">
        <w:rPr>
          <w:rFonts w:eastAsia="Microsoft YaHei"/>
          <w:szCs w:val="27"/>
          <w:shd w:val="clear" w:color="auto" w:fill="FFFFFF"/>
        </w:rPr>
        <w:t>, 23439 (2016).</w:t>
      </w:r>
    </w:p>
    <w:p w14:paraId="0E2D86C8" w14:textId="1E29920A" w:rsidR="008C3EE4" w:rsidRPr="00C00214" w:rsidRDefault="004C2AEC">
      <w:pPr>
        <w:jc w:val="both"/>
      </w:pPr>
      <w:r w:rsidRPr="00C00214">
        <w:t>[</w:t>
      </w:r>
      <w:r w:rsidR="00CF6F31" w:rsidRPr="00C00214">
        <w:t>41</w:t>
      </w:r>
      <w:r w:rsidRPr="00C00214">
        <w:t xml:space="preserve">] N. Barrett, E. E. Krasovskii, J.-M. Themlin, V. N. Strocov, </w:t>
      </w:r>
      <w:bookmarkStart w:id="106" w:name="OLE_LINK91"/>
      <w:r w:rsidRPr="00C00214">
        <w:t xml:space="preserve">Elastic scattering effects in the electron mean free path in a graphite overlayer studied by photoelectron spectroscopy and LEED. </w:t>
      </w:r>
      <w:r w:rsidRPr="00C00214">
        <w:rPr>
          <w:i/>
        </w:rPr>
        <w:t>Phys. Rev. B</w:t>
      </w:r>
      <w:r w:rsidRPr="00C00214">
        <w:t xml:space="preserve"> </w:t>
      </w:r>
      <w:r w:rsidRPr="00C00214">
        <w:rPr>
          <w:b/>
        </w:rPr>
        <w:t>71</w:t>
      </w:r>
      <w:r w:rsidRPr="00C00214">
        <w:t>, 035427 (2005)</w:t>
      </w:r>
      <w:bookmarkEnd w:id="106"/>
      <w:r w:rsidRPr="00C00214">
        <w:t>.</w:t>
      </w:r>
    </w:p>
    <w:p w14:paraId="03986E97" w14:textId="09BAC93A" w:rsidR="008C3EE4" w:rsidRPr="00C00214" w:rsidRDefault="004C2AEC">
      <w:pPr>
        <w:jc w:val="both"/>
        <w:rPr>
          <w:rFonts w:eastAsia="Times New Roman"/>
        </w:rPr>
      </w:pPr>
      <w:r w:rsidRPr="00C00214">
        <w:rPr>
          <w:rFonts w:eastAsia="Times New Roman"/>
        </w:rPr>
        <w:t>[</w:t>
      </w:r>
      <w:r w:rsidR="00CF6F31" w:rsidRPr="00C00214">
        <w:rPr>
          <w:rFonts w:eastAsia="Times New Roman"/>
        </w:rPr>
        <w:t>42</w:t>
      </w:r>
      <w:r w:rsidRPr="00C00214">
        <w:rPr>
          <w:rFonts w:eastAsia="Times New Roman"/>
        </w:rPr>
        <w:t xml:space="preserve">] Kota Shihommatsu, Junro Takahashi, Yuta Momiuchi, Yudai Hoshi, Hiroki Kato, and Yoshikazu Homma, Formation Mechanism of Secondary Electron Contrast of Graphene Layers on a Metal Substrate, ACS Omega, </w:t>
      </w:r>
      <w:r w:rsidRPr="00C00214">
        <w:rPr>
          <w:rFonts w:eastAsia="Times New Roman"/>
          <w:b/>
        </w:rPr>
        <w:t>2</w:t>
      </w:r>
      <w:r w:rsidRPr="00C00214">
        <w:rPr>
          <w:rFonts w:eastAsia="Times New Roman"/>
        </w:rPr>
        <w:t>, 7831–7836 (2017).</w:t>
      </w:r>
    </w:p>
    <w:p w14:paraId="09D758B9" w14:textId="10F4F21A" w:rsidR="008C3EE4" w:rsidRPr="00C00214" w:rsidRDefault="004C2AEC">
      <w:pPr>
        <w:jc w:val="both"/>
      </w:pPr>
      <w:r w:rsidRPr="00C00214">
        <w:t>[</w:t>
      </w:r>
      <w:r w:rsidR="00CF6F31" w:rsidRPr="00C00214">
        <w:t>43</w:t>
      </w:r>
      <w:r w:rsidRPr="00C00214">
        <w:t xml:space="preserve">] M. P. Seah, W. A. Dench, </w:t>
      </w:r>
      <w:bookmarkStart w:id="107" w:name="OLE_LINK92"/>
      <w:r w:rsidRPr="00C00214">
        <w:t>Quantitative electron spectroscopy of surfaces: A standard data base for electron inelastic mean free paths in solids</w:t>
      </w:r>
      <w:bookmarkEnd w:id="107"/>
      <w:r w:rsidRPr="00C00214">
        <w:t xml:space="preserve">. </w:t>
      </w:r>
      <w:r w:rsidRPr="00C00214">
        <w:rPr>
          <w:i/>
        </w:rPr>
        <w:t>Surf. Interface Anal</w:t>
      </w:r>
      <w:r w:rsidRPr="00C00214">
        <w:t xml:space="preserve">. </w:t>
      </w:r>
      <w:r w:rsidRPr="00C00214">
        <w:rPr>
          <w:b/>
        </w:rPr>
        <w:t>1</w:t>
      </w:r>
      <w:r w:rsidRPr="00C00214">
        <w:t>, 1-11 (1979).</w:t>
      </w:r>
    </w:p>
    <w:p w14:paraId="257357B9" w14:textId="6C3C724B" w:rsidR="008C3EE4" w:rsidRPr="00C00214" w:rsidRDefault="004C2AEC">
      <w:pPr>
        <w:jc w:val="both"/>
      </w:pPr>
      <w:r w:rsidRPr="00C00214">
        <w:t>[</w:t>
      </w:r>
      <w:r w:rsidR="00CF6F31" w:rsidRPr="00C00214">
        <w:t>44</w:t>
      </w:r>
      <w:r w:rsidRPr="00C00214">
        <w:t xml:space="preserve">] J. Luo, P. Tian, C. Pan, A. W. Robertson, J. H. Warner, E. W. Hill, G. A. D. Briggs, Ultralow secondary electron emission of graphene. </w:t>
      </w:r>
      <w:r w:rsidRPr="00C00214">
        <w:rPr>
          <w:i/>
        </w:rPr>
        <w:t>ACS Nano</w:t>
      </w:r>
      <w:r w:rsidRPr="00C00214">
        <w:t xml:space="preserve"> </w:t>
      </w:r>
      <w:r w:rsidRPr="00C00214">
        <w:rPr>
          <w:b/>
        </w:rPr>
        <w:t>5</w:t>
      </w:r>
      <w:r w:rsidRPr="00C00214">
        <w:t>, 1047-1055 (2011).</w:t>
      </w:r>
    </w:p>
    <w:p w14:paraId="54F9159E" w14:textId="6DB31379" w:rsidR="008C3EE4" w:rsidRPr="00C00214" w:rsidRDefault="004C2AEC">
      <w:pPr>
        <w:jc w:val="both"/>
        <w:rPr>
          <w:rFonts w:eastAsia="Times New Roman"/>
        </w:rPr>
      </w:pPr>
      <w:r w:rsidRPr="00C00214">
        <w:rPr>
          <w:rFonts w:eastAsia="Times New Roman"/>
        </w:rPr>
        <w:t>[</w:t>
      </w:r>
      <w:r w:rsidR="00CF6F31" w:rsidRPr="00C00214">
        <w:rPr>
          <w:rFonts w:eastAsia="Times New Roman"/>
        </w:rPr>
        <w:t>45</w:t>
      </w:r>
      <w:r w:rsidRPr="00C00214">
        <w:rPr>
          <w:rFonts w:eastAsia="Times New Roman"/>
        </w:rPr>
        <w:t xml:space="preserve">] Y. Ueda, Y. Suzuki and K. Watanabe, Secondary-electron emission from multi-layer graphene: time-dependent first-principles study, </w:t>
      </w:r>
      <w:r w:rsidRPr="00C00214">
        <w:rPr>
          <w:rFonts w:eastAsia="Times New Roman"/>
          <w:i/>
        </w:rPr>
        <w:t>Appl. Phys. Express</w:t>
      </w:r>
      <w:r w:rsidRPr="00C00214">
        <w:rPr>
          <w:rFonts w:eastAsia="Times New Roman"/>
        </w:rPr>
        <w:t xml:space="preserve"> </w:t>
      </w:r>
      <w:r w:rsidRPr="00C00214">
        <w:rPr>
          <w:rFonts w:eastAsia="Times New Roman"/>
          <w:b/>
        </w:rPr>
        <w:t>11</w:t>
      </w:r>
      <w:r w:rsidRPr="00C00214">
        <w:rPr>
          <w:rFonts w:eastAsia="Times New Roman"/>
        </w:rPr>
        <w:t>, 105101 (2018).</w:t>
      </w:r>
    </w:p>
    <w:p w14:paraId="2553A003" w14:textId="611958B7" w:rsidR="00CF6F31" w:rsidRPr="00C00214" w:rsidRDefault="00CF6F31">
      <w:pPr>
        <w:jc w:val="both"/>
        <w:rPr>
          <w:rFonts w:eastAsia="Times New Roman"/>
        </w:rPr>
      </w:pPr>
      <w:r w:rsidRPr="00C00214">
        <w:rPr>
          <w:rFonts w:eastAsia="Times New Roman"/>
        </w:rPr>
        <w:lastRenderedPageBreak/>
        <w:t xml:space="preserve">[46] </w:t>
      </w:r>
      <w:r w:rsidR="00732BEA" w:rsidRPr="00C00214">
        <w:t xml:space="preserve">I. Miccoli, F. Edler, H. Pfnür, C. Tegenkamp, The 100th anniversary of the four-point probe technique: The role of probe geometries in isotropic and anisotropic systems. </w:t>
      </w:r>
      <w:r w:rsidR="00732BEA" w:rsidRPr="00C00214">
        <w:rPr>
          <w:i/>
        </w:rPr>
        <w:t>J. Phys.: Condens. Matter</w:t>
      </w:r>
      <w:r w:rsidR="00732BEA" w:rsidRPr="00C00214">
        <w:t xml:space="preserve"> </w:t>
      </w:r>
      <w:r w:rsidR="00732BEA" w:rsidRPr="00C00214">
        <w:rPr>
          <w:b/>
        </w:rPr>
        <w:t>27</w:t>
      </w:r>
      <w:r w:rsidR="00732BEA" w:rsidRPr="00C00214">
        <w:t>, 223201 (2015).</w:t>
      </w:r>
    </w:p>
    <w:p w14:paraId="301D1107" w14:textId="728021B8" w:rsidR="00CF6F31" w:rsidRPr="00C00214" w:rsidRDefault="00CF6F31">
      <w:pPr>
        <w:jc w:val="both"/>
        <w:rPr>
          <w:rFonts w:eastAsia="Times New Roman"/>
        </w:rPr>
      </w:pPr>
      <w:r w:rsidRPr="00C00214">
        <w:rPr>
          <w:rFonts w:eastAsia="Times New Roman"/>
        </w:rPr>
        <w:t xml:space="preserve">[47] </w:t>
      </w:r>
      <w:r w:rsidR="00732BEA" w:rsidRPr="00C00214">
        <w:t>S. Glass, Handbook</w:t>
      </w:r>
      <w:r w:rsidR="00732BEA" w:rsidRPr="00C00214">
        <w:rPr>
          <w:i/>
        </w:rPr>
        <w:t xml:space="preserve"> of Infrared Astronomy</w:t>
      </w:r>
      <w:r w:rsidR="00732BEA" w:rsidRPr="00C00214">
        <w:t xml:space="preserve"> (Cambridge University Press, Cambridge, ed. 1, 1999).</w:t>
      </w:r>
    </w:p>
    <w:p w14:paraId="37FA5813" w14:textId="15A18C2E" w:rsidR="008C3EE4" w:rsidRPr="00C00214" w:rsidRDefault="004C2AEC">
      <w:pPr>
        <w:jc w:val="both"/>
      </w:pPr>
      <w:r w:rsidRPr="00C00214">
        <w:t>[</w:t>
      </w:r>
      <w:r w:rsidR="00CF6F31" w:rsidRPr="00C00214">
        <w:t>4</w:t>
      </w:r>
      <w:r w:rsidR="00B221E6" w:rsidRPr="00C00214">
        <w:t>8</w:t>
      </w:r>
      <w:r w:rsidRPr="00C00214">
        <w:t xml:space="preserve">] E. Runge, E. K. Gross, Density-functional theory for time-dependent systems. </w:t>
      </w:r>
      <w:r w:rsidRPr="00C00214">
        <w:rPr>
          <w:i/>
        </w:rPr>
        <w:t>Phys. Rev. Lett</w:t>
      </w:r>
      <w:r w:rsidRPr="00C00214">
        <w:t xml:space="preserve">. </w:t>
      </w:r>
      <w:r w:rsidRPr="00C00214">
        <w:rPr>
          <w:b/>
        </w:rPr>
        <w:t>52</w:t>
      </w:r>
      <w:r w:rsidRPr="00C00214">
        <w:t>, 997 (1984).</w:t>
      </w:r>
    </w:p>
    <w:p w14:paraId="1A119CA8" w14:textId="6ED5EE8F" w:rsidR="008C3EE4" w:rsidRPr="00C00214" w:rsidRDefault="004C2AEC">
      <w:pPr>
        <w:jc w:val="both"/>
      </w:pPr>
      <w:r w:rsidRPr="00C00214">
        <w:t>[</w:t>
      </w:r>
      <w:r w:rsidR="00B221E6" w:rsidRPr="00C00214">
        <w:t>49</w:t>
      </w:r>
      <w:r w:rsidRPr="00C00214">
        <w:t xml:space="preserve">] </w:t>
      </w:r>
      <w:bookmarkStart w:id="108" w:name="OLE_LINK94"/>
      <w:r w:rsidRPr="00C00214">
        <w:t xml:space="preserve">Z. J. Ding, R. Shimizu, </w:t>
      </w:r>
      <w:bookmarkStart w:id="109" w:name="OLE_LINK108"/>
      <w:r w:rsidRPr="00C00214">
        <w:t>A Monte Carlo modeling of electron interaction with solids including cascade secondary electron production</w:t>
      </w:r>
      <w:bookmarkEnd w:id="109"/>
      <w:r w:rsidRPr="00C00214">
        <w:t xml:space="preserve">. </w:t>
      </w:r>
      <w:r w:rsidRPr="00C00214">
        <w:rPr>
          <w:i/>
        </w:rPr>
        <w:t>Scanning</w:t>
      </w:r>
      <w:r w:rsidRPr="00C00214">
        <w:t xml:space="preserve"> </w:t>
      </w:r>
      <w:r w:rsidRPr="00C00214">
        <w:rPr>
          <w:b/>
        </w:rPr>
        <w:t>18</w:t>
      </w:r>
      <w:r w:rsidRPr="00C00214">
        <w:t>, 92-113 (1995)</w:t>
      </w:r>
      <w:bookmarkEnd w:id="108"/>
      <w:r w:rsidRPr="00C00214">
        <w:t>.</w:t>
      </w:r>
    </w:p>
    <w:p w14:paraId="30B3A503" w14:textId="0E1C5A69" w:rsidR="008C3EE4" w:rsidRPr="00C00214" w:rsidRDefault="004C2AEC">
      <w:pPr>
        <w:jc w:val="both"/>
      </w:pPr>
      <w:r w:rsidRPr="00C00214">
        <w:t>[</w:t>
      </w:r>
      <w:r w:rsidR="00CF6F31" w:rsidRPr="00C00214">
        <w:t>5</w:t>
      </w:r>
      <w:r w:rsidR="00B221E6" w:rsidRPr="00C00214">
        <w:t>0</w:t>
      </w:r>
      <w:r w:rsidRPr="00C00214">
        <w:t xml:space="preserve">] K. Tsubonoya, C. Hu, K. Watanabe, </w:t>
      </w:r>
      <w:bookmarkStart w:id="110" w:name="OLE_LINK95"/>
      <w:r w:rsidRPr="00C00214">
        <w:t xml:space="preserve">Time-dependent density-functional theory simulation of electron wave-packet scattering with nanoflakes. </w:t>
      </w:r>
      <w:r w:rsidRPr="00C00214">
        <w:rPr>
          <w:i/>
        </w:rPr>
        <w:t>Phys. Rev. B</w:t>
      </w:r>
      <w:r w:rsidRPr="00C00214">
        <w:rPr>
          <w:b/>
        </w:rPr>
        <w:t xml:space="preserve"> 90</w:t>
      </w:r>
      <w:r w:rsidRPr="00C00214">
        <w:t>, 035416 (2014)</w:t>
      </w:r>
      <w:bookmarkEnd w:id="110"/>
      <w:r w:rsidRPr="00C00214">
        <w:t>.</w:t>
      </w:r>
    </w:p>
    <w:p w14:paraId="76CE1E9B" w14:textId="24F5205D" w:rsidR="008C3EE4" w:rsidRPr="00C00214" w:rsidRDefault="004C2AEC">
      <w:pPr>
        <w:jc w:val="both"/>
      </w:pPr>
      <w:r w:rsidRPr="00C00214">
        <w:t>[</w:t>
      </w:r>
      <w:r w:rsidR="00CF6F31" w:rsidRPr="00C00214">
        <w:t>5</w:t>
      </w:r>
      <w:r w:rsidR="00B221E6" w:rsidRPr="00C00214">
        <w:t>1</w:t>
      </w:r>
      <w:r w:rsidRPr="00C00214">
        <w:t xml:space="preserve">] F. Salvat, A. Jablonski, C. Powell, ELSEPA—Dirac partial-wave calculation of elastic scattering of electrons and positrons by atoms, positive ions and molecules. </w:t>
      </w:r>
      <w:r w:rsidRPr="00C00214">
        <w:rPr>
          <w:i/>
        </w:rPr>
        <w:t>Comput. Phys. Commun.</w:t>
      </w:r>
      <w:r w:rsidRPr="00C00214">
        <w:t xml:space="preserve"> </w:t>
      </w:r>
      <w:r w:rsidRPr="00C00214">
        <w:rPr>
          <w:b/>
        </w:rPr>
        <w:t>165</w:t>
      </w:r>
      <w:r w:rsidRPr="00C00214">
        <w:t>, 157-190 (2005).</w:t>
      </w:r>
    </w:p>
    <w:p w14:paraId="5C791B31" w14:textId="0C234C47" w:rsidR="008C3EE4" w:rsidRPr="00C00214" w:rsidRDefault="004C2AEC">
      <w:pPr>
        <w:jc w:val="both"/>
      </w:pPr>
      <w:r w:rsidRPr="00C00214">
        <w:t>[</w:t>
      </w:r>
      <w:r w:rsidR="00CF6F31" w:rsidRPr="00C00214">
        <w:t>5</w:t>
      </w:r>
      <w:r w:rsidR="00B221E6" w:rsidRPr="00C00214">
        <w:t>2</w:t>
      </w:r>
      <w:r w:rsidRPr="00C00214">
        <w:t xml:space="preserve">] P. Blaha, K. Schwarz, G. K. H. Madsen, K. Kvasnicka, J. Luitz, </w:t>
      </w:r>
      <w:r w:rsidRPr="00C00214">
        <w:rPr>
          <w:i/>
        </w:rPr>
        <w:t>WIEN2K</w:t>
      </w:r>
      <w:r w:rsidRPr="00C00214">
        <w:t xml:space="preserve"> (Karlheinz Schwarz, Technische Universitat Wien, Austria, ed. 1, 2001).</w:t>
      </w:r>
    </w:p>
    <w:p w14:paraId="6059005D" w14:textId="0E070CEE" w:rsidR="00B221E6" w:rsidRPr="00C00214" w:rsidRDefault="00B221E6">
      <w:pPr>
        <w:jc w:val="both"/>
      </w:pPr>
      <w:r w:rsidRPr="00C00214">
        <w:t xml:space="preserve">[53] S. Tougaard, Inelastic background correction and quantitative surface analysis. </w:t>
      </w:r>
      <w:r w:rsidRPr="00C00214">
        <w:rPr>
          <w:i/>
        </w:rPr>
        <w:t>J. Electron Spectrosc. Relat. Phenom</w:t>
      </w:r>
      <w:r w:rsidRPr="00C00214">
        <w:t xml:space="preserve">. </w:t>
      </w:r>
      <w:r w:rsidRPr="00C00214">
        <w:rPr>
          <w:b/>
        </w:rPr>
        <w:t>52</w:t>
      </w:r>
      <w:r w:rsidRPr="00C00214">
        <w:t>, 243-271 (1990).</w:t>
      </w:r>
    </w:p>
    <w:p w14:paraId="2D14FC72" w14:textId="35B0F422" w:rsidR="008C3EE4" w:rsidRPr="00C00214" w:rsidRDefault="004C2AEC">
      <w:pPr>
        <w:jc w:val="both"/>
      </w:pPr>
      <w:r w:rsidRPr="00C00214">
        <w:t>[</w:t>
      </w:r>
      <w:r w:rsidR="00CF6F31" w:rsidRPr="00C00214">
        <w:t>54</w:t>
      </w:r>
      <w:r w:rsidRPr="00C00214">
        <w:t>] J. F. McClain, J. Sun, K. Pohl, J.-M. Tang, First-principles theory of low-energy electron diffraction and quantum interference in few-layer graphene. arXiv:1311.2917</w:t>
      </w:r>
    </w:p>
    <w:p w14:paraId="1E90D373" w14:textId="14C19D11" w:rsidR="008C3EE4" w:rsidRPr="00C00214" w:rsidRDefault="004C2AEC">
      <w:pPr>
        <w:jc w:val="both"/>
      </w:pPr>
      <w:r w:rsidRPr="00C00214">
        <w:t>[</w:t>
      </w:r>
      <w:r w:rsidR="00CF6F31" w:rsidRPr="00C00214">
        <w:t>55</w:t>
      </w:r>
      <w:r w:rsidRPr="00C00214">
        <w:t xml:space="preserve">] H. A. Bethe, Zur theorie des durchgangs schneller korpuskularstrahlen durch materie. </w:t>
      </w:r>
      <w:r w:rsidRPr="00C00214">
        <w:rPr>
          <w:i/>
        </w:rPr>
        <w:t>Ann. Phys. (Berlin)</w:t>
      </w:r>
      <w:r w:rsidRPr="00C00214">
        <w:t xml:space="preserve"> </w:t>
      </w:r>
      <w:r w:rsidRPr="00C00214">
        <w:rPr>
          <w:b/>
        </w:rPr>
        <w:t>397</w:t>
      </w:r>
      <w:r w:rsidRPr="00C00214">
        <w:t>, 325-400 (1930) (in German).</w:t>
      </w:r>
    </w:p>
    <w:p w14:paraId="350CB3ED" w14:textId="1EE7318F" w:rsidR="008C3EE4" w:rsidRPr="00C00214" w:rsidRDefault="004C2AEC">
      <w:pPr>
        <w:jc w:val="both"/>
        <w:rPr>
          <w:lang w:eastAsia="zh-CN"/>
        </w:rPr>
      </w:pPr>
      <w:r w:rsidRPr="00C00214">
        <w:rPr>
          <w:lang w:eastAsia="zh-CN"/>
        </w:rPr>
        <w:lastRenderedPageBreak/>
        <w:t>[</w:t>
      </w:r>
      <w:r w:rsidR="00CF6F31" w:rsidRPr="00C00214">
        <w:rPr>
          <w:lang w:eastAsia="zh-CN"/>
        </w:rPr>
        <w:t>56</w:t>
      </w:r>
      <w:r w:rsidRPr="00C00214">
        <w:rPr>
          <w:lang w:eastAsia="zh-CN"/>
        </w:rPr>
        <w:t xml:space="preserve">] </w:t>
      </w:r>
      <w:bookmarkStart w:id="111" w:name="OLE_LINK42"/>
      <w:bookmarkStart w:id="112" w:name="OLE_LINK44"/>
      <w:r w:rsidRPr="00C00214">
        <w:rPr>
          <w:lang w:eastAsia="zh-CN"/>
        </w:rPr>
        <w:t xml:space="preserve">P. Hohenberg and W. Kohn, </w:t>
      </w:r>
      <w:r w:rsidR="00DD749D" w:rsidRPr="00C00214">
        <w:rPr>
          <w:lang w:eastAsia="zh-CN"/>
        </w:rPr>
        <w:t xml:space="preserve">Inhomogeneous Electron Gas. </w:t>
      </w:r>
      <w:r w:rsidRPr="00C00214">
        <w:rPr>
          <w:i/>
          <w:lang w:eastAsia="zh-CN"/>
        </w:rPr>
        <w:t>Phys. Rev.</w:t>
      </w:r>
      <w:r w:rsidRPr="00C00214">
        <w:rPr>
          <w:lang w:eastAsia="zh-CN"/>
        </w:rPr>
        <w:t xml:space="preserve"> </w:t>
      </w:r>
      <w:r w:rsidRPr="00C00214">
        <w:rPr>
          <w:b/>
          <w:lang w:eastAsia="zh-CN"/>
        </w:rPr>
        <w:t>136</w:t>
      </w:r>
      <w:r w:rsidRPr="00C00214">
        <w:rPr>
          <w:lang w:eastAsia="zh-CN"/>
        </w:rPr>
        <w:t>, B864–B871 (1964).</w:t>
      </w:r>
      <w:bookmarkEnd w:id="111"/>
      <w:bookmarkEnd w:id="112"/>
    </w:p>
    <w:p w14:paraId="435F5A12" w14:textId="5DEEA2EF" w:rsidR="008C3EE4" w:rsidRPr="00C00214" w:rsidRDefault="004C2AEC">
      <w:pPr>
        <w:jc w:val="both"/>
        <w:rPr>
          <w:lang w:eastAsia="zh-CN"/>
        </w:rPr>
      </w:pPr>
      <w:r w:rsidRPr="00C00214">
        <w:rPr>
          <w:lang w:eastAsia="zh-CN"/>
        </w:rPr>
        <w:t>[</w:t>
      </w:r>
      <w:r w:rsidR="00CF6F31" w:rsidRPr="00C00214">
        <w:rPr>
          <w:lang w:eastAsia="zh-CN"/>
        </w:rPr>
        <w:t>57</w:t>
      </w:r>
      <w:r w:rsidRPr="00C00214">
        <w:rPr>
          <w:lang w:eastAsia="zh-CN"/>
        </w:rPr>
        <w:t xml:space="preserve">] </w:t>
      </w:r>
      <w:bookmarkStart w:id="113" w:name="OLE_LINK45"/>
      <w:r w:rsidRPr="00C00214">
        <w:rPr>
          <w:lang w:eastAsia="zh-CN"/>
        </w:rPr>
        <w:t xml:space="preserve">W. Kohn and L. J. Sham, </w:t>
      </w:r>
      <w:r w:rsidR="00DD749D" w:rsidRPr="00C00214">
        <w:rPr>
          <w:lang w:eastAsia="zh-CN"/>
        </w:rPr>
        <w:t xml:space="preserve">Self-Consistent Equations Including Exchange and Correlation Effects. </w:t>
      </w:r>
      <w:r w:rsidR="00DD749D" w:rsidRPr="00C00214">
        <w:rPr>
          <w:i/>
          <w:lang w:eastAsia="zh-CN"/>
        </w:rPr>
        <w:t>Phys. Rev.</w:t>
      </w:r>
      <w:r w:rsidR="00DD749D" w:rsidRPr="00C00214">
        <w:rPr>
          <w:lang w:eastAsia="zh-CN"/>
        </w:rPr>
        <w:t xml:space="preserve"> </w:t>
      </w:r>
      <w:r w:rsidR="00DD749D" w:rsidRPr="00C00214">
        <w:rPr>
          <w:b/>
          <w:lang w:eastAsia="zh-CN"/>
        </w:rPr>
        <w:t>140</w:t>
      </w:r>
      <w:r w:rsidR="00DD749D" w:rsidRPr="00C00214">
        <w:rPr>
          <w:lang w:eastAsia="zh-CN"/>
        </w:rPr>
        <w:t>, A1133–A1138 (1965).</w:t>
      </w:r>
      <w:bookmarkEnd w:id="113"/>
    </w:p>
    <w:p w14:paraId="3C0F4F9D" w14:textId="4927A16C" w:rsidR="008C3EE4" w:rsidRPr="00C00214" w:rsidRDefault="004C2AEC">
      <w:pPr>
        <w:jc w:val="both"/>
        <w:rPr>
          <w:lang w:eastAsia="zh-CN"/>
        </w:rPr>
      </w:pPr>
      <w:r w:rsidRPr="00C00214">
        <w:rPr>
          <w:lang w:eastAsia="zh-CN"/>
        </w:rPr>
        <w:t>[</w:t>
      </w:r>
      <w:r w:rsidR="00CF6F31" w:rsidRPr="00C00214">
        <w:rPr>
          <w:lang w:eastAsia="zh-CN"/>
        </w:rPr>
        <w:t>58</w:t>
      </w:r>
      <w:r w:rsidRPr="00C00214">
        <w:rPr>
          <w:lang w:eastAsia="zh-CN"/>
        </w:rPr>
        <w:t xml:space="preserve">] </w:t>
      </w:r>
      <w:bookmarkStart w:id="114" w:name="OLE_LINK46"/>
      <w:r w:rsidRPr="00C00214">
        <w:rPr>
          <w:lang w:eastAsia="zh-CN"/>
        </w:rPr>
        <w:t>P. Giannozzi et al.,</w:t>
      </w:r>
      <w:r w:rsidR="00DD749D" w:rsidRPr="00C00214">
        <w:rPr>
          <w:lang w:eastAsia="zh-CN"/>
        </w:rPr>
        <w:t xml:space="preserve"> QUANTUM ESPRESSO: a modular and open-source software project for quantum simulations of materials.</w:t>
      </w:r>
      <w:r w:rsidRPr="00C00214">
        <w:rPr>
          <w:lang w:eastAsia="zh-CN"/>
        </w:rPr>
        <w:t xml:space="preserve"> </w:t>
      </w:r>
      <w:r w:rsidRPr="00C00214">
        <w:rPr>
          <w:i/>
          <w:lang w:eastAsia="zh-CN"/>
        </w:rPr>
        <w:t>J. Phys.: Condens. Matter</w:t>
      </w:r>
      <w:r w:rsidRPr="00C00214">
        <w:rPr>
          <w:lang w:eastAsia="zh-CN"/>
        </w:rPr>
        <w:t xml:space="preserve"> </w:t>
      </w:r>
      <w:r w:rsidRPr="00C00214">
        <w:rPr>
          <w:b/>
          <w:lang w:eastAsia="zh-CN"/>
        </w:rPr>
        <w:t>21</w:t>
      </w:r>
      <w:r w:rsidRPr="00C00214">
        <w:rPr>
          <w:lang w:eastAsia="zh-CN"/>
        </w:rPr>
        <w:t>, 395502 (2009).</w:t>
      </w:r>
    </w:p>
    <w:bookmarkEnd w:id="114"/>
    <w:p w14:paraId="326E032B" w14:textId="18829D60" w:rsidR="008C3EE4" w:rsidRPr="00C00214" w:rsidRDefault="004C2AEC">
      <w:pPr>
        <w:jc w:val="both"/>
        <w:rPr>
          <w:lang w:eastAsia="zh-CN"/>
        </w:rPr>
      </w:pPr>
      <w:r w:rsidRPr="00C00214">
        <w:rPr>
          <w:lang w:eastAsia="zh-CN"/>
        </w:rPr>
        <w:t>[</w:t>
      </w:r>
      <w:r w:rsidR="00CF6F31" w:rsidRPr="00C00214">
        <w:rPr>
          <w:lang w:eastAsia="zh-CN"/>
        </w:rPr>
        <w:t>59</w:t>
      </w:r>
      <w:r w:rsidRPr="00C00214">
        <w:rPr>
          <w:lang w:eastAsia="zh-CN"/>
        </w:rPr>
        <w:t xml:space="preserve">] </w:t>
      </w:r>
      <w:bookmarkStart w:id="115" w:name="OLE_LINK47"/>
      <w:r w:rsidRPr="00C00214">
        <w:rPr>
          <w:lang w:eastAsia="zh-CN"/>
        </w:rPr>
        <w:t xml:space="preserve">A. D. Corso, </w:t>
      </w:r>
      <w:r w:rsidR="00DD749D" w:rsidRPr="00C00214">
        <w:rPr>
          <w:lang w:eastAsia="zh-CN"/>
        </w:rPr>
        <w:t xml:space="preserve">Pseudopotentials periodic table: From H to Pu. </w:t>
      </w:r>
      <w:r w:rsidRPr="00C00214">
        <w:rPr>
          <w:i/>
          <w:lang w:eastAsia="zh-CN"/>
        </w:rPr>
        <w:t>Comput. Mater. Sci.</w:t>
      </w:r>
      <w:r w:rsidRPr="00C00214">
        <w:rPr>
          <w:lang w:eastAsia="zh-CN"/>
        </w:rPr>
        <w:t xml:space="preserve"> </w:t>
      </w:r>
      <w:r w:rsidRPr="00C00214">
        <w:rPr>
          <w:b/>
          <w:lang w:eastAsia="zh-CN"/>
        </w:rPr>
        <w:t>95</w:t>
      </w:r>
      <w:r w:rsidRPr="00C00214">
        <w:rPr>
          <w:lang w:eastAsia="zh-CN"/>
        </w:rPr>
        <w:t>, 337–350 (2014).</w:t>
      </w:r>
      <w:bookmarkEnd w:id="115"/>
    </w:p>
    <w:p w14:paraId="417C46E3" w14:textId="52679CCB" w:rsidR="008C3EE4" w:rsidRPr="00C00214" w:rsidRDefault="004C2AEC">
      <w:pPr>
        <w:jc w:val="both"/>
        <w:rPr>
          <w:lang w:eastAsia="zh-CN"/>
        </w:rPr>
      </w:pPr>
      <w:r w:rsidRPr="00C00214">
        <w:rPr>
          <w:lang w:eastAsia="zh-CN"/>
        </w:rPr>
        <w:t>[</w:t>
      </w:r>
      <w:r w:rsidR="00CF6F31" w:rsidRPr="00C00214">
        <w:rPr>
          <w:lang w:eastAsia="zh-CN"/>
        </w:rPr>
        <w:t>60</w:t>
      </w:r>
      <w:r w:rsidRPr="00C00214">
        <w:rPr>
          <w:lang w:eastAsia="zh-CN"/>
        </w:rPr>
        <w:t xml:space="preserve">] </w:t>
      </w:r>
      <w:bookmarkStart w:id="116" w:name="OLE_LINK48"/>
      <w:r w:rsidRPr="00C00214">
        <w:rPr>
          <w:lang w:eastAsia="zh-CN"/>
        </w:rPr>
        <w:t xml:space="preserve">I. Hamada, </w:t>
      </w:r>
      <w:r w:rsidR="00DD749D" w:rsidRPr="00C00214">
        <w:rPr>
          <w:lang w:eastAsia="zh-CN"/>
        </w:rPr>
        <w:t xml:space="preserve">van der Waals density functional made accurate. </w:t>
      </w:r>
      <w:r w:rsidRPr="00C00214">
        <w:rPr>
          <w:i/>
          <w:lang w:eastAsia="zh-CN"/>
        </w:rPr>
        <w:t>Phys. Rev. B</w:t>
      </w:r>
      <w:r w:rsidRPr="00C00214">
        <w:rPr>
          <w:lang w:eastAsia="zh-CN"/>
        </w:rPr>
        <w:t xml:space="preserve"> </w:t>
      </w:r>
      <w:r w:rsidRPr="00C00214">
        <w:rPr>
          <w:b/>
          <w:lang w:eastAsia="zh-CN"/>
        </w:rPr>
        <w:t>89</w:t>
      </w:r>
      <w:r w:rsidRPr="00C00214">
        <w:rPr>
          <w:lang w:eastAsia="zh-CN"/>
        </w:rPr>
        <w:t>, 121103 (2014).</w:t>
      </w:r>
      <w:bookmarkEnd w:id="116"/>
    </w:p>
    <w:p w14:paraId="57B84A21" w14:textId="495E4E4D" w:rsidR="008C3EE4" w:rsidRPr="00C00214" w:rsidRDefault="004C2AEC">
      <w:pPr>
        <w:jc w:val="both"/>
      </w:pPr>
      <w:r w:rsidRPr="00C00214">
        <w:rPr>
          <w:lang w:eastAsia="zh-CN"/>
        </w:rPr>
        <w:t>[</w:t>
      </w:r>
      <w:r w:rsidR="00CF6F31" w:rsidRPr="00C00214">
        <w:rPr>
          <w:lang w:eastAsia="zh-CN"/>
        </w:rPr>
        <w:t>61</w:t>
      </w:r>
      <w:r w:rsidRPr="00C00214">
        <w:rPr>
          <w:lang w:eastAsia="zh-CN"/>
        </w:rPr>
        <w:t xml:space="preserve">] </w:t>
      </w:r>
      <w:bookmarkStart w:id="117" w:name="OLE_LINK49"/>
      <w:r w:rsidRPr="00C00214">
        <w:rPr>
          <w:lang w:eastAsia="zh-CN"/>
        </w:rPr>
        <w:t xml:space="preserve">H. J. Monkhorst and J. D. Pack, </w:t>
      </w:r>
      <w:r w:rsidR="00DD749D" w:rsidRPr="00C00214">
        <w:rPr>
          <w:lang w:eastAsia="zh-CN"/>
        </w:rPr>
        <w:t xml:space="preserve">Special points for Brillouin-zone integrations. </w:t>
      </w:r>
      <w:r w:rsidRPr="00C00214">
        <w:rPr>
          <w:i/>
          <w:lang w:eastAsia="zh-CN"/>
        </w:rPr>
        <w:t>Phys. Rev. B</w:t>
      </w:r>
      <w:r w:rsidRPr="00C00214">
        <w:rPr>
          <w:lang w:eastAsia="zh-CN"/>
        </w:rPr>
        <w:t xml:space="preserve"> </w:t>
      </w:r>
      <w:r w:rsidRPr="00C00214">
        <w:rPr>
          <w:b/>
          <w:lang w:eastAsia="zh-CN"/>
        </w:rPr>
        <w:t>13</w:t>
      </w:r>
      <w:r w:rsidRPr="00C00214">
        <w:rPr>
          <w:lang w:eastAsia="zh-CN"/>
        </w:rPr>
        <w:t>, 5188–5192 (1976)</w:t>
      </w:r>
      <w:bookmarkEnd w:id="117"/>
      <w:r w:rsidRPr="00C00214">
        <w:rPr>
          <w:lang w:eastAsia="zh-CN"/>
        </w:rPr>
        <w:t>.</w:t>
      </w:r>
    </w:p>
    <w:p w14:paraId="012550DD" w14:textId="77777777" w:rsidR="008B3DEC" w:rsidRPr="00C00214" w:rsidRDefault="008B3DEC">
      <w:pPr>
        <w:pStyle w:val="Acknowledgement"/>
        <w:spacing w:before="0" w:line="480" w:lineRule="auto"/>
        <w:rPr>
          <w:b/>
        </w:rPr>
      </w:pPr>
    </w:p>
    <w:p w14:paraId="4493021C" w14:textId="77777777" w:rsidR="008B3DEC" w:rsidRPr="00C00214" w:rsidRDefault="008B3DEC">
      <w:pPr>
        <w:pStyle w:val="Acknowledgement"/>
        <w:spacing w:before="0" w:line="480" w:lineRule="auto"/>
        <w:rPr>
          <w:b/>
        </w:rPr>
      </w:pPr>
    </w:p>
    <w:p w14:paraId="76428AA2" w14:textId="470EE6E9" w:rsidR="007226CF" w:rsidRPr="00C00214" w:rsidRDefault="007226CF">
      <w:pPr>
        <w:spacing w:line="240" w:lineRule="auto"/>
        <w:rPr>
          <w:rFonts w:eastAsia="Times New Roman"/>
          <w:b/>
        </w:rPr>
      </w:pPr>
      <w:r w:rsidRPr="00C00214">
        <w:rPr>
          <w:b/>
        </w:rPr>
        <w:br w:type="page"/>
      </w:r>
    </w:p>
    <w:p w14:paraId="21BD5DF3" w14:textId="77777777" w:rsidR="008B3DEC" w:rsidRPr="00C00214" w:rsidRDefault="008B3DEC">
      <w:pPr>
        <w:pStyle w:val="Acknowledgement"/>
        <w:spacing w:before="0" w:line="480" w:lineRule="auto"/>
        <w:rPr>
          <w:b/>
        </w:rPr>
      </w:pPr>
    </w:p>
    <w:p w14:paraId="4FEC8957" w14:textId="77777777" w:rsidR="008C3EE4" w:rsidRPr="00C00214" w:rsidRDefault="004C2AEC">
      <w:pPr>
        <w:pStyle w:val="Acknowledgement"/>
        <w:spacing w:before="0" w:line="480" w:lineRule="auto"/>
      </w:pPr>
      <w:r w:rsidRPr="00C00214">
        <w:rPr>
          <w:b/>
        </w:rPr>
        <w:t>Figures and Tables</w:t>
      </w:r>
    </w:p>
    <w:p w14:paraId="405DBCFA" w14:textId="7E38FE0E" w:rsidR="008C3EE4" w:rsidRPr="00C00214" w:rsidRDefault="00363CCA">
      <w:pPr>
        <w:pStyle w:val="Acknowledgement"/>
        <w:spacing w:before="0" w:line="480" w:lineRule="auto"/>
      </w:pPr>
      <w:r>
        <w:rPr>
          <w:noProof/>
          <w:lang w:eastAsia="zh-CN"/>
        </w:rPr>
        <w:pict w14:anchorId="6B77649B">
          <v:shape id="_x0000_i1054" type="#_x0000_t75" style="width:369.5pt;height:183.5pt">
            <v:imagedata r:id="rId70" o:title="nFig1"/>
          </v:shape>
        </w:pict>
      </w:r>
    </w:p>
    <w:p w14:paraId="67278BA6" w14:textId="77777777" w:rsidR="008C3EE4" w:rsidRPr="00C00214" w:rsidRDefault="004C2AEC">
      <w:pPr>
        <w:jc w:val="both"/>
      </w:pPr>
      <w:r w:rsidRPr="00C00214">
        <w:rPr>
          <w:b/>
        </w:rPr>
        <w:t>Fig. 1</w:t>
      </w:r>
      <w:r w:rsidRPr="00C00214">
        <w:t xml:space="preserve"> Data collection from</w:t>
      </w:r>
      <w:r w:rsidRPr="00C00214">
        <w:rPr>
          <w:lang w:eastAsia="zh-CN"/>
        </w:rPr>
        <w:t xml:space="preserve"> substrate-supported graphene samples with different incident measurement sites.</w:t>
      </w:r>
      <w:r w:rsidRPr="00C00214">
        <w:t xml:space="preserve"> </w:t>
      </w:r>
      <w:r w:rsidRPr="00C00214">
        <w:rPr>
          <w:b/>
        </w:rPr>
        <w:t>a</w:t>
      </w:r>
      <w:r w:rsidRPr="00C00214">
        <w:t xml:space="preserve"> Experimental setup for Auger electron spectroscopy, in which graphene flakes were produced on an Au polycrystalline substrate by mechanical exfoliation. </w:t>
      </w:r>
      <w:r w:rsidRPr="00C00214">
        <w:rPr>
          <w:b/>
        </w:rPr>
        <w:t>b</w:t>
      </w:r>
      <w:r w:rsidRPr="00C00214">
        <w:t xml:space="preserve"> Four secondary electron (SE) spectra, </w:t>
      </w:r>
      <w:r w:rsidRPr="00C00214">
        <w:rPr>
          <w:i/>
        </w:rPr>
        <w:t>J</w:t>
      </w:r>
      <w:r w:rsidRPr="00C00214">
        <w:rPr>
          <w:vertAlign w:val="subscript"/>
        </w:rPr>
        <w:t>Sub</w:t>
      </w:r>
      <w:r w:rsidRPr="00C00214">
        <w:t>(</w:t>
      </w:r>
      <w:r w:rsidRPr="00C00214">
        <w:rPr>
          <w:i/>
        </w:rPr>
        <w:t>S</w:t>
      </w:r>
      <w:r w:rsidRPr="00C00214">
        <w:rPr>
          <w:vertAlign w:val="subscript"/>
        </w:rPr>
        <w:t>B</w:t>
      </w:r>
      <w:r w:rsidRPr="00C00214">
        <w:t xml:space="preserve">), </w:t>
      </w:r>
      <w:r w:rsidRPr="00C00214">
        <w:rPr>
          <w:i/>
        </w:rPr>
        <w:t>J</w:t>
      </w:r>
      <w:r w:rsidRPr="00C00214">
        <w:rPr>
          <w:vertAlign w:val="subscript"/>
        </w:rPr>
        <w:t>Sub</w:t>
      </w:r>
      <w:r w:rsidRPr="00C00214">
        <w:t>(</w:t>
      </w:r>
      <w:r w:rsidRPr="00C00214">
        <w:rPr>
          <w:i/>
        </w:rPr>
        <w:t>S</w:t>
      </w:r>
      <w:r w:rsidRPr="00C00214">
        <w:rPr>
          <w:vertAlign w:val="subscript"/>
        </w:rPr>
        <w:t>D</w:t>
      </w:r>
      <w:r w:rsidRPr="00C00214">
        <w:t xml:space="preserve">), </w:t>
      </w:r>
      <w:r w:rsidRPr="00C00214">
        <w:rPr>
          <w:i/>
        </w:rPr>
        <w:t>J</w:t>
      </w:r>
      <w:r w:rsidRPr="00C00214">
        <w:rPr>
          <w:vertAlign w:val="subscript"/>
        </w:rPr>
        <w:t>Gra</w:t>
      </w:r>
      <w:r w:rsidRPr="00C00214">
        <w:t>(G</w:t>
      </w:r>
      <w:r w:rsidRPr="00C00214">
        <w:rPr>
          <w:vertAlign w:val="subscript"/>
        </w:rPr>
        <w:t>n</w:t>
      </w:r>
      <w:r w:rsidRPr="00C00214">
        <w:t xml:space="preserve">, </w:t>
      </w:r>
      <w:r w:rsidRPr="00C00214">
        <w:rPr>
          <w:i/>
        </w:rPr>
        <w:t>S</w:t>
      </w:r>
      <w:r w:rsidRPr="00C00214">
        <w:rPr>
          <w:vertAlign w:val="subscript"/>
        </w:rPr>
        <w:t>B</w:t>
      </w:r>
      <w:r w:rsidRPr="00C00214">
        <w:t xml:space="preserve">), and </w:t>
      </w:r>
      <w:r w:rsidRPr="00C00214">
        <w:rPr>
          <w:i/>
        </w:rPr>
        <w:t>J</w:t>
      </w:r>
      <w:r w:rsidRPr="00C00214">
        <w:rPr>
          <w:vertAlign w:val="subscript"/>
        </w:rPr>
        <w:t>Gra</w:t>
      </w:r>
      <w:r w:rsidRPr="00C00214">
        <w:t>(G</w:t>
      </w:r>
      <w:r w:rsidRPr="00C00214">
        <w:rPr>
          <w:vertAlign w:val="subscript"/>
        </w:rPr>
        <w:t>n</w:t>
      </w:r>
      <w:r w:rsidRPr="00C00214">
        <w:t xml:space="preserve">, </w:t>
      </w:r>
      <w:r w:rsidRPr="00C00214">
        <w:rPr>
          <w:i/>
        </w:rPr>
        <w:t>S</w:t>
      </w:r>
      <w:r w:rsidRPr="00C00214">
        <w:rPr>
          <w:vertAlign w:val="subscript"/>
        </w:rPr>
        <w:t>D</w:t>
      </w:r>
      <w:r w:rsidRPr="00C00214">
        <w:t>), were measured at the bright (</w:t>
      </w:r>
      <w:r w:rsidRPr="00C00214">
        <w:rPr>
          <w:i/>
        </w:rPr>
        <w:t>S</w:t>
      </w:r>
      <w:r w:rsidRPr="00C00214">
        <w:rPr>
          <w:vertAlign w:val="subscript"/>
        </w:rPr>
        <w:t>B</w:t>
      </w:r>
      <w:r w:rsidRPr="00C00214">
        <w:t>) and dark (</w:t>
      </w:r>
      <w:r w:rsidRPr="00C00214">
        <w:rPr>
          <w:i/>
        </w:rPr>
        <w:t>S</w:t>
      </w:r>
      <w:r w:rsidRPr="00C00214">
        <w:rPr>
          <w:vertAlign w:val="subscript"/>
        </w:rPr>
        <w:t>D</w:t>
      </w:r>
      <w:r w:rsidRPr="00C00214">
        <w:t xml:space="preserve">) regions on the bare substrate and bright and dark regions covered by graphene sheets, respectively. The </w:t>
      </w:r>
      <w:bookmarkStart w:id="118" w:name="OLE_LINK130"/>
      <w:r w:rsidRPr="00C00214">
        <w:t xml:space="preserve">corresponding four regions </w:t>
      </w:r>
      <w:bookmarkEnd w:id="118"/>
      <w:r w:rsidRPr="00C00214">
        <w:t xml:space="preserve">are marked on the inset scanning electron microscopy image. Each SE spectrum is averaged from eight independent measurements in the energy range from 0 to 50 eV obtained with 0.1-eV energy steps for monolayer graphene on an Au polycrystalline substrate with an incident electron energy of 10 keV, and further normalized by the maximum intensity in these spectra. The standard deviations for the eight groups of measurements are presented as error bars at intervals of 0.5 eV. The incident beam positions of the eight groups of measurements are also presented as green diagonal crosses, ochre upright crosses, red diagonal crosses, and azure upright crosses referring to bright and dark regions on the bare substrate and bright and dark regions on the graphene sheets, respectively. The work function of </w:t>
      </w:r>
      <w:r w:rsidRPr="00C00214">
        <w:lastRenderedPageBreak/>
        <w:t>graphene and that of the bare Au substrate with respect to the cylindrical mirror analyser were used to determine the onset of the spectra.</w:t>
      </w:r>
    </w:p>
    <w:p w14:paraId="73254E6C" w14:textId="77777777" w:rsidR="008C3EE4" w:rsidRPr="00C00214" w:rsidRDefault="004C2AEC">
      <w:pPr>
        <w:jc w:val="both"/>
        <w:rPr>
          <w:b/>
        </w:rPr>
      </w:pPr>
      <w:r w:rsidRPr="00C00214">
        <w:br w:type="page"/>
      </w:r>
    </w:p>
    <w:p w14:paraId="2F957E66" w14:textId="41BA8353" w:rsidR="00F44752" w:rsidRPr="00C00214" w:rsidRDefault="00363CCA">
      <w:pPr>
        <w:pStyle w:val="Acknowledgement"/>
        <w:spacing w:before="0" w:line="480" w:lineRule="auto"/>
        <w:jc w:val="center"/>
      </w:pPr>
      <w:r>
        <w:lastRenderedPageBreak/>
        <w:pict w14:anchorId="2B4CCC2A">
          <v:shape id="_x0000_i1055" type="#_x0000_t75" style="width:241.5pt;height:313.5pt">
            <v:imagedata r:id="rId71" o:title="nFig2"/>
          </v:shape>
        </w:pict>
      </w:r>
    </w:p>
    <w:p w14:paraId="28B9FABA" w14:textId="7E4BD30F" w:rsidR="008C3EE4" w:rsidRPr="00C00214" w:rsidRDefault="004C2AEC">
      <w:pPr>
        <w:jc w:val="both"/>
      </w:pPr>
      <w:r w:rsidRPr="00C00214">
        <w:rPr>
          <w:b/>
        </w:rPr>
        <w:t>Fig. 2</w:t>
      </w:r>
      <w:r w:rsidRPr="00C00214">
        <w:t xml:space="preserve"> Identifying principle analytically defined (AD) descriptors from descriptor space. </w:t>
      </w:r>
      <w:r w:rsidRPr="00C00214">
        <w:rPr>
          <w:b/>
        </w:rPr>
        <w:t>a</w:t>
      </w:r>
      <w:r w:rsidRPr="00C00214">
        <w:t xml:space="preserve"> Descriptor performance map, in which the sensitivity to the incident electron energy, </w:t>
      </w:r>
      <w:r w:rsidRPr="00C00214">
        <w:rPr>
          <w:i/>
        </w:rPr>
        <w:t>E</w:t>
      </w:r>
      <w:r w:rsidRPr="00C00214">
        <w:rPr>
          <w:vertAlign w:val="subscript"/>
        </w:rPr>
        <w:t>in</w:t>
      </w:r>
      <w:r w:rsidRPr="00C00214">
        <w:t xml:space="preserve"> (Score1), and sensitivity to the layer number of graphene, </w:t>
      </w:r>
      <w:r w:rsidRPr="00C00214">
        <w:rPr>
          <w:i/>
        </w:rPr>
        <w:t>G</w:t>
      </w:r>
      <w:r w:rsidRPr="00C00214">
        <w:rPr>
          <w:vertAlign w:val="subscript"/>
        </w:rPr>
        <w:t>n</w:t>
      </w:r>
      <w:r w:rsidRPr="00C00214">
        <w:t xml:space="preserve"> (Score2), for every candidate descriptor is drawn in this map as x- and y-axes, respectively. The Pareto optimal descriptors (D</w:t>
      </w:r>
      <w:r w:rsidRPr="00C00214">
        <w:rPr>
          <w:vertAlign w:val="subscript"/>
        </w:rPr>
        <w:t>n</w:t>
      </w:r>
      <w:r w:rsidRPr="00C00214">
        <w:t>) are highlighted in green and numbered in this descriptor performance map in order of increasing Score1. D</w:t>
      </w:r>
      <w:r w:rsidRPr="00C00214">
        <w:rPr>
          <w:vertAlign w:val="subscript"/>
        </w:rPr>
        <w:t>18</w:t>
      </w:r>
      <w:r w:rsidRPr="00C00214">
        <w:t>, D</w:t>
      </w:r>
      <w:r w:rsidRPr="00C00214">
        <w:rPr>
          <w:vertAlign w:val="subscript"/>
        </w:rPr>
        <w:t>19</w:t>
      </w:r>
      <w:r w:rsidRPr="00C00214">
        <w:t>, D</w:t>
      </w:r>
      <w:r w:rsidRPr="00C00214">
        <w:rPr>
          <w:vertAlign w:val="subscript"/>
        </w:rPr>
        <w:t>20</w:t>
      </w:r>
      <w:r w:rsidRPr="00C00214">
        <w:t>, D</w:t>
      </w:r>
      <w:r w:rsidRPr="00C00214">
        <w:rPr>
          <w:vertAlign w:val="subscript"/>
        </w:rPr>
        <w:t>21</w:t>
      </w:r>
      <w:r w:rsidRPr="00C00214">
        <w:t xml:space="preserve"> D</w:t>
      </w:r>
      <w:r w:rsidRPr="00C00214">
        <w:rPr>
          <w:vertAlign w:val="subscript"/>
        </w:rPr>
        <w:t>22</w:t>
      </w:r>
      <w:r w:rsidRPr="00C00214">
        <w:t>, D</w:t>
      </w:r>
      <w:r w:rsidRPr="00C00214">
        <w:rPr>
          <w:vertAlign w:val="subscript"/>
        </w:rPr>
        <w:t>23</w:t>
      </w:r>
      <w:r w:rsidRPr="00C00214">
        <w:t>, D</w:t>
      </w:r>
      <w:r w:rsidRPr="00C00214">
        <w:rPr>
          <w:vertAlign w:val="subscript"/>
        </w:rPr>
        <w:t>38</w:t>
      </w:r>
      <w:r w:rsidRPr="00C00214">
        <w:t>, D</w:t>
      </w:r>
      <w:r w:rsidRPr="00C00214">
        <w:rPr>
          <w:vertAlign w:val="subscript"/>
        </w:rPr>
        <w:t>39</w:t>
      </w:r>
      <w:r w:rsidRPr="00C00214">
        <w:t>, and D</w:t>
      </w:r>
      <w:r w:rsidRPr="00C00214">
        <w:rPr>
          <w:vertAlign w:val="subscript"/>
        </w:rPr>
        <w:t>40</w:t>
      </w:r>
      <w:r w:rsidRPr="00C00214">
        <w:t xml:space="preserve">, which can be expressed by Eqn. </w:t>
      </w:r>
      <w:r w:rsidR="00E33A56">
        <w:t>2</w:t>
      </w:r>
      <w:r w:rsidRPr="00C00214">
        <w:t>, are highlighted in red with larger labels. The conventional</w:t>
      </w:r>
      <w:r w:rsidRPr="00C00214">
        <w:rPr>
          <w:lang w:eastAsia="zh-CN"/>
        </w:rPr>
        <w:t xml:space="preserve"> AD </w:t>
      </w:r>
      <w:r w:rsidRPr="00C00214">
        <w:t xml:space="preserve">descriptor adopted to analysis the SE signals of graphene, i.e. </w:t>
      </w:r>
      <w:r w:rsidRPr="00C00214">
        <w:rPr>
          <w:i/>
        </w:rPr>
        <w:t>J</w:t>
      </w:r>
      <w:r w:rsidRPr="00C00214">
        <w:rPr>
          <w:vertAlign w:val="subscript"/>
        </w:rPr>
        <w:t>Gra</w:t>
      </w:r>
      <w:r w:rsidRPr="00C00214">
        <w:t>(G</w:t>
      </w:r>
      <w:r w:rsidRPr="00C00214">
        <w:rPr>
          <w:vertAlign w:val="subscript"/>
        </w:rPr>
        <w:t>n</w:t>
      </w:r>
      <w:r w:rsidRPr="00C00214">
        <w:t xml:space="preserve">, </w:t>
      </w:r>
      <w:r w:rsidRPr="00C00214">
        <w:rPr>
          <w:i/>
        </w:rPr>
        <w:t>S</w:t>
      </w:r>
      <w:r w:rsidRPr="00C00214">
        <w:rPr>
          <w:vertAlign w:val="subscript"/>
        </w:rPr>
        <w:t>B</w:t>
      </w:r>
      <w:r w:rsidRPr="00C00214">
        <w:t>)/</w:t>
      </w:r>
      <w:r w:rsidRPr="00C00214">
        <w:rPr>
          <w:i/>
        </w:rPr>
        <w:t>J</w:t>
      </w:r>
      <w:r w:rsidRPr="00C00214">
        <w:rPr>
          <w:vertAlign w:val="subscript"/>
        </w:rPr>
        <w:t>Sub</w:t>
      </w:r>
      <w:r w:rsidRPr="00C00214">
        <w:t>(</w:t>
      </w:r>
      <w:r w:rsidRPr="00C00214">
        <w:rPr>
          <w:i/>
        </w:rPr>
        <w:t>S</w:t>
      </w:r>
      <w:r w:rsidRPr="00C00214">
        <w:rPr>
          <w:vertAlign w:val="subscript"/>
        </w:rPr>
        <w:t>B</w:t>
      </w:r>
      <w:r w:rsidRPr="00C00214">
        <w:t xml:space="preserve">), </w:t>
      </w:r>
      <w:r w:rsidRPr="00C00214">
        <w:rPr>
          <w:noProof/>
          <w:position w:val="-32"/>
          <w:lang w:eastAsia="zh-CN"/>
        </w:rPr>
        <w:drawing>
          <wp:inline distT="0" distB="0" distL="0" distR="0" wp14:anchorId="0B8B5FAB" wp14:editId="7CE1DADD">
            <wp:extent cx="1485265" cy="46101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85265" cy="461010"/>
                    </a:xfrm>
                    <a:prstGeom prst="rect">
                      <a:avLst/>
                    </a:prstGeom>
                    <a:noFill/>
                    <a:ln>
                      <a:noFill/>
                    </a:ln>
                  </pic:spPr>
                </pic:pic>
              </a:graphicData>
            </a:graphic>
          </wp:inline>
        </w:drawing>
      </w:r>
      <w:r w:rsidRPr="00C00214">
        <w:t xml:space="preserve"> [</w:t>
      </w:r>
      <w:r w:rsidRPr="00C00214">
        <w:rPr>
          <w:i/>
        </w:rPr>
        <w:t>19</w:t>
      </w:r>
      <w:r w:rsidRPr="00C00214">
        <w:t xml:space="preserve">], and </w:t>
      </w:r>
      <w:r w:rsidRPr="00C00214">
        <w:rPr>
          <w:noProof/>
          <w:position w:val="-32"/>
          <w:lang w:eastAsia="zh-CN"/>
        </w:rPr>
        <w:drawing>
          <wp:inline distT="0" distB="0" distL="0" distR="0" wp14:anchorId="7F9655E1" wp14:editId="456993D8">
            <wp:extent cx="1499870" cy="4610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499870" cy="461010"/>
                    </a:xfrm>
                    <a:prstGeom prst="rect">
                      <a:avLst/>
                    </a:prstGeom>
                    <a:noFill/>
                    <a:ln>
                      <a:noFill/>
                    </a:ln>
                  </pic:spPr>
                </pic:pic>
              </a:graphicData>
            </a:graphic>
          </wp:inline>
        </w:drawing>
      </w:r>
      <w:r w:rsidRPr="00C00214">
        <w:t xml:space="preserve"> [</w:t>
      </w:r>
      <w:r w:rsidRPr="00C00214">
        <w:rPr>
          <w:i/>
        </w:rPr>
        <w:t>20</w:t>
      </w:r>
      <w:r w:rsidRPr="00C00214">
        <w:t xml:space="preserve">], are labelled as cyan crosses, magenta diagonal crosses, and orange </w:t>
      </w:r>
      <w:r w:rsidRPr="00C00214">
        <w:lastRenderedPageBreak/>
        <w:t xml:space="preserve">stars. </w:t>
      </w:r>
      <w:r w:rsidRPr="00C00214">
        <w:rPr>
          <w:b/>
        </w:rPr>
        <w:t>b</w:t>
      </w:r>
      <w:r w:rsidRPr="00C00214">
        <w:t xml:space="preserve"> The coefficient of variation (</w:t>
      </w:r>
      <w:r w:rsidRPr="00C00214">
        <w:rPr>
          <w:i/>
        </w:rPr>
        <w:t>c</w:t>
      </w:r>
      <w:r w:rsidRPr="00C00214">
        <w:rPr>
          <w:i/>
          <w:vertAlign w:val="subscript"/>
        </w:rPr>
        <w:t>v</w:t>
      </w:r>
      <w:r w:rsidRPr="00C00214">
        <w:t>) of Pareto optimal descriptors (D</w:t>
      </w:r>
      <w:r w:rsidRPr="00C00214">
        <w:rPr>
          <w:vertAlign w:val="subscript"/>
        </w:rPr>
        <w:t>n</w:t>
      </w:r>
      <w:r w:rsidRPr="00C00214">
        <w:t>) averaged from 600 data points. D</w:t>
      </w:r>
      <w:r w:rsidRPr="00C00214">
        <w:rPr>
          <w:vertAlign w:val="subscript"/>
        </w:rPr>
        <w:t>18</w:t>
      </w:r>
      <w:r w:rsidRPr="00C00214">
        <w:t>, D</w:t>
      </w:r>
      <w:r w:rsidRPr="00C00214">
        <w:rPr>
          <w:vertAlign w:val="subscript"/>
        </w:rPr>
        <w:t>19</w:t>
      </w:r>
      <w:r w:rsidRPr="00C00214">
        <w:t>, D</w:t>
      </w:r>
      <w:r w:rsidRPr="00C00214">
        <w:rPr>
          <w:vertAlign w:val="subscript"/>
        </w:rPr>
        <w:t>20</w:t>
      </w:r>
      <w:r w:rsidRPr="00C00214">
        <w:t>, D</w:t>
      </w:r>
      <w:r w:rsidRPr="00C00214">
        <w:rPr>
          <w:vertAlign w:val="subscript"/>
        </w:rPr>
        <w:t>21</w:t>
      </w:r>
      <w:r w:rsidRPr="00C00214">
        <w:t xml:space="preserve"> D</w:t>
      </w:r>
      <w:r w:rsidRPr="00C00214">
        <w:rPr>
          <w:vertAlign w:val="subscript"/>
        </w:rPr>
        <w:t>22</w:t>
      </w:r>
      <w:r w:rsidRPr="00C00214">
        <w:t>, D</w:t>
      </w:r>
      <w:r w:rsidRPr="00C00214">
        <w:rPr>
          <w:vertAlign w:val="subscript"/>
        </w:rPr>
        <w:t>23</w:t>
      </w:r>
      <w:r w:rsidRPr="00C00214">
        <w:t>, D</w:t>
      </w:r>
      <w:r w:rsidRPr="00C00214">
        <w:rPr>
          <w:vertAlign w:val="subscript"/>
        </w:rPr>
        <w:t>38</w:t>
      </w:r>
      <w:r w:rsidRPr="00C00214">
        <w:t>, D</w:t>
      </w:r>
      <w:r w:rsidRPr="00C00214">
        <w:rPr>
          <w:vertAlign w:val="subscript"/>
        </w:rPr>
        <w:t>39</w:t>
      </w:r>
      <w:r w:rsidRPr="00C00214">
        <w:t>, and D</w:t>
      </w:r>
      <w:r w:rsidRPr="00C00214">
        <w:rPr>
          <w:vertAlign w:val="subscript"/>
        </w:rPr>
        <w:t>40</w:t>
      </w:r>
      <w:r w:rsidRPr="00C00214">
        <w:t xml:space="preserve"> are highlighted in red with larger labels.</w:t>
      </w:r>
    </w:p>
    <w:p w14:paraId="01D4796E" w14:textId="77777777" w:rsidR="008C3EE4" w:rsidRPr="00C00214" w:rsidRDefault="004C2AEC">
      <w:pPr>
        <w:pStyle w:val="Acknowledgement"/>
        <w:spacing w:before="0" w:line="480" w:lineRule="auto"/>
        <w:ind w:left="567" w:firstLine="0"/>
        <w:rPr>
          <w:b/>
        </w:rPr>
      </w:pPr>
      <w:r w:rsidRPr="00C00214">
        <w:rPr>
          <w:b/>
        </w:rPr>
        <w:br w:type="page"/>
      </w:r>
    </w:p>
    <w:p w14:paraId="31BB416A" w14:textId="5B745CFB" w:rsidR="00C712EB" w:rsidRPr="00C00214" w:rsidRDefault="00363CCA" w:rsidP="00C712EB">
      <w:pPr>
        <w:pStyle w:val="Paragraph"/>
        <w:spacing w:line="480" w:lineRule="auto"/>
        <w:ind w:firstLine="0"/>
        <w:jc w:val="center"/>
        <w:rPr>
          <w:b/>
          <w:lang w:val="en-GB"/>
        </w:rPr>
      </w:pPr>
      <w:r>
        <w:rPr>
          <w:b/>
          <w:noProof/>
          <w:lang w:eastAsia="zh-CN"/>
        </w:rPr>
        <w:lastRenderedPageBreak/>
        <w:pict w14:anchorId="1A1FFDA0">
          <v:shape id="_x0000_i1056" type="#_x0000_t75" style="width:241.5pt;height:201pt">
            <v:imagedata r:id="rId74" o:title="nFig3"/>
          </v:shape>
        </w:pict>
      </w:r>
    </w:p>
    <w:p w14:paraId="77C94B55" w14:textId="19FE0141" w:rsidR="00C712EB" w:rsidRPr="00C00214" w:rsidRDefault="00C712EB" w:rsidP="00C712EB">
      <w:pPr>
        <w:jc w:val="both"/>
        <w:rPr>
          <w:lang w:val="en-GB"/>
        </w:rPr>
      </w:pPr>
      <w:r w:rsidRPr="00C00214">
        <w:rPr>
          <w:b/>
          <w:lang w:val="en-GB"/>
        </w:rPr>
        <w:t xml:space="preserve">Fig. </w:t>
      </w:r>
      <w:r w:rsidR="00971062" w:rsidRPr="00C00214">
        <w:rPr>
          <w:b/>
          <w:lang w:val="en-GB"/>
        </w:rPr>
        <w:t>3</w:t>
      </w:r>
      <w:r w:rsidRPr="00C00214">
        <w:rPr>
          <w:lang w:val="en-GB"/>
        </w:rPr>
        <w:t xml:space="preserve"> Target terms determined from the principle descriptors and their physical meaning. The target terms for monolayer graphene </w:t>
      </w:r>
      <w:r w:rsidRPr="00C00214">
        <w:rPr>
          <w:i/>
          <w:lang w:val="en-GB"/>
        </w:rPr>
        <w:t>f</w:t>
      </w:r>
      <w:r w:rsidRPr="00C00214">
        <w:rPr>
          <w:vertAlign w:val="subscript"/>
          <w:lang w:val="en-GB"/>
        </w:rPr>
        <w:t>Tar</w:t>
      </w:r>
      <w:r w:rsidRPr="00C00214">
        <w:rPr>
          <w:lang w:val="en-GB"/>
        </w:rPr>
        <w:t>(</w:t>
      </w:r>
      <w:r w:rsidRPr="00C00214">
        <w:rPr>
          <w:i/>
          <w:lang w:val="en-GB"/>
        </w:rPr>
        <w:t>G</w:t>
      </w:r>
      <w:r w:rsidRPr="00C00214">
        <w:rPr>
          <w:vertAlign w:val="subscript"/>
          <w:lang w:val="en-GB"/>
        </w:rPr>
        <w:t>1</w:t>
      </w:r>
      <w:r w:rsidRPr="00C00214">
        <w:rPr>
          <w:lang w:val="en-GB"/>
        </w:rPr>
        <w:t xml:space="preserve">) and bilayer graphene </w:t>
      </w:r>
      <w:r w:rsidRPr="00C00214">
        <w:rPr>
          <w:i/>
          <w:lang w:val="en-GB"/>
        </w:rPr>
        <w:t>f</w:t>
      </w:r>
      <w:r w:rsidRPr="00C00214">
        <w:rPr>
          <w:vertAlign w:val="subscript"/>
          <w:lang w:val="en-GB"/>
        </w:rPr>
        <w:t>Tar</w:t>
      </w:r>
      <w:r w:rsidRPr="00C00214">
        <w:rPr>
          <w:lang w:val="en-GB"/>
        </w:rPr>
        <w:t>(</w:t>
      </w:r>
      <w:r w:rsidRPr="00C00214">
        <w:rPr>
          <w:i/>
          <w:lang w:val="en-GB"/>
        </w:rPr>
        <w:t>G</w:t>
      </w:r>
      <w:r w:rsidRPr="00C00214">
        <w:rPr>
          <w:vertAlign w:val="subscript"/>
          <w:lang w:val="en-GB"/>
        </w:rPr>
        <w:t>2</w:t>
      </w:r>
      <w:r w:rsidRPr="00C00214">
        <w:rPr>
          <w:lang w:val="en-GB"/>
        </w:rPr>
        <w:t xml:space="preserve">) averaged from incident electron energies of 10, 15, and 20 keV were calculated from the principle descriptors according to Eqn. </w:t>
      </w:r>
      <w:r w:rsidR="00687DBC">
        <w:rPr>
          <w:lang w:val="en-GB"/>
        </w:rPr>
        <w:t>5</w:t>
      </w:r>
      <w:r w:rsidRPr="00C00214">
        <w:rPr>
          <w:lang w:val="en-GB"/>
        </w:rPr>
        <w:t xml:space="preserve"> and are plotted in the energy range of 0–600 eV together with error bars at intervals of 0.5 eV representing one standard deviation. The inset depicts the formation of SE spectra obtained from a substrate-supported graphene sample, in which the SE spectra represent the evolution of a primary electron beam inside a sample driven by the interaction of the sample with moving electrons.</w:t>
      </w:r>
    </w:p>
    <w:p w14:paraId="7965DF8B" w14:textId="77777777" w:rsidR="00C712EB" w:rsidRPr="00C00214" w:rsidRDefault="00C712EB">
      <w:pPr>
        <w:pStyle w:val="Acknowledgement"/>
        <w:spacing w:before="0" w:line="480" w:lineRule="auto"/>
        <w:ind w:left="567" w:firstLine="0"/>
        <w:rPr>
          <w:b/>
          <w:lang w:val="en-GB"/>
        </w:rPr>
      </w:pPr>
    </w:p>
    <w:p w14:paraId="38005B20" w14:textId="77777777" w:rsidR="00C712EB" w:rsidRPr="00C00214" w:rsidRDefault="00C712EB">
      <w:pPr>
        <w:pStyle w:val="Acknowledgement"/>
        <w:spacing w:before="0" w:line="480" w:lineRule="auto"/>
        <w:ind w:left="567" w:firstLine="0"/>
        <w:rPr>
          <w:b/>
          <w:lang w:val="en-GB"/>
        </w:rPr>
      </w:pPr>
    </w:p>
    <w:p w14:paraId="4F432BDB" w14:textId="766A6B72" w:rsidR="008C3EE4" w:rsidRPr="00C00214" w:rsidRDefault="00363CCA" w:rsidP="00DD3F8B">
      <w:pPr>
        <w:pStyle w:val="Acknowledgement"/>
        <w:spacing w:before="0" w:line="480" w:lineRule="auto"/>
        <w:jc w:val="center"/>
        <w:rPr>
          <w:b/>
        </w:rPr>
      </w:pPr>
      <w:r>
        <w:rPr>
          <w:b/>
          <w:noProof/>
          <w:lang w:eastAsia="zh-CN"/>
        </w:rPr>
        <w:lastRenderedPageBreak/>
        <w:pict w14:anchorId="6BA8EAF3">
          <v:shape id="_x0000_i1057" type="#_x0000_t75" style="width:241.5pt;height:201.5pt">
            <v:imagedata r:id="rId75" o:title="nFig41"/>
          </v:shape>
        </w:pict>
      </w:r>
    </w:p>
    <w:p w14:paraId="5EF6418F" w14:textId="3BAD91E7" w:rsidR="008C3EE4" w:rsidRPr="00C00214" w:rsidRDefault="004C2AEC">
      <w:pPr>
        <w:jc w:val="both"/>
      </w:pPr>
      <w:r w:rsidRPr="00C00214">
        <w:rPr>
          <w:b/>
        </w:rPr>
        <w:t xml:space="preserve">Fig. </w:t>
      </w:r>
      <w:r w:rsidR="00971062" w:rsidRPr="00C00214">
        <w:rPr>
          <w:b/>
        </w:rPr>
        <w:t>4</w:t>
      </w:r>
      <w:r w:rsidRPr="00C00214">
        <w:t xml:space="preserve"> Effective attenuation lengths (EALs) of graphene. EALs averaged from incident electron energies of 10, 15, and 20 keV for mono- and bilayer graphene using descriptor D</w:t>
      </w:r>
      <w:r w:rsidRPr="00C00214">
        <w:rPr>
          <w:vertAlign w:val="subscript"/>
        </w:rPr>
        <w:t>39</w:t>
      </w:r>
      <w:r w:rsidRPr="00C00214">
        <w:t>(</w:t>
      </w:r>
      <w:r w:rsidRPr="00C00214">
        <w:rPr>
          <w:i/>
        </w:rPr>
        <w:t>G</w:t>
      </w:r>
      <w:r w:rsidRPr="00C00214">
        <w:rPr>
          <w:vertAlign w:val="subscript"/>
        </w:rPr>
        <w:t>1</w:t>
      </w:r>
      <w:r w:rsidRPr="00C00214">
        <w:t>) and D</w:t>
      </w:r>
      <w:r w:rsidRPr="00C00214">
        <w:rPr>
          <w:vertAlign w:val="subscript"/>
        </w:rPr>
        <w:t>39</w:t>
      </w:r>
      <w:r w:rsidRPr="00C00214">
        <w:t>(</w:t>
      </w:r>
      <w:r w:rsidRPr="00C00214">
        <w:rPr>
          <w:i/>
        </w:rPr>
        <w:t>G</w:t>
      </w:r>
      <w:r w:rsidRPr="00C00214">
        <w:rPr>
          <w:vertAlign w:val="subscript"/>
        </w:rPr>
        <w:t>2</w:t>
      </w:r>
      <w:r w:rsidRPr="00C00214">
        <w:t>), respectively, and plotted together with error bars at intervals of 0.5 eV representing one standard deviation. EALs for a graphene/Ni sample at 57 eV (Ni MVV spectra) and a graphene/SiO</w:t>
      </w:r>
      <w:r w:rsidRPr="00C00214">
        <w:rPr>
          <w:vertAlign w:val="subscript"/>
        </w:rPr>
        <w:t>2</w:t>
      </w:r>
      <w:r w:rsidRPr="00C00214">
        <w:t xml:space="preserve"> sample at 78 eV (Si LVV spectra) and 503 eV (O KLL spectra) were measured by the overlayer method using AES technique [</w:t>
      </w:r>
      <w:r w:rsidRPr="00C00214">
        <w:rPr>
          <w:i/>
        </w:rPr>
        <w:t>24</w:t>
      </w:r>
      <w:r w:rsidRPr="00C00214">
        <w:t>]. EALs for epitaxial graphene on SiC at 48 eV, 228 eV, 298 eV, and 498 eV, measured by the overlayer method with synchrotron photoelectron spectroscopy [</w:t>
      </w:r>
      <w:r w:rsidRPr="00C00214">
        <w:rPr>
          <w:i/>
        </w:rPr>
        <w:t>25</w:t>
      </w:r>
      <w:r w:rsidRPr="00C00214">
        <w:t>], are also presented. EALs of mono- and bilayer graphene were calculated at 50 and 100 eV by a hybrid method.</w:t>
      </w:r>
      <w:r w:rsidRPr="00C00214">
        <w:rPr>
          <w:b/>
        </w:rPr>
        <w:br w:type="page"/>
      </w:r>
    </w:p>
    <w:p w14:paraId="283DE2FE" w14:textId="0D5A0C34" w:rsidR="008C3EE4" w:rsidRPr="00C00214" w:rsidRDefault="00363CCA" w:rsidP="003176DC">
      <w:pPr>
        <w:jc w:val="center"/>
        <w:rPr>
          <w:b/>
        </w:rPr>
      </w:pPr>
      <w:r>
        <w:rPr>
          <w:b/>
          <w:noProof/>
          <w:lang w:eastAsia="zh-CN"/>
        </w:rPr>
        <w:lastRenderedPageBreak/>
        <w:pict w14:anchorId="5292D6B2">
          <v:shape id="_x0000_i1058" type="#_x0000_t75" style="width:241.5pt;height:201.5pt">
            <v:imagedata r:id="rId76" o:title="nFig5"/>
          </v:shape>
        </w:pict>
      </w:r>
    </w:p>
    <w:p w14:paraId="6939EE28" w14:textId="7EC8C00C" w:rsidR="008C3EE4" w:rsidRPr="00C00214" w:rsidRDefault="004C2AEC">
      <w:pPr>
        <w:jc w:val="both"/>
        <w:rPr>
          <w:b/>
        </w:rPr>
      </w:pPr>
      <w:r w:rsidRPr="00C00214">
        <w:rPr>
          <w:b/>
        </w:rPr>
        <w:t xml:space="preserve">Fig. </w:t>
      </w:r>
      <w:r w:rsidR="00971062" w:rsidRPr="00C00214">
        <w:rPr>
          <w:b/>
        </w:rPr>
        <w:t>5</w:t>
      </w:r>
      <w:r w:rsidRPr="00C00214">
        <w:t xml:space="preserve"> Inelastic mean free paths (IMFPs) of graphene. IMFPs of monolayer graphene averaged from incident electron energies of 10, 15, and 20 keV determined from descriptor D</w:t>
      </w:r>
      <w:r w:rsidRPr="00C00214">
        <w:rPr>
          <w:vertAlign w:val="subscript"/>
        </w:rPr>
        <w:t>23</w:t>
      </w:r>
      <w:r w:rsidRPr="00C00214">
        <w:t>(</w:t>
      </w:r>
      <w:r w:rsidRPr="00C00214">
        <w:rPr>
          <w:i/>
        </w:rPr>
        <w:t>G</w:t>
      </w:r>
      <w:r w:rsidRPr="00C00214">
        <w:rPr>
          <w:vertAlign w:val="subscript"/>
        </w:rPr>
        <w:t>1</w:t>
      </w:r>
      <w:r w:rsidRPr="00C00214">
        <w:t>) and plotted together with error bars at intervals of 0.5 eV representing one standard deviation. The IMFPs for monolayer graphene fitted by the Bethe equation [</w:t>
      </w:r>
      <w:r w:rsidR="00732BEA" w:rsidRPr="00C00214">
        <w:t>55</w:t>
      </w:r>
      <w:r w:rsidRPr="00C00214">
        <w:t>] at 50–210 and 280–600 eV are plotted as a visual guide</w:t>
      </w:r>
      <w:r w:rsidR="00BE4BE0" w:rsidRPr="00C00214">
        <w:t xml:space="preserve"> (see Appendix F)</w:t>
      </w:r>
      <w:r w:rsidRPr="00C00214">
        <w:t>. IMFPs for monolayer graphene, a fictitious graphite surface and bulk graphite above 50 eV were calculated using the extended Mermin (EM) method [</w:t>
      </w:r>
      <w:r w:rsidRPr="00C00214">
        <w:rPr>
          <w:i/>
        </w:rPr>
        <w:t>27</w:t>
      </w:r>
      <w:r w:rsidRPr="00C00214">
        <w:t>]. The IMFP of graphite measured by elastic peak electron spectroscopy [</w:t>
      </w:r>
      <w:r w:rsidRPr="00C00214">
        <w:rPr>
          <w:i/>
        </w:rPr>
        <w:t>11</w:t>
      </w:r>
      <w:r w:rsidRPr="00C00214">
        <w:t>] is also presented.</w:t>
      </w:r>
      <w:r w:rsidRPr="00C00214">
        <w:rPr>
          <w:b/>
        </w:rPr>
        <w:br w:type="page"/>
      </w:r>
    </w:p>
    <w:p w14:paraId="6E726419" w14:textId="077CDA5B" w:rsidR="008C3EE4" w:rsidRPr="00C00214" w:rsidRDefault="008C3EE4">
      <w:pPr>
        <w:jc w:val="both"/>
        <w:rPr>
          <w:b/>
          <w:lang w:eastAsia="zh-CN"/>
        </w:rPr>
      </w:pPr>
    </w:p>
    <w:p w14:paraId="03CA4D22" w14:textId="31EE10E5" w:rsidR="00F44752" w:rsidRPr="00C00214" w:rsidRDefault="00363CCA" w:rsidP="003176DC">
      <w:pPr>
        <w:jc w:val="center"/>
        <w:rPr>
          <w:b/>
        </w:rPr>
      </w:pPr>
      <w:r>
        <w:rPr>
          <w:b/>
          <w:noProof/>
          <w:lang w:eastAsia="zh-CN"/>
        </w:rPr>
        <w:pict w14:anchorId="150AE00F">
          <v:shape id="_x0000_i1059" type="#_x0000_t75" style="width:241.5pt;height:225.5pt">
            <v:imagedata r:id="rId77" o:title="nFig6"/>
          </v:shape>
        </w:pict>
      </w:r>
    </w:p>
    <w:p w14:paraId="3576FEAE" w14:textId="11B8B164" w:rsidR="008C3EE4" w:rsidRPr="00C00214" w:rsidRDefault="004C2AEC">
      <w:pPr>
        <w:jc w:val="both"/>
      </w:pPr>
      <w:r w:rsidRPr="00C00214">
        <w:rPr>
          <w:b/>
        </w:rPr>
        <w:t xml:space="preserve">Fig. </w:t>
      </w:r>
      <w:r w:rsidR="00971062" w:rsidRPr="00C00214">
        <w:rPr>
          <w:b/>
        </w:rPr>
        <w:t>6</w:t>
      </w:r>
      <w:r w:rsidRPr="00C00214">
        <w:t xml:space="preserve"> Electron transmission of monolayer graphene. </w:t>
      </w:r>
      <w:r w:rsidR="0081747C" w:rsidRPr="00C00214">
        <w:rPr>
          <w:b/>
        </w:rPr>
        <w:t>a</w:t>
      </w:r>
      <w:r w:rsidRPr="00C00214">
        <w:t xml:space="preserve"> </w:t>
      </w:r>
      <w:r w:rsidR="0081747C" w:rsidRPr="00C00214">
        <w:t xml:space="preserve">The </w:t>
      </w:r>
      <w:r w:rsidRPr="00C00214">
        <w:t xml:space="preserve">elastic electron </w:t>
      </w:r>
      <w:r w:rsidR="006B33E1" w:rsidRPr="00C00214">
        <w:t xml:space="preserve">transmission </w:t>
      </w:r>
      <w:r w:rsidRPr="00C00214">
        <w:t>of monolayer graphene [D</w:t>
      </w:r>
      <w:r w:rsidRPr="00C00214">
        <w:rPr>
          <w:vertAlign w:val="subscript"/>
        </w:rPr>
        <w:t>23</w:t>
      </w:r>
      <w:r w:rsidRPr="00C00214">
        <w:t>(</w:t>
      </w:r>
      <w:r w:rsidRPr="00C00214">
        <w:rPr>
          <w:i/>
        </w:rPr>
        <w:t>G</w:t>
      </w:r>
      <w:r w:rsidRPr="00C00214">
        <w:rPr>
          <w:vertAlign w:val="subscript"/>
        </w:rPr>
        <w:t>1</w:t>
      </w:r>
      <w:r w:rsidRPr="00C00214">
        <w:t xml:space="preserve">)] averaged from 10 keV, 15 keV, and 20 keV primary electron energies, and plotted together with error bars at 0.2-eV intervals representing one standard deviation. </w:t>
      </w:r>
      <w:r w:rsidR="0081747C" w:rsidRPr="00C00214">
        <w:rPr>
          <w:b/>
        </w:rPr>
        <w:t>b</w:t>
      </w:r>
      <w:r w:rsidRPr="00C00214">
        <w:t xml:space="preserve"> </w:t>
      </w:r>
      <w:r w:rsidR="0081747C" w:rsidRPr="00C00214">
        <w:t xml:space="preserve">Transmission </w:t>
      </w:r>
      <w:r w:rsidRPr="00C00214">
        <w:t>data (</w:t>
      </w:r>
      <w:r w:rsidRPr="00C00214">
        <w:rPr>
          <w:i/>
        </w:rPr>
        <w:t>T</w:t>
      </w:r>
      <w:r w:rsidRPr="00C00214">
        <w:rPr>
          <w:vertAlign w:val="subscript"/>
        </w:rPr>
        <w:t>LEEM</w:t>
      </w:r>
      <w:r w:rsidRPr="00C00214">
        <w:t>) estimated from the reflectivity spectra (</w:t>
      </w:r>
      <w:r w:rsidRPr="00C00214">
        <w:rPr>
          <w:i/>
        </w:rPr>
        <w:t>T</w:t>
      </w:r>
      <w:r w:rsidRPr="00C00214">
        <w:rPr>
          <w:vertAlign w:val="subscript"/>
        </w:rPr>
        <w:t>LEEM</w:t>
      </w:r>
      <w:r w:rsidRPr="00C00214">
        <w:t xml:space="preserve"> = 1 - </w:t>
      </w:r>
      <w:r w:rsidRPr="00C00214">
        <w:rPr>
          <w:i/>
        </w:rPr>
        <w:t>R</w:t>
      </w:r>
      <w:r w:rsidRPr="00C00214">
        <w:rPr>
          <w:vertAlign w:val="subscript"/>
        </w:rPr>
        <w:t>LEEM</w:t>
      </w:r>
      <w:r w:rsidRPr="00C00214">
        <w:t>) obtained from LEEM of a monolayer graphene/SiC sample [</w:t>
      </w:r>
      <w:r w:rsidR="00CF6F31" w:rsidRPr="00C00214">
        <w:rPr>
          <w:i/>
        </w:rPr>
        <w:t>30</w:t>
      </w:r>
      <w:r w:rsidRPr="00C00214">
        <w:t xml:space="preserve">]. </w:t>
      </w:r>
      <w:r w:rsidR="0081747C" w:rsidRPr="00C00214">
        <w:rPr>
          <w:b/>
        </w:rPr>
        <w:t>c</w:t>
      </w:r>
      <w:r w:rsidRPr="00C00214">
        <w:t xml:space="preserve"> The electronic band structure of a graphene “pseudo-crystal” in the Γ−A direction determined using first-principles density-functional theory calculations, in which the </w:t>
      </w:r>
      <w:r w:rsidRPr="00C00214">
        <w:rPr>
          <w:lang w:eastAsia="zh-CN"/>
        </w:rPr>
        <w:t>interlayer distance between graphene sheets was 6 Å</w:t>
      </w:r>
      <w:r w:rsidRPr="00C00214">
        <w:t xml:space="preserve">. The electronic band structure </w:t>
      </w:r>
      <w:bookmarkStart w:id="119" w:name="OLE_LINK19"/>
      <w:bookmarkStart w:id="120" w:name="OLE_LINK20"/>
      <w:r w:rsidRPr="00C00214">
        <w:t>is plotted referring to</w:t>
      </w:r>
      <w:bookmarkEnd w:id="119"/>
      <w:bookmarkEnd w:id="120"/>
      <w:r w:rsidRPr="00C00214">
        <w:t xml:space="preserve"> the Fermi level, and shifted to lower energy by the work function of graphene (4.6 eV). </w:t>
      </w:r>
    </w:p>
    <w:p w14:paraId="31152CC2" w14:textId="63097EE1" w:rsidR="008C3EE4" w:rsidRPr="00C00214" w:rsidRDefault="00363CCA">
      <w:pPr>
        <w:pStyle w:val="Acknowledgement"/>
        <w:spacing w:before="0" w:line="480" w:lineRule="auto"/>
        <w:jc w:val="center"/>
        <w:rPr>
          <w:b/>
        </w:rPr>
      </w:pPr>
      <w:r>
        <w:rPr>
          <w:b/>
        </w:rPr>
        <w:lastRenderedPageBreak/>
        <w:pict w14:anchorId="7E556E0D">
          <v:shape id="_x0000_i1060" type="#_x0000_t75" style="width:241.5pt;height:196pt">
            <v:imagedata r:id="rId78" o:title="nFig7"/>
          </v:shape>
        </w:pict>
      </w:r>
    </w:p>
    <w:p w14:paraId="1462D643" w14:textId="360F6B54" w:rsidR="008C3EE4" w:rsidRPr="00C00214" w:rsidRDefault="004C2AEC">
      <w:pPr>
        <w:jc w:val="both"/>
      </w:pPr>
      <w:r w:rsidRPr="00C00214">
        <w:rPr>
          <w:b/>
        </w:rPr>
        <w:t xml:space="preserve">Fig. </w:t>
      </w:r>
      <w:r w:rsidR="00971062" w:rsidRPr="00C00214">
        <w:rPr>
          <w:b/>
        </w:rPr>
        <w:t>7</w:t>
      </w:r>
      <w:r w:rsidRPr="00C00214">
        <w:t xml:space="preserve"> Low-energy electron transport parameter of monolayer graphene. Effective attenuation length (EAL) and inelastic mean free path (IMFP) for monolayer graphene averaged for incident electron energies of 10, 15, and 20 keV are plotted together with error bars at intervals of 0.2 eV representing one standard deviation. The energy range below 6 eV where the IMFP of monolayer graphene is absent because the elastic scattering cross-section used in the reverse Monte Carlo program cannot be determined is highlighted (pink rect</w:t>
      </w:r>
      <w:r w:rsidR="001872F0" w:rsidRPr="00C00214">
        <w:t xml:space="preserve">angle) (see </w:t>
      </w:r>
      <w:r w:rsidR="00911F18" w:rsidRPr="00C00214">
        <w:t>Appendix E</w:t>
      </w:r>
      <w:r w:rsidRPr="00C00214">
        <w:t>). The EAL of graphene measured by the overlayer method for graphene/Au at 2.3 eV associated with Au surface plasmons (overlayer SP) is plotted. The IMFP of graphite measured by the very-low-energy electron diffraction technique [</w:t>
      </w:r>
      <w:r w:rsidR="00CF6F31" w:rsidRPr="00C00214">
        <w:rPr>
          <w:i/>
        </w:rPr>
        <w:t>41</w:t>
      </w:r>
      <w:r w:rsidRPr="00C00214">
        <w:t>] is presented. EALs of a graphene/Ni sample in the energy range of 12–39 eV, measured using energy-filtered scanning electron microscopy [</w:t>
      </w:r>
      <w:r w:rsidR="00CF6F31" w:rsidRPr="00C00214">
        <w:rPr>
          <w:i/>
        </w:rPr>
        <w:t>42</w:t>
      </w:r>
      <w:r w:rsidRPr="00C00214">
        <w:t xml:space="preserve">], is presented together with fitted curves as visual guides. </w:t>
      </w:r>
    </w:p>
    <w:p w14:paraId="2EC27C44" w14:textId="77777777" w:rsidR="008C3EE4" w:rsidRPr="00C00214" w:rsidRDefault="004C2AEC">
      <w:pPr>
        <w:pStyle w:val="Acknowledgement"/>
        <w:spacing w:line="480" w:lineRule="auto"/>
        <w:ind w:left="1440"/>
        <w:rPr>
          <w:b/>
        </w:rPr>
      </w:pPr>
      <w:r w:rsidRPr="00C00214">
        <w:rPr>
          <w:b/>
        </w:rPr>
        <w:br w:type="page"/>
      </w:r>
    </w:p>
    <w:p w14:paraId="3147F1C5" w14:textId="6DBE4039" w:rsidR="00FB5F50" w:rsidRPr="00C00214" w:rsidRDefault="00363CCA" w:rsidP="00FB5F50">
      <w:pPr>
        <w:pStyle w:val="SOMHead"/>
        <w:spacing w:before="0" w:line="480" w:lineRule="auto"/>
        <w:jc w:val="center"/>
        <w:rPr>
          <w:lang w:val="en-GB"/>
        </w:rPr>
      </w:pPr>
      <w:r>
        <w:rPr>
          <w:noProof/>
          <w:lang w:eastAsia="zh-CN"/>
        </w:rPr>
        <w:lastRenderedPageBreak/>
        <w:pict w14:anchorId="36B2BEFF">
          <v:shape id="_x0000_i1061" type="#_x0000_t75" style="width:369.5pt;height:412pt">
            <v:imagedata r:id="rId79" o:title="nFig8"/>
          </v:shape>
        </w:pict>
      </w:r>
    </w:p>
    <w:p w14:paraId="5F2F9888" w14:textId="0BD553C6" w:rsidR="00FB5F50" w:rsidRPr="00C00214" w:rsidRDefault="00FB5F50" w:rsidP="00FB5F50">
      <w:pPr>
        <w:jc w:val="both"/>
        <w:rPr>
          <w:lang w:val="en-GB"/>
        </w:rPr>
      </w:pPr>
      <w:r w:rsidRPr="00C00214">
        <w:rPr>
          <w:b/>
          <w:lang w:val="en-GB"/>
        </w:rPr>
        <w:t>Fig. 8</w:t>
      </w:r>
      <w:r w:rsidRPr="00C00214">
        <w:rPr>
          <w:lang w:val="en-GB"/>
        </w:rPr>
        <w:t xml:space="preserve"> Electron backscatter diffraction (EBSD) of graphene supported by a polycrystalline Au film substrate. </w:t>
      </w:r>
      <w:r w:rsidRPr="00C00214">
        <w:rPr>
          <w:b/>
          <w:lang w:val="en-GB"/>
        </w:rPr>
        <w:t>a</w:t>
      </w:r>
      <w:r w:rsidRPr="00C00214">
        <w:rPr>
          <w:lang w:val="en-GB"/>
        </w:rPr>
        <w:t xml:space="preserve">, SEM image of the polycrystalline Au substrate. </w:t>
      </w:r>
      <w:r w:rsidRPr="00C00214">
        <w:rPr>
          <w:b/>
          <w:lang w:val="en-GB"/>
        </w:rPr>
        <w:t>b</w:t>
      </w:r>
      <w:r w:rsidRPr="00C00214">
        <w:rPr>
          <w:lang w:val="en-GB"/>
        </w:rPr>
        <w:t xml:space="preserve">, Misorientation-axis distributions in ND of the polycrystalline Au sample. EBSD maps for </w:t>
      </w:r>
      <w:r w:rsidRPr="00C00214">
        <w:rPr>
          <w:b/>
          <w:lang w:val="en-GB"/>
        </w:rPr>
        <w:t>c</w:t>
      </w:r>
      <w:r w:rsidRPr="00C00214">
        <w:rPr>
          <w:lang w:val="en-GB"/>
        </w:rPr>
        <w:t xml:space="preserve">, ND, </w:t>
      </w:r>
      <w:r w:rsidRPr="00C00214">
        <w:rPr>
          <w:b/>
          <w:lang w:val="en-GB"/>
        </w:rPr>
        <w:t>d</w:t>
      </w:r>
      <w:r w:rsidRPr="00C00214">
        <w:rPr>
          <w:lang w:val="en-GB"/>
        </w:rPr>
        <w:t xml:space="preserve">, rolling direction (RD), </w:t>
      </w:r>
      <w:r w:rsidRPr="00C00214">
        <w:rPr>
          <w:b/>
          <w:lang w:val="en-GB"/>
        </w:rPr>
        <w:t>e</w:t>
      </w:r>
      <w:r w:rsidRPr="00C00214">
        <w:rPr>
          <w:lang w:val="en-GB"/>
        </w:rPr>
        <w:t xml:space="preserve">, transverse direction (TD), and </w:t>
      </w:r>
      <w:r w:rsidRPr="00C00214">
        <w:rPr>
          <w:b/>
          <w:lang w:val="en-GB"/>
        </w:rPr>
        <w:t>f</w:t>
      </w:r>
      <w:r w:rsidRPr="00C00214">
        <w:rPr>
          <w:lang w:val="en-GB"/>
        </w:rPr>
        <w:t xml:space="preserve">, EBSD image quality map (EBSD-Q), for the same region of the sample. </w:t>
      </w:r>
      <w:r w:rsidR="00991EA6" w:rsidRPr="00C00214">
        <w:rPr>
          <w:lang w:val="en-GB"/>
        </w:rPr>
        <w:t xml:space="preserve">Reproduced from Ref. [21]. </w:t>
      </w:r>
      <w:r w:rsidRPr="00C00214">
        <w:rPr>
          <w:lang w:val="en-GB"/>
        </w:rPr>
        <w:t xml:space="preserve">SEM image of </w:t>
      </w:r>
      <w:r w:rsidRPr="00C00214">
        <w:rPr>
          <w:b/>
          <w:lang w:val="en-GB"/>
        </w:rPr>
        <w:t>g</w:t>
      </w:r>
      <w:r w:rsidRPr="00C00214">
        <w:rPr>
          <w:lang w:val="en-GB"/>
        </w:rPr>
        <w:t xml:space="preserve">, monolayer graphene and </w:t>
      </w:r>
      <w:r w:rsidRPr="00C00214">
        <w:rPr>
          <w:b/>
          <w:lang w:val="en-GB"/>
        </w:rPr>
        <w:t>h</w:t>
      </w:r>
      <w:r w:rsidRPr="00C00214">
        <w:rPr>
          <w:lang w:val="en-GB"/>
        </w:rPr>
        <w:t xml:space="preserve">, bilayer graphene on a polycrystalline Au substrate. The incident beam positions of the eight groups of measurements are also presented as green diagonal crosses, ochre upright crosses, red diagonal crosses, and azure </w:t>
      </w:r>
      <w:r w:rsidRPr="00C00214">
        <w:rPr>
          <w:lang w:val="en-GB"/>
        </w:rPr>
        <w:lastRenderedPageBreak/>
        <w:t>upright crosses referring to bright and dark regions on the bare substrate, and bright and dark regions on the graphene sheets, respectively.</w:t>
      </w:r>
      <w:r w:rsidRPr="00C00214">
        <w:rPr>
          <w:lang w:val="en-GB"/>
        </w:rPr>
        <w:br w:type="page"/>
      </w:r>
    </w:p>
    <w:p w14:paraId="3FFB865A" w14:textId="05611BA9" w:rsidR="00FB5F50" w:rsidRPr="00C00214" w:rsidRDefault="00363CCA" w:rsidP="003176DC">
      <w:pPr>
        <w:pStyle w:val="Paragraph"/>
        <w:spacing w:line="480" w:lineRule="auto"/>
        <w:ind w:firstLine="0"/>
        <w:jc w:val="center"/>
        <w:rPr>
          <w:lang w:val="en-GB"/>
        </w:rPr>
      </w:pPr>
      <w:r>
        <w:rPr>
          <w:noProof/>
          <w:lang w:eastAsia="zh-CN"/>
        </w:rPr>
        <w:lastRenderedPageBreak/>
        <w:pict w14:anchorId="796EC921">
          <v:shape id="_x0000_i1062" type="#_x0000_t75" style="width:369.5pt;height:237pt">
            <v:imagedata r:id="rId80" o:title="nFig9"/>
          </v:shape>
        </w:pict>
      </w:r>
    </w:p>
    <w:p w14:paraId="2F5E0895" w14:textId="7D43C0C8" w:rsidR="00FB5F50" w:rsidRPr="00C00214" w:rsidRDefault="00FB5F50" w:rsidP="00FB5F50">
      <w:pPr>
        <w:jc w:val="both"/>
        <w:rPr>
          <w:lang w:val="en-GB"/>
        </w:rPr>
      </w:pPr>
      <w:r w:rsidRPr="00C00214">
        <w:rPr>
          <w:b/>
          <w:lang w:val="en-GB"/>
        </w:rPr>
        <w:t>Fig. 9</w:t>
      </w:r>
      <w:r w:rsidRPr="00C00214">
        <w:rPr>
          <w:lang w:val="en-GB"/>
        </w:rPr>
        <w:t xml:space="preserve"> SE </w:t>
      </w:r>
      <w:r w:rsidRPr="00C00214">
        <w:t>spectra</w:t>
      </w:r>
      <w:r w:rsidRPr="00C00214">
        <w:rPr>
          <w:lang w:val="en-GB"/>
        </w:rPr>
        <w:t xml:space="preserve"> measured in the energy range of 0–50 eV under slightly different conditions. Raw spectra measured in the energy range from 0 to 50 eV with an energy step of 0.1 eV at bright (</w:t>
      </w:r>
      <w:r w:rsidRPr="00C00214">
        <w:rPr>
          <w:i/>
          <w:lang w:val="en-GB"/>
        </w:rPr>
        <w:t>S</w:t>
      </w:r>
      <w:r w:rsidRPr="00C00214">
        <w:rPr>
          <w:vertAlign w:val="subscript"/>
          <w:lang w:val="en-GB"/>
        </w:rPr>
        <w:t>B</w:t>
      </w:r>
      <w:r w:rsidRPr="00C00214">
        <w:rPr>
          <w:lang w:val="en-GB"/>
        </w:rPr>
        <w:t>) and dark regions (</w:t>
      </w:r>
      <w:r w:rsidRPr="00C00214">
        <w:rPr>
          <w:i/>
          <w:lang w:val="en-GB"/>
        </w:rPr>
        <w:t>S</w:t>
      </w:r>
      <w:r w:rsidRPr="00C00214">
        <w:rPr>
          <w:vertAlign w:val="subscript"/>
          <w:lang w:val="en-GB"/>
        </w:rPr>
        <w:t>D</w:t>
      </w:r>
      <w:r w:rsidRPr="00C00214">
        <w:rPr>
          <w:lang w:val="en-GB"/>
        </w:rPr>
        <w:t>) of the Au polycrystalline substrate and similar regions covered by monolayer graphene (</w:t>
      </w:r>
      <w:r w:rsidRPr="00C00214">
        <w:rPr>
          <w:i/>
          <w:lang w:val="en-GB"/>
        </w:rPr>
        <w:t>G</w:t>
      </w:r>
      <w:r w:rsidRPr="00C00214">
        <w:rPr>
          <w:vertAlign w:val="subscript"/>
          <w:lang w:val="en-GB"/>
        </w:rPr>
        <w:t>1</w:t>
      </w:r>
      <w:r w:rsidRPr="00C00214">
        <w:rPr>
          <w:lang w:val="en-GB"/>
        </w:rPr>
        <w:t>) or bilayer graphene (</w:t>
      </w:r>
      <w:r w:rsidRPr="00C00214">
        <w:rPr>
          <w:i/>
          <w:lang w:val="en-GB"/>
        </w:rPr>
        <w:t>G</w:t>
      </w:r>
      <w:r w:rsidRPr="00C00214">
        <w:rPr>
          <w:vertAlign w:val="subscript"/>
          <w:lang w:val="en-GB"/>
        </w:rPr>
        <w:t>2</w:t>
      </w:r>
      <w:r w:rsidRPr="00C00214">
        <w:rPr>
          <w:lang w:val="en-GB"/>
        </w:rPr>
        <w:t>) with incident electron energies of 10 keV (</w:t>
      </w:r>
      <w:r w:rsidRPr="00C00214">
        <w:rPr>
          <w:i/>
          <w:lang w:val="en-GB"/>
        </w:rPr>
        <w:t>E</w:t>
      </w:r>
      <w:r w:rsidRPr="00C00214">
        <w:rPr>
          <w:vertAlign w:val="subscript"/>
          <w:lang w:val="en-GB"/>
        </w:rPr>
        <w:t>10</w:t>
      </w:r>
      <w:r w:rsidRPr="00C00214">
        <w:rPr>
          <w:lang w:val="en-GB"/>
        </w:rPr>
        <w:t>), 15 keV (</w:t>
      </w:r>
      <w:r w:rsidRPr="00C00214">
        <w:rPr>
          <w:i/>
          <w:lang w:val="en-GB"/>
        </w:rPr>
        <w:t>E</w:t>
      </w:r>
      <w:r w:rsidRPr="00C00214">
        <w:rPr>
          <w:vertAlign w:val="subscript"/>
          <w:lang w:val="en-GB"/>
        </w:rPr>
        <w:t>15</w:t>
      </w:r>
      <w:r w:rsidRPr="00C00214">
        <w:rPr>
          <w:lang w:val="en-GB"/>
        </w:rPr>
        <w:t>), and 20 keV (</w:t>
      </w:r>
      <w:r w:rsidRPr="00C00214">
        <w:rPr>
          <w:i/>
          <w:lang w:val="en-GB"/>
        </w:rPr>
        <w:t>E</w:t>
      </w:r>
      <w:r w:rsidRPr="00C00214">
        <w:rPr>
          <w:vertAlign w:val="subscript"/>
          <w:lang w:val="en-GB"/>
        </w:rPr>
        <w:t>20</w:t>
      </w:r>
      <w:r w:rsidRPr="00C00214">
        <w:rPr>
          <w:lang w:val="en-GB"/>
        </w:rPr>
        <w:t xml:space="preserve">). Spectra are normalized by the maximum intensity of </w:t>
      </w:r>
      <w:r w:rsidRPr="00C00214">
        <w:rPr>
          <w:i/>
          <w:lang w:val="en-GB"/>
        </w:rPr>
        <w:t>J</w:t>
      </w:r>
      <w:r w:rsidRPr="00C00214">
        <w:rPr>
          <w:vertAlign w:val="subscript"/>
          <w:lang w:val="en-GB"/>
        </w:rPr>
        <w:t>sub</w:t>
      </w:r>
      <w:r w:rsidRPr="00C00214">
        <w:rPr>
          <w:lang w:val="en-GB"/>
        </w:rPr>
        <w:t>(</w:t>
      </w:r>
      <w:r w:rsidRPr="00C00214">
        <w:rPr>
          <w:i/>
          <w:lang w:val="en-GB"/>
        </w:rPr>
        <w:t>S</w:t>
      </w:r>
      <w:r w:rsidRPr="00C00214">
        <w:rPr>
          <w:vertAlign w:val="subscript"/>
          <w:lang w:val="en-GB"/>
        </w:rPr>
        <w:t>B</w:t>
      </w:r>
      <w:r w:rsidRPr="00C00214">
        <w:rPr>
          <w:lang w:val="en-GB"/>
        </w:rPr>
        <w:t xml:space="preserve">, </w:t>
      </w:r>
      <w:r w:rsidRPr="00C00214">
        <w:rPr>
          <w:i/>
          <w:lang w:val="en-GB"/>
        </w:rPr>
        <w:t>E</w:t>
      </w:r>
      <w:r w:rsidRPr="00C00214">
        <w:rPr>
          <w:vertAlign w:val="subscript"/>
          <w:lang w:val="en-GB"/>
        </w:rPr>
        <w:t>10</w:t>
      </w:r>
      <w:r w:rsidRPr="00C00214">
        <w:rPr>
          <w:lang w:val="en-GB"/>
        </w:rPr>
        <w:t>). Each SE spectrum was obtained from eight independent groups of measurements and the standard deviations of these measurements are presented as error bars at intervals of 0.5 eV.</w:t>
      </w:r>
    </w:p>
    <w:p w14:paraId="457C0675" w14:textId="77777777" w:rsidR="00FB5F50" w:rsidRPr="00C00214" w:rsidRDefault="00FB5F50" w:rsidP="00FB5F50">
      <w:pPr>
        <w:pStyle w:val="Paragraph"/>
        <w:spacing w:line="480" w:lineRule="auto"/>
        <w:ind w:left="567" w:firstLine="0"/>
        <w:rPr>
          <w:lang w:val="en-GB"/>
        </w:rPr>
      </w:pPr>
      <w:r w:rsidRPr="00C00214">
        <w:rPr>
          <w:lang w:val="en-GB"/>
        </w:rPr>
        <w:br w:type="page"/>
      </w:r>
    </w:p>
    <w:p w14:paraId="42109789" w14:textId="3963CDB6" w:rsidR="00FB5F50" w:rsidRPr="00C00214" w:rsidRDefault="00363CCA" w:rsidP="00564ED1">
      <w:pPr>
        <w:pStyle w:val="Paragraph"/>
        <w:spacing w:line="480" w:lineRule="auto"/>
        <w:ind w:firstLine="0"/>
        <w:jc w:val="center"/>
        <w:rPr>
          <w:b/>
          <w:lang w:val="en-GB"/>
        </w:rPr>
      </w:pPr>
      <w:r>
        <w:rPr>
          <w:b/>
          <w:noProof/>
          <w:lang w:eastAsia="zh-CN"/>
        </w:rPr>
        <w:lastRenderedPageBreak/>
        <w:pict w14:anchorId="44D7A0C0">
          <v:shape id="_x0000_i1063" type="#_x0000_t75" style="width:369.5pt;height:237pt">
            <v:imagedata r:id="rId81" o:title="nFig10"/>
          </v:shape>
        </w:pict>
      </w:r>
    </w:p>
    <w:p w14:paraId="1192453A" w14:textId="3A036F7D" w:rsidR="00FB5F50" w:rsidRPr="00C00214" w:rsidRDefault="00FB5F50" w:rsidP="00FB5F50">
      <w:pPr>
        <w:jc w:val="both"/>
        <w:rPr>
          <w:lang w:val="en-GB"/>
        </w:rPr>
      </w:pPr>
      <w:r w:rsidRPr="00C00214">
        <w:rPr>
          <w:b/>
          <w:lang w:val="en-GB"/>
        </w:rPr>
        <w:t>Fig. 10</w:t>
      </w:r>
      <w:r w:rsidRPr="00C00214">
        <w:rPr>
          <w:lang w:val="en-GB"/>
        </w:rPr>
        <w:t xml:space="preserve"> SE spectra measured in the energy range of 0–600 eV under slightly different conditions. Raw spectra measured in the energy range from 0 to 600 eV with an energy step of 1 eV at bright (</w:t>
      </w:r>
      <w:r w:rsidRPr="00C00214">
        <w:rPr>
          <w:i/>
          <w:lang w:val="en-GB"/>
        </w:rPr>
        <w:t>S</w:t>
      </w:r>
      <w:r w:rsidRPr="00C00214">
        <w:rPr>
          <w:vertAlign w:val="subscript"/>
          <w:lang w:val="en-GB"/>
        </w:rPr>
        <w:t>B</w:t>
      </w:r>
      <w:r w:rsidRPr="00C00214">
        <w:rPr>
          <w:lang w:val="en-GB"/>
        </w:rPr>
        <w:t>) and dark regions (</w:t>
      </w:r>
      <w:r w:rsidRPr="00C00214">
        <w:rPr>
          <w:i/>
          <w:lang w:val="en-GB"/>
        </w:rPr>
        <w:t>S</w:t>
      </w:r>
      <w:r w:rsidRPr="00C00214">
        <w:rPr>
          <w:vertAlign w:val="subscript"/>
          <w:lang w:val="en-GB"/>
        </w:rPr>
        <w:t>D</w:t>
      </w:r>
      <w:r w:rsidRPr="00C00214">
        <w:rPr>
          <w:lang w:val="en-GB"/>
        </w:rPr>
        <w:t>) on a polycrystalline Au substrate and similar regions covered by monolayer graphene (</w:t>
      </w:r>
      <w:r w:rsidRPr="00C00214">
        <w:rPr>
          <w:i/>
          <w:lang w:val="en-GB"/>
        </w:rPr>
        <w:t>G</w:t>
      </w:r>
      <w:r w:rsidRPr="00C00214">
        <w:rPr>
          <w:vertAlign w:val="subscript"/>
          <w:lang w:val="en-GB"/>
        </w:rPr>
        <w:t>1</w:t>
      </w:r>
      <w:r w:rsidRPr="00C00214">
        <w:rPr>
          <w:lang w:val="en-GB"/>
        </w:rPr>
        <w:t>) or bilayer graphene (</w:t>
      </w:r>
      <w:r w:rsidRPr="00C00214">
        <w:rPr>
          <w:i/>
          <w:lang w:val="en-GB"/>
        </w:rPr>
        <w:t>G</w:t>
      </w:r>
      <w:r w:rsidRPr="00C00214">
        <w:rPr>
          <w:vertAlign w:val="subscript"/>
          <w:lang w:val="en-GB"/>
        </w:rPr>
        <w:t>2</w:t>
      </w:r>
      <w:r w:rsidRPr="00C00214">
        <w:rPr>
          <w:lang w:val="en-GB"/>
        </w:rPr>
        <w:t>) with incident electron energies of 10 keV (</w:t>
      </w:r>
      <w:r w:rsidRPr="00C00214">
        <w:rPr>
          <w:i/>
          <w:lang w:val="en-GB"/>
        </w:rPr>
        <w:t>E</w:t>
      </w:r>
      <w:r w:rsidRPr="00C00214">
        <w:rPr>
          <w:vertAlign w:val="subscript"/>
          <w:lang w:val="en-GB"/>
        </w:rPr>
        <w:t>10</w:t>
      </w:r>
      <w:r w:rsidRPr="00C00214">
        <w:rPr>
          <w:lang w:val="en-GB"/>
        </w:rPr>
        <w:t>), 15 keV (</w:t>
      </w:r>
      <w:r w:rsidRPr="00C00214">
        <w:rPr>
          <w:i/>
          <w:lang w:val="en-GB"/>
        </w:rPr>
        <w:t>E</w:t>
      </w:r>
      <w:r w:rsidRPr="00C00214">
        <w:rPr>
          <w:vertAlign w:val="subscript"/>
          <w:lang w:val="en-GB"/>
        </w:rPr>
        <w:t>15</w:t>
      </w:r>
      <w:r w:rsidRPr="00C00214">
        <w:rPr>
          <w:lang w:val="en-GB"/>
        </w:rPr>
        <w:t>), and 20 keV (</w:t>
      </w:r>
      <w:r w:rsidRPr="00C00214">
        <w:rPr>
          <w:i/>
          <w:lang w:val="en-GB"/>
        </w:rPr>
        <w:t>E</w:t>
      </w:r>
      <w:r w:rsidRPr="00C00214">
        <w:rPr>
          <w:vertAlign w:val="subscript"/>
          <w:lang w:val="en-GB"/>
        </w:rPr>
        <w:t>20</w:t>
      </w:r>
      <w:r w:rsidRPr="00C00214">
        <w:rPr>
          <w:lang w:val="en-GB"/>
        </w:rPr>
        <w:t xml:space="preserve">). Spectra are normalized by the maximum intensity of </w:t>
      </w:r>
      <w:r w:rsidRPr="00C00214">
        <w:rPr>
          <w:i/>
          <w:lang w:val="en-GB"/>
        </w:rPr>
        <w:t>J</w:t>
      </w:r>
      <w:r w:rsidRPr="00C00214">
        <w:rPr>
          <w:vertAlign w:val="subscript"/>
          <w:lang w:val="en-GB"/>
        </w:rPr>
        <w:t>sub</w:t>
      </w:r>
      <w:r w:rsidRPr="00C00214">
        <w:rPr>
          <w:lang w:val="en-GB"/>
        </w:rPr>
        <w:t>(</w:t>
      </w:r>
      <w:r w:rsidRPr="00C00214">
        <w:rPr>
          <w:i/>
          <w:lang w:val="en-GB"/>
        </w:rPr>
        <w:t>S</w:t>
      </w:r>
      <w:r w:rsidRPr="00C00214">
        <w:rPr>
          <w:vertAlign w:val="subscript"/>
          <w:lang w:val="en-GB"/>
        </w:rPr>
        <w:t>B</w:t>
      </w:r>
      <w:r w:rsidRPr="00C00214">
        <w:rPr>
          <w:lang w:val="en-GB"/>
        </w:rPr>
        <w:t xml:space="preserve">, </w:t>
      </w:r>
      <w:r w:rsidRPr="00C00214">
        <w:rPr>
          <w:i/>
          <w:lang w:val="en-GB"/>
        </w:rPr>
        <w:t>E</w:t>
      </w:r>
      <w:r w:rsidRPr="00C00214">
        <w:rPr>
          <w:vertAlign w:val="subscript"/>
          <w:lang w:val="en-GB"/>
        </w:rPr>
        <w:t>10</w:t>
      </w:r>
      <w:r w:rsidRPr="00C00214">
        <w:rPr>
          <w:lang w:val="en-GB"/>
        </w:rPr>
        <w:t>). Each SE spectrum was obtained from eight independent groups of measurements and the standard deviations of these measurements are presented as error bars at intervals of 5 eV.</w:t>
      </w:r>
    </w:p>
    <w:p w14:paraId="33768F79" w14:textId="77777777" w:rsidR="00FB5F50" w:rsidRPr="00C00214" w:rsidRDefault="00FB5F50" w:rsidP="00FB5F50">
      <w:pPr>
        <w:pStyle w:val="Paragraph"/>
        <w:spacing w:line="480" w:lineRule="auto"/>
        <w:ind w:left="567" w:firstLine="0"/>
        <w:rPr>
          <w:lang w:val="en-GB"/>
        </w:rPr>
      </w:pPr>
      <w:r w:rsidRPr="00C00214">
        <w:rPr>
          <w:lang w:val="en-GB"/>
        </w:rPr>
        <w:br w:type="page"/>
      </w:r>
    </w:p>
    <w:p w14:paraId="666AE0C8" w14:textId="10BACDBB" w:rsidR="00FB5F50" w:rsidRPr="00C00214" w:rsidRDefault="00363CCA" w:rsidP="00564ED1">
      <w:pPr>
        <w:pStyle w:val="Paragraph"/>
        <w:spacing w:line="480" w:lineRule="auto"/>
        <w:ind w:firstLine="0"/>
        <w:jc w:val="center"/>
        <w:rPr>
          <w:b/>
          <w:lang w:val="en-GB"/>
        </w:rPr>
      </w:pPr>
      <w:r>
        <w:rPr>
          <w:b/>
          <w:noProof/>
          <w:lang w:eastAsia="zh-CN"/>
        </w:rPr>
        <w:lastRenderedPageBreak/>
        <w:pict w14:anchorId="69732F1C">
          <v:shape id="_x0000_i1064" type="#_x0000_t75" style="width:369.5pt;height:262.5pt">
            <v:imagedata r:id="rId82" o:title="nFig11"/>
          </v:shape>
        </w:pict>
      </w:r>
    </w:p>
    <w:p w14:paraId="2D3E51F7" w14:textId="5A67077C" w:rsidR="00FB5F50" w:rsidRPr="00C00214" w:rsidRDefault="00FB5F50" w:rsidP="00FB5F50">
      <w:pPr>
        <w:jc w:val="both"/>
        <w:rPr>
          <w:lang w:val="en-GB"/>
        </w:rPr>
      </w:pPr>
      <w:r w:rsidRPr="00C00214">
        <w:rPr>
          <w:b/>
          <w:lang w:val="en-GB"/>
        </w:rPr>
        <w:t>Fig. 11</w:t>
      </w:r>
      <w:r w:rsidRPr="00C00214">
        <w:rPr>
          <w:lang w:val="en-GB"/>
        </w:rPr>
        <w:t xml:space="preserve"> Nine identified principle descriptors constructed from slightly different measurements. Calculated principle descriptors </w:t>
      </w:r>
      <w:r w:rsidRPr="00C00214">
        <w:rPr>
          <w:b/>
          <w:lang w:val="en-GB"/>
        </w:rPr>
        <w:t>a</w:t>
      </w:r>
      <w:r w:rsidRPr="00C00214">
        <w:rPr>
          <w:lang w:val="en-GB"/>
        </w:rPr>
        <w:t xml:space="preserve"> D</w:t>
      </w:r>
      <w:r w:rsidRPr="00C00214">
        <w:rPr>
          <w:vertAlign w:val="subscript"/>
          <w:lang w:val="en-GB"/>
        </w:rPr>
        <w:t>18</w:t>
      </w:r>
      <w:r w:rsidRPr="00C00214">
        <w:rPr>
          <w:lang w:val="en-GB"/>
        </w:rPr>
        <w:t xml:space="preserve">, </w:t>
      </w:r>
      <w:r w:rsidRPr="00C00214">
        <w:rPr>
          <w:b/>
          <w:lang w:val="en-GB"/>
        </w:rPr>
        <w:t>b</w:t>
      </w:r>
      <w:r w:rsidRPr="00C00214">
        <w:rPr>
          <w:lang w:val="en-GB"/>
        </w:rPr>
        <w:t xml:space="preserve"> D</w:t>
      </w:r>
      <w:r w:rsidRPr="00C00214">
        <w:rPr>
          <w:vertAlign w:val="subscript"/>
          <w:lang w:val="en-GB"/>
        </w:rPr>
        <w:t>19</w:t>
      </w:r>
      <w:r w:rsidRPr="00C00214">
        <w:rPr>
          <w:lang w:val="en-GB"/>
        </w:rPr>
        <w:t xml:space="preserve">, </w:t>
      </w:r>
      <w:r w:rsidRPr="00C00214">
        <w:rPr>
          <w:b/>
          <w:lang w:val="en-GB"/>
        </w:rPr>
        <w:t>c</w:t>
      </w:r>
      <w:r w:rsidRPr="00C00214">
        <w:rPr>
          <w:lang w:val="en-GB"/>
        </w:rPr>
        <w:t xml:space="preserve"> D</w:t>
      </w:r>
      <w:r w:rsidRPr="00C00214">
        <w:rPr>
          <w:vertAlign w:val="subscript"/>
          <w:lang w:val="en-GB"/>
        </w:rPr>
        <w:t>20</w:t>
      </w:r>
      <w:r w:rsidRPr="00C00214">
        <w:rPr>
          <w:lang w:val="en-GB"/>
        </w:rPr>
        <w:t xml:space="preserve">, </w:t>
      </w:r>
      <w:r w:rsidRPr="00C00214">
        <w:rPr>
          <w:b/>
          <w:lang w:val="en-GB"/>
        </w:rPr>
        <w:t>d</w:t>
      </w:r>
      <w:r w:rsidRPr="00C00214">
        <w:rPr>
          <w:lang w:val="en-GB"/>
        </w:rPr>
        <w:t xml:space="preserve"> D</w:t>
      </w:r>
      <w:r w:rsidRPr="00C00214">
        <w:rPr>
          <w:vertAlign w:val="subscript"/>
          <w:lang w:val="en-GB"/>
        </w:rPr>
        <w:t>21</w:t>
      </w:r>
      <w:r w:rsidRPr="00C00214">
        <w:rPr>
          <w:lang w:val="en-GB"/>
        </w:rPr>
        <w:t xml:space="preserve">, </w:t>
      </w:r>
      <w:r w:rsidRPr="00C00214">
        <w:rPr>
          <w:b/>
          <w:lang w:val="en-GB"/>
        </w:rPr>
        <w:t>e</w:t>
      </w:r>
      <w:r w:rsidRPr="00C00214">
        <w:rPr>
          <w:lang w:val="en-GB"/>
        </w:rPr>
        <w:t xml:space="preserve"> D</w:t>
      </w:r>
      <w:r w:rsidRPr="00C00214">
        <w:rPr>
          <w:vertAlign w:val="subscript"/>
          <w:lang w:val="en-GB"/>
        </w:rPr>
        <w:t>22</w:t>
      </w:r>
      <w:r w:rsidRPr="00C00214">
        <w:rPr>
          <w:lang w:val="en-GB"/>
        </w:rPr>
        <w:t xml:space="preserve">, </w:t>
      </w:r>
      <w:r w:rsidRPr="00C00214">
        <w:rPr>
          <w:b/>
          <w:lang w:val="en-GB"/>
        </w:rPr>
        <w:t>f</w:t>
      </w:r>
      <w:r w:rsidRPr="00C00214">
        <w:rPr>
          <w:lang w:val="en-GB"/>
        </w:rPr>
        <w:t xml:space="preserve"> D</w:t>
      </w:r>
      <w:r w:rsidRPr="00C00214">
        <w:rPr>
          <w:vertAlign w:val="subscript"/>
          <w:lang w:val="en-GB"/>
        </w:rPr>
        <w:t>23</w:t>
      </w:r>
      <w:r w:rsidRPr="00C00214">
        <w:rPr>
          <w:lang w:val="en-GB"/>
        </w:rPr>
        <w:t xml:space="preserve">, </w:t>
      </w:r>
      <w:r w:rsidRPr="00C00214">
        <w:rPr>
          <w:b/>
          <w:lang w:val="en-GB"/>
        </w:rPr>
        <w:t>g</w:t>
      </w:r>
      <w:r w:rsidRPr="00C00214">
        <w:rPr>
          <w:lang w:val="en-GB"/>
        </w:rPr>
        <w:t xml:space="preserve"> D</w:t>
      </w:r>
      <w:r w:rsidRPr="00C00214">
        <w:rPr>
          <w:vertAlign w:val="subscript"/>
          <w:lang w:val="en-GB"/>
        </w:rPr>
        <w:t>38</w:t>
      </w:r>
      <w:r w:rsidRPr="00C00214">
        <w:rPr>
          <w:lang w:val="en-GB"/>
        </w:rPr>
        <w:t xml:space="preserve">, </w:t>
      </w:r>
      <w:r w:rsidRPr="00C00214">
        <w:rPr>
          <w:b/>
          <w:lang w:val="en-GB"/>
        </w:rPr>
        <w:t>h</w:t>
      </w:r>
      <w:r w:rsidRPr="00C00214">
        <w:rPr>
          <w:lang w:val="en-GB"/>
        </w:rPr>
        <w:t xml:space="preserve"> D</w:t>
      </w:r>
      <w:r w:rsidRPr="00C00214">
        <w:rPr>
          <w:vertAlign w:val="subscript"/>
          <w:lang w:val="en-GB"/>
        </w:rPr>
        <w:t>39</w:t>
      </w:r>
      <w:r w:rsidRPr="00C00214">
        <w:rPr>
          <w:lang w:val="en-GB"/>
        </w:rPr>
        <w:t xml:space="preserve">, and </w:t>
      </w:r>
      <w:r w:rsidRPr="00C00214">
        <w:rPr>
          <w:b/>
          <w:lang w:val="en-GB"/>
        </w:rPr>
        <w:t>i</w:t>
      </w:r>
      <w:r w:rsidRPr="00C00214">
        <w:rPr>
          <w:lang w:val="en-GB"/>
        </w:rPr>
        <w:t xml:space="preserve"> D</w:t>
      </w:r>
      <w:r w:rsidRPr="00C00214">
        <w:rPr>
          <w:vertAlign w:val="subscript"/>
          <w:lang w:val="en-GB"/>
        </w:rPr>
        <w:t>40</w:t>
      </w:r>
      <w:r w:rsidRPr="00C00214">
        <w:rPr>
          <w:lang w:val="en-GB"/>
        </w:rPr>
        <w:t xml:space="preserve"> in the energy range of 0–600 eV for monolayer graphene (</w:t>
      </w:r>
      <w:r w:rsidRPr="00C00214">
        <w:rPr>
          <w:i/>
          <w:lang w:val="en-GB"/>
        </w:rPr>
        <w:t>G</w:t>
      </w:r>
      <w:r w:rsidRPr="00C00214">
        <w:rPr>
          <w:vertAlign w:val="subscript"/>
          <w:lang w:val="en-GB"/>
        </w:rPr>
        <w:t>1</w:t>
      </w:r>
      <w:r w:rsidRPr="00C00214">
        <w:rPr>
          <w:lang w:val="en-GB"/>
        </w:rPr>
        <w:t>) and bilayer graphene (</w:t>
      </w:r>
      <w:r w:rsidRPr="00C00214">
        <w:rPr>
          <w:i/>
          <w:lang w:val="en-GB"/>
        </w:rPr>
        <w:t>G</w:t>
      </w:r>
      <w:r w:rsidRPr="00C00214">
        <w:rPr>
          <w:vertAlign w:val="subscript"/>
          <w:lang w:val="en-GB"/>
        </w:rPr>
        <w:t>2</w:t>
      </w:r>
      <w:r w:rsidRPr="00C00214">
        <w:rPr>
          <w:lang w:val="en-GB"/>
        </w:rPr>
        <w:t>) with incident electron energies of 10 keV (</w:t>
      </w:r>
      <w:r w:rsidRPr="00C00214">
        <w:rPr>
          <w:i/>
          <w:lang w:val="en-GB"/>
        </w:rPr>
        <w:t>E</w:t>
      </w:r>
      <w:r w:rsidRPr="00C00214">
        <w:rPr>
          <w:vertAlign w:val="subscript"/>
          <w:lang w:val="en-GB"/>
        </w:rPr>
        <w:t>10</w:t>
      </w:r>
      <w:r w:rsidRPr="00C00214">
        <w:rPr>
          <w:lang w:val="en-GB"/>
        </w:rPr>
        <w:t>), 15 keV (</w:t>
      </w:r>
      <w:r w:rsidRPr="00C00214">
        <w:rPr>
          <w:i/>
          <w:lang w:val="en-GB"/>
        </w:rPr>
        <w:t>E</w:t>
      </w:r>
      <w:r w:rsidRPr="00C00214">
        <w:rPr>
          <w:vertAlign w:val="subscript"/>
          <w:lang w:val="en-GB"/>
        </w:rPr>
        <w:t>15</w:t>
      </w:r>
      <w:r w:rsidRPr="00C00214">
        <w:rPr>
          <w:lang w:val="en-GB"/>
        </w:rPr>
        <w:t>), and 20 keV (</w:t>
      </w:r>
      <w:r w:rsidRPr="00C00214">
        <w:rPr>
          <w:i/>
          <w:lang w:val="en-GB"/>
        </w:rPr>
        <w:t>E</w:t>
      </w:r>
      <w:r w:rsidRPr="00C00214">
        <w:rPr>
          <w:vertAlign w:val="subscript"/>
          <w:lang w:val="en-GB"/>
        </w:rPr>
        <w:t>20</w:t>
      </w:r>
      <w:r w:rsidRPr="00C00214">
        <w:rPr>
          <w:lang w:val="en-GB"/>
        </w:rPr>
        <w:t>).</w:t>
      </w:r>
    </w:p>
    <w:p w14:paraId="4ADB4D7E" w14:textId="77777777" w:rsidR="00FB5F50" w:rsidRPr="00C00214" w:rsidRDefault="00FB5F50" w:rsidP="00FB5F50">
      <w:pPr>
        <w:pStyle w:val="Paragraph"/>
        <w:spacing w:line="480" w:lineRule="auto"/>
        <w:ind w:left="567" w:firstLine="0"/>
        <w:rPr>
          <w:lang w:val="en-GB"/>
        </w:rPr>
      </w:pPr>
      <w:r w:rsidRPr="00C00214">
        <w:rPr>
          <w:lang w:val="en-GB"/>
        </w:rPr>
        <w:br w:type="page"/>
      </w:r>
    </w:p>
    <w:p w14:paraId="461DBD49" w14:textId="1ECC940B" w:rsidR="00FB5F50" w:rsidRPr="00C00214" w:rsidRDefault="00363CCA" w:rsidP="00564ED1">
      <w:pPr>
        <w:pStyle w:val="Paragraph"/>
        <w:spacing w:line="480" w:lineRule="auto"/>
        <w:ind w:firstLine="0"/>
        <w:jc w:val="center"/>
        <w:rPr>
          <w:lang w:val="en-GB"/>
        </w:rPr>
      </w:pPr>
      <w:r>
        <w:rPr>
          <w:noProof/>
          <w:lang w:eastAsia="zh-CN"/>
        </w:rPr>
        <w:lastRenderedPageBreak/>
        <w:pict w14:anchorId="29581AED">
          <v:shape id="_x0000_i1065" type="#_x0000_t75" style="width:369.5pt;height:181.5pt">
            <v:imagedata r:id="rId83" o:title="nFig12"/>
          </v:shape>
        </w:pict>
      </w:r>
    </w:p>
    <w:p w14:paraId="7DF367AB" w14:textId="24577FAC" w:rsidR="00FB5F50" w:rsidRPr="00C00214" w:rsidRDefault="00FB5F50" w:rsidP="00FB5F50">
      <w:pPr>
        <w:jc w:val="both"/>
        <w:rPr>
          <w:lang w:val="en-GB"/>
        </w:rPr>
      </w:pPr>
      <w:r w:rsidRPr="00C00214">
        <w:rPr>
          <w:b/>
          <w:lang w:val="en-GB"/>
        </w:rPr>
        <w:t xml:space="preserve">Fig. 12 </w:t>
      </w:r>
      <w:r w:rsidRPr="00C00214">
        <w:rPr>
          <w:lang w:val="en-GB"/>
        </w:rPr>
        <w:t>Measurement of the effective attenuation length for graphene (</w:t>
      </w:r>
      <w:r w:rsidRPr="00C00214">
        <w:rPr>
          <w:i/>
          <w:lang w:val="en-GB"/>
        </w:rPr>
        <w:t>λ</w:t>
      </w:r>
      <w:r w:rsidRPr="00C00214">
        <w:rPr>
          <w:vertAlign w:val="subscript"/>
          <w:lang w:val="en-GB"/>
        </w:rPr>
        <w:t>EAL</w:t>
      </w:r>
      <w:r w:rsidRPr="00C00214">
        <w:rPr>
          <w:lang w:val="en-GB"/>
        </w:rPr>
        <w:t xml:space="preserve">) based on the overlayer method. Plots of </w:t>
      </w:r>
      <w:r w:rsidRPr="00C00214">
        <w:rPr>
          <w:b/>
          <w:lang w:val="en-GB"/>
        </w:rPr>
        <w:t>a</w:t>
      </w:r>
      <w:r w:rsidRPr="00C00214">
        <w:rPr>
          <w:lang w:val="en-GB"/>
        </w:rPr>
        <w:t xml:space="preserve"> Ni MVV spectra taken on a bare Ni substrate and a monolayer of graphene on top of a Ni substrate, and </w:t>
      </w:r>
      <w:r w:rsidRPr="00C00214">
        <w:rPr>
          <w:b/>
          <w:lang w:val="en-GB"/>
        </w:rPr>
        <w:t>b</w:t>
      </w:r>
      <w:r w:rsidRPr="00C00214">
        <w:rPr>
          <w:lang w:val="en-GB"/>
        </w:rPr>
        <w:t xml:space="preserve"> Si LVV and </w:t>
      </w:r>
      <w:r w:rsidRPr="00C00214">
        <w:rPr>
          <w:b/>
          <w:lang w:val="en-GB"/>
        </w:rPr>
        <w:t>c</w:t>
      </w:r>
      <w:r w:rsidRPr="00C00214">
        <w:rPr>
          <w:lang w:val="en-GB"/>
        </w:rPr>
        <w:t xml:space="preserve"> O KLL spectra measured for a bare SiO</w:t>
      </w:r>
      <w:r w:rsidRPr="00C00214">
        <w:rPr>
          <w:vertAlign w:val="subscript"/>
          <w:lang w:val="en-GB"/>
        </w:rPr>
        <w:t>2</w:t>
      </w:r>
      <w:r w:rsidRPr="00C00214">
        <w:rPr>
          <w:lang w:val="en-GB"/>
        </w:rPr>
        <w:t xml:space="preserve"> substrate and one, two, three, and six layers of graphene on top of a SiO</w:t>
      </w:r>
      <w:r w:rsidRPr="00C00214">
        <w:rPr>
          <w:vertAlign w:val="subscript"/>
          <w:lang w:val="en-GB"/>
        </w:rPr>
        <w:t>2</w:t>
      </w:r>
      <w:r w:rsidRPr="00C00214">
        <w:rPr>
          <w:lang w:val="en-GB"/>
        </w:rPr>
        <w:t xml:space="preserve"> substrate. It should be noted that the Auger spectra for the Ni and SiO</w:t>
      </w:r>
      <w:r w:rsidRPr="00C00214">
        <w:rPr>
          <w:vertAlign w:val="subscript"/>
          <w:lang w:val="en-GB"/>
        </w:rPr>
        <w:t>2</w:t>
      </w:r>
      <w:r w:rsidRPr="00C00214">
        <w:rPr>
          <w:lang w:val="en-GB"/>
        </w:rPr>
        <w:t xml:space="preserve"> substrates and monolayer graphene on these substrates are averaged from nine separate measurements from different sample areas. The contributions from Auger electrons are highlighted by coloured bands. Log plots of the </w:t>
      </w:r>
      <w:r w:rsidRPr="00C00214">
        <w:rPr>
          <w:b/>
          <w:lang w:val="en-GB"/>
        </w:rPr>
        <w:t>d</w:t>
      </w:r>
      <w:r w:rsidRPr="00C00214">
        <w:rPr>
          <w:lang w:val="en-GB"/>
        </w:rPr>
        <w:t xml:space="preserve"> Ni MVV, </w:t>
      </w:r>
      <w:r w:rsidRPr="00C00214">
        <w:rPr>
          <w:b/>
          <w:lang w:val="en-GB"/>
        </w:rPr>
        <w:t>e</w:t>
      </w:r>
      <w:r w:rsidRPr="00C00214">
        <w:rPr>
          <w:lang w:val="en-GB"/>
        </w:rPr>
        <w:t xml:space="preserve"> Si LVV, and </w:t>
      </w:r>
      <w:r w:rsidRPr="00C00214">
        <w:rPr>
          <w:b/>
          <w:lang w:val="en-GB"/>
        </w:rPr>
        <w:t>f</w:t>
      </w:r>
      <w:r w:rsidRPr="00C00214">
        <w:rPr>
          <w:lang w:val="en-GB"/>
        </w:rPr>
        <w:t xml:space="preserve"> O KLL spectral intensity attenuation as a function of the number of layers of graphene. The fitting line slope defines exp(−</w:t>
      </w:r>
      <w:r w:rsidRPr="00C00214">
        <w:rPr>
          <w:i/>
          <w:lang w:val="en-GB"/>
        </w:rPr>
        <w:t>G</w:t>
      </w:r>
      <w:r w:rsidRPr="00C00214">
        <w:rPr>
          <w:vertAlign w:val="subscript"/>
          <w:lang w:val="en-GB"/>
        </w:rPr>
        <w:t>n</w:t>
      </w:r>
      <w:r w:rsidRPr="00C00214">
        <w:rPr>
          <w:i/>
          <w:lang w:val="en-GB"/>
        </w:rPr>
        <w:t>d</w:t>
      </w:r>
      <w:r w:rsidRPr="00C00214">
        <w:rPr>
          <w:vertAlign w:val="subscript"/>
          <w:lang w:val="en-GB"/>
        </w:rPr>
        <w:t>0</w:t>
      </w:r>
      <w:r w:rsidRPr="00C00214">
        <w:rPr>
          <w:lang w:val="en-GB"/>
        </w:rPr>
        <w:t>/</w:t>
      </w:r>
      <w:r w:rsidRPr="00C00214">
        <w:rPr>
          <w:i/>
          <w:lang w:val="en-GB"/>
        </w:rPr>
        <w:t>λ</w:t>
      </w:r>
      <w:r w:rsidRPr="00C00214">
        <w:rPr>
          <w:vertAlign w:val="subscript"/>
          <w:lang w:val="en-GB"/>
        </w:rPr>
        <w:t>EAL</w:t>
      </w:r>
      <w:r w:rsidRPr="00C00214">
        <w:rPr>
          <w:lang w:val="en-GB"/>
        </w:rPr>
        <w:t xml:space="preserve">), where </w:t>
      </w:r>
      <w:r w:rsidRPr="00C00214">
        <w:rPr>
          <w:i/>
          <w:lang w:val="en-GB"/>
        </w:rPr>
        <w:t>G</w:t>
      </w:r>
      <w:r w:rsidRPr="00C00214">
        <w:rPr>
          <w:vertAlign w:val="subscript"/>
          <w:lang w:val="en-GB"/>
        </w:rPr>
        <w:t>n</w:t>
      </w:r>
      <w:r w:rsidRPr="00C00214">
        <w:rPr>
          <w:i/>
          <w:lang w:val="en-GB"/>
        </w:rPr>
        <w:t xml:space="preserve"> </w:t>
      </w:r>
      <w:r w:rsidRPr="00C00214">
        <w:rPr>
          <w:lang w:val="en-GB"/>
        </w:rPr>
        <w:t xml:space="preserve">is the number of graphene sheets and </w:t>
      </w:r>
      <w:r w:rsidRPr="00C00214">
        <w:rPr>
          <w:i/>
          <w:lang w:val="en-GB"/>
        </w:rPr>
        <w:t>d</w:t>
      </w:r>
      <w:r w:rsidRPr="00C00214">
        <w:rPr>
          <w:vertAlign w:val="subscript"/>
          <w:lang w:val="en-GB"/>
        </w:rPr>
        <w:t>0</w:t>
      </w:r>
      <w:r w:rsidRPr="00C00214">
        <w:rPr>
          <w:lang w:val="en-GB"/>
        </w:rPr>
        <w:t xml:space="preserve"> is the thickness of monolayer graphene (3.35 Å).</w:t>
      </w:r>
    </w:p>
    <w:p w14:paraId="7DDCF644" w14:textId="77777777" w:rsidR="00FB5F50" w:rsidRPr="00C00214" w:rsidRDefault="00FB5F50" w:rsidP="00FB5F50">
      <w:pPr>
        <w:pStyle w:val="Paragraph"/>
        <w:spacing w:line="480" w:lineRule="auto"/>
        <w:ind w:left="567" w:firstLine="0"/>
        <w:rPr>
          <w:lang w:val="en-GB"/>
        </w:rPr>
      </w:pPr>
      <w:r w:rsidRPr="00C00214">
        <w:rPr>
          <w:lang w:val="en-GB"/>
        </w:rPr>
        <w:br w:type="page"/>
      </w:r>
    </w:p>
    <w:p w14:paraId="20E08551" w14:textId="4A326BDB" w:rsidR="00FB5F50" w:rsidRPr="00C00214" w:rsidRDefault="00363CCA" w:rsidP="00564ED1">
      <w:pPr>
        <w:pStyle w:val="Paragraph"/>
        <w:spacing w:line="480" w:lineRule="auto"/>
        <w:ind w:firstLine="0"/>
        <w:jc w:val="center"/>
        <w:rPr>
          <w:lang w:val="en-GB"/>
        </w:rPr>
      </w:pPr>
      <w:r>
        <w:rPr>
          <w:noProof/>
          <w:lang w:eastAsia="zh-CN"/>
        </w:rPr>
        <w:lastRenderedPageBreak/>
        <w:pict w14:anchorId="0B608DB0">
          <v:shape id="_x0000_i1066" type="#_x0000_t75" style="width:453.5pt;height:294.5pt">
            <v:imagedata r:id="rId84" o:title="nFig13"/>
          </v:shape>
        </w:pict>
      </w:r>
    </w:p>
    <w:p w14:paraId="60673C94" w14:textId="5A185D8A" w:rsidR="00FB5F50" w:rsidRPr="00C00214" w:rsidRDefault="00FB5F50" w:rsidP="00FB5F50">
      <w:pPr>
        <w:jc w:val="both"/>
        <w:rPr>
          <w:lang w:val="en-GB"/>
        </w:rPr>
      </w:pPr>
      <w:r w:rsidRPr="00C00214">
        <w:rPr>
          <w:b/>
          <w:lang w:val="en-GB"/>
        </w:rPr>
        <w:t>Fig. 13.</w:t>
      </w:r>
      <w:r w:rsidRPr="00C00214">
        <w:rPr>
          <w:lang w:val="en-GB"/>
        </w:rPr>
        <w:t xml:space="preserve"> Reverse Monte Carlo (RMC) program to determine the inelastic mean free path (</w:t>
      </w:r>
      <w:r w:rsidRPr="00C00214">
        <w:rPr>
          <w:i/>
          <w:lang w:val="en-GB"/>
        </w:rPr>
        <w:t>λ</w:t>
      </w:r>
      <w:r w:rsidRPr="00C00214">
        <w:rPr>
          <w:vertAlign w:val="subscript"/>
          <w:lang w:val="en-GB"/>
        </w:rPr>
        <w:t>IMFP</w:t>
      </w:r>
      <w:r w:rsidRPr="00C00214">
        <w:rPr>
          <w:lang w:val="en-GB"/>
        </w:rPr>
        <w:t xml:space="preserve">) of graphene. </w:t>
      </w:r>
      <w:r w:rsidRPr="00C00214">
        <w:rPr>
          <w:b/>
          <w:lang w:val="en-GB"/>
        </w:rPr>
        <w:t>a</w:t>
      </w:r>
      <w:r w:rsidRPr="00C00214">
        <w:rPr>
          <w:lang w:val="en-GB"/>
        </w:rPr>
        <w:t xml:space="preserve"> Flow chart of the RMC program used to extract the </w:t>
      </w:r>
      <w:r w:rsidRPr="00C00214">
        <w:rPr>
          <w:i/>
          <w:lang w:val="en-GB"/>
        </w:rPr>
        <w:t>λ</w:t>
      </w:r>
      <w:r w:rsidRPr="00C00214">
        <w:rPr>
          <w:vertAlign w:val="subscript"/>
          <w:lang w:val="en-GB"/>
        </w:rPr>
        <w:t>IMFP</w:t>
      </w:r>
      <w:r w:rsidRPr="00C00214">
        <w:rPr>
          <w:lang w:val="en-GB"/>
        </w:rPr>
        <w:t xml:space="preserve"> of graphene from the measured elastic transmission. </w:t>
      </w:r>
      <w:r w:rsidRPr="00C00214">
        <w:rPr>
          <w:b/>
          <w:lang w:val="en-GB"/>
        </w:rPr>
        <w:t>b</w:t>
      </w:r>
      <w:r w:rsidRPr="00C00214">
        <w:rPr>
          <w:lang w:val="en-GB"/>
        </w:rPr>
        <w:t xml:space="preserve"> Schematic diagram of the conventional MC simulation program, which acts as a single Markov chain Monte Carlo (MCMC) sampling in this RMC method. </w:t>
      </w:r>
      <w:r w:rsidRPr="00C00214">
        <w:rPr>
          <w:b/>
          <w:lang w:val="en-GB"/>
        </w:rPr>
        <w:t>c</w:t>
      </w:r>
      <w:r w:rsidRPr="00C00214">
        <w:rPr>
          <w:lang w:val="en-GB"/>
        </w:rPr>
        <w:t xml:space="preserve"> Energy loss probability calculated based on the dielectric response theory used in this RMC method. </w:t>
      </w:r>
      <w:r w:rsidRPr="00C00214">
        <w:rPr>
          <w:b/>
          <w:lang w:val="en-GB"/>
        </w:rPr>
        <w:t>d</w:t>
      </w:r>
      <w:r w:rsidRPr="00C00214">
        <w:rPr>
          <w:lang w:val="en-GB"/>
        </w:rPr>
        <w:t xml:space="preserve"> Updating process of the simulated elastic transmission (top) and corresponding </w:t>
      </w:r>
      <w:r w:rsidRPr="00C00214">
        <w:rPr>
          <w:i/>
          <w:lang w:val="en-GB"/>
        </w:rPr>
        <w:t>λ</w:t>
      </w:r>
      <w:r w:rsidRPr="00C00214">
        <w:rPr>
          <w:vertAlign w:val="subscript"/>
          <w:lang w:val="en-GB"/>
        </w:rPr>
        <w:t>IMFP</w:t>
      </w:r>
      <w:r w:rsidRPr="00C00214">
        <w:rPr>
          <w:lang w:val="en-GB"/>
        </w:rPr>
        <w:t xml:space="preserve"> (bottom) for monolayer graphene in the RMC process. The resulting simulated elastic transmission is compared with experimental measurements for monolayer graphene with an incident electron energy of 10 keV. </w:t>
      </w:r>
      <w:r w:rsidRPr="00C00214">
        <w:rPr>
          <w:b/>
          <w:lang w:val="en-GB"/>
        </w:rPr>
        <w:t>e</w:t>
      </w:r>
      <w:r w:rsidRPr="00C00214">
        <w:rPr>
          <w:lang w:val="en-GB"/>
        </w:rPr>
        <w:t xml:space="preserve"> The normalized least-squares </w:t>
      </w:r>
      <w:r w:rsidRPr="00C00214">
        <w:rPr>
          <w:position w:val="-12"/>
          <w:lang w:val="en-GB"/>
        </w:rPr>
        <w:object w:dxaOrig="740" w:dyaOrig="380" w14:anchorId="6909028A">
          <v:shape id="_x0000_i1067" type="#_x0000_t75" style="width:30pt;height:17.5pt" o:ole="">
            <v:imagedata r:id="rId85" o:title=""/>
          </v:shape>
          <o:OLEObject Type="Embed" ProgID="Equation.DSMT4" ShapeID="_x0000_i1067" DrawAspect="Content" ObjectID="_1646139083" r:id="rId86"/>
        </w:object>
      </w:r>
      <w:r w:rsidRPr="00C00214">
        <w:rPr>
          <w:i/>
          <w:lang w:val="en-GB"/>
        </w:rPr>
        <w:t xml:space="preserve"> </w:t>
      </w:r>
      <w:r w:rsidRPr="00C00214">
        <w:rPr>
          <w:lang w:val="en-GB"/>
        </w:rPr>
        <w:t xml:space="preserve">for the </w:t>
      </w:r>
      <w:r w:rsidRPr="00C00214">
        <w:rPr>
          <w:i/>
          <w:lang w:val="en-GB"/>
        </w:rPr>
        <w:t>i</w:t>
      </w:r>
      <w:r w:rsidRPr="00C00214">
        <w:rPr>
          <w:lang w:val="en-GB"/>
        </w:rPr>
        <w:t xml:space="preserve">th MCMC step in the RMC method, where </w:t>
      </w:r>
      <w:r w:rsidRPr="00C00214">
        <w:rPr>
          <w:position w:val="-20"/>
          <w:lang w:val="en-GB"/>
        </w:rPr>
        <w:object w:dxaOrig="4080" w:dyaOrig="560" w14:anchorId="19B3608C">
          <v:shape id="_x0000_i1068" type="#_x0000_t75" style="width:169.5pt;height:25.5pt" o:ole="">
            <v:imagedata r:id="rId87" o:title=""/>
          </v:shape>
          <o:OLEObject Type="Embed" ProgID="Equation.DSMT4" ShapeID="_x0000_i1068" DrawAspect="Content" ObjectID="_1646139084" r:id="rId88"/>
        </w:object>
      </w:r>
      <w:r w:rsidRPr="00C00214">
        <w:rPr>
          <w:lang w:val="en-GB"/>
        </w:rPr>
        <w:t xml:space="preserve">, wherein the index </w:t>
      </w:r>
      <w:r w:rsidRPr="00C00214">
        <w:rPr>
          <w:i/>
          <w:lang w:val="en-GB"/>
        </w:rPr>
        <w:t xml:space="preserve">j </w:t>
      </w:r>
      <w:r w:rsidRPr="00C00214">
        <w:rPr>
          <w:lang w:val="en-GB"/>
        </w:rPr>
        <w:t xml:space="preserve">denotes the </w:t>
      </w:r>
      <w:r w:rsidRPr="00C00214">
        <w:rPr>
          <w:i/>
          <w:lang w:val="en-GB"/>
        </w:rPr>
        <w:t>j</w:t>
      </w:r>
      <w:r w:rsidRPr="00C00214">
        <w:rPr>
          <w:lang w:val="en-GB"/>
        </w:rPr>
        <w:t xml:space="preserve">th experimental grid values of electron energy </w:t>
      </w:r>
      <w:r w:rsidRPr="00C00214">
        <w:rPr>
          <w:i/>
          <w:lang w:val="en-GB"/>
        </w:rPr>
        <w:t>E</w:t>
      </w:r>
      <w:r w:rsidRPr="00C00214">
        <w:rPr>
          <w:lang w:val="en-GB"/>
        </w:rPr>
        <w:t xml:space="preserve">, </w:t>
      </w:r>
      <w:r w:rsidRPr="00C00214">
        <w:rPr>
          <w:i/>
          <w:lang w:val="en-GB"/>
        </w:rPr>
        <w:t>σ</w:t>
      </w:r>
      <w:r w:rsidRPr="00C00214">
        <w:rPr>
          <w:lang w:val="en-GB"/>
        </w:rPr>
        <w:t>(</w:t>
      </w:r>
      <w:r w:rsidRPr="00C00214">
        <w:rPr>
          <w:i/>
          <w:lang w:val="en-GB"/>
        </w:rPr>
        <w:t>E</w:t>
      </w:r>
      <w:r w:rsidRPr="00C00214">
        <w:rPr>
          <w:i/>
          <w:vertAlign w:val="subscript"/>
          <w:lang w:val="en-GB"/>
        </w:rPr>
        <w:t>j</w:t>
      </w:r>
      <w:r w:rsidRPr="00C00214">
        <w:rPr>
          <w:lang w:val="en-GB"/>
        </w:rPr>
        <w:t xml:space="preserve">) is the weighting factor for accelerating </w:t>
      </w:r>
      <w:r w:rsidRPr="00C00214">
        <w:rPr>
          <w:lang w:val="en-GB"/>
        </w:rPr>
        <w:lastRenderedPageBreak/>
        <w:t xml:space="preserve">convergence, </w:t>
      </w:r>
      <w:r w:rsidRPr="00C00214">
        <w:rPr>
          <w:i/>
          <w:position w:val="-12"/>
          <w:lang w:val="en-GB"/>
        </w:rPr>
        <w:object w:dxaOrig="400" w:dyaOrig="380" w14:anchorId="118B8A5E">
          <v:shape id="_x0000_i1069" type="#_x0000_t75" style="width:21pt;height:21pt" o:ole="">
            <v:imagedata r:id="rId89" o:title=""/>
          </v:shape>
          <o:OLEObject Type="Embed" ProgID="Equation.DSMT4" ShapeID="_x0000_i1069" DrawAspect="Content" ObjectID="_1646139085" r:id="rId90"/>
        </w:object>
      </w:r>
      <w:r w:rsidRPr="00C00214">
        <w:rPr>
          <w:i/>
          <w:lang w:val="en-GB"/>
        </w:rPr>
        <w:t xml:space="preserve"> </w:t>
      </w:r>
      <w:r w:rsidRPr="00C00214">
        <w:rPr>
          <w:lang w:val="en-GB"/>
        </w:rPr>
        <w:t xml:space="preserve">is the simulated elastic transmission spectrum in the </w:t>
      </w:r>
      <w:r w:rsidRPr="00C00214">
        <w:rPr>
          <w:i/>
          <w:lang w:val="en-GB"/>
        </w:rPr>
        <w:t>i</w:t>
      </w:r>
      <w:r w:rsidRPr="00C00214">
        <w:rPr>
          <w:lang w:val="en-GB"/>
        </w:rPr>
        <w:t xml:space="preserve">th MCMC step, and </w:t>
      </w:r>
      <w:r w:rsidRPr="00C00214">
        <w:rPr>
          <w:i/>
          <w:lang w:val="en-GB"/>
        </w:rPr>
        <w:t>I</w:t>
      </w:r>
      <w:r w:rsidRPr="00C00214">
        <w:rPr>
          <w:vertAlign w:val="superscript"/>
          <w:lang w:val="en-GB"/>
        </w:rPr>
        <w:t>exp</w:t>
      </w:r>
      <w:r w:rsidRPr="00C00214">
        <w:rPr>
          <w:lang w:val="en-GB"/>
        </w:rPr>
        <w:t xml:space="preserve"> is the experimentally measured elastic transmission. The simulated elastic transmission of monolayer graphene and the corresponding </w:t>
      </w:r>
      <w:r w:rsidRPr="00C00214">
        <w:rPr>
          <w:i/>
          <w:lang w:val="en-GB"/>
        </w:rPr>
        <w:t>λ</w:t>
      </w:r>
      <w:r w:rsidRPr="00C00214">
        <w:rPr>
          <w:vertAlign w:val="subscript"/>
          <w:lang w:val="en-GB"/>
        </w:rPr>
        <w:t>IMFP</w:t>
      </w:r>
      <w:r w:rsidRPr="00C00214">
        <w:rPr>
          <w:lang w:val="en-GB"/>
        </w:rPr>
        <w:t xml:space="preserve"> after 50 successive MCMC steps are presented in the </w:t>
      </w:r>
      <w:r w:rsidRPr="00C00214">
        <w:rPr>
          <w:i/>
          <w:lang w:val="en-GB"/>
        </w:rPr>
        <w:t>E</w:t>
      </w:r>
      <w:r w:rsidRPr="00C00214">
        <w:rPr>
          <w:lang w:val="en-GB"/>
        </w:rPr>
        <w:t xml:space="preserve"> ranges of </w:t>
      </w:r>
      <w:r w:rsidRPr="00C00214">
        <w:rPr>
          <w:b/>
          <w:lang w:val="en-GB"/>
        </w:rPr>
        <w:t>f</w:t>
      </w:r>
      <w:r w:rsidRPr="00C00214">
        <w:rPr>
          <w:lang w:val="en-GB"/>
        </w:rPr>
        <w:t xml:space="preserve"> 0–600 eV and </w:t>
      </w:r>
      <w:r w:rsidRPr="00C00214">
        <w:rPr>
          <w:b/>
          <w:lang w:val="en-GB"/>
        </w:rPr>
        <w:t>g</w:t>
      </w:r>
      <w:r w:rsidRPr="00C00214">
        <w:rPr>
          <w:lang w:val="en-GB"/>
        </w:rPr>
        <w:t xml:space="preserve"> 0–50 eV based on the different atomic potentials involved in the elastic cross section. These potentials are the muffin-tin potential (muf); muf + absorption potential (muf+mab); muf + correlation-polarization potential (muf+mcp); and muf+mcp+mab; together with the experimentally measured elastic transmission (Exp). </w:t>
      </w:r>
    </w:p>
    <w:p w14:paraId="738BF6E5" w14:textId="77777777" w:rsidR="00FB5F50" w:rsidRPr="00C00214" w:rsidRDefault="00FB5F50" w:rsidP="00FB5F50">
      <w:pPr>
        <w:pStyle w:val="Paragraph"/>
        <w:spacing w:line="480" w:lineRule="auto"/>
        <w:ind w:left="720"/>
        <w:rPr>
          <w:lang w:val="en-GB"/>
        </w:rPr>
      </w:pPr>
    </w:p>
    <w:p w14:paraId="5B8B9611" w14:textId="77777777" w:rsidR="00FB5F50" w:rsidRPr="00C00214" w:rsidRDefault="00FB5F50" w:rsidP="00FB5F50">
      <w:pPr>
        <w:spacing w:line="240" w:lineRule="auto"/>
        <w:rPr>
          <w:lang w:val="en-GB"/>
        </w:rPr>
      </w:pPr>
      <w:r w:rsidRPr="00C00214">
        <w:rPr>
          <w:lang w:val="en-GB"/>
        </w:rPr>
        <w:br w:type="page"/>
      </w:r>
    </w:p>
    <w:p w14:paraId="1508F327" w14:textId="369605B9" w:rsidR="00FB5F50" w:rsidRPr="00C00214" w:rsidRDefault="00363CCA" w:rsidP="00FB5F50">
      <w:pPr>
        <w:jc w:val="center"/>
      </w:pPr>
      <w:r>
        <w:rPr>
          <w:noProof/>
          <w:lang w:eastAsia="zh-CN"/>
        </w:rPr>
        <w:lastRenderedPageBreak/>
        <w:pict w14:anchorId="3466525D">
          <v:shape id="_x0000_i1070" type="#_x0000_t75" style="width:454pt;height:167pt">
            <v:imagedata r:id="rId91" o:title="Fig14"/>
          </v:shape>
        </w:pict>
      </w:r>
    </w:p>
    <w:p w14:paraId="1364E501" w14:textId="4460362A" w:rsidR="00FB5F50" w:rsidRPr="00C00214" w:rsidRDefault="00FB5F50" w:rsidP="00FB5F50">
      <w:pPr>
        <w:jc w:val="both"/>
      </w:pPr>
      <w:r w:rsidRPr="00C00214">
        <w:rPr>
          <w:b/>
          <w:lang w:val="en-GB"/>
        </w:rPr>
        <w:t>Fig. 14</w:t>
      </w:r>
      <w:r w:rsidRPr="00C00214">
        <w:rPr>
          <w:lang w:val="en-GB"/>
        </w:rPr>
        <w:t>. Electronic structure of a graphene/Au(111) system.</w:t>
      </w:r>
      <w:r w:rsidRPr="00C00214">
        <w:rPr>
          <w:b/>
          <w:lang w:val="en-GB"/>
        </w:rPr>
        <w:t xml:space="preserve"> a</w:t>
      </w:r>
      <w:r w:rsidRPr="00C00214">
        <w:rPr>
          <w:lang w:val="en-GB"/>
        </w:rPr>
        <w:t xml:space="preserve">, Energy band structure of monolayer graphene on an Au(111) surface. The inset shows the optimized atomic structure of graphene/Au(111), in which the optimized distance between the Au(111) surface and the graphene is 3.4 Å, indicating a weak interaction. The yellow and black balls indicate Au and C atoms, respectively. </w:t>
      </w:r>
      <w:r w:rsidRPr="00C00214">
        <w:rPr>
          <w:b/>
          <w:lang w:val="en-GB"/>
        </w:rPr>
        <w:t>b</w:t>
      </w:r>
      <w:r w:rsidRPr="00C00214">
        <w:rPr>
          <w:lang w:val="en-GB"/>
        </w:rPr>
        <w:t xml:space="preserve">, The projected energy band of graphene in graphene/Au(111). </w:t>
      </w:r>
      <w:r w:rsidRPr="00C00214">
        <w:rPr>
          <w:b/>
          <w:lang w:val="en-GB"/>
        </w:rPr>
        <w:t>c</w:t>
      </w:r>
      <w:r w:rsidRPr="00C00214">
        <w:rPr>
          <w:lang w:val="en-GB"/>
        </w:rPr>
        <w:t xml:space="preserve">, Energy band of free-standing monolayer graphene. </w:t>
      </w:r>
      <w:r w:rsidRPr="00C00214">
        <w:rPr>
          <w:b/>
          <w:lang w:val="en-GB"/>
        </w:rPr>
        <w:t>d</w:t>
      </w:r>
      <w:r w:rsidRPr="00C00214">
        <w:rPr>
          <w:lang w:val="en-GB"/>
        </w:rPr>
        <w:t>, Density of states of free-standing graphene and graphene for a graphene/Au(111) surface. The Fermi energy level is set at 0.0 eV.</w:t>
      </w:r>
    </w:p>
    <w:p w14:paraId="4961E9DE" w14:textId="128009A4" w:rsidR="00FB5F50" w:rsidRPr="00C00214" w:rsidRDefault="00FB5F50">
      <w:pPr>
        <w:spacing w:line="240" w:lineRule="auto"/>
        <w:rPr>
          <w:rFonts w:eastAsia="Times New Roman"/>
        </w:rPr>
      </w:pPr>
      <w:r w:rsidRPr="00C00214">
        <w:br w:type="page"/>
      </w:r>
    </w:p>
    <w:p w14:paraId="14AC43D3" w14:textId="00ED356D" w:rsidR="00FB5F50" w:rsidRPr="00C00214" w:rsidRDefault="00FB5F50" w:rsidP="00FB5F50">
      <w:pPr>
        <w:jc w:val="both"/>
        <w:rPr>
          <w:b/>
          <w:bCs/>
          <w:lang w:val="en-GB"/>
        </w:rPr>
      </w:pPr>
      <w:r w:rsidRPr="00C00214">
        <w:rPr>
          <w:b/>
        </w:rPr>
        <w:lastRenderedPageBreak/>
        <w:t xml:space="preserve">Table </w:t>
      </w:r>
      <w:r w:rsidR="0073776A">
        <w:rPr>
          <w:b/>
        </w:rPr>
        <w:t>1</w:t>
      </w:r>
      <w:r w:rsidRPr="00C00214">
        <w:rPr>
          <w:b/>
        </w:rPr>
        <w:t>.</w:t>
      </w:r>
      <w:r w:rsidRPr="00C00214">
        <w:rPr>
          <w:b/>
          <w:lang w:val="en-GB"/>
        </w:rPr>
        <w:t xml:space="preserve"> </w:t>
      </w:r>
      <w:r w:rsidRPr="00C00214">
        <w:rPr>
          <w:lang w:val="en-GB"/>
        </w:rPr>
        <w:t xml:space="preserve">Weight factors </w:t>
      </w:r>
      <w:r w:rsidRPr="00C00214">
        <w:rPr>
          <w:b/>
          <w:lang w:val="en-GB"/>
        </w:rPr>
        <w:t>a</w:t>
      </w:r>
      <w:r w:rsidRPr="00C00214">
        <w:rPr>
          <w:lang w:val="en-GB"/>
        </w:rPr>
        <w:t xml:space="preserve"> of Pareto optimal descriptors. Expressions describing weight factor </w:t>
      </w:r>
      <w:r w:rsidRPr="00C00214">
        <w:rPr>
          <w:b/>
          <w:lang w:val="en-GB"/>
        </w:rPr>
        <w:t>a</w:t>
      </w:r>
      <w:r w:rsidRPr="00C00214">
        <w:rPr>
          <w:lang w:val="en-GB"/>
        </w:rPr>
        <w:t xml:space="preserve"> are provided in Eq. 1 in the main text.</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3005"/>
        <w:gridCol w:w="1587"/>
        <w:gridCol w:w="3005"/>
      </w:tblGrid>
      <w:tr w:rsidR="00C00214" w:rsidRPr="00C00214" w14:paraId="48466E5B" w14:textId="77777777" w:rsidTr="00FD0552">
        <w:trPr>
          <w:trHeight w:val="454"/>
          <w:jc w:val="center"/>
        </w:trPr>
        <w:tc>
          <w:tcPr>
            <w:tcW w:w="1587" w:type="dxa"/>
            <w:shd w:val="clear" w:color="auto" w:fill="auto"/>
          </w:tcPr>
          <w:p w14:paraId="2FB2BA96" w14:textId="77777777" w:rsidR="00FB5F50" w:rsidRPr="00C00214" w:rsidRDefault="00FB5F50" w:rsidP="00FD0552">
            <w:pPr>
              <w:spacing w:line="240" w:lineRule="auto"/>
              <w:jc w:val="both"/>
              <w:rPr>
                <w:lang w:val="en-GB"/>
              </w:rPr>
            </w:pPr>
            <w:r w:rsidRPr="00C00214">
              <w:rPr>
                <w:lang w:val="en-GB"/>
              </w:rPr>
              <w:t>Pareto optimal Descriptor</w:t>
            </w:r>
          </w:p>
        </w:tc>
        <w:tc>
          <w:tcPr>
            <w:tcW w:w="3005" w:type="dxa"/>
            <w:shd w:val="clear" w:color="auto" w:fill="auto"/>
          </w:tcPr>
          <w:p w14:paraId="76ACEA86" w14:textId="77777777" w:rsidR="00FB5F50" w:rsidRPr="00C00214" w:rsidRDefault="00FB5F50" w:rsidP="00FD0552">
            <w:pPr>
              <w:spacing w:line="240" w:lineRule="auto"/>
              <w:jc w:val="both"/>
              <w:rPr>
                <w:lang w:val="en-GB"/>
              </w:rPr>
            </w:pPr>
            <w:r w:rsidRPr="00C00214">
              <w:rPr>
                <w:lang w:val="en-GB"/>
              </w:rPr>
              <w:t xml:space="preserve">Weight factor </w:t>
            </w:r>
            <w:r w:rsidRPr="00C00214">
              <w:rPr>
                <w:b/>
                <w:lang w:val="en-GB"/>
              </w:rPr>
              <w:t>a</w:t>
            </w:r>
          </w:p>
        </w:tc>
        <w:tc>
          <w:tcPr>
            <w:tcW w:w="1587" w:type="dxa"/>
          </w:tcPr>
          <w:p w14:paraId="62AE154F" w14:textId="77777777" w:rsidR="00FB5F50" w:rsidRPr="00C00214" w:rsidRDefault="00FB5F50" w:rsidP="00FD0552">
            <w:pPr>
              <w:spacing w:line="240" w:lineRule="auto"/>
              <w:jc w:val="both"/>
              <w:rPr>
                <w:lang w:val="en-GB"/>
              </w:rPr>
            </w:pPr>
            <w:r w:rsidRPr="00C00214">
              <w:rPr>
                <w:lang w:val="en-GB"/>
              </w:rPr>
              <w:t>Pareto optimal Descriptor</w:t>
            </w:r>
          </w:p>
        </w:tc>
        <w:tc>
          <w:tcPr>
            <w:tcW w:w="3005" w:type="dxa"/>
          </w:tcPr>
          <w:p w14:paraId="4B7450A4" w14:textId="77777777" w:rsidR="00FB5F50" w:rsidRPr="00C00214" w:rsidRDefault="00FB5F50" w:rsidP="00FD0552">
            <w:pPr>
              <w:spacing w:line="240" w:lineRule="auto"/>
              <w:jc w:val="both"/>
              <w:rPr>
                <w:lang w:val="en-GB"/>
              </w:rPr>
            </w:pPr>
            <w:r w:rsidRPr="00C00214">
              <w:rPr>
                <w:lang w:val="en-GB"/>
              </w:rPr>
              <w:t xml:space="preserve">Weight factor </w:t>
            </w:r>
            <w:r w:rsidRPr="00C00214">
              <w:rPr>
                <w:b/>
                <w:lang w:val="en-GB"/>
              </w:rPr>
              <w:t>a</w:t>
            </w:r>
          </w:p>
        </w:tc>
      </w:tr>
      <w:tr w:rsidR="00C00214" w:rsidRPr="00C00214" w14:paraId="1C281CDF" w14:textId="77777777" w:rsidTr="00FD0552">
        <w:trPr>
          <w:trHeight w:val="312"/>
          <w:jc w:val="center"/>
        </w:trPr>
        <w:tc>
          <w:tcPr>
            <w:tcW w:w="1587" w:type="dxa"/>
            <w:shd w:val="clear" w:color="auto" w:fill="auto"/>
          </w:tcPr>
          <w:p w14:paraId="51047D89"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w:t>
            </w:r>
          </w:p>
        </w:tc>
        <w:tc>
          <w:tcPr>
            <w:tcW w:w="3005" w:type="dxa"/>
            <w:shd w:val="clear" w:color="auto" w:fill="auto"/>
          </w:tcPr>
          <w:p w14:paraId="3450E0DD" w14:textId="77777777" w:rsidR="00FB5F50" w:rsidRPr="00C00214" w:rsidRDefault="00FB5F50" w:rsidP="00FD0552">
            <w:pPr>
              <w:spacing w:line="240" w:lineRule="auto"/>
              <w:rPr>
                <w:rFonts w:ascii="Times" w:hAnsi="Times"/>
                <w:lang w:val="en-GB"/>
              </w:rPr>
            </w:pPr>
            <w:r w:rsidRPr="00C00214">
              <w:rPr>
                <w:rFonts w:ascii="Times" w:hAnsi="Times"/>
                <w:lang w:val="en-GB"/>
              </w:rPr>
              <w:t>[</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 xml:space="preserve">1, 1, </w:t>
            </w:r>
            <w:r w:rsidRPr="00C00214">
              <w:rPr>
                <w:lang w:val="en-GB"/>
              </w:rPr>
              <w:t>0</w:t>
            </w:r>
            <w:r w:rsidRPr="00C00214">
              <w:rPr>
                <w:rFonts w:ascii="Times" w:hAnsi="Times"/>
                <w:lang w:val="en-GB"/>
              </w:rPr>
              <w:t xml:space="preserve">,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 0]</w:t>
            </w:r>
          </w:p>
        </w:tc>
        <w:tc>
          <w:tcPr>
            <w:tcW w:w="1587" w:type="dxa"/>
          </w:tcPr>
          <w:p w14:paraId="1DCF4DF0"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24</w:t>
            </w:r>
          </w:p>
        </w:tc>
        <w:tc>
          <w:tcPr>
            <w:tcW w:w="3005" w:type="dxa"/>
          </w:tcPr>
          <w:p w14:paraId="34EDA6E3"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1, 0, 1, 0, </w:t>
            </w:r>
            <w:r w:rsidRPr="00C00214">
              <w:rPr>
                <w:lang w:val="en-GB"/>
              </w:rPr>
              <w:t>−</w:t>
            </w:r>
            <w:r w:rsidRPr="00C00214">
              <w:rPr>
                <w:rFonts w:ascii="Times" w:hAnsi="Times"/>
                <w:lang w:val="en-GB"/>
              </w:rPr>
              <w:t>1, 1, 0]</w:t>
            </w:r>
          </w:p>
        </w:tc>
      </w:tr>
      <w:tr w:rsidR="00C00214" w:rsidRPr="00C00214" w14:paraId="17D62A3C" w14:textId="77777777" w:rsidTr="00FD0552">
        <w:trPr>
          <w:trHeight w:val="312"/>
          <w:jc w:val="center"/>
        </w:trPr>
        <w:tc>
          <w:tcPr>
            <w:tcW w:w="1587" w:type="dxa"/>
            <w:shd w:val="clear" w:color="auto" w:fill="auto"/>
          </w:tcPr>
          <w:p w14:paraId="49E858A6"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w:t>
            </w:r>
          </w:p>
        </w:tc>
        <w:tc>
          <w:tcPr>
            <w:tcW w:w="3005" w:type="dxa"/>
            <w:shd w:val="clear" w:color="auto" w:fill="auto"/>
          </w:tcPr>
          <w:p w14:paraId="719DB6A3"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0, 0,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 xml:space="preserve">1, −1, </w:t>
            </w:r>
            <w:r w:rsidRPr="00C00214">
              <w:rPr>
                <w:lang w:val="en-GB"/>
              </w:rPr>
              <w:t>−</w:t>
            </w:r>
            <w:r w:rsidRPr="00C00214">
              <w:rPr>
                <w:rFonts w:ascii="Times" w:hAnsi="Times"/>
                <w:lang w:val="en-GB"/>
              </w:rPr>
              <w:t>1]</w:t>
            </w:r>
          </w:p>
        </w:tc>
        <w:tc>
          <w:tcPr>
            <w:tcW w:w="1587" w:type="dxa"/>
          </w:tcPr>
          <w:p w14:paraId="4A747F5A"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25</w:t>
            </w:r>
          </w:p>
        </w:tc>
        <w:tc>
          <w:tcPr>
            <w:tcW w:w="3005" w:type="dxa"/>
          </w:tcPr>
          <w:p w14:paraId="72468E83"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1, 0, 1, 1]</w:t>
            </w:r>
          </w:p>
        </w:tc>
      </w:tr>
      <w:tr w:rsidR="00C00214" w:rsidRPr="00C00214" w14:paraId="1395109D" w14:textId="77777777" w:rsidTr="00FD0552">
        <w:trPr>
          <w:trHeight w:val="312"/>
          <w:jc w:val="center"/>
        </w:trPr>
        <w:tc>
          <w:tcPr>
            <w:tcW w:w="1587" w:type="dxa"/>
            <w:shd w:val="clear" w:color="auto" w:fill="auto"/>
          </w:tcPr>
          <w:p w14:paraId="0E1EEFFB"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w:t>
            </w:r>
          </w:p>
        </w:tc>
        <w:tc>
          <w:tcPr>
            <w:tcW w:w="3005" w:type="dxa"/>
            <w:shd w:val="clear" w:color="auto" w:fill="auto"/>
          </w:tcPr>
          <w:p w14:paraId="53E91BCA"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0, −1, 1, 0,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w:t>
            </w:r>
          </w:p>
        </w:tc>
        <w:tc>
          <w:tcPr>
            <w:tcW w:w="1587" w:type="dxa"/>
          </w:tcPr>
          <w:p w14:paraId="30DC09A6"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26</w:t>
            </w:r>
          </w:p>
        </w:tc>
        <w:tc>
          <w:tcPr>
            <w:tcW w:w="3005" w:type="dxa"/>
          </w:tcPr>
          <w:p w14:paraId="046AE30D"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1, 0, 1, 0, </w:t>
            </w:r>
            <w:r w:rsidRPr="00C00214">
              <w:rPr>
                <w:lang w:val="en-GB"/>
              </w:rPr>
              <w:t>−</w:t>
            </w:r>
            <w:r w:rsidRPr="00C00214">
              <w:rPr>
                <w:rFonts w:ascii="Times" w:hAnsi="Times"/>
                <w:lang w:val="en-GB"/>
              </w:rPr>
              <w:t>1, 1, 1]</w:t>
            </w:r>
          </w:p>
        </w:tc>
      </w:tr>
      <w:tr w:rsidR="00C00214" w:rsidRPr="00C00214" w14:paraId="486788F1" w14:textId="77777777" w:rsidTr="00FD0552">
        <w:trPr>
          <w:trHeight w:val="312"/>
          <w:jc w:val="center"/>
        </w:trPr>
        <w:tc>
          <w:tcPr>
            <w:tcW w:w="1587" w:type="dxa"/>
            <w:shd w:val="clear" w:color="auto" w:fill="auto"/>
          </w:tcPr>
          <w:p w14:paraId="58AB14ED"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4</w:t>
            </w:r>
          </w:p>
        </w:tc>
        <w:tc>
          <w:tcPr>
            <w:tcW w:w="3005" w:type="dxa"/>
            <w:shd w:val="clear" w:color="auto" w:fill="auto"/>
          </w:tcPr>
          <w:p w14:paraId="364EA349"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 0, 0, −1, 0]</w:t>
            </w:r>
          </w:p>
        </w:tc>
        <w:tc>
          <w:tcPr>
            <w:tcW w:w="1587" w:type="dxa"/>
          </w:tcPr>
          <w:p w14:paraId="01DB0389"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27</w:t>
            </w:r>
          </w:p>
        </w:tc>
        <w:tc>
          <w:tcPr>
            <w:tcW w:w="3005" w:type="dxa"/>
          </w:tcPr>
          <w:p w14:paraId="4A235458"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1, 1, 0, 1]</w:t>
            </w:r>
          </w:p>
        </w:tc>
      </w:tr>
      <w:tr w:rsidR="00C00214" w:rsidRPr="00C00214" w14:paraId="74014ABE" w14:textId="77777777" w:rsidTr="00FD0552">
        <w:trPr>
          <w:trHeight w:val="312"/>
          <w:jc w:val="center"/>
        </w:trPr>
        <w:tc>
          <w:tcPr>
            <w:tcW w:w="1587" w:type="dxa"/>
            <w:shd w:val="clear" w:color="auto" w:fill="auto"/>
          </w:tcPr>
          <w:p w14:paraId="46FD4F48"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5</w:t>
            </w:r>
          </w:p>
        </w:tc>
        <w:tc>
          <w:tcPr>
            <w:tcW w:w="3005" w:type="dxa"/>
            <w:shd w:val="clear" w:color="auto" w:fill="auto"/>
          </w:tcPr>
          <w:p w14:paraId="7ED74CCD" w14:textId="77777777" w:rsidR="00FB5F50" w:rsidRPr="00C00214" w:rsidRDefault="00FB5F50" w:rsidP="00FD0552">
            <w:pPr>
              <w:spacing w:line="240" w:lineRule="auto"/>
              <w:rPr>
                <w:rFonts w:ascii="Times" w:hAnsi="Times"/>
                <w:lang w:val="en-GB"/>
              </w:rPr>
            </w:pPr>
            <w:r w:rsidRPr="00C00214">
              <w:rPr>
                <w:rFonts w:ascii="Times" w:hAnsi="Times"/>
                <w:lang w:val="en-GB"/>
              </w:rPr>
              <w:t>[</w:t>
            </w:r>
            <w:r w:rsidRPr="00C00214">
              <w:rPr>
                <w:lang w:val="en-GB"/>
              </w:rPr>
              <w:t>−</w:t>
            </w:r>
            <w:r w:rsidRPr="00C00214">
              <w:rPr>
                <w:rFonts w:ascii="Times" w:hAnsi="Times"/>
                <w:lang w:val="en-GB"/>
              </w:rPr>
              <w:t xml:space="preserve">1, 1, 0, </w:t>
            </w:r>
            <w:r w:rsidRPr="00C00214">
              <w:rPr>
                <w:lang w:val="en-GB"/>
              </w:rPr>
              <w:t>−</w:t>
            </w:r>
            <w:r w:rsidRPr="00C00214">
              <w:rPr>
                <w:rFonts w:ascii="Times" w:hAnsi="Times"/>
                <w:lang w:val="en-GB"/>
              </w:rPr>
              <w:t xml:space="preserve">1, −1, 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w:t>
            </w:r>
          </w:p>
        </w:tc>
        <w:tc>
          <w:tcPr>
            <w:tcW w:w="1587" w:type="dxa"/>
          </w:tcPr>
          <w:p w14:paraId="24AA57E6"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28</w:t>
            </w:r>
          </w:p>
        </w:tc>
        <w:tc>
          <w:tcPr>
            <w:tcW w:w="3005" w:type="dxa"/>
          </w:tcPr>
          <w:p w14:paraId="35FADD1C"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1, 0, 1, 0, 0, 0, </w:t>
            </w:r>
            <w:r w:rsidRPr="00C00214">
              <w:rPr>
                <w:lang w:val="en-GB"/>
              </w:rPr>
              <w:t>−</w:t>
            </w:r>
            <w:r w:rsidRPr="00C00214">
              <w:rPr>
                <w:rFonts w:ascii="Times" w:hAnsi="Times"/>
                <w:lang w:val="en-GB"/>
              </w:rPr>
              <w:t>1]</w:t>
            </w:r>
          </w:p>
        </w:tc>
      </w:tr>
      <w:tr w:rsidR="00C00214" w:rsidRPr="00C00214" w14:paraId="7AE8C8B1" w14:textId="77777777" w:rsidTr="00FD0552">
        <w:trPr>
          <w:trHeight w:val="312"/>
          <w:jc w:val="center"/>
        </w:trPr>
        <w:tc>
          <w:tcPr>
            <w:tcW w:w="1587" w:type="dxa"/>
            <w:shd w:val="clear" w:color="auto" w:fill="auto"/>
          </w:tcPr>
          <w:p w14:paraId="709D577A"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6</w:t>
            </w:r>
          </w:p>
        </w:tc>
        <w:tc>
          <w:tcPr>
            <w:tcW w:w="3005" w:type="dxa"/>
            <w:shd w:val="clear" w:color="auto" w:fill="auto"/>
          </w:tcPr>
          <w:p w14:paraId="5F31D848"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1, 1, 1, </w:t>
            </w:r>
            <w:r w:rsidRPr="00C00214">
              <w:rPr>
                <w:lang w:val="en-GB"/>
              </w:rPr>
              <w:t>−</w:t>
            </w:r>
            <w:r w:rsidRPr="00C00214">
              <w:rPr>
                <w:rFonts w:ascii="Times" w:hAnsi="Times"/>
                <w:lang w:val="en-GB"/>
              </w:rPr>
              <w:t>1, 1, 1, 0]</w:t>
            </w:r>
          </w:p>
        </w:tc>
        <w:tc>
          <w:tcPr>
            <w:tcW w:w="1587" w:type="dxa"/>
          </w:tcPr>
          <w:p w14:paraId="164330D4"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29</w:t>
            </w:r>
          </w:p>
        </w:tc>
        <w:tc>
          <w:tcPr>
            <w:tcW w:w="3005" w:type="dxa"/>
          </w:tcPr>
          <w:p w14:paraId="2AB4F35C"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0, 0, −1, </w:t>
            </w:r>
            <w:r w:rsidRPr="00C00214">
              <w:rPr>
                <w:lang w:val="en-GB"/>
              </w:rPr>
              <w:t>−</w:t>
            </w:r>
            <w:r w:rsidRPr="00C00214">
              <w:rPr>
                <w:rFonts w:ascii="Times" w:hAnsi="Times"/>
                <w:lang w:val="en-GB"/>
              </w:rPr>
              <w:t>1]</w:t>
            </w:r>
          </w:p>
        </w:tc>
      </w:tr>
      <w:tr w:rsidR="00C00214" w:rsidRPr="00C00214" w14:paraId="4333935A" w14:textId="77777777" w:rsidTr="00FD0552">
        <w:trPr>
          <w:trHeight w:val="312"/>
          <w:jc w:val="center"/>
        </w:trPr>
        <w:tc>
          <w:tcPr>
            <w:tcW w:w="1587" w:type="dxa"/>
            <w:shd w:val="clear" w:color="auto" w:fill="auto"/>
          </w:tcPr>
          <w:p w14:paraId="4F6817F3"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7</w:t>
            </w:r>
          </w:p>
        </w:tc>
        <w:tc>
          <w:tcPr>
            <w:tcW w:w="3005" w:type="dxa"/>
            <w:shd w:val="clear" w:color="auto" w:fill="auto"/>
          </w:tcPr>
          <w:p w14:paraId="676BA39C"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[0, 0, 0, </w:t>
            </w:r>
            <w:r w:rsidRPr="00C00214">
              <w:rPr>
                <w:lang w:val="en-GB"/>
              </w:rPr>
              <w:t>−</w:t>
            </w:r>
            <w:r w:rsidRPr="00C00214">
              <w:rPr>
                <w:rFonts w:ascii="Times" w:hAnsi="Times"/>
                <w:lang w:val="en-GB"/>
              </w:rPr>
              <w:t>1, −1, 1, 1, 1]</w:t>
            </w:r>
          </w:p>
        </w:tc>
        <w:tc>
          <w:tcPr>
            <w:tcW w:w="1587" w:type="dxa"/>
          </w:tcPr>
          <w:p w14:paraId="27708BD0"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30</w:t>
            </w:r>
          </w:p>
        </w:tc>
        <w:tc>
          <w:tcPr>
            <w:tcW w:w="3005" w:type="dxa"/>
          </w:tcPr>
          <w:p w14:paraId="23B072DF"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 xml:space="preserve">1, 1, 0, </w:t>
            </w:r>
            <w:r w:rsidRPr="00C00214">
              <w:rPr>
                <w:lang w:val="en-GB"/>
              </w:rPr>
              <w:t>−</w:t>
            </w:r>
            <w:r w:rsidRPr="00C00214">
              <w:rPr>
                <w:rFonts w:ascii="Times" w:hAnsi="Times"/>
                <w:lang w:val="en-GB"/>
              </w:rPr>
              <w:t>1]</w:t>
            </w:r>
          </w:p>
        </w:tc>
      </w:tr>
      <w:tr w:rsidR="00C00214" w:rsidRPr="00C00214" w14:paraId="702F0229" w14:textId="77777777" w:rsidTr="00FD0552">
        <w:trPr>
          <w:trHeight w:val="312"/>
          <w:jc w:val="center"/>
        </w:trPr>
        <w:tc>
          <w:tcPr>
            <w:tcW w:w="1587" w:type="dxa"/>
            <w:shd w:val="clear" w:color="auto" w:fill="auto"/>
          </w:tcPr>
          <w:p w14:paraId="2CA8C255"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8</w:t>
            </w:r>
          </w:p>
        </w:tc>
        <w:tc>
          <w:tcPr>
            <w:tcW w:w="3005" w:type="dxa"/>
            <w:shd w:val="clear" w:color="auto" w:fill="auto"/>
          </w:tcPr>
          <w:p w14:paraId="6133FA2A"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0, 0, </w:t>
            </w:r>
            <w:r w:rsidRPr="00C00214">
              <w:rPr>
                <w:lang w:val="en-GB"/>
              </w:rPr>
              <w:t>−</w:t>
            </w:r>
            <w:r w:rsidRPr="00C00214">
              <w:rPr>
                <w:rFonts w:ascii="Times" w:hAnsi="Times"/>
                <w:lang w:val="en-GB"/>
              </w:rPr>
              <w:t xml:space="preserve">1, 0,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 0]</w:t>
            </w:r>
          </w:p>
        </w:tc>
        <w:tc>
          <w:tcPr>
            <w:tcW w:w="1587" w:type="dxa"/>
          </w:tcPr>
          <w:p w14:paraId="2210FB72"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31</w:t>
            </w:r>
          </w:p>
        </w:tc>
        <w:tc>
          <w:tcPr>
            <w:tcW w:w="3005" w:type="dxa"/>
          </w:tcPr>
          <w:p w14:paraId="008B0442"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1, 0, 1, 0, </w:t>
            </w:r>
            <w:r w:rsidRPr="00C00214">
              <w:rPr>
                <w:lang w:val="en-GB"/>
              </w:rPr>
              <w:t>−</w:t>
            </w:r>
            <w:r w:rsidRPr="00C00214">
              <w:rPr>
                <w:rFonts w:ascii="Times" w:hAnsi="Times"/>
                <w:lang w:val="en-GB"/>
              </w:rPr>
              <w:t xml:space="preserve">1, −1, </w:t>
            </w:r>
            <w:r w:rsidRPr="00C00214">
              <w:rPr>
                <w:lang w:val="en-GB"/>
              </w:rPr>
              <w:t>−</w:t>
            </w:r>
            <w:r w:rsidRPr="00C00214">
              <w:rPr>
                <w:rFonts w:ascii="Times" w:hAnsi="Times"/>
                <w:lang w:val="en-GB"/>
              </w:rPr>
              <w:t>1]</w:t>
            </w:r>
          </w:p>
        </w:tc>
      </w:tr>
      <w:tr w:rsidR="00C00214" w:rsidRPr="00C00214" w14:paraId="6C8A9638" w14:textId="77777777" w:rsidTr="00FD0552">
        <w:trPr>
          <w:trHeight w:val="312"/>
          <w:jc w:val="center"/>
        </w:trPr>
        <w:tc>
          <w:tcPr>
            <w:tcW w:w="1587" w:type="dxa"/>
            <w:shd w:val="clear" w:color="auto" w:fill="auto"/>
          </w:tcPr>
          <w:p w14:paraId="5672C2D9"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9</w:t>
            </w:r>
          </w:p>
        </w:tc>
        <w:tc>
          <w:tcPr>
            <w:tcW w:w="3005" w:type="dxa"/>
            <w:shd w:val="clear" w:color="auto" w:fill="auto"/>
          </w:tcPr>
          <w:p w14:paraId="0BA9F00D"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0, 0,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 xml:space="preserve">1, −1, </w:t>
            </w:r>
            <w:r w:rsidRPr="00C00214">
              <w:rPr>
                <w:lang w:val="en-GB"/>
              </w:rPr>
              <w:t>−</w:t>
            </w:r>
            <w:r w:rsidRPr="00C00214">
              <w:rPr>
                <w:rFonts w:ascii="Times" w:hAnsi="Times"/>
                <w:lang w:val="en-GB"/>
              </w:rPr>
              <w:t>1]</w:t>
            </w:r>
          </w:p>
        </w:tc>
        <w:tc>
          <w:tcPr>
            <w:tcW w:w="1587" w:type="dxa"/>
          </w:tcPr>
          <w:p w14:paraId="116AE7CF"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32</w:t>
            </w:r>
          </w:p>
        </w:tc>
        <w:tc>
          <w:tcPr>
            <w:tcW w:w="3005" w:type="dxa"/>
          </w:tcPr>
          <w:p w14:paraId="4D4BB5CF"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1]</w:t>
            </w:r>
          </w:p>
        </w:tc>
      </w:tr>
      <w:tr w:rsidR="00C00214" w:rsidRPr="00C00214" w14:paraId="6EFD89CB" w14:textId="77777777" w:rsidTr="00FD0552">
        <w:trPr>
          <w:trHeight w:val="312"/>
          <w:jc w:val="center"/>
        </w:trPr>
        <w:tc>
          <w:tcPr>
            <w:tcW w:w="1587" w:type="dxa"/>
            <w:shd w:val="clear" w:color="auto" w:fill="auto"/>
          </w:tcPr>
          <w:p w14:paraId="1BB1E240"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10</w:t>
            </w:r>
          </w:p>
        </w:tc>
        <w:tc>
          <w:tcPr>
            <w:tcW w:w="3005" w:type="dxa"/>
            <w:shd w:val="clear" w:color="auto" w:fill="auto"/>
          </w:tcPr>
          <w:p w14:paraId="12416720"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[0, 0,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 1, 1, 0]</w:t>
            </w:r>
          </w:p>
        </w:tc>
        <w:tc>
          <w:tcPr>
            <w:tcW w:w="1587" w:type="dxa"/>
          </w:tcPr>
          <w:p w14:paraId="721E011A"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33</w:t>
            </w:r>
          </w:p>
        </w:tc>
        <w:tc>
          <w:tcPr>
            <w:tcW w:w="3005" w:type="dxa"/>
          </w:tcPr>
          <w:p w14:paraId="041D316B"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1, 0, 1, 0, </w:t>
            </w:r>
            <w:r w:rsidRPr="00C00214">
              <w:rPr>
                <w:lang w:val="en-GB"/>
              </w:rPr>
              <w:t>−</w:t>
            </w:r>
            <w:r w:rsidRPr="00C00214">
              <w:rPr>
                <w:rFonts w:ascii="Times" w:hAnsi="Times"/>
                <w:lang w:val="en-GB"/>
              </w:rPr>
              <w:t xml:space="preserve">1, 0, </w:t>
            </w:r>
            <w:r w:rsidRPr="00C00214">
              <w:rPr>
                <w:lang w:val="en-GB"/>
              </w:rPr>
              <w:t>−</w:t>
            </w:r>
            <w:r w:rsidRPr="00C00214">
              <w:rPr>
                <w:rFonts w:ascii="Times" w:hAnsi="Times"/>
                <w:lang w:val="en-GB"/>
              </w:rPr>
              <w:t>1]</w:t>
            </w:r>
          </w:p>
        </w:tc>
      </w:tr>
      <w:tr w:rsidR="00C00214" w:rsidRPr="00C00214" w14:paraId="74DAC994" w14:textId="77777777" w:rsidTr="00FD0552">
        <w:trPr>
          <w:trHeight w:val="312"/>
          <w:jc w:val="center"/>
        </w:trPr>
        <w:tc>
          <w:tcPr>
            <w:tcW w:w="1587" w:type="dxa"/>
            <w:shd w:val="clear" w:color="auto" w:fill="auto"/>
          </w:tcPr>
          <w:p w14:paraId="0F9C2C3B"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11</w:t>
            </w:r>
          </w:p>
        </w:tc>
        <w:tc>
          <w:tcPr>
            <w:tcW w:w="3005" w:type="dxa"/>
            <w:shd w:val="clear" w:color="auto" w:fill="auto"/>
          </w:tcPr>
          <w:p w14:paraId="75599418"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[0, 0, 0,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 1, 1, 0]</w:t>
            </w:r>
          </w:p>
        </w:tc>
        <w:tc>
          <w:tcPr>
            <w:tcW w:w="1587" w:type="dxa"/>
          </w:tcPr>
          <w:p w14:paraId="0893538F"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34</w:t>
            </w:r>
          </w:p>
        </w:tc>
        <w:tc>
          <w:tcPr>
            <w:tcW w:w="3005" w:type="dxa"/>
          </w:tcPr>
          <w:p w14:paraId="16F94BBA"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 xml:space="preserve">1, 0, 0, </w:t>
            </w:r>
            <w:r w:rsidRPr="00C00214">
              <w:rPr>
                <w:lang w:val="en-GB"/>
              </w:rPr>
              <w:t>−</w:t>
            </w:r>
            <w:r w:rsidRPr="00C00214">
              <w:rPr>
                <w:rFonts w:ascii="Times" w:hAnsi="Times"/>
                <w:lang w:val="en-GB"/>
              </w:rPr>
              <w:t>1]</w:t>
            </w:r>
          </w:p>
        </w:tc>
      </w:tr>
      <w:tr w:rsidR="00C00214" w:rsidRPr="00C00214" w14:paraId="1C8201E4" w14:textId="77777777" w:rsidTr="00FD0552">
        <w:trPr>
          <w:trHeight w:val="312"/>
          <w:jc w:val="center"/>
        </w:trPr>
        <w:tc>
          <w:tcPr>
            <w:tcW w:w="1587" w:type="dxa"/>
            <w:shd w:val="clear" w:color="auto" w:fill="auto"/>
          </w:tcPr>
          <w:p w14:paraId="087416A6"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12</w:t>
            </w:r>
          </w:p>
        </w:tc>
        <w:tc>
          <w:tcPr>
            <w:tcW w:w="3005" w:type="dxa"/>
            <w:shd w:val="clear" w:color="auto" w:fill="auto"/>
          </w:tcPr>
          <w:p w14:paraId="689596B9"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 −1, 1, 1, 0]</w:t>
            </w:r>
          </w:p>
        </w:tc>
        <w:tc>
          <w:tcPr>
            <w:tcW w:w="1587" w:type="dxa"/>
          </w:tcPr>
          <w:p w14:paraId="4DC42ECB"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35</w:t>
            </w:r>
          </w:p>
        </w:tc>
        <w:tc>
          <w:tcPr>
            <w:tcW w:w="3005" w:type="dxa"/>
          </w:tcPr>
          <w:p w14:paraId="7A43F7B0"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 xml:space="preserve">1, 0, </w:t>
            </w:r>
            <w:r w:rsidRPr="00C00214">
              <w:rPr>
                <w:lang w:val="en-GB"/>
              </w:rPr>
              <w:t>−</w:t>
            </w:r>
            <w:r w:rsidRPr="00C00214">
              <w:rPr>
                <w:rFonts w:ascii="Times" w:hAnsi="Times"/>
                <w:lang w:val="en-GB"/>
              </w:rPr>
              <w:t>1]</w:t>
            </w:r>
          </w:p>
        </w:tc>
      </w:tr>
      <w:tr w:rsidR="00C00214" w:rsidRPr="00C00214" w14:paraId="22D9209A" w14:textId="77777777" w:rsidTr="00FD0552">
        <w:trPr>
          <w:trHeight w:val="312"/>
          <w:jc w:val="center"/>
        </w:trPr>
        <w:tc>
          <w:tcPr>
            <w:tcW w:w="1587" w:type="dxa"/>
            <w:shd w:val="clear" w:color="auto" w:fill="auto"/>
          </w:tcPr>
          <w:p w14:paraId="428F517C"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13</w:t>
            </w:r>
          </w:p>
        </w:tc>
        <w:tc>
          <w:tcPr>
            <w:tcW w:w="3005" w:type="dxa"/>
            <w:shd w:val="clear" w:color="auto" w:fill="auto"/>
          </w:tcPr>
          <w:p w14:paraId="0F35CABB"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1, 0,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 1, 1, 0]</w:t>
            </w:r>
          </w:p>
        </w:tc>
        <w:tc>
          <w:tcPr>
            <w:tcW w:w="1587" w:type="dxa"/>
          </w:tcPr>
          <w:p w14:paraId="1DAF22C1"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36</w:t>
            </w:r>
          </w:p>
        </w:tc>
        <w:tc>
          <w:tcPr>
            <w:tcW w:w="3005" w:type="dxa"/>
          </w:tcPr>
          <w:p w14:paraId="62D51024"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 xml:space="preserve">1, 1, </w:t>
            </w:r>
            <w:r w:rsidRPr="00C00214">
              <w:rPr>
                <w:lang w:val="en-GB"/>
              </w:rPr>
              <w:t>−</w:t>
            </w:r>
            <w:r w:rsidRPr="00C00214">
              <w:rPr>
                <w:rFonts w:ascii="Times" w:hAnsi="Times"/>
                <w:lang w:val="en-GB"/>
              </w:rPr>
              <w:t>1]</w:t>
            </w:r>
          </w:p>
        </w:tc>
      </w:tr>
      <w:tr w:rsidR="00C00214" w:rsidRPr="00C00214" w14:paraId="02897061" w14:textId="77777777" w:rsidTr="00FD0552">
        <w:trPr>
          <w:trHeight w:val="312"/>
          <w:jc w:val="center"/>
        </w:trPr>
        <w:tc>
          <w:tcPr>
            <w:tcW w:w="1587" w:type="dxa"/>
            <w:shd w:val="clear" w:color="auto" w:fill="auto"/>
          </w:tcPr>
          <w:p w14:paraId="7EC48085"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14</w:t>
            </w:r>
          </w:p>
        </w:tc>
        <w:tc>
          <w:tcPr>
            <w:tcW w:w="3005" w:type="dxa"/>
            <w:shd w:val="clear" w:color="auto" w:fill="auto"/>
          </w:tcPr>
          <w:p w14:paraId="53836095"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1, 0, 1, </w:t>
            </w:r>
            <w:r w:rsidRPr="00C00214">
              <w:rPr>
                <w:lang w:val="en-GB"/>
              </w:rPr>
              <w:t>−</w:t>
            </w:r>
            <w:r w:rsidRPr="00C00214">
              <w:rPr>
                <w:rFonts w:ascii="Times" w:hAnsi="Times"/>
                <w:lang w:val="en-GB"/>
              </w:rPr>
              <w:t xml:space="preserve">1, 1, 0, </w:t>
            </w:r>
            <w:r w:rsidRPr="00C00214">
              <w:rPr>
                <w:lang w:val="en-GB"/>
              </w:rPr>
              <w:t>−</w:t>
            </w:r>
            <w:r w:rsidRPr="00C00214">
              <w:rPr>
                <w:rFonts w:ascii="Times" w:hAnsi="Times"/>
                <w:lang w:val="en-GB"/>
              </w:rPr>
              <w:t>1]</w:t>
            </w:r>
          </w:p>
        </w:tc>
        <w:tc>
          <w:tcPr>
            <w:tcW w:w="1587" w:type="dxa"/>
          </w:tcPr>
          <w:p w14:paraId="721D0E1D"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37</w:t>
            </w:r>
          </w:p>
        </w:tc>
        <w:tc>
          <w:tcPr>
            <w:tcW w:w="3005" w:type="dxa"/>
          </w:tcPr>
          <w:p w14:paraId="5FB37481"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1]</w:t>
            </w:r>
          </w:p>
        </w:tc>
      </w:tr>
      <w:tr w:rsidR="00C00214" w:rsidRPr="00C00214" w14:paraId="36324809" w14:textId="77777777" w:rsidTr="00FD0552">
        <w:trPr>
          <w:trHeight w:val="312"/>
          <w:jc w:val="center"/>
        </w:trPr>
        <w:tc>
          <w:tcPr>
            <w:tcW w:w="1587" w:type="dxa"/>
            <w:shd w:val="clear" w:color="auto" w:fill="auto"/>
          </w:tcPr>
          <w:p w14:paraId="6DA8E1D9"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15</w:t>
            </w:r>
          </w:p>
        </w:tc>
        <w:tc>
          <w:tcPr>
            <w:tcW w:w="3005" w:type="dxa"/>
            <w:shd w:val="clear" w:color="auto" w:fill="auto"/>
          </w:tcPr>
          <w:p w14:paraId="02ED2CE9"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1, 0,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 1, 0, 1]</w:t>
            </w:r>
          </w:p>
        </w:tc>
        <w:tc>
          <w:tcPr>
            <w:tcW w:w="1587" w:type="dxa"/>
          </w:tcPr>
          <w:p w14:paraId="5FE0A06A"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38</w:t>
            </w:r>
          </w:p>
        </w:tc>
        <w:tc>
          <w:tcPr>
            <w:tcW w:w="3005" w:type="dxa"/>
          </w:tcPr>
          <w:p w14:paraId="4776DE13"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0, </w:t>
            </w:r>
            <w:r w:rsidRPr="00C00214">
              <w:rPr>
                <w:lang w:val="en-GB"/>
              </w:rPr>
              <w:t>−</w:t>
            </w:r>
            <w:r w:rsidRPr="00C00214">
              <w:rPr>
                <w:rFonts w:ascii="Times" w:hAnsi="Times"/>
                <w:lang w:val="en-GB"/>
              </w:rPr>
              <w:t xml:space="preserve">1, 1, </w:t>
            </w:r>
            <w:r w:rsidRPr="00C00214">
              <w:rPr>
                <w:lang w:val="en-GB"/>
              </w:rPr>
              <w:t>−</w:t>
            </w:r>
            <w:r w:rsidRPr="00C00214">
              <w:rPr>
                <w:rFonts w:ascii="Times" w:hAnsi="Times"/>
                <w:lang w:val="en-GB"/>
              </w:rPr>
              <w:t xml:space="preserve">1, 1, 1, </w:t>
            </w:r>
            <w:r w:rsidRPr="00C00214">
              <w:rPr>
                <w:lang w:val="en-GB"/>
              </w:rPr>
              <w:t>−</w:t>
            </w:r>
            <w:r w:rsidRPr="00C00214">
              <w:rPr>
                <w:rFonts w:ascii="Times" w:hAnsi="Times"/>
                <w:lang w:val="en-GB"/>
              </w:rPr>
              <w:t>1]</w:t>
            </w:r>
          </w:p>
        </w:tc>
      </w:tr>
      <w:tr w:rsidR="00C00214" w:rsidRPr="00C00214" w14:paraId="01363CA4" w14:textId="77777777" w:rsidTr="00FD0552">
        <w:trPr>
          <w:trHeight w:val="312"/>
          <w:jc w:val="center"/>
        </w:trPr>
        <w:tc>
          <w:tcPr>
            <w:tcW w:w="1587" w:type="dxa"/>
            <w:shd w:val="clear" w:color="auto" w:fill="auto"/>
          </w:tcPr>
          <w:p w14:paraId="42023F89"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16</w:t>
            </w:r>
          </w:p>
        </w:tc>
        <w:tc>
          <w:tcPr>
            <w:tcW w:w="3005" w:type="dxa"/>
            <w:shd w:val="clear" w:color="auto" w:fill="auto"/>
          </w:tcPr>
          <w:p w14:paraId="6B4C426F"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1, 1, 0, </w:t>
            </w:r>
            <w:r w:rsidRPr="00C00214">
              <w:rPr>
                <w:lang w:val="en-GB"/>
              </w:rPr>
              <w:t>−</w:t>
            </w:r>
            <w:r w:rsidRPr="00C00214">
              <w:rPr>
                <w:rFonts w:ascii="Times" w:hAnsi="Times"/>
                <w:lang w:val="en-GB"/>
              </w:rPr>
              <w:t xml:space="preserve">1, 0, 0, </w:t>
            </w:r>
            <w:r w:rsidRPr="00C00214">
              <w:rPr>
                <w:lang w:val="en-GB"/>
              </w:rPr>
              <w:t>−</w:t>
            </w:r>
            <w:r w:rsidRPr="00C00214">
              <w:rPr>
                <w:rFonts w:ascii="Times" w:hAnsi="Times"/>
                <w:lang w:val="en-GB"/>
              </w:rPr>
              <w:t>1]</w:t>
            </w:r>
          </w:p>
        </w:tc>
        <w:tc>
          <w:tcPr>
            <w:tcW w:w="1587" w:type="dxa"/>
          </w:tcPr>
          <w:p w14:paraId="679D8A18"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39</w:t>
            </w:r>
          </w:p>
        </w:tc>
        <w:tc>
          <w:tcPr>
            <w:tcW w:w="3005" w:type="dxa"/>
          </w:tcPr>
          <w:p w14:paraId="21C7989B"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[−1, 1, </w:t>
            </w:r>
            <w:r w:rsidRPr="00C00214">
              <w:rPr>
                <w:lang w:val="en-GB"/>
              </w:rPr>
              <w:t>−</w:t>
            </w:r>
            <w:r w:rsidRPr="00C00214">
              <w:rPr>
                <w:rFonts w:ascii="Times" w:hAnsi="Times"/>
                <w:lang w:val="en-GB"/>
              </w:rPr>
              <w:t xml:space="preserve">1, 1, </w:t>
            </w:r>
            <w:r w:rsidRPr="00C00214">
              <w:rPr>
                <w:lang w:val="en-GB"/>
              </w:rPr>
              <w:t>−</w:t>
            </w:r>
            <w:r w:rsidRPr="00C00214">
              <w:rPr>
                <w:rFonts w:ascii="Times" w:hAnsi="Times"/>
                <w:lang w:val="en-GB"/>
              </w:rPr>
              <w:t xml:space="preserve">1, 1, 1, </w:t>
            </w:r>
            <w:r w:rsidRPr="00C00214">
              <w:rPr>
                <w:lang w:val="en-GB"/>
              </w:rPr>
              <w:t>−</w:t>
            </w:r>
            <w:r w:rsidRPr="00C00214">
              <w:rPr>
                <w:rFonts w:ascii="Times" w:hAnsi="Times"/>
                <w:lang w:val="en-GB"/>
              </w:rPr>
              <w:t>1]</w:t>
            </w:r>
          </w:p>
        </w:tc>
      </w:tr>
      <w:tr w:rsidR="00C00214" w:rsidRPr="00C00214" w14:paraId="58EA30B4" w14:textId="77777777" w:rsidTr="00FD0552">
        <w:trPr>
          <w:trHeight w:val="312"/>
          <w:jc w:val="center"/>
        </w:trPr>
        <w:tc>
          <w:tcPr>
            <w:tcW w:w="1587" w:type="dxa"/>
            <w:shd w:val="clear" w:color="auto" w:fill="auto"/>
          </w:tcPr>
          <w:p w14:paraId="18C11A40"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17</w:t>
            </w:r>
          </w:p>
        </w:tc>
        <w:tc>
          <w:tcPr>
            <w:tcW w:w="3005" w:type="dxa"/>
            <w:shd w:val="clear" w:color="auto" w:fill="auto"/>
          </w:tcPr>
          <w:p w14:paraId="4318C558"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0, 0,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 1, 1, 0]</w:t>
            </w:r>
          </w:p>
        </w:tc>
        <w:tc>
          <w:tcPr>
            <w:tcW w:w="1587" w:type="dxa"/>
          </w:tcPr>
          <w:p w14:paraId="285799DF"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40</w:t>
            </w:r>
          </w:p>
        </w:tc>
        <w:tc>
          <w:tcPr>
            <w:tcW w:w="3005" w:type="dxa"/>
          </w:tcPr>
          <w:p w14:paraId="43B6DA86"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[−1, 1, 0, 0, </w:t>
            </w:r>
            <w:r w:rsidRPr="00C00214">
              <w:rPr>
                <w:lang w:val="en-GB"/>
              </w:rPr>
              <w:t>−</w:t>
            </w:r>
            <w:r w:rsidRPr="00C00214">
              <w:rPr>
                <w:rFonts w:ascii="Times" w:hAnsi="Times"/>
                <w:lang w:val="en-GB"/>
              </w:rPr>
              <w:t xml:space="preserve">1, 1, 1, </w:t>
            </w:r>
            <w:r w:rsidRPr="00C00214">
              <w:rPr>
                <w:lang w:val="en-GB"/>
              </w:rPr>
              <w:t>−</w:t>
            </w:r>
            <w:r w:rsidRPr="00C00214">
              <w:rPr>
                <w:rFonts w:ascii="Times" w:hAnsi="Times"/>
                <w:lang w:val="en-GB"/>
              </w:rPr>
              <w:t>1]</w:t>
            </w:r>
          </w:p>
        </w:tc>
      </w:tr>
      <w:tr w:rsidR="00C00214" w:rsidRPr="00C00214" w14:paraId="13AC2FEE" w14:textId="77777777" w:rsidTr="00FD0552">
        <w:trPr>
          <w:trHeight w:val="312"/>
          <w:jc w:val="center"/>
        </w:trPr>
        <w:tc>
          <w:tcPr>
            <w:tcW w:w="1587" w:type="dxa"/>
            <w:shd w:val="clear" w:color="auto" w:fill="auto"/>
          </w:tcPr>
          <w:p w14:paraId="2B5B440E"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18</w:t>
            </w:r>
          </w:p>
        </w:tc>
        <w:tc>
          <w:tcPr>
            <w:tcW w:w="3005" w:type="dxa"/>
            <w:shd w:val="clear" w:color="auto" w:fill="auto"/>
          </w:tcPr>
          <w:p w14:paraId="674E9EAE"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[0, 0, </w:t>
            </w:r>
            <w:r w:rsidRPr="00C00214">
              <w:rPr>
                <w:lang w:val="en-GB"/>
              </w:rPr>
              <w:t>−</w:t>
            </w:r>
            <w:r w:rsidRPr="00C00214">
              <w:rPr>
                <w:rFonts w:ascii="Times" w:hAnsi="Times"/>
                <w:lang w:val="en-GB"/>
              </w:rPr>
              <w:t xml:space="preserve">1, 1, </w:t>
            </w:r>
            <w:r w:rsidRPr="00C00214">
              <w:rPr>
                <w:lang w:val="en-GB"/>
              </w:rPr>
              <w:t>−</w:t>
            </w:r>
            <w:r w:rsidRPr="00C00214">
              <w:rPr>
                <w:rFonts w:ascii="Times" w:hAnsi="Times"/>
                <w:lang w:val="en-GB"/>
              </w:rPr>
              <w:t>1, 1, −1, 1]</w:t>
            </w:r>
          </w:p>
        </w:tc>
        <w:tc>
          <w:tcPr>
            <w:tcW w:w="1587" w:type="dxa"/>
          </w:tcPr>
          <w:p w14:paraId="4E2A71FF"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41</w:t>
            </w:r>
          </w:p>
        </w:tc>
        <w:tc>
          <w:tcPr>
            <w:tcW w:w="3005" w:type="dxa"/>
          </w:tcPr>
          <w:p w14:paraId="4D6415FB"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1, 1, 0, </w:t>
            </w:r>
            <w:r w:rsidRPr="00C00214">
              <w:rPr>
                <w:lang w:val="en-GB"/>
              </w:rPr>
              <w:t>−</w:t>
            </w:r>
            <w:r w:rsidRPr="00C00214">
              <w:rPr>
                <w:rFonts w:ascii="Times" w:hAnsi="Times"/>
                <w:lang w:val="en-GB"/>
              </w:rPr>
              <w:t xml:space="preserve">1, 1, 1, </w:t>
            </w:r>
            <w:r w:rsidRPr="00C00214">
              <w:rPr>
                <w:lang w:val="en-GB"/>
              </w:rPr>
              <w:t>−</w:t>
            </w:r>
            <w:r w:rsidRPr="00C00214">
              <w:rPr>
                <w:rFonts w:ascii="Times" w:hAnsi="Times"/>
                <w:lang w:val="en-GB"/>
              </w:rPr>
              <w:t>1]</w:t>
            </w:r>
          </w:p>
        </w:tc>
      </w:tr>
      <w:tr w:rsidR="00C00214" w:rsidRPr="00C00214" w14:paraId="06D3F9B8" w14:textId="77777777" w:rsidTr="00FD0552">
        <w:trPr>
          <w:trHeight w:val="312"/>
          <w:jc w:val="center"/>
        </w:trPr>
        <w:tc>
          <w:tcPr>
            <w:tcW w:w="1587" w:type="dxa"/>
            <w:shd w:val="clear" w:color="auto" w:fill="auto"/>
          </w:tcPr>
          <w:p w14:paraId="4FB76699"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19</w:t>
            </w:r>
          </w:p>
        </w:tc>
        <w:tc>
          <w:tcPr>
            <w:tcW w:w="3005" w:type="dxa"/>
            <w:shd w:val="clear" w:color="auto" w:fill="auto"/>
          </w:tcPr>
          <w:p w14:paraId="49E7CAB5"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1, </w:t>
            </w:r>
            <w:r w:rsidRPr="00C00214">
              <w:rPr>
                <w:lang w:val="en-GB"/>
              </w:rPr>
              <w:t>−</w:t>
            </w:r>
            <w:r w:rsidRPr="00C00214">
              <w:rPr>
                <w:rFonts w:ascii="Times" w:hAnsi="Times"/>
                <w:lang w:val="en-GB"/>
              </w:rPr>
              <w:t>1, 1, 0, 0, −1, 1]</w:t>
            </w:r>
          </w:p>
        </w:tc>
        <w:tc>
          <w:tcPr>
            <w:tcW w:w="1587" w:type="dxa"/>
          </w:tcPr>
          <w:p w14:paraId="5C585466"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42</w:t>
            </w:r>
          </w:p>
        </w:tc>
        <w:tc>
          <w:tcPr>
            <w:tcW w:w="3005" w:type="dxa"/>
          </w:tcPr>
          <w:p w14:paraId="43AAB44E"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[−1, 0, 1, 0, </w:t>
            </w:r>
            <w:r w:rsidRPr="00C00214">
              <w:rPr>
                <w:lang w:val="en-GB"/>
              </w:rPr>
              <w:t>−</w:t>
            </w:r>
            <w:r w:rsidRPr="00C00214">
              <w:rPr>
                <w:rFonts w:ascii="Times" w:hAnsi="Times"/>
                <w:lang w:val="en-GB"/>
              </w:rPr>
              <w:t xml:space="preserve">1, 1, 1, </w:t>
            </w:r>
            <w:r w:rsidRPr="00C00214">
              <w:rPr>
                <w:lang w:val="en-GB"/>
              </w:rPr>
              <w:t>−</w:t>
            </w:r>
            <w:r w:rsidRPr="00C00214">
              <w:rPr>
                <w:rFonts w:ascii="Times" w:hAnsi="Times"/>
                <w:lang w:val="en-GB"/>
              </w:rPr>
              <w:t>1]</w:t>
            </w:r>
          </w:p>
        </w:tc>
      </w:tr>
      <w:tr w:rsidR="00C00214" w:rsidRPr="00C00214" w14:paraId="2F92C055" w14:textId="77777777" w:rsidTr="00FD0552">
        <w:trPr>
          <w:trHeight w:val="312"/>
          <w:jc w:val="center"/>
        </w:trPr>
        <w:tc>
          <w:tcPr>
            <w:tcW w:w="1587" w:type="dxa"/>
            <w:shd w:val="clear" w:color="auto" w:fill="auto"/>
          </w:tcPr>
          <w:p w14:paraId="0D1FB21B"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20</w:t>
            </w:r>
          </w:p>
        </w:tc>
        <w:tc>
          <w:tcPr>
            <w:tcW w:w="3005" w:type="dxa"/>
            <w:shd w:val="clear" w:color="auto" w:fill="auto"/>
          </w:tcPr>
          <w:p w14:paraId="14007A5F"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1, </w:t>
            </w:r>
            <w:r w:rsidRPr="00C00214">
              <w:rPr>
                <w:lang w:val="en-GB"/>
              </w:rPr>
              <w:t>−</w:t>
            </w:r>
            <w:r w:rsidRPr="00C00214">
              <w:rPr>
                <w:rFonts w:ascii="Times" w:hAnsi="Times"/>
                <w:lang w:val="en-GB"/>
              </w:rPr>
              <w:t xml:space="preserve">1, 1, </w:t>
            </w:r>
            <w:r w:rsidRPr="00C00214">
              <w:rPr>
                <w:lang w:val="en-GB"/>
              </w:rPr>
              <w:t>−</w:t>
            </w:r>
            <w:r w:rsidRPr="00C00214">
              <w:rPr>
                <w:rFonts w:ascii="Times" w:hAnsi="Times"/>
                <w:lang w:val="en-GB"/>
              </w:rPr>
              <w:t>1, 1, 0, 0]</w:t>
            </w:r>
          </w:p>
        </w:tc>
        <w:tc>
          <w:tcPr>
            <w:tcW w:w="1587" w:type="dxa"/>
          </w:tcPr>
          <w:p w14:paraId="716349B4"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43</w:t>
            </w:r>
          </w:p>
        </w:tc>
        <w:tc>
          <w:tcPr>
            <w:tcW w:w="3005" w:type="dxa"/>
          </w:tcPr>
          <w:p w14:paraId="090F6B44"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[−1, </w:t>
            </w:r>
            <w:r w:rsidRPr="00C00214">
              <w:rPr>
                <w:lang w:val="en-GB"/>
              </w:rPr>
              <w:t>−</w:t>
            </w:r>
            <w:r w:rsidRPr="00C00214">
              <w:rPr>
                <w:rFonts w:ascii="Times" w:hAnsi="Times"/>
                <w:lang w:val="en-GB"/>
              </w:rPr>
              <w:t xml:space="preserve">1, 1, 1, </w:t>
            </w:r>
            <w:r w:rsidRPr="00C00214">
              <w:rPr>
                <w:lang w:val="en-GB"/>
              </w:rPr>
              <w:t>−</w:t>
            </w:r>
            <w:r w:rsidRPr="00C00214">
              <w:rPr>
                <w:rFonts w:ascii="Times" w:hAnsi="Times"/>
                <w:lang w:val="en-GB"/>
              </w:rPr>
              <w:t xml:space="preserve">1, 1, 1, </w:t>
            </w:r>
            <w:r w:rsidRPr="00C00214">
              <w:rPr>
                <w:lang w:val="en-GB"/>
              </w:rPr>
              <w:t>−</w:t>
            </w:r>
            <w:r w:rsidRPr="00C00214">
              <w:rPr>
                <w:rFonts w:ascii="Times" w:hAnsi="Times"/>
                <w:lang w:val="en-GB"/>
              </w:rPr>
              <w:t>1]</w:t>
            </w:r>
          </w:p>
        </w:tc>
      </w:tr>
      <w:tr w:rsidR="00C00214" w:rsidRPr="00C00214" w14:paraId="47A68038" w14:textId="77777777" w:rsidTr="00FD0552">
        <w:trPr>
          <w:trHeight w:val="312"/>
          <w:jc w:val="center"/>
        </w:trPr>
        <w:tc>
          <w:tcPr>
            <w:tcW w:w="1587" w:type="dxa"/>
            <w:shd w:val="clear" w:color="auto" w:fill="auto"/>
          </w:tcPr>
          <w:p w14:paraId="2BE9524C"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21</w:t>
            </w:r>
          </w:p>
        </w:tc>
        <w:tc>
          <w:tcPr>
            <w:tcW w:w="3005" w:type="dxa"/>
            <w:shd w:val="clear" w:color="auto" w:fill="auto"/>
          </w:tcPr>
          <w:p w14:paraId="31070A26"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[−1, 1, 0, 0, </w:t>
            </w:r>
            <w:r w:rsidRPr="00C00214">
              <w:rPr>
                <w:lang w:val="en-GB"/>
              </w:rPr>
              <w:t>−</w:t>
            </w:r>
            <w:r w:rsidRPr="00C00214">
              <w:rPr>
                <w:rFonts w:ascii="Times" w:hAnsi="Times"/>
                <w:lang w:val="en-GB"/>
              </w:rPr>
              <w:t>1, 1, −1, 1]</w:t>
            </w:r>
          </w:p>
        </w:tc>
        <w:tc>
          <w:tcPr>
            <w:tcW w:w="1587" w:type="dxa"/>
          </w:tcPr>
          <w:p w14:paraId="761D13CA"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44</w:t>
            </w:r>
          </w:p>
        </w:tc>
        <w:tc>
          <w:tcPr>
            <w:tcW w:w="3005" w:type="dxa"/>
          </w:tcPr>
          <w:p w14:paraId="548D313B"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[0,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 xml:space="preserve">1, 1, 1, </w:t>
            </w:r>
            <w:r w:rsidRPr="00C00214">
              <w:rPr>
                <w:lang w:val="en-GB"/>
              </w:rPr>
              <w:t>−</w:t>
            </w:r>
            <w:r w:rsidRPr="00C00214">
              <w:rPr>
                <w:rFonts w:ascii="Times" w:hAnsi="Times"/>
                <w:lang w:val="en-GB"/>
              </w:rPr>
              <w:t>1]</w:t>
            </w:r>
          </w:p>
        </w:tc>
      </w:tr>
      <w:tr w:rsidR="00C00214" w:rsidRPr="00C00214" w14:paraId="6B310F60" w14:textId="77777777" w:rsidTr="00FD0552">
        <w:trPr>
          <w:trHeight w:val="312"/>
          <w:jc w:val="center"/>
        </w:trPr>
        <w:tc>
          <w:tcPr>
            <w:tcW w:w="1587" w:type="dxa"/>
            <w:shd w:val="clear" w:color="auto" w:fill="auto"/>
          </w:tcPr>
          <w:p w14:paraId="5991D1BD"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22</w:t>
            </w:r>
          </w:p>
        </w:tc>
        <w:tc>
          <w:tcPr>
            <w:tcW w:w="3005" w:type="dxa"/>
            <w:shd w:val="clear" w:color="auto" w:fill="auto"/>
          </w:tcPr>
          <w:p w14:paraId="4A2820FE" w14:textId="77777777" w:rsidR="00FB5F50" w:rsidRPr="00C00214" w:rsidRDefault="00FB5F50" w:rsidP="00FD0552">
            <w:pPr>
              <w:spacing w:line="240" w:lineRule="auto"/>
              <w:rPr>
                <w:rFonts w:ascii="Times" w:hAnsi="Times"/>
                <w:lang w:val="en-GB"/>
              </w:rPr>
            </w:pPr>
            <w:r w:rsidRPr="00C00214">
              <w:rPr>
                <w:rFonts w:ascii="Times" w:hAnsi="Times"/>
                <w:lang w:val="en-GB"/>
              </w:rPr>
              <w:t xml:space="preserve">[0, 0, </w:t>
            </w:r>
            <w:r w:rsidRPr="00C00214">
              <w:rPr>
                <w:lang w:val="en-GB"/>
              </w:rPr>
              <w:t>−</w:t>
            </w:r>
            <w:r w:rsidRPr="00C00214">
              <w:rPr>
                <w:rFonts w:ascii="Times" w:hAnsi="Times"/>
                <w:lang w:val="en-GB"/>
              </w:rPr>
              <w:t xml:space="preserve">1, 1, </w:t>
            </w:r>
            <w:r w:rsidRPr="00C00214">
              <w:rPr>
                <w:lang w:val="en-GB"/>
              </w:rPr>
              <w:t>−</w:t>
            </w:r>
            <w:r w:rsidRPr="00C00214">
              <w:rPr>
                <w:rFonts w:ascii="Times" w:hAnsi="Times"/>
                <w:lang w:val="en-GB"/>
              </w:rPr>
              <w:t>1, 1, 0, 0]</w:t>
            </w:r>
          </w:p>
        </w:tc>
        <w:tc>
          <w:tcPr>
            <w:tcW w:w="1587" w:type="dxa"/>
          </w:tcPr>
          <w:p w14:paraId="0086883E"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45</w:t>
            </w:r>
          </w:p>
        </w:tc>
        <w:tc>
          <w:tcPr>
            <w:tcW w:w="3005" w:type="dxa"/>
          </w:tcPr>
          <w:p w14:paraId="44256F71" w14:textId="77777777" w:rsidR="00FB5F50" w:rsidRPr="00C00214" w:rsidRDefault="00FB5F50" w:rsidP="00FD0552">
            <w:pPr>
              <w:spacing w:line="240" w:lineRule="auto"/>
              <w:jc w:val="both"/>
              <w:rPr>
                <w:rFonts w:ascii="Times" w:hAnsi="Times"/>
                <w:lang w:val="en-GB"/>
              </w:rPr>
            </w:pPr>
            <w:r w:rsidRPr="00C00214">
              <w:rPr>
                <w:rFonts w:ascii="Times" w:hAnsi="Times"/>
                <w:lang w:val="en-GB"/>
              </w:rPr>
              <w:t xml:space="preserve">[−1, </w:t>
            </w:r>
            <w:r w:rsidRPr="00C00214">
              <w:rPr>
                <w:lang w:val="en-GB"/>
              </w:rPr>
              <w:t>−</w:t>
            </w:r>
            <w:r w:rsidRPr="00C00214">
              <w:rPr>
                <w:rFonts w:ascii="Times" w:hAnsi="Times"/>
                <w:lang w:val="en-GB"/>
              </w:rPr>
              <w:t xml:space="preserve">1, 0, 1, </w:t>
            </w:r>
            <w:r w:rsidRPr="00C00214">
              <w:rPr>
                <w:lang w:val="en-GB"/>
              </w:rPr>
              <w:t>−</w:t>
            </w:r>
            <w:r w:rsidRPr="00C00214">
              <w:rPr>
                <w:rFonts w:ascii="Times" w:hAnsi="Times"/>
                <w:lang w:val="en-GB"/>
              </w:rPr>
              <w:t xml:space="preserve">1, </w:t>
            </w:r>
            <w:r w:rsidRPr="00C00214">
              <w:rPr>
                <w:lang w:val="en-GB"/>
              </w:rPr>
              <w:t>−</w:t>
            </w:r>
            <w:r w:rsidRPr="00C00214">
              <w:rPr>
                <w:rFonts w:ascii="Times" w:hAnsi="Times"/>
                <w:lang w:val="en-GB"/>
              </w:rPr>
              <w:t>1, 1, 0]</w:t>
            </w:r>
          </w:p>
        </w:tc>
      </w:tr>
      <w:tr w:rsidR="00C00214" w:rsidRPr="00C00214" w14:paraId="3EB1492A" w14:textId="77777777" w:rsidTr="00FD0552">
        <w:trPr>
          <w:trHeight w:val="312"/>
          <w:jc w:val="center"/>
        </w:trPr>
        <w:tc>
          <w:tcPr>
            <w:tcW w:w="1587" w:type="dxa"/>
            <w:shd w:val="clear" w:color="auto" w:fill="auto"/>
          </w:tcPr>
          <w:p w14:paraId="5427CC8F" w14:textId="77777777" w:rsidR="00FB5F50" w:rsidRPr="00C00214" w:rsidRDefault="00FB5F50" w:rsidP="00FD0552">
            <w:pPr>
              <w:spacing w:line="240" w:lineRule="auto"/>
              <w:jc w:val="center"/>
              <w:rPr>
                <w:rFonts w:ascii="Times" w:hAnsi="Times"/>
                <w:lang w:val="en-GB"/>
              </w:rPr>
            </w:pPr>
            <w:r w:rsidRPr="00C00214">
              <w:rPr>
                <w:rFonts w:ascii="Times" w:hAnsi="Times"/>
                <w:lang w:val="en-GB"/>
              </w:rPr>
              <w:t>D</w:t>
            </w:r>
            <w:r w:rsidRPr="00C00214">
              <w:rPr>
                <w:rFonts w:ascii="Times" w:hAnsi="Times"/>
                <w:vertAlign w:val="subscript"/>
                <w:lang w:val="en-GB"/>
              </w:rPr>
              <w:t>23</w:t>
            </w:r>
          </w:p>
        </w:tc>
        <w:tc>
          <w:tcPr>
            <w:tcW w:w="3005" w:type="dxa"/>
            <w:shd w:val="clear" w:color="auto" w:fill="auto"/>
          </w:tcPr>
          <w:p w14:paraId="15DF7F5D" w14:textId="77777777" w:rsidR="00FB5F50" w:rsidRPr="00C00214" w:rsidRDefault="00FB5F50" w:rsidP="00FD0552">
            <w:pPr>
              <w:spacing w:line="240" w:lineRule="auto"/>
              <w:rPr>
                <w:rFonts w:ascii="Times" w:hAnsi="Times"/>
                <w:lang w:val="en-GB"/>
              </w:rPr>
            </w:pPr>
            <w:r w:rsidRPr="00C00214">
              <w:rPr>
                <w:rFonts w:ascii="Times" w:hAnsi="Times"/>
                <w:lang w:val="en-GB"/>
              </w:rPr>
              <w:t>[−1, 1, 0, 0, 0, 0, −1, 1]</w:t>
            </w:r>
          </w:p>
        </w:tc>
        <w:tc>
          <w:tcPr>
            <w:tcW w:w="1587" w:type="dxa"/>
          </w:tcPr>
          <w:p w14:paraId="3A25DE77" w14:textId="77777777" w:rsidR="00FB5F50" w:rsidRPr="00C00214" w:rsidRDefault="00FB5F50" w:rsidP="00FD0552">
            <w:pPr>
              <w:spacing w:line="240" w:lineRule="auto"/>
              <w:jc w:val="center"/>
              <w:rPr>
                <w:rFonts w:ascii="Times" w:hAnsi="Times"/>
                <w:lang w:val="en-GB"/>
              </w:rPr>
            </w:pPr>
          </w:p>
        </w:tc>
        <w:tc>
          <w:tcPr>
            <w:tcW w:w="3005" w:type="dxa"/>
          </w:tcPr>
          <w:p w14:paraId="59D4403D" w14:textId="77777777" w:rsidR="00FB5F50" w:rsidRPr="00C00214" w:rsidRDefault="00FB5F50" w:rsidP="00FD0552">
            <w:pPr>
              <w:spacing w:line="240" w:lineRule="auto"/>
              <w:jc w:val="both"/>
              <w:rPr>
                <w:rFonts w:ascii="Times" w:hAnsi="Times"/>
                <w:lang w:val="en-GB"/>
              </w:rPr>
            </w:pPr>
          </w:p>
        </w:tc>
      </w:tr>
    </w:tbl>
    <w:p w14:paraId="3250A467" w14:textId="77777777" w:rsidR="00FB5F50" w:rsidRPr="00C00214" w:rsidRDefault="00FB5F50" w:rsidP="00FB5F50">
      <w:pPr>
        <w:jc w:val="both"/>
      </w:pPr>
    </w:p>
    <w:p w14:paraId="2B620D06" w14:textId="59051F76" w:rsidR="0073776A" w:rsidRDefault="0073776A">
      <w:pPr>
        <w:spacing w:line="240" w:lineRule="auto"/>
        <w:rPr>
          <w:b/>
        </w:rPr>
      </w:pPr>
      <w:r>
        <w:rPr>
          <w:b/>
        </w:rPr>
        <w:br w:type="page"/>
      </w:r>
    </w:p>
    <w:p w14:paraId="3494E1BC" w14:textId="77777777" w:rsidR="00FB5F50" w:rsidRPr="00C00214" w:rsidRDefault="00FB5F50">
      <w:pPr>
        <w:spacing w:line="240" w:lineRule="auto"/>
        <w:rPr>
          <w:b/>
        </w:rPr>
      </w:pPr>
    </w:p>
    <w:p w14:paraId="1D853DCF" w14:textId="078D5B9C" w:rsidR="0073776A" w:rsidRPr="00C00214" w:rsidRDefault="0073776A" w:rsidP="0073776A">
      <w:pPr>
        <w:jc w:val="both"/>
        <w:rPr>
          <w:b/>
        </w:rPr>
      </w:pPr>
      <w:r w:rsidRPr="00C00214">
        <w:rPr>
          <w:b/>
        </w:rPr>
        <w:t xml:space="preserve">Table </w:t>
      </w:r>
      <w:r>
        <w:rPr>
          <w:b/>
        </w:rPr>
        <w:t>2</w:t>
      </w:r>
      <w:r w:rsidRPr="00C00214">
        <w:rPr>
          <w:b/>
        </w:rPr>
        <w:t xml:space="preserve">. </w:t>
      </w:r>
      <w:r w:rsidRPr="00C00214">
        <w:t>Weight factors (</w:t>
      </w:r>
      <w:r w:rsidRPr="00C00214">
        <w:rPr>
          <w:b/>
        </w:rPr>
        <w:t>a</w:t>
      </w:r>
      <w:r w:rsidRPr="00C00214">
        <w:t xml:space="preserve"> and </w:t>
      </w:r>
      <w:r w:rsidRPr="00C00214">
        <w:rPr>
          <w:b/>
        </w:rPr>
        <w:t>b</w:t>
      </w:r>
      <w:r w:rsidRPr="00C00214">
        <w:t xml:space="preserve">) of principle descriptors. Expressions describing weight factor </w:t>
      </w:r>
      <w:r w:rsidRPr="00C00214">
        <w:rPr>
          <w:b/>
        </w:rPr>
        <w:t>a</w:t>
      </w:r>
      <w:r w:rsidRPr="00C00214">
        <w:t xml:space="preserve"> and </w:t>
      </w:r>
      <w:r w:rsidRPr="00C00214">
        <w:rPr>
          <w:b/>
        </w:rPr>
        <w:t>b</w:t>
      </w:r>
      <w:r w:rsidRPr="00C00214">
        <w:t xml:space="preserve"> are provided in Eqs. (1,2), respectively.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345"/>
        <w:gridCol w:w="2553"/>
      </w:tblGrid>
      <w:tr w:rsidR="0073776A" w:rsidRPr="00C00214" w14:paraId="06EDD022" w14:textId="77777777" w:rsidTr="00363CCA">
        <w:trPr>
          <w:jc w:val="center"/>
        </w:trPr>
        <w:tc>
          <w:tcPr>
            <w:tcW w:w="2268" w:type="dxa"/>
            <w:shd w:val="clear" w:color="auto" w:fill="auto"/>
          </w:tcPr>
          <w:p w14:paraId="1BA100C6" w14:textId="77777777" w:rsidR="0073776A" w:rsidRPr="00C00214" w:rsidRDefault="0073776A" w:rsidP="00363CCA">
            <w:pPr>
              <w:pStyle w:val="Acknowledgement"/>
              <w:spacing w:line="480" w:lineRule="auto"/>
              <w:ind w:left="0" w:firstLine="0"/>
              <w:jc w:val="center"/>
              <w:rPr>
                <w:rFonts w:ascii="Times" w:hAnsi="Times"/>
              </w:rPr>
            </w:pPr>
            <w:r w:rsidRPr="00C00214">
              <w:rPr>
                <w:rFonts w:ascii="Times" w:hAnsi="Times"/>
              </w:rPr>
              <w:t>Principle descriptor</w:t>
            </w:r>
          </w:p>
        </w:tc>
        <w:tc>
          <w:tcPr>
            <w:tcW w:w="3345" w:type="dxa"/>
            <w:shd w:val="clear" w:color="auto" w:fill="auto"/>
          </w:tcPr>
          <w:p w14:paraId="0AA765DA" w14:textId="77777777" w:rsidR="0073776A" w:rsidRPr="00C00214" w:rsidRDefault="0073776A" w:rsidP="00363CCA">
            <w:pPr>
              <w:pStyle w:val="Acknowledgement"/>
              <w:spacing w:line="480" w:lineRule="auto"/>
              <w:jc w:val="center"/>
              <w:rPr>
                <w:rFonts w:ascii="Times" w:hAnsi="Times"/>
              </w:rPr>
            </w:pPr>
            <w:r w:rsidRPr="00C00214">
              <w:rPr>
                <w:rFonts w:ascii="Times" w:hAnsi="Times"/>
              </w:rPr>
              <w:t xml:space="preserve">Weight factor </w:t>
            </w:r>
            <w:r w:rsidRPr="00C00214">
              <w:rPr>
                <w:rFonts w:ascii="Times" w:hAnsi="Times"/>
                <w:b/>
              </w:rPr>
              <w:t>a</w:t>
            </w:r>
          </w:p>
        </w:tc>
        <w:tc>
          <w:tcPr>
            <w:tcW w:w="2553" w:type="dxa"/>
            <w:shd w:val="clear" w:color="auto" w:fill="auto"/>
          </w:tcPr>
          <w:p w14:paraId="52FB1F55" w14:textId="77777777" w:rsidR="0073776A" w:rsidRPr="00C00214" w:rsidRDefault="0073776A" w:rsidP="00363CCA">
            <w:pPr>
              <w:pStyle w:val="Acknowledgement"/>
              <w:spacing w:line="480" w:lineRule="auto"/>
              <w:jc w:val="center"/>
              <w:rPr>
                <w:rFonts w:ascii="Times" w:hAnsi="Times"/>
              </w:rPr>
            </w:pPr>
            <w:r w:rsidRPr="00C00214">
              <w:rPr>
                <w:rFonts w:ascii="Times" w:hAnsi="Times"/>
              </w:rPr>
              <w:t xml:space="preserve">Weight factor </w:t>
            </w:r>
            <w:r w:rsidRPr="00C00214">
              <w:rPr>
                <w:rFonts w:ascii="Times" w:hAnsi="Times"/>
                <w:b/>
              </w:rPr>
              <w:t>b</w:t>
            </w:r>
          </w:p>
        </w:tc>
      </w:tr>
      <w:tr w:rsidR="0073776A" w:rsidRPr="00C00214" w14:paraId="7DB3468D" w14:textId="77777777" w:rsidTr="00363CCA">
        <w:trPr>
          <w:jc w:val="center"/>
        </w:trPr>
        <w:tc>
          <w:tcPr>
            <w:tcW w:w="2268" w:type="dxa"/>
            <w:shd w:val="clear" w:color="auto" w:fill="auto"/>
          </w:tcPr>
          <w:p w14:paraId="6C564A11" w14:textId="77777777" w:rsidR="0073776A" w:rsidRPr="00C00214" w:rsidRDefault="0073776A" w:rsidP="00363CCA">
            <w:pPr>
              <w:pStyle w:val="Acknowledgement"/>
              <w:spacing w:line="480" w:lineRule="auto"/>
              <w:rPr>
                <w:rFonts w:ascii="Times" w:hAnsi="Times"/>
              </w:rPr>
            </w:pPr>
            <w:r w:rsidRPr="00C00214">
              <w:rPr>
                <w:rFonts w:ascii="Times" w:hAnsi="Times"/>
              </w:rPr>
              <w:t>D</w:t>
            </w:r>
            <w:r w:rsidRPr="00C00214">
              <w:rPr>
                <w:rFonts w:ascii="Times" w:hAnsi="Times"/>
                <w:vertAlign w:val="subscript"/>
              </w:rPr>
              <w:t>18</w:t>
            </w:r>
          </w:p>
        </w:tc>
        <w:tc>
          <w:tcPr>
            <w:tcW w:w="3345" w:type="dxa"/>
            <w:shd w:val="clear" w:color="auto" w:fill="auto"/>
          </w:tcPr>
          <w:p w14:paraId="45646456" w14:textId="77777777" w:rsidR="0073776A" w:rsidRPr="00C00214" w:rsidRDefault="0073776A" w:rsidP="00363CCA">
            <w:pPr>
              <w:pStyle w:val="Acknowledgement"/>
              <w:spacing w:line="480" w:lineRule="auto"/>
              <w:rPr>
                <w:rFonts w:ascii="Times" w:hAnsi="Times"/>
              </w:rPr>
            </w:pPr>
            <w:r w:rsidRPr="00C00214">
              <w:rPr>
                <w:rFonts w:ascii="Times" w:hAnsi="Times"/>
              </w:rPr>
              <w:t xml:space="preserve">[0, 0, </w:t>
            </w:r>
            <w:r w:rsidRPr="00C00214">
              <w:t>−</w:t>
            </w:r>
            <w:r w:rsidRPr="00C00214">
              <w:rPr>
                <w:rFonts w:ascii="Times" w:hAnsi="Times"/>
              </w:rPr>
              <w:t xml:space="preserve">1, 1, </w:t>
            </w:r>
            <w:r w:rsidRPr="00C00214">
              <w:t>−</w:t>
            </w:r>
            <w:r w:rsidRPr="00C00214">
              <w:rPr>
                <w:rFonts w:ascii="Times" w:hAnsi="Times"/>
              </w:rPr>
              <w:t xml:space="preserve">1, 1, </w:t>
            </w:r>
            <w:r w:rsidRPr="00C00214">
              <w:t>−</w:t>
            </w:r>
            <w:r w:rsidRPr="00C00214">
              <w:rPr>
                <w:rFonts w:ascii="Times" w:hAnsi="Times"/>
              </w:rPr>
              <w:t>1, 1]</w:t>
            </w:r>
          </w:p>
        </w:tc>
        <w:tc>
          <w:tcPr>
            <w:tcW w:w="2553" w:type="dxa"/>
            <w:shd w:val="clear" w:color="auto" w:fill="auto"/>
          </w:tcPr>
          <w:p w14:paraId="376A2251" w14:textId="77777777" w:rsidR="0073776A" w:rsidRPr="00C00214" w:rsidRDefault="0073776A" w:rsidP="00363CCA">
            <w:pPr>
              <w:pStyle w:val="Acknowledgement"/>
              <w:spacing w:line="480" w:lineRule="auto"/>
              <w:ind w:left="0" w:firstLine="0"/>
              <w:rPr>
                <w:rFonts w:ascii="Times" w:hAnsi="Times"/>
              </w:rPr>
            </w:pPr>
            <w:r w:rsidRPr="00C00214">
              <w:rPr>
                <w:rFonts w:ascii="Times" w:hAnsi="Times"/>
              </w:rPr>
              <w:t xml:space="preserve">[0, </w:t>
            </w:r>
            <w:r w:rsidRPr="00C00214">
              <w:t>−</w:t>
            </w:r>
            <w:r w:rsidRPr="00C00214">
              <w:rPr>
                <w:rFonts w:ascii="Times" w:hAnsi="Times"/>
              </w:rPr>
              <w:t xml:space="preserve">1, </w:t>
            </w:r>
            <w:r w:rsidRPr="00C00214">
              <w:t>−</w:t>
            </w:r>
            <w:r w:rsidRPr="00C00214">
              <w:rPr>
                <w:rFonts w:ascii="Times" w:hAnsi="Times"/>
              </w:rPr>
              <w:t xml:space="preserve">1, </w:t>
            </w:r>
            <w:r w:rsidRPr="00C00214">
              <w:t>−</w:t>
            </w:r>
            <w:r w:rsidRPr="00C00214">
              <w:rPr>
                <w:rFonts w:ascii="Times" w:hAnsi="Times"/>
              </w:rPr>
              <w:t>1]</w:t>
            </w:r>
          </w:p>
        </w:tc>
      </w:tr>
      <w:tr w:rsidR="0073776A" w:rsidRPr="00C00214" w14:paraId="7A85B7D1" w14:textId="77777777" w:rsidTr="00363CCA">
        <w:trPr>
          <w:jc w:val="center"/>
        </w:trPr>
        <w:tc>
          <w:tcPr>
            <w:tcW w:w="2268" w:type="dxa"/>
            <w:shd w:val="clear" w:color="auto" w:fill="auto"/>
          </w:tcPr>
          <w:p w14:paraId="61A69A37" w14:textId="77777777" w:rsidR="0073776A" w:rsidRPr="00C00214" w:rsidRDefault="0073776A" w:rsidP="00363CCA">
            <w:pPr>
              <w:pStyle w:val="Acknowledgement"/>
              <w:spacing w:line="480" w:lineRule="auto"/>
              <w:rPr>
                <w:rFonts w:ascii="Times" w:hAnsi="Times"/>
                <w:vertAlign w:val="subscript"/>
              </w:rPr>
            </w:pPr>
            <w:r w:rsidRPr="00C00214">
              <w:rPr>
                <w:rFonts w:ascii="Times" w:hAnsi="Times"/>
              </w:rPr>
              <w:t>D</w:t>
            </w:r>
            <w:r w:rsidRPr="00C00214">
              <w:rPr>
                <w:rFonts w:ascii="Times" w:hAnsi="Times"/>
                <w:vertAlign w:val="subscript"/>
              </w:rPr>
              <w:t>19</w:t>
            </w:r>
          </w:p>
        </w:tc>
        <w:tc>
          <w:tcPr>
            <w:tcW w:w="3345" w:type="dxa"/>
            <w:shd w:val="clear" w:color="auto" w:fill="auto"/>
          </w:tcPr>
          <w:p w14:paraId="4F7707B9"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1, 1, </w:t>
            </w:r>
            <w:r w:rsidRPr="00C00214">
              <w:t>−</w:t>
            </w:r>
            <w:r w:rsidRPr="00C00214">
              <w:rPr>
                <w:rFonts w:ascii="Times" w:hAnsi="Times"/>
              </w:rPr>
              <w:t xml:space="preserve">1, 1, 0, 0, </w:t>
            </w:r>
            <w:r w:rsidRPr="00C00214">
              <w:t>−</w:t>
            </w:r>
            <w:r w:rsidRPr="00C00214">
              <w:rPr>
                <w:rFonts w:ascii="Times" w:hAnsi="Times"/>
              </w:rPr>
              <w:t>1, 1]</w:t>
            </w:r>
          </w:p>
        </w:tc>
        <w:tc>
          <w:tcPr>
            <w:tcW w:w="2553" w:type="dxa"/>
            <w:shd w:val="clear" w:color="auto" w:fill="auto"/>
          </w:tcPr>
          <w:p w14:paraId="24701296"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w:t>
            </w:r>
            <w:r w:rsidRPr="00C00214">
              <w:t>−</w:t>
            </w:r>
            <w:r w:rsidRPr="00C00214">
              <w:rPr>
                <w:rFonts w:ascii="Times" w:hAnsi="Times"/>
              </w:rPr>
              <w:t xml:space="preserve">1, 0, </w:t>
            </w:r>
            <w:r w:rsidRPr="00C00214">
              <w:t>−</w:t>
            </w:r>
            <w:r w:rsidRPr="00C00214">
              <w:rPr>
                <w:rFonts w:ascii="Times" w:hAnsi="Times"/>
              </w:rPr>
              <w:t>1]</w:t>
            </w:r>
          </w:p>
        </w:tc>
      </w:tr>
      <w:tr w:rsidR="0073776A" w:rsidRPr="00C00214" w14:paraId="22457960" w14:textId="77777777" w:rsidTr="00363CCA">
        <w:trPr>
          <w:jc w:val="center"/>
        </w:trPr>
        <w:tc>
          <w:tcPr>
            <w:tcW w:w="2268" w:type="dxa"/>
            <w:shd w:val="clear" w:color="auto" w:fill="auto"/>
          </w:tcPr>
          <w:p w14:paraId="76E9B705" w14:textId="77777777" w:rsidR="0073776A" w:rsidRPr="00C00214" w:rsidRDefault="0073776A" w:rsidP="00363CCA">
            <w:pPr>
              <w:pStyle w:val="Acknowledgement"/>
              <w:spacing w:line="480" w:lineRule="auto"/>
              <w:rPr>
                <w:rFonts w:ascii="Times" w:hAnsi="Times"/>
                <w:vertAlign w:val="subscript"/>
              </w:rPr>
            </w:pPr>
            <w:r w:rsidRPr="00C00214">
              <w:rPr>
                <w:rFonts w:ascii="Times" w:hAnsi="Times"/>
              </w:rPr>
              <w:t>D</w:t>
            </w:r>
            <w:r w:rsidRPr="00C00214">
              <w:rPr>
                <w:rFonts w:ascii="Times" w:hAnsi="Times"/>
                <w:vertAlign w:val="subscript"/>
              </w:rPr>
              <w:t>20</w:t>
            </w:r>
          </w:p>
        </w:tc>
        <w:tc>
          <w:tcPr>
            <w:tcW w:w="3345" w:type="dxa"/>
            <w:shd w:val="clear" w:color="auto" w:fill="auto"/>
          </w:tcPr>
          <w:p w14:paraId="7F1F42CF"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1, 1, </w:t>
            </w:r>
            <w:r w:rsidRPr="00C00214">
              <w:t>−</w:t>
            </w:r>
            <w:r w:rsidRPr="00C00214">
              <w:rPr>
                <w:rFonts w:ascii="Times" w:hAnsi="Times"/>
              </w:rPr>
              <w:t xml:space="preserve">1, 1, </w:t>
            </w:r>
            <w:r w:rsidRPr="00C00214">
              <w:t>−</w:t>
            </w:r>
            <w:r w:rsidRPr="00C00214">
              <w:rPr>
                <w:rFonts w:ascii="Times" w:hAnsi="Times"/>
              </w:rPr>
              <w:t>1, 1, 0, 0]</w:t>
            </w:r>
          </w:p>
        </w:tc>
        <w:tc>
          <w:tcPr>
            <w:tcW w:w="2553" w:type="dxa"/>
            <w:shd w:val="clear" w:color="auto" w:fill="auto"/>
          </w:tcPr>
          <w:p w14:paraId="6D52F31C"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w:t>
            </w:r>
            <w:r w:rsidRPr="00C00214">
              <w:t>−</w:t>
            </w:r>
            <w:r w:rsidRPr="00C00214">
              <w:rPr>
                <w:rFonts w:ascii="Times" w:hAnsi="Times"/>
              </w:rPr>
              <w:t xml:space="preserve">1, </w:t>
            </w:r>
            <w:r w:rsidRPr="00C00214">
              <w:t>−</w:t>
            </w:r>
            <w:r w:rsidRPr="00C00214">
              <w:rPr>
                <w:rFonts w:ascii="Times" w:hAnsi="Times"/>
              </w:rPr>
              <w:t>1, 0]</w:t>
            </w:r>
          </w:p>
        </w:tc>
      </w:tr>
      <w:tr w:rsidR="0073776A" w:rsidRPr="00C00214" w14:paraId="6E2E5659" w14:textId="77777777" w:rsidTr="00363CCA">
        <w:trPr>
          <w:jc w:val="center"/>
        </w:trPr>
        <w:tc>
          <w:tcPr>
            <w:tcW w:w="2268" w:type="dxa"/>
            <w:shd w:val="clear" w:color="auto" w:fill="auto"/>
          </w:tcPr>
          <w:p w14:paraId="5E4E299F" w14:textId="77777777" w:rsidR="0073776A" w:rsidRPr="00C00214" w:rsidRDefault="0073776A" w:rsidP="00363CCA">
            <w:pPr>
              <w:pStyle w:val="Acknowledgement"/>
              <w:spacing w:line="480" w:lineRule="auto"/>
              <w:rPr>
                <w:rFonts w:ascii="Times" w:hAnsi="Times"/>
                <w:vertAlign w:val="subscript"/>
              </w:rPr>
            </w:pPr>
            <w:r w:rsidRPr="00C00214">
              <w:rPr>
                <w:rFonts w:ascii="Times" w:hAnsi="Times"/>
              </w:rPr>
              <w:t>D</w:t>
            </w:r>
            <w:r w:rsidRPr="00C00214">
              <w:rPr>
                <w:rFonts w:ascii="Times" w:hAnsi="Times"/>
                <w:vertAlign w:val="subscript"/>
              </w:rPr>
              <w:t>21</w:t>
            </w:r>
          </w:p>
        </w:tc>
        <w:tc>
          <w:tcPr>
            <w:tcW w:w="3345" w:type="dxa"/>
            <w:shd w:val="clear" w:color="auto" w:fill="auto"/>
          </w:tcPr>
          <w:p w14:paraId="779F991E"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1, 1, 0, 0, </w:t>
            </w:r>
            <w:r w:rsidRPr="00C00214">
              <w:t>−</w:t>
            </w:r>
            <w:r w:rsidRPr="00C00214">
              <w:rPr>
                <w:rFonts w:ascii="Times" w:hAnsi="Times"/>
              </w:rPr>
              <w:t xml:space="preserve">1, 1, </w:t>
            </w:r>
            <w:r w:rsidRPr="00C00214">
              <w:t>−</w:t>
            </w:r>
            <w:r w:rsidRPr="00C00214">
              <w:rPr>
                <w:rFonts w:ascii="Times" w:hAnsi="Times"/>
              </w:rPr>
              <w:t>1, 1]</w:t>
            </w:r>
          </w:p>
        </w:tc>
        <w:tc>
          <w:tcPr>
            <w:tcW w:w="2553" w:type="dxa"/>
            <w:shd w:val="clear" w:color="auto" w:fill="auto"/>
          </w:tcPr>
          <w:p w14:paraId="40C2045E"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1, 0, </w:t>
            </w:r>
            <w:r w:rsidRPr="00C00214">
              <w:t>−</w:t>
            </w:r>
            <w:r w:rsidRPr="00C00214">
              <w:rPr>
                <w:rFonts w:ascii="Times" w:hAnsi="Times"/>
              </w:rPr>
              <w:t xml:space="preserve">1, </w:t>
            </w:r>
            <w:r w:rsidRPr="00C00214">
              <w:t>−</w:t>
            </w:r>
            <w:r w:rsidRPr="00C00214">
              <w:rPr>
                <w:rFonts w:ascii="Times" w:hAnsi="Times"/>
              </w:rPr>
              <w:t>1]</w:t>
            </w:r>
          </w:p>
        </w:tc>
      </w:tr>
      <w:tr w:rsidR="0073776A" w:rsidRPr="00C00214" w14:paraId="3E35B518" w14:textId="77777777" w:rsidTr="00363CCA">
        <w:trPr>
          <w:jc w:val="center"/>
        </w:trPr>
        <w:tc>
          <w:tcPr>
            <w:tcW w:w="2268" w:type="dxa"/>
            <w:shd w:val="clear" w:color="auto" w:fill="auto"/>
          </w:tcPr>
          <w:p w14:paraId="02B38A20" w14:textId="77777777" w:rsidR="0073776A" w:rsidRPr="00C00214" w:rsidRDefault="0073776A" w:rsidP="00363CCA">
            <w:pPr>
              <w:pStyle w:val="Acknowledgement"/>
              <w:spacing w:line="480" w:lineRule="auto"/>
              <w:rPr>
                <w:rFonts w:ascii="Times" w:hAnsi="Times"/>
                <w:vertAlign w:val="subscript"/>
              </w:rPr>
            </w:pPr>
            <w:r w:rsidRPr="00C00214">
              <w:rPr>
                <w:rFonts w:ascii="Times" w:hAnsi="Times"/>
              </w:rPr>
              <w:t>D</w:t>
            </w:r>
            <w:r w:rsidRPr="00C00214">
              <w:rPr>
                <w:rFonts w:ascii="Times" w:hAnsi="Times"/>
                <w:vertAlign w:val="subscript"/>
              </w:rPr>
              <w:t>22</w:t>
            </w:r>
          </w:p>
        </w:tc>
        <w:tc>
          <w:tcPr>
            <w:tcW w:w="3345" w:type="dxa"/>
            <w:shd w:val="clear" w:color="auto" w:fill="auto"/>
          </w:tcPr>
          <w:p w14:paraId="3CC68F6B" w14:textId="77777777" w:rsidR="0073776A" w:rsidRPr="00C00214" w:rsidRDefault="0073776A" w:rsidP="00363CCA">
            <w:pPr>
              <w:pStyle w:val="Acknowledgement"/>
              <w:spacing w:line="480" w:lineRule="auto"/>
              <w:rPr>
                <w:rFonts w:ascii="Times" w:hAnsi="Times"/>
              </w:rPr>
            </w:pPr>
            <w:r w:rsidRPr="00C00214">
              <w:rPr>
                <w:rFonts w:ascii="Times" w:hAnsi="Times"/>
              </w:rPr>
              <w:t xml:space="preserve">[0, 0, </w:t>
            </w:r>
            <w:r w:rsidRPr="00C00214">
              <w:t>−</w:t>
            </w:r>
            <w:r w:rsidRPr="00C00214">
              <w:rPr>
                <w:rFonts w:ascii="Times" w:hAnsi="Times"/>
              </w:rPr>
              <w:t xml:space="preserve">1, 1, </w:t>
            </w:r>
            <w:r w:rsidRPr="00C00214">
              <w:t>−</w:t>
            </w:r>
            <w:r w:rsidRPr="00C00214">
              <w:rPr>
                <w:rFonts w:ascii="Times" w:hAnsi="Times"/>
              </w:rPr>
              <w:t>1, 1, 0, 0]</w:t>
            </w:r>
          </w:p>
        </w:tc>
        <w:tc>
          <w:tcPr>
            <w:tcW w:w="2553" w:type="dxa"/>
            <w:shd w:val="clear" w:color="auto" w:fill="auto"/>
          </w:tcPr>
          <w:p w14:paraId="2878D2A4" w14:textId="77777777" w:rsidR="0073776A" w:rsidRPr="00C00214" w:rsidRDefault="0073776A" w:rsidP="00363CCA">
            <w:pPr>
              <w:pStyle w:val="Acknowledgement"/>
              <w:spacing w:line="480" w:lineRule="auto"/>
              <w:rPr>
                <w:rFonts w:ascii="Times" w:hAnsi="Times"/>
              </w:rPr>
            </w:pPr>
            <w:r w:rsidRPr="00C00214">
              <w:rPr>
                <w:rFonts w:ascii="Times" w:hAnsi="Times"/>
              </w:rPr>
              <w:t xml:space="preserve">[0, </w:t>
            </w:r>
            <w:r w:rsidRPr="00C00214">
              <w:t>−</w:t>
            </w:r>
            <w:r w:rsidRPr="00C00214">
              <w:rPr>
                <w:rFonts w:ascii="Times" w:hAnsi="Times"/>
              </w:rPr>
              <w:t xml:space="preserve">1, </w:t>
            </w:r>
            <w:r w:rsidRPr="00C00214">
              <w:t>−</w:t>
            </w:r>
            <w:r w:rsidRPr="00C00214">
              <w:rPr>
                <w:rFonts w:ascii="Times" w:hAnsi="Times"/>
              </w:rPr>
              <w:t>1, 0]</w:t>
            </w:r>
          </w:p>
        </w:tc>
      </w:tr>
      <w:tr w:rsidR="0073776A" w:rsidRPr="00C00214" w14:paraId="646105B0" w14:textId="77777777" w:rsidTr="00363CCA">
        <w:trPr>
          <w:jc w:val="center"/>
        </w:trPr>
        <w:tc>
          <w:tcPr>
            <w:tcW w:w="2268" w:type="dxa"/>
            <w:shd w:val="clear" w:color="auto" w:fill="auto"/>
          </w:tcPr>
          <w:p w14:paraId="2D71398E" w14:textId="77777777" w:rsidR="0073776A" w:rsidRPr="00C00214" w:rsidRDefault="0073776A" w:rsidP="00363CCA">
            <w:pPr>
              <w:pStyle w:val="Acknowledgement"/>
              <w:spacing w:line="480" w:lineRule="auto"/>
              <w:rPr>
                <w:rFonts w:ascii="Times" w:hAnsi="Times"/>
                <w:vertAlign w:val="subscript"/>
              </w:rPr>
            </w:pPr>
            <w:r w:rsidRPr="00C00214">
              <w:rPr>
                <w:rFonts w:ascii="Times" w:hAnsi="Times"/>
              </w:rPr>
              <w:t>D</w:t>
            </w:r>
            <w:r w:rsidRPr="00C00214">
              <w:rPr>
                <w:rFonts w:ascii="Times" w:hAnsi="Times"/>
                <w:vertAlign w:val="subscript"/>
              </w:rPr>
              <w:t>23</w:t>
            </w:r>
          </w:p>
        </w:tc>
        <w:tc>
          <w:tcPr>
            <w:tcW w:w="3345" w:type="dxa"/>
            <w:shd w:val="clear" w:color="auto" w:fill="auto"/>
          </w:tcPr>
          <w:p w14:paraId="6BB9BC46"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1, 1, 0, 0, 0, 0, </w:t>
            </w:r>
            <w:r w:rsidRPr="00C00214">
              <w:t>−</w:t>
            </w:r>
            <w:r w:rsidRPr="00C00214">
              <w:rPr>
                <w:rFonts w:ascii="Times" w:hAnsi="Times"/>
              </w:rPr>
              <w:t>1, 1]</w:t>
            </w:r>
          </w:p>
        </w:tc>
        <w:tc>
          <w:tcPr>
            <w:tcW w:w="2553" w:type="dxa"/>
            <w:shd w:val="clear" w:color="auto" w:fill="auto"/>
          </w:tcPr>
          <w:p w14:paraId="4F78B267"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1, 0, 0, </w:t>
            </w:r>
            <w:r w:rsidRPr="00C00214">
              <w:t>−</w:t>
            </w:r>
            <w:r w:rsidRPr="00C00214">
              <w:rPr>
                <w:rFonts w:ascii="Times" w:hAnsi="Times"/>
              </w:rPr>
              <w:t>1]</w:t>
            </w:r>
          </w:p>
        </w:tc>
      </w:tr>
      <w:tr w:rsidR="0073776A" w:rsidRPr="00C00214" w14:paraId="2D2C4A4D" w14:textId="77777777" w:rsidTr="00363CCA">
        <w:trPr>
          <w:jc w:val="center"/>
        </w:trPr>
        <w:tc>
          <w:tcPr>
            <w:tcW w:w="2268" w:type="dxa"/>
            <w:shd w:val="clear" w:color="auto" w:fill="auto"/>
          </w:tcPr>
          <w:p w14:paraId="79241CD5" w14:textId="77777777" w:rsidR="0073776A" w:rsidRPr="00C00214" w:rsidRDefault="0073776A" w:rsidP="00363CCA">
            <w:pPr>
              <w:pStyle w:val="Acknowledgement"/>
              <w:spacing w:line="480" w:lineRule="auto"/>
              <w:rPr>
                <w:rFonts w:ascii="Times" w:hAnsi="Times"/>
                <w:vertAlign w:val="subscript"/>
              </w:rPr>
            </w:pPr>
            <w:r w:rsidRPr="00C00214">
              <w:rPr>
                <w:rFonts w:ascii="Times" w:hAnsi="Times"/>
              </w:rPr>
              <w:t>D</w:t>
            </w:r>
            <w:r w:rsidRPr="00C00214">
              <w:rPr>
                <w:rFonts w:ascii="Times" w:hAnsi="Times"/>
                <w:vertAlign w:val="subscript"/>
              </w:rPr>
              <w:t>38</w:t>
            </w:r>
          </w:p>
        </w:tc>
        <w:tc>
          <w:tcPr>
            <w:tcW w:w="3345" w:type="dxa"/>
            <w:shd w:val="clear" w:color="auto" w:fill="auto"/>
          </w:tcPr>
          <w:p w14:paraId="797306CB" w14:textId="77777777" w:rsidR="0073776A" w:rsidRPr="00C00214" w:rsidRDefault="0073776A" w:rsidP="00363CCA">
            <w:pPr>
              <w:pStyle w:val="Acknowledgement"/>
              <w:spacing w:line="480" w:lineRule="auto"/>
              <w:rPr>
                <w:rFonts w:ascii="Times" w:hAnsi="Times"/>
              </w:rPr>
            </w:pPr>
            <w:r w:rsidRPr="00C00214">
              <w:rPr>
                <w:rFonts w:ascii="Times" w:hAnsi="Times"/>
              </w:rPr>
              <w:t xml:space="preserve">[0, 0, </w:t>
            </w:r>
            <w:r w:rsidRPr="00C00214">
              <w:t>−</w:t>
            </w:r>
            <w:r w:rsidRPr="00C00214">
              <w:rPr>
                <w:rFonts w:ascii="Times" w:hAnsi="Times"/>
              </w:rPr>
              <w:t xml:space="preserve">1, 1, </w:t>
            </w:r>
            <w:r w:rsidRPr="00C00214">
              <w:t>−</w:t>
            </w:r>
            <w:r w:rsidRPr="00C00214">
              <w:rPr>
                <w:rFonts w:ascii="Times" w:hAnsi="Times"/>
              </w:rPr>
              <w:t xml:space="preserve">1, 1, 1, </w:t>
            </w:r>
            <w:r w:rsidRPr="00C00214">
              <w:t>−</w:t>
            </w:r>
            <w:r w:rsidRPr="00C00214">
              <w:rPr>
                <w:rFonts w:ascii="Times" w:hAnsi="Times"/>
              </w:rPr>
              <w:t>1]</w:t>
            </w:r>
          </w:p>
        </w:tc>
        <w:tc>
          <w:tcPr>
            <w:tcW w:w="2553" w:type="dxa"/>
            <w:shd w:val="clear" w:color="auto" w:fill="auto"/>
          </w:tcPr>
          <w:p w14:paraId="4CD89DD8" w14:textId="77777777" w:rsidR="0073776A" w:rsidRPr="00C00214" w:rsidRDefault="0073776A" w:rsidP="00363CCA">
            <w:pPr>
              <w:pStyle w:val="Acknowledgement"/>
              <w:spacing w:line="480" w:lineRule="auto"/>
              <w:rPr>
                <w:rFonts w:ascii="Times" w:hAnsi="Times"/>
              </w:rPr>
            </w:pPr>
            <w:r w:rsidRPr="00C00214">
              <w:rPr>
                <w:rFonts w:ascii="Times" w:hAnsi="Times"/>
              </w:rPr>
              <w:t xml:space="preserve">[0, </w:t>
            </w:r>
            <w:r w:rsidRPr="00C00214">
              <w:t>−</w:t>
            </w:r>
            <w:r w:rsidRPr="00C00214">
              <w:rPr>
                <w:rFonts w:ascii="Times" w:hAnsi="Times"/>
              </w:rPr>
              <w:t xml:space="preserve">1, </w:t>
            </w:r>
            <w:r w:rsidRPr="00C00214">
              <w:t>−</w:t>
            </w:r>
            <w:r w:rsidRPr="00C00214">
              <w:rPr>
                <w:rFonts w:ascii="Times" w:hAnsi="Times"/>
              </w:rPr>
              <w:t>1, 1]</w:t>
            </w:r>
          </w:p>
        </w:tc>
      </w:tr>
      <w:tr w:rsidR="0073776A" w:rsidRPr="00C00214" w14:paraId="24815D7A" w14:textId="77777777" w:rsidTr="00363CCA">
        <w:trPr>
          <w:jc w:val="center"/>
        </w:trPr>
        <w:tc>
          <w:tcPr>
            <w:tcW w:w="2268" w:type="dxa"/>
            <w:shd w:val="clear" w:color="auto" w:fill="auto"/>
          </w:tcPr>
          <w:p w14:paraId="172B35DB" w14:textId="77777777" w:rsidR="0073776A" w:rsidRPr="00C00214" w:rsidRDefault="0073776A" w:rsidP="00363CCA">
            <w:pPr>
              <w:pStyle w:val="Acknowledgement"/>
              <w:spacing w:line="480" w:lineRule="auto"/>
              <w:rPr>
                <w:rFonts w:ascii="Times" w:hAnsi="Times"/>
                <w:vertAlign w:val="subscript"/>
              </w:rPr>
            </w:pPr>
            <w:r w:rsidRPr="00C00214">
              <w:rPr>
                <w:rFonts w:ascii="Times" w:hAnsi="Times"/>
              </w:rPr>
              <w:t>D</w:t>
            </w:r>
            <w:r w:rsidRPr="00C00214">
              <w:rPr>
                <w:rFonts w:ascii="Times" w:hAnsi="Times"/>
                <w:vertAlign w:val="subscript"/>
              </w:rPr>
              <w:t>39</w:t>
            </w:r>
          </w:p>
        </w:tc>
        <w:tc>
          <w:tcPr>
            <w:tcW w:w="3345" w:type="dxa"/>
            <w:shd w:val="clear" w:color="auto" w:fill="auto"/>
          </w:tcPr>
          <w:p w14:paraId="6FBDC9C7"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1, 1, </w:t>
            </w:r>
            <w:r w:rsidRPr="00C00214">
              <w:t>−</w:t>
            </w:r>
            <w:r w:rsidRPr="00C00214">
              <w:rPr>
                <w:rFonts w:ascii="Times" w:hAnsi="Times"/>
              </w:rPr>
              <w:t xml:space="preserve">1, 1, </w:t>
            </w:r>
            <w:r w:rsidRPr="00C00214">
              <w:t>−</w:t>
            </w:r>
            <w:r w:rsidRPr="00C00214">
              <w:rPr>
                <w:rFonts w:ascii="Times" w:hAnsi="Times"/>
              </w:rPr>
              <w:t xml:space="preserve">1, 1, 1, </w:t>
            </w:r>
            <w:r w:rsidRPr="00C00214">
              <w:t>−</w:t>
            </w:r>
            <w:r w:rsidRPr="00C00214">
              <w:rPr>
                <w:rFonts w:ascii="Times" w:hAnsi="Times"/>
              </w:rPr>
              <w:t>1]</w:t>
            </w:r>
          </w:p>
        </w:tc>
        <w:tc>
          <w:tcPr>
            <w:tcW w:w="2553" w:type="dxa"/>
            <w:shd w:val="clear" w:color="auto" w:fill="auto"/>
          </w:tcPr>
          <w:p w14:paraId="5EF2D279"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w:t>
            </w:r>
            <w:r w:rsidRPr="00C00214">
              <w:t>−</w:t>
            </w:r>
            <w:r w:rsidRPr="00C00214">
              <w:rPr>
                <w:rFonts w:ascii="Times" w:hAnsi="Times"/>
              </w:rPr>
              <w:t xml:space="preserve">1, </w:t>
            </w:r>
            <w:r w:rsidRPr="00C00214">
              <w:t>−</w:t>
            </w:r>
            <w:r w:rsidRPr="00C00214">
              <w:rPr>
                <w:rFonts w:ascii="Times" w:hAnsi="Times"/>
              </w:rPr>
              <w:t>1, 1]</w:t>
            </w:r>
          </w:p>
        </w:tc>
      </w:tr>
      <w:tr w:rsidR="0073776A" w:rsidRPr="00C00214" w14:paraId="5EFD36D9" w14:textId="77777777" w:rsidTr="00363CCA">
        <w:trPr>
          <w:jc w:val="center"/>
        </w:trPr>
        <w:tc>
          <w:tcPr>
            <w:tcW w:w="2268" w:type="dxa"/>
            <w:shd w:val="clear" w:color="auto" w:fill="auto"/>
          </w:tcPr>
          <w:p w14:paraId="11EBCBEB" w14:textId="77777777" w:rsidR="0073776A" w:rsidRPr="00C00214" w:rsidRDefault="0073776A" w:rsidP="00363CCA">
            <w:pPr>
              <w:pStyle w:val="Acknowledgement"/>
              <w:spacing w:line="480" w:lineRule="auto"/>
              <w:rPr>
                <w:rFonts w:ascii="Times" w:hAnsi="Times"/>
                <w:vertAlign w:val="subscript"/>
              </w:rPr>
            </w:pPr>
            <w:r w:rsidRPr="00C00214">
              <w:rPr>
                <w:rFonts w:ascii="Times" w:hAnsi="Times"/>
              </w:rPr>
              <w:t>D</w:t>
            </w:r>
            <w:r w:rsidRPr="00C00214">
              <w:rPr>
                <w:rFonts w:ascii="Times" w:hAnsi="Times"/>
                <w:vertAlign w:val="subscript"/>
              </w:rPr>
              <w:t>40</w:t>
            </w:r>
          </w:p>
        </w:tc>
        <w:tc>
          <w:tcPr>
            <w:tcW w:w="3345" w:type="dxa"/>
            <w:shd w:val="clear" w:color="auto" w:fill="auto"/>
          </w:tcPr>
          <w:p w14:paraId="1DFAAB7F"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1, 1, 0, 0, </w:t>
            </w:r>
            <w:r w:rsidRPr="00C00214">
              <w:t>−</w:t>
            </w:r>
            <w:r w:rsidRPr="00C00214">
              <w:rPr>
                <w:rFonts w:ascii="Times" w:hAnsi="Times"/>
              </w:rPr>
              <w:t xml:space="preserve">1, 1, 1, </w:t>
            </w:r>
            <w:r w:rsidRPr="00C00214">
              <w:t>−</w:t>
            </w:r>
            <w:r w:rsidRPr="00C00214">
              <w:rPr>
                <w:rFonts w:ascii="Times" w:hAnsi="Times"/>
              </w:rPr>
              <w:t>1]</w:t>
            </w:r>
          </w:p>
        </w:tc>
        <w:tc>
          <w:tcPr>
            <w:tcW w:w="2553" w:type="dxa"/>
            <w:shd w:val="clear" w:color="auto" w:fill="auto"/>
          </w:tcPr>
          <w:p w14:paraId="3491F8A9" w14:textId="77777777" w:rsidR="0073776A" w:rsidRPr="00C00214" w:rsidRDefault="0073776A" w:rsidP="00363CCA">
            <w:pPr>
              <w:pStyle w:val="Acknowledgement"/>
              <w:spacing w:line="480" w:lineRule="auto"/>
              <w:rPr>
                <w:rFonts w:ascii="Times" w:hAnsi="Times"/>
              </w:rPr>
            </w:pPr>
            <w:r w:rsidRPr="00C00214">
              <w:rPr>
                <w:rFonts w:ascii="Times" w:hAnsi="Times"/>
              </w:rPr>
              <w:t>[</w:t>
            </w:r>
            <w:r w:rsidRPr="00C00214">
              <w:t>−</w:t>
            </w:r>
            <w:r w:rsidRPr="00C00214">
              <w:rPr>
                <w:rFonts w:ascii="Times" w:hAnsi="Times"/>
              </w:rPr>
              <w:t xml:space="preserve">1, 0, </w:t>
            </w:r>
            <w:r w:rsidRPr="00C00214">
              <w:t>−</w:t>
            </w:r>
            <w:r w:rsidRPr="00C00214">
              <w:rPr>
                <w:rFonts w:ascii="Times" w:hAnsi="Times"/>
              </w:rPr>
              <w:t>1, 1]</w:t>
            </w:r>
          </w:p>
        </w:tc>
      </w:tr>
    </w:tbl>
    <w:p w14:paraId="332DF94D" w14:textId="77777777" w:rsidR="0073776A" w:rsidRPr="00C00214" w:rsidRDefault="0073776A" w:rsidP="0073776A">
      <w:pPr>
        <w:jc w:val="both"/>
        <w:rPr>
          <w:b/>
        </w:rPr>
      </w:pPr>
    </w:p>
    <w:p w14:paraId="05C1C9FB" w14:textId="77777777" w:rsidR="0073776A" w:rsidRPr="00C00214" w:rsidRDefault="0073776A" w:rsidP="0073776A">
      <w:pPr>
        <w:spacing w:line="240" w:lineRule="auto"/>
        <w:rPr>
          <w:b/>
        </w:rPr>
      </w:pPr>
      <w:r w:rsidRPr="00C00214">
        <w:rPr>
          <w:b/>
        </w:rPr>
        <w:br w:type="page"/>
      </w:r>
    </w:p>
    <w:p w14:paraId="2322BDD7" w14:textId="77777777" w:rsidR="008C3EE4" w:rsidRPr="00C00214" w:rsidRDefault="008C3EE4">
      <w:pPr>
        <w:jc w:val="both"/>
      </w:pPr>
    </w:p>
    <w:sectPr w:rsidR="008C3EE4" w:rsidRPr="00C00214">
      <w:footerReference w:type="default" r:id="rId92"/>
      <w:pgSz w:w="12240" w:h="15840" w:code="1"/>
      <w:pgMar w:top="1440" w:right="1440" w:bottom="1440" w:left="1440" w:header="720" w:footer="720" w:gutter="0"/>
      <w:lnNumType w:countBy="1" w:restart="continuou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DDA229" w16cid:durableId="21F75111"/>
  <w16cid:commentId w16cid:paraId="078C8BA8" w16cid:durableId="21F75112"/>
  <w16cid:commentId w16cid:paraId="36BC3FFB" w16cid:durableId="21F75113"/>
  <w16cid:commentId w16cid:paraId="2EC40BF2" w16cid:durableId="21F75114"/>
  <w16cid:commentId w16cid:paraId="720B6F9A" w16cid:durableId="21F75115"/>
  <w16cid:commentId w16cid:paraId="7720C866" w16cid:durableId="21F75116"/>
  <w16cid:commentId w16cid:paraId="669895E4" w16cid:durableId="21F75117"/>
  <w16cid:commentId w16cid:paraId="31364149" w16cid:durableId="21F75118"/>
  <w16cid:commentId w16cid:paraId="752E142C" w16cid:durableId="21F7511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307F5" w14:textId="77777777" w:rsidR="00363CCA" w:rsidRDefault="00363CCA">
      <w:r>
        <w:separator/>
      </w:r>
    </w:p>
  </w:endnote>
  <w:endnote w:type="continuationSeparator" w:id="0">
    <w:p w14:paraId="3FDEDAEE" w14:textId="77777777" w:rsidR="00363CCA" w:rsidRDefault="00363CCA">
      <w:r>
        <w:continuationSeparator/>
      </w:r>
    </w:p>
  </w:endnote>
  <w:endnote w:type="continuationNotice" w:id="1">
    <w:p w14:paraId="01B73F99" w14:textId="77777777" w:rsidR="00363CCA" w:rsidRDefault="00363CC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Minion Pro">
    <w:altName w:val="SimSun"/>
    <w:panose1 w:val="00000000000000000000"/>
    <w:charset w:val="86"/>
    <w:family w:val="roman"/>
    <w:notTrueType/>
    <w:pitch w:val="default"/>
    <w:sig w:usb0="00000001" w:usb1="080E0000" w:usb2="00000010" w:usb3="00000000" w:csb0="00040000" w:csb1="00000000"/>
  </w:font>
  <w:font w:name="TimesNewRoman">
    <w:altName w:val="MS Mincho"/>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icrosoft YaHei">
    <w:panose1 w:val="020B0503020204020204"/>
    <w:charset w:val="86"/>
    <w:family w:val="swiss"/>
    <w:pitch w:val="variable"/>
    <w:sig w:usb0="A0000287" w:usb1="28CF3C52" w:usb2="00000016" w:usb3="00000000" w:csb0="0004001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8819"/>
      <w:docPartObj>
        <w:docPartGallery w:val="Page Numbers (Bottom of Page)"/>
        <w:docPartUnique/>
      </w:docPartObj>
    </w:sdtPr>
    <w:sdtEndPr>
      <w:rPr>
        <w:color w:val="7F7F7F" w:themeColor="background1" w:themeShade="7F"/>
        <w:spacing w:val="60"/>
      </w:rPr>
    </w:sdtEndPr>
    <w:sdtContent>
      <w:p w14:paraId="1E6EE2CC" w14:textId="77777777" w:rsidR="00363CCA" w:rsidRDefault="00363CCA">
        <w:pPr>
          <w:pStyle w:val="Footer"/>
          <w:pBdr>
            <w:top w:val="single" w:sz="4" w:space="1" w:color="D9D9D9" w:themeColor="background1" w:themeShade="D9"/>
          </w:pBdr>
          <w:jc w:val="right"/>
        </w:pPr>
        <w:r>
          <w:fldChar w:fldCharType="begin"/>
        </w:r>
        <w:r>
          <w:instrText xml:space="preserve"> PAGE   \* MERGEFORMAT </w:instrText>
        </w:r>
        <w:r>
          <w:fldChar w:fldCharType="separate"/>
        </w:r>
        <w:r w:rsidR="00C020D7">
          <w:rPr>
            <w:noProof/>
          </w:rPr>
          <w:t>16</w:t>
        </w:r>
        <w:r>
          <w:rPr>
            <w:noProof/>
          </w:rPr>
          <w:fldChar w:fldCharType="end"/>
        </w:r>
        <w:r>
          <w:t xml:space="preserve"> | </w:t>
        </w:r>
        <w:r>
          <w:rPr>
            <w:color w:val="7F7F7F" w:themeColor="background1" w:themeShade="7F"/>
            <w:spacing w:val="60"/>
          </w:rPr>
          <w:t>Page</w:t>
        </w:r>
      </w:p>
    </w:sdtContent>
  </w:sdt>
  <w:p w14:paraId="1EFF73AB" w14:textId="77777777" w:rsidR="00363CCA" w:rsidRDefault="00363C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646893" w14:textId="77777777" w:rsidR="00363CCA" w:rsidRDefault="00363CCA">
      <w:r>
        <w:separator/>
      </w:r>
    </w:p>
  </w:footnote>
  <w:footnote w:type="continuationSeparator" w:id="0">
    <w:p w14:paraId="127D4D69" w14:textId="77777777" w:rsidR="00363CCA" w:rsidRDefault="00363CCA">
      <w:r>
        <w:continuationSeparator/>
      </w:r>
    </w:p>
  </w:footnote>
  <w:footnote w:type="continuationNotice" w:id="1">
    <w:p w14:paraId="295AE8D6" w14:textId="77777777" w:rsidR="00363CCA" w:rsidRDefault="00363CCA">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C8306B60"/>
    <w:lvl w:ilvl="0">
      <w:start w:val="1"/>
      <w:numFmt w:val="decimal"/>
      <w:lvlText w:val="%1."/>
      <w:lvlJc w:val="left"/>
      <w:pPr>
        <w:tabs>
          <w:tab w:val="num" w:pos="1800"/>
        </w:tabs>
        <w:ind w:left="1800" w:hanging="360"/>
      </w:pPr>
    </w:lvl>
  </w:abstractNum>
  <w:abstractNum w:abstractNumId="2">
    <w:nsid w:val="FFFFFF7D"/>
    <w:multiLevelType w:val="singleLevel"/>
    <w:tmpl w:val="12C0A9CE"/>
    <w:lvl w:ilvl="0">
      <w:start w:val="1"/>
      <w:numFmt w:val="decimal"/>
      <w:lvlText w:val="%1."/>
      <w:lvlJc w:val="left"/>
      <w:pPr>
        <w:tabs>
          <w:tab w:val="num" w:pos="1440"/>
        </w:tabs>
        <w:ind w:left="1440" w:hanging="360"/>
      </w:pPr>
    </w:lvl>
  </w:abstractNum>
  <w:abstractNum w:abstractNumId="3">
    <w:nsid w:val="FFFFFF7E"/>
    <w:multiLevelType w:val="singleLevel"/>
    <w:tmpl w:val="FFF87976"/>
    <w:lvl w:ilvl="0">
      <w:start w:val="1"/>
      <w:numFmt w:val="decimal"/>
      <w:lvlText w:val="%1."/>
      <w:lvlJc w:val="left"/>
      <w:pPr>
        <w:tabs>
          <w:tab w:val="num" w:pos="1080"/>
        </w:tabs>
        <w:ind w:left="1080" w:hanging="360"/>
      </w:pPr>
    </w:lvl>
  </w:abstractNum>
  <w:abstractNum w:abstractNumId="4">
    <w:nsid w:val="FFFFFF7F"/>
    <w:multiLevelType w:val="singleLevel"/>
    <w:tmpl w:val="57B8ABE4"/>
    <w:lvl w:ilvl="0">
      <w:start w:val="1"/>
      <w:numFmt w:val="decimal"/>
      <w:lvlText w:val="%1."/>
      <w:lvlJc w:val="left"/>
      <w:pPr>
        <w:tabs>
          <w:tab w:val="num" w:pos="720"/>
        </w:tabs>
        <w:ind w:left="720" w:hanging="360"/>
      </w:pPr>
    </w:lvl>
  </w:abstractNum>
  <w:abstractNum w:abstractNumId="5">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A50088B0"/>
    <w:lvl w:ilvl="0">
      <w:start w:val="1"/>
      <w:numFmt w:val="decimal"/>
      <w:lvlText w:val="%1."/>
      <w:lvlJc w:val="left"/>
      <w:pPr>
        <w:tabs>
          <w:tab w:val="num" w:pos="360"/>
        </w:tabs>
        <w:ind w:left="360" w:hanging="360"/>
      </w:pPr>
    </w:lvl>
  </w:abstractNum>
  <w:abstractNum w:abstractNumId="1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nsid w:val="02AC2140"/>
    <w:multiLevelType w:val="hybridMultilevel"/>
    <w:tmpl w:val="8888394C"/>
    <w:lvl w:ilvl="0" w:tplc="7C10008A">
      <w:start w:val="1"/>
      <w:numFmt w:val="bullet"/>
      <w:lvlText w:val="•"/>
      <w:lvlJc w:val="left"/>
      <w:pPr>
        <w:tabs>
          <w:tab w:val="num" w:pos="720"/>
        </w:tabs>
        <w:ind w:left="720" w:hanging="360"/>
      </w:pPr>
      <w:rPr>
        <w:rFonts w:ascii="Arial" w:hAnsi="Arial" w:hint="default"/>
      </w:rPr>
    </w:lvl>
    <w:lvl w:ilvl="1" w:tplc="119A95D6" w:tentative="1">
      <w:start w:val="1"/>
      <w:numFmt w:val="bullet"/>
      <w:lvlText w:val="•"/>
      <w:lvlJc w:val="left"/>
      <w:pPr>
        <w:tabs>
          <w:tab w:val="num" w:pos="1440"/>
        </w:tabs>
        <w:ind w:left="1440" w:hanging="360"/>
      </w:pPr>
      <w:rPr>
        <w:rFonts w:ascii="Arial" w:hAnsi="Arial" w:hint="default"/>
      </w:rPr>
    </w:lvl>
    <w:lvl w:ilvl="2" w:tplc="C428EC5E" w:tentative="1">
      <w:start w:val="1"/>
      <w:numFmt w:val="bullet"/>
      <w:lvlText w:val="•"/>
      <w:lvlJc w:val="left"/>
      <w:pPr>
        <w:tabs>
          <w:tab w:val="num" w:pos="2160"/>
        </w:tabs>
        <w:ind w:left="2160" w:hanging="360"/>
      </w:pPr>
      <w:rPr>
        <w:rFonts w:ascii="Arial" w:hAnsi="Arial" w:hint="default"/>
      </w:rPr>
    </w:lvl>
    <w:lvl w:ilvl="3" w:tplc="8D1625DA" w:tentative="1">
      <w:start w:val="1"/>
      <w:numFmt w:val="bullet"/>
      <w:lvlText w:val="•"/>
      <w:lvlJc w:val="left"/>
      <w:pPr>
        <w:tabs>
          <w:tab w:val="num" w:pos="2880"/>
        </w:tabs>
        <w:ind w:left="2880" w:hanging="360"/>
      </w:pPr>
      <w:rPr>
        <w:rFonts w:ascii="Arial" w:hAnsi="Arial" w:hint="default"/>
      </w:rPr>
    </w:lvl>
    <w:lvl w:ilvl="4" w:tplc="649875C6" w:tentative="1">
      <w:start w:val="1"/>
      <w:numFmt w:val="bullet"/>
      <w:lvlText w:val="•"/>
      <w:lvlJc w:val="left"/>
      <w:pPr>
        <w:tabs>
          <w:tab w:val="num" w:pos="3600"/>
        </w:tabs>
        <w:ind w:left="3600" w:hanging="360"/>
      </w:pPr>
      <w:rPr>
        <w:rFonts w:ascii="Arial" w:hAnsi="Arial" w:hint="default"/>
      </w:rPr>
    </w:lvl>
    <w:lvl w:ilvl="5" w:tplc="BA3C0B7A" w:tentative="1">
      <w:start w:val="1"/>
      <w:numFmt w:val="bullet"/>
      <w:lvlText w:val="•"/>
      <w:lvlJc w:val="left"/>
      <w:pPr>
        <w:tabs>
          <w:tab w:val="num" w:pos="4320"/>
        </w:tabs>
        <w:ind w:left="4320" w:hanging="360"/>
      </w:pPr>
      <w:rPr>
        <w:rFonts w:ascii="Arial" w:hAnsi="Arial" w:hint="default"/>
      </w:rPr>
    </w:lvl>
    <w:lvl w:ilvl="6" w:tplc="BF9E8C44" w:tentative="1">
      <w:start w:val="1"/>
      <w:numFmt w:val="bullet"/>
      <w:lvlText w:val="•"/>
      <w:lvlJc w:val="left"/>
      <w:pPr>
        <w:tabs>
          <w:tab w:val="num" w:pos="5040"/>
        </w:tabs>
        <w:ind w:left="5040" w:hanging="360"/>
      </w:pPr>
      <w:rPr>
        <w:rFonts w:ascii="Arial" w:hAnsi="Arial" w:hint="default"/>
      </w:rPr>
    </w:lvl>
    <w:lvl w:ilvl="7" w:tplc="80F25FCC" w:tentative="1">
      <w:start w:val="1"/>
      <w:numFmt w:val="bullet"/>
      <w:lvlText w:val="•"/>
      <w:lvlJc w:val="left"/>
      <w:pPr>
        <w:tabs>
          <w:tab w:val="num" w:pos="5760"/>
        </w:tabs>
        <w:ind w:left="5760" w:hanging="360"/>
      </w:pPr>
      <w:rPr>
        <w:rFonts w:ascii="Arial" w:hAnsi="Arial" w:hint="default"/>
      </w:rPr>
    </w:lvl>
    <w:lvl w:ilvl="8" w:tplc="7BA625C6" w:tentative="1">
      <w:start w:val="1"/>
      <w:numFmt w:val="bullet"/>
      <w:lvlText w:val="•"/>
      <w:lvlJc w:val="left"/>
      <w:pPr>
        <w:tabs>
          <w:tab w:val="num" w:pos="6480"/>
        </w:tabs>
        <w:ind w:left="6480" w:hanging="360"/>
      </w:pPr>
      <w:rPr>
        <w:rFonts w:ascii="Arial" w:hAnsi="Arial" w:hint="default"/>
      </w:rPr>
    </w:lvl>
  </w:abstractNum>
  <w:abstractNum w:abstractNumId="12">
    <w:nsid w:val="02C03D04"/>
    <w:multiLevelType w:val="hybridMultilevel"/>
    <w:tmpl w:val="F99C8F66"/>
    <w:lvl w:ilvl="0" w:tplc="5E36BAA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09FE0599"/>
    <w:multiLevelType w:val="hybridMultilevel"/>
    <w:tmpl w:val="D5C80F7E"/>
    <w:lvl w:ilvl="0" w:tplc="8954DC3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0CAD7AA9"/>
    <w:multiLevelType w:val="hybridMultilevel"/>
    <w:tmpl w:val="07BAD6BE"/>
    <w:lvl w:ilvl="0" w:tplc="E57A1286">
      <w:start w:val="1"/>
      <w:numFmt w:val="bullet"/>
      <w:lvlText w:val="•"/>
      <w:lvlJc w:val="left"/>
      <w:pPr>
        <w:tabs>
          <w:tab w:val="num" w:pos="720"/>
        </w:tabs>
        <w:ind w:left="720" w:hanging="360"/>
      </w:pPr>
      <w:rPr>
        <w:rFonts w:ascii="Arial" w:hAnsi="Arial" w:hint="default"/>
      </w:rPr>
    </w:lvl>
    <w:lvl w:ilvl="1" w:tplc="256C26C4" w:tentative="1">
      <w:start w:val="1"/>
      <w:numFmt w:val="bullet"/>
      <w:lvlText w:val="•"/>
      <w:lvlJc w:val="left"/>
      <w:pPr>
        <w:tabs>
          <w:tab w:val="num" w:pos="1440"/>
        </w:tabs>
        <w:ind w:left="1440" w:hanging="360"/>
      </w:pPr>
      <w:rPr>
        <w:rFonts w:ascii="Arial" w:hAnsi="Arial" w:hint="default"/>
      </w:rPr>
    </w:lvl>
    <w:lvl w:ilvl="2" w:tplc="B6241946" w:tentative="1">
      <w:start w:val="1"/>
      <w:numFmt w:val="bullet"/>
      <w:lvlText w:val="•"/>
      <w:lvlJc w:val="left"/>
      <w:pPr>
        <w:tabs>
          <w:tab w:val="num" w:pos="2160"/>
        </w:tabs>
        <w:ind w:left="2160" w:hanging="360"/>
      </w:pPr>
      <w:rPr>
        <w:rFonts w:ascii="Arial" w:hAnsi="Arial" w:hint="default"/>
      </w:rPr>
    </w:lvl>
    <w:lvl w:ilvl="3" w:tplc="ECCCF1E0" w:tentative="1">
      <w:start w:val="1"/>
      <w:numFmt w:val="bullet"/>
      <w:lvlText w:val="•"/>
      <w:lvlJc w:val="left"/>
      <w:pPr>
        <w:tabs>
          <w:tab w:val="num" w:pos="2880"/>
        </w:tabs>
        <w:ind w:left="2880" w:hanging="360"/>
      </w:pPr>
      <w:rPr>
        <w:rFonts w:ascii="Arial" w:hAnsi="Arial" w:hint="default"/>
      </w:rPr>
    </w:lvl>
    <w:lvl w:ilvl="4" w:tplc="CD583CE8" w:tentative="1">
      <w:start w:val="1"/>
      <w:numFmt w:val="bullet"/>
      <w:lvlText w:val="•"/>
      <w:lvlJc w:val="left"/>
      <w:pPr>
        <w:tabs>
          <w:tab w:val="num" w:pos="3600"/>
        </w:tabs>
        <w:ind w:left="3600" w:hanging="360"/>
      </w:pPr>
      <w:rPr>
        <w:rFonts w:ascii="Arial" w:hAnsi="Arial" w:hint="default"/>
      </w:rPr>
    </w:lvl>
    <w:lvl w:ilvl="5" w:tplc="F69C4904" w:tentative="1">
      <w:start w:val="1"/>
      <w:numFmt w:val="bullet"/>
      <w:lvlText w:val="•"/>
      <w:lvlJc w:val="left"/>
      <w:pPr>
        <w:tabs>
          <w:tab w:val="num" w:pos="4320"/>
        </w:tabs>
        <w:ind w:left="4320" w:hanging="360"/>
      </w:pPr>
      <w:rPr>
        <w:rFonts w:ascii="Arial" w:hAnsi="Arial" w:hint="default"/>
      </w:rPr>
    </w:lvl>
    <w:lvl w:ilvl="6" w:tplc="B6429890" w:tentative="1">
      <w:start w:val="1"/>
      <w:numFmt w:val="bullet"/>
      <w:lvlText w:val="•"/>
      <w:lvlJc w:val="left"/>
      <w:pPr>
        <w:tabs>
          <w:tab w:val="num" w:pos="5040"/>
        </w:tabs>
        <w:ind w:left="5040" w:hanging="360"/>
      </w:pPr>
      <w:rPr>
        <w:rFonts w:ascii="Arial" w:hAnsi="Arial" w:hint="default"/>
      </w:rPr>
    </w:lvl>
    <w:lvl w:ilvl="7" w:tplc="4712D26A" w:tentative="1">
      <w:start w:val="1"/>
      <w:numFmt w:val="bullet"/>
      <w:lvlText w:val="•"/>
      <w:lvlJc w:val="left"/>
      <w:pPr>
        <w:tabs>
          <w:tab w:val="num" w:pos="5760"/>
        </w:tabs>
        <w:ind w:left="5760" w:hanging="360"/>
      </w:pPr>
      <w:rPr>
        <w:rFonts w:ascii="Arial" w:hAnsi="Arial" w:hint="default"/>
      </w:rPr>
    </w:lvl>
    <w:lvl w:ilvl="8" w:tplc="CBFC38E6" w:tentative="1">
      <w:start w:val="1"/>
      <w:numFmt w:val="bullet"/>
      <w:lvlText w:val="•"/>
      <w:lvlJc w:val="left"/>
      <w:pPr>
        <w:tabs>
          <w:tab w:val="num" w:pos="6480"/>
        </w:tabs>
        <w:ind w:left="6480" w:hanging="360"/>
      </w:pPr>
      <w:rPr>
        <w:rFonts w:ascii="Arial" w:hAnsi="Arial" w:hint="default"/>
      </w:rPr>
    </w:lvl>
  </w:abstractNum>
  <w:abstractNum w:abstractNumId="15">
    <w:nsid w:val="0D4B1E75"/>
    <w:multiLevelType w:val="hybridMultilevel"/>
    <w:tmpl w:val="53507A06"/>
    <w:lvl w:ilvl="0" w:tplc="04090001">
      <w:start w:val="1"/>
      <w:numFmt w:val="bullet"/>
      <w:lvlText w:val=""/>
      <w:lvlJc w:val="left"/>
      <w:pPr>
        <w:ind w:left="490" w:hanging="420"/>
      </w:pPr>
      <w:rPr>
        <w:rFonts w:ascii="Wingdings" w:hAnsi="Wingdings" w:hint="default"/>
      </w:rPr>
    </w:lvl>
    <w:lvl w:ilvl="1" w:tplc="04090003" w:tentative="1">
      <w:start w:val="1"/>
      <w:numFmt w:val="bullet"/>
      <w:lvlText w:val=""/>
      <w:lvlJc w:val="left"/>
      <w:pPr>
        <w:ind w:left="910" w:hanging="420"/>
      </w:pPr>
      <w:rPr>
        <w:rFonts w:ascii="Wingdings" w:hAnsi="Wingdings" w:hint="default"/>
      </w:rPr>
    </w:lvl>
    <w:lvl w:ilvl="2" w:tplc="04090005" w:tentative="1">
      <w:start w:val="1"/>
      <w:numFmt w:val="bullet"/>
      <w:lvlText w:val=""/>
      <w:lvlJc w:val="left"/>
      <w:pPr>
        <w:ind w:left="1330" w:hanging="420"/>
      </w:pPr>
      <w:rPr>
        <w:rFonts w:ascii="Wingdings" w:hAnsi="Wingdings" w:hint="default"/>
      </w:rPr>
    </w:lvl>
    <w:lvl w:ilvl="3" w:tplc="04090001" w:tentative="1">
      <w:start w:val="1"/>
      <w:numFmt w:val="bullet"/>
      <w:lvlText w:val=""/>
      <w:lvlJc w:val="left"/>
      <w:pPr>
        <w:ind w:left="1750" w:hanging="420"/>
      </w:pPr>
      <w:rPr>
        <w:rFonts w:ascii="Wingdings" w:hAnsi="Wingdings" w:hint="default"/>
      </w:rPr>
    </w:lvl>
    <w:lvl w:ilvl="4" w:tplc="04090003" w:tentative="1">
      <w:start w:val="1"/>
      <w:numFmt w:val="bullet"/>
      <w:lvlText w:val=""/>
      <w:lvlJc w:val="left"/>
      <w:pPr>
        <w:ind w:left="2170" w:hanging="420"/>
      </w:pPr>
      <w:rPr>
        <w:rFonts w:ascii="Wingdings" w:hAnsi="Wingdings" w:hint="default"/>
      </w:rPr>
    </w:lvl>
    <w:lvl w:ilvl="5" w:tplc="04090005" w:tentative="1">
      <w:start w:val="1"/>
      <w:numFmt w:val="bullet"/>
      <w:lvlText w:val=""/>
      <w:lvlJc w:val="left"/>
      <w:pPr>
        <w:ind w:left="2590" w:hanging="420"/>
      </w:pPr>
      <w:rPr>
        <w:rFonts w:ascii="Wingdings" w:hAnsi="Wingdings" w:hint="default"/>
      </w:rPr>
    </w:lvl>
    <w:lvl w:ilvl="6" w:tplc="04090001" w:tentative="1">
      <w:start w:val="1"/>
      <w:numFmt w:val="bullet"/>
      <w:lvlText w:val=""/>
      <w:lvlJc w:val="left"/>
      <w:pPr>
        <w:ind w:left="3010" w:hanging="420"/>
      </w:pPr>
      <w:rPr>
        <w:rFonts w:ascii="Wingdings" w:hAnsi="Wingdings" w:hint="default"/>
      </w:rPr>
    </w:lvl>
    <w:lvl w:ilvl="7" w:tplc="04090003" w:tentative="1">
      <w:start w:val="1"/>
      <w:numFmt w:val="bullet"/>
      <w:lvlText w:val=""/>
      <w:lvlJc w:val="left"/>
      <w:pPr>
        <w:ind w:left="3430" w:hanging="420"/>
      </w:pPr>
      <w:rPr>
        <w:rFonts w:ascii="Wingdings" w:hAnsi="Wingdings" w:hint="default"/>
      </w:rPr>
    </w:lvl>
    <w:lvl w:ilvl="8" w:tplc="04090005" w:tentative="1">
      <w:start w:val="1"/>
      <w:numFmt w:val="bullet"/>
      <w:lvlText w:val=""/>
      <w:lvlJc w:val="left"/>
      <w:pPr>
        <w:ind w:left="3850" w:hanging="420"/>
      </w:pPr>
      <w:rPr>
        <w:rFonts w:ascii="Wingdings" w:hAnsi="Wingdings" w:hint="default"/>
      </w:rPr>
    </w:lvl>
  </w:abstractNum>
  <w:abstractNum w:abstractNumId="16">
    <w:nsid w:val="0FCE023A"/>
    <w:multiLevelType w:val="hybridMultilevel"/>
    <w:tmpl w:val="CEAE917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701588D"/>
    <w:multiLevelType w:val="hybridMultilevel"/>
    <w:tmpl w:val="BA0ABF6E"/>
    <w:lvl w:ilvl="0" w:tplc="79CAD032">
      <w:start w:val="1"/>
      <w:numFmt w:val="bullet"/>
      <w:lvlText w:val="•"/>
      <w:lvlJc w:val="left"/>
      <w:pPr>
        <w:tabs>
          <w:tab w:val="num" w:pos="720"/>
        </w:tabs>
        <w:ind w:left="720" w:hanging="360"/>
      </w:pPr>
      <w:rPr>
        <w:rFonts w:ascii="Arial" w:hAnsi="Arial" w:hint="default"/>
      </w:rPr>
    </w:lvl>
    <w:lvl w:ilvl="1" w:tplc="A07C3774" w:tentative="1">
      <w:start w:val="1"/>
      <w:numFmt w:val="bullet"/>
      <w:lvlText w:val="•"/>
      <w:lvlJc w:val="left"/>
      <w:pPr>
        <w:tabs>
          <w:tab w:val="num" w:pos="1440"/>
        </w:tabs>
        <w:ind w:left="1440" w:hanging="360"/>
      </w:pPr>
      <w:rPr>
        <w:rFonts w:ascii="Arial" w:hAnsi="Arial" w:hint="default"/>
      </w:rPr>
    </w:lvl>
    <w:lvl w:ilvl="2" w:tplc="DFC40916" w:tentative="1">
      <w:start w:val="1"/>
      <w:numFmt w:val="bullet"/>
      <w:lvlText w:val="•"/>
      <w:lvlJc w:val="left"/>
      <w:pPr>
        <w:tabs>
          <w:tab w:val="num" w:pos="2160"/>
        </w:tabs>
        <w:ind w:left="2160" w:hanging="360"/>
      </w:pPr>
      <w:rPr>
        <w:rFonts w:ascii="Arial" w:hAnsi="Arial" w:hint="default"/>
      </w:rPr>
    </w:lvl>
    <w:lvl w:ilvl="3" w:tplc="E9BC79C2" w:tentative="1">
      <w:start w:val="1"/>
      <w:numFmt w:val="bullet"/>
      <w:lvlText w:val="•"/>
      <w:lvlJc w:val="left"/>
      <w:pPr>
        <w:tabs>
          <w:tab w:val="num" w:pos="2880"/>
        </w:tabs>
        <w:ind w:left="2880" w:hanging="360"/>
      </w:pPr>
      <w:rPr>
        <w:rFonts w:ascii="Arial" w:hAnsi="Arial" w:hint="default"/>
      </w:rPr>
    </w:lvl>
    <w:lvl w:ilvl="4" w:tplc="888620B8" w:tentative="1">
      <w:start w:val="1"/>
      <w:numFmt w:val="bullet"/>
      <w:lvlText w:val="•"/>
      <w:lvlJc w:val="left"/>
      <w:pPr>
        <w:tabs>
          <w:tab w:val="num" w:pos="3600"/>
        </w:tabs>
        <w:ind w:left="3600" w:hanging="360"/>
      </w:pPr>
      <w:rPr>
        <w:rFonts w:ascii="Arial" w:hAnsi="Arial" w:hint="default"/>
      </w:rPr>
    </w:lvl>
    <w:lvl w:ilvl="5" w:tplc="75BAF61E" w:tentative="1">
      <w:start w:val="1"/>
      <w:numFmt w:val="bullet"/>
      <w:lvlText w:val="•"/>
      <w:lvlJc w:val="left"/>
      <w:pPr>
        <w:tabs>
          <w:tab w:val="num" w:pos="4320"/>
        </w:tabs>
        <w:ind w:left="4320" w:hanging="360"/>
      </w:pPr>
      <w:rPr>
        <w:rFonts w:ascii="Arial" w:hAnsi="Arial" w:hint="default"/>
      </w:rPr>
    </w:lvl>
    <w:lvl w:ilvl="6" w:tplc="5EBE38CA" w:tentative="1">
      <w:start w:val="1"/>
      <w:numFmt w:val="bullet"/>
      <w:lvlText w:val="•"/>
      <w:lvlJc w:val="left"/>
      <w:pPr>
        <w:tabs>
          <w:tab w:val="num" w:pos="5040"/>
        </w:tabs>
        <w:ind w:left="5040" w:hanging="360"/>
      </w:pPr>
      <w:rPr>
        <w:rFonts w:ascii="Arial" w:hAnsi="Arial" w:hint="default"/>
      </w:rPr>
    </w:lvl>
    <w:lvl w:ilvl="7" w:tplc="146E0002" w:tentative="1">
      <w:start w:val="1"/>
      <w:numFmt w:val="bullet"/>
      <w:lvlText w:val="•"/>
      <w:lvlJc w:val="left"/>
      <w:pPr>
        <w:tabs>
          <w:tab w:val="num" w:pos="5760"/>
        </w:tabs>
        <w:ind w:left="5760" w:hanging="360"/>
      </w:pPr>
      <w:rPr>
        <w:rFonts w:ascii="Arial" w:hAnsi="Arial" w:hint="default"/>
      </w:rPr>
    </w:lvl>
    <w:lvl w:ilvl="8" w:tplc="9AFE8ED8" w:tentative="1">
      <w:start w:val="1"/>
      <w:numFmt w:val="bullet"/>
      <w:lvlText w:val="•"/>
      <w:lvlJc w:val="left"/>
      <w:pPr>
        <w:tabs>
          <w:tab w:val="num" w:pos="6480"/>
        </w:tabs>
        <w:ind w:left="6480" w:hanging="360"/>
      </w:pPr>
      <w:rPr>
        <w:rFonts w:ascii="Arial" w:hAnsi="Arial" w:hint="default"/>
      </w:rPr>
    </w:lvl>
  </w:abstractNum>
  <w:abstractNum w:abstractNumId="21">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20"/>
  </w:num>
  <w:num w:numId="4">
    <w:abstractNumId w:val="16"/>
  </w:num>
  <w:num w:numId="5">
    <w:abstractNumId w:val="12"/>
  </w:num>
  <w:num w:numId="6">
    <w:abstractNumId w:val="13"/>
  </w:num>
  <w:num w:numId="7">
    <w:abstractNumId w:val="15"/>
  </w:num>
  <w:num w:numId="8">
    <w:abstractNumId w:val="18"/>
  </w:num>
  <w:num w:numId="9">
    <w:abstractNumId w:val="10"/>
  </w:num>
  <w:num w:numId="10">
    <w:abstractNumId w:val="8"/>
  </w:num>
  <w:num w:numId="11">
    <w:abstractNumId w:val="7"/>
  </w:num>
  <w:num w:numId="12">
    <w:abstractNumId w:val="6"/>
  </w:num>
  <w:num w:numId="13">
    <w:abstractNumId w:val="5"/>
  </w:num>
  <w:num w:numId="14">
    <w:abstractNumId w:val="9"/>
  </w:num>
  <w:num w:numId="15">
    <w:abstractNumId w:val="4"/>
  </w:num>
  <w:num w:numId="16">
    <w:abstractNumId w:val="3"/>
  </w:num>
  <w:num w:numId="17">
    <w:abstractNumId w:val="2"/>
  </w:num>
  <w:num w:numId="18">
    <w:abstractNumId w:val="1"/>
  </w:num>
  <w:num w:numId="19">
    <w:abstractNumId w:val="22"/>
  </w:num>
  <w:num w:numId="20">
    <w:abstractNumId w:val="19"/>
  </w:num>
  <w:num w:numId="21">
    <w:abstractNumId w:val="17"/>
  </w:num>
  <w:num w:numId="22">
    <w:abstractNumId w:val="2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6145">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EE4"/>
    <w:rsid w:val="0000572A"/>
    <w:rsid w:val="00005D79"/>
    <w:rsid w:val="00035A26"/>
    <w:rsid w:val="000408B4"/>
    <w:rsid w:val="00043DD5"/>
    <w:rsid w:val="00046C9C"/>
    <w:rsid w:val="00050DC3"/>
    <w:rsid w:val="00063109"/>
    <w:rsid w:val="00070EC7"/>
    <w:rsid w:val="00077E9E"/>
    <w:rsid w:val="000810DD"/>
    <w:rsid w:val="000847AD"/>
    <w:rsid w:val="00084B0A"/>
    <w:rsid w:val="000921AE"/>
    <w:rsid w:val="000A35D1"/>
    <w:rsid w:val="000A61E0"/>
    <w:rsid w:val="000D01C8"/>
    <w:rsid w:val="000D55BA"/>
    <w:rsid w:val="000D7DE5"/>
    <w:rsid w:val="00106BCE"/>
    <w:rsid w:val="00133706"/>
    <w:rsid w:val="00144489"/>
    <w:rsid w:val="001872F0"/>
    <w:rsid w:val="00195976"/>
    <w:rsid w:val="001A5920"/>
    <w:rsid w:val="001A6E85"/>
    <w:rsid w:val="001A7AC7"/>
    <w:rsid w:val="001B699E"/>
    <w:rsid w:val="001C0A40"/>
    <w:rsid w:val="001C6150"/>
    <w:rsid w:val="001E1A78"/>
    <w:rsid w:val="001E5115"/>
    <w:rsid w:val="001E70EE"/>
    <w:rsid w:val="001F3AC8"/>
    <w:rsid w:val="001F65E1"/>
    <w:rsid w:val="002266D1"/>
    <w:rsid w:val="00227969"/>
    <w:rsid w:val="00250B31"/>
    <w:rsid w:val="00253ED2"/>
    <w:rsid w:val="00266590"/>
    <w:rsid w:val="002679DA"/>
    <w:rsid w:val="0029318E"/>
    <w:rsid w:val="00295A7C"/>
    <w:rsid w:val="002969F5"/>
    <w:rsid w:val="002B27BC"/>
    <w:rsid w:val="002C1969"/>
    <w:rsid w:val="002C50F0"/>
    <w:rsid w:val="002D4CC1"/>
    <w:rsid w:val="002D6541"/>
    <w:rsid w:val="00305A28"/>
    <w:rsid w:val="00306149"/>
    <w:rsid w:val="003176DC"/>
    <w:rsid w:val="003579E0"/>
    <w:rsid w:val="00363CCA"/>
    <w:rsid w:val="003E07E9"/>
    <w:rsid w:val="00400A12"/>
    <w:rsid w:val="00402515"/>
    <w:rsid w:val="00407A28"/>
    <w:rsid w:val="004174EF"/>
    <w:rsid w:val="004311A6"/>
    <w:rsid w:val="004366AD"/>
    <w:rsid w:val="004467B5"/>
    <w:rsid w:val="00454767"/>
    <w:rsid w:val="00467ED6"/>
    <w:rsid w:val="00481DF3"/>
    <w:rsid w:val="004846C0"/>
    <w:rsid w:val="004A2BED"/>
    <w:rsid w:val="004A3F93"/>
    <w:rsid w:val="004C2AEC"/>
    <w:rsid w:val="004C3D25"/>
    <w:rsid w:val="00511250"/>
    <w:rsid w:val="00551985"/>
    <w:rsid w:val="005523D0"/>
    <w:rsid w:val="00561EA3"/>
    <w:rsid w:val="00564ED1"/>
    <w:rsid w:val="00570770"/>
    <w:rsid w:val="00584A4B"/>
    <w:rsid w:val="005C7235"/>
    <w:rsid w:val="005F6970"/>
    <w:rsid w:val="00606845"/>
    <w:rsid w:val="00607E90"/>
    <w:rsid w:val="006536AB"/>
    <w:rsid w:val="00654D04"/>
    <w:rsid w:val="00660623"/>
    <w:rsid w:val="006706F8"/>
    <w:rsid w:val="0067317B"/>
    <w:rsid w:val="00673F18"/>
    <w:rsid w:val="006758E0"/>
    <w:rsid w:val="00687DBC"/>
    <w:rsid w:val="006908CE"/>
    <w:rsid w:val="00694460"/>
    <w:rsid w:val="00697D2E"/>
    <w:rsid w:val="006A7D07"/>
    <w:rsid w:val="006B33E1"/>
    <w:rsid w:val="006B43D6"/>
    <w:rsid w:val="006E560F"/>
    <w:rsid w:val="006F5847"/>
    <w:rsid w:val="0072140B"/>
    <w:rsid w:val="007226CF"/>
    <w:rsid w:val="00732BEA"/>
    <w:rsid w:val="0073776A"/>
    <w:rsid w:val="00741A93"/>
    <w:rsid w:val="007642C0"/>
    <w:rsid w:val="007644C1"/>
    <w:rsid w:val="00766C14"/>
    <w:rsid w:val="00771CC1"/>
    <w:rsid w:val="007A247C"/>
    <w:rsid w:val="007B39F9"/>
    <w:rsid w:val="007B42F6"/>
    <w:rsid w:val="007B582B"/>
    <w:rsid w:val="007D04D0"/>
    <w:rsid w:val="007D5D9F"/>
    <w:rsid w:val="007E6F36"/>
    <w:rsid w:val="008116CC"/>
    <w:rsid w:val="0081747C"/>
    <w:rsid w:val="008258CE"/>
    <w:rsid w:val="008403AE"/>
    <w:rsid w:val="00855951"/>
    <w:rsid w:val="00860EDC"/>
    <w:rsid w:val="008834F6"/>
    <w:rsid w:val="00892589"/>
    <w:rsid w:val="00892F83"/>
    <w:rsid w:val="008B10D9"/>
    <w:rsid w:val="008B1F6A"/>
    <w:rsid w:val="008B3DEC"/>
    <w:rsid w:val="008C2A27"/>
    <w:rsid w:val="008C3C87"/>
    <w:rsid w:val="008C3EE4"/>
    <w:rsid w:val="008D563B"/>
    <w:rsid w:val="008D69AB"/>
    <w:rsid w:val="008E5559"/>
    <w:rsid w:val="008E5C57"/>
    <w:rsid w:val="008F096C"/>
    <w:rsid w:val="008F2C24"/>
    <w:rsid w:val="008F3423"/>
    <w:rsid w:val="00911F18"/>
    <w:rsid w:val="00912675"/>
    <w:rsid w:val="00913198"/>
    <w:rsid w:val="0091334D"/>
    <w:rsid w:val="00924A92"/>
    <w:rsid w:val="0092782A"/>
    <w:rsid w:val="00950D59"/>
    <w:rsid w:val="00952BB5"/>
    <w:rsid w:val="00954265"/>
    <w:rsid w:val="0095565A"/>
    <w:rsid w:val="00955A76"/>
    <w:rsid w:val="00966380"/>
    <w:rsid w:val="00967527"/>
    <w:rsid w:val="00971062"/>
    <w:rsid w:val="00972267"/>
    <w:rsid w:val="00981CDD"/>
    <w:rsid w:val="009826D8"/>
    <w:rsid w:val="00984823"/>
    <w:rsid w:val="00991EA6"/>
    <w:rsid w:val="00996E2A"/>
    <w:rsid w:val="009A65D5"/>
    <w:rsid w:val="009B4B0A"/>
    <w:rsid w:val="009C4643"/>
    <w:rsid w:val="009E1C37"/>
    <w:rsid w:val="009E385F"/>
    <w:rsid w:val="009F5490"/>
    <w:rsid w:val="00A0349A"/>
    <w:rsid w:val="00A14B65"/>
    <w:rsid w:val="00A23E20"/>
    <w:rsid w:val="00A24D72"/>
    <w:rsid w:val="00A34C8F"/>
    <w:rsid w:val="00A36BAA"/>
    <w:rsid w:val="00A43450"/>
    <w:rsid w:val="00A44F30"/>
    <w:rsid w:val="00A53149"/>
    <w:rsid w:val="00A650FB"/>
    <w:rsid w:val="00A6747B"/>
    <w:rsid w:val="00A71008"/>
    <w:rsid w:val="00A75CC5"/>
    <w:rsid w:val="00A8673E"/>
    <w:rsid w:val="00A96ECB"/>
    <w:rsid w:val="00AA0304"/>
    <w:rsid w:val="00AA6116"/>
    <w:rsid w:val="00AB03C3"/>
    <w:rsid w:val="00AC0EAA"/>
    <w:rsid w:val="00AC7352"/>
    <w:rsid w:val="00AF3B84"/>
    <w:rsid w:val="00AF77EC"/>
    <w:rsid w:val="00B02C71"/>
    <w:rsid w:val="00B04B0C"/>
    <w:rsid w:val="00B221E6"/>
    <w:rsid w:val="00B41A2A"/>
    <w:rsid w:val="00B42756"/>
    <w:rsid w:val="00B77004"/>
    <w:rsid w:val="00B77880"/>
    <w:rsid w:val="00BA40A2"/>
    <w:rsid w:val="00BB2256"/>
    <w:rsid w:val="00BE0C84"/>
    <w:rsid w:val="00BE4BE0"/>
    <w:rsid w:val="00BF07AC"/>
    <w:rsid w:val="00C00214"/>
    <w:rsid w:val="00C0029F"/>
    <w:rsid w:val="00C020D7"/>
    <w:rsid w:val="00C04FAF"/>
    <w:rsid w:val="00C3782F"/>
    <w:rsid w:val="00C426C9"/>
    <w:rsid w:val="00C712EB"/>
    <w:rsid w:val="00C911B4"/>
    <w:rsid w:val="00C95F7D"/>
    <w:rsid w:val="00CA6809"/>
    <w:rsid w:val="00CC4FFB"/>
    <w:rsid w:val="00CD7432"/>
    <w:rsid w:val="00CE5250"/>
    <w:rsid w:val="00CF6F31"/>
    <w:rsid w:val="00D028B3"/>
    <w:rsid w:val="00D12904"/>
    <w:rsid w:val="00D302F1"/>
    <w:rsid w:val="00D50413"/>
    <w:rsid w:val="00D800A0"/>
    <w:rsid w:val="00D84170"/>
    <w:rsid w:val="00D909C3"/>
    <w:rsid w:val="00D91265"/>
    <w:rsid w:val="00D97DB3"/>
    <w:rsid w:val="00DA261E"/>
    <w:rsid w:val="00DB0A45"/>
    <w:rsid w:val="00DB1CBE"/>
    <w:rsid w:val="00DD3861"/>
    <w:rsid w:val="00DD3F8B"/>
    <w:rsid w:val="00DD749D"/>
    <w:rsid w:val="00DF2B07"/>
    <w:rsid w:val="00E14D99"/>
    <w:rsid w:val="00E1736E"/>
    <w:rsid w:val="00E323C7"/>
    <w:rsid w:val="00E33A56"/>
    <w:rsid w:val="00E37374"/>
    <w:rsid w:val="00E47405"/>
    <w:rsid w:val="00E62658"/>
    <w:rsid w:val="00E76BD0"/>
    <w:rsid w:val="00E8083F"/>
    <w:rsid w:val="00E8113A"/>
    <w:rsid w:val="00E95B8B"/>
    <w:rsid w:val="00EB2688"/>
    <w:rsid w:val="00EB6A7C"/>
    <w:rsid w:val="00EC1B79"/>
    <w:rsid w:val="00EC6D04"/>
    <w:rsid w:val="00ED2390"/>
    <w:rsid w:val="00ED78FB"/>
    <w:rsid w:val="00EE200F"/>
    <w:rsid w:val="00EF1C4A"/>
    <w:rsid w:val="00F02844"/>
    <w:rsid w:val="00F05804"/>
    <w:rsid w:val="00F05D7C"/>
    <w:rsid w:val="00F074FC"/>
    <w:rsid w:val="00F10CF6"/>
    <w:rsid w:val="00F12059"/>
    <w:rsid w:val="00F15EF8"/>
    <w:rsid w:val="00F24AD6"/>
    <w:rsid w:val="00F27D41"/>
    <w:rsid w:val="00F30BAA"/>
    <w:rsid w:val="00F37B9F"/>
    <w:rsid w:val="00F44752"/>
    <w:rsid w:val="00F46D83"/>
    <w:rsid w:val="00F5169D"/>
    <w:rsid w:val="00F65A5A"/>
    <w:rsid w:val="00F66084"/>
    <w:rsid w:val="00F725AA"/>
    <w:rsid w:val="00F76338"/>
    <w:rsid w:val="00F77A9C"/>
    <w:rsid w:val="00F90330"/>
    <w:rsid w:val="00FB0731"/>
    <w:rsid w:val="00FB5F50"/>
    <w:rsid w:val="00FB71CD"/>
    <w:rsid w:val="00FD0552"/>
    <w:rsid w:val="00FD5122"/>
    <w:rsid w:val="00FD59F1"/>
    <w:rsid w:val="00FE7B14"/>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v:textbox inset="5.85pt,.7pt,5.85pt,.7pt"/>
    </o:shapedefaults>
    <o:shapelayout v:ext="edit">
      <o:idmap v:ext="edit" data="1"/>
    </o:shapelayout>
  </w:shapeDefaults>
  <w:decimalSymbol w:val="."/>
  <w:listSeparator w:val=","/>
  <w14:docId w14:val="6C68290C"/>
  <w15:docId w15:val="{8A05EAFB-7E06-420C-AA3B-705EBF31D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480" w:lineRule="auto"/>
    </w:pPr>
    <w:rPr>
      <w:sz w:val="24"/>
      <w:szCs w:val="24"/>
      <w:lang w:eastAsia="en-US"/>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pPr>
      <w:keepNext/>
      <w:outlineLvl w:val="2"/>
    </w:pPr>
    <w:rPr>
      <w:b/>
      <w:bCs/>
    </w:rPr>
  </w:style>
  <w:style w:type="paragraph" w:styleId="Heading4">
    <w:name w:val="heading 4"/>
    <w:basedOn w:val="Normal"/>
    <w:next w:val="Normal"/>
    <w:link w:val="Heading4Char"/>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Heading5">
    <w:name w:val="heading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character" w:styleId="HTMLKeyboard">
    <w:name w:val="HTML Keyboard"/>
    <w:rPr>
      <w:rFonts w:ascii="Courier New" w:hAnsi="Courier New"/>
      <w:sz w:val="20"/>
      <w:szCs w:val="20"/>
    </w:rPr>
  </w:style>
  <w:style w:type="character" w:styleId="PageNumber">
    <w:name w:val="page number"/>
    <w:basedOn w:val="DefaultParagraphFont"/>
  </w:style>
  <w:style w:type="character" w:styleId="LineNumber">
    <w:name w:val="line number"/>
    <w:basedOn w:val="DefaultParagraphFont"/>
  </w:style>
  <w:style w:type="paragraph" w:styleId="Footer">
    <w:name w:val="footer"/>
    <w:basedOn w:val="Normal"/>
    <w:link w:val="FooterChar"/>
    <w:uiPriority w:val="99"/>
    <w:pPr>
      <w:tabs>
        <w:tab w:val="center" w:pos="4320"/>
        <w:tab w:val="right" w:pos="8640"/>
      </w:tabs>
    </w:pPr>
  </w:style>
  <w:style w:type="paragraph" w:styleId="Title">
    <w:name w:val="Title"/>
    <w:basedOn w:val="Normal"/>
    <w:link w:val="TitleChar"/>
    <w:qFormat/>
    <w:pPr>
      <w:spacing w:before="240" w:after="60"/>
      <w:jc w:val="center"/>
      <w:outlineLvl w:val="0"/>
    </w:pPr>
    <w:rPr>
      <w:rFonts w:ascii="Arial" w:hAnsi="Arial" w:cs="Arial"/>
      <w:b/>
      <w:bCs/>
      <w:kern w:val="28"/>
      <w:sz w:val="32"/>
      <w:szCs w:val="32"/>
    </w:rPr>
  </w:style>
  <w:style w:type="paragraph" w:styleId="FootnoteText">
    <w:name w:val="footnote text"/>
    <w:basedOn w:val="Normal"/>
    <w:link w:val="FootnoteTextChar"/>
    <w:pPr>
      <w:snapToGrid w:val="0"/>
    </w:pPr>
  </w:style>
  <w:style w:type="character" w:customStyle="1" w:styleId="FootnoteTextChar">
    <w:name w:val="Footnote Text Char"/>
    <w:link w:val="FootnoteText"/>
    <w:rPr>
      <w:sz w:val="24"/>
      <w:szCs w:val="24"/>
      <w:lang w:eastAsia="en-US"/>
    </w:rPr>
  </w:style>
  <w:style w:type="character" w:styleId="FootnoteReference">
    <w:name w:val="footnote reference"/>
    <w:rPr>
      <w:vertAlign w:val="superscript"/>
    </w:rPr>
  </w:style>
  <w:style w:type="paragraph" w:customStyle="1" w:styleId="MTDisplayEquation">
    <w:name w:val="MTDisplayEquation"/>
    <w:basedOn w:val="Normal"/>
    <w:next w:val="Normal"/>
    <w:link w:val="MTDisplayEquationChar"/>
    <w:pPr>
      <w:tabs>
        <w:tab w:val="center" w:pos="4680"/>
        <w:tab w:val="right" w:pos="9360"/>
      </w:tabs>
      <w:jc w:val="both"/>
    </w:pPr>
  </w:style>
  <w:style w:type="character" w:customStyle="1" w:styleId="MTDisplayEquationChar">
    <w:name w:val="MTDisplayEquation Char"/>
    <w:link w:val="MTDisplayEquation"/>
    <w:rPr>
      <w:sz w:val="24"/>
      <w:szCs w:val="24"/>
      <w:lang w:eastAsia="en-US"/>
    </w:rPr>
  </w:style>
  <w:style w:type="paragraph" w:styleId="BalloonText">
    <w:name w:val="Balloon Text"/>
    <w:basedOn w:val="Normal"/>
    <w:link w:val="BalloonTextChar"/>
    <w:pPr>
      <w:spacing w:line="240" w:lineRule="auto"/>
    </w:pPr>
    <w:rPr>
      <w:rFonts w:ascii="Tahoma" w:hAnsi="Tahoma" w:cs="Tahoma"/>
      <w:sz w:val="20"/>
      <w:szCs w:val="18"/>
    </w:rPr>
  </w:style>
  <w:style w:type="character" w:customStyle="1" w:styleId="BalloonTextChar">
    <w:name w:val="Balloon Text Char"/>
    <w:link w:val="BalloonText"/>
    <w:rPr>
      <w:rFonts w:ascii="Tahoma" w:hAnsi="Tahoma" w:cs="Tahoma"/>
      <w:szCs w:val="18"/>
      <w:lang w:eastAsia="en-US"/>
    </w:rPr>
  </w:style>
  <w:style w:type="character" w:styleId="CommentReference">
    <w:name w:val="annotation reference"/>
    <w:rPr>
      <w:sz w:val="18"/>
    </w:rPr>
  </w:style>
  <w:style w:type="paragraph" w:styleId="CommentText">
    <w:name w:val="annotation text"/>
    <w:aliases w:val="Char Char Char Char"/>
    <w:basedOn w:val="Normal"/>
    <w:pPr>
      <w:spacing w:line="240" w:lineRule="auto"/>
    </w:pPr>
    <w:rPr>
      <w:rFonts w:cs="Tahoma"/>
      <w:color w:val="000000"/>
      <w:sz w:val="20"/>
    </w:rPr>
  </w:style>
  <w:style w:type="paragraph" w:styleId="CommentSubject">
    <w:name w:val="annotation subject"/>
    <w:basedOn w:val="CommentText"/>
    <w:next w:val="CommentText"/>
    <w:link w:val="CommentSubjectChar"/>
    <w:semiHidden/>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sz w:val="28"/>
      <w:szCs w:val="28"/>
      <w:lang w:eastAsia="en-US"/>
    </w:rPr>
  </w:style>
  <w:style w:type="character" w:styleId="Emphasis">
    <w:name w:val="Emphasis"/>
    <w:basedOn w:val="DefaultParagraphFont"/>
    <w:uiPriority w:val="20"/>
    <w:qFormat/>
    <w:rPr>
      <w:i/>
      <w:iCs/>
    </w:rPr>
  </w:style>
  <w:style w:type="character" w:customStyle="1" w:styleId="apple-converted-space">
    <w:name w:val="apple-converted-space"/>
    <w:basedOn w:val="DefaultParagraphFont"/>
  </w:style>
  <w:style w:type="character" w:customStyle="1" w:styleId="MTEquationSection">
    <w:name w:val="MTEquationSection"/>
    <w:basedOn w:val="DefaultParagraphFont"/>
    <w:rPr>
      <w:b/>
      <w:bCs/>
      <w:vanish/>
      <w:color w:val="FF0000"/>
      <w:sz w:val="32"/>
    </w:rPr>
  </w:style>
  <w:style w:type="paragraph" w:styleId="ListParagraph">
    <w:name w:val="List Paragraph"/>
    <w:basedOn w:val="Normal"/>
    <w:uiPriority w:val="34"/>
    <w:qFormat/>
    <w:pPr>
      <w:spacing w:line="240" w:lineRule="auto"/>
      <w:ind w:firstLineChars="200" w:firstLine="420"/>
    </w:pPr>
    <w:rPr>
      <w:rFonts w:ascii="SimSun" w:hAnsi="SimSun" w:cs="SimSun"/>
      <w:lang w:eastAsia="zh-CN"/>
    </w:rPr>
  </w:style>
  <w:style w:type="paragraph" w:customStyle="1" w:styleId="src">
    <w:name w:val="src"/>
    <w:basedOn w:val="Normal"/>
    <w:pPr>
      <w:spacing w:before="100" w:beforeAutospacing="1" w:after="100" w:afterAutospacing="1" w:line="240" w:lineRule="auto"/>
    </w:pPr>
    <w:rPr>
      <w:rFonts w:ascii="SimSun" w:hAnsi="SimSun" w:cs="SimSun"/>
      <w:lang w:eastAsia="zh-CN"/>
    </w:rPr>
  </w:style>
  <w:style w:type="paragraph" w:customStyle="1" w:styleId="tran">
    <w:name w:val="tran"/>
    <w:basedOn w:val="Normal"/>
    <w:pPr>
      <w:spacing w:before="100" w:beforeAutospacing="1" w:after="100" w:afterAutospacing="1" w:line="240" w:lineRule="auto"/>
    </w:pPr>
    <w:rPr>
      <w:rFonts w:ascii="SimSun" w:hAnsi="SimSun" w:cs="SimSun"/>
      <w:lang w:eastAsia="zh-CN"/>
    </w:rPr>
  </w:style>
  <w:style w:type="paragraph" w:styleId="NormalWeb">
    <w:name w:val="Normal (Web)"/>
    <w:basedOn w:val="Normal"/>
    <w:uiPriority w:val="99"/>
    <w:semiHidden/>
    <w:unhideWhenUsed/>
    <w:pPr>
      <w:spacing w:before="100" w:beforeAutospacing="1" w:after="100" w:afterAutospacing="1" w:line="240" w:lineRule="auto"/>
    </w:pPr>
    <w:rPr>
      <w:rFonts w:eastAsia="Times New Roman"/>
      <w:lang w:eastAsia="zh-CN"/>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rPr>
      <w:sz w:val="24"/>
      <w:szCs w:val="24"/>
      <w:lang w:eastAsia="en-US"/>
    </w:rPr>
  </w:style>
  <w:style w:type="character" w:customStyle="1" w:styleId="HeaderChar">
    <w:name w:val="Header Char"/>
    <w:basedOn w:val="DefaultParagraphFont"/>
    <w:link w:val="Header"/>
    <w:rPr>
      <w:sz w:val="24"/>
      <w:szCs w:val="24"/>
      <w:lang w:eastAsia="en-US"/>
    </w:rPr>
  </w:style>
  <w:style w:type="character" w:customStyle="1" w:styleId="FooterChar">
    <w:name w:val="Footer Char"/>
    <w:basedOn w:val="DefaultParagraphFont"/>
    <w:link w:val="Footer"/>
    <w:uiPriority w:val="99"/>
    <w:rPr>
      <w:sz w:val="24"/>
      <w:szCs w:val="24"/>
      <w:lang w:eastAsia="en-US"/>
    </w:rPr>
  </w:style>
  <w:style w:type="character" w:customStyle="1" w:styleId="CommentTextChar">
    <w:name w:val="Comment Text Char"/>
    <w:aliases w:val="Char Char Char Char Char"/>
    <w:basedOn w:val="DefaultParagraphFont"/>
    <w:rPr>
      <w:rFonts w:ascii="Tahoma" w:hAnsi="Tahoma" w:cs="Tahoma"/>
      <w:color w:val="000000"/>
      <w:szCs w:val="24"/>
      <w:lang w:eastAsia="en-US"/>
    </w:rPr>
  </w:style>
  <w:style w:type="character" w:customStyle="1" w:styleId="CommentSubjectChar">
    <w:name w:val="Comment Subject Char"/>
    <w:basedOn w:val="CommentTextChar"/>
    <w:link w:val="CommentSubject"/>
    <w:uiPriority w:val="99"/>
    <w:semiHidden/>
    <w:rPr>
      <w:rFonts w:ascii="Tahoma" w:hAnsi="Tahoma" w:cs="Tahoma"/>
      <w:color w:val="000000"/>
      <w:sz w:val="24"/>
      <w:szCs w:val="24"/>
      <w:lang w:eastAsia="en-US"/>
    </w:rPr>
  </w:style>
  <w:style w:type="table" w:styleId="TableGrid">
    <w:name w:val="Table Grid"/>
    <w:basedOn w:val="TableNormal"/>
    <w:uiPriority w:val="59"/>
    <w:rPr>
      <w:rFonts w:ascii="New York" w:eastAsiaTheme="minorEastAsia" w:hAnsi="New York"/>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4"/>
      <w:szCs w:val="24"/>
      <w:lang w:eastAsia="en-US"/>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4"/>
      <w:szCs w:val="24"/>
      <w:lang w:eastAsia="en-US"/>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1F4D78" w:themeColor="accent1" w:themeShade="7F"/>
      <w:sz w:val="24"/>
      <w:szCs w:val="24"/>
      <w:lang w:eastAsia="en-U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lang w:eastAsia="en-US"/>
    </w:rPr>
  </w:style>
  <w:style w:type="paragraph" w:styleId="Subtitle">
    <w:name w:val="Subtitle"/>
    <w:basedOn w:val="Normal"/>
    <w:next w:val="Normal"/>
    <w:link w:val="SubtitleChar"/>
    <w:uiPriority w:val="11"/>
    <w:qFormat/>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themeColor="text1" w:themeTint="A5"/>
      <w:spacing w:val="15"/>
      <w:sz w:val="22"/>
      <w:szCs w:val="22"/>
      <w:lang w:eastAsia="en-US"/>
    </w:rPr>
  </w:style>
  <w:style w:type="paragraph" w:customStyle="1" w:styleId="Teaser">
    <w:name w:val="Teaser"/>
    <w:basedOn w:val="Normal"/>
    <w:pPr>
      <w:spacing w:before="120" w:line="240" w:lineRule="auto"/>
    </w:pPr>
    <w:rPr>
      <w:rFonts w:eastAsia="Times New Roman"/>
    </w:rPr>
  </w:style>
  <w:style w:type="paragraph" w:customStyle="1" w:styleId="Paragraph">
    <w:name w:val="Paragraph"/>
    <w:basedOn w:val="Normal"/>
    <w:link w:val="ParagraphChar"/>
    <w:pPr>
      <w:spacing w:before="120" w:line="240" w:lineRule="auto"/>
      <w:ind w:firstLine="720"/>
    </w:pPr>
    <w:rPr>
      <w:rFonts w:eastAsia="Times New Roman"/>
    </w:rPr>
  </w:style>
  <w:style w:type="character" w:customStyle="1" w:styleId="ParagraphChar">
    <w:name w:val="Paragraph Char"/>
    <w:basedOn w:val="DefaultParagraphFont"/>
    <w:link w:val="Paragraph"/>
    <w:rPr>
      <w:rFonts w:eastAsia="Times New Roman"/>
      <w:sz w:val="24"/>
      <w:szCs w:val="24"/>
      <w:lang w:eastAsia="en-US"/>
    </w:rPr>
  </w:style>
  <w:style w:type="character" w:customStyle="1" w:styleId="Heading1Char">
    <w:name w:val="Heading 1 Char"/>
    <w:link w:val="Heading1"/>
    <w:rPr>
      <w:rFonts w:ascii="Arial" w:hAnsi="Arial" w:cs="Arial"/>
      <w:b/>
      <w:bCs/>
      <w:kern w:val="32"/>
      <w:sz w:val="32"/>
      <w:szCs w:val="32"/>
      <w:lang w:eastAsia="en-US"/>
    </w:rPr>
  </w:style>
  <w:style w:type="character" w:customStyle="1" w:styleId="Heading2Char">
    <w:name w:val="Heading 2 Char"/>
    <w:link w:val="Heading2"/>
    <w:rPr>
      <w:rFonts w:ascii="Arial" w:hAnsi="Arial" w:cs="Arial"/>
      <w:b/>
      <w:bCs/>
      <w:i/>
      <w:iCs/>
      <w:sz w:val="28"/>
      <w:szCs w:val="28"/>
      <w:lang w:eastAsia="en-US"/>
    </w:rPr>
  </w:style>
  <w:style w:type="character" w:customStyle="1" w:styleId="Heading3Char">
    <w:name w:val="Heading 3 Char"/>
    <w:link w:val="Heading3"/>
    <w:rPr>
      <w:b/>
      <w:bCs/>
      <w:sz w:val="24"/>
      <w:szCs w:val="24"/>
      <w:lang w:eastAsia="en-US"/>
    </w:rPr>
  </w:style>
  <w:style w:type="paragraph" w:customStyle="1" w:styleId="BaseText">
    <w:name w:val="Base_Text"/>
    <w:pPr>
      <w:spacing w:before="120"/>
    </w:pPr>
    <w:rPr>
      <w:rFonts w:eastAsia="Times New Roman"/>
      <w:sz w:val="24"/>
      <w:szCs w:val="24"/>
      <w:lang w:eastAsia="en-US"/>
    </w:rPr>
  </w:style>
  <w:style w:type="paragraph" w:customStyle="1" w:styleId="1stparatext">
    <w:name w:val="1st para text"/>
    <w:basedOn w:val="BaseText"/>
  </w:style>
  <w:style w:type="paragraph" w:customStyle="1" w:styleId="BaseHeading">
    <w:name w:val="Base_Heading"/>
    <w:pPr>
      <w:keepNext/>
      <w:spacing w:before="240"/>
      <w:outlineLvl w:val="0"/>
    </w:pPr>
    <w:rPr>
      <w:rFonts w:eastAsia="Times New Roman"/>
      <w:kern w:val="28"/>
      <w:sz w:val="28"/>
      <w:szCs w:val="28"/>
      <w:lang w:eastAsia="en-US"/>
    </w:rPr>
  </w:style>
  <w:style w:type="paragraph" w:customStyle="1" w:styleId="AbstractHead">
    <w:name w:val="Abstract Head"/>
    <w:basedOn w:val="BaseHeading"/>
  </w:style>
  <w:style w:type="paragraph" w:customStyle="1" w:styleId="AbstractSummary">
    <w:name w:val="Abstract/Summary"/>
    <w:basedOn w:val="BaseText"/>
  </w:style>
  <w:style w:type="paragraph" w:customStyle="1" w:styleId="Referencesandnotes">
    <w:name w:val="References and notes"/>
    <w:basedOn w:val="BaseText"/>
    <w:pPr>
      <w:ind w:left="720" w:hanging="720"/>
    </w:pPr>
  </w:style>
  <w:style w:type="paragraph" w:customStyle="1" w:styleId="Acknowledgement">
    <w:name w:val="Acknowledgement"/>
    <w:basedOn w:val="Referencesandnotes"/>
  </w:style>
  <w:style w:type="paragraph" w:customStyle="1" w:styleId="Subhead">
    <w:name w:val="Subhead"/>
    <w:basedOn w:val="BaseHeading"/>
    <w:rPr>
      <w:b/>
      <w:bCs/>
      <w:sz w:val="24"/>
      <w:szCs w:val="24"/>
    </w:rPr>
  </w:style>
  <w:style w:type="paragraph" w:customStyle="1" w:styleId="AppendixHead">
    <w:name w:val="AppendixHead"/>
    <w:basedOn w:val="Subhead"/>
  </w:style>
  <w:style w:type="paragraph" w:customStyle="1" w:styleId="AppendixSubhead">
    <w:name w:val="AppendixSubhead"/>
    <w:basedOn w:val="Subhead"/>
  </w:style>
  <w:style w:type="paragraph" w:customStyle="1" w:styleId="Articletype">
    <w:name w:val="Article type"/>
    <w:basedOn w:val="BaseText"/>
  </w:style>
  <w:style w:type="character" w:customStyle="1" w:styleId="aubase">
    <w:name w:val="au_base"/>
    <w:rPr>
      <w:sz w:val="24"/>
    </w:rPr>
  </w:style>
  <w:style w:type="character" w:customStyle="1" w:styleId="aucollab">
    <w:name w:val="au_collab"/>
    <w:rPr>
      <w:sz w:val="24"/>
      <w:bdr w:val="none" w:sz="0" w:space="0" w:color="auto"/>
      <w:shd w:val="clear" w:color="auto" w:fill="C0C0C0"/>
    </w:rPr>
  </w:style>
  <w:style w:type="character" w:customStyle="1" w:styleId="audeg">
    <w:name w:val="au_deg"/>
    <w:rPr>
      <w:sz w:val="24"/>
      <w:bdr w:val="none" w:sz="0" w:space="0" w:color="auto"/>
      <w:shd w:val="clear" w:color="auto" w:fill="FFFF00"/>
    </w:rPr>
  </w:style>
  <w:style w:type="character" w:customStyle="1" w:styleId="aufname">
    <w:name w:val="au_fname"/>
    <w:rPr>
      <w:sz w:val="24"/>
      <w:bdr w:val="none" w:sz="0" w:space="0" w:color="auto"/>
      <w:shd w:val="clear" w:color="auto" w:fill="00FFFF"/>
    </w:rPr>
  </w:style>
  <w:style w:type="character" w:customStyle="1" w:styleId="aurole">
    <w:name w:val="au_role"/>
    <w:rPr>
      <w:sz w:val="24"/>
      <w:bdr w:val="none" w:sz="0" w:space="0" w:color="auto"/>
      <w:shd w:val="clear" w:color="auto" w:fill="808000"/>
    </w:rPr>
  </w:style>
  <w:style w:type="character" w:customStyle="1" w:styleId="ausuffix">
    <w:name w:val="au_suffix"/>
    <w:rPr>
      <w:sz w:val="24"/>
      <w:bdr w:val="none" w:sz="0" w:space="0" w:color="auto"/>
      <w:shd w:val="clear" w:color="auto" w:fill="FF00FF"/>
    </w:rPr>
  </w:style>
  <w:style w:type="character" w:customStyle="1" w:styleId="ausurname">
    <w:name w:val="au_surname"/>
    <w:rPr>
      <w:sz w:val="24"/>
      <w:bdr w:val="none" w:sz="0" w:space="0" w:color="auto"/>
      <w:shd w:val="clear" w:color="auto" w:fill="00FF00"/>
    </w:rPr>
  </w:style>
  <w:style w:type="paragraph" w:customStyle="1" w:styleId="AuthorAttribute">
    <w:name w:val="Author Attribute"/>
    <w:basedOn w:val="BaseText"/>
    <w:pPr>
      <w:spacing w:before="480"/>
    </w:pPr>
  </w:style>
  <w:style w:type="paragraph" w:customStyle="1" w:styleId="Footnote">
    <w:name w:val="Footnote"/>
    <w:basedOn w:val="BaseText"/>
  </w:style>
  <w:style w:type="paragraph" w:customStyle="1" w:styleId="AuthorFootnote">
    <w:name w:val="AuthorFootnote"/>
    <w:basedOn w:val="Footnote"/>
    <w:pPr>
      <w:autoSpaceDE w:val="0"/>
      <w:autoSpaceDN w:val="0"/>
      <w:adjustRightInd w:val="0"/>
    </w:pPr>
    <w:rPr>
      <w:lang w:bidi="he-IL"/>
    </w:rPr>
  </w:style>
  <w:style w:type="paragraph" w:customStyle="1" w:styleId="Authors">
    <w:name w:val="Authors"/>
    <w:basedOn w:val="BaseText"/>
    <w:pPr>
      <w:spacing w:after="360"/>
      <w:jc w:val="center"/>
    </w:pPr>
  </w:style>
  <w:style w:type="character" w:customStyle="1" w:styleId="bibarticle">
    <w:name w:val="bib_article"/>
    <w:rPr>
      <w:sz w:val="24"/>
      <w:bdr w:val="none" w:sz="0" w:space="0" w:color="auto"/>
      <w:shd w:val="clear" w:color="auto" w:fill="00FFFF"/>
    </w:rPr>
  </w:style>
  <w:style w:type="character" w:customStyle="1" w:styleId="bibbase">
    <w:name w:val="bib_base"/>
    <w:rPr>
      <w:sz w:val="24"/>
    </w:rPr>
  </w:style>
  <w:style w:type="character" w:customStyle="1" w:styleId="bibcomment">
    <w:name w:val="bib_comment"/>
    <w:rPr>
      <w:sz w:val="24"/>
    </w:rPr>
  </w:style>
  <w:style w:type="character" w:customStyle="1" w:styleId="bibdeg">
    <w:name w:val="bib_deg"/>
    <w:rPr>
      <w:sz w:val="24"/>
    </w:rPr>
  </w:style>
  <w:style w:type="character" w:customStyle="1" w:styleId="bibdoi">
    <w:name w:val="bib_doi"/>
    <w:rPr>
      <w:sz w:val="24"/>
      <w:bdr w:val="none" w:sz="0" w:space="0" w:color="auto"/>
      <w:shd w:val="clear" w:color="auto" w:fill="00FF00"/>
    </w:rPr>
  </w:style>
  <w:style w:type="character" w:customStyle="1" w:styleId="bibetal">
    <w:name w:val="bib_etal"/>
    <w:rPr>
      <w:sz w:val="24"/>
      <w:bdr w:val="none" w:sz="0" w:space="0" w:color="auto"/>
      <w:shd w:val="clear" w:color="auto" w:fill="008080"/>
    </w:rPr>
  </w:style>
  <w:style w:type="character" w:customStyle="1" w:styleId="bibfname">
    <w:name w:val="bib_fname"/>
    <w:rPr>
      <w:sz w:val="24"/>
      <w:bdr w:val="none" w:sz="0" w:space="0" w:color="auto"/>
      <w:shd w:val="clear" w:color="auto" w:fill="FFFF00"/>
    </w:rPr>
  </w:style>
  <w:style w:type="character" w:customStyle="1" w:styleId="bibfpage">
    <w:name w:val="bib_fpage"/>
    <w:rPr>
      <w:sz w:val="24"/>
      <w:bdr w:val="none" w:sz="0" w:space="0" w:color="auto"/>
      <w:shd w:val="clear" w:color="auto" w:fill="808080"/>
    </w:rPr>
  </w:style>
  <w:style w:type="character" w:customStyle="1" w:styleId="bibissue">
    <w:name w:val="bib_issue"/>
    <w:rPr>
      <w:sz w:val="24"/>
      <w:bdr w:val="none" w:sz="0" w:space="0" w:color="auto"/>
      <w:shd w:val="clear" w:color="auto" w:fill="FFFF00"/>
    </w:rPr>
  </w:style>
  <w:style w:type="character" w:customStyle="1" w:styleId="bibjournal">
    <w:name w:val="bib_journal"/>
    <w:rPr>
      <w:sz w:val="24"/>
      <w:bdr w:val="none" w:sz="0" w:space="0" w:color="auto"/>
      <w:shd w:val="clear" w:color="auto" w:fill="808000"/>
    </w:rPr>
  </w:style>
  <w:style w:type="character" w:customStyle="1" w:styleId="biblpage">
    <w:name w:val="bib_lpage"/>
    <w:rPr>
      <w:sz w:val="24"/>
      <w:bdr w:val="none" w:sz="0" w:space="0" w:color="auto"/>
      <w:shd w:val="clear" w:color="auto" w:fill="808080"/>
    </w:rPr>
  </w:style>
  <w:style w:type="character" w:customStyle="1" w:styleId="bibmedline">
    <w:name w:val="bib_medline"/>
    <w:rPr>
      <w:sz w:val="24"/>
    </w:rPr>
  </w:style>
  <w:style w:type="character" w:customStyle="1" w:styleId="bibnumber">
    <w:name w:val="bib_number"/>
    <w:rPr>
      <w:sz w:val="24"/>
    </w:rPr>
  </w:style>
  <w:style w:type="character" w:customStyle="1" w:styleId="biborganization">
    <w:name w:val="bib_organization"/>
    <w:rPr>
      <w:sz w:val="24"/>
      <w:bdr w:val="none" w:sz="0" w:space="0" w:color="auto"/>
      <w:shd w:val="clear" w:color="auto" w:fill="808000"/>
    </w:rPr>
  </w:style>
  <w:style w:type="character" w:customStyle="1" w:styleId="bibsuffix">
    <w:name w:val="bib_suffix"/>
    <w:rPr>
      <w:sz w:val="24"/>
    </w:rPr>
  </w:style>
  <w:style w:type="character" w:customStyle="1" w:styleId="bibsuppl">
    <w:name w:val="bib_suppl"/>
    <w:rPr>
      <w:sz w:val="24"/>
      <w:bdr w:val="none" w:sz="0" w:space="0" w:color="auto"/>
      <w:shd w:val="clear" w:color="auto" w:fill="FFFF00"/>
    </w:rPr>
  </w:style>
  <w:style w:type="character" w:customStyle="1" w:styleId="bibsurname">
    <w:name w:val="bib_surname"/>
    <w:rPr>
      <w:sz w:val="24"/>
      <w:bdr w:val="none" w:sz="0" w:space="0" w:color="auto"/>
      <w:shd w:val="clear" w:color="auto" w:fill="FFFF00"/>
    </w:rPr>
  </w:style>
  <w:style w:type="character" w:customStyle="1" w:styleId="bibunpubl">
    <w:name w:val="bib_unpubl"/>
    <w:rPr>
      <w:sz w:val="24"/>
    </w:rPr>
  </w:style>
  <w:style w:type="character" w:customStyle="1" w:styleId="biburl">
    <w:name w:val="bib_url"/>
    <w:rPr>
      <w:sz w:val="24"/>
      <w:bdr w:val="none" w:sz="0" w:space="0" w:color="auto"/>
      <w:shd w:val="clear" w:color="auto" w:fill="00FF00"/>
    </w:rPr>
  </w:style>
  <w:style w:type="character" w:customStyle="1" w:styleId="bibvolume">
    <w:name w:val="bib_volume"/>
    <w:rPr>
      <w:sz w:val="24"/>
      <w:bdr w:val="none" w:sz="0" w:space="0" w:color="auto"/>
      <w:shd w:val="clear" w:color="auto" w:fill="00FF00"/>
    </w:rPr>
  </w:style>
  <w:style w:type="character" w:customStyle="1" w:styleId="bibyear">
    <w:name w:val="bib_year"/>
    <w:rPr>
      <w:sz w:val="24"/>
      <w:bdr w:val="none" w:sz="0" w:space="0" w:color="auto"/>
      <w:shd w:val="clear" w:color="auto" w:fill="FF00FF"/>
    </w:rPr>
  </w:style>
  <w:style w:type="paragraph" w:customStyle="1" w:styleId="BookorMeetingInformation">
    <w:name w:val="Book or Meeting Information"/>
    <w:basedOn w:val="BaseText"/>
  </w:style>
  <w:style w:type="paragraph" w:customStyle="1" w:styleId="BookInformation">
    <w:name w:val="BookInformation"/>
    <w:basedOn w:val="BaseText"/>
  </w:style>
  <w:style w:type="paragraph" w:customStyle="1" w:styleId="Level2Head">
    <w:name w:val="Level 2 Head"/>
    <w:basedOn w:val="BaseHeading"/>
    <w:pPr>
      <w:outlineLvl w:val="1"/>
    </w:pPr>
    <w:rPr>
      <w:i/>
      <w:iCs/>
      <w:sz w:val="24"/>
      <w:szCs w:val="24"/>
    </w:rPr>
  </w:style>
  <w:style w:type="paragraph" w:customStyle="1" w:styleId="BoxLevel2Head">
    <w:name w:val="BoxLevel 2 Head"/>
    <w:basedOn w:val="Level2Head"/>
    <w:pPr>
      <w:shd w:val="clear" w:color="auto" w:fill="E6E6E6"/>
    </w:pPr>
  </w:style>
  <w:style w:type="paragraph" w:customStyle="1" w:styleId="BoxListUnnumbered">
    <w:name w:val="BoxListUnnumbered"/>
    <w:basedOn w:val="BaseText"/>
    <w:pPr>
      <w:shd w:val="clear" w:color="auto" w:fill="E6E6E6"/>
      <w:ind w:left="1080" w:hanging="360"/>
    </w:pPr>
  </w:style>
  <w:style w:type="paragraph" w:customStyle="1" w:styleId="BoxList">
    <w:name w:val="BoxList"/>
    <w:basedOn w:val="BoxListUnnumbered"/>
  </w:style>
  <w:style w:type="paragraph" w:customStyle="1" w:styleId="BoxSubhead">
    <w:name w:val="BoxSubhead"/>
    <w:basedOn w:val="Subhead"/>
    <w:pPr>
      <w:shd w:val="clear" w:color="auto" w:fill="E6E6E6"/>
    </w:pPr>
  </w:style>
  <w:style w:type="paragraph" w:customStyle="1" w:styleId="BoxText">
    <w:name w:val="BoxText"/>
    <w:basedOn w:val="Paragraph"/>
    <w:pPr>
      <w:shd w:val="clear" w:color="auto" w:fill="E6E6E6"/>
    </w:pPr>
  </w:style>
  <w:style w:type="paragraph" w:customStyle="1" w:styleId="BoxTitle">
    <w:name w:val="BoxTitle"/>
    <w:basedOn w:val="BaseHeading"/>
    <w:pPr>
      <w:shd w:val="clear" w:color="auto" w:fill="E6E6E6"/>
    </w:pPr>
    <w:rPr>
      <w:b/>
      <w:sz w:val="24"/>
      <w:szCs w:val="24"/>
    </w:rPr>
  </w:style>
  <w:style w:type="paragraph" w:customStyle="1" w:styleId="BulletedText">
    <w:name w:val="Bulleted Text"/>
    <w:basedOn w:val="BaseText"/>
    <w:pPr>
      <w:ind w:left="720" w:hanging="720"/>
    </w:pPr>
  </w:style>
  <w:style w:type="paragraph" w:customStyle="1" w:styleId="career-magazine">
    <w:name w:val="career-magazine"/>
    <w:basedOn w:val="BaseText"/>
    <w:pPr>
      <w:jc w:val="right"/>
    </w:pPr>
    <w:rPr>
      <w:color w:val="FF0000"/>
    </w:rPr>
  </w:style>
  <w:style w:type="paragraph" w:customStyle="1" w:styleId="career-stage">
    <w:name w:val="career-stage"/>
    <w:basedOn w:val="BaseText"/>
    <w:pPr>
      <w:jc w:val="right"/>
    </w:pPr>
    <w:rPr>
      <w:color w:val="339966"/>
    </w:rPr>
  </w:style>
  <w:style w:type="character" w:customStyle="1" w:styleId="citebase">
    <w:name w:val="cite_base"/>
    <w:rPr>
      <w:sz w:val="24"/>
    </w:rPr>
  </w:style>
  <w:style w:type="character" w:customStyle="1" w:styleId="citebib">
    <w:name w:val="cite_bib"/>
    <w:rPr>
      <w:sz w:val="24"/>
      <w:bdr w:val="none" w:sz="0" w:space="0" w:color="auto"/>
      <w:shd w:val="clear" w:color="auto" w:fill="00FFFF"/>
    </w:rPr>
  </w:style>
  <w:style w:type="character" w:customStyle="1" w:styleId="citebox">
    <w:name w:val="cite_box"/>
    <w:rPr>
      <w:sz w:val="24"/>
    </w:rPr>
  </w:style>
  <w:style w:type="character" w:customStyle="1" w:styleId="citeen">
    <w:name w:val="cite_en"/>
    <w:rPr>
      <w:sz w:val="24"/>
      <w:shd w:val="clear" w:color="auto" w:fill="FFFF00"/>
      <w:vertAlign w:val="superscript"/>
    </w:rPr>
  </w:style>
  <w:style w:type="character" w:customStyle="1" w:styleId="citeeq">
    <w:name w:val="cite_eq"/>
    <w:rPr>
      <w:sz w:val="24"/>
      <w:bdr w:val="none" w:sz="0" w:space="0" w:color="auto"/>
      <w:shd w:val="clear" w:color="auto" w:fill="FF99CC"/>
    </w:rPr>
  </w:style>
  <w:style w:type="character" w:customStyle="1" w:styleId="citefig">
    <w:name w:val="cite_fig"/>
    <w:rPr>
      <w:color w:val="000000"/>
      <w:sz w:val="24"/>
      <w:bdr w:val="none" w:sz="0" w:space="0" w:color="auto"/>
      <w:shd w:val="clear" w:color="auto" w:fill="00FF00"/>
    </w:rPr>
  </w:style>
  <w:style w:type="character" w:customStyle="1" w:styleId="citefn">
    <w:name w:val="cite_fn"/>
    <w:rPr>
      <w:sz w:val="24"/>
      <w:bdr w:val="none" w:sz="0" w:space="0" w:color="auto"/>
      <w:shd w:val="clear" w:color="auto" w:fill="FF0000"/>
    </w:rPr>
  </w:style>
  <w:style w:type="character" w:customStyle="1" w:styleId="citetbl">
    <w:name w:val="cite_tbl"/>
    <w:rPr>
      <w:color w:val="000000"/>
      <w:sz w:val="24"/>
      <w:bdr w:val="none" w:sz="0" w:space="0" w:color="auto"/>
      <w:shd w:val="clear" w:color="auto" w:fill="FF00FF"/>
    </w:rPr>
  </w:style>
  <w:style w:type="paragraph" w:customStyle="1" w:styleId="ContinuedParagraph">
    <w:name w:val="ContinuedParagraph"/>
    <w:basedOn w:val="Paragraph"/>
    <w:pPr>
      <w:ind w:firstLine="0"/>
    </w:pPr>
  </w:style>
  <w:style w:type="character" w:customStyle="1" w:styleId="ContractNumber">
    <w:name w:val="Contract Number"/>
    <w:rPr>
      <w:sz w:val="24"/>
      <w:szCs w:val="24"/>
      <w:bdr w:val="none" w:sz="0" w:space="0" w:color="auto"/>
      <w:shd w:val="clear" w:color="auto" w:fill="CCFFCC"/>
    </w:rPr>
  </w:style>
  <w:style w:type="character" w:customStyle="1" w:styleId="ContractSponsor">
    <w:name w:val="Contract Sponsor"/>
    <w:rPr>
      <w:sz w:val="24"/>
      <w:szCs w:val="24"/>
      <w:bdr w:val="none" w:sz="0" w:space="0" w:color="auto"/>
      <w:shd w:val="clear" w:color="auto" w:fill="FFCC99"/>
    </w:rPr>
  </w:style>
  <w:style w:type="paragraph" w:customStyle="1" w:styleId="Correspondence">
    <w:name w:val="Correspondence"/>
    <w:basedOn w:val="BaseText"/>
    <w:pPr>
      <w:spacing w:before="0" w:after="240"/>
    </w:pPr>
  </w:style>
  <w:style w:type="paragraph" w:customStyle="1" w:styleId="DateAccepted">
    <w:name w:val="Date Accepted"/>
    <w:basedOn w:val="BaseText"/>
    <w:pPr>
      <w:spacing w:before="360"/>
    </w:pPr>
  </w:style>
  <w:style w:type="paragraph" w:customStyle="1" w:styleId="Deck">
    <w:name w:val="Deck"/>
    <w:basedOn w:val="BaseHeading"/>
    <w:pPr>
      <w:outlineLvl w:val="1"/>
    </w:pPr>
  </w:style>
  <w:style w:type="paragraph" w:customStyle="1" w:styleId="DefTerm">
    <w:name w:val="DefTerm"/>
    <w:basedOn w:val="BaseText"/>
    <w:pPr>
      <w:ind w:left="720"/>
    </w:pPr>
  </w:style>
  <w:style w:type="paragraph" w:customStyle="1" w:styleId="Definition">
    <w:name w:val="Definition"/>
    <w:basedOn w:val="DefTerm"/>
    <w:pPr>
      <w:ind w:left="1080" w:hanging="360"/>
    </w:pPr>
  </w:style>
  <w:style w:type="paragraph" w:customStyle="1" w:styleId="DefListTitle">
    <w:name w:val="DefListTitle"/>
    <w:basedOn w:val="BaseHeading"/>
  </w:style>
  <w:style w:type="paragraph" w:customStyle="1" w:styleId="discipline">
    <w:name w:val="discipline"/>
    <w:basedOn w:val="BaseText"/>
    <w:pPr>
      <w:jc w:val="right"/>
    </w:pPr>
    <w:rPr>
      <w:color w:val="993366"/>
    </w:rPr>
  </w:style>
  <w:style w:type="paragraph" w:customStyle="1" w:styleId="Editors">
    <w:name w:val="Editors"/>
    <w:basedOn w:val="Authors"/>
  </w:style>
  <w:style w:type="character" w:styleId="EndnoteReference">
    <w:name w:val="endnote reference"/>
    <w:semiHidden/>
    <w:rPr>
      <w:vertAlign w:val="superscript"/>
    </w:rPr>
  </w:style>
  <w:style w:type="paragraph" w:styleId="EndnoteText">
    <w:name w:val="endnote text"/>
    <w:basedOn w:val="Normal"/>
    <w:link w:val="EndnoteTextChar"/>
    <w:semiHidden/>
    <w:pPr>
      <w:spacing w:line="240" w:lineRule="auto"/>
    </w:pPr>
    <w:rPr>
      <w:rFonts w:ascii="Cambria" w:eastAsia="Cambria" w:hAnsi="Cambria"/>
      <w:sz w:val="20"/>
      <w:szCs w:val="20"/>
      <w:lang w:val="en-GB"/>
    </w:rPr>
  </w:style>
  <w:style w:type="character" w:customStyle="1" w:styleId="EndnoteTextChar">
    <w:name w:val="Endnote Text Char"/>
    <w:basedOn w:val="DefaultParagraphFont"/>
    <w:link w:val="EndnoteText"/>
    <w:semiHidden/>
    <w:rPr>
      <w:rFonts w:ascii="Cambria" w:eastAsia="Cambria" w:hAnsi="Cambria"/>
      <w:lang w:val="en-GB" w:eastAsia="en-US"/>
    </w:rPr>
  </w:style>
  <w:style w:type="character" w:customStyle="1" w:styleId="eqno">
    <w:name w:val="eq_no"/>
    <w:rPr>
      <w:sz w:val="24"/>
    </w:rPr>
  </w:style>
  <w:style w:type="paragraph" w:customStyle="1" w:styleId="Equation">
    <w:name w:val="Equation"/>
    <w:basedOn w:val="BaseText"/>
    <w:pPr>
      <w:jc w:val="center"/>
    </w:pPr>
  </w:style>
  <w:style w:type="paragraph" w:customStyle="1" w:styleId="FieldCodes">
    <w:name w:val="FieldCodes"/>
    <w:basedOn w:val="BaseText"/>
  </w:style>
  <w:style w:type="paragraph" w:customStyle="1" w:styleId="Legend">
    <w:name w:val="Legend"/>
    <w:basedOn w:val="BaseHeading"/>
    <w:rPr>
      <w:sz w:val="24"/>
      <w:szCs w:val="24"/>
    </w:rPr>
  </w:style>
  <w:style w:type="paragraph" w:customStyle="1" w:styleId="FigureCopyright">
    <w:name w:val="FigureCopyright"/>
    <w:basedOn w:val="Legend"/>
    <w:pPr>
      <w:autoSpaceDE w:val="0"/>
      <w:autoSpaceDN w:val="0"/>
      <w:adjustRightInd w:val="0"/>
      <w:spacing w:before="80"/>
    </w:pPr>
    <w:rPr>
      <w:lang w:bidi="he-IL"/>
    </w:rPr>
  </w:style>
  <w:style w:type="paragraph" w:customStyle="1" w:styleId="FigureCredit">
    <w:name w:val="FigureCredit"/>
    <w:basedOn w:val="FigureCopyright"/>
  </w:style>
  <w:style w:type="character" w:styleId="FollowedHyperlink">
    <w:name w:val="FollowedHyperlink"/>
    <w:rPr>
      <w:color w:val="800080"/>
      <w:u w:val="single"/>
    </w:rPr>
  </w:style>
  <w:style w:type="paragraph" w:customStyle="1" w:styleId="Gloss">
    <w:name w:val="Gloss"/>
    <w:basedOn w:val="AbstractSummary"/>
  </w:style>
  <w:style w:type="paragraph" w:customStyle="1" w:styleId="Glossary">
    <w:name w:val="Glossary"/>
    <w:basedOn w:val="BaseText"/>
  </w:style>
  <w:style w:type="paragraph" w:customStyle="1" w:styleId="GlossHead">
    <w:name w:val="GlossHead"/>
    <w:basedOn w:val="AbstractHead"/>
  </w:style>
  <w:style w:type="paragraph" w:customStyle="1" w:styleId="GraphicAltText">
    <w:name w:val="GraphicAltText"/>
    <w:basedOn w:val="Legend"/>
    <w:pPr>
      <w:autoSpaceDE w:val="0"/>
      <w:autoSpaceDN w:val="0"/>
      <w:adjustRightInd w:val="0"/>
    </w:pPr>
  </w:style>
  <w:style w:type="paragraph" w:customStyle="1" w:styleId="GraphicCredit">
    <w:name w:val="GraphicCredit"/>
    <w:basedOn w:val="FigureCredit"/>
  </w:style>
  <w:style w:type="paragraph" w:customStyle="1" w:styleId="Head">
    <w:name w:val="Head"/>
    <w:basedOn w:val="BaseHeading"/>
    <w:pPr>
      <w:spacing w:before="120" w:after="120"/>
      <w:jc w:val="center"/>
    </w:pPr>
    <w:rPr>
      <w:b/>
      <w:bCs/>
    </w:rPr>
  </w:style>
  <w:style w:type="character" w:styleId="HTMLAcronym">
    <w:name w:val="HTML Acronym"/>
    <w:basedOn w:val="DefaultParagraphFont"/>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paragraph" w:styleId="HTMLPreformatted">
    <w:name w:val="HTML Preformatted"/>
    <w:basedOn w:val="Normal"/>
    <w:link w:val="HTMLPreformattedChar"/>
    <w:pPr>
      <w:spacing w:line="240" w:lineRule="auto"/>
    </w:pPr>
    <w:rPr>
      <w:rFonts w:ascii="Consolas" w:eastAsia="Times New Roman" w:hAnsi="Consolas"/>
      <w:sz w:val="20"/>
      <w:szCs w:val="20"/>
      <w:lang w:val="en-GB"/>
    </w:rPr>
  </w:style>
  <w:style w:type="character" w:customStyle="1" w:styleId="HTMLPreformattedChar">
    <w:name w:val="HTML Preformatted Char"/>
    <w:basedOn w:val="DefaultParagraphFont"/>
    <w:link w:val="HTMLPreformatted"/>
    <w:rPr>
      <w:rFonts w:ascii="Consolas" w:eastAsia="Times New Roman" w:hAnsi="Consolas"/>
      <w:lang w:val="en-GB" w:eastAsia="en-US"/>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paragraph" w:customStyle="1" w:styleId="InstructionsText">
    <w:name w:val="Instructions Text"/>
    <w:basedOn w:val="BaseText"/>
  </w:style>
  <w:style w:type="paragraph" w:customStyle="1" w:styleId="Overline">
    <w:name w:val="Overline"/>
    <w:basedOn w:val="BaseText"/>
  </w:style>
  <w:style w:type="paragraph" w:customStyle="1" w:styleId="IssueName">
    <w:name w:val="IssueName"/>
    <w:basedOn w:val="Overline"/>
  </w:style>
  <w:style w:type="paragraph" w:customStyle="1" w:styleId="Keywords">
    <w:name w:val="Keywords"/>
    <w:basedOn w:val="BaseText"/>
  </w:style>
  <w:style w:type="paragraph" w:customStyle="1" w:styleId="Level3Head">
    <w:name w:val="Level 3 Head"/>
    <w:basedOn w:val="BaseHeading"/>
    <w:pPr>
      <w:outlineLvl w:val="2"/>
    </w:pPr>
    <w:rPr>
      <w:sz w:val="24"/>
      <w:szCs w:val="24"/>
      <w:u w:val="single"/>
    </w:rPr>
  </w:style>
  <w:style w:type="paragraph" w:customStyle="1" w:styleId="Level4Head">
    <w:name w:val="Level 4 Head"/>
    <w:basedOn w:val="BaseHeading"/>
    <w:pPr>
      <w:ind w:left="346"/>
    </w:pPr>
    <w:rPr>
      <w:sz w:val="24"/>
      <w:szCs w:val="24"/>
    </w:rPr>
  </w:style>
  <w:style w:type="paragraph" w:customStyle="1" w:styleId="Literaryquote">
    <w:name w:val="Literary quote"/>
    <w:basedOn w:val="BaseText"/>
    <w:pPr>
      <w:ind w:left="1440" w:right="1440"/>
    </w:pPr>
  </w:style>
  <w:style w:type="paragraph" w:customStyle="1" w:styleId="MaterialsText">
    <w:name w:val="Materials Text"/>
    <w:basedOn w:val="BaseText"/>
  </w:style>
  <w:style w:type="paragraph" w:customStyle="1" w:styleId="NoteInProof">
    <w:name w:val="NoteInProof"/>
    <w:basedOn w:val="BaseText"/>
  </w:style>
  <w:style w:type="paragraph" w:customStyle="1" w:styleId="Notes">
    <w:name w:val="Notes"/>
    <w:basedOn w:val="BaseText"/>
    <w:rPr>
      <w:i/>
    </w:rPr>
  </w:style>
  <w:style w:type="paragraph" w:customStyle="1" w:styleId="Notes-Helvetica">
    <w:name w:val="Notes-Helvetica"/>
    <w:basedOn w:val="BaseText"/>
    <w:rPr>
      <w:i/>
    </w:rPr>
  </w:style>
  <w:style w:type="paragraph" w:customStyle="1" w:styleId="NumberedInstructions">
    <w:name w:val="Numbered Instructions"/>
    <w:basedOn w:val="BaseText"/>
  </w:style>
  <w:style w:type="paragraph" w:customStyle="1" w:styleId="OutlineLevel1">
    <w:name w:val="OutlineLevel1"/>
    <w:basedOn w:val="BaseHeading"/>
    <w:rPr>
      <w:b/>
      <w:bCs/>
    </w:rPr>
  </w:style>
  <w:style w:type="paragraph" w:customStyle="1" w:styleId="OutlineLevel2">
    <w:name w:val="OutlineLevel2"/>
    <w:basedOn w:val="BaseHeading"/>
    <w:pPr>
      <w:ind w:left="360"/>
      <w:outlineLvl w:val="1"/>
    </w:pPr>
    <w:rPr>
      <w:b/>
      <w:bCs/>
      <w:sz w:val="24"/>
      <w:szCs w:val="24"/>
    </w:rPr>
  </w:style>
  <w:style w:type="paragraph" w:customStyle="1" w:styleId="OutlineLevel3">
    <w:name w:val="OutlineLevel3"/>
    <w:basedOn w:val="BaseHeading"/>
    <w:pPr>
      <w:ind w:left="720"/>
      <w:outlineLvl w:val="2"/>
    </w:pPr>
    <w:rPr>
      <w:b/>
      <w:bCs/>
      <w:sz w:val="24"/>
      <w:szCs w:val="24"/>
    </w:rPr>
  </w:style>
  <w:style w:type="paragraph" w:customStyle="1" w:styleId="Preformat">
    <w:name w:val="Preformat"/>
    <w:basedOn w:val="BaseText"/>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style>
  <w:style w:type="paragraph" w:customStyle="1" w:styleId="ProductInformation">
    <w:name w:val="ProductInformation"/>
    <w:basedOn w:val="BaseText"/>
  </w:style>
  <w:style w:type="paragraph" w:customStyle="1" w:styleId="ProductTitle">
    <w:name w:val="ProductTitle"/>
    <w:basedOn w:val="BaseText"/>
    <w:rPr>
      <w:b/>
      <w:bCs/>
    </w:rPr>
  </w:style>
  <w:style w:type="paragraph" w:customStyle="1" w:styleId="PublishedOnline">
    <w:name w:val="Published Online"/>
    <w:basedOn w:val="DateAccepted"/>
  </w:style>
  <w:style w:type="paragraph" w:customStyle="1" w:styleId="RecipeMaterials">
    <w:name w:val="Recipe Materials"/>
    <w:basedOn w:val="BaseText"/>
  </w:style>
  <w:style w:type="paragraph" w:customStyle="1" w:styleId="Refhead">
    <w:name w:val="Ref head"/>
    <w:basedOn w:val="BaseHeading"/>
    <w:pPr>
      <w:spacing w:before="120" w:after="120"/>
    </w:pPr>
    <w:rPr>
      <w:b/>
      <w:bCs/>
      <w:sz w:val="24"/>
      <w:szCs w:val="24"/>
    </w:rPr>
  </w:style>
  <w:style w:type="paragraph" w:customStyle="1" w:styleId="ReferenceNote">
    <w:name w:val="Reference Note"/>
    <w:basedOn w:val="Referencesandnotes"/>
  </w:style>
  <w:style w:type="paragraph" w:customStyle="1" w:styleId="ReferencesandnotesLong">
    <w:name w:val="References and notes Long"/>
    <w:basedOn w:val="BaseText"/>
    <w:pPr>
      <w:ind w:left="720" w:hanging="720"/>
    </w:pPr>
  </w:style>
  <w:style w:type="paragraph" w:customStyle="1" w:styleId="region">
    <w:name w:val="region"/>
    <w:basedOn w:val="BaseText"/>
    <w:pPr>
      <w:jc w:val="right"/>
    </w:pPr>
    <w:rPr>
      <w:color w:val="0000FF"/>
    </w:rPr>
  </w:style>
  <w:style w:type="paragraph" w:customStyle="1" w:styleId="RelatedArticle">
    <w:name w:val="RelatedArticle"/>
    <w:basedOn w:val="Referencesandnotes"/>
  </w:style>
  <w:style w:type="paragraph" w:customStyle="1" w:styleId="RunHead">
    <w:name w:val="RunHead"/>
    <w:basedOn w:val="BaseText"/>
  </w:style>
  <w:style w:type="paragraph" w:customStyle="1" w:styleId="SOMContent">
    <w:name w:val="SOMContent"/>
    <w:basedOn w:val="1stparatext"/>
  </w:style>
  <w:style w:type="paragraph" w:customStyle="1" w:styleId="SOMHead">
    <w:name w:val="SOMHead"/>
    <w:basedOn w:val="BaseHeading"/>
    <w:rPr>
      <w:b/>
      <w:sz w:val="24"/>
      <w:szCs w:val="24"/>
    </w:rPr>
  </w:style>
  <w:style w:type="paragraph" w:customStyle="1" w:styleId="Speaker">
    <w:name w:val="Speaker"/>
    <w:basedOn w:val="Paragraph"/>
    <w:pPr>
      <w:autoSpaceDE w:val="0"/>
      <w:autoSpaceDN w:val="0"/>
      <w:adjustRightInd w:val="0"/>
    </w:pPr>
    <w:rPr>
      <w:b/>
      <w:lang w:bidi="he-IL"/>
    </w:rPr>
  </w:style>
  <w:style w:type="paragraph" w:customStyle="1" w:styleId="Speech">
    <w:name w:val="Speech"/>
    <w:basedOn w:val="Paragraph"/>
    <w:pPr>
      <w:autoSpaceDE w:val="0"/>
      <w:autoSpaceDN w:val="0"/>
      <w:adjustRightInd w:val="0"/>
    </w:pPr>
    <w:rPr>
      <w:lang w:bidi="he-IL"/>
    </w:rPr>
  </w:style>
  <w:style w:type="character" w:styleId="Strong">
    <w:name w:val="Strong"/>
    <w:uiPriority w:val="22"/>
    <w:qFormat/>
    <w:rPr>
      <w:b/>
      <w:bCs/>
    </w:rPr>
  </w:style>
  <w:style w:type="paragraph" w:customStyle="1" w:styleId="SX-Abstract">
    <w:name w:val="SX-Abstract"/>
    <w:basedOn w:val="Normal"/>
    <w:qFormat/>
    <w:pPr>
      <w:widowControl w:val="0"/>
      <w:spacing w:before="120" w:after="240" w:line="210" w:lineRule="exact"/>
      <w:ind w:left="700" w:right="700"/>
      <w:jc w:val="both"/>
    </w:pPr>
    <w:rPr>
      <w:rFonts w:ascii="BlissRegular" w:eastAsia="Times New Roman" w:hAnsi="BlissRegular"/>
      <w:b/>
      <w:sz w:val="20"/>
      <w:szCs w:val="20"/>
      <w:lang w:val="en-GB"/>
    </w:rPr>
  </w:style>
  <w:style w:type="paragraph" w:customStyle="1" w:styleId="SX-Affiliation">
    <w:name w:val="SX-Affiliation"/>
    <w:basedOn w:val="Normal"/>
    <w:next w:val="Normal"/>
    <w:qFormat/>
    <w:pPr>
      <w:spacing w:after="160" w:line="190" w:lineRule="exact"/>
    </w:pPr>
    <w:rPr>
      <w:rFonts w:ascii="BlissRegular" w:eastAsia="Times New Roman" w:hAnsi="BlissRegular"/>
      <w:sz w:val="16"/>
      <w:szCs w:val="20"/>
      <w:lang w:val="en-GB"/>
    </w:rPr>
  </w:style>
  <w:style w:type="paragraph" w:customStyle="1" w:styleId="SX-Articlehead">
    <w:name w:val="SX-Article head"/>
    <w:basedOn w:val="Normal"/>
    <w:qFormat/>
    <w:pPr>
      <w:spacing w:before="210" w:line="210" w:lineRule="exact"/>
      <w:ind w:firstLine="288"/>
      <w:jc w:val="both"/>
    </w:pPr>
    <w:rPr>
      <w:rFonts w:eastAsia="Times New Roman"/>
      <w:b/>
      <w:sz w:val="18"/>
      <w:szCs w:val="20"/>
      <w:lang w:val="en-GB"/>
    </w:rPr>
  </w:style>
  <w:style w:type="paragraph" w:customStyle="1" w:styleId="SX-Authornames">
    <w:name w:val="SX-Author names"/>
    <w:basedOn w:val="Normal"/>
    <w:pPr>
      <w:spacing w:after="120" w:line="210" w:lineRule="exact"/>
    </w:pPr>
    <w:rPr>
      <w:rFonts w:ascii="BlissMedium" w:eastAsia="Times New Roman" w:hAnsi="BlissMedium"/>
      <w:sz w:val="20"/>
      <w:szCs w:val="20"/>
      <w:lang w:val="en-GB"/>
    </w:rPr>
  </w:style>
  <w:style w:type="paragraph" w:customStyle="1" w:styleId="SX-Bodytext">
    <w:name w:val="SX-Body text"/>
    <w:basedOn w:val="Normal"/>
    <w:next w:val="Normal"/>
    <w:pPr>
      <w:spacing w:line="210" w:lineRule="exact"/>
      <w:ind w:firstLine="288"/>
      <w:jc w:val="both"/>
    </w:pPr>
    <w:rPr>
      <w:rFonts w:eastAsia="Times New Roman"/>
      <w:sz w:val="18"/>
      <w:szCs w:val="20"/>
      <w:lang w:val="en-GB"/>
    </w:rPr>
  </w:style>
  <w:style w:type="paragraph" w:customStyle="1" w:styleId="SX-Bodytextflush">
    <w:name w:val="SX-Body text flush"/>
    <w:basedOn w:val="SX-Bodytext"/>
    <w:next w:val="SX-Bodytext"/>
    <w:pPr>
      <w:ind w:firstLine="0"/>
    </w:pPr>
  </w:style>
  <w:style w:type="paragraph" w:customStyle="1" w:styleId="SX-Correspondence">
    <w:name w:val="SX-Correspondence"/>
    <w:basedOn w:val="SX-Affiliation"/>
    <w:qFormat/>
    <w:pPr>
      <w:spacing w:after="80"/>
    </w:pPr>
  </w:style>
  <w:style w:type="paragraph" w:customStyle="1" w:styleId="SX-Date">
    <w:name w:val="SX-Date"/>
    <w:basedOn w:val="Normal"/>
    <w:qFormat/>
    <w:pPr>
      <w:spacing w:before="180" w:line="190" w:lineRule="exact"/>
      <w:ind w:left="245" w:hanging="245"/>
      <w:jc w:val="both"/>
    </w:pPr>
    <w:rPr>
      <w:rFonts w:eastAsia="Times New Roman"/>
      <w:sz w:val="16"/>
      <w:szCs w:val="20"/>
      <w:lang w:val="en-GB"/>
    </w:rPr>
  </w:style>
  <w:style w:type="paragraph" w:customStyle="1" w:styleId="SX-Equation">
    <w:name w:val="SX-Equation"/>
    <w:basedOn w:val="SX-Bodytextflush"/>
    <w:next w:val="SX-Bodytext"/>
    <w:pPr>
      <w:autoSpaceDE w:val="0"/>
      <w:autoSpaceDN w:val="0"/>
      <w:adjustRightInd w:val="0"/>
      <w:spacing w:line="240" w:lineRule="auto"/>
      <w:jc w:val="center"/>
    </w:pPr>
  </w:style>
  <w:style w:type="paragraph" w:customStyle="1" w:styleId="SX-Legend">
    <w:name w:val="SX-Legend"/>
    <w:basedOn w:val="SX-Authornames"/>
    <w:pPr>
      <w:jc w:val="both"/>
    </w:pPr>
    <w:rPr>
      <w:sz w:val="18"/>
    </w:rPr>
  </w:style>
  <w:style w:type="paragraph" w:customStyle="1" w:styleId="SX-References">
    <w:name w:val="SX-References"/>
    <w:basedOn w:val="Normal"/>
    <w:pPr>
      <w:spacing w:line="190" w:lineRule="exact"/>
      <w:ind w:left="245" w:hanging="245"/>
      <w:jc w:val="both"/>
    </w:pPr>
    <w:rPr>
      <w:rFonts w:eastAsia="Times New Roman"/>
      <w:sz w:val="16"/>
      <w:szCs w:val="20"/>
      <w:lang w:val="en-GB"/>
    </w:rPr>
  </w:style>
  <w:style w:type="paragraph" w:customStyle="1" w:styleId="SX-RefHead">
    <w:name w:val="SX-RefHead"/>
    <w:basedOn w:val="Normal"/>
    <w:pPr>
      <w:spacing w:before="200" w:line="190" w:lineRule="exact"/>
    </w:pPr>
    <w:rPr>
      <w:rFonts w:eastAsia="Times New Roman"/>
      <w:b/>
      <w:sz w:val="16"/>
      <w:szCs w:val="20"/>
      <w:lang w:val="en-GB"/>
    </w:rPr>
  </w:style>
  <w:style w:type="character" w:customStyle="1" w:styleId="SX-reflink">
    <w:name w:val="SX-reflink"/>
    <w:uiPriority w:val="1"/>
    <w:qFormat/>
    <w:rPr>
      <w:color w:val="0000FF"/>
      <w:sz w:val="16"/>
      <w:u w:val="words"/>
      <w:bdr w:val="none" w:sz="0" w:space="0" w:color="auto"/>
      <w:shd w:val="clear" w:color="auto" w:fill="FFFFFF"/>
    </w:rPr>
  </w:style>
  <w:style w:type="paragraph" w:customStyle="1" w:styleId="SX-SOMHead">
    <w:name w:val="SX-SOMHead"/>
    <w:basedOn w:val="SX-RefHead"/>
  </w:style>
  <w:style w:type="paragraph" w:customStyle="1" w:styleId="SX-Tablehead">
    <w:name w:val="SX-Tablehead"/>
    <w:basedOn w:val="Normal"/>
    <w:qFormat/>
    <w:pPr>
      <w:spacing w:line="240" w:lineRule="auto"/>
    </w:pPr>
    <w:rPr>
      <w:rFonts w:eastAsia="Times New Roman"/>
      <w:sz w:val="20"/>
      <w:lang w:val="en-GB"/>
    </w:rPr>
  </w:style>
  <w:style w:type="paragraph" w:customStyle="1" w:styleId="SX-Tablelegend">
    <w:name w:val="SX-Tablelegend"/>
    <w:basedOn w:val="Normal"/>
    <w:qFormat/>
    <w:pPr>
      <w:spacing w:line="190" w:lineRule="exact"/>
      <w:ind w:left="245" w:hanging="245"/>
      <w:jc w:val="both"/>
    </w:pPr>
    <w:rPr>
      <w:rFonts w:eastAsia="Times New Roman"/>
      <w:sz w:val="16"/>
      <w:szCs w:val="20"/>
      <w:lang w:val="en-GB"/>
    </w:rPr>
  </w:style>
  <w:style w:type="paragraph" w:customStyle="1" w:styleId="SX-Tabletext">
    <w:name w:val="SX-Tabletext"/>
    <w:basedOn w:val="Normal"/>
    <w:qFormat/>
    <w:pPr>
      <w:spacing w:line="210" w:lineRule="exact"/>
      <w:jc w:val="center"/>
    </w:pPr>
    <w:rPr>
      <w:rFonts w:eastAsia="Times New Roman"/>
      <w:sz w:val="18"/>
      <w:szCs w:val="20"/>
      <w:lang w:val="en-GB"/>
    </w:rPr>
  </w:style>
  <w:style w:type="paragraph" w:customStyle="1" w:styleId="SX-Tabletitle">
    <w:name w:val="SX-Tabletitle"/>
    <w:basedOn w:val="Normal"/>
    <w:qFormat/>
    <w:pPr>
      <w:spacing w:after="120" w:line="210" w:lineRule="exact"/>
      <w:jc w:val="both"/>
    </w:pPr>
    <w:rPr>
      <w:rFonts w:ascii="BlissMedium" w:eastAsia="Times New Roman" w:hAnsi="BlissMedium"/>
      <w:sz w:val="18"/>
      <w:szCs w:val="20"/>
      <w:lang w:val="en-GB"/>
    </w:rPr>
  </w:style>
  <w:style w:type="paragraph" w:customStyle="1" w:styleId="SX-Title">
    <w:name w:val="SX-Title"/>
    <w:basedOn w:val="Normal"/>
    <w:pPr>
      <w:spacing w:after="240" w:line="500" w:lineRule="exact"/>
    </w:pPr>
    <w:rPr>
      <w:rFonts w:ascii="BlissBold" w:eastAsia="Times New Roman" w:hAnsi="BlissBold"/>
      <w:b/>
      <w:sz w:val="44"/>
      <w:szCs w:val="20"/>
      <w:lang w:val="en-GB"/>
    </w:rPr>
  </w:style>
  <w:style w:type="paragraph" w:customStyle="1" w:styleId="Tablecolumnhead">
    <w:name w:val="Table column head"/>
    <w:basedOn w:val="BaseText"/>
    <w:pPr>
      <w:spacing w:before="0"/>
    </w:pPr>
  </w:style>
  <w:style w:type="paragraph" w:customStyle="1" w:styleId="Tabletext">
    <w:name w:val="Table text"/>
    <w:basedOn w:val="BaseText"/>
    <w:pPr>
      <w:spacing w:before="0"/>
    </w:pPr>
  </w:style>
  <w:style w:type="paragraph" w:customStyle="1" w:styleId="TableLegend">
    <w:name w:val="TableLegend"/>
    <w:basedOn w:val="BaseText"/>
    <w:pPr>
      <w:spacing w:before="0"/>
    </w:pPr>
  </w:style>
  <w:style w:type="paragraph" w:customStyle="1" w:styleId="TableTitle">
    <w:name w:val="TableTitle"/>
    <w:basedOn w:val="BaseHeading"/>
  </w:style>
  <w:style w:type="paragraph" w:customStyle="1" w:styleId="TWIS">
    <w:name w:val="TWIS"/>
    <w:basedOn w:val="AbstractSummary"/>
    <w:pPr>
      <w:autoSpaceDE w:val="0"/>
      <w:autoSpaceDN w:val="0"/>
      <w:adjustRightInd w:val="0"/>
    </w:pPr>
  </w:style>
  <w:style w:type="paragraph" w:customStyle="1" w:styleId="TWISorEC">
    <w:name w:val="TWIS or EC"/>
    <w:basedOn w:val="Normal"/>
    <w:pPr>
      <w:spacing w:line="210" w:lineRule="exact"/>
    </w:pPr>
    <w:rPr>
      <w:rFonts w:ascii="BlissRegular" w:eastAsia="Times New Roman" w:hAnsi="BlissRegular"/>
      <w:sz w:val="19"/>
      <w:szCs w:val="20"/>
      <w:lang w:val="en-GB"/>
    </w:rPr>
  </w:style>
  <w:style w:type="paragraph" w:customStyle="1" w:styleId="work-sector">
    <w:name w:val="work-sector"/>
    <w:basedOn w:val="BaseText"/>
    <w:pPr>
      <w:jc w:val="right"/>
    </w:pPr>
    <w:rPr>
      <w:color w:val="003300"/>
    </w:rPr>
  </w:style>
  <w:style w:type="paragraph" w:customStyle="1" w:styleId="DOI">
    <w:name w:val="DOI"/>
    <w:basedOn w:val="DateAccepted"/>
    <w:qFormat/>
  </w:style>
  <w:style w:type="character" w:customStyle="1" w:styleId="custom-cit-author">
    <w:name w:val="custom-cit-author"/>
    <w:basedOn w:val="DefaultParagraphFont"/>
  </w:style>
  <w:style w:type="character" w:customStyle="1" w:styleId="custom-cit-title">
    <w:name w:val="custom-cit-title"/>
    <w:basedOn w:val="DefaultParagraphFont"/>
  </w:style>
  <w:style w:type="character" w:customStyle="1" w:styleId="custom-cit-jour-title">
    <w:name w:val="custom-cit-jour-title"/>
    <w:basedOn w:val="DefaultParagraphFont"/>
  </w:style>
  <w:style w:type="character" w:customStyle="1" w:styleId="custom-cit-volume">
    <w:name w:val="custom-cit-volume"/>
    <w:basedOn w:val="DefaultParagraphFont"/>
  </w:style>
  <w:style w:type="character" w:customStyle="1" w:styleId="custom-cit-volume-sep">
    <w:name w:val="custom-cit-volume-sep"/>
    <w:basedOn w:val="DefaultParagraphFont"/>
  </w:style>
  <w:style w:type="character" w:customStyle="1" w:styleId="custom-cit-fpage">
    <w:name w:val="custom-cit-fpage"/>
    <w:basedOn w:val="DefaultParagraphFont"/>
  </w:style>
  <w:style w:type="character" w:customStyle="1" w:styleId="custom-cit-date">
    <w:name w:val="custom-cit-date"/>
    <w:basedOn w:val="DefaultParagraphFont"/>
  </w:style>
  <w:style w:type="paragraph" w:customStyle="1" w:styleId="MediumList2-Accent21">
    <w:name w:val="Medium List 2 - Accent 21"/>
    <w:hidden/>
    <w:uiPriority w:val="99"/>
    <w:semiHidden/>
    <w:rPr>
      <w:rFonts w:eastAsia="DengXian"/>
      <w:lang w:eastAsia="en-US"/>
    </w:rPr>
  </w:style>
  <w:style w:type="character" w:customStyle="1" w:styleId="TitleChar">
    <w:name w:val="Title Char"/>
    <w:link w:val="Title"/>
    <w:rPr>
      <w:rFonts w:ascii="Arial" w:hAnsi="Arial" w:cs="Arial"/>
      <w:b/>
      <w:bCs/>
      <w:kern w:val="28"/>
      <w:sz w:val="32"/>
      <w:szCs w:val="32"/>
      <w:lang w:eastAsia="en-US"/>
    </w:rPr>
  </w:style>
  <w:style w:type="paragraph" w:customStyle="1" w:styleId="Default">
    <w:name w:val="Default"/>
    <w:pPr>
      <w:widowControl w:val="0"/>
      <w:autoSpaceDE w:val="0"/>
      <w:autoSpaceDN w:val="0"/>
      <w:adjustRightInd w:val="0"/>
    </w:pPr>
    <w:rPr>
      <w:rFonts w:ascii="Minion Pro" w:eastAsia="Minion Pro" w:cs="Minion Pro"/>
      <w:color w:val="000000"/>
      <w:sz w:val="24"/>
      <w:szCs w:val="24"/>
    </w:rPr>
  </w:style>
  <w:style w:type="character" w:customStyle="1" w:styleId="fontstyle01">
    <w:name w:val="fontstyle01"/>
    <w:rPr>
      <w:rFonts w:ascii="TimesNewRoman" w:hAnsi="TimesNewRoman" w:hint="default"/>
      <w:b/>
      <w:bCs/>
      <w:i w:val="0"/>
      <w:iCs w:val="0"/>
      <w:color w:val="000000"/>
      <w:sz w:val="24"/>
      <w:szCs w:val="24"/>
    </w:rPr>
  </w:style>
  <w:style w:type="character" w:customStyle="1" w:styleId="fontstyle21">
    <w:name w:val="fontstyle21"/>
    <w:rPr>
      <w:rFonts w:ascii="TimesNewRoman" w:hAnsi="TimesNewRoman" w:hint="default"/>
      <w:b w:val="0"/>
      <w:bCs w:val="0"/>
      <w:i w:val="0"/>
      <w:iCs w:val="0"/>
      <w:color w:val="000000"/>
      <w:sz w:val="24"/>
      <w:szCs w:val="24"/>
    </w:rPr>
  </w:style>
  <w:style w:type="character" w:styleId="IntenseEmphasis">
    <w:name w:val="Intense Emphasis"/>
    <w:uiPriority w:val="66"/>
    <w:qFormat/>
    <w:rPr>
      <w:i/>
      <w:iCs/>
      <w:color w:val="5B9BD5"/>
    </w:rPr>
  </w:style>
  <w:style w:type="character" w:customStyle="1" w:styleId="1">
    <w:name w:val="未解決のメンション1"/>
    <w:basedOn w:val="DefaultParagraphFont"/>
    <w:uiPriority w:val="99"/>
    <w:semiHidden/>
    <w:unhideWhenUsed/>
    <w:rPr>
      <w:color w:val="605E5C"/>
      <w:shd w:val="clear" w:color="auto" w:fill="E1DFDD"/>
    </w:rPr>
  </w:style>
  <w:style w:type="character" w:customStyle="1" w:styleId="fontstyle11">
    <w:name w:val="fontstyle11"/>
    <w:basedOn w:val="DefaultParagraphFont"/>
    <w:rsid w:val="00C712EB"/>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39742">
      <w:bodyDiv w:val="1"/>
      <w:marLeft w:val="0"/>
      <w:marRight w:val="0"/>
      <w:marTop w:val="0"/>
      <w:marBottom w:val="0"/>
      <w:divBdr>
        <w:top w:val="none" w:sz="0" w:space="0" w:color="auto"/>
        <w:left w:val="none" w:sz="0" w:space="0" w:color="auto"/>
        <w:bottom w:val="none" w:sz="0" w:space="0" w:color="auto"/>
        <w:right w:val="none" w:sz="0" w:space="0" w:color="auto"/>
      </w:divBdr>
    </w:div>
    <w:div w:id="68113393">
      <w:bodyDiv w:val="1"/>
      <w:marLeft w:val="0"/>
      <w:marRight w:val="0"/>
      <w:marTop w:val="0"/>
      <w:marBottom w:val="0"/>
      <w:divBdr>
        <w:top w:val="none" w:sz="0" w:space="0" w:color="auto"/>
        <w:left w:val="none" w:sz="0" w:space="0" w:color="auto"/>
        <w:bottom w:val="none" w:sz="0" w:space="0" w:color="auto"/>
        <w:right w:val="none" w:sz="0" w:space="0" w:color="auto"/>
      </w:divBdr>
    </w:div>
    <w:div w:id="81604320">
      <w:bodyDiv w:val="1"/>
      <w:marLeft w:val="0"/>
      <w:marRight w:val="0"/>
      <w:marTop w:val="0"/>
      <w:marBottom w:val="0"/>
      <w:divBdr>
        <w:top w:val="none" w:sz="0" w:space="0" w:color="auto"/>
        <w:left w:val="none" w:sz="0" w:space="0" w:color="auto"/>
        <w:bottom w:val="none" w:sz="0" w:space="0" w:color="auto"/>
        <w:right w:val="none" w:sz="0" w:space="0" w:color="auto"/>
      </w:divBdr>
      <w:divsChild>
        <w:div w:id="1208222619">
          <w:marLeft w:val="1440"/>
          <w:marRight w:val="0"/>
          <w:marTop w:val="800"/>
          <w:marBottom w:val="0"/>
          <w:divBdr>
            <w:top w:val="none" w:sz="0" w:space="0" w:color="auto"/>
            <w:left w:val="none" w:sz="0" w:space="0" w:color="auto"/>
            <w:bottom w:val="none" w:sz="0" w:space="0" w:color="auto"/>
            <w:right w:val="none" w:sz="0" w:space="0" w:color="auto"/>
          </w:divBdr>
        </w:div>
        <w:div w:id="123544769">
          <w:marLeft w:val="1440"/>
          <w:marRight w:val="0"/>
          <w:marTop w:val="800"/>
          <w:marBottom w:val="0"/>
          <w:divBdr>
            <w:top w:val="none" w:sz="0" w:space="0" w:color="auto"/>
            <w:left w:val="none" w:sz="0" w:space="0" w:color="auto"/>
            <w:bottom w:val="none" w:sz="0" w:space="0" w:color="auto"/>
            <w:right w:val="none" w:sz="0" w:space="0" w:color="auto"/>
          </w:divBdr>
        </w:div>
      </w:divsChild>
    </w:div>
    <w:div w:id="84958021">
      <w:bodyDiv w:val="1"/>
      <w:marLeft w:val="0"/>
      <w:marRight w:val="0"/>
      <w:marTop w:val="0"/>
      <w:marBottom w:val="0"/>
      <w:divBdr>
        <w:top w:val="none" w:sz="0" w:space="0" w:color="auto"/>
        <w:left w:val="none" w:sz="0" w:space="0" w:color="auto"/>
        <w:bottom w:val="none" w:sz="0" w:space="0" w:color="auto"/>
        <w:right w:val="none" w:sz="0" w:space="0" w:color="auto"/>
      </w:divBdr>
    </w:div>
    <w:div w:id="85153252">
      <w:bodyDiv w:val="1"/>
      <w:marLeft w:val="0"/>
      <w:marRight w:val="0"/>
      <w:marTop w:val="0"/>
      <w:marBottom w:val="0"/>
      <w:divBdr>
        <w:top w:val="none" w:sz="0" w:space="0" w:color="auto"/>
        <w:left w:val="none" w:sz="0" w:space="0" w:color="auto"/>
        <w:bottom w:val="none" w:sz="0" w:space="0" w:color="auto"/>
        <w:right w:val="none" w:sz="0" w:space="0" w:color="auto"/>
      </w:divBdr>
    </w:div>
    <w:div w:id="86537994">
      <w:bodyDiv w:val="1"/>
      <w:marLeft w:val="0"/>
      <w:marRight w:val="0"/>
      <w:marTop w:val="0"/>
      <w:marBottom w:val="0"/>
      <w:divBdr>
        <w:top w:val="none" w:sz="0" w:space="0" w:color="auto"/>
        <w:left w:val="none" w:sz="0" w:space="0" w:color="auto"/>
        <w:bottom w:val="none" w:sz="0" w:space="0" w:color="auto"/>
        <w:right w:val="none" w:sz="0" w:space="0" w:color="auto"/>
      </w:divBdr>
    </w:div>
    <w:div w:id="89082021">
      <w:bodyDiv w:val="1"/>
      <w:marLeft w:val="0"/>
      <w:marRight w:val="0"/>
      <w:marTop w:val="0"/>
      <w:marBottom w:val="0"/>
      <w:divBdr>
        <w:top w:val="none" w:sz="0" w:space="0" w:color="auto"/>
        <w:left w:val="none" w:sz="0" w:space="0" w:color="auto"/>
        <w:bottom w:val="none" w:sz="0" w:space="0" w:color="auto"/>
        <w:right w:val="none" w:sz="0" w:space="0" w:color="auto"/>
      </w:divBdr>
    </w:div>
    <w:div w:id="97919739">
      <w:bodyDiv w:val="1"/>
      <w:marLeft w:val="0"/>
      <w:marRight w:val="0"/>
      <w:marTop w:val="0"/>
      <w:marBottom w:val="0"/>
      <w:divBdr>
        <w:top w:val="none" w:sz="0" w:space="0" w:color="auto"/>
        <w:left w:val="none" w:sz="0" w:space="0" w:color="auto"/>
        <w:bottom w:val="none" w:sz="0" w:space="0" w:color="auto"/>
        <w:right w:val="none" w:sz="0" w:space="0" w:color="auto"/>
      </w:divBdr>
    </w:div>
    <w:div w:id="129632487">
      <w:bodyDiv w:val="1"/>
      <w:marLeft w:val="0"/>
      <w:marRight w:val="0"/>
      <w:marTop w:val="0"/>
      <w:marBottom w:val="0"/>
      <w:divBdr>
        <w:top w:val="none" w:sz="0" w:space="0" w:color="auto"/>
        <w:left w:val="none" w:sz="0" w:space="0" w:color="auto"/>
        <w:bottom w:val="none" w:sz="0" w:space="0" w:color="auto"/>
        <w:right w:val="none" w:sz="0" w:space="0" w:color="auto"/>
      </w:divBdr>
    </w:div>
    <w:div w:id="158546084">
      <w:bodyDiv w:val="1"/>
      <w:marLeft w:val="0"/>
      <w:marRight w:val="0"/>
      <w:marTop w:val="0"/>
      <w:marBottom w:val="0"/>
      <w:divBdr>
        <w:top w:val="none" w:sz="0" w:space="0" w:color="auto"/>
        <w:left w:val="none" w:sz="0" w:space="0" w:color="auto"/>
        <w:bottom w:val="none" w:sz="0" w:space="0" w:color="auto"/>
        <w:right w:val="none" w:sz="0" w:space="0" w:color="auto"/>
      </w:divBdr>
    </w:div>
    <w:div w:id="164514344">
      <w:bodyDiv w:val="1"/>
      <w:marLeft w:val="0"/>
      <w:marRight w:val="0"/>
      <w:marTop w:val="0"/>
      <w:marBottom w:val="0"/>
      <w:divBdr>
        <w:top w:val="none" w:sz="0" w:space="0" w:color="auto"/>
        <w:left w:val="none" w:sz="0" w:space="0" w:color="auto"/>
        <w:bottom w:val="none" w:sz="0" w:space="0" w:color="auto"/>
        <w:right w:val="none" w:sz="0" w:space="0" w:color="auto"/>
      </w:divBdr>
    </w:div>
    <w:div w:id="196820587">
      <w:bodyDiv w:val="1"/>
      <w:marLeft w:val="0"/>
      <w:marRight w:val="0"/>
      <w:marTop w:val="0"/>
      <w:marBottom w:val="0"/>
      <w:divBdr>
        <w:top w:val="none" w:sz="0" w:space="0" w:color="auto"/>
        <w:left w:val="none" w:sz="0" w:space="0" w:color="auto"/>
        <w:bottom w:val="none" w:sz="0" w:space="0" w:color="auto"/>
        <w:right w:val="none" w:sz="0" w:space="0" w:color="auto"/>
      </w:divBdr>
    </w:div>
    <w:div w:id="207256132">
      <w:bodyDiv w:val="1"/>
      <w:marLeft w:val="0"/>
      <w:marRight w:val="0"/>
      <w:marTop w:val="0"/>
      <w:marBottom w:val="0"/>
      <w:divBdr>
        <w:top w:val="none" w:sz="0" w:space="0" w:color="auto"/>
        <w:left w:val="none" w:sz="0" w:space="0" w:color="auto"/>
        <w:bottom w:val="none" w:sz="0" w:space="0" w:color="auto"/>
        <w:right w:val="none" w:sz="0" w:space="0" w:color="auto"/>
      </w:divBdr>
    </w:div>
    <w:div w:id="209417532">
      <w:bodyDiv w:val="1"/>
      <w:marLeft w:val="0"/>
      <w:marRight w:val="0"/>
      <w:marTop w:val="0"/>
      <w:marBottom w:val="0"/>
      <w:divBdr>
        <w:top w:val="none" w:sz="0" w:space="0" w:color="auto"/>
        <w:left w:val="none" w:sz="0" w:space="0" w:color="auto"/>
        <w:bottom w:val="none" w:sz="0" w:space="0" w:color="auto"/>
        <w:right w:val="none" w:sz="0" w:space="0" w:color="auto"/>
      </w:divBdr>
    </w:div>
    <w:div w:id="209457408">
      <w:bodyDiv w:val="1"/>
      <w:marLeft w:val="0"/>
      <w:marRight w:val="0"/>
      <w:marTop w:val="0"/>
      <w:marBottom w:val="0"/>
      <w:divBdr>
        <w:top w:val="none" w:sz="0" w:space="0" w:color="auto"/>
        <w:left w:val="none" w:sz="0" w:space="0" w:color="auto"/>
        <w:bottom w:val="none" w:sz="0" w:space="0" w:color="auto"/>
        <w:right w:val="none" w:sz="0" w:space="0" w:color="auto"/>
      </w:divBdr>
      <w:divsChild>
        <w:div w:id="905721206">
          <w:marLeft w:val="1440"/>
          <w:marRight w:val="0"/>
          <w:marTop w:val="800"/>
          <w:marBottom w:val="0"/>
          <w:divBdr>
            <w:top w:val="none" w:sz="0" w:space="0" w:color="auto"/>
            <w:left w:val="none" w:sz="0" w:space="0" w:color="auto"/>
            <w:bottom w:val="none" w:sz="0" w:space="0" w:color="auto"/>
            <w:right w:val="none" w:sz="0" w:space="0" w:color="auto"/>
          </w:divBdr>
        </w:div>
        <w:div w:id="1162697406">
          <w:marLeft w:val="1440"/>
          <w:marRight w:val="0"/>
          <w:marTop w:val="800"/>
          <w:marBottom w:val="0"/>
          <w:divBdr>
            <w:top w:val="none" w:sz="0" w:space="0" w:color="auto"/>
            <w:left w:val="none" w:sz="0" w:space="0" w:color="auto"/>
            <w:bottom w:val="none" w:sz="0" w:space="0" w:color="auto"/>
            <w:right w:val="none" w:sz="0" w:space="0" w:color="auto"/>
          </w:divBdr>
        </w:div>
        <w:div w:id="593979673">
          <w:marLeft w:val="1440"/>
          <w:marRight w:val="0"/>
          <w:marTop w:val="800"/>
          <w:marBottom w:val="0"/>
          <w:divBdr>
            <w:top w:val="none" w:sz="0" w:space="0" w:color="auto"/>
            <w:left w:val="none" w:sz="0" w:space="0" w:color="auto"/>
            <w:bottom w:val="none" w:sz="0" w:space="0" w:color="auto"/>
            <w:right w:val="none" w:sz="0" w:space="0" w:color="auto"/>
          </w:divBdr>
        </w:div>
        <w:div w:id="926308936">
          <w:marLeft w:val="1440"/>
          <w:marRight w:val="0"/>
          <w:marTop w:val="800"/>
          <w:marBottom w:val="0"/>
          <w:divBdr>
            <w:top w:val="none" w:sz="0" w:space="0" w:color="auto"/>
            <w:left w:val="none" w:sz="0" w:space="0" w:color="auto"/>
            <w:bottom w:val="none" w:sz="0" w:space="0" w:color="auto"/>
            <w:right w:val="none" w:sz="0" w:space="0" w:color="auto"/>
          </w:divBdr>
        </w:div>
      </w:divsChild>
    </w:div>
    <w:div w:id="245765822">
      <w:bodyDiv w:val="1"/>
      <w:marLeft w:val="0"/>
      <w:marRight w:val="0"/>
      <w:marTop w:val="0"/>
      <w:marBottom w:val="0"/>
      <w:divBdr>
        <w:top w:val="none" w:sz="0" w:space="0" w:color="auto"/>
        <w:left w:val="none" w:sz="0" w:space="0" w:color="auto"/>
        <w:bottom w:val="none" w:sz="0" w:space="0" w:color="auto"/>
        <w:right w:val="none" w:sz="0" w:space="0" w:color="auto"/>
      </w:divBdr>
    </w:div>
    <w:div w:id="284896898">
      <w:bodyDiv w:val="1"/>
      <w:marLeft w:val="0"/>
      <w:marRight w:val="0"/>
      <w:marTop w:val="0"/>
      <w:marBottom w:val="0"/>
      <w:divBdr>
        <w:top w:val="none" w:sz="0" w:space="0" w:color="auto"/>
        <w:left w:val="none" w:sz="0" w:space="0" w:color="auto"/>
        <w:bottom w:val="none" w:sz="0" w:space="0" w:color="auto"/>
        <w:right w:val="none" w:sz="0" w:space="0" w:color="auto"/>
      </w:divBdr>
    </w:div>
    <w:div w:id="286274727">
      <w:bodyDiv w:val="1"/>
      <w:marLeft w:val="0"/>
      <w:marRight w:val="0"/>
      <w:marTop w:val="0"/>
      <w:marBottom w:val="0"/>
      <w:divBdr>
        <w:top w:val="none" w:sz="0" w:space="0" w:color="auto"/>
        <w:left w:val="none" w:sz="0" w:space="0" w:color="auto"/>
        <w:bottom w:val="none" w:sz="0" w:space="0" w:color="auto"/>
        <w:right w:val="none" w:sz="0" w:space="0" w:color="auto"/>
      </w:divBdr>
    </w:div>
    <w:div w:id="293566125">
      <w:bodyDiv w:val="1"/>
      <w:marLeft w:val="0"/>
      <w:marRight w:val="0"/>
      <w:marTop w:val="0"/>
      <w:marBottom w:val="0"/>
      <w:divBdr>
        <w:top w:val="none" w:sz="0" w:space="0" w:color="auto"/>
        <w:left w:val="none" w:sz="0" w:space="0" w:color="auto"/>
        <w:bottom w:val="none" w:sz="0" w:space="0" w:color="auto"/>
        <w:right w:val="none" w:sz="0" w:space="0" w:color="auto"/>
      </w:divBdr>
    </w:div>
    <w:div w:id="306933602">
      <w:bodyDiv w:val="1"/>
      <w:marLeft w:val="0"/>
      <w:marRight w:val="0"/>
      <w:marTop w:val="0"/>
      <w:marBottom w:val="0"/>
      <w:divBdr>
        <w:top w:val="none" w:sz="0" w:space="0" w:color="auto"/>
        <w:left w:val="none" w:sz="0" w:space="0" w:color="auto"/>
        <w:bottom w:val="none" w:sz="0" w:space="0" w:color="auto"/>
        <w:right w:val="none" w:sz="0" w:space="0" w:color="auto"/>
      </w:divBdr>
    </w:div>
    <w:div w:id="316880196">
      <w:bodyDiv w:val="1"/>
      <w:marLeft w:val="0"/>
      <w:marRight w:val="0"/>
      <w:marTop w:val="0"/>
      <w:marBottom w:val="0"/>
      <w:divBdr>
        <w:top w:val="none" w:sz="0" w:space="0" w:color="auto"/>
        <w:left w:val="none" w:sz="0" w:space="0" w:color="auto"/>
        <w:bottom w:val="none" w:sz="0" w:space="0" w:color="auto"/>
        <w:right w:val="none" w:sz="0" w:space="0" w:color="auto"/>
      </w:divBdr>
    </w:div>
    <w:div w:id="360133660">
      <w:bodyDiv w:val="1"/>
      <w:marLeft w:val="0"/>
      <w:marRight w:val="0"/>
      <w:marTop w:val="0"/>
      <w:marBottom w:val="0"/>
      <w:divBdr>
        <w:top w:val="none" w:sz="0" w:space="0" w:color="auto"/>
        <w:left w:val="none" w:sz="0" w:space="0" w:color="auto"/>
        <w:bottom w:val="none" w:sz="0" w:space="0" w:color="auto"/>
        <w:right w:val="none" w:sz="0" w:space="0" w:color="auto"/>
      </w:divBdr>
    </w:div>
    <w:div w:id="365376841">
      <w:bodyDiv w:val="1"/>
      <w:marLeft w:val="0"/>
      <w:marRight w:val="0"/>
      <w:marTop w:val="0"/>
      <w:marBottom w:val="0"/>
      <w:divBdr>
        <w:top w:val="none" w:sz="0" w:space="0" w:color="auto"/>
        <w:left w:val="none" w:sz="0" w:space="0" w:color="auto"/>
        <w:bottom w:val="none" w:sz="0" w:space="0" w:color="auto"/>
        <w:right w:val="none" w:sz="0" w:space="0" w:color="auto"/>
      </w:divBdr>
    </w:div>
    <w:div w:id="374503228">
      <w:bodyDiv w:val="1"/>
      <w:marLeft w:val="0"/>
      <w:marRight w:val="0"/>
      <w:marTop w:val="0"/>
      <w:marBottom w:val="0"/>
      <w:divBdr>
        <w:top w:val="none" w:sz="0" w:space="0" w:color="auto"/>
        <w:left w:val="none" w:sz="0" w:space="0" w:color="auto"/>
        <w:bottom w:val="none" w:sz="0" w:space="0" w:color="auto"/>
        <w:right w:val="none" w:sz="0" w:space="0" w:color="auto"/>
      </w:divBdr>
    </w:div>
    <w:div w:id="379476273">
      <w:bodyDiv w:val="1"/>
      <w:marLeft w:val="0"/>
      <w:marRight w:val="0"/>
      <w:marTop w:val="0"/>
      <w:marBottom w:val="0"/>
      <w:divBdr>
        <w:top w:val="none" w:sz="0" w:space="0" w:color="auto"/>
        <w:left w:val="none" w:sz="0" w:space="0" w:color="auto"/>
        <w:bottom w:val="none" w:sz="0" w:space="0" w:color="auto"/>
        <w:right w:val="none" w:sz="0" w:space="0" w:color="auto"/>
      </w:divBdr>
    </w:div>
    <w:div w:id="403339771">
      <w:bodyDiv w:val="1"/>
      <w:marLeft w:val="0"/>
      <w:marRight w:val="0"/>
      <w:marTop w:val="0"/>
      <w:marBottom w:val="0"/>
      <w:divBdr>
        <w:top w:val="none" w:sz="0" w:space="0" w:color="auto"/>
        <w:left w:val="none" w:sz="0" w:space="0" w:color="auto"/>
        <w:bottom w:val="none" w:sz="0" w:space="0" w:color="auto"/>
        <w:right w:val="none" w:sz="0" w:space="0" w:color="auto"/>
      </w:divBdr>
    </w:div>
    <w:div w:id="411775311">
      <w:bodyDiv w:val="1"/>
      <w:marLeft w:val="0"/>
      <w:marRight w:val="0"/>
      <w:marTop w:val="0"/>
      <w:marBottom w:val="0"/>
      <w:divBdr>
        <w:top w:val="none" w:sz="0" w:space="0" w:color="auto"/>
        <w:left w:val="none" w:sz="0" w:space="0" w:color="auto"/>
        <w:bottom w:val="none" w:sz="0" w:space="0" w:color="auto"/>
        <w:right w:val="none" w:sz="0" w:space="0" w:color="auto"/>
      </w:divBdr>
    </w:div>
    <w:div w:id="444269736">
      <w:bodyDiv w:val="1"/>
      <w:marLeft w:val="0"/>
      <w:marRight w:val="0"/>
      <w:marTop w:val="0"/>
      <w:marBottom w:val="0"/>
      <w:divBdr>
        <w:top w:val="none" w:sz="0" w:space="0" w:color="auto"/>
        <w:left w:val="none" w:sz="0" w:space="0" w:color="auto"/>
        <w:bottom w:val="none" w:sz="0" w:space="0" w:color="auto"/>
        <w:right w:val="none" w:sz="0" w:space="0" w:color="auto"/>
      </w:divBdr>
    </w:div>
    <w:div w:id="454174553">
      <w:bodyDiv w:val="1"/>
      <w:marLeft w:val="0"/>
      <w:marRight w:val="0"/>
      <w:marTop w:val="0"/>
      <w:marBottom w:val="0"/>
      <w:divBdr>
        <w:top w:val="none" w:sz="0" w:space="0" w:color="auto"/>
        <w:left w:val="none" w:sz="0" w:space="0" w:color="auto"/>
        <w:bottom w:val="none" w:sz="0" w:space="0" w:color="auto"/>
        <w:right w:val="none" w:sz="0" w:space="0" w:color="auto"/>
      </w:divBdr>
    </w:div>
    <w:div w:id="459807367">
      <w:bodyDiv w:val="1"/>
      <w:marLeft w:val="0"/>
      <w:marRight w:val="0"/>
      <w:marTop w:val="0"/>
      <w:marBottom w:val="0"/>
      <w:divBdr>
        <w:top w:val="none" w:sz="0" w:space="0" w:color="auto"/>
        <w:left w:val="none" w:sz="0" w:space="0" w:color="auto"/>
        <w:bottom w:val="none" w:sz="0" w:space="0" w:color="auto"/>
        <w:right w:val="none" w:sz="0" w:space="0" w:color="auto"/>
      </w:divBdr>
    </w:div>
    <w:div w:id="501094288">
      <w:bodyDiv w:val="1"/>
      <w:marLeft w:val="0"/>
      <w:marRight w:val="0"/>
      <w:marTop w:val="0"/>
      <w:marBottom w:val="0"/>
      <w:divBdr>
        <w:top w:val="none" w:sz="0" w:space="0" w:color="auto"/>
        <w:left w:val="none" w:sz="0" w:space="0" w:color="auto"/>
        <w:bottom w:val="none" w:sz="0" w:space="0" w:color="auto"/>
        <w:right w:val="none" w:sz="0" w:space="0" w:color="auto"/>
      </w:divBdr>
    </w:div>
    <w:div w:id="507477297">
      <w:bodyDiv w:val="1"/>
      <w:marLeft w:val="0"/>
      <w:marRight w:val="0"/>
      <w:marTop w:val="0"/>
      <w:marBottom w:val="0"/>
      <w:divBdr>
        <w:top w:val="none" w:sz="0" w:space="0" w:color="auto"/>
        <w:left w:val="none" w:sz="0" w:space="0" w:color="auto"/>
        <w:bottom w:val="none" w:sz="0" w:space="0" w:color="auto"/>
        <w:right w:val="none" w:sz="0" w:space="0" w:color="auto"/>
      </w:divBdr>
      <w:divsChild>
        <w:div w:id="1450856617">
          <w:marLeft w:val="1440"/>
          <w:marRight w:val="0"/>
          <w:marTop w:val="800"/>
          <w:marBottom w:val="0"/>
          <w:divBdr>
            <w:top w:val="none" w:sz="0" w:space="0" w:color="auto"/>
            <w:left w:val="none" w:sz="0" w:space="0" w:color="auto"/>
            <w:bottom w:val="none" w:sz="0" w:space="0" w:color="auto"/>
            <w:right w:val="none" w:sz="0" w:space="0" w:color="auto"/>
          </w:divBdr>
        </w:div>
        <w:div w:id="297497942">
          <w:marLeft w:val="1440"/>
          <w:marRight w:val="0"/>
          <w:marTop w:val="800"/>
          <w:marBottom w:val="0"/>
          <w:divBdr>
            <w:top w:val="none" w:sz="0" w:space="0" w:color="auto"/>
            <w:left w:val="none" w:sz="0" w:space="0" w:color="auto"/>
            <w:bottom w:val="none" w:sz="0" w:space="0" w:color="auto"/>
            <w:right w:val="none" w:sz="0" w:space="0" w:color="auto"/>
          </w:divBdr>
        </w:div>
      </w:divsChild>
    </w:div>
    <w:div w:id="516777428">
      <w:bodyDiv w:val="1"/>
      <w:marLeft w:val="0"/>
      <w:marRight w:val="0"/>
      <w:marTop w:val="0"/>
      <w:marBottom w:val="0"/>
      <w:divBdr>
        <w:top w:val="none" w:sz="0" w:space="0" w:color="auto"/>
        <w:left w:val="none" w:sz="0" w:space="0" w:color="auto"/>
        <w:bottom w:val="none" w:sz="0" w:space="0" w:color="auto"/>
        <w:right w:val="none" w:sz="0" w:space="0" w:color="auto"/>
      </w:divBdr>
    </w:div>
    <w:div w:id="527960389">
      <w:bodyDiv w:val="1"/>
      <w:marLeft w:val="0"/>
      <w:marRight w:val="0"/>
      <w:marTop w:val="0"/>
      <w:marBottom w:val="0"/>
      <w:divBdr>
        <w:top w:val="none" w:sz="0" w:space="0" w:color="auto"/>
        <w:left w:val="none" w:sz="0" w:space="0" w:color="auto"/>
        <w:bottom w:val="none" w:sz="0" w:space="0" w:color="auto"/>
        <w:right w:val="none" w:sz="0" w:space="0" w:color="auto"/>
      </w:divBdr>
    </w:div>
    <w:div w:id="551186762">
      <w:bodyDiv w:val="1"/>
      <w:marLeft w:val="0"/>
      <w:marRight w:val="0"/>
      <w:marTop w:val="0"/>
      <w:marBottom w:val="0"/>
      <w:divBdr>
        <w:top w:val="none" w:sz="0" w:space="0" w:color="auto"/>
        <w:left w:val="none" w:sz="0" w:space="0" w:color="auto"/>
        <w:bottom w:val="none" w:sz="0" w:space="0" w:color="auto"/>
        <w:right w:val="none" w:sz="0" w:space="0" w:color="auto"/>
      </w:divBdr>
    </w:div>
    <w:div w:id="555971213">
      <w:bodyDiv w:val="1"/>
      <w:marLeft w:val="0"/>
      <w:marRight w:val="0"/>
      <w:marTop w:val="0"/>
      <w:marBottom w:val="0"/>
      <w:divBdr>
        <w:top w:val="none" w:sz="0" w:space="0" w:color="auto"/>
        <w:left w:val="none" w:sz="0" w:space="0" w:color="auto"/>
        <w:bottom w:val="none" w:sz="0" w:space="0" w:color="auto"/>
        <w:right w:val="none" w:sz="0" w:space="0" w:color="auto"/>
      </w:divBdr>
    </w:div>
    <w:div w:id="573512836">
      <w:bodyDiv w:val="1"/>
      <w:marLeft w:val="0"/>
      <w:marRight w:val="0"/>
      <w:marTop w:val="0"/>
      <w:marBottom w:val="0"/>
      <w:divBdr>
        <w:top w:val="none" w:sz="0" w:space="0" w:color="auto"/>
        <w:left w:val="none" w:sz="0" w:space="0" w:color="auto"/>
        <w:bottom w:val="none" w:sz="0" w:space="0" w:color="auto"/>
        <w:right w:val="none" w:sz="0" w:space="0" w:color="auto"/>
      </w:divBdr>
    </w:div>
    <w:div w:id="580262809">
      <w:bodyDiv w:val="1"/>
      <w:marLeft w:val="0"/>
      <w:marRight w:val="0"/>
      <w:marTop w:val="0"/>
      <w:marBottom w:val="0"/>
      <w:divBdr>
        <w:top w:val="none" w:sz="0" w:space="0" w:color="auto"/>
        <w:left w:val="none" w:sz="0" w:space="0" w:color="auto"/>
        <w:bottom w:val="none" w:sz="0" w:space="0" w:color="auto"/>
        <w:right w:val="none" w:sz="0" w:space="0" w:color="auto"/>
      </w:divBdr>
    </w:div>
    <w:div w:id="584148585">
      <w:bodyDiv w:val="1"/>
      <w:marLeft w:val="0"/>
      <w:marRight w:val="0"/>
      <w:marTop w:val="0"/>
      <w:marBottom w:val="0"/>
      <w:divBdr>
        <w:top w:val="none" w:sz="0" w:space="0" w:color="auto"/>
        <w:left w:val="none" w:sz="0" w:space="0" w:color="auto"/>
        <w:bottom w:val="none" w:sz="0" w:space="0" w:color="auto"/>
        <w:right w:val="none" w:sz="0" w:space="0" w:color="auto"/>
      </w:divBdr>
    </w:div>
    <w:div w:id="584412033">
      <w:bodyDiv w:val="1"/>
      <w:marLeft w:val="0"/>
      <w:marRight w:val="0"/>
      <w:marTop w:val="0"/>
      <w:marBottom w:val="0"/>
      <w:divBdr>
        <w:top w:val="none" w:sz="0" w:space="0" w:color="auto"/>
        <w:left w:val="none" w:sz="0" w:space="0" w:color="auto"/>
        <w:bottom w:val="none" w:sz="0" w:space="0" w:color="auto"/>
        <w:right w:val="none" w:sz="0" w:space="0" w:color="auto"/>
      </w:divBdr>
    </w:div>
    <w:div w:id="594050326">
      <w:bodyDiv w:val="1"/>
      <w:marLeft w:val="0"/>
      <w:marRight w:val="0"/>
      <w:marTop w:val="0"/>
      <w:marBottom w:val="0"/>
      <w:divBdr>
        <w:top w:val="none" w:sz="0" w:space="0" w:color="auto"/>
        <w:left w:val="none" w:sz="0" w:space="0" w:color="auto"/>
        <w:bottom w:val="none" w:sz="0" w:space="0" w:color="auto"/>
        <w:right w:val="none" w:sz="0" w:space="0" w:color="auto"/>
      </w:divBdr>
    </w:div>
    <w:div w:id="597715923">
      <w:bodyDiv w:val="1"/>
      <w:marLeft w:val="0"/>
      <w:marRight w:val="0"/>
      <w:marTop w:val="0"/>
      <w:marBottom w:val="0"/>
      <w:divBdr>
        <w:top w:val="none" w:sz="0" w:space="0" w:color="auto"/>
        <w:left w:val="none" w:sz="0" w:space="0" w:color="auto"/>
        <w:bottom w:val="none" w:sz="0" w:space="0" w:color="auto"/>
        <w:right w:val="none" w:sz="0" w:space="0" w:color="auto"/>
      </w:divBdr>
    </w:div>
    <w:div w:id="602736144">
      <w:bodyDiv w:val="1"/>
      <w:marLeft w:val="0"/>
      <w:marRight w:val="0"/>
      <w:marTop w:val="0"/>
      <w:marBottom w:val="0"/>
      <w:divBdr>
        <w:top w:val="none" w:sz="0" w:space="0" w:color="auto"/>
        <w:left w:val="none" w:sz="0" w:space="0" w:color="auto"/>
        <w:bottom w:val="none" w:sz="0" w:space="0" w:color="auto"/>
        <w:right w:val="none" w:sz="0" w:space="0" w:color="auto"/>
      </w:divBdr>
    </w:div>
    <w:div w:id="643512812">
      <w:bodyDiv w:val="1"/>
      <w:marLeft w:val="0"/>
      <w:marRight w:val="0"/>
      <w:marTop w:val="0"/>
      <w:marBottom w:val="0"/>
      <w:divBdr>
        <w:top w:val="none" w:sz="0" w:space="0" w:color="auto"/>
        <w:left w:val="none" w:sz="0" w:space="0" w:color="auto"/>
        <w:bottom w:val="none" w:sz="0" w:space="0" w:color="auto"/>
        <w:right w:val="none" w:sz="0" w:space="0" w:color="auto"/>
      </w:divBdr>
    </w:div>
    <w:div w:id="658314774">
      <w:bodyDiv w:val="1"/>
      <w:marLeft w:val="0"/>
      <w:marRight w:val="0"/>
      <w:marTop w:val="0"/>
      <w:marBottom w:val="0"/>
      <w:divBdr>
        <w:top w:val="none" w:sz="0" w:space="0" w:color="auto"/>
        <w:left w:val="none" w:sz="0" w:space="0" w:color="auto"/>
        <w:bottom w:val="none" w:sz="0" w:space="0" w:color="auto"/>
        <w:right w:val="none" w:sz="0" w:space="0" w:color="auto"/>
      </w:divBdr>
    </w:div>
    <w:div w:id="659231283">
      <w:bodyDiv w:val="1"/>
      <w:marLeft w:val="0"/>
      <w:marRight w:val="0"/>
      <w:marTop w:val="0"/>
      <w:marBottom w:val="0"/>
      <w:divBdr>
        <w:top w:val="none" w:sz="0" w:space="0" w:color="auto"/>
        <w:left w:val="none" w:sz="0" w:space="0" w:color="auto"/>
        <w:bottom w:val="none" w:sz="0" w:space="0" w:color="auto"/>
        <w:right w:val="none" w:sz="0" w:space="0" w:color="auto"/>
      </w:divBdr>
    </w:div>
    <w:div w:id="700280495">
      <w:bodyDiv w:val="1"/>
      <w:marLeft w:val="0"/>
      <w:marRight w:val="0"/>
      <w:marTop w:val="0"/>
      <w:marBottom w:val="0"/>
      <w:divBdr>
        <w:top w:val="none" w:sz="0" w:space="0" w:color="auto"/>
        <w:left w:val="none" w:sz="0" w:space="0" w:color="auto"/>
        <w:bottom w:val="none" w:sz="0" w:space="0" w:color="auto"/>
        <w:right w:val="none" w:sz="0" w:space="0" w:color="auto"/>
      </w:divBdr>
      <w:divsChild>
        <w:div w:id="587077848">
          <w:marLeft w:val="1440"/>
          <w:marRight w:val="0"/>
          <w:marTop w:val="800"/>
          <w:marBottom w:val="0"/>
          <w:divBdr>
            <w:top w:val="none" w:sz="0" w:space="0" w:color="auto"/>
            <w:left w:val="none" w:sz="0" w:space="0" w:color="auto"/>
            <w:bottom w:val="none" w:sz="0" w:space="0" w:color="auto"/>
            <w:right w:val="none" w:sz="0" w:space="0" w:color="auto"/>
          </w:divBdr>
        </w:div>
        <w:div w:id="585067988">
          <w:marLeft w:val="1440"/>
          <w:marRight w:val="0"/>
          <w:marTop w:val="800"/>
          <w:marBottom w:val="0"/>
          <w:divBdr>
            <w:top w:val="none" w:sz="0" w:space="0" w:color="auto"/>
            <w:left w:val="none" w:sz="0" w:space="0" w:color="auto"/>
            <w:bottom w:val="none" w:sz="0" w:space="0" w:color="auto"/>
            <w:right w:val="none" w:sz="0" w:space="0" w:color="auto"/>
          </w:divBdr>
        </w:div>
        <w:div w:id="562453174">
          <w:marLeft w:val="1440"/>
          <w:marRight w:val="0"/>
          <w:marTop w:val="800"/>
          <w:marBottom w:val="0"/>
          <w:divBdr>
            <w:top w:val="none" w:sz="0" w:space="0" w:color="auto"/>
            <w:left w:val="none" w:sz="0" w:space="0" w:color="auto"/>
            <w:bottom w:val="none" w:sz="0" w:space="0" w:color="auto"/>
            <w:right w:val="none" w:sz="0" w:space="0" w:color="auto"/>
          </w:divBdr>
        </w:div>
        <w:div w:id="1746683285">
          <w:marLeft w:val="1440"/>
          <w:marRight w:val="0"/>
          <w:marTop w:val="800"/>
          <w:marBottom w:val="0"/>
          <w:divBdr>
            <w:top w:val="none" w:sz="0" w:space="0" w:color="auto"/>
            <w:left w:val="none" w:sz="0" w:space="0" w:color="auto"/>
            <w:bottom w:val="none" w:sz="0" w:space="0" w:color="auto"/>
            <w:right w:val="none" w:sz="0" w:space="0" w:color="auto"/>
          </w:divBdr>
        </w:div>
        <w:div w:id="1345279574">
          <w:marLeft w:val="1440"/>
          <w:marRight w:val="0"/>
          <w:marTop w:val="800"/>
          <w:marBottom w:val="0"/>
          <w:divBdr>
            <w:top w:val="none" w:sz="0" w:space="0" w:color="auto"/>
            <w:left w:val="none" w:sz="0" w:space="0" w:color="auto"/>
            <w:bottom w:val="none" w:sz="0" w:space="0" w:color="auto"/>
            <w:right w:val="none" w:sz="0" w:space="0" w:color="auto"/>
          </w:divBdr>
        </w:div>
        <w:div w:id="130291989">
          <w:marLeft w:val="1440"/>
          <w:marRight w:val="0"/>
          <w:marTop w:val="800"/>
          <w:marBottom w:val="0"/>
          <w:divBdr>
            <w:top w:val="none" w:sz="0" w:space="0" w:color="auto"/>
            <w:left w:val="none" w:sz="0" w:space="0" w:color="auto"/>
            <w:bottom w:val="none" w:sz="0" w:space="0" w:color="auto"/>
            <w:right w:val="none" w:sz="0" w:space="0" w:color="auto"/>
          </w:divBdr>
        </w:div>
        <w:div w:id="958029940">
          <w:marLeft w:val="1440"/>
          <w:marRight w:val="0"/>
          <w:marTop w:val="800"/>
          <w:marBottom w:val="0"/>
          <w:divBdr>
            <w:top w:val="none" w:sz="0" w:space="0" w:color="auto"/>
            <w:left w:val="none" w:sz="0" w:space="0" w:color="auto"/>
            <w:bottom w:val="none" w:sz="0" w:space="0" w:color="auto"/>
            <w:right w:val="none" w:sz="0" w:space="0" w:color="auto"/>
          </w:divBdr>
        </w:div>
        <w:div w:id="586496032">
          <w:marLeft w:val="1440"/>
          <w:marRight w:val="0"/>
          <w:marTop w:val="800"/>
          <w:marBottom w:val="0"/>
          <w:divBdr>
            <w:top w:val="none" w:sz="0" w:space="0" w:color="auto"/>
            <w:left w:val="none" w:sz="0" w:space="0" w:color="auto"/>
            <w:bottom w:val="none" w:sz="0" w:space="0" w:color="auto"/>
            <w:right w:val="none" w:sz="0" w:space="0" w:color="auto"/>
          </w:divBdr>
        </w:div>
      </w:divsChild>
    </w:div>
    <w:div w:id="708653986">
      <w:bodyDiv w:val="1"/>
      <w:marLeft w:val="0"/>
      <w:marRight w:val="0"/>
      <w:marTop w:val="0"/>
      <w:marBottom w:val="0"/>
      <w:divBdr>
        <w:top w:val="none" w:sz="0" w:space="0" w:color="auto"/>
        <w:left w:val="none" w:sz="0" w:space="0" w:color="auto"/>
        <w:bottom w:val="none" w:sz="0" w:space="0" w:color="auto"/>
        <w:right w:val="none" w:sz="0" w:space="0" w:color="auto"/>
      </w:divBdr>
    </w:div>
    <w:div w:id="730159470">
      <w:bodyDiv w:val="1"/>
      <w:marLeft w:val="0"/>
      <w:marRight w:val="0"/>
      <w:marTop w:val="0"/>
      <w:marBottom w:val="0"/>
      <w:divBdr>
        <w:top w:val="none" w:sz="0" w:space="0" w:color="auto"/>
        <w:left w:val="none" w:sz="0" w:space="0" w:color="auto"/>
        <w:bottom w:val="none" w:sz="0" w:space="0" w:color="auto"/>
        <w:right w:val="none" w:sz="0" w:space="0" w:color="auto"/>
      </w:divBdr>
    </w:div>
    <w:div w:id="731465943">
      <w:bodyDiv w:val="1"/>
      <w:marLeft w:val="0"/>
      <w:marRight w:val="0"/>
      <w:marTop w:val="0"/>
      <w:marBottom w:val="0"/>
      <w:divBdr>
        <w:top w:val="none" w:sz="0" w:space="0" w:color="auto"/>
        <w:left w:val="none" w:sz="0" w:space="0" w:color="auto"/>
        <w:bottom w:val="none" w:sz="0" w:space="0" w:color="auto"/>
        <w:right w:val="none" w:sz="0" w:space="0" w:color="auto"/>
      </w:divBdr>
    </w:div>
    <w:div w:id="736132635">
      <w:bodyDiv w:val="1"/>
      <w:marLeft w:val="0"/>
      <w:marRight w:val="0"/>
      <w:marTop w:val="0"/>
      <w:marBottom w:val="0"/>
      <w:divBdr>
        <w:top w:val="none" w:sz="0" w:space="0" w:color="auto"/>
        <w:left w:val="none" w:sz="0" w:space="0" w:color="auto"/>
        <w:bottom w:val="none" w:sz="0" w:space="0" w:color="auto"/>
        <w:right w:val="none" w:sz="0" w:space="0" w:color="auto"/>
      </w:divBdr>
    </w:div>
    <w:div w:id="758982106">
      <w:bodyDiv w:val="1"/>
      <w:marLeft w:val="0"/>
      <w:marRight w:val="0"/>
      <w:marTop w:val="0"/>
      <w:marBottom w:val="0"/>
      <w:divBdr>
        <w:top w:val="none" w:sz="0" w:space="0" w:color="auto"/>
        <w:left w:val="none" w:sz="0" w:space="0" w:color="auto"/>
        <w:bottom w:val="none" w:sz="0" w:space="0" w:color="auto"/>
        <w:right w:val="none" w:sz="0" w:space="0" w:color="auto"/>
      </w:divBdr>
    </w:div>
    <w:div w:id="770928419">
      <w:bodyDiv w:val="1"/>
      <w:marLeft w:val="0"/>
      <w:marRight w:val="0"/>
      <w:marTop w:val="0"/>
      <w:marBottom w:val="0"/>
      <w:divBdr>
        <w:top w:val="none" w:sz="0" w:space="0" w:color="auto"/>
        <w:left w:val="none" w:sz="0" w:space="0" w:color="auto"/>
        <w:bottom w:val="none" w:sz="0" w:space="0" w:color="auto"/>
        <w:right w:val="none" w:sz="0" w:space="0" w:color="auto"/>
      </w:divBdr>
    </w:div>
    <w:div w:id="782454099">
      <w:bodyDiv w:val="1"/>
      <w:marLeft w:val="0"/>
      <w:marRight w:val="0"/>
      <w:marTop w:val="0"/>
      <w:marBottom w:val="0"/>
      <w:divBdr>
        <w:top w:val="none" w:sz="0" w:space="0" w:color="auto"/>
        <w:left w:val="none" w:sz="0" w:space="0" w:color="auto"/>
        <w:bottom w:val="none" w:sz="0" w:space="0" w:color="auto"/>
        <w:right w:val="none" w:sz="0" w:space="0" w:color="auto"/>
      </w:divBdr>
    </w:div>
    <w:div w:id="832643637">
      <w:bodyDiv w:val="1"/>
      <w:marLeft w:val="0"/>
      <w:marRight w:val="0"/>
      <w:marTop w:val="0"/>
      <w:marBottom w:val="0"/>
      <w:divBdr>
        <w:top w:val="none" w:sz="0" w:space="0" w:color="auto"/>
        <w:left w:val="none" w:sz="0" w:space="0" w:color="auto"/>
        <w:bottom w:val="none" w:sz="0" w:space="0" w:color="auto"/>
        <w:right w:val="none" w:sz="0" w:space="0" w:color="auto"/>
      </w:divBdr>
      <w:divsChild>
        <w:div w:id="1212957648">
          <w:marLeft w:val="0"/>
          <w:marRight w:val="0"/>
          <w:marTop w:val="0"/>
          <w:marBottom w:val="0"/>
          <w:divBdr>
            <w:top w:val="none" w:sz="0" w:space="0" w:color="auto"/>
            <w:left w:val="none" w:sz="0" w:space="0" w:color="auto"/>
            <w:bottom w:val="none" w:sz="0" w:space="0" w:color="auto"/>
            <w:right w:val="none" w:sz="0" w:space="0" w:color="auto"/>
          </w:divBdr>
        </w:div>
        <w:div w:id="380792524">
          <w:marLeft w:val="0"/>
          <w:marRight w:val="0"/>
          <w:marTop w:val="0"/>
          <w:marBottom w:val="0"/>
          <w:divBdr>
            <w:top w:val="none" w:sz="0" w:space="0" w:color="auto"/>
            <w:left w:val="none" w:sz="0" w:space="0" w:color="auto"/>
            <w:bottom w:val="none" w:sz="0" w:space="0" w:color="auto"/>
            <w:right w:val="none" w:sz="0" w:space="0" w:color="auto"/>
          </w:divBdr>
        </w:div>
      </w:divsChild>
    </w:div>
    <w:div w:id="837421734">
      <w:bodyDiv w:val="1"/>
      <w:marLeft w:val="0"/>
      <w:marRight w:val="0"/>
      <w:marTop w:val="0"/>
      <w:marBottom w:val="0"/>
      <w:divBdr>
        <w:top w:val="none" w:sz="0" w:space="0" w:color="auto"/>
        <w:left w:val="none" w:sz="0" w:space="0" w:color="auto"/>
        <w:bottom w:val="none" w:sz="0" w:space="0" w:color="auto"/>
        <w:right w:val="none" w:sz="0" w:space="0" w:color="auto"/>
      </w:divBdr>
    </w:div>
    <w:div w:id="839197501">
      <w:bodyDiv w:val="1"/>
      <w:marLeft w:val="0"/>
      <w:marRight w:val="0"/>
      <w:marTop w:val="0"/>
      <w:marBottom w:val="0"/>
      <w:divBdr>
        <w:top w:val="none" w:sz="0" w:space="0" w:color="auto"/>
        <w:left w:val="none" w:sz="0" w:space="0" w:color="auto"/>
        <w:bottom w:val="none" w:sz="0" w:space="0" w:color="auto"/>
        <w:right w:val="none" w:sz="0" w:space="0" w:color="auto"/>
      </w:divBdr>
    </w:div>
    <w:div w:id="847446942">
      <w:bodyDiv w:val="1"/>
      <w:marLeft w:val="0"/>
      <w:marRight w:val="0"/>
      <w:marTop w:val="0"/>
      <w:marBottom w:val="0"/>
      <w:divBdr>
        <w:top w:val="none" w:sz="0" w:space="0" w:color="auto"/>
        <w:left w:val="none" w:sz="0" w:space="0" w:color="auto"/>
        <w:bottom w:val="none" w:sz="0" w:space="0" w:color="auto"/>
        <w:right w:val="none" w:sz="0" w:space="0" w:color="auto"/>
      </w:divBdr>
    </w:div>
    <w:div w:id="850752602">
      <w:bodyDiv w:val="1"/>
      <w:marLeft w:val="0"/>
      <w:marRight w:val="0"/>
      <w:marTop w:val="0"/>
      <w:marBottom w:val="0"/>
      <w:divBdr>
        <w:top w:val="none" w:sz="0" w:space="0" w:color="auto"/>
        <w:left w:val="none" w:sz="0" w:space="0" w:color="auto"/>
        <w:bottom w:val="none" w:sz="0" w:space="0" w:color="auto"/>
        <w:right w:val="none" w:sz="0" w:space="0" w:color="auto"/>
      </w:divBdr>
    </w:div>
    <w:div w:id="850873651">
      <w:bodyDiv w:val="1"/>
      <w:marLeft w:val="0"/>
      <w:marRight w:val="0"/>
      <w:marTop w:val="0"/>
      <w:marBottom w:val="0"/>
      <w:divBdr>
        <w:top w:val="none" w:sz="0" w:space="0" w:color="auto"/>
        <w:left w:val="none" w:sz="0" w:space="0" w:color="auto"/>
        <w:bottom w:val="none" w:sz="0" w:space="0" w:color="auto"/>
        <w:right w:val="none" w:sz="0" w:space="0" w:color="auto"/>
      </w:divBdr>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890045573">
      <w:bodyDiv w:val="1"/>
      <w:marLeft w:val="0"/>
      <w:marRight w:val="0"/>
      <w:marTop w:val="0"/>
      <w:marBottom w:val="0"/>
      <w:divBdr>
        <w:top w:val="none" w:sz="0" w:space="0" w:color="auto"/>
        <w:left w:val="none" w:sz="0" w:space="0" w:color="auto"/>
        <w:bottom w:val="none" w:sz="0" w:space="0" w:color="auto"/>
        <w:right w:val="none" w:sz="0" w:space="0" w:color="auto"/>
      </w:divBdr>
    </w:div>
    <w:div w:id="894394771">
      <w:bodyDiv w:val="1"/>
      <w:marLeft w:val="0"/>
      <w:marRight w:val="0"/>
      <w:marTop w:val="0"/>
      <w:marBottom w:val="0"/>
      <w:divBdr>
        <w:top w:val="none" w:sz="0" w:space="0" w:color="auto"/>
        <w:left w:val="none" w:sz="0" w:space="0" w:color="auto"/>
        <w:bottom w:val="none" w:sz="0" w:space="0" w:color="auto"/>
        <w:right w:val="none" w:sz="0" w:space="0" w:color="auto"/>
      </w:divBdr>
    </w:div>
    <w:div w:id="925113951">
      <w:bodyDiv w:val="1"/>
      <w:marLeft w:val="0"/>
      <w:marRight w:val="0"/>
      <w:marTop w:val="0"/>
      <w:marBottom w:val="0"/>
      <w:divBdr>
        <w:top w:val="none" w:sz="0" w:space="0" w:color="auto"/>
        <w:left w:val="none" w:sz="0" w:space="0" w:color="auto"/>
        <w:bottom w:val="none" w:sz="0" w:space="0" w:color="auto"/>
        <w:right w:val="none" w:sz="0" w:space="0" w:color="auto"/>
      </w:divBdr>
    </w:div>
    <w:div w:id="937103047">
      <w:bodyDiv w:val="1"/>
      <w:marLeft w:val="0"/>
      <w:marRight w:val="0"/>
      <w:marTop w:val="0"/>
      <w:marBottom w:val="0"/>
      <w:divBdr>
        <w:top w:val="none" w:sz="0" w:space="0" w:color="auto"/>
        <w:left w:val="none" w:sz="0" w:space="0" w:color="auto"/>
        <w:bottom w:val="none" w:sz="0" w:space="0" w:color="auto"/>
        <w:right w:val="none" w:sz="0" w:space="0" w:color="auto"/>
      </w:divBdr>
    </w:div>
    <w:div w:id="937373181">
      <w:bodyDiv w:val="1"/>
      <w:marLeft w:val="0"/>
      <w:marRight w:val="0"/>
      <w:marTop w:val="0"/>
      <w:marBottom w:val="0"/>
      <w:divBdr>
        <w:top w:val="none" w:sz="0" w:space="0" w:color="auto"/>
        <w:left w:val="none" w:sz="0" w:space="0" w:color="auto"/>
        <w:bottom w:val="none" w:sz="0" w:space="0" w:color="auto"/>
        <w:right w:val="none" w:sz="0" w:space="0" w:color="auto"/>
      </w:divBdr>
    </w:div>
    <w:div w:id="950697944">
      <w:bodyDiv w:val="1"/>
      <w:marLeft w:val="0"/>
      <w:marRight w:val="0"/>
      <w:marTop w:val="0"/>
      <w:marBottom w:val="0"/>
      <w:divBdr>
        <w:top w:val="none" w:sz="0" w:space="0" w:color="auto"/>
        <w:left w:val="none" w:sz="0" w:space="0" w:color="auto"/>
        <w:bottom w:val="none" w:sz="0" w:space="0" w:color="auto"/>
        <w:right w:val="none" w:sz="0" w:space="0" w:color="auto"/>
      </w:divBdr>
    </w:div>
    <w:div w:id="957762173">
      <w:bodyDiv w:val="1"/>
      <w:marLeft w:val="0"/>
      <w:marRight w:val="0"/>
      <w:marTop w:val="0"/>
      <w:marBottom w:val="0"/>
      <w:divBdr>
        <w:top w:val="none" w:sz="0" w:space="0" w:color="auto"/>
        <w:left w:val="none" w:sz="0" w:space="0" w:color="auto"/>
        <w:bottom w:val="none" w:sz="0" w:space="0" w:color="auto"/>
        <w:right w:val="none" w:sz="0" w:space="0" w:color="auto"/>
      </w:divBdr>
    </w:div>
    <w:div w:id="974070022">
      <w:bodyDiv w:val="1"/>
      <w:marLeft w:val="0"/>
      <w:marRight w:val="0"/>
      <w:marTop w:val="0"/>
      <w:marBottom w:val="0"/>
      <w:divBdr>
        <w:top w:val="none" w:sz="0" w:space="0" w:color="auto"/>
        <w:left w:val="none" w:sz="0" w:space="0" w:color="auto"/>
        <w:bottom w:val="none" w:sz="0" w:space="0" w:color="auto"/>
        <w:right w:val="none" w:sz="0" w:space="0" w:color="auto"/>
      </w:divBdr>
    </w:div>
    <w:div w:id="992107052">
      <w:bodyDiv w:val="1"/>
      <w:marLeft w:val="0"/>
      <w:marRight w:val="0"/>
      <w:marTop w:val="0"/>
      <w:marBottom w:val="0"/>
      <w:divBdr>
        <w:top w:val="none" w:sz="0" w:space="0" w:color="auto"/>
        <w:left w:val="none" w:sz="0" w:space="0" w:color="auto"/>
        <w:bottom w:val="none" w:sz="0" w:space="0" w:color="auto"/>
        <w:right w:val="none" w:sz="0" w:space="0" w:color="auto"/>
      </w:divBdr>
    </w:div>
    <w:div w:id="1014376685">
      <w:bodyDiv w:val="1"/>
      <w:marLeft w:val="0"/>
      <w:marRight w:val="0"/>
      <w:marTop w:val="0"/>
      <w:marBottom w:val="0"/>
      <w:divBdr>
        <w:top w:val="none" w:sz="0" w:space="0" w:color="auto"/>
        <w:left w:val="none" w:sz="0" w:space="0" w:color="auto"/>
        <w:bottom w:val="none" w:sz="0" w:space="0" w:color="auto"/>
        <w:right w:val="none" w:sz="0" w:space="0" w:color="auto"/>
      </w:divBdr>
    </w:div>
    <w:div w:id="1056709038">
      <w:bodyDiv w:val="1"/>
      <w:marLeft w:val="0"/>
      <w:marRight w:val="0"/>
      <w:marTop w:val="0"/>
      <w:marBottom w:val="0"/>
      <w:divBdr>
        <w:top w:val="none" w:sz="0" w:space="0" w:color="auto"/>
        <w:left w:val="none" w:sz="0" w:space="0" w:color="auto"/>
        <w:bottom w:val="none" w:sz="0" w:space="0" w:color="auto"/>
        <w:right w:val="none" w:sz="0" w:space="0" w:color="auto"/>
      </w:divBdr>
    </w:div>
    <w:div w:id="1058867588">
      <w:bodyDiv w:val="1"/>
      <w:marLeft w:val="0"/>
      <w:marRight w:val="0"/>
      <w:marTop w:val="0"/>
      <w:marBottom w:val="0"/>
      <w:divBdr>
        <w:top w:val="none" w:sz="0" w:space="0" w:color="auto"/>
        <w:left w:val="none" w:sz="0" w:space="0" w:color="auto"/>
        <w:bottom w:val="none" w:sz="0" w:space="0" w:color="auto"/>
        <w:right w:val="none" w:sz="0" w:space="0" w:color="auto"/>
      </w:divBdr>
    </w:div>
    <w:div w:id="1066532988">
      <w:bodyDiv w:val="1"/>
      <w:marLeft w:val="0"/>
      <w:marRight w:val="0"/>
      <w:marTop w:val="0"/>
      <w:marBottom w:val="0"/>
      <w:divBdr>
        <w:top w:val="none" w:sz="0" w:space="0" w:color="auto"/>
        <w:left w:val="none" w:sz="0" w:space="0" w:color="auto"/>
        <w:bottom w:val="none" w:sz="0" w:space="0" w:color="auto"/>
        <w:right w:val="none" w:sz="0" w:space="0" w:color="auto"/>
      </w:divBdr>
      <w:divsChild>
        <w:div w:id="1829855818">
          <w:marLeft w:val="1440"/>
          <w:marRight w:val="0"/>
          <w:marTop w:val="800"/>
          <w:marBottom w:val="0"/>
          <w:divBdr>
            <w:top w:val="none" w:sz="0" w:space="0" w:color="auto"/>
            <w:left w:val="none" w:sz="0" w:space="0" w:color="auto"/>
            <w:bottom w:val="none" w:sz="0" w:space="0" w:color="auto"/>
            <w:right w:val="none" w:sz="0" w:space="0" w:color="auto"/>
          </w:divBdr>
        </w:div>
        <w:div w:id="475728798">
          <w:marLeft w:val="1440"/>
          <w:marRight w:val="0"/>
          <w:marTop w:val="800"/>
          <w:marBottom w:val="0"/>
          <w:divBdr>
            <w:top w:val="none" w:sz="0" w:space="0" w:color="auto"/>
            <w:left w:val="none" w:sz="0" w:space="0" w:color="auto"/>
            <w:bottom w:val="none" w:sz="0" w:space="0" w:color="auto"/>
            <w:right w:val="none" w:sz="0" w:space="0" w:color="auto"/>
          </w:divBdr>
        </w:div>
        <w:div w:id="1850751073">
          <w:marLeft w:val="1440"/>
          <w:marRight w:val="0"/>
          <w:marTop w:val="800"/>
          <w:marBottom w:val="0"/>
          <w:divBdr>
            <w:top w:val="none" w:sz="0" w:space="0" w:color="auto"/>
            <w:left w:val="none" w:sz="0" w:space="0" w:color="auto"/>
            <w:bottom w:val="none" w:sz="0" w:space="0" w:color="auto"/>
            <w:right w:val="none" w:sz="0" w:space="0" w:color="auto"/>
          </w:divBdr>
        </w:div>
        <w:div w:id="1903758453">
          <w:marLeft w:val="1440"/>
          <w:marRight w:val="0"/>
          <w:marTop w:val="800"/>
          <w:marBottom w:val="0"/>
          <w:divBdr>
            <w:top w:val="none" w:sz="0" w:space="0" w:color="auto"/>
            <w:left w:val="none" w:sz="0" w:space="0" w:color="auto"/>
            <w:bottom w:val="none" w:sz="0" w:space="0" w:color="auto"/>
            <w:right w:val="none" w:sz="0" w:space="0" w:color="auto"/>
          </w:divBdr>
        </w:div>
        <w:div w:id="244345801">
          <w:marLeft w:val="1440"/>
          <w:marRight w:val="0"/>
          <w:marTop w:val="800"/>
          <w:marBottom w:val="0"/>
          <w:divBdr>
            <w:top w:val="none" w:sz="0" w:space="0" w:color="auto"/>
            <w:left w:val="none" w:sz="0" w:space="0" w:color="auto"/>
            <w:bottom w:val="none" w:sz="0" w:space="0" w:color="auto"/>
            <w:right w:val="none" w:sz="0" w:space="0" w:color="auto"/>
          </w:divBdr>
        </w:div>
        <w:div w:id="1859076106">
          <w:marLeft w:val="1440"/>
          <w:marRight w:val="0"/>
          <w:marTop w:val="800"/>
          <w:marBottom w:val="0"/>
          <w:divBdr>
            <w:top w:val="none" w:sz="0" w:space="0" w:color="auto"/>
            <w:left w:val="none" w:sz="0" w:space="0" w:color="auto"/>
            <w:bottom w:val="none" w:sz="0" w:space="0" w:color="auto"/>
            <w:right w:val="none" w:sz="0" w:space="0" w:color="auto"/>
          </w:divBdr>
        </w:div>
        <w:div w:id="1174370256">
          <w:marLeft w:val="1440"/>
          <w:marRight w:val="0"/>
          <w:marTop w:val="800"/>
          <w:marBottom w:val="0"/>
          <w:divBdr>
            <w:top w:val="none" w:sz="0" w:space="0" w:color="auto"/>
            <w:left w:val="none" w:sz="0" w:space="0" w:color="auto"/>
            <w:bottom w:val="none" w:sz="0" w:space="0" w:color="auto"/>
            <w:right w:val="none" w:sz="0" w:space="0" w:color="auto"/>
          </w:divBdr>
        </w:div>
        <w:div w:id="1753090410">
          <w:marLeft w:val="1440"/>
          <w:marRight w:val="0"/>
          <w:marTop w:val="800"/>
          <w:marBottom w:val="0"/>
          <w:divBdr>
            <w:top w:val="none" w:sz="0" w:space="0" w:color="auto"/>
            <w:left w:val="none" w:sz="0" w:space="0" w:color="auto"/>
            <w:bottom w:val="none" w:sz="0" w:space="0" w:color="auto"/>
            <w:right w:val="none" w:sz="0" w:space="0" w:color="auto"/>
          </w:divBdr>
        </w:div>
      </w:divsChild>
    </w:div>
    <w:div w:id="1070737634">
      <w:bodyDiv w:val="1"/>
      <w:marLeft w:val="0"/>
      <w:marRight w:val="0"/>
      <w:marTop w:val="0"/>
      <w:marBottom w:val="0"/>
      <w:divBdr>
        <w:top w:val="none" w:sz="0" w:space="0" w:color="auto"/>
        <w:left w:val="none" w:sz="0" w:space="0" w:color="auto"/>
        <w:bottom w:val="none" w:sz="0" w:space="0" w:color="auto"/>
        <w:right w:val="none" w:sz="0" w:space="0" w:color="auto"/>
      </w:divBdr>
    </w:div>
    <w:div w:id="1093864591">
      <w:bodyDiv w:val="1"/>
      <w:marLeft w:val="0"/>
      <w:marRight w:val="0"/>
      <w:marTop w:val="0"/>
      <w:marBottom w:val="0"/>
      <w:divBdr>
        <w:top w:val="none" w:sz="0" w:space="0" w:color="auto"/>
        <w:left w:val="none" w:sz="0" w:space="0" w:color="auto"/>
        <w:bottom w:val="none" w:sz="0" w:space="0" w:color="auto"/>
        <w:right w:val="none" w:sz="0" w:space="0" w:color="auto"/>
      </w:divBdr>
    </w:div>
    <w:div w:id="1126196036">
      <w:bodyDiv w:val="1"/>
      <w:marLeft w:val="0"/>
      <w:marRight w:val="0"/>
      <w:marTop w:val="0"/>
      <w:marBottom w:val="0"/>
      <w:divBdr>
        <w:top w:val="none" w:sz="0" w:space="0" w:color="auto"/>
        <w:left w:val="none" w:sz="0" w:space="0" w:color="auto"/>
        <w:bottom w:val="none" w:sz="0" w:space="0" w:color="auto"/>
        <w:right w:val="none" w:sz="0" w:space="0" w:color="auto"/>
      </w:divBdr>
    </w:div>
    <w:div w:id="1126854705">
      <w:bodyDiv w:val="1"/>
      <w:marLeft w:val="0"/>
      <w:marRight w:val="0"/>
      <w:marTop w:val="0"/>
      <w:marBottom w:val="0"/>
      <w:divBdr>
        <w:top w:val="none" w:sz="0" w:space="0" w:color="auto"/>
        <w:left w:val="none" w:sz="0" w:space="0" w:color="auto"/>
        <w:bottom w:val="none" w:sz="0" w:space="0" w:color="auto"/>
        <w:right w:val="none" w:sz="0" w:space="0" w:color="auto"/>
      </w:divBdr>
      <w:divsChild>
        <w:div w:id="1799104010">
          <w:marLeft w:val="0"/>
          <w:marRight w:val="0"/>
          <w:marTop w:val="0"/>
          <w:marBottom w:val="0"/>
          <w:divBdr>
            <w:top w:val="none" w:sz="0" w:space="0" w:color="auto"/>
            <w:left w:val="none" w:sz="0" w:space="0" w:color="auto"/>
            <w:bottom w:val="none" w:sz="0" w:space="0" w:color="auto"/>
            <w:right w:val="none" w:sz="0" w:space="0" w:color="auto"/>
          </w:divBdr>
        </w:div>
        <w:div w:id="1684552436">
          <w:marLeft w:val="0"/>
          <w:marRight w:val="0"/>
          <w:marTop w:val="0"/>
          <w:marBottom w:val="0"/>
          <w:divBdr>
            <w:top w:val="none" w:sz="0" w:space="0" w:color="auto"/>
            <w:left w:val="none" w:sz="0" w:space="0" w:color="auto"/>
            <w:bottom w:val="dotted" w:sz="6" w:space="23" w:color="777777"/>
            <w:right w:val="none" w:sz="0" w:space="0" w:color="auto"/>
          </w:divBdr>
        </w:div>
      </w:divsChild>
    </w:div>
    <w:div w:id="1131050994">
      <w:bodyDiv w:val="1"/>
      <w:marLeft w:val="0"/>
      <w:marRight w:val="0"/>
      <w:marTop w:val="0"/>
      <w:marBottom w:val="0"/>
      <w:divBdr>
        <w:top w:val="none" w:sz="0" w:space="0" w:color="auto"/>
        <w:left w:val="none" w:sz="0" w:space="0" w:color="auto"/>
        <w:bottom w:val="none" w:sz="0" w:space="0" w:color="auto"/>
        <w:right w:val="none" w:sz="0" w:space="0" w:color="auto"/>
      </w:divBdr>
    </w:div>
    <w:div w:id="1160194987">
      <w:bodyDiv w:val="1"/>
      <w:marLeft w:val="0"/>
      <w:marRight w:val="0"/>
      <w:marTop w:val="0"/>
      <w:marBottom w:val="0"/>
      <w:divBdr>
        <w:top w:val="none" w:sz="0" w:space="0" w:color="auto"/>
        <w:left w:val="none" w:sz="0" w:space="0" w:color="auto"/>
        <w:bottom w:val="none" w:sz="0" w:space="0" w:color="auto"/>
        <w:right w:val="none" w:sz="0" w:space="0" w:color="auto"/>
      </w:divBdr>
    </w:div>
    <w:div w:id="1163548830">
      <w:bodyDiv w:val="1"/>
      <w:marLeft w:val="0"/>
      <w:marRight w:val="0"/>
      <w:marTop w:val="0"/>
      <w:marBottom w:val="0"/>
      <w:divBdr>
        <w:top w:val="none" w:sz="0" w:space="0" w:color="auto"/>
        <w:left w:val="none" w:sz="0" w:space="0" w:color="auto"/>
        <w:bottom w:val="none" w:sz="0" w:space="0" w:color="auto"/>
        <w:right w:val="none" w:sz="0" w:space="0" w:color="auto"/>
      </w:divBdr>
    </w:div>
    <w:div w:id="1166551683">
      <w:bodyDiv w:val="1"/>
      <w:marLeft w:val="0"/>
      <w:marRight w:val="0"/>
      <w:marTop w:val="0"/>
      <w:marBottom w:val="0"/>
      <w:divBdr>
        <w:top w:val="none" w:sz="0" w:space="0" w:color="auto"/>
        <w:left w:val="none" w:sz="0" w:space="0" w:color="auto"/>
        <w:bottom w:val="none" w:sz="0" w:space="0" w:color="auto"/>
        <w:right w:val="none" w:sz="0" w:space="0" w:color="auto"/>
      </w:divBdr>
    </w:div>
    <w:div w:id="1179395740">
      <w:bodyDiv w:val="1"/>
      <w:marLeft w:val="0"/>
      <w:marRight w:val="0"/>
      <w:marTop w:val="0"/>
      <w:marBottom w:val="0"/>
      <w:divBdr>
        <w:top w:val="none" w:sz="0" w:space="0" w:color="auto"/>
        <w:left w:val="none" w:sz="0" w:space="0" w:color="auto"/>
        <w:bottom w:val="none" w:sz="0" w:space="0" w:color="auto"/>
        <w:right w:val="none" w:sz="0" w:space="0" w:color="auto"/>
      </w:divBdr>
    </w:div>
    <w:div w:id="1200319264">
      <w:bodyDiv w:val="1"/>
      <w:marLeft w:val="0"/>
      <w:marRight w:val="0"/>
      <w:marTop w:val="0"/>
      <w:marBottom w:val="0"/>
      <w:divBdr>
        <w:top w:val="none" w:sz="0" w:space="0" w:color="auto"/>
        <w:left w:val="none" w:sz="0" w:space="0" w:color="auto"/>
        <w:bottom w:val="none" w:sz="0" w:space="0" w:color="auto"/>
        <w:right w:val="none" w:sz="0" w:space="0" w:color="auto"/>
      </w:divBdr>
    </w:div>
    <w:div w:id="1214731602">
      <w:bodyDiv w:val="1"/>
      <w:marLeft w:val="0"/>
      <w:marRight w:val="0"/>
      <w:marTop w:val="0"/>
      <w:marBottom w:val="0"/>
      <w:divBdr>
        <w:top w:val="none" w:sz="0" w:space="0" w:color="auto"/>
        <w:left w:val="none" w:sz="0" w:space="0" w:color="auto"/>
        <w:bottom w:val="none" w:sz="0" w:space="0" w:color="auto"/>
        <w:right w:val="none" w:sz="0" w:space="0" w:color="auto"/>
      </w:divBdr>
    </w:div>
    <w:div w:id="1234050459">
      <w:bodyDiv w:val="1"/>
      <w:marLeft w:val="0"/>
      <w:marRight w:val="0"/>
      <w:marTop w:val="0"/>
      <w:marBottom w:val="0"/>
      <w:divBdr>
        <w:top w:val="none" w:sz="0" w:space="0" w:color="auto"/>
        <w:left w:val="none" w:sz="0" w:space="0" w:color="auto"/>
        <w:bottom w:val="none" w:sz="0" w:space="0" w:color="auto"/>
        <w:right w:val="none" w:sz="0" w:space="0" w:color="auto"/>
      </w:divBdr>
    </w:div>
    <w:div w:id="1237399171">
      <w:bodyDiv w:val="1"/>
      <w:marLeft w:val="0"/>
      <w:marRight w:val="0"/>
      <w:marTop w:val="0"/>
      <w:marBottom w:val="0"/>
      <w:divBdr>
        <w:top w:val="none" w:sz="0" w:space="0" w:color="auto"/>
        <w:left w:val="none" w:sz="0" w:space="0" w:color="auto"/>
        <w:bottom w:val="none" w:sz="0" w:space="0" w:color="auto"/>
        <w:right w:val="none" w:sz="0" w:space="0" w:color="auto"/>
      </w:divBdr>
    </w:div>
    <w:div w:id="1238898017">
      <w:bodyDiv w:val="1"/>
      <w:marLeft w:val="0"/>
      <w:marRight w:val="0"/>
      <w:marTop w:val="0"/>
      <w:marBottom w:val="0"/>
      <w:divBdr>
        <w:top w:val="none" w:sz="0" w:space="0" w:color="auto"/>
        <w:left w:val="none" w:sz="0" w:space="0" w:color="auto"/>
        <w:bottom w:val="none" w:sz="0" w:space="0" w:color="auto"/>
        <w:right w:val="none" w:sz="0" w:space="0" w:color="auto"/>
      </w:divBdr>
    </w:div>
    <w:div w:id="1257057292">
      <w:bodyDiv w:val="1"/>
      <w:marLeft w:val="0"/>
      <w:marRight w:val="0"/>
      <w:marTop w:val="0"/>
      <w:marBottom w:val="0"/>
      <w:divBdr>
        <w:top w:val="none" w:sz="0" w:space="0" w:color="auto"/>
        <w:left w:val="none" w:sz="0" w:space="0" w:color="auto"/>
        <w:bottom w:val="none" w:sz="0" w:space="0" w:color="auto"/>
        <w:right w:val="none" w:sz="0" w:space="0" w:color="auto"/>
      </w:divBdr>
    </w:div>
    <w:div w:id="1275089073">
      <w:bodyDiv w:val="1"/>
      <w:marLeft w:val="0"/>
      <w:marRight w:val="0"/>
      <w:marTop w:val="0"/>
      <w:marBottom w:val="0"/>
      <w:divBdr>
        <w:top w:val="none" w:sz="0" w:space="0" w:color="auto"/>
        <w:left w:val="none" w:sz="0" w:space="0" w:color="auto"/>
        <w:bottom w:val="none" w:sz="0" w:space="0" w:color="auto"/>
        <w:right w:val="none" w:sz="0" w:space="0" w:color="auto"/>
      </w:divBdr>
    </w:div>
    <w:div w:id="1342126176">
      <w:bodyDiv w:val="1"/>
      <w:marLeft w:val="0"/>
      <w:marRight w:val="0"/>
      <w:marTop w:val="0"/>
      <w:marBottom w:val="0"/>
      <w:divBdr>
        <w:top w:val="none" w:sz="0" w:space="0" w:color="auto"/>
        <w:left w:val="none" w:sz="0" w:space="0" w:color="auto"/>
        <w:bottom w:val="none" w:sz="0" w:space="0" w:color="auto"/>
        <w:right w:val="none" w:sz="0" w:space="0" w:color="auto"/>
      </w:divBdr>
    </w:div>
    <w:div w:id="1429689881">
      <w:bodyDiv w:val="1"/>
      <w:marLeft w:val="0"/>
      <w:marRight w:val="0"/>
      <w:marTop w:val="0"/>
      <w:marBottom w:val="0"/>
      <w:divBdr>
        <w:top w:val="none" w:sz="0" w:space="0" w:color="auto"/>
        <w:left w:val="none" w:sz="0" w:space="0" w:color="auto"/>
        <w:bottom w:val="none" w:sz="0" w:space="0" w:color="auto"/>
        <w:right w:val="none" w:sz="0" w:space="0" w:color="auto"/>
      </w:divBdr>
    </w:div>
    <w:div w:id="1433011949">
      <w:bodyDiv w:val="1"/>
      <w:marLeft w:val="0"/>
      <w:marRight w:val="0"/>
      <w:marTop w:val="0"/>
      <w:marBottom w:val="0"/>
      <w:divBdr>
        <w:top w:val="none" w:sz="0" w:space="0" w:color="auto"/>
        <w:left w:val="none" w:sz="0" w:space="0" w:color="auto"/>
        <w:bottom w:val="none" w:sz="0" w:space="0" w:color="auto"/>
        <w:right w:val="none" w:sz="0" w:space="0" w:color="auto"/>
      </w:divBdr>
    </w:div>
    <w:div w:id="1451313934">
      <w:bodyDiv w:val="1"/>
      <w:marLeft w:val="0"/>
      <w:marRight w:val="0"/>
      <w:marTop w:val="0"/>
      <w:marBottom w:val="0"/>
      <w:divBdr>
        <w:top w:val="none" w:sz="0" w:space="0" w:color="auto"/>
        <w:left w:val="none" w:sz="0" w:space="0" w:color="auto"/>
        <w:bottom w:val="none" w:sz="0" w:space="0" w:color="auto"/>
        <w:right w:val="none" w:sz="0" w:space="0" w:color="auto"/>
      </w:divBdr>
    </w:div>
    <w:div w:id="1474374678">
      <w:bodyDiv w:val="1"/>
      <w:marLeft w:val="0"/>
      <w:marRight w:val="0"/>
      <w:marTop w:val="0"/>
      <w:marBottom w:val="0"/>
      <w:divBdr>
        <w:top w:val="none" w:sz="0" w:space="0" w:color="auto"/>
        <w:left w:val="none" w:sz="0" w:space="0" w:color="auto"/>
        <w:bottom w:val="none" w:sz="0" w:space="0" w:color="auto"/>
        <w:right w:val="none" w:sz="0" w:space="0" w:color="auto"/>
      </w:divBdr>
    </w:div>
    <w:div w:id="1481457912">
      <w:bodyDiv w:val="1"/>
      <w:marLeft w:val="0"/>
      <w:marRight w:val="0"/>
      <w:marTop w:val="0"/>
      <w:marBottom w:val="0"/>
      <w:divBdr>
        <w:top w:val="none" w:sz="0" w:space="0" w:color="auto"/>
        <w:left w:val="none" w:sz="0" w:space="0" w:color="auto"/>
        <w:bottom w:val="none" w:sz="0" w:space="0" w:color="auto"/>
        <w:right w:val="none" w:sz="0" w:space="0" w:color="auto"/>
      </w:divBdr>
    </w:div>
    <w:div w:id="1540824619">
      <w:bodyDiv w:val="1"/>
      <w:marLeft w:val="0"/>
      <w:marRight w:val="0"/>
      <w:marTop w:val="0"/>
      <w:marBottom w:val="0"/>
      <w:divBdr>
        <w:top w:val="none" w:sz="0" w:space="0" w:color="auto"/>
        <w:left w:val="none" w:sz="0" w:space="0" w:color="auto"/>
        <w:bottom w:val="none" w:sz="0" w:space="0" w:color="auto"/>
        <w:right w:val="none" w:sz="0" w:space="0" w:color="auto"/>
      </w:divBdr>
    </w:div>
    <w:div w:id="1543322873">
      <w:bodyDiv w:val="1"/>
      <w:marLeft w:val="0"/>
      <w:marRight w:val="0"/>
      <w:marTop w:val="0"/>
      <w:marBottom w:val="0"/>
      <w:divBdr>
        <w:top w:val="none" w:sz="0" w:space="0" w:color="auto"/>
        <w:left w:val="none" w:sz="0" w:space="0" w:color="auto"/>
        <w:bottom w:val="none" w:sz="0" w:space="0" w:color="auto"/>
        <w:right w:val="none" w:sz="0" w:space="0" w:color="auto"/>
      </w:divBdr>
    </w:div>
    <w:div w:id="1554584048">
      <w:bodyDiv w:val="1"/>
      <w:marLeft w:val="0"/>
      <w:marRight w:val="0"/>
      <w:marTop w:val="0"/>
      <w:marBottom w:val="0"/>
      <w:divBdr>
        <w:top w:val="none" w:sz="0" w:space="0" w:color="auto"/>
        <w:left w:val="none" w:sz="0" w:space="0" w:color="auto"/>
        <w:bottom w:val="none" w:sz="0" w:space="0" w:color="auto"/>
        <w:right w:val="none" w:sz="0" w:space="0" w:color="auto"/>
      </w:divBdr>
    </w:div>
    <w:div w:id="1574780327">
      <w:bodyDiv w:val="1"/>
      <w:marLeft w:val="0"/>
      <w:marRight w:val="0"/>
      <w:marTop w:val="0"/>
      <w:marBottom w:val="0"/>
      <w:divBdr>
        <w:top w:val="none" w:sz="0" w:space="0" w:color="auto"/>
        <w:left w:val="none" w:sz="0" w:space="0" w:color="auto"/>
        <w:bottom w:val="none" w:sz="0" w:space="0" w:color="auto"/>
        <w:right w:val="none" w:sz="0" w:space="0" w:color="auto"/>
      </w:divBdr>
    </w:div>
    <w:div w:id="1584144551">
      <w:bodyDiv w:val="1"/>
      <w:marLeft w:val="0"/>
      <w:marRight w:val="0"/>
      <w:marTop w:val="0"/>
      <w:marBottom w:val="0"/>
      <w:divBdr>
        <w:top w:val="none" w:sz="0" w:space="0" w:color="auto"/>
        <w:left w:val="none" w:sz="0" w:space="0" w:color="auto"/>
        <w:bottom w:val="none" w:sz="0" w:space="0" w:color="auto"/>
        <w:right w:val="none" w:sz="0" w:space="0" w:color="auto"/>
      </w:divBdr>
    </w:div>
    <w:div w:id="1621573453">
      <w:bodyDiv w:val="1"/>
      <w:marLeft w:val="0"/>
      <w:marRight w:val="0"/>
      <w:marTop w:val="0"/>
      <w:marBottom w:val="0"/>
      <w:divBdr>
        <w:top w:val="none" w:sz="0" w:space="0" w:color="auto"/>
        <w:left w:val="none" w:sz="0" w:space="0" w:color="auto"/>
        <w:bottom w:val="none" w:sz="0" w:space="0" w:color="auto"/>
        <w:right w:val="none" w:sz="0" w:space="0" w:color="auto"/>
      </w:divBdr>
    </w:div>
    <w:div w:id="1657805319">
      <w:bodyDiv w:val="1"/>
      <w:marLeft w:val="0"/>
      <w:marRight w:val="0"/>
      <w:marTop w:val="0"/>
      <w:marBottom w:val="0"/>
      <w:divBdr>
        <w:top w:val="none" w:sz="0" w:space="0" w:color="auto"/>
        <w:left w:val="none" w:sz="0" w:space="0" w:color="auto"/>
        <w:bottom w:val="none" w:sz="0" w:space="0" w:color="auto"/>
        <w:right w:val="none" w:sz="0" w:space="0" w:color="auto"/>
      </w:divBdr>
    </w:div>
    <w:div w:id="1663853777">
      <w:bodyDiv w:val="1"/>
      <w:marLeft w:val="0"/>
      <w:marRight w:val="0"/>
      <w:marTop w:val="0"/>
      <w:marBottom w:val="0"/>
      <w:divBdr>
        <w:top w:val="none" w:sz="0" w:space="0" w:color="auto"/>
        <w:left w:val="none" w:sz="0" w:space="0" w:color="auto"/>
        <w:bottom w:val="none" w:sz="0" w:space="0" w:color="auto"/>
        <w:right w:val="none" w:sz="0" w:space="0" w:color="auto"/>
      </w:divBdr>
    </w:div>
    <w:div w:id="1681422357">
      <w:bodyDiv w:val="1"/>
      <w:marLeft w:val="0"/>
      <w:marRight w:val="0"/>
      <w:marTop w:val="0"/>
      <w:marBottom w:val="0"/>
      <w:divBdr>
        <w:top w:val="none" w:sz="0" w:space="0" w:color="auto"/>
        <w:left w:val="none" w:sz="0" w:space="0" w:color="auto"/>
        <w:bottom w:val="none" w:sz="0" w:space="0" w:color="auto"/>
        <w:right w:val="none" w:sz="0" w:space="0" w:color="auto"/>
      </w:divBdr>
    </w:div>
    <w:div w:id="1683117841">
      <w:bodyDiv w:val="1"/>
      <w:marLeft w:val="0"/>
      <w:marRight w:val="0"/>
      <w:marTop w:val="0"/>
      <w:marBottom w:val="0"/>
      <w:divBdr>
        <w:top w:val="none" w:sz="0" w:space="0" w:color="auto"/>
        <w:left w:val="none" w:sz="0" w:space="0" w:color="auto"/>
        <w:bottom w:val="none" w:sz="0" w:space="0" w:color="auto"/>
        <w:right w:val="none" w:sz="0" w:space="0" w:color="auto"/>
      </w:divBdr>
      <w:divsChild>
        <w:div w:id="1518932591">
          <w:marLeft w:val="1440"/>
          <w:marRight w:val="0"/>
          <w:marTop w:val="800"/>
          <w:marBottom w:val="0"/>
          <w:divBdr>
            <w:top w:val="none" w:sz="0" w:space="0" w:color="auto"/>
            <w:left w:val="none" w:sz="0" w:space="0" w:color="auto"/>
            <w:bottom w:val="none" w:sz="0" w:space="0" w:color="auto"/>
            <w:right w:val="none" w:sz="0" w:space="0" w:color="auto"/>
          </w:divBdr>
        </w:div>
        <w:div w:id="1406800703">
          <w:marLeft w:val="1440"/>
          <w:marRight w:val="0"/>
          <w:marTop w:val="800"/>
          <w:marBottom w:val="0"/>
          <w:divBdr>
            <w:top w:val="none" w:sz="0" w:space="0" w:color="auto"/>
            <w:left w:val="none" w:sz="0" w:space="0" w:color="auto"/>
            <w:bottom w:val="none" w:sz="0" w:space="0" w:color="auto"/>
            <w:right w:val="none" w:sz="0" w:space="0" w:color="auto"/>
          </w:divBdr>
        </w:div>
      </w:divsChild>
    </w:div>
    <w:div w:id="1698922188">
      <w:bodyDiv w:val="1"/>
      <w:marLeft w:val="0"/>
      <w:marRight w:val="0"/>
      <w:marTop w:val="0"/>
      <w:marBottom w:val="0"/>
      <w:divBdr>
        <w:top w:val="none" w:sz="0" w:space="0" w:color="auto"/>
        <w:left w:val="none" w:sz="0" w:space="0" w:color="auto"/>
        <w:bottom w:val="none" w:sz="0" w:space="0" w:color="auto"/>
        <w:right w:val="none" w:sz="0" w:space="0" w:color="auto"/>
      </w:divBdr>
    </w:div>
    <w:div w:id="1722511424">
      <w:bodyDiv w:val="1"/>
      <w:marLeft w:val="0"/>
      <w:marRight w:val="0"/>
      <w:marTop w:val="0"/>
      <w:marBottom w:val="0"/>
      <w:divBdr>
        <w:top w:val="none" w:sz="0" w:space="0" w:color="auto"/>
        <w:left w:val="none" w:sz="0" w:space="0" w:color="auto"/>
        <w:bottom w:val="none" w:sz="0" w:space="0" w:color="auto"/>
        <w:right w:val="none" w:sz="0" w:space="0" w:color="auto"/>
      </w:divBdr>
    </w:div>
    <w:div w:id="1743485983">
      <w:bodyDiv w:val="1"/>
      <w:marLeft w:val="0"/>
      <w:marRight w:val="0"/>
      <w:marTop w:val="0"/>
      <w:marBottom w:val="0"/>
      <w:divBdr>
        <w:top w:val="none" w:sz="0" w:space="0" w:color="auto"/>
        <w:left w:val="none" w:sz="0" w:space="0" w:color="auto"/>
        <w:bottom w:val="none" w:sz="0" w:space="0" w:color="auto"/>
        <w:right w:val="none" w:sz="0" w:space="0" w:color="auto"/>
      </w:divBdr>
    </w:div>
    <w:div w:id="1802964551">
      <w:bodyDiv w:val="1"/>
      <w:marLeft w:val="0"/>
      <w:marRight w:val="0"/>
      <w:marTop w:val="0"/>
      <w:marBottom w:val="0"/>
      <w:divBdr>
        <w:top w:val="none" w:sz="0" w:space="0" w:color="auto"/>
        <w:left w:val="none" w:sz="0" w:space="0" w:color="auto"/>
        <w:bottom w:val="none" w:sz="0" w:space="0" w:color="auto"/>
        <w:right w:val="none" w:sz="0" w:space="0" w:color="auto"/>
      </w:divBdr>
    </w:div>
    <w:div w:id="1832258022">
      <w:bodyDiv w:val="1"/>
      <w:marLeft w:val="0"/>
      <w:marRight w:val="0"/>
      <w:marTop w:val="0"/>
      <w:marBottom w:val="0"/>
      <w:divBdr>
        <w:top w:val="none" w:sz="0" w:space="0" w:color="auto"/>
        <w:left w:val="none" w:sz="0" w:space="0" w:color="auto"/>
        <w:bottom w:val="none" w:sz="0" w:space="0" w:color="auto"/>
        <w:right w:val="none" w:sz="0" w:space="0" w:color="auto"/>
      </w:divBdr>
    </w:div>
    <w:div w:id="1839542396">
      <w:bodyDiv w:val="1"/>
      <w:marLeft w:val="0"/>
      <w:marRight w:val="0"/>
      <w:marTop w:val="0"/>
      <w:marBottom w:val="0"/>
      <w:divBdr>
        <w:top w:val="none" w:sz="0" w:space="0" w:color="auto"/>
        <w:left w:val="none" w:sz="0" w:space="0" w:color="auto"/>
        <w:bottom w:val="none" w:sz="0" w:space="0" w:color="auto"/>
        <w:right w:val="none" w:sz="0" w:space="0" w:color="auto"/>
      </w:divBdr>
    </w:div>
    <w:div w:id="1843007192">
      <w:bodyDiv w:val="1"/>
      <w:marLeft w:val="0"/>
      <w:marRight w:val="0"/>
      <w:marTop w:val="0"/>
      <w:marBottom w:val="0"/>
      <w:divBdr>
        <w:top w:val="none" w:sz="0" w:space="0" w:color="auto"/>
        <w:left w:val="none" w:sz="0" w:space="0" w:color="auto"/>
        <w:bottom w:val="none" w:sz="0" w:space="0" w:color="auto"/>
        <w:right w:val="none" w:sz="0" w:space="0" w:color="auto"/>
      </w:divBdr>
    </w:div>
    <w:div w:id="1859199525">
      <w:bodyDiv w:val="1"/>
      <w:marLeft w:val="0"/>
      <w:marRight w:val="0"/>
      <w:marTop w:val="0"/>
      <w:marBottom w:val="0"/>
      <w:divBdr>
        <w:top w:val="none" w:sz="0" w:space="0" w:color="auto"/>
        <w:left w:val="none" w:sz="0" w:space="0" w:color="auto"/>
        <w:bottom w:val="none" w:sz="0" w:space="0" w:color="auto"/>
        <w:right w:val="none" w:sz="0" w:space="0" w:color="auto"/>
      </w:divBdr>
    </w:div>
    <w:div w:id="1862358889">
      <w:bodyDiv w:val="1"/>
      <w:marLeft w:val="0"/>
      <w:marRight w:val="0"/>
      <w:marTop w:val="0"/>
      <w:marBottom w:val="0"/>
      <w:divBdr>
        <w:top w:val="none" w:sz="0" w:space="0" w:color="auto"/>
        <w:left w:val="none" w:sz="0" w:space="0" w:color="auto"/>
        <w:bottom w:val="none" w:sz="0" w:space="0" w:color="auto"/>
        <w:right w:val="none" w:sz="0" w:space="0" w:color="auto"/>
      </w:divBdr>
    </w:div>
    <w:div w:id="1878279689">
      <w:bodyDiv w:val="1"/>
      <w:marLeft w:val="0"/>
      <w:marRight w:val="0"/>
      <w:marTop w:val="0"/>
      <w:marBottom w:val="0"/>
      <w:divBdr>
        <w:top w:val="none" w:sz="0" w:space="0" w:color="auto"/>
        <w:left w:val="none" w:sz="0" w:space="0" w:color="auto"/>
        <w:bottom w:val="none" w:sz="0" w:space="0" w:color="auto"/>
        <w:right w:val="none" w:sz="0" w:space="0" w:color="auto"/>
      </w:divBdr>
    </w:div>
    <w:div w:id="1886330626">
      <w:bodyDiv w:val="1"/>
      <w:marLeft w:val="0"/>
      <w:marRight w:val="0"/>
      <w:marTop w:val="0"/>
      <w:marBottom w:val="0"/>
      <w:divBdr>
        <w:top w:val="none" w:sz="0" w:space="0" w:color="auto"/>
        <w:left w:val="none" w:sz="0" w:space="0" w:color="auto"/>
        <w:bottom w:val="none" w:sz="0" w:space="0" w:color="auto"/>
        <w:right w:val="none" w:sz="0" w:space="0" w:color="auto"/>
      </w:divBdr>
    </w:div>
    <w:div w:id="1887257984">
      <w:bodyDiv w:val="1"/>
      <w:marLeft w:val="0"/>
      <w:marRight w:val="0"/>
      <w:marTop w:val="0"/>
      <w:marBottom w:val="0"/>
      <w:divBdr>
        <w:top w:val="none" w:sz="0" w:space="0" w:color="auto"/>
        <w:left w:val="none" w:sz="0" w:space="0" w:color="auto"/>
        <w:bottom w:val="none" w:sz="0" w:space="0" w:color="auto"/>
        <w:right w:val="none" w:sz="0" w:space="0" w:color="auto"/>
      </w:divBdr>
    </w:div>
    <w:div w:id="1890217382">
      <w:bodyDiv w:val="1"/>
      <w:marLeft w:val="0"/>
      <w:marRight w:val="0"/>
      <w:marTop w:val="0"/>
      <w:marBottom w:val="0"/>
      <w:divBdr>
        <w:top w:val="none" w:sz="0" w:space="0" w:color="auto"/>
        <w:left w:val="none" w:sz="0" w:space="0" w:color="auto"/>
        <w:bottom w:val="none" w:sz="0" w:space="0" w:color="auto"/>
        <w:right w:val="none" w:sz="0" w:space="0" w:color="auto"/>
      </w:divBdr>
    </w:div>
    <w:div w:id="1893426250">
      <w:bodyDiv w:val="1"/>
      <w:marLeft w:val="0"/>
      <w:marRight w:val="0"/>
      <w:marTop w:val="0"/>
      <w:marBottom w:val="0"/>
      <w:divBdr>
        <w:top w:val="none" w:sz="0" w:space="0" w:color="auto"/>
        <w:left w:val="none" w:sz="0" w:space="0" w:color="auto"/>
        <w:bottom w:val="none" w:sz="0" w:space="0" w:color="auto"/>
        <w:right w:val="none" w:sz="0" w:space="0" w:color="auto"/>
      </w:divBdr>
    </w:div>
    <w:div w:id="1905337552">
      <w:bodyDiv w:val="1"/>
      <w:marLeft w:val="0"/>
      <w:marRight w:val="0"/>
      <w:marTop w:val="0"/>
      <w:marBottom w:val="0"/>
      <w:divBdr>
        <w:top w:val="none" w:sz="0" w:space="0" w:color="auto"/>
        <w:left w:val="none" w:sz="0" w:space="0" w:color="auto"/>
        <w:bottom w:val="none" w:sz="0" w:space="0" w:color="auto"/>
        <w:right w:val="none" w:sz="0" w:space="0" w:color="auto"/>
      </w:divBdr>
    </w:div>
    <w:div w:id="1912695849">
      <w:bodyDiv w:val="1"/>
      <w:marLeft w:val="0"/>
      <w:marRight w:val="0"/>
      <w:marTop w:val="0"/>
      <w:marBottom w:val="0"/>
      <w:divBdr>
        <w:top w:val="none" w:sz="0" w:space="0" w:color="auto"/>
        <w:left w:val="none" w:sz="0" w:space="0" w:color="auto"/>
        <w:bottom w:val="none" w:sz="0" w:space="0" w:color="auto"/>
        <w:right w:val="none" w:sz="0" w:space="0" w:color="auto"/>
      </w:divBdr>
    </w:div>
    <w:div w:id="1923179830">
      <w:bodyDiv w:val="1"/>
      <w:marLeft w:val="0"/>
      <w:marRight w:val="0"/>
      <w:marTop w:val="0"/>
      <w:marBottom w:val="0"/>
      <w:divBdr>
        <w:top w:val="none" w:sz="0" w:space="0" w:color="auto"/>
        <w:left w:val="none" w:sz="0" w:space="0" w:color="auto"/>
        <w:bottom w:val="none" w:sz="0" w:space="0" w:color="auto"/>
        <w:right w:val="none" w:sz="0" w:space="0" w:color="auto"/>
      </w:divBdr>
      <w:divsChild>
        <w:div w:id="1317685143">
          <w:marLeft w:val="0"/>
          <w:marRight w:val="0"/>
          <w:marTop w:val="0"/>
          <w:marBottom w:val="0"/>
          <w:divBdr>
            <w:top w:val="none" w:sz="0" w:space="0" w:color="auto"/>
            <w:left w:val="none" w:sz="0" w:space="0" w:color="auto"/>
            <w:bottom w:val="none" w:sz="0" w:space="0" w:color="auto"/>
            <w:right w:val="none" w:sz="0" w:space="0" w:color="auto"/>
          </w:divBdr>
        </w:div>
        <w:div w:id="321281711">
          <w:marLeft w:val="0"/>
          <w:marRight w:val="0"/>
          <w:marTop w:val="225"/>
          <w:marBottom w:val="225"/>
          <w:divBdr>
            <w:top w:val="none" w:sz="0" w:space="0" w:color="auto"/>
            <w:left w:val="none" w:sz="0" w:space="0" w:color="auto"/>
            <w:bottom w:val="none" w:sz="0" w:space="0" w:color="auto"/>
            <w:right w:val="none" w:sz="0" w:space="0" w:color="auto"/>
          </w:divBdr>
        </w:div>
      </w:divsChild>
    </w:div>
    <w:div w:id="1943684111">
      <w:bodyDiv w:val="1"/>
      <w:marLeft w:val="0"/>
      <w:marRight w:val="0"/>
      <w:marTop w:val="0"/>
      <w:marBottom w:val="0"/>
      <w:divBdr>
        <w:top w:val="none" w:sz="0" w:space="0" w:color="auto"/>
        <w:left w:val="none" w:sz="0" w:space="0" w:color="auto"/>
        <w:bottom w:val="none" w:sz="0" w:space="0" w:color="auto"/>
        <w:right w:val="none" w:sz="0" w:space="0" w:color="auto"/>
      </w:divBdr>
    </w:div>
    <w:div w:id="1967587671">
      <w:bodyDiv w:val="1"/>
      <w:marLeft w:val="0"/>
      <w:marRight w:val="0"/>
      <w:marTop w:val="0"/>
      <w:marBottom w:val="0"/>
      <w:divBdr>
        <w:top w:val="none" w:sz="0" w:space="0" w:color="auto"/>
        <w:left w:val="none" w:sz="0" w:space="0" w:color="auto"/>
        <w:bottom w:val="none" w:sz="0" w:space="0" w:color="auto"/>
        <w:right w:val="none" w:sz="0" w:space="0" w:color="auto"/>
      </w:divBdr>
    </w:div>
    <w:div w:id="1970627035">
      <w:bodyDiv w:val="1"/>
      <w:marLeft w:val="0"/>
      <w:marRight w:val="0"/>
      <w:marTop w:val="0"/>
      <w:marBottom w:val="0"/>
      <w:divBdr>
        <w:top w:val="none" w:sz="0" w:space="0" w:color="auto"/>
        <w:left w:val="none" w:sz="0" w:space="0" w:color="auto"/>
        <w:bottom w:val="none" w:sz="0" w:space="0" w:color="auto"/>
        <w:right w:val="none" w:sz="0" w:space="0" w:color="auto"/>
      </w:divBdr>
    </w:div>
    <w:div w:id="1972783998">
      <w:bodyDiv w:val="1"/>
      <w:marLeft w:val="0"/>
      <w:marRight w:val="0"/>
      <w:marTop w:val="0"/>
      <w:marBottom w:val="0"/>
      <w:divBdr>
        <w:top w:val="none" w:sz="0" w:space="0" w:color="auto"/>
        <w:left w:val="none" w:sz="0" w:space="0" w:color="auto"/>
        <w:bottom w:val="none" w:sz="0" w:space="0" w:color="auto"/>
        <w:right w:val="none" w:sz="0" w:space="0" w:color="auto"/>
      </w:divBdr>
    </w:div>
    <w:div w:id="1977222168">
      <w:bodyDiv w:val="1"/>
      <w:marLeft w:val="0"/>
      <w:marRight w:val="0"/>
      <w:marTop w:val="0"/>
      <w:marBottom w:val="0"/>
      <w:divBdr>
        <w:top w:val="none" w:sz="0" w:space="0" w:color="auto"/>
        <w:left w:val="none" w:sz="0" w:space="0" w:color="auto"/>
        <w:bottom w:val="none" w:sz="0" w:space="0" w:color="auto"/>
        <w:right w:val="none" w:sz="0" w:space="0" w:color="auto"/>
      </w:divBdr>
    </w:div>
    <w:div w:id="1984003827">
      <w:bodyDiv w:val="1"/>
      <w:marLeft w:val="0"/>
      <w:marRight w:val="0"/>
      <w:marTop w:val="0"/>
      <w:marBottom w:val="0"/>
      <w:divBdr>
        <w:top w:val="none" w:sz="0" w:space="0" w:color="auto"/>
        <w:left w:val="none" w:sz="0" w:space="0" w:color="auto"/>
        <w:bottom w:val="none" w:sz="0" w:space="0" w:color="auto"/>
        <w:right w:val="none" w:sz="0" w:space="0" w:color="auto"/>
      </w:divBdr>
    </w:div>
    <w:div w:id="2033067235">
      <w:bodyDiv w:val="1"/>
      <w:marLeft w:val="0"/>
      <w:marRight w:val="0"/>
      <w:marTop w:val="0"/>
      <w:marBottom w:val="0"/>
      <w:divBdr>
        <w:top w:val="none" w:sz="0" w:space="0" w:color="auto"/>
        <w:left w:val="none" w:sz="0" w:space="0" w:color="auto"/>
        <w:bottom w:val="none" w:sz="0" w:space="0" w:color="auto"/>
        <w:right w:val="none" w:sz="0" w:space="0" w:color="auto"/>
      </w:divBdr>
    </w:div>
    <w:div w:id="2063482916">
      <w:bodyDiv w:val="1"/>
      <w:marLeft w:val="0"/>
      <w:marRight w:val="0"/>
      <w:marTop w:val="0"/>
      <w:marBottom w:val="0"/>
      <w:divBdr>
        <w:top w:val="none" w:sz="0" w:space="0" w:color="auto"/>
        <w:left w:val="none" w:sz="0" w:space="0" w:color="auto"/>
        <w:bottom w:val="none" w:sz="0" w:space="0" w:color="auto"/>
        <w:right w:val="none" w:sz="0" w:space="0" w:color="auto"/>
      </w:divBdr>
    </w:div>
    <w:div w:id="2082747072">
      <w:bodyDiv w:val="1"/>
      <w:marLeft w:val="0"/>
      <w:marRight w:val="0"/>
      <w:marTop w:val="0"/>
      <w:marBottom w:val="0"/>
      <w:divBdr>
        <w:top w:val="none" w:sz="0" w:space="0" w:color="auto"/>
        <w:left w:val="none" w:sz="0" w:space="0" w:color="auto"/>
        <w:bottom w:val="none" w:sz="0" w:space="0" w:color="auto"/>
        <w:right w:val="none" w:sz="0" w:space="0" w:color="auto"/>
      </w:divBdr>
    </w:div>
    <w:div w:id="2089879568">
      <w:bodyDiv w:val="1"/>
      <w:marLeft w:val="0"/>
      <w:marRight w:val="0"/>
      <w:marTop w:val="0"/>
      <w:marBottom w:val="0"/>
      <w:divBdr>
        <w:top w:val="none" w:sz="0" w:space="0" w:color="auto"/>
        <w:left w:val="none" w:sz="0" w:space="0" w:color="auto"/>
        <w:bottom w:val="none" w:sz="0" w:space="0" w:color="auto"/>
        <w:right w:val="none" w:sz="0" w:space="0" w:color="auto"/>
      </w:divBdr>
    </w:div>
    <w:div w:id="2105878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4.bin"/><Relationship Id="rId21" Type="http://schemas.openxmlformats.org/officeDocument/2006/relationships/oleObject" Target="embeddings/oleObject5.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18.bin"/><Relationship Id="rId50" Type="http://schemas.openxmlformats.org/officeDocument/2006/relationships/image" Target="media/image22.wmf"/><Relationship Id="rId55" Type="http://schemas.openxmlformats.org/officeDocument/2006/relationships/oleObject" Target="embeddings/oleObject22.bin"/><Relationship Id="rId63" Type="http://schemas.openxmlformats.org/officeDocument/2006/relationships/oleObject" Target="embeddings/oleObject26.bin"/><Relationship Id="rId68" Type="http://schemas.openxmlformats.org/officeDocument/2006/relationships/image" Target="media/image31.wmf"/><Relationship Id="rId76" Type="http://schemas.openxmlformats.org/officeDocument/2006/relationships/image" Target="media/image38.wmf"/><Relationship Id="rId84" Type="http://schemas.openxmlformats.org/officeDocument/2006/relationships/image" Target="media/image46.wmf"/><Relationship Id="rId89" Type="http://schemas.openxmlformats.org/officeDocument/2006/relationships/image" Target="media/image49.wmf"/><Relationship Id="rId7" Type="http://schemas.openxmlformats.org/officeDocument/2006/relationships/endnotes" Target="endnotes.xml"/><Relationship Id="rId71" Type="http://schemas.openxmlformats.org/officeDocument/2006/relationships/image" Target="media/image33.wmf"/><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9.bin"/><Relationship Id="rId11" Type="http://schemas.openxmlformats.org/officeDocument/2006/relationships/image" Target="media/image2.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3.bin"/><Relationship Id="rId40" Type="http://schemas.openxmlformats.org/officeDocument/2006/relationships/image" Target="media/image17.wmf"/><Relationship Id="rId45" Type="http://schemas.openxmlformats.org/officeDocument/2006/relationships/oleObject" Target="embeddings/oleObject17.bin"/><Relationship Id="rId53" Type="http://schemas.openxmlformats.org/officeDocument/2006/relationships/oleObject" Target="embeddings/oleObject21.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6.wmf"/><Relationship Id="rId79" Type="http://schemas.openxmlformats.org/officeDocument/2006/relationships/image" Target="media/image41.wmf"/><Relationship Id="rId87" Type="http://schemas.openxmlformats.org/officeDocument/2006/relationships/image" Target="media/image48.wmf"/><Relationship Id="rId5" Type="http://schemas.openxmlformats.org/officeDocument/2006/relationships/webSettings" Target="webSettings.xml"/><Relationship Id="rId61" Type="http://schemas.openxmlformats.org/officeDocument/2006/relationships/oleObject" Target="embeddings/oleObject25.bin"/><Relationship Id="rId82" Type="http://schemas.openxmlformats.org/officeDocument/2006/relationships/image" Target="media/image44.wmf"/><Relationship Id="rId90" Type="http://schemas.openxmlformats.org/officeDocument/2006/relationships/oleObject" Target="embeddings/oleObject32.bin"/><Relationship Id="rId95" Type="http://schemas.microsoft.com/office/2016/09/relationships/commentsIds" Target="commentsIds.xml"/><Relationship Id="rId19" Type="http://schemas.openxmlformats.org/officeDocument/2006/relationships/oleObject" Target="embeddings/oleObject4.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8.bin"/><Relationship Id="rId30" Type="http://schemas.openxmlformats.org/officeDocument/2006/relationships/image" Target="media/image12.wmf"/><Relationship Id="rId35" Type="http://schemas.openxmlformats.org/officeDocument/2006/relationships/oleObject" Target="embeddings/oleObject12.bin"/><Relationship Id="rId43" Type="http://schemas.openxmlformats.org/officeDocument/2006/relationships/oleObject" Target="embeddings/oleObject16.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29.bin"/><Relationship Id="rId77" Type="http://schemas.openxmlformats.org/officeDocument/2006/relationships/image" Target="media/image39.wmf"/><Relationship Id="rId8" Type="http://schemas.openxmlformats.org/officeDocument/2006/relationships/hyperlink" Target="mailto:DA.Bo@nims.go.jp" TargetMode="External"/><Relationship Id="rId51" Type="http://schemas.openxmlformats.org/officeDocument/2006/relationships/oleObject" Target="embeddings/oleObject20.bin"/><Relationship Id="rId72" Type="http://schemas.openxmlformats.org/officeDocument/2006/relationships/image" Target="media/image34.wmf"/><Relationship Id="rId80" Type="http://schemas.openxmlformats.org/officeDocument/2006/relationships/image" Target="media/image42.wmf"/><Relationship Id="rId85" Type="http://schemas.openxmlformats.org/officeDocument/2006/relationships/image" Target="media/image47.wmf"/><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oleObject" Target="embeddings/oleObject11.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4.bin"/><Relationship Id="rId67" Type="http://schemas.openxmlformats.org/officeDocument/2006/relationships/oleObject" Target="embeddings/oleObject28.bin"/><Relationship Id="rId20" Type="http://schemas.openxmlformats.org/officeDocument/2006/relationships/image" Target="media/image7.wmf"/><Relationship Id="rId41" Type="http://schemas.openxmlformats.org/officeDocument/2006/relationships/oleObject" Target="embeddings/oleObject15.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image" Target="media/image37.wmf"/><Relationship Id="rId83" Type="http://schemas.openxmlformats.org/officeDocument/2006/relationships/image" Target="media/image45.wmf"/><Relationship Id="rId88" Type="http://schemas.openxmlformats.org/officeDocument/2006/relationships/oleObject" Target="embeddings/oleObject31.bin"/><Relationship Id="rId91" Type="http://schemas.openxmlformats.org/officeDocument/2006/relationships/image" Target="media/image50.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19.bin"/><Relationship Id="rId57" Type="http://schemas.openxmlformats.org/officeDocument/2006/relationships/oleObject" Target="embeddings/oleObject23.bin"/><Relationship Id="rId10" Type="http://schemas.openxmlformats.org/officeDocument/2006/relationships/image" Target="media/image1.wmf"/><Relationship Id="rId31" Type="http://schemas.openxmlformats.org/officeDocument/2006/relationships/oleObject" Target="embeddings/oleObject10.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7.bin"/><Relationship Id="rId73" Type="http://schemas.openxmlformats.org/officeDocument/2006/relationships/image" Target="media/image35.wmf"/><Relationship Id="rId78" Type="http://schemas.openxmlformats.org/officeDocument/2006/relationships/image" Target="media/image40.wmf"/><Relationship Id="rId81" Type="http://schemas.openxmlformats.org/officeDocument/2006/relationships/image" Target="media/image43.wmf"/><Relationship Id="rId86" Type="http://schemas.openxmlformats.org/officeDocument/2006/relationships/oleObject" Target="embeddings/oleObject30.bin"/><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YOSHIKAWA.Hideki@nims.go.j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MSdabo\AppData\Roaming\Microsoft\Templates\App%20Phys%20Lett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1C71F-CF34-4EC3-A3C3-9A4440FE4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Phys Letters.dot</Template>
  <TotalTime>1</TotalTime>
  <Pages>62</Pages>
  <Words>12986</Words>
  <Characters>74023</Characters>
  <Application>Microsoft Office Word</Application>
  <DocSecurity>0</DocSecurity>
  <Lines>616</Lines>
  <Paragraphs>173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Applied Physics Letters</vt:lpstr>
      <vt:lpstr>Applied Physics Letters</vt:lpstr>
    </vt:vector>
  </TitlesOfParts>
  <Company>ISI ResearchSoft</Company>
  <LinksUpToDate>false</LinksUpToDate>
  <CharactersWithSpaces>86836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Applied Physics Letters</dc:title>
  <dc:creator>bo da</dc:creator>
  <dc:description>Applied Physics Letters_x000d_
_x000d_
This wizard will create a document for submission to Applied Physics Letters, based on the rules for authors available at http://www.aip.org/ojs/service.html._x000d_
_x000d_
This wizard is copyright 2002, Thomson ResearchSoft. All rights reserved.</dc:description>
  <cp:lastModifiedBy>da bo</cp:lastModifiedBy>
  <cp:revision>2</cp:revision>
  <cp:lastPrinted>2020-03-18T07:52:00Z</cp:lastPrinted>
  <dcterms:created xsi:type="dcterms:W3CDTF">2020-03-19T07:03:00Z</dcterms:created>
  <dcterms:modified xsi:type="dcterms:W3CDTF">2020-03-19T07:03:00Z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MTDeferFieldUpdate">
    <vt:lpwstr>1</vt:lpwstr>
  </property>
</Properties>
</file>