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792EC6" w14:textId="77777777" w:rsidR="00EB55F0" w:rsidRPr="00845A3A" w:rsidRDefault="00EB55F0" w:rsidP="0003486A">
      <w:pPr>
        <w:spacing w:line="480" w:lineRule="auto"/>
        <w:jc w:val="center"/>
        <w:rPr>
          <w:rFonts w:ascii="Times New Roman" w:hAnsi="Times New Roman" w:cs="Times New Roman"/>
          <w:sz w:val="32"/>
          <w:szCs w:val="32"/>
        </w:rPr>
      </w:pPr>
      <w:r w:rsidRPr="00845A3A">
        <w:rPr>
          <w:rFonts w:ascii="Times New Roman" w:hAnsi="Times New Roman" w:cs="Times New Roman"/>
          <w:sz w:val="32"/>
          <w:szCs w:val="32"/>
        </w:rPr>
        <w:t>Ce-Doped SnO</w:t>
      </w:r>
      <w:r w:rsidRPr="00845A3A">
        <w:rPr>
          <w:rFonts w:ascii="Times New Roman" w:hAnsi="Times New Roman" w:cs="Times New Roman"/>
          <w:sz w:val="32"/>
          <w:szCs w:val="32"/>
          <w:vertAlign w:val="subscript"/>
        </w:rPr>
        <w:t>2</w:t>
      </w:r>
      <w:r w:rsidRPr="00845A3A">
        <w:rPr>
          <w:rFonts w:ascii="Times New Roman" w:hAnsi="Times New Roman" w:cs="Times New Roman"/>
          <w:sz w:val="32"/>
          <w:szCs w:val="32"/>
        </w:rPr>
        <w:t xml:space="preserve"> Electron Transport Layer for Minimizing Open Circuit Voltage Loss in Lead Perovskite Solar Cells</w:t>
      </w:r>
    </w:p>
    <w:p w14:paraId="66041BFF" w14:textId="77777777" w:rsidR="00EB55F0" w:rsidRPr="00845A3A" w:rsidRDefault="00EB55F0" w:rsidP="00733B2E">
      <w:pPr>
        <w:spacing w:after="0" w:line="480" w:lineRule="auto"/>
        <w:jc w:val="both"/>
        <w:rPr>
          <w:rFonts w:ascii="Times New Roman" w:hAnsi="Times New Roman" w:cs="Times New Roman"/>
          <w:b/>
          <w:bCs/>
          <w:sz w:val="24"/>
          <w:szCs w:val="24"/>
          <w:vertAlign w:val="superscript"/>
        </w:rPr>
      </w:pPr>
      <w:r w:rsidRPr="00845A3A">
        <w:rPr>
          <w:rFonts w:ascii="Times New Roman" w:hAnsi="Times New Roman" w:cs="Times New Roman"/>
          <w:b/>
          <w:bCs/>
          <w:sz w:val="24"/>
          <w:szCs w:val="24"/>
        </w:rPr>
        <w:t>Shamim Ahmmed</w:t>
      </w:r>
      <w:r w:rsidRPr="00845A3A">
        <w:rPr>
          <w:rFonts w:ascii="Times New Roman" w:hAnsi="Times New Roman" w:cs="Times New Roman"/>
          <w:b/>
          <w:bCs/>
          <w:sz w:val="24"/>
          <w:szCs w:val="24"/>
          <w:vertAlign w:val="superscript"/>
        </w:rPr>
        <w:t>1,2</w:t>
      </w:r>
      <w:r w:rsidRPr="00845A3A">
        <w:rPr>
          <w:rFonts w:ascii="Times New Roman" w:hAnsi="Times New Roman" w:cs="Times New Roman"/>
          <w:b/>
          <w:bCs/>
          <w:sz w:val="24"/>
          <w:szCs w:val="24"/>
        </w:rPr>
        <w:t xml:space="preserve">, </w:t>
      </w:r>
      <w:proofErr w:type="spellStart"/>
      <w:r w:rsidRPr="00845A3A">
        <w:rPr>
          <w:rFonts w:ascii="Times New Roman" w:hAnsi="Times New Roman" w:cs="Times New Roman"/>
          <w:b/>
          <w:bCs/>
          <w:sz w:val="24"/>
          <w:szCs w:val="24"/>
        </w:rPr>
        <w:t>Yulu</w:t>
      </w:r>
      <w:proofErr w:type="spellEnd"/>
      <w:r w:rsidRPr="00845A3A">
        <w:rPr>
          <w:rFonts w:ascii="Times New Roman" w:hAnsi="Times New Roman" w:cs="Times New Roman"/>
          <w:b/>
          <w:bCs/>
          <w:sz w:val="24"/>
          <w:szCs w:val="24"/>
        </w:rPr>
        <w:t xml:space="preserve"> He</w:t>
      </w:r>
      <w:r w:rsidRPr="00845A3A">
        <w:rPr>
          <w:rFonts w:ascii="Times New Roman" w:hAnsi="Times New Roman" w:cs="Times New Roman"/>
          <w:b/>
          <w:bCs/>
          <w:sz w:val="24"/>
          <w:szCs w:val="24"/>
          <w:vertAlign w:val="superscript"/>
        </w:rPr>
        <w:t>1</w:t>
      </w:r>
      <w:r w:rsidRPr="00845A3A">
        <w:rPr>
          <w:rFonts w:ascii="Times New Roman" w:hAnsi="Times New Roman" w:cs="Times New Roman"/>
          <w:b/>
          <w:bCs/>
          <w:sz w:val="24"/>
          <w:szCs w:val="24"/>
        </w:rPr>
        <w:t xml:space="preserve">, Md. </w:t>
      </w:r>
      <w:proofErr w:type="spellStart"/>
      <w:r w:rsidRPr="00845A3A">
        <w:rPr>
          <w:rFonts w:ascii="Times New Roman" w:hAnsi="Times New Roman" w:cs="Times New Roman"/>
          <w:b/>
          <w:bCs/>
          <w:sz w:val="24"/>
          <w:szCs w:val="24"/>
        </w:rPr>
        <w:t>Emrul</w:t>
      </w:r>
      <w:proofErr w:type="spellEnd"/>
      <w:r w:rsidRPr="00845A3A">
        <w:rPr>
          <w:rFonts w:ascii="Times New Roman" w:hAnsi="Times New Roman" w:cs="Times New Roman"/>
          <w:b/>
          <w:bCs/>
          <w:sz w:val="24"/>
          <w:szCs w:val="24"/>
        </w:rPr>
        <w:t xml:space="preserve"> Kayesh</w:t>
      </w:r>
      <w:r w:rsidRPr="00845A3A">
        <w:rPr>
          <w:rFonts w:ascii="Times New Roman" w:hAnsi="Times New Roman" w:cs="Times New Roman"/>
          <w:b/>
          <w:bCs/>
          <w:sz w:val="24"/>
          <w:szCs w:val="24"/>
          <w:vertAlign w:val="superscript"/>
        </w:rPr>
        <w:t>1</w:t>
      </w:r>
      <w:r w:rsidRPr="00845A3A">
        <w:rPr>
          <w:rFonts w:ascii="Times New Roman" w:hAnsi="Times New Roman" w:cs="Times New Roman"/>
          <w:b/>
          <w:bCs/>
          <w:sz w:val="24"/>
          <w:szCs w:val="24"/>
        </w:rPr>
        <w:t>, Md. Abdul Karim</w:t>
      </w:r>
      <w:r w:rsidRPr="00845A3A">
        <w:rPr>
          <w:rFonts w:ascii="Times New Roman" w:hAnsi="Times New Roman" w:cs="Times New Roman"/>
          <w:b/>
          <w:bCs/>
          <w:sz w:val="24"/>
          <w:szCs w:val="24"/>
          <w:vertAlign w:val="superscript"/>
        </w:rPr>
        <w:t>1</w:t>
      </w:r>
      <w:r w:rsidRPr="00845A3A">
        <w:rPr>
          <w:rFonts w:ascii="Times New Roman" w:hAnsi="Times New Roman" w:cs="Times New Roman"/>
          <w:b/>
          <w:bCs/>
          <w:sz w:val="24"/>
          <w:szCs w:val="24"/>
        </w:rPr>
        <w:t xml:space="preserve">, </w:t>
      </w:r>
      <w:bookmarkStart w:id="0" w:name="_Hlk162600185"/>
      <w:r w:rsidRPr="00845A3A">
        <w:rPr>
          <w:rFonts w:ascii="Times New Roman" w:hAnsi="Times New Roman" w:cs="Times New Roman"/>
          <w:b/>
          <w:bCs/>
          <w:sz w:val="24"/>
          <w:szCs w:val="24"/>
        </w:rPr>
        <w:t>Kiyoto Matsuishi</w:t>
      </w:r>
      <w:bookmarkEnd w:id="0"/>
      <w:r w:rsidRPr="00845A3A">
        <w:rPr>
          <w:rFonts w:ascii="Times New Roman" w:hAnsi="Times New Roman" w:cs="Times New Roman"/>
          <w:b/>
          <w:bCs/>
          <w:sz w:val="24"/>
          <w:szCs w:val="24"/>
          <w:vertAlign w:val="superscript"/>
        </w:rPr>
        <w:t>3*</w:t>
      </w:r>
      <w:r w:rsidRPr="00845A3A">
        <w:rPr>
          <w:rFonts w:ascii="Times New Roman" w:hAnsi="Times New Roman" w:cs="Times New Roman"/>
          <w:b/>
          <w:bCs/>
          <w:sz w:val="24"/>
          <w:szCs w:val="24"/>
        </w:rPr>
        <w:t>, Ashraful Islam</w:t>
      </w:r>
      <w:r w:rsidRPr="00845A3A">
        <w:rPr>
          <w:rFonts w:ascii="Times New Roman" w:hAnsi="Times New Roman" w:cs="Times New Roman"/>
          <w:b/>
          <w:bCs/>
          <w:sz w:val="24"/>
          <w:szCs w:val="24"/>
          <w:vertAlign w:val="superscript"/>
        </w:rPr>
        <w:t>1*</w:t>
      </w:r>
    </w:p>
    <w:p w14:paraId="46B2FD13" w14:textId="77777777" w:rsidR="00EB55F0" w:rsidRPr="00845A3A" w:rsidRDefault="00EB55F0" w:rsidP="004401C4">
      <w:pPr>
        <w:spacing w:after="0" w:line="480" w:lineRule="auto"/>
        <w:jc w:val="both"/>
        <w:rPr>
          <w:rFonts w:ascii="Times New Roman" w:hAnsi="Times New Roman" w:cs="Times New Roman"/>
          <w:sz w:val="24"/>
          <w:szCs w:val="24"/>
        </w:rPr>
      </w:pPr>
      <w:r w:rsidRPr="00845A3A">
        <w:rPr>
          <w:rFonts w:ascii="Times New Roman" w:hAnsi="Times New Roman" w:cs="Times New Roman"/>
          <w:sz w:val="24"/>
          <w:szCs w:val="24"/>
          <w:vertAlign w:val="superscript"/>
        </w:rPr>
        <w:t>1</w:t>
      </w:r>
      <w:r w:rsidRPr="00845A3A">
        <w:rPr>
          <w:rFonts w:ascii="Times New Roman" w:hAnsi="Times New Roman" w:cs="Times New Roman"/>
          <w:sz w:val="24"/>
          <w:szCs w:val="24"/>
        </w:rPr>
        <w:t>Photovoltaic Materials Group, Center for Green Research on Energy and Environmental Materials, National Institute for Materials Science (NIMS), 1-2-1 Sengen, Tsukuba 305-0047, Ibaraki, Japan.</w:t>
      </w:r>
    </w:p>
    <w:p w14:paraId="5BA389E8" w14:textId="77777777" w:rsidR="00EB55F0" w:rsidRPr="00845A3A" w:rsidRDefault="00EB55F0" w:rsidP="00D73472">
      <w:pPr>
        <w:spacing w:after="0" w:line="480" w:lineRule="auto"/>
        <w:jc w:val="both"/>
        <w:rPr>
          <w:rFonts w:ascii="Times New Roman" w:hAnsi="Times New Roman" w:cs="Times New Roman"/>
          <w:sz w:val="24"/>
          <w:szCs w:val="24"/>
        </w:rPr>
      </w:pPr>
      <w:r w:rsidRPr="00845A3A">
        <w:rPr>
          <w:rFonts w:ascii="Times New Roman" w:hAnsi="Times New Roman" w:cs="Times New Roman"/>
          <w:sz w:val="24"/>
          <w:szCs w:val="24"/>
          <w:vertAlign w:val="superscript"/>
        </w:rPr>
        <w:t>2</w:t>
      </w:r>
      <w:r w:rsidRPr="00845A3A">
        <w:rPr>
          <w:rFonts w:ascii="Times New Roman" w:hAnsi="Times New Roman" w:cs="Times New Roman"/>
          <w:sz w:val="24"/>
          <w:szCs w:val="24"/>
        </w:rPr>
        <w:t xml:space="preserve">Graduate School of Science and Technology, University of Tsukuba, 1-1-1 </w:t>
      </w:r>
      <w:proofErr w:type="spellStart"/>
      <w:r w:rsidRPr="00845A3A">
        <w:rPr>
          <w:rFonts w:ascii="Times New Roman" w:hAnsi="Times New Roman" w:cs="Times New Roman"/>
          <w:sz w:val="24"/>
          <w:szCs w:val="24"/>
        </w:rPr>
        <w:t>Tennodai</w:t>
      </w:r>
      <w:proofErr w:type="spellEnd"/>
      <w:r w:rsidRPr="00845A3A">
        <w:rPr>
          <w:rFonts w:ascii="Times New Roman" w:hAnsi="Times New Roman" w:cs="Times New Roman"/>
          <w:sz w:val="24"/>
          <w:szCs w:val="24"/>
        </w:rPr>
        <w:t>, Tsukuba 305-8573, Ibaraki, Japan.</w:t>
      </w:r>
    </w:p>
    <w:p w14:paraId="2BEE787A" w14:textId="77777777" w:rsidR="00EB55F0" w:rsidRPr="00845A3A" w:rsidRDefault="00EB55F0" w:rsidP="00F41C28">
      <w:pPr>
        <w:spacing w:line="480" w:lineRule="auto"/>
        <w:jc w:val="both"/>
        <w:rPr>
          <w:rFonts w:ascii="Times New Roman" w:hAnsi="Times New Roman" w:cs="Times New Roman"/>
          <w:sz w:val="24"/>
          <w:szCs w:val="24"/>
        </w:rPr>
      </w:pPr>
      <w:r w:rsidRPr="00845A3A">
        <w:rPr>
          <w:rFonts w:ascii="Times New Roman" w:hAnsi="Times New Roman" w:cs="Times New Roman"/>
          <w:sz w:val="24"/>
          <w:szCs w:val="24"/>
          <w:vertAlign w:val="superscript"/>
        </w:rPr>
        <w:t>3</w:t>
      </w:r>
      <w:r w:rsidRPr="00845A3A">
        <w:rPr>
          <w:rFonts w:ascii="Times New Roman" w:hAnsi="Times New Roman" w:cs="Times New Roman"/>
          <w:sz w:val="24"/>
          <w:szCs w:val="24"/>
        </w:rPr>
        <w:t xml:space="preserve">Institute of Pure and Applied Sciences, University of Tsukuba, 1-1-1 </w:t>
      </w:r>
      <w:proofErr w:type="spellStart"/>
      <w:r w:rsidRPr="00845A3A">
        <w:rPr>
          <w:rFonts w:ascii="Times New Roman" w:hAnsi="Times New Roman" w:cs="Times New Roman"/>
          <w:sz w:val="24"/>
          <w:szCs w:val="24"/>
        </w:rPr>
        <w:t>Tennodai</w:t>
      </w:r>
      <w:proofErr w:type="spellEnd"/>
      <w:r w:rsidRPr="00845A3A">
        <w:rPr>
          <w:rFonts w:ascii="Times New Roman" w:hAnsi="Times New Roman" w:cs="Times New Roman"/>
          <w:sz w:val="24"/>
          <w:szCs w:val="24"/>
        </w:rPr>
        <w:t>, Tsukuba 305-8573, Ibaraki, Japan.</w:t>
      </w:r>
    </w:p>
    <w:p w14:paraId="7690A913" w14:textId="77777777" w:rsidR="00EB55F0" w:rsidRPr="00845A3A" w:rsidRDefault="00EB55F0" w:rsidP="006F02E7">
      <w:pPr>
        <w:spacing w:after="0" w:line="480" w:lineRule="auto"/>
        <w:jc w:val="both"/>
        <w:rPr>
          <w:rFonts w:ascii="Times New Roman" w:hAnsi="Times New Roman" w:cs="Times New Roman"/>
          <w:b/>
          <w:bCs/>
          <w:sz w:val="28"/>
          <w:szCs w:val="28"/>
        </w:rPr>
      </w:pPr>
      <w:r w:rsidRPr="00845A3A">
        <w:rPr>
          <w:rFonts w:ascii="Times New Roman" w:hAnsi="Times New Roman" w:cs="Times New Roman"/>
          <w:b/>
          <w:bCs/>
          <w:sz w:val="28"/>
          <w:szCs w:val="28"/>
        </w:rPr>
        <w:t>Abstract</w:t>
      </w:r>
    </w:p>
    <w:p w14:paraId="26B3260E" w14:textId="435587EA" w:rsidR="00EB55F0" w:rsidRPr="00845A3A" w:rsidRDefault="00EB55F0" w:rsidP="00AD69E0">
      <w:pPr>
        <w:spacing w:line="480" w:lineRule="auto"/>
        <w:jc w:val="both"/>
        <w:rPr>
          <w:rFonts w:ascii="Times New Roman" w:hAnsi="Times New Roman" w:cs="Times New Roman"/>
          <w:sz w:val="24"/>
          <w:szCs w:val="24"/>
        </w:rPr>
      </w:pPr>
      <w:r w:rsidRPr="00845A3A">
        <w:rPr>
          <w:rFonts w:ascii="Times New Roman" w:hAnsi="Times New Roman" w:cs="Times New Roman"/>
          <w:sz w:val="24"/>
          <w:szCs w:val="24"/>
        </w:rPr>
        <w:t>In the planar heterostructure of perovskite based solar cells (PSCs), tin oxide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is a material that is often used as the electron transport layer (ETL). Because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 exhibits favorable optical and electrical properties in the PSC structures. Nevertheless, the open circuit voltage (</w:t>
      </w:r>
      <w:r w:rsidRPr="00845A3A">
        <w:rPr>
          <w:rFonts w:ascii="Times New Roman" w:hAnsi="Times New Roman" w:cs="Times New Roman"/>
          <w:i/>
          <w:iCs/>
          <w:sz w:val="24"/>
          <w:szCs w:val="24"/>
        </w:rPr>
        <w:t>V</w:t>
      </w:r>
      <w:r w:rsidRPr="00845A3A">
        <w:rPr>
          <w:rFonts w:ascii="Times New Roman" w:hAnsi="Times New Roman" w:cs="Times New Roman"/>
          <w:sz w:val="24"/>
          <w:szCs w:val="24"/>
          <w:vertAlign w:val="subscript"/>
        </w:rPr>
        <w:t>OC</w:t>
      </w:r>
      <w:r w:rsidRPr="00845A3A">
        <w:rPr>
          <w:rFonts w:ascii="Times New Roman" w:hAnsi="Times New Roman" w:cs="Times New Roman"/>
          <w:sz w:val="24"/>
          <w:szCs w:val="24"/>
        </w:rPr>
        <w:t>) depletion occurs in PSCs due to the defects arising from the high oxygen vacancy on the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surface and the deeper conduction band (CB) energy level of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In this research, cerium (Ce) dopant was introduced in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to suppress the </w:t>
      </w:r>
      <w:r w:rsidRPr="00845A3A">
        <w:rPr>
          <w:rFonts w:ascii="Times New Roman" w:hAnsi="Times New Roman" w:cs="Times New Roman"/>
          <w:i/>
          <w:iCs/>
          <w:sz w:val="24"/>
          <w:szCs w:val="24"/>
        </w:rPr>
        <w:t>V</w:t>
      </w:r>
      <w:r w:rsidRPr="00845A3A">
        <w:rPr>
          <w:rFonts w:ascii="Times New Roman" w:hAnsi="Times New Roman" w:cs="Times New Roman"/>
          <w:sz w:val="24"/>
          <w:szCs w:val="24"/>
          <w:vertAlign w:val="subscript"/>
        </w:rPr>
        <w:t>OC</w:t>
      </w:r>
      <w:r w:rsidRPr="00845A3A">
        <w:rPr>
          <w:rFonts w:ascii="Times New Roman" w:hAnsi="Times New Roman" w:cs="Times New Roman"/>
          <w:sz w:val="24"/>
          <w:szCs w:val="24"/>
        </w:rPr>
        <w:t xml:space="preserve"> loss of the PSCs. The CB minimum of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was shifted closer to that of the perovskite after introducing the Ce doping. Besides, the Ce doping effectively passivated the surface defects on the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as well as improved the electron transport velocity by the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These results enabled the power conversion efficiency (PCE) to increase from 21.1%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to 23.0%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of the PSCs (0.09 cm</w:t>
      </w:r>
      <w:r w:rsidRPr="00845A3A">
        <w:rPr>
          <w:rFonts w:ascii="Times New Roman" w:hAnsi="Times New Roman" w:cs="Times New Roman"/>
          <w:sz w:val="24"/>
          <w:szCs w:val="24"/>
          <w:vertAlign w:val="superscript"/>
        </w:rPr>
        <w:t>2</w:t>
      </w:r>
      <w:r w:rsidRPr="00845A3A">
        <w:rPr>
          <w:rFonts w:ascii="Times New Roman" w:hAnsi="Times New Roman" w:cs="Times New Roman"/>
          <w:sz w:val="24"/>
          <w:szCs w:val="24"/>
        </w:rPr>
        <w:t xml:space="preserve"> active area) with around 100 mV improved </w:t>
      </w:r>
      <w:r w:rsidRPr="00845A3A">
        <w:rPr>
          <w:rFonts w:ascii="Times New Roman" w:hAnsi="Times New Roman" w:cs="Times New Roman"/>
          <w:i/>
          <w:iCs/>
          <w:sz w:val="24"/>
          <w:szCs w:val="24"/>
        </w:rPr>
        <w:t>V</w:t>
      </w:r>
      <w:r w:rsidRPr="00845A3A">
        <w:rPr>
          <w:rFonts w:ascii="Times New Roman" w:hAnsi="Times New Roman" w:cs="Times New Roman"/>
          <w:sz w:val="24"/>
          <w:szCs w:val="24"/>
          <w:vertAlign w:val="subscript"/>
        </w:rPr>
        <w:t>OC</w:t>
      </w:r>
      <w:r w:rsidRPr="00845A3A">
        <w:rPr>
          <w:rFonts w:ascii="Times New Roman" w:hAnsi="Times New Roman" w:cs="Times New Roman"/>
          <w:sz w:val="24"/>
          <w:szCs w:val="24"/>
        </w:rPr>
        <w:t xml:space="preserve"> and reduced hysteresis. Also, the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 based large area (1.0 cm</w:t>
      </w:r>
      <w:r w:rsidRPr="00845A3A">
        <w:rPr>
          <w:rFonts w:ascii="Times New Roman" w:hAnsi="Times New Roman" w:cs="Times New Roman"/>
          <w:sz w:val="24"/>
          <w:szCs w:val="24"/>
          <w:vertAlign w:val="superscript"/>
        </w:rPr>
        <w:t>2</w:t>
      </w:r>
      <w:r w:rsidRPr="00845A3A">
        <w:rPr>
          <w:rFonts w:ascii="Times New Roman" w:hAnsi="Times New Roman" w:cs="Times New Roman"/>
          <w:sz w:val="24"/>
          <w:szCs w:val="24"/>
        </w:rPr>
        <w:t xml:space="preserve">) PSCs delivered the highest PCE of 22.9%.  </w:t>
      </w:r>
      <w:r w:rsidRPr="00845A3A">
        <w:rPr>
          <w:rFonts w:ascii="Times New Roman" w:hAnsi="Times New Roman" w:cs="Times New Roman"/>
          <w:sz w:val="24"/>
          <w:szCs w:val="24"/>
        </w:rPr>
        <w:lastRenderedPageBreak/>
        <w:t xml:space="preserve">Furthermore, </w:t>
      </w:r>
      <w:r w:rsidRPr="00845A3A">
        <w:rPr>
          <w:rFonts w:ascii="Times New Roman" w:hAnsi="Times New Roman" w:cs="Times New Roman"/>
          <w:i/>
          <w:iCs/>
          <w:sz w:val="24"/>
          <w:szCs w:val="24"/>
        </w:rPr>
        <w:t>V</w:t>
      </w:r>
      <w:r w:rsidRPr="00845A3A">
        <w:rPr>
          <w:rFonts w:ascii="Times New Roman" w:hAnsi="Times New Roman" w:cs="Times New Roman"/>
          <w:sz w:val="24"/>
          <w:szCs w:val="24"/>
          <w:vertAlign w:val="subscript"/>
        </w:rPr>
        <w:t>OC</w:t>
      </w:r>
      <w:r w:rsidRPr="00845A3A">
        <w:rPr>
          <w:rFonts w:ascii="Times New Roman" w:hAnsi="Times New Roman" w:cs="Times New Roman"/>
          <w:sz w:val="24"/>
          <w:szCs w:val="24"/>
        </w:rPr>
        <w:t xml:space="preserve"> of 1.19 V with PCE of 23.3% was demonstrated by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 based PSCs (0.09 cm</w:t>
      </w:r>
      <w:r w:rsidRPr="00845A3A">
        <w:rPr>
          <w:rFonts w:ascii="Times New Roman" w:hAnsi="Times New Roman" w:cs="Times New Roman"/>
          <w:sz w:val="24"/>
          <w:szCs w:val="24"/>
          <w:vertAlign w:val="superscript"/>
        </w:rPr>
        <w:t>2</w:t>
      </w:r>
      <w:r w:rsidRPr="00845A3A">
        <w:rPr>
          <w:rFonts w:ascii="Times New Roman" w:hAnsi="Times New Roman" w:cs="Times New Roman"/>
          <w:sz w:val="24"/>
          <w:szCs w:val="24"/>
        </w:rPr>
        <w:t xml:space="preserve"> active area) that were treated with 2-phenethylamine hydroiodide on the perovskite top surface. Notably, the unencapsulated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 based PSC was </w:t>
      </w:r>
      <w:r w:rsidR="00403370" w:rsidRPr="00845A3A">
        <w:rPr>
          <w:rFonts w:ascii="Times New Roman" w:hAnsi="Times New Roman" w:cs="Times New Roman"/>
          <w:sz w:val="24"/>
          <w:szCs w:val="24"/>
        </w:rPr>
        <w:t>able</w:t>
      </w:r>
      <w:r w:rsidRPr="00845A3A">
        <w:rPr>
          <w:rFonts w:ascii="Times New Roman" w:hAnsi="Times New Roman" w:cs="Times New Roman"/>
          <w:sz w:val="24"/>
          <w:szCs w:val="24"/>
        </w:rPr>
        <w:t xml:space="preserve"> to maintain above 90% of its initial PCE for around 2000 h which was stored at room temperature condition (23~25°C) with relative humidity of 40~50%.</w:t>
      </w:r>
    </w:p>
    <w:p w14:paraId="41C7AD25" w14:textId="77777777" w:rsidR="00EB55F0" w:rsidRPr="00845A3A" w:rsidRDefault="00EB55F0" w:rsidP="00AD69E0">
      <w:pPr>
        <w:spacing w:line="480" w:lineRule="auto"/>
        <w:jc w:val="both"/>
        <w:rPr>
          <w:rFonts w:ascii="Times New Roman" w:hAnsi="Times New Roman" w:cs="Times New Roman"/>
          <w:sz w:val="24"/>
          <w:szCs w:val="24"/>
        </w:rPr>
      </w:pPr>
      <w:r w:rsidRPr="00845A3A">
        <w:rPr>
          <w:rFonts w:ascii="Times New Roman" w:hAnsi="Times New Roman" w:cs="Times New Roman"/>
          <w:b/>
          <w:bCs/>
          <w:sz w:val="28"/>
          <w:szCs w:val="28"/>
        </w:rPr>
        <w:t>Keywords:</w:t>
      </w:r>
      <w:r w:rsidRPr="00845A3A">
        <w:rPr>
          <w:rFonts w:ascii="Times New Roman" w:hAnsi="Times New Roman" w:cs="Times New Roman"/>
          <w:sz w:val="24"/>
          <w:szCs w:val="24"/>
        </w:rPr>
        <w:t xml:space="preserv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 </w:t>
      </w:r>
      <w:r w:rsidRPr="00845A3A">
        <w:rPr>
          <w:rFonts w:ascii="Times New Roman" w:hAnsi="Times New Roman" w:cs="Times New Roman"/>
          <w:i/>
          <w:iCs/>
          <w:sz w:val="24"/>
          <w:szCs w:val="24"/>
        </w:rPr>
        <w:t>V</w:t>
      </w:r>
      <w:r w:rsidRPr="00845A3A">
        <w:rPr>
          <w:rFonts w:ascii="Times New Roman" w:hAnsi="Times New Roman" w:cs="Times New Roman"/>
          <w:sz w:val="24"/>
          <w:szCs w:val="24"/>
          <w:vertAlign w:val="subscript"/>
        </w:rPr>
        <w:t>OC</w:t>
      </w:r>
      <w:r w:rsidRPr="00845A3A">
        <w:rPr>
          <w:rFonts w:ascii="Times New Roman" w:hAnsi="Times New Roman" w:cs="Times New Roman"/>
          <w:sz w:val="24"/>
          <w:szCs w:val="24"/>
        </w:rPr>
        <w:t xml:space="preserve">; perovskite solar cell </w:t>
      </w:r>
    </w:p>
    <w:p w14:paraId="244A37EA" w14:textId="77777777" w:rsidR="00EB55F0" w:rsidRPr="00845A3A" w:rsidRDefault="00EB55F0" w:rsidP="00EA0FF4">
      <w:pPr>
        <w:spacing w:line="480" w:lineRule="auto"/>
        <w:jc w:val="both"/>
        <w:rPr>
          <w:rFonts w:ascii="Times New Roman" w:hAnsi="Times New Roman" w:cs="Times New Roman"/>
          <w:b/>
          <w:bCs/>
          <w:sz w:val="28"/>
          <w:szCs w:val="28"/>
        </w:rPr>
      </w:pPr>
      <w:r w:rsidRPr="00845A3A">
        <w:rPr>
          <w:rFonts w:ascii="Times New Roman" w:hAnsi="Times New Roman" w:cs="Times New Roman"/>
          <w:b/>
          <w:bCs/>
          <w:sz w:val="28"/>
          <w:szCs w:val="28"/>
        </w:rPr>
        <w:t>1. Introduction</w:t>
      </w:r>
    </w:p>
    <w:p w14:paraId="4E4FCCD2" w14:textId="77777777" w:rsidR="00EB55F0" w:rsidRPr="00845A3A" w:rsidRDefault="00EB55F0" w:rsidP="00AD69E0">
      <w:pPr>
        <w:spacing w:line="480" w:lineRule="auto"/>
        <w:jc w:val="both"/>
        <w:rPr>
          <w:rFonts w:ascii="Times New Roman" w:hAnsi="Times New Roman" w:cs="Times New Roman"/>
          <w:sz w:val="24"/>
          <w:szCs w:val="24"/>
        </w:rPr>
      </w:pPr>
      <w:r w:rsidRPr="00845A3A">
        <w:rPr>
          <w:rFonts w:ascii="Times New Roman" w:hAnsi="Times New Roman" w:cs="Times New Roman"/>
          <w:sz w:val="24"/>
          <w:szCs w:val="24"/>
        </w:rPr>
        <w:t>Within a very short-time, perovskite solar cells (PSCs) have abled to receive a special attention from the solar cell community and have become a strong contestant with silicon solar cells.</w:t>
      </w:r>
      <w:hyperlink r:id="rId8" w:history="1">
        <w:r w:rsidRPr="00845A3A">
          <w:rPr>
            <w:rFonts w:ascii="Times New Roman" w:eastAsia="Times New Roman" w:hAnsi="Times New Roman" w:cs="Times New Roman"/>
            <w:sz w:val="24"/>
            <w:szCs w:val="24"/>
            <w:vertAlign w:val="superscript"/>
          </w:rPr>
          <w:t>1</w:t>
        </w:r>
      </w:hyperlink>
      <w:r w:rsidRPr="00845A3A">
        <w:rPr>
          <w:rFonts w:ascii="Times New Roman" w:hAnsi="Times New Roman" w:cs="Times New Roman"/>
          <w:sz w:val="24"/>
          <w:szCs w:val="24"/>
        </w:rPr>
        <w:t xml:space="preserve"> The power conversion efficiency (PCE) of the lead (Pb) PSCs has promptly reached from an starting value of 3.8% to 26.1% within around ten years.</w:t>
      </w:r>
      <w:hyperlink r:id="rId9" w:history="1">
        <w:r w:rsidRPr="00845A3A">
          <w:rPr>
            <w:rFonts w:ascii="Times New Roman" w:eastAsia="Times New Roman" w:hAnsi="Times New Roman" w:cs="Times New Roman"/>
            <w:sz w:val="24"/>
            <w:vertAlign w:val="superscript"/>
          </w:rPr>
          <w:t>2</w:t>
        </w:r>
      </w:hyperlink>
      <w:r w:rsidRPr="00845A3A">
        <w:rPr>
          <w:rFonts w:ascii="Times New Roman" w:hAnsi="Times New Roman" w:cs="Times New Roman"/>
          <w:sz w:val="24"/>
          <w:szCs w:val="24"/>
        </w:rPr>
        <w:t xml:space="preserve"> Generally, the heterostructure of PSCs consists of the perovskite and charge extracting layers which is frequently described as p-</w:t>
      </w:r>
      <w:proofErr w:type="spellStart"/>
      <w:r w:rsidRPr="00845A3A">
        <w:rPr>
          <w:rFonts w:ascii="Times New Roman" w:hAnsi="Times New Roman" w:cs="Times New Roman"/>
          <w:sz w:val="24"/>
          <w:szCs w:val="24"/>
        </w:rPr>
        <w:t>i</w:t>
      </w:r>
      <w:proofErr w:type="spellEnd"/>
      <w:r w:rsidRPr="00845A3A">
        <w:rPr>
          <w:rFonts w:ascii="Times New Roman" w:hAnsi="Times New Roman" w:cs="Times New Roman"/>
          <w:sz w:val="24"/>
          <w:szCs w:val="24"/>
        </w:rPr>
        <w:t>-n or n-</w:t>
      </w:r>
      <w:proofErr w:type="spellStart"/>
      <w:r w:rsidRPr="00845A3A">
        <w:rPr>
          <w:rFonts w:ascii="Times New Roman" w:hAnsi="Times New Roman" w:cs="Times New Roman"/>
          <w:sz w:val="24"/>
          <w:szCs w:val="24"/>
        </w:rPr>
        <w:t>i</w:t>
      </w:r>
      <w:proofErr w:type="spellEnd"/>
      <w:r w:rsidRPr="00845A3A">
        <w:rPr>
          <w:rFonts w:ascii="Times New Roman" w:hAnsi="Times New Roman" w:cs="Times New Roman"/>
          <w:sz w:val="24"/>
          <w:szCs w:val="24"/>
        </w:rPr>
        <w:t>-p where p for hole transport layer (HTL) and n for an electron transport layer (ETL). Mostly, the highly efficient PSCs are n-</w:t>
      </w:r>
      <w:proofErr w:type="spellStart"/>
      <w:r w:rsidRPr="00845A3A">
        <w:rPr>
          <w:rFonts w:ascii="Times New Roman" w:hAnsi="Times New Roman" w:cs="Times New Roman"/>
          <w:sz w:val="24"/>
          <w:szCs w:val="24"/>
        </w:rPr>
        <w:t>i</w:t>
      </w:r>
      <w:proofErr w:type="spellEnd"/>
      <w:r w:rsidRPr="00845A3A">
        <w:rPr>
          <w:rFonts w:ascii="Times New Roman" w:hAnsi="Times New Roman" w:cs="Times New Roman"/>
          <w:sz w:val="24"/>
          <w:szCs w:val="24"/>
        </w:rPr>
        <w:t>-p structures in which the n-type ETL plays a vital contribution to the performance of the PSCs.</w:t>
      </w:r>
      <w:hyperlink r:id="rId10" w:history="1">
        <w:r w:rsidRPr="00845A3A">
          <w:rPr>
            <w:rFonts w:ascii="Times New Roman" w:eastAsia="Times New Roman" w:hAnsi="Times New Roman" w:cs="Times New Roman"/>
            <w:sz w:val="24"/>
            <w:szCs w:val="24"/>
            <w:vertAlign w:val="superscript"/>
          </w:rPr>
          <w:t>3,4</w:t>
        </w:r>
      </w:hyperlink>
      <w:r w:rsidRPr="00845A3A">
        <w:rPr>
          <w:rFonts w:ascii="Times New Roman" w:hAnsi="Times New Roman" w:cs="Times New Roman"/>
          <w:sz w:val="24"/>
          <w:szCs w:val="24"/>
        </w:rPr>
        <w:t xml:space="preserve">  The n-type TiO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w:t>
      </w:r>
      <w:hyperlink r:id="rId11" w:history="1">
        <w:r w:rsidRPr="00845A3A">
          <w:rPr>
            <w:rFonts w:ascii="Times New Roman" w:eastAsia="Times New Roman" w:hAnsi="Times New Roman" w:cs="Times New Roman"/>
            <w:sz w:val="24"/>
            <w:szCs w:val="24"/>
            <w:vertAlign w:val="superscript"/>
          </w:rPr>
          <w:t>5</w:t>
        </w:r>
      </w:hyperlink>
      <w:r w:rsidRPr="00845A3A">
        <w:rPr>
          <w:rFonts w:ascii="Times New Roman" w:hAnsi="Times New Roman" w:cs="Times New Roman"/>
          <w:sz w:val="24"/>
          <w:szCs w:val="24"/>
        </w:rPr>
        <w:t xml:space="preserve"> </w:t>
      </w:r>
      <w:proofErr w:type="spellStart"/>
      <w:r w:rsidRPr="00845A3A">
        <w:rPr>
          <w:rFonts w:ascii="Times New Roman" w:hAnsi="Times New Roman" w:cs="Times New Roman"/>
          <w:sz w:val="24"/>
          <w:szCs w:val="24"/>
        </w:rPr>
        <w:t>ZnO</w:t>
      </w:r>
      <w:proofErr w:type="spellEnd"/>
      <w:r w:rsidRPr="00845A3A">
        <w:rPr>
          <w:rFonts w:ascii="Times New Roman" w:hAnsi="Times New Roman" w:cs="Times New Roman"/>
          <w:sz w:val="24"/>
          <w:szCs w:val="24"/>
        </w:rPr>
        <w:t xml:space="preserve"> </w:t>
      </w:r>
      <w:hyperlink r:id="rId12" w:history="1">
        <w:r w:rsidRPr="00845A3A">
          <w:rPr>
            <w:rFonts w:ascii="Times New Roman" w:eastAsia="Times New Roman" w:hAnsi="Times New Roman" w:cs="Times New Roman"/>
            <w:sz w:val="24"/>
            <w:szCs w:val="24"/>
            <w:vertAlign w:val="superscript"/>
          </w:rPr>
          <w:t>6,7</w:t>
        </w:r>
      </w:hyperlink>
      <w:r w:rsidRPr="00845A3A">
        <w:rPr>
          <w:rFonts w:ascii="Times New Roman" w:hAnsi="Times New Roman" w:cs="Times New Roman"/>
          <w:sz w:val="24"/>
          <w:szCs w:val="24"/>
        </w:rPr>
        <w:t>, and SnO</w:t>
      </w:r>
      <w:r w:rsidRPr="00845A3A">
        <w:rPr>
          <w:rFonts w:ascii="Times New Roman" w:hAnsi="Times New Roman" w:cs="Times New Roman"/>
          <w:sz w:val="24"/>
          <w:szCs w:val="24"/>
          <w:vertAlign w:val="subscript"/>
        </w:rPr>
        <w:t xml:space="preserve">2 </w:t>
      </w:r>
      <w:hyperlink r:id="rId13" w:history="1">
        <w:r w:rsidRPr="00845A3A">
          <w:rPr>
            <w:rFonts w:ascii="Times New Roman" w:eastAsia="Times New Roman" w:hAnsi="Times New Roman" w:cs="Times New Roman"/>
            <w:vertAlign w:val="superscript"/>
          </w:rPr>
          <w:t>8,9</w:t>
        </w:r>
      </w:hyperlink>
      <w:r w:rsidRPr="00845A3A">
        <w:rPr>
          <w:rFonts w:ascii="Times New Roman" w:hAnsi="Times New Roman" w:cs="Times New Roman"/>
          <w:sz w:val="24"/>
          <w:szCs w:val="24"/>
        </w:rPr>
        <w:t xml:space="preserve"> ETLs were used by a huge number of researchers. Among all ETLs,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stands out for having exceptional properties including extraordinary electron mobility (240 cm</w:t>
      </w:r>
      <w:r w:rsidRPr="00845A3A">
        <w:rPr>
          <w:rFonts w:ascii="Times New Roman" w:hAnsi="Times New Roman" w:cs="Times New Roman"/>
          <w:sz w:val="24"/>
          <w:szCs w:val="24"/>
          <w:vertAlign w:val="superscript"/>
        </w:rPr>
        <w:t>2</w:t>
      </w:r>
      <w:r w:rsidRPr="00845A3A">
        <w:rPr>
          <w:rFonts w:ascii="Times New Roman" w:hAnsi="Times New Roman" w:cs="Times New Roman"/>
          <w:sz w:val="24"/>
          <w:szCs w:val="24"/>
        </w:rPr>
        <w:t>V</w:t>
      </w:r>
      <w:r w:rsidRPr="00845A3A">
        <w:rPr>
          <w:rFonts w:ascii="Times New Roman" w:hAnsi="Times New Roman" w:cs="Times New Roman"/>
          <w:sz w:val="24"/>
          <w:szCs w:val="24"/>
          <w:vertAlign w:val="superscript"/>
        </w:rPr>
        <w:t>-1</w:t>
      </w:r>
      <w:r w:rsidRPr="00845A3A">
        <w:rPr>
          <w:rFonts w:ascii="Times New Roman" w:hAnsi="Times New Roman" w:cs="Times New Roman"/>
          <w:sz w:val="24"/>
          <w:szCs w:val="24"/>
        </w:rPr>
        <w:t>s</w:t>
      </w:r>
      <w:r w:rsidRPr="00845A3A">
        <w:rPr>
          <w:rFonts w:ascii="Times New Roman" w:hAnsi="Times New Roman" w:cs="Times New Roman"/>
          <w:sz w:val="24"/>
          <w:szCs w:val="24"/>
          <w:vertAlign w:val="superscript"/>
        </w:rPr>
        <w:t>-1</w:t>
      </w:r>
      <w:r w:rsidRPr="00845A3A">
        <w:rPr>
          <w:rFonts w:ascii="Times New Roman" w:hAnsi="Times New Roman" w:cs="Times New Roman"/>
          <w:sz w:val="24"/>
          <w:szCs w:val="24"/>
        </w:rPr>
        <w:t>),</w:t>
      </w:r>
      <w:hyperlink r:id="rId14" w:history="1">
        <w:r w:rsidRPr="00845A3A">
          <w:rPr>
            <w:rFonts w:ascii="Times New Roman" w:eastAsia="Times New Roman" w:hAnsi="Times New Roman" w:cs="Times New Roman"/>
            <w:sz w:val="24"/>
            <w:vertAlign w:val="superscript"/>
          </w:rPr>
          <w:t>10</w:t>
        </w:r>
      </w:hyperlink>
      <w:r w:rsidRPr="00845A3A">
        <w:rPr>
          <w:rFonts w:ascii="Times New Roman" w:hAnsi="Times New Roman" w:cs="Times New Roman"/>
          <w:sz w:val="24"/>
          <w:szCs w:val="24"/>
        </w:rPr>
        <w:t xml:space="preserve"> wide band gap (3.6–4.0 eV),</w:t>
      </w:r>
      <w:hyperlink r:id="rId15" w:history="1">
        <w:r w:rsidRPr="00845A3A">
          <w:rPr>
            <w:rFonts w:ascii="Times New Roman" w:eastAsia="Times New Roman" w:hAnsi="Times New Roman" w:cs="Times New Roman"/>
            <w:sz w:val="24"/>
            <w:vertAlign w:val="superscript"/>
          </w:rPr>
          <w:t>11</w:t>
        </w:r>
      </w:hyperlink>
      <w:r w:rsidRPr="00845A3A">
        <w:rPr>
          <w:rFonts w:ascii="Times New Roman" w:hAnsi="Times New Roman" w:cs="Times New Roman"/>
          <w:sz w:val="24"/>
          <w:szCs w:val="24"/>
        </w:rPr>
        <w:t xml:space="preserve"> utilize a low-temperature production technique,</w:t>
      </w:r>
      <w:hyperlink r:id="rId16" w:history="1">
        <w:r w:rsidRPr="00845A3A">
          <w:rPr>
            <w:rFonts w:ascii="Times New Roman" w:eastAsia="Times New Roman" w:hAnsi="Times New Roman" w:cs="Times New Roman"/>
            <w:sz w:val="24"/>
            <w:vertAlign w:val="superscript"/>
          </w:rPr>
          <w:t>12</w:t>
        </w:r>
      </w:hyperlink>
      <w:r w:rsidRPr="00845A3A">
        <w:rPr>
          <w:rFonts w:ascii="Times New Roman" w:hAnsi="Times New Roman" w:cs="Times New Roman"/>
          <w:sz w:val="24"/>
          <w:szCs w:val="24"/>
        </w:rPr>
        <w:t xml:space="preserve"> and great stability under UV light</w:t>
      </w:r>
      <w:hyperlink r:id="rId17" w:history="1">
        <w:r w:rsidRPr="00845A3A">
          <w:rPr>
            <w:rFonts w:ascii="Times New Roman" w:eastAsia="Times New Roman" w:hAnsi="Times New Roman" w:cs="Times New Roman"/>
            <w:sz w:val="24"/>
            <w:vertAlign w:val="superscript"/>
          </w:rPr>
          <w:t>13</w:t>
        </w:r>
      </w:hyperlink>
      <w:r w:rsidRPr="00845A3A">
        <w:rPr>
          <w:rFonts w:ascii="Times New Roman" w:hAnsi="Times New Roman" w:cs="Times New Roman"/>
          <w:sz w:val="24"/>
          <w:szCs w:val="24"/>
        </w:rPr>
        <w:t>, etc. Recently, Seok et al. reported the best PCE of 25.73% of the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-based PSCs.</w:t>
      </w:r>
      <w:hyperlink r:id="rId18" w:history="1">
        <w:r w:rsidRPr="00845A3A">
          <w:rPr>
            <w:rFonts w:ascii="Times New Roman" w:eastAsia="Times New Roman" w:hAnsi="Times New Roman" w:cs="Times New Roman"/>
            <w:sz w:val="24"/>
            <w:vertAlign w:val="superscript"/>
          </w:rPr>
          <w:t>14</w:t>
        </w:r>
      </w:hyperlink>
      <w:r w:rsidRPr="00845A3A">
        <w:rPr>
          <w:rFonts w:ascii="Times New Roman" w:hAnsi="Times New Roman" w:cs="Times New Roman"/>
          <w:sz w:val="24"/>
          <w:szCs w:val="24"/>
        </w:rPr>
        <w:t xml:space="preserve">  </w:t>
      </w:r>
    </w:p>
    <w:p w14:paraId="667172B2" w14:textId="77777777" w:rsidR="00EB55F0" w:rsidRPr="00845A3A" w:rsidRDefault="00EB55F0" w:rsidP="00AD69E0">
      <w:pPr>
        <w:spacing w:line="480" w:lineRule="auto"/>
        <w:jc w:val="both"/>
        <w:rPr>
          <w:rFonts w:ascii="Times New Roman" w:hAnsi="Times New Roman" w:cs="Times New Roman"/>
          <w:sz w:val="24"/>
          <w:szCs w:val="24"/>
        </w:rPr>
      </w:pPr>
      <w:r w:rsidRPr="00845A3A">
        <w:rPr>
          <w:rFonts w:ascii="Times New Roman" w:hAnsi="Times New Roman" w:cs="Times New Roman"/>
          <w:sz w:val="24"/>
          <w:szCs w:val="24"/>
        </w:rPr>
        <w:t>However,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films have inherent surface and bulk oxygen vacancies, which result in carrier recombination loss in the PSCs.</w:t>
      </w:r>
      <w:hyperlink r:id="rId19" w:history="1">
        <w:r w:rsidRPr="00845A3A">
          <w:rPr>
            <w:rFonts w:ascii="Times New Roman" w:eastAsia="Times New Roman" w:hAnsi="Times New Roman" w:cs="Times New Roman"/>
            <w:sz w:val="24"/>
            <w:vertAlign w:val="superscript"/>
          </w:rPr>
          <w:t>15,16</w:t>
        </w:r>
      </w:hyperlink>
      <w:r w:rsidRPr="00845A3A">
        <w:rPr>
          <w:rFonts w:ascii="Times New Roman" w:hAnsi="Times New Roman" w:cs="Times New Roman"/>
          <w:sz w:val="24"/>
          <w:szCs w:val="24"/>
        </w:rPr>
        <w:t xml:space="preserve"> Besides, the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 shows an energy level mismatch with the lead halide perovskite layer.</w:t>
      </w:r>
      <w:hyperlink r:id="rId20" w:history="1">
        <w:r w:rsidRPr="00845A3A">
          <w:rPr>
            <w:rFonts w:ascii="Times New Roman" w:eastAsia="Times New Roman" w:hAnsi="Times New Roman" w:cs="Times New Roman"/>
            <w:sz w:val="24"/>
            <w:vertAlign w:val="superscript"/>
          </w:rPr>
          <w:t>17,18</w:t>
        </w:r>
      </w:hyperlink>
      <w:r w:rsidRPr="00845A3A">
        <w:rPr>
          <w:rFonts w:ascii="Times New Roman" w:hAnsi="Times New Roman" w:cs="Times New Roman"/>
          <w:sz w:val="24"/>
          <w:szCs w:val="24"/>
        </w:rPr>
        <w:t xml:space="preserve"> These imperfections inevitably result in a significant amount of open circuit voltage (</w:t>
      </w:r>
      <w:r w:rsidRPr="00845A3A">
        <w:rPr>
          <w:rFonts w:ascii="Times New Roman" w:hAnsi="Times New Roman" w:cs="Times New Roman"/>
          <w:i/>
          <w:iCs/>
          <w:sz w:val="24"/>
          <w:szCs w:val="24"/>
        </w:rPr>
        <w:t>V</w:t>
      </w:r>
      <w:r w:rsidRPr="00845A3A">
        <w:rPr>
          <w:rFonts w:ascii="Times New Roman" w:hAnsi="Times New Roman" w:cs="Times New Roman"/>
          <w:sz w:val="24"/>
          <w:szCs w:val="24"/>
          <w:vertAlign w:val="subscript"/>
        </w:rPr>
        <w:t>OC</w:t>
      </w:r>
      <w:r w:rsidRPr="00845A3A">
        <w:rPr>
          <w:rFonts w:ascii="Times New Roman" w:hAnsi="Times New Roman" w:cs="Times New Roman"/>
          <w:sz w:val="24"/>
          <w:szCs w:val="24"/>
        </w:rPr>
        <w:t>) loss in the PSCs.</w:t>
      </w:r>
      <w:hyperlink r:id="rId21" w:history="1">
        <w:r w:rsidRPr="00845A3A">
          <w:rPr>
            <w:rFonts w:ascii="Times New Roman" w:eastAsia="Times New Roman" w:hAnsi="Times New Roman" w:cs="Times New Roman"/>
            <w:sz w:val="24"/>
            <w:vertAlign w:val="superscript"/>
          </w:rPr>
          <w:t>3,4</w:t>
        </w:r>
      </w:hyperlink>
      <w:r w:rsidRPr="00845A3A">
        <w:rPr>
          <w:rFonts w:ascii="Times New Roman" w:hAnsi="Times New Roman" w:cs="Times New Roman"/>
          <w:sz w:val="24"/>
          <w:szCs w:val="24"/>
        </w:rPr>
        <w:t xml:space="preserve"> An effective and facile way to adjust </w:t>
      </w:r>
      <w:r w:rsidRPr="00845A3A">
        <w:rPr>
          <w:rFonts w:ascii="Times New Roman" w:hAnsi="Times New Roman" w:cs="Times New Roman"/>
          <w:sz w:val="24"/>
          <w:szCs w:val="24"/>
        </w:rPr>
        <w:lastRenderedPageBreak/>
        <w:t>the energy level of semiconductor materials is element doping.</w:t>
      </w:r>
      <w:hyperlink r:id="rId22" w:history="1">
        <w:r w:rsidRPr="00845A3A">
          <w:rPr>
            <w:rFonts w:ascii="Times New Roman" w:eastAsia="Times New Roman" w:hAnsi="Times New Roman" w:cs="Times New Roman"/>
            <w:sz w:val="24"/>
            <w:vertAlign w:val="superscript"/>
          </w:rPr>
          <w:t>19,20</w:t>
        </w:r>
      </w:hyperlink>
      <w:r w:rsidRPr="00845A3A">
        <w:rPr>
          <w:rFonts w:ascii="Times New Roman" w:hAnsi="Times New Roman" w:cs="Times New Roman"/>
          <w:sz w:val="24"/>
          <w:szCs w:val="24"/>
        </w:rPr>
        <w:t xml:space="preserve"> In n-type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 p-type doping may lower the density of electron in the conduction band (CB) and tune the band alignment of the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w:t>
      </w:r>
      <w:hyperlink r:id="rId23" w:history="1">
        <w:r w:rsidRPr="00845A3A">
          <w:rPr>
            <w:rFonts w:ascii="Times New Roman" w:eastAsia="Times New Roman" w:hAnsi="Times New Roman" w:cs="Times New Roman"/>
            <w:sz w:val="24"/>
            <w:vertAlign w:val="superscript"/>
          </w:rPr>
          <w:t>20</w:t>
        </w:r>
      </w:hyperlink>
      <w:r w:rsidRPr="00845A3A">
        <w:rPr>
          <w:rFonts w:ascii="Times New Roman" w:hAnsi="Times New Roman" w:cs="Times New Roman"/>
          <w:sz w:val="24"/>
          <w:szCs w:val="24"/>
        </w:rPr>
        <w:t xml:space="preserve"> From the theoretical analysis, Duan et al. revealed that the CB of the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can be shifted to upward energy with the p-type doping.</w:t>
      </w:r>
      <w:hyperlink r:id="rId24" w:history="1">
        <w:r w:rsidRPr="00845A3A">
          <w:rPr>
            <w:rFonts w:ascii="Times New Roman" w:eastAsia="Times New Roman" w:hAnsi="Times New Roman" w:cs="Times New Roman"/>
            <w:sz w:val="24"/>
            <w:vertAlign w:val="superscript"/>
          </w:rPr>
          <w:t>21</w:t>
        </w:r>
      </w:hyperlink>
      <w:r w:rsidRPr="00845A3A">
        <w:rPr>
          <w:rFonts w:ascii="Times New Roman" w:hAnsi="Times New Roman" w:cs="Times New Roman"/>
          <w:sz w:val="24"/>
          <w:szCs w:val="24"/>
        </w:rPr>
        <w:t xml:space="preserve"> Furthermore, effective p-type doping may substantially reduce oxygen vacancies in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 which may inhibit the interface (ETL/perovskite) charge recombination loss.</w:t>
      </w:r>
      <w:hyperlink r:id="rId25" w:history="1">
        <w:r w:rsidRPr="00845A3A">
          <w:rPr>
            <w:rFonts w:ascii="Times New Roman" w:eastAsia="Times New Roman" w:hAnsi="Times New Roman" w:cs="Times New Roman"/>
            <w:sz w:val="24"/>
            <w:vertAlign w:val="superscript"/>
          </w:rPr>
          <w:t>22,23</w:t>
        </w:r>
      </w:hyperlink>
      <w:r w:rsidRPr="00845A3A">
        <w:rPr>
          <w:rFonts w:ascii="Times New Roman" w:hAnsi="Times New Roman" w:cs="Times New Roman"/>
          <w:sz w:val="24"/>
          <w:szCs w:val="24"/>
        </w:rPr>
        <w:t xml:space="preserve"> To overcome the shortcoming associated with the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 different research groups employed a variety of elements as p-type doping for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 including Li (lithium),</w:t>
      </w:r>
      <w:hyperlink r:id="rId26" w:history="1">
        <w:r w:rsidRPr="00845A3A">
          <w:rPr>
            <w:rFonts w:ascii="Times New Roman" w:eastAsia="Times New Roman" w:hAnsi="Times New Roman" w:cs="Times New Roman"/>
            <w:sz w:val="24"/>
            <w:vertAlign w:val="superscript"/>
          </w:rPr>
          <w:t>24</w:t>
        </w:r>
      </w:hyperlink>
      <w:r w:rsidRPr="00845A3A">
        <w:rPr>
          <w:rFonts w:ascii="Times New Roman" w:hAnsi="Times New Roman" w:cs="Times New Roman"/>
          <w:sz w:val="24"/>
          <w:szCs w:val="24"/>
        </w:rPr>
        <w:t xml:space="preserve"> K (potassium),</w:t>
      </w:r>
      <w:hyperlink r:id="rId27" w:history="1">
        <w:r w:rsidRPr="00845A3A">
          <w:rPr>
            <w:rFonts w:ascii="Times New Roman" w:eastAsia="Times New Roman" w:hAnsi="Times New Roman" w:cs="Times New Roman"/>
            <w:sz w:val="24"/>
            <w:vertAlign w:val="superscript"/>
          </w:rPr>
          <w:t>25</w:t>
        </w:r>
      </w:hyperlink>
      <w:r w:rsidRPr="00845A3A">
        <w:rPr>
          <w:rFonts w:ascii="Times New Roman" w:hAnsi="Times New Roman" w:cs="Times New Roman"/>
          <w:sz w:val="24"/>
          <w:szCs w:val="24"/>
        </w:rPr>
        <w:t xml:space="preserve"> Cu (copper),</w:t>
      </w:r>
      <w:hyperlink r:id="rId28" w:history="1">
        <w:r w:rsidRPr="00845A3A">
          <w:rPr>
            <w:rFonts w:ascii="Times New Roman" w:eastAsia="Times New Roman" w:hAnsi="Times New Roman" w:cs="Times New Roman"/>
            <w:sz w:val="24"/>
            <w:vertAlign w:val="superscript"/>
          </w:rPr>
          <w:t>26</w:t>
        </w:r>
      </w:hyperlink>
      <w:r w:rsidRPr="00845A3A">
        <w:rPr>
          <w:rFonts w:ascii="Times New Roman" w:hAnsi="Times New Roman" w:cs="Times New Roman"/>
          <w:sz w:val="24"/>
          <w:szCs w:val="24"/>
        </w:rPr>
        <w:t xml:space="preserve"> Zn (zinc),</w:t>
      </w:r>
      <w:hyperlink r:id="rId29" w:history="1">
        <w:r w:rsidRPr="00845A3A">
          <w:rPr>
            <w:rFonts w:ascii="Times New Roman" w:eastAsia="Times New Roman" w:hAnsi="Times New Roman" w:cs="Times New Roman"/>
            <w:sz w:val="24"/>
            <w:vertAlign w:val="superscript"/>
          </w:rPr>
          <w:t>27</w:t>
        </w:r>
      </w:hyperlink>
      <w:r w:rsidRPr="00845A3A">
        <w:rPr>
          <w:rFonts w:ascii="Times New Roman" w:hAnsi="Times New Roman" w:cs="Times New Roman"/>
          <w:sz w:val="24"/>
          <w:szCs w:val="24"/>
        </w:rPr>
        <w:t xml:space="preserve"> Eu (europium),</w:t>
      </w:r>
      <w:hyperlink r:id="rId30" w:history="1">
        <w:r w:rsidRPr="00845A3A">
          <w:rPr>
            <w:rFonts w:ascii="Times New Roman" w:eastAsia="Times New Roman" w:hAnsi="Times New Roman" w:cs="Times New Roman"/>
            <w:sz w:val="24"/>
            <w:vertAlign w:val="superscript"/>
          </w:rPr>
          <w:t>28</w:t>
        </w:r>
      </w:hyperlink>
      <w:r w:rsidRPr="00845A3A">
        <w:rPr>
          <w:rFonts w:ascii="Times New Roman" w:hAnsi="Times New Roman" w:cs="Times New Roman"/>
          <w:sz w:val="24"/>
          <w:szCs w:val="24"/>
        </w:rPr>
        <w:t xml:space="preserve"> Ga (gallium),</w:t>
      </w:r>
      <w:hyperlink r:id="rId31" w:history="1">
        <w:r w:rsidRPr="00845A3A">
          <w:rPr>
            <w:rFonts w:ascii="Times New Roman" w:eastAsia="Times New Roman" w:hAnsi="Times New Roman" w:cs="Times New Roman"/>
            <w:sz w:val="24"/>
            <w:vertAlign w:val="superscript"/>
          </w:rPr>
          <w:t>29</w:t>
        </w:r>
      </w:hyperlink>
      <w:r w:rsidRPr="00845A3A">
        <w:rPr>
          <w:rFonts w:ascii="Times New Roman" w:hAnsi="Times New Roman" w:cs="Times New Roman"/>
          <w:sz w:val="24"/>
          <w:szCs w:val="24"/>
        </w:rPr>
        <w:t xml:space="preserve"> Y (yttrium),</w:t>
      </w:r>
      <w:hyperlink r:id="rId32" w:history="1">
        <w:r w:rsidRPr="00845A3A">
          <w:rPr>
            <w:rFonts w:ascii="Times New Roman" w:eastAsia="Times New Roman" w:hAnsi="Times New Roman" w:cs="Times New Roman"/>
            <w:sz w:val="24"/>
            <w:vertAlign w:val="superscript"/>
          </w:rPr>
          <w:t>23</w:t>
        </w:r>
      </w:hyperlink>
      <w:r w:rsidRPr="00845A3A">
        <w:rPr>
          <w:rFonts w:ascii="Times New Roman" w:hAnsi="Times New Roman" w:cs="Times New Roman"/>
          <w:sz w:val="24"/>
          <w:szCs w:val="24"/>
        </w:rPr>
        <w:t xml:space="preserve"> Gd (gadolinium),</w:t>
      </w:r>
      <w:hyperlink r:id="rId33" w:history="1">
        <w:r w:rsidRPr="00845A3A">
          <w:rPr>
            <w:rFonts w:ascii="Times New Roman" w:eastAsia="Times New Roman" w:hAnsi="Times New Roman" w:cs="Times New Roman"/>
            <w:sz w:val="24"/>
            <w:vertAlign w:val="superscript"/>
          </w:rPr>
          <w:t>22</w:t>
        </w:r>
      </w:hyperlink>
      <w:r w:rsidRPr="00845A3A">
        <w:rPr>
          <w:rFonts w:ascii="Times New Roman" w:hAnsi="Times New Roman" w:cs="Times New Roman"/>
          <w:sz w:val="24"/>
          <w:szCs w:val="24"/>
        </w:rPr>
        <w:t xml:space="preserve"> etc. Still, perovskite researchers are searching for a suitable p-type dopant for the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 to overcome the shortcomings of the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w:t>
      </w:r>
    </w:p>
    <w:p w14:paraId="294A11C6" w14:textId="77777777" w:rsidR="00EB55F0" w:rsidRPr="00845A3A" w:rsidRDefault="00EB55F0" w:rsidP="00AD69E0">
      <w:pPr>
        <w:spacing w:line="480" w:lineRule="auto"/>
        <w:jc w:val="both"/>
        <w:rPr>
          <w:rFonts w:ascii="Times New Roman" w:hAnsi="Times New Roman" w:cs="Times New Roman"/>
          <w:b/>
          <w:bCs/>
          <w:sz w:val="24"/>
          <w:szCs w:val="24"/>
        </w:rPr>
      </w:pPr>
      <w:r w:rsidRPr="00845A3A">
        <w:rPr>
          <w:rFonts w:ascii="Times New Roman" w:hAnsi="Times New Roman" w:cs="Times New Roman"/>
          <w:sz w:val="24"/>
          <w:szCs w:val="24"/>
        </w:rPr>
        <w:t>Recently, the rare earth metals (REMs) with partially filled 4f orbital and unoccupied 5d orbitals have obtained significant interest to be employed as p-type dopants for the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 due to their distinctive optical and electrical properties.</w:t>
      </w:r>
      <w:hyperlink r:id="rId34" w:history="1">
        <w:r w:rsidRPr="00845A3A">
          <w:rPr>
            <w:rFonts w:ascii="Times New Roman" w:eastAsia="Times New Roman" w:hAnsi="Times New Roman" w:cs="Times New Roman"/>
            <w:vertAlign w:val="superscript"/>
          </w:rPr>
          <w:t>30,31</w:t>
        </w:r>
      </w:hyperlink>
      <w:r w:rsidRPr="00845A3A">
        <w:rPr>
          <w:rFonts w:ascii="Times New Roman" w:hAnsi="Times New Roman" w:cs="Times New Roman"/>
          <w:sz w:val="24"/>
          <w:szCs w:val="24"/>
        </w:rPr>
        <w:t xml:space="preserve"> Previous research works reveal that the introduction of REM-dopant in ETLs is an effective strategy for enhancing PSC performance.</w:t>
      </w:r>
      <w:hyperlink r:id="rId35" w:history="1">
        <w:r w:rsidRPr="00845A3A">
          <w:rPr>
            <w:rFonts w:ascii="Times New Roman" w:eastAsia="Times New Roman" w:hAnsi="Times New Roman" w:cs="Times New Roman"/>
            <w:sz w:val="24"/>
            <w:vertAlign w:val="superscript"/>
          </w:rPr>
          <w:t>22,29,30</w:t>
        </w:r>
      </w:hyperlink>
      <w:r w:rsidRPr="00845A3A">
        <w:rPr>
          <w:rFonts w:ascii="Times New Roman" w:hAnsi="Times New Roman" w:cs="Times New Roman"/>
          <w:sz w:val="24"/>
          <w:szCs w:val="24"/>
        </w:rPr>
        <w:t xml:space="preserve"> The REM cerium (Ce) has mixed oxidation states (Ce</w:t>
      </w:r>
      <w:r w:rsidRPr="00845A3A">
        <w:rPr>
          <w:rFonts w:ascii="Times New Roman" w:hAnsi="Times New Roman" w:cs="Times New Roman"/>
          <w:sz w:val="24"/>
          <w:szCs w:val="24"/>
          <w:vertAlign w:val="superscript"/>
        </w:rPr>
        <w:t>3+</w:t>
      </w:r>
      <w:r w:rsidRPr="00845A3A">
        <w:rPr>
          <w:rFonts w:ascii="Times New Roman" w:hAnsi="Times New Roman" w:cs="Times New Roman"/>
          <w:sz w:val="24"/>
          <w:szCs w:val="24"/>
        </w:rPr>
        <w:t>/Ce</w:t>
      </w:r>
      <w:r w:rsidRPr="00845A3A">
        <w:rPr>
          <w:rFonts w:ascii="Times New Roman" w:hAnsi="Times New Roman" w:cs="Times New Roman"/>
          <w:sz w:val="24"/>
          <w:szCs w:val="24"/>
          <w:vertAlign w:val="superscript"/>
        </w:rPr>
        <w:t>4+</w:t>
      </w:r>
      <w:r w:rsidRPr="00845A3A">
        <w:rPr>
          <w:rFonts w:ascii="Times New Roman" w:hAnsi="Times New Roman" w:cs="Times New Roman"/>
          <w:sz w:val="24"/>
          <w:szCs w:val="24"/>
        </w:rPr>
        <w:t>) and it can easily shift between these oxidation states.</w:t>
      </w:r>
      <w:hyperlink r:id="rId36" w:history="1">
        <w:r w:rsidRPr="00845A3A">
          <w:rPr>
            <w:rFonts w:ascii="Times New Roman" w:eastAsia="Times New Roman" w:hAnsi="Times New Roman" w:cs="Times New Roman"/>
            <w:sz w:val="24"/>
            <w:vertAlign w:val="superscript"/>
          </w:rPr>
          <w:t>32</w:t>
        </w:r>
      </w:hyperlink>
      <w:r w:rsidRPr="00845A3A">
        <w:rPr>
          <w:rFonts w:ascii="Times New Roman" w:hAnsi="Times New Roman" w:cs="Times New Roman"/>
          <w:sz w:val="24"/>
          <w:szCs w:val="24"/>
        </w:rPr>
        <w:t xml:space="preserve"> Yang et al.</w:t>
      </w:r>
      <w:hyperlink r:id="rId37" w:history="1">
        <w:r w:rsidRPr="00845A3A">
          <w:rPr>
            <w:rFonts w:ascii="Times New Roman" w:eastAsia="Times New Roman" w:hAnsi="Times New Roman" w:cs="Times New Roman"/>
            <w:sz w:val="24"/>
            <w:vertAlign w:val="superscript"/>
          </w:rPr>
          <w:t>33</w:t>
        </w:r>
      </w:hyperlink>
      <w:r w:rsidRPr="00845A3A">
        <w:rPr>
          <w:rFonts w:ascii="Times New Roman" w:hAnsi="Times New Roman" w:cs="Times New Roman"/>
          <w:sz w:val="24"/>
          <w:szCs w:val="24"/>
        </w:rPr>
        <w:t xml:space="preserve"> and Lu et al.</w:t>
      </w:r>
      <w:hyperlink r:id="rId38" w:history="1">
        <w:r w:rsidRPr="00845A3A">
          <w:rPr>
            <w:rFonts w:ascii="Times New Roman" w:eastAsia="Times New Roman" w:hAnsi="Times New Roman" w:cs="Times New Roman"/>
            <w:sz w:val="24"/>
            <w:vertAlign w:val="superscript"/>
          </w:rPr>
          <w:t>34</w:t>
        </w:r>
      </w:hyperlink>
      <w:r w:rsidRPr="00845A3A">
        <w:rPr>
          <w:rFonts w:ascii="Times New Roman" w:hAnsi="Times New Roman" w:cs="Times New Roman"/>
          <w:sz w:val="24"/>
          <w:szCs w:val="24"/>
        </w:rPr>
        <w:t xml:space="preserve"> introduced Ce into TiO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 The upward shift of CB was observed in Ce-doped TiO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compared to the pristine TiO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w:t>
      </w:r>
      <w:hyperlink r:id="rId39" w:history="1">
        <w:r w:rsidRPr="00845A3A">
          <w:rPr>
            <w:rFonts w:ascii="Times New Roman" w:eastAsia="Times New Roman" w:hAnsi="Times New Roman" w:cs="Times New Roman"/>
            <w:sz w:val="24"/>
            <w:vertAlign w:val="superscript"/>
          </w:rPr>
          <w:t>33,34</w:t>
        </w:r>
      </w:hyperlink>
      <w:r w:rsidRPr="00845A3A">
        <w:rPr>
          <w:rFonts w:ascii="Times New Roman" w:hAnsi="Times New Roman" w:cs="Times New Roman"/>
          <w:sz w:val="24"/>
          <w:szCs w:val="24"/>
        </w:rPr>
        <w:t xml:space="preserve"> Besides, Ce can get into the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and Ce-doped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has been researched for the gas sensing</w:t>
      </w:r>
      <w:hyperlink r:id="rId40" w:history="1">
        <w:r w:rsidRPr="00845A3A">
          <w:rPr>
            <w:rFonts w:ascii="Times New Roman" w:eastAsia="Times New Roman" w:hAnsi="Times New Roman" w:cs="Times New Roman"/>
            <w:sz w:val="24"/>
            <w:vertAlign w:val="superscript"/>
          </w:rPr>
          <w:t>35</w:t>
        </w:r>
      </w:hyperlink>
      <w:r w:rsidRPr="00845A3A">
        <w:rPr>
          <w:rFonts w:ascii="Times New Roman" w:hAnsi="Times New Roman" w:cs="Times New Roman"/>
          <w:sz w:val="24"/>
          <w:szCs w:val="24"/>
        </w:rPr>
        <w:t xml:space="preserve"> and photocatalytic</w:t>
      </w:r>
      <w:hyperlink r:id="rId41" w:history="1">
        <w:r w:rsidRPr="00845A3A">
          <w:rPr>
            <w:rFonts w:ascii="Times New Roman" w:eastAsia="Times New Roman" w:hAnsi="Times New Roman" w:cs="Times New Roman"/>
            <w:sz w:val="24"/>
            <w:vertAlign w:val="superscript"/>
          </w:rPr>
          <w:t>36</w:t>
        </w:r>
      </w:hyperlink>
      <w:r w:rsidRPr="00845A3A">
        <w:rPr>
          <w:rFonts w:ascii="Times New Roman" w:hAnsi="Times New Roman" w:cs="Times New Roman"/>
          <w:sz w:val="24"/>
          <w:szCs w:val="24"/>
        </w:rPr>
        <w:t xml:space="preserve"> applications. So far, no research has been conducted on the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 in the PSCs. A detailed study on the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 could uncover its possibility to suppress the </w:t>
      </w:r>
      <w:r w:rsidRPr="00845A3A">
        <w:rPr>
          <w:rFonts w:ascii="Times New Roman" w:hAnsi="Times New Roman" w:cs="Times New Roman"/>
          <w:i/>
          <w:iCs/>
          <w:sz w:val="24"/>
          <w:szCs w:val="24"/>
        </w:rPr>
        <w:t>V</w:t>
      </w:r>
      <w:r w:rsidRPr="00845A3A">
        <w:rPr>
          <w:rFonts w:ascii="Times New Roman" w:hAnsi="Times New Roman" w:cs="Times New Roman"/>
          <w:sz w:val="24"/>
          <w:szCs w:val="24"/>
          <w:vertAlign w:val="subscript"/>
        </w:rPr>
        <w:t>OC</w:t>
      </w:r>
      <w:r w:rsidRPr="00845A3A">
        <w:rPr>
          <w:rFonts w:ascii="Times New Roman" w:hAnsi="Times New Roman" w:cs="Times New Roman"/>
          <w:sz w:val="24"/>
          <w:szCs w:val="24"/>
        </w:rPr>
        <w:t xml:space="preserve"> loss and increase overall performance of the PSCs.</w:t>
      </w:r>
    </w:p>
    <w:p w14:paraId="19989D1E" w14:textId="77777777" w:rsidR="00EB55F0" w:rsidRPr="00845A3A" w:rsidRDefault="00EB55F0" w:rsidP="00324DDF">
      <w:pPr>
        <w:spacing w:line="480" w:lineRule="auto"/>
        <w:jc w:val="both"/>
        <w:rPr>
          <w:rFonts w:ascii="Times New Roman" w:hAnsi="Times New Roman" w:cs="Times New Roman"/>
          <w:sz w:val="24"/>
          <w:szCs w:val="24"/>
        </w:rPr>
      </w:pPr>
      <w:r w:rsidRPr="00845A3A">
        <w:rPr>
          <w:rFonts w:ascii="Times New Roman" w:hAnsi="Times New Roman" w:cs="Times New Roman"/>
          <w:sz w:val="24"/>
          <w:szCs w:val="24"/>
        </w:rPr>
        <w:t>In this research,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 was researched in the PSCs to suppress the interface (ETL/perovskite) recombination loss. The energy band alignment of the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was found to be better suited with the perovskite than to the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The electron extraction efficiency of </w:t>
      </w:r>
      <w:r w:rsidRPr="00845A3A">
        <w:rPr>
          <w:rFonts w:ascii="Times New Roman" w:hAnsi="Times New Roman" w:cs="Times New Roman"/>
          <w:sz w:val="24"/>
          <w:szCs w:val="24"/>
        </w:rPr>
        <w:lastRenderedPageBreak/>
        <w:t>the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was increased due to the formation of suitable conduction band offset (CBO) at the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/perovskite interface. In addition, the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surface oxygen vacancy defects were also found to be reduced by the Ce doping. As a direct outcome, the </w:t>
      </w:r>
      <w:r w:rsidRPr="00845A3A">
        <w:rPr>
          <w:rFonts w:ascii="Times New Roman" w:hAnsi="Times New Roman" w:cs="Times New Roman"/>
          <w:i/>
          <w:iCs/>
          <w:sz w:val="24"/>
          <w:szCs w:val="24"/>
        </w:rPr>
        <w:t>V</w:t>
      </w:r>
      <w:r w:rsidRPr="00845A3A">
        <w:rPr>
          <w:rFonts w:ascii="Times New Roman" w:hAnsi="Times New Roman" w:cs="Times New Roman"/>
          <w:sz w:val="24"/>
          <w:szCs w:val="24"/>
          <w:vertAlign w:val="subscript"/>
        </w:rPr>
        <w:t>OC</w:t>
      </w:r>
      <w:r w:rsidRPr="00845A3A">
        <w:rPr>
          <w:rFonts w:ascii="Times New Roman" w:hAnsi="Times New Roman" w:cs="Times New Roman"/>
          <w:sz w:val="24"/>
          <w:szCs w:val="24"/>
        </w:rPr>
        <w:t xml:space="preserve"> and PCE of the PSCs have substantially enhanced after using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 The optimized device produced a </w:t>
      </w:r>
      <w:r w:rsidRPr="00845A3A">
        <w:rPr>
          <w:rFonts w:ascii="Times New Roman" w:hAnsi="Times New Roman" w:cs="Times New Roman"/>
          <w:i/>
          <w:iCs/>
          <w:sz w:val="24"/>
          <w:szCs w:val="24"/>
        </w:rPr>
        <w:t>V</w:t>
      </w:r>
      <w:r w:rsidRPr="00845A3A">
        <w:rPr>
          <w:rFonts w:ascii="Times New Roman" w:hAnsi="Times New Roman" w:cs="Times New Roman"/>
          <w:sz w:val="24"/>
          <w:szCs w:val="24"/>
          <w:vertAlign w:val="subscript"/>
        </w:rPr>
        <w:t>OC</w:t>
      </w:r>
      <w:r w:rsidRPr="00845A3A">
        <w:rPr>
          <w:rFonts w:ascii="Times New Roman" w:hAnsi="Times New Roman" w:cs="Times New Roman"/>
          <w:sz w:val="24"/>
          <w:szCs w:val="24"/>
        </w:rPr>
        <w:t xml:space="preserve"> of 1.18 V with highest PCE of 23.0% using the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 In addition, the 2-phenethylamine hydroiodide (PEAI) was introduced in the PSCs with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 for the perovskite surface defect passivation, which showed PCE of 23.3% with a </w:t>
      </w:r>
      <w:r w:rsidRPr="00845A3A">
        <w:rPr>
          <w:rFonts w:ascii="Times New Roman" w:hAnsi="Times New Roman" w:cs="Times New Roman"/>
          <w:i/>
          <w:iCs/>
          <w:sz w:val="24"/>
          <w:szCs w:val="24"/>
        </w:rPr>
        <w:t>V</w:t>
      </w:r>
      <w:r w:rsidRPr="00845A3A">
        <w:rPr>
          <w:rFonts w:ascii="Times New Roman" w:hAnsi="Times New Roman" w:cs="Times New Roman"/>
          <w:sz w:val="24"/>
          <w:szCs w:val="24"/>
          <w:vertAlign w:val="subscript"/>
        </w:rPr>
        <w:t>OC</w:t>
      </w:r>
      <w:r w:rsidRPr="00845A3A">
        <w:rPr>
          <w:rFonts w:ascii="Times New Roman" w:hAnsi="Times New Roman" w:cs="Times New Roman"/>
          <w:sz w:val="24"/>
          <w:szCs w:val="24"/>
        </w:rPr>
        <w:t xml:space="preserve"> of 1.19 V.</w:t>
      </w:r>
    </w:p>
    <w:p w14:paraId="0ED0469E" w14:textId="77777777" w:rsidR="00EB55F0" w:rsidRPr="00845A3A" w:rsidRDefault="00EB55F0" w:rsidP="00C74147">
      <w:pPr>
        <w:spacing w:before="240" w:line="480" w:lineRule="auto"/>
        <w:jc w:val="both"/>
        <w:rPr>
          <w:rFonts w:ascii="Times New Roman" w:hAnsi="Times New Roman" w:cs="Times New Roman"/>
          <w:b/>
          <w:bCs/>
          <w:sz w:val="28"/>
          <w:szCs w:val="28"/>
        </w:rPr>
      </w:pPr>
      <w:r w:rsidRPr="00845A3A">
        <w:rPr>
          <w:rFonts w:ascii="Times New Roman" w:hAnsi="Times New Roman" w:cs="Times New Roman"/>
          <w:b/>
          <w:bCs/>
          <w:sz w:val="28"/>
          <w:szCs w:val="28"/>
        </w:rPr>
        <w:t>2. Experimental section</w:t>
      </w:r>
    </w:p>
    <w:p w14:paraId="6731D025" w14:textId="77777777" w:rsidR="00EB55F0" w:rsidRPr="00845A3A" w:rsidRDefault="00EB55F0" w:rsidP="005537D7">
      <w:pPr>
        <w:spacing w:line="480" w:lineRule="auto"/>
        <w:jc w:val="both"/>
        <w:rPr>
          <w:rFonts w:ascii="Times New Roman" w:hAnsi="Times New Roman" w:cs="Times New Roman"/>
          <w:b/>
          <w:bCs/>
          <w:sz w:val="24"/>
          <w:szCs w:val="24"/>
        </w:rPr>
      </w:pPr>
      <w:r w:rsidRPr="00845A3A">
        <w:rPr>
          <w:rFonts w:ascii="Times New Roman" w:hAnsi="Times New Roman" w:cs="Times New Roman"/>
          <w:b/>
          <w:bCs/>
          <w:sz w:val="24"/>
          <w:szCs w:val="24"/>
        </w:rPr>
        <w:t>2.1 Materials</w:t>
      </w:r>
    </w:p>
    <w:p w14:paraId="7D0B16D8" w14:textId="6D9EC683" w:rsidR="00EB55F0" w:rsidRPr="00845A3A" w:rsidRDefault="00EB55F0" w:rsidP="005537D7">
      <w:pPr>
        <w:spacing w:line="480" w:lineRule="auto"/>
        <w:jc w:val="both"/>
        <w:rPr>
          <w:rFonts w:ascii="Times New Roman" w:hAnsi="Times New Roman" w:cs="Times New Roman"/>
          <w:sz w:val="24"/>
          <w:szCs w:val="24"/>
        </w:rPr>
      </w:pPr>
      <w:r w:rsidRPr="00845A3A">
        <w:rPr>
          <w:rFonts w:ascii="Times New Roman" w:hAnsi="Times New Roman" w:cs="Times New Roman"/>
          <w:sz w:val="24"/>
          <w:szCs w:val="24"/>
        </w:rPr>
        <w:t>Tin (II) chloride (SnCl</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99.9%), </w:t>
      </w:r>
      <w:proofErr w:type="gramStart"/>
      <w:r w:rsidRPr="00845A3A">
        <w:rPr>
          <w:rFonts w:ascii="Times New Roman" w:hAnsi="Times New Roman" w:cs="Times New Roman"/>
          <w:sz w:val="24"/>
          <w:szCs w:val="24"/>
        </w:rPr>
        <w:t>N,N</w:t>
      </w:r>
      <w:proofErr w:type="gramEnd"/>
      <w:r w:rsidRPr="00845A3A">
        <w:rPr>
          <w:rFonts w:ascii="Times New Roman" w:hAnsi="Times New Roman" w:cs="Times New Roman"/>
          <w:sz w:val="24"/>
          <w:szCs w:val="24"/>
        </w:rPr>
        <w:t>-dimethylformamide (DMF)</w:t>
      </w:r>
      <w:r w:rsidR="00403370" w:rsidRPr="00845A3A">
        <w:rPr>
          <w:rFonts w:ascii="Times New Roman" w:hAnsi="Times New Roman" w:cs="Times New Roman"/>
          <w:sz w:val="24"/>
          <w:szCs w:val="24"/>
        </w:rPr>
        <w:t>,</w:t>
      </w:r>
      <w:r w:rsidRPr="00845A3A">
        <w:rPr>
          <w:rFonts w:ascii="Times New Roman" w:hAnsi="Times New Roman" w:cs="Times New Roman"/>
          <w:sz w:val="24"/>
          <w:szCs w:val="24"/>
        </w:rPr>
        <w:t xml:space="preserve"> dimethyl sulfoxide (DMSO), and ethanol were purchased from FUJIFILM Wako Pure Chemical Corporation. </w:t>
      </w:r>
      <w:proofErr w:type="spellStart"/>
      <w:r w:rsidRPr="00845A3A">
        <w:rPr>
          <w:rFonts w:ascii="Times New Roman" w:hAnsi="Times New Roman" w:cs="Times New Roman"/>
          <w:sz w:val="24"/>
          <w:szCs w:val="24"/>
        </w:rPr>
        <w:t>Formamidinium</w:t>
      </w:r>
      <w:proofErr w:type="spellEnd"/>
      <w:r w:rsidRPr="00845A3A">
        <w:rPr>
          <w:rFonts w:ascii="Times New Roman" w:hAnsi="Times New Roman" w:cs="Times New Roman"/>
          <w:sz w:val="24"/>
          <w:szCs w:val="24"/>
        </w:rPr>
        <w:t xml:space="preserve"> iodide (FAI, &gt;98 %), methylamine hydrobromide (</w:t>
      </w:r>
      <w:proofErr w:type="spellStart"/>
      <w:r w:rsidRPr="00845A3A">
        <w:rPr>
          <w:rFonts w:ascii="Times New Roman" w:hAnsi="Times New Roman" w:cs="Times New Roman"/>
          <w:sz w:val="24"/>
          <w:szCs w:val="24"/>
        </w:rPr>
        <w:t>MABr</w:t>
      </w:r>
      <w:proofErr w:type="spellEnd"/>
      <w:r w:rsidRPr="00845A3A">
        <w:rPr>
          <w:rFonts w:ascii="Times New Roman" w:hAnsi="Times New Roman" w:cs="Times New Roman"/>
          <w:sz w:val="24"/>
          <w:szCs w:val="24"/>
        </w:rPr>
        <w:t>, 98%), lead (II) iodide (PbI</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99.99%), lead (II) bromide (PbBr</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98%), tris (2-(1H-pyrazol-1-yl)-4-tert </w:t>
      </w:r>
      <w:proofErr w:type="spellStart"/>
      <w:r w:rsidRPr="00845A3A">
        <w:rPr>
          <w:rFonts w:ascii="Times New Roman" w:hAnsi="Times New Roman" w:cs="Times New Roman"/>
          <w:sz w:val="24"/>
          <w:szCs w:val="24"/>
        </w:rPr>
        <w:t>butylpyridine</w:t>
      </w:r>
      <w:proofErr w:type="spellEnd"/>
      <w:r w:rsidRPr="00845A3A">
        <w:rPr>
          <w:rFonts w:ascii="Times New Roman" w:hAnsi="Times New Roman" w:cs="Times New Roman"/>
          <w:sz w:val="24"/>
          <w:szCs w:val="24"/>
        </w:rPr>
        <w:t>)-cobalt(III) tris(bis-(</w:t>
      </w:r>
      <w:proofErr w:type="spellStart"/>
      <w:r w:rsidRPr="00845A3A">
        <w:rPr>
          <w:rFonts w:ascii="Times New Roman" w:hAnsi="Times New Roman" w:cs="Times New Roman"/>
          <w:sz w:val="24"/>
          <w:szCs w:val="24"/>
        </w:rPr>
        <w:t>trifluoromethylsulphonyl</w:t>
      </w:r>
      <w:proofErr w:type="spellEnd"/>
      <w:r w:rsidRPr="00845A3A">
        <w:rPr>
          <w:rFonts w:ascii="Times New Roman" w:hAnsi="Times New Roman" w:cs="Times New Roman"/>
          <w:sz w:val="24"/>
          <w:szCs w:val="24"/>
        </w:rPr>
        <w:t>) imide) (FK209, &gt;99%), 4-tert-butylpyridine (4-</w:t>
      </w:r>
      <w:r w:rsidRPr="00845A3A">
        <w:rPr>
          <w:rFonts w:ascii="Times New Roman" w:hAnsi="Times New Roman" w:cs="Times New Roman"/>
          <w:i/>
          <w:iCs/>
          <w:sz w:val="24"/>
          <w:szCs w:val="24"/>
        </w:rPr>
        <w:t>t</w:t>
      </w:r>
      <w:r w:rsidRPr="00845A3A">
        <w:rPr>
          <w:rFonts w:ascii="Times New Roman" w:hAnsi="Times New Roman" w:cs="Times New Roman"/>
          <w:sz w:val="24"/>
          <w:szCs w:val="24"/>
        </w:rPr>
        <w:t>BP, &gt; 96%), bis(</w:t>
      </w:r>
      <w:proofErr w:type="spellStart"/>
      <w:r w:rsidRPr="00845A3A">
        <w:rPr>
          <w:rFonts w:ascii="Times New Roman" w:hAnsi="Times New Roman" w:cs="Times New Roman"/>
          <w:sz w:val="24"/>
          <w:szCs w:val="24"/>
        </w:rPr>
        <w:t>trifluoromethance</w:t>
      </w:r>
      <w:proofErr w:type="spellEnd"/>
      <w:r w:rsidRPr="00845A3A">
        <w:rPr>
          <w:rFonts w:ascii="Times New Roman" w:hAnsi="Times New Roman" w:cs="Times New Roman"/>
          <w:sz w:val="24"/>
          <w:szCs w:val="24"/>
        </w:rPr>
        <w:t xml:space="preserve">) </w:t>
      </w:r>
      <w:proofErr w:type="spellStart"/>
      <w:r w:rsidRPr="00845A3A">
        <w:rPr>
          <w:rFonts w:ascii="Times New Roman" w:hAnsi="Times New Roman" w:cs="Times New Roman"/>
          <w:sz w:val="24"/>
          <w:szCs w:val="24"/>
        </w:rPr>
        <w:t>sulfonimide</w:t>
      </w:r>
      <w:proofErr w:type="spellEnd"/>
      <w:r w:rsidRPr="00845A3A">
        <w:rPr>
          <w:rFonts w:ascii="Times New Roman" w:hAnsi="Times New Roman" w:cs="Times New Roman"/>
          <w:sz w:val="24"/>
          <w:szCs w:val="24"/>
        </w:rPr>
        <w:t xml:space="preserve"> lithium salt (</w:t>
      </w:r>
      <w:proofErr w:type="spellStart"/>
      <w:r w:rsidRPr="00845A3A">
        <w:rPr>
          <w:rFonts w:ascii="Times New Roman" w:hAnsi="Times New Roman" w:cs="Times New Roman"/>
          <w:sz w:val="24"/>
          <w:szCs w:val="24"/>
        </w:rPr>
        <w:t>LiTFSI</w:t>
      </w:r>
      <w:proofErr w:type="spellEnd"/>
      <w:r w:rsidRPr="00845A3A">
        <w:rPr>
          <w:rFonts w:ascii="Times New Roman" w:hAnsi="Times New Roman" w:cs="Times New Roman"/>
          <w:sz w:val="24"/>
          <w:szCs w:val="24"/>
        </w:rPr>
        <w:t>, &gt;99%), thiourea (99%) and cerium (III) chloride (CeCl</w:t>
      </w:r>
      <w:r w:rsidRPr="00845A3A">
        <w:rPr>
          <w:rFonts w:ascii="Times New Roman" w:hAnsi="Times New Roman" w:cs="Times New Roman"/>
          <w:sz w:val="24"/>
          <w:szCs w:val="24"/>
          <w:vertAlign w:val="subscript"/>
        </w:rPr>
        <w:t>3</w:t>
      </w:r>
      <w:r w:rsidRPr="00845A3A">
        <w:rPr>
          <w:rFonts w:ascii="Times New Roman" w:hAnsi="Times New Roman" w:cs="Times New Roman"/>
          <w:sz w:val="24"/>
          <w:szCs w:val="24"/>
        </w:rPr>
        <w:t>, 98%), and phenethylamine hydroiodide (PEAI, &gt;98.0%) were purchased from Tokyo Chemical Industry (TCI, Japan). 2,2',7,7'-tetrakis (</w:t>
      </w:r>
      <w:proofErr w:type="gramStart"/>
      <w:r w:rsidRPr="00845A3A">
        <w:rPr>
          <w:rFonts w:ascii="Times New Roman" w:hAnsi="Times New Roman" w:cs="Times New Roman"/>
          <w:sz w:val="24"/>
          <w:szCs w:val="24"/>
        </w:rPr>
        <w:t>N,N</w:t>
      </w:r>
      <w:proofErr w:type="gramEnd"/>
      <w:r w:rsidRPr="00845A3A">
        <w:rPr>
          <w:rFonts w:ascii="Times New Roman" w:hAnsi="Times New Roman" w:cs="Times New Roman"/>
          <w:sz w:val="24"/>
          <w:szCs w:val="24"/>
        </w:rPr>
        <w:t>-di-p-</w:t>
      </w:r>
      <w:proofErr w:type="spellStart"/>
      <w:r w:rsidRPr="00845A3A">
        <w:rPr>
          <w:rFonts w:ascii="Times New Roman" w:hAnsi="Times New Roman" w:cs="Times New Roman"/>
          <w:sz w:val="24"/>
          <w:szCs w:val="24"/>
        </w:rPr>
        <w:t>methoxyphenylamine</w:t>
      </w:r>
      <w:proofErr w:type="spellEnd"/>
      <w:r w:rsidRPr="00845A3A">
        <w:rPr>
          <w:rFonts w:ascii="Times New Roman" w:hAnsi="Times New Roman" w:cs="Times New Roman"/>
          <w:sz w:val="24"/>
          <w:szCs w:val="24"/>
        </w:rPr>
        <w:t>)-9,9'-spirobifluorene (Spiro-</w:t>
      </w:r>
      <w:proofErr w:type="spellStart"/>
      <w:r w:rsidRPr="00845A3A">
        <w:rPr>
          <w:rFonts w:ascii="Times New Roman" w:hAnsi="Times New Roman" w:cs="Times New Roman"/>
          <w:sz w:val="24"/>
          <w:szCs w:val="24"/>
        </w:rPr>
        <w:t>OMeTAD</w:t>
      </w:r>
      <w:proofErr w:type="spellEnd"/>
      <w:r w:rsidRPr="00845A3A">
        <w:rPr>
          <w:rFonts w:ascii="Times New Roman" w:hAnsi="Times New Roman" w:cs="Times New Roman"/>
          <w:sz w:val="24"/>
          <w:szCs w:val="24"/>
        </w:rPr>
        <w:t>, &gt;99.5%) was purchased from the Luminescence technology corp., Taiwan. The anhydrous chlorobenzene (CB, 99.5%), isopropanol (IPA, ≥99.8%) and cesium iodide (</w:t>
      </w:r>
      <w:proofErr w:type="spellStart"/>
      <w:r w:rsidRPr="00845A3A">
        <w:rPr>
          <w:rFonts w:ascii="Times New Roman" w:hAnsi="Times New Roman" w:cs="Times New Roman"/>
          <w:sz w:val="24"/>
          <w:szCs w:val="24"/>
        </w:rPr>
        <w:t>CsI</w:t>
      </w:r>
      <w:proofErr w:type="spellEnd"/>
      <w:r w:rsidRPr="00845A3A">
        <w:rPr>
          <w:rFonts w:ascii="Times New Roman" w:hAnsi="Times New Roman" w:cs="Times New Roman"/>
          <w:sz w:val="24"/>
          <w:szCs w:val="24"/>
        </w:rPr>
        <w:t>, 99%) were purchased from Sigma-Aldrich. No additional purification was conducted on any of the chemicals utilized in this research.</w:t>
      </w:r>
    </w:p>
    <w:p w14:paraId="2D7862E4" w14:textId="77777777" w:rsidR="00EB55F0" w:rsidRPr="00845A3A" w:rsidRDefault="00EB55F0" w:rsidP="005537D7">
      <w:pPr>
        <w:spacing w:line="480" w:lineRule="auto"/>
        <w:jc w:val="both"/>
        <w:rPr>
          <w:rFonts w:ascii="Times New Roman" w:hAnsi="Times New Roman" w:cs="Times New Roman"/>
          <w:sz w:val="24"/>
          <w:szCs w:val="24"/>
        </w:rPr>
      </w:pPr>
    </w:p>
    <w:p w14:paraId="7E769992" w14:textId="77777777" w:rsidR="00EB55F0" w:rsidRPr="00845A3A" w:rsidRDefault="00EB55F0" w:rsidP="005537D7">
      <w:pPr>
        <w:spacing w:line="480" w:lineRule="auto"/>
        <w:jc w:val="both"/>
        <w:rPr>
          <w:rFonts w:ascii="Times New Roman" w:hAnsi="Times New Roman" w:cs="Times New Roman"/>
          <w:sz w:val="24"/>
          <w:szCs w:val="24"/>
        </w:rPr>
      </w:pPr>
    </w:p>
    <w:p w14:paraId="26EE6097" w14:textId="77777777" w:rsidR="00EB55F0" w:rsidRPr="00845A3A" w:rsidRDefault="00EB55F0" w:rsidP="005537D7">
      <w:pPr>
        <w:spacing w:line="480" w:lineRule="auto"/>
        <w:jc w:val="both"/>
        <w:rPr>
          <w:rFonts w:ascii="Times New Roman" w:hAnsi="Times New Roman" w:cs="Times New Roman"/>
          <w:b/>
          <w:bCs/>
          <w:sz w:val="24"/>
          <w:szCs w:val="24"/>
        </w:rPr>
      </w:pPr>
      <w:r w:rsidRPr="00845A3A">
        <w:rPr>
          <w:rFonts w:ascii="Times New Roman" w:hAnsi="Times New Roman" w:cs="Times New Roman"/>
          <w:b/>
          <w:bCs/>
          <w:sz w:val="24"/>
          <w:szCs w:val="24"/>
        </w:rPr>
        <w:lastRenderedPageBreak/>
        <w:t>2.2 Device fabrication</w:t>
      </w:r>
    </w:p>
    <w:p w14:paraId="21FC3FB9" w14:textId="45894043" w:rsidR="00EB55F0" w:rsidRPr="00845A3A" w:rsidRDefault="00EB55F0" w:rsidP="005537D7">
      <w:pPr>
        <w:spacing w:line="480" w:lineRule="auto"/>
        <w:jc w:val="both"/>
        <w:rPr>
          <w:rFonts w:ascii="Times New Roman" w:hAnsi="Times New Roman" w:cs="Times New Roman"/>
          <w:sz w:val="24"/>
          <w:szCs w:val="24"/>
        </w:rPr>
      </w:pPr>
      <w:r w:rsidRPr="00845A3A">
        <w:rPr>
          <w:rFonts w:ascii="Times New Roman" w:hAnsi="Times New Roman" w:cs="Times New Roman"/>
          <w:sz w:val="24"/>
          <w:szCs w:val="24"/>
        </w:rPr>
        <w:t>At the beginning, FTO substrates were subjected to a 15-minute sonication</w:t>
      </w:r>
      <w:r w:rsidR="00403370" w:rsidRPr="00845A3A">
        <w:rPr>
          <w:rFonts w:ascii="Times New Roman" w:hAnsi="Times New Roman" w:cs="Times New Roman"/>
          <w:sz w:val="24"/>
          <w:szCs w:val="24"/>
        </w:rPr>
        <w:t xml:space="preserve"> for</w:t>
      </w:r>
      <w:r w:rsidRPr="00845A3A">
        <w:rPr>
          <w:rFonts w:ascii="Times New Roman" w:hAnsi="Times New Roman" w:cs="Times New Roman"/>
          <w:sz w:val="24"/>
          <w:szCs w:val="24"/>
        </w:rPr>
        <w:t xml:space="preserve"> cleaning in a series of solutions, including detergent, deionized water, acetone, and a mixture of ethanol and IPA. After that, the FTO substrates were subjected to UV-O</w:t>
      </w:r>
      <w:r w:rsidRPr="00845A3A">
        <w:rPr>
          <w:rFonts w:ascii="Times New Roman" w:hAnsi="Times New Roman" w:cs="Times New Roman"/>
          <w:sz w:val="24"/>
          <w:szCs w:val="24"/>
          <w:vertAlign w:val="subscript"/>
        </w:rPr>
        <w:t>3</w:t>
      </w:r>
      <w:r w:rsidRPr="00845A3A">
        <w:rPr>
          <w:rFonts w:ascii="Times New Roman" w:hAnsi="Times New Roman" w:cs="Times New Roman"/>
          <w:sz w:val="24"/>
          <w:szCs w:val="24"/>
        </w:rPr>
        <w:t xml:space="preserve"> for a duration of 20 minutes. For the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 based PSCs,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solution (the solution consisted of 150 mmol SnCl</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and 40 mmol thiourea dissolved in water, was stirred in oxygen-rich open air until a transparent yellow solution formed) was spin coated on the FTO substrate at 3000 rpm for 30s and annealed at 180 °C for 30 min in open air. The similar deposition conditions were adopted for the preparation of ETL from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solution (150 mmol SnCl</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(0 – 7) mol% CeCl</w:t>
      </w:r>
      <w:r w:rsidRPr="00845A3A">
        <w:rPr>
          <w:rFonts w:ascii="Times New Roman" w:hAnsi="Times New Roman" w:cs="Times New Roman"/>
          <w:sz w:val="24"/>
          <w:szCs w:val="24"/>
          <w:vertAlign w:val="subscript"/>
        </w:rPr>
        <w:t>3</w:t>
      </w:r>
      <w:r w:rsidRPr="00845A3A">
        <w:rPr>
          <w:rFonts w:ascii="Times New Roman" w:hAnsi="Times New Roman" w:cs="Times New Roman"/>
          <w:sz w:val="24"/>
          <w:szCs w:val="24"/>
        </w:rPr>
        <w:t xml:space="preserve"> and 40 mmol thiourea were dissolved in water and stirred in oxygen rich open air until the formation of transparent yellow solution) for the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 based PSCs. After that, the FTO/ETL was transferred into the N</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filled glove box. Perovskite (Cs</w:t>
      </w:r>
      <w:r w:rsidRPr="00845A3A">
        <w:rPr>
          <w:rFonts w:ascii="Times New Roman" w:hAnsi="Times New Roman" w:cs="Times New Roman"/>
          <w:sz w:val="24"/>
          <w:szCs w:val="24"/>
          <w:vertAlign w:val="subscript"/>
        </w:rPr>
        <w:t>0.05</w:t>
      </w:r>
      <w:r w:rsidRPr="00845A3A">
        <w:rPr>
          <w:rFonts w:ascii="Times New Roman" w:hAnsi="Times New Roman" w:cs="Times New Roman"/>
          <w:sz w:val="24"/>
          <w:szCs w:val="24"/>
        </w:rPr>
        <w:t>FA</w:t>
      </w:r>
      <w:r w:rsidRPr="00845A3A">
        <w:rPr>
          <w:rFonts w:ascii="Times New Roman" w:hAnsi="Times New Roman" w:cs="Times New Roman"/>
          <w:sz w:val="24"/>
          <w:szCs w:val="24"/>
          <w:vertAlign w:val="subscript"/>
        </w:rPr>
        <w:t>0.80</w:t>
      </w:r>
      <w:r w:rsidRPr="00845A3A">
        <w:rPr>
          <w:rFonts w:ascii="Times New Roman" w:hAnsi="Times New Roman" w:cs="Times New Roman"/>
          <w:sz w:val="24"/>
          <w:szCs w:val="24"/>
        </w:rPr>
        <w:t>MA</w:t>
      </w:r>
      <w:r w:rsidRPr="00845A3A">
        <w:rPr>
          <w:rFonts w:ascii="Times New Roman" w:hAnsi="Times New Roman" w:cs="Times New Roman"/>
          <w:sz w:val="24"/>
          <w:szCs w:val="24"/>
          <w:vertAlign w:val="subscript"/>
        </w:rPr>
        <w:t>0.15</w:t>
      </w:r>
      <w:r w:rsidRPr="00845A3A">
        <w:rPr>
          <w:rFonts w:ascii="Times New Roman" w:hAnsi="Times New Roman" w:cs="Times New Roman"/>
          <w:sz w:val="24"/>
          <w:szCs w:val="24"/>
        </w:rPr>
        <w:t>PbI</w:t>
      </w:r>
      <w:r w:rsidRPr="00845A3A">
        <w:rPr>
          <w:rFonts w:ascii="Times New Roman" w:hAnsi="Times New Roman" w:cs="Times New Roman"/>
          <w:sz w:val="24"/>
          <w:szCs w:val="24"/>
          <w:vertAlign w:val="subscript"/>
        </w:rPr>
        <w:t>2.75</w:t>
      </w:r>
      <w:r w:rsidRPr="00845A3A">
        <w:rPr>
          <w:rFonts w:ascii="Times New Roman" w:hAnsi="Times New Roman" w:cs="Times New Roman"/>
          <w:sz w:val="24"/>
          <w:szCs w:val="24"/>
        </w:rPr>
        <w:t>Br</w:t>
      </w:r>
      <w:r w:rsidRPr="00845A3A">
        <w:rPr>
          <w:rFonts w:ascii="Times New Roman" w:hAnsi="Times New Roman" w:cs="Times New Roman"/>
          <w:sz w:val="24"/>
          <w:szCs w:val="24"/>
          <w:vertAlign w:val="subscript"/>
        </w:rPr>
        <w:t>0.25</w:t>
      </w:r>
      <w:r w:rsidRPr="00845A3A">
        <w:rPr>
          <w:rFonts w:ascii="Times New Roman" w:hAnsi="Times New Roman" w:cs="Times New Roman"/>
          <w:sz w:val="24"/>
          <w:szCs w:val="24"/>
        </w:rPr>
        <w:t xml:space="preserve">) solution was prepared by dissolving the </w:t>
      </w:r>
      <w:proofErr w:type="spellStart"/>
      <w:r w:rsidRPr="00845A3A">
        <w:rPr>
          <w:rFonts w:ascii="Times New Roman" w:hAnsi="Times New Roman" w:cs="Times New Roman"/>
          <w:sz w:val="24"/>
          <w:szCs w:val="24"/>
        </w:rPr>
        <w:t>CsI</w:t>
      </w:r>
      <w:proofErr w:type="spellEnd"/>
      <w:r w:rsidRPr="00845A3A">
        <w:rPr>
          <w:rFonts w:ascii="Times New Roman" w:hAnsi="Times New Roman" w:cs="Times New Roman"/>
          <w:sz w:val="24"/>
          <w:szCs w:val="24"/>
        </w:rPr>
        <w:t xml:space="preserve"> (0.065 mmol), FAI (1.04 mmol), </w:t>
      </w:r>
      <w:proofErr w:type="spellStart"/>
      <w:r w:rsidRPr="00845A3A">
        <w:rPr>
          <w:rFonts w:ascii="Times New Roman" w:hAnsi="Times New Roman" w:cs="Times New Roman"/>
          <w:sz w:val="24"/>
          <w:szCs w:val="24"/>
        </w:rPr>
        <w:t>MABr</w:t>
      </w:r>
      <w:proofErr w:type="spellEnd"/>
      <w:r w:rsidRPr="00845A3A">
        <w:rPr>
          <w:rFonts w:ascii="Times New Roman" w:hAnsi="Times New Roman" w:cs="Times New Roman"/>
          <w:sz w:val="24"/>
          <w:szCs w:val="24"/>
        </w:rPr>
        <w:t xml:space="preserve"> (0.195 mmol), PbBr</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(0.083 mmol) and PbI</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(1.256 mmol, 9% excess PbI</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together into 4:1 DMF and DMSO mixed solvent and stirred in nitrogen (N</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filled glove box for 3 hours. Then, perovskite solution was dropped on the ETL and spun at slope of 3s, 1000 rpm for 10s, 4000 rpm for 20s and 2s. During this step, 200 µL of CB (antisolvent) was dropped on perovskite at the 20th second and annealed at 150 °C for 20 min. For HTL, 48 mg of spiro-</w:t>
      </w:r>
      <w:proofErr w:type="spellStart"/>
      <w:r w:rsidRPr="00845A3A">
        <w:rPr>
          <w:rFonts w:ascii="Times New Roman" w:hAnsi="Times New Roman" w:cs="Times New Roman"/>
          <w:sz w:val="24"/>
          <w:szCs w:val="24"/>
        </w:rPr>
        <w:t>OMeTAD</w:t>
      </w:r>
      <w:proofErr w:type="spellEnd"/>
      <w:r w:rsidRPr="00845A3A">
        <w:rPr>
          <w:rFonts w:ascii="Times New Roman" w:hAnsi="Times New Roman" w:cs="Times New Roman"/>
          <w:sz w:val="24"/>
          <w:szCs w:val="24"/>
        </w:rPr>
        <w:t xml:space="preserve">, 9 mg of FK209, 6.03 mg of Li-TFSI and 19 </w:t>
      </w:r>
      <w:proofErr w:type="spellStart"/>
      <w:r w:rsidRPr="00845A3A">
        <w:rPr>
          <w:rFonts w:ascii="Times New Roman" w:hAnsi="Times New Roman" w:cs="Times New Roman"/>
          <w:sz w:val="24"/>
          <w:szCs w:val="24"/>
        </w:rPr>
        <w:t>μL</w:t>
      </w:r>
      <w:proofErr w:type="spellEnd"/>
      <w:r w:rsidRPr="00845A3A">
        <w:rPr>
          <w:rFonts w:ascii="Times New Roman" w:hAnsi="Times New Roman" w:cs="Times New Roman"/>
          <w:sz w:val="24"/>
          <w:szCs w:val="24"/>
        </w:rPr>
        <w:t xml:space="preserve"> of 4-</w:t>
      </w:r>
      <w:r w:rsidRPr="00845A3A">
        <w:rPr>
          <w:rFonts w:ascii="Times New Roman" w:hAnsi="Times New Roman" w:cs="Times New Roman"/>
          <w:i/>
          <w:iCs/>
          <w:sz w:val="24"/>
          <w:szCs w:val="24"/>
        </w:rPr>
        <w:t>t</w:t>
      </w:r>
      <w:r w:rsidRPr="00845A3A">
        <w:rPr>
          <w:rFonts w:ascii="Times New Roman" w:hAnsi="Times New Roman" w:cs="Times New Roman"/>
          <w:sz w:val="24"/>
          <w:szCs w:val="24"/>
        </w:rPr>
        <w:t>BP were dissolved in 750 µL CB. The HTL solution was then spin coated onto the perovskite layer for 30s at 4000 rpm, followed by 20 minutes of annealing at 70 °C. Prior to HTL deposition, a 10 mM PEAI solution was spin coated on the perovskite surface for 50s at 3000 rpm and annealed for 5 min at 100 °C for the PEAI treatment devices. Lastly, in a vacuum evaporation chamber (&lt;10</w:t>
      </w:r>
      <w:r w:rsidRPr="00845A3A">
        <w:rPr>
          <w:rFonts w:ascii="Times New Roman" w:hAnsi="Times New Roman" w:cs="Times New Roman"/>
          <w:sz w:val="24"/>
          <w:szCs w:val="24"/>
          <w:vertAlign w:val="superscript"/>
        </w:rPr>
        <w:t>-4</w:t>
      </w:r>
      <w:r w:rsidRPr="00845A3A">
        <w:rPr>
          <w:rFonts w:ascii="Times New Roman" w:hAnsi="Times New Roman" w:cs="Times New Roman"/>
          <w:sz w:val="24"/>
          <w:szCs w:val="24"/>
        </w:rPr>
        <w:t xml:space="preserve"> Pa), a 100 nm Ag electrode with an active area of 0.09 cm</w:t>
      </w:r>
      <w:r w:rsidRPr="00845A3A">
        <w:rPr>
          <w:rFonts w:ascii="Times New Roman" w:hAnsi="Times New Roman" w:cs="Times New Roman"/>
          <w:sz w:val="24"/>
          <w:szCs w:val="24"/>
          <w:vertAlign w:val="superscript"/>
        </w:rPr>
        <w:t>2</w:t>
      </w:r>
      <w:r w:rsidRPr="00845A3A">
        <w:rPr>
          <w:rFonts w:ascii="Times New Roman" w:hAnsi="Times New Roman" w:cs="Times New Roman"/>
          <w:sz w:val="24"/>
          <w:szCs w:val="24"/>
        </w:rPr>
        <w:t xml:space="preserve"> and 1.0 cm</w:t>
      </w:r>
      <w:r w:rsidRPr="00845A3A">
        <w:rPr>
          <w:rFonts w:ascii="Times New Roman" w:hAnsi="Times New Roman" w:cs="Times New Roman"/>
          <w:sz w:val="24"/>
          <w:szCs w:val="24"/>
          <w:vertAlign w:val="superscript"/>
        </w:rPr>
        <w:t>2</w:t>
      </w:r>
      <w:r w:rsidRPr="00845A3A">
        <w:rPr>
          <w:rFonts w:ascii="Times New Roman" w:hAnsi="Times New Roman" w:cs="Times New Roman"/>
          <w:sz w:val="24"/>
          <w:szCs w:val="24"/>
        </w:rPr>
        <w:t xml:space="preserve"> was deposited on the HTL.</w:t>
      </w:r>
    </w:p>
    <w:p w14:paraId="65255EE4" w14:textId="77777777" w:rsidR="00EB55F0" w:rsidRPr="00845A3A" w:rsidRDefault="00EB55F0" w:rsidP="005537D7">
      <w:pPr>
        <w:spacing w:line="480" w:lineRule="auto"/>
        <w:jc w:val="both"/>
        <w:rPr>
          <w:rFonts w:ascii="Times New Roman" w:hAnsi="Times New Roman" w:cs="Times New Roman"/>
          <w:sz w:val="24"/>
          <w:szCs w:val="24"/>
        </w:rPr>
      </w:pPr>
    </w:p>
    <w:p w14:paraId="65B643FE" w14:textId="77777777" w:rsidR="00EB55F0" w:rsidRPr="00845A3A" w:rsidRDefault="00EB55F0" w:rsidP="005537D7">
      <w:pPr>
        <w:spacing w:line="480" w:lineRule="auto"/>
        <w:jc w:val="both"/>
        <w:rPr>
          <w:rFonts w:ascii="Times New Roman" w:hAnsi="Times New Roman" w:cs="Times New Roman"/>
          <w:b/>
          <w:bCs/>
          <w:sz w:val="24"/>
          <w:szCs w:val="24"/>
        </w:rPr>
      </w:pPr>
      <w:r w:rsidRPr="00845A3A">
        <w:rPr>
          <w:rFonts w:ascii="Times New Roman" w:hAnsi="Times New Roman" w:cs="Times New Roman"/>
          <w:b/>
          <w:bCs/>
          <w:sz w:val="24"/>
          <w:szCs w:val="24"/>
        </w:rPr>
        <w:lastRenderedPageBreak/>
        <w:t xml:space="preserve">2.3 Characterization </w:t>
      </w:r>
    </w:p>
    <w:p w14:paraId="1C5B4815" w14:textId="77777777" w:rsidR="00EB55F0" w:rsidRPr="00845A3A" w:rsidRDefault="00EB55F0" w:rsidP="005537D7">
      <w:pPr>
        <w:spacing w:line="480" w:lineRule="auto"/>
        <w:jc w:val="both"/>
        <w:rPr>
          <w:rFonts w:ascii="Times New Roman" w:hAnsi="Times New Roman" w:cs="Times New Roman"/>
          <w:sz w:val="24"/>
          <w:szCs w:val="24"/>
        </w:rPr>
      </w:pPr>
      <w:proofErr w:type="spellStart"/>
      <w:r w:rsidRPr="00845A3A">
        <w:rPr>
          <w:rFonts w:ascii="Times New Roman" w:hAnsi="Times New Roman" w:cs="Times New Roman"/>
          <w:sz w:val="24"/>
          <w:szCs w:val="24"/>
        </w:rPr>
        <w:t>MiniFlex</w:t>
      </w:r>
      <w:proofErr w:type="spellEnd"/>
      <w:r w:rsidRPr="00845A3A">
        <w:rPr>
          <w:rFonts w:ascii="Times New Roman" w:hAnsi="Times New Roman" w:cs="Times New Roman"/>
          <w:sz w:val="24"/>
          <w:szCs w:val="24"/>
        </w:rPr>
        <w:t xml:space="preserve"> 600 (Rigaku Co., Japan) with 15 mA and 40 kV output was used for X-ray diffractometer (XRD) study. The scanning electron microscope (SEM) analysis was carried out in JSM-6500F field-emission. The UV-visible 3600 spectrophotometer from Shimadzu corporation was used for the optical transmittance and absorbance measurements. X-ray photoelectron spectroscopy (XPS) and ultraviolet photoemission spectroscopy (UPS) measurements were conducted in PHI </w:t>
      </w:r>
      <w:proofErr w:type="spellStart"/>
      <w:r w:rsidRPr="00845A3A">
        <w:rPr>
          <w:rFonts w:ascii="Times New Roman" w:hAnsi="Times New Roman" w:cs="Times New Roman"/>
          <w:sz w:val="24"/>
          <w:szCs w:val="24"/>
        </w:rPr>
        <w:t>VersaProbe</w:t>
      </w:r>
      <w:proofErr w:type="spellEnd"/>
      <w:r w:rsidRPr="00845A3A">
        <w:rPr>
          <w:rFonts w:ascii="Times New Roman" w:hAnsi="Times New Roman" w:cs="Times New Roman"/>
          <w:sz w:val="24"/>
          <w:szCs w:val="24"/>
        </w:rPr>
        <w:t xml:space="preserve"> 4 (ULVAC-PHI). Steady-state photoluminescence (PL) as well as time resolve PL (TRPL) measurements were conducted in </w:t>
      </w:r>
      <w:proofErr w:type="spellStart"/>
      <w:r w:rsidRPr="00845A3A">
        <w:rPr>
          <w:rFonts w:ascii="Times New Roman" w:hAnsi="Times New Roman" w:cs="Times New Roman"/>
          <w:sz w:val="24"/>
          <w:szCs w:val="24"/>
        </w:rPr>
        <w:t>Nanofinder</w:t>
      </w:r>
      <w:proofErr w:type="spellEnd"/>
      <w:r w:rsidRPr="00845A3A">
        <w:rPr>
          <w:rFonts w:ascii="Times New Roman" w:hAnsi="Times New Roman" w:cs="Times New Roman"/>
          <w:sz w:val="24"/>
          <w:szCs w:val="24"/>
        </w:rPr>
        <w:t xml:space="preserve"> 30 with excitation wavelength of 450 nm. The current-voltage (</w:t>
      </w:r>
      <w:r w:rsidRPr="00845A3A">
        <w:rPr>
          <w:rFonts w:ascii="Times New Roman" w:hAnsi="Times New Roman" w:cs="Times New Roman"/>
          <w:i/>
          <w:iCs/>
          <w:sz w:val="24"/>
          <w:szCs w:val="24"/>
        </w:rPr>
        <w:t>J</w:t>
      </w:r>
      <w:r w:rsidRPr="00845A3A">
        <w:rPr>
          <w:rFonts w:ascii="Times New Roman" w:hAnsi="Times New Roman" w:cs="Times New Roman"/>
          <w:sz w:val="24"/>
          <w:szCs w:val="24"/>
        </w:rPr>
        <w:t>-</w:t>
      </w:r>
      <w:r w:rsidRPr="00845A3A">
        <w:rPr>
          <w:rFonts w:ascii="Times New Roman" w:hAnsi="Times New Roman" w:cs="Times New Roman"/>
          <w:i/>
          <w:iCs/>
          <w:sz w:val="24"/>
          <w:szCs w:val="24"/>
        </w:rPr>
        <w:t>V</w:t>
      </w:r>
      <w:r w:rsidRPr="00845A3A">
        <w:rPr>
          <w:rFonts w:ascii="Times New Roman" w:hAnsi="Times New Roman" w:cs="Times New Roman"/>
          <w:sz w:val="24"/>
          <w:szCs w:val="24"/>
        </w:rPr>
        <w:t>) characteristics were measured using AM 1.5 G solar simulator (WXS-155S-10 from Wacom Denso Co., Japan) under ambient conditions. CEP-2000BX (</w:t>
      </w:r>
      <w:proofErr w:type="spellStart"/>
      <w:r w:rsidRPr="00845A3A">
        <w:rPr>
          <w:rFonts w:ascii="Times New Roman" w:hAnsi="Times New Roman" w:cs="Times New Roman"/>
          <w:sz w:val="24"/>
          <w:szCs w:val="24"/>
        </w:rPr>
        <w:t>Bunkoukeiki</w:t>
      </w:r>
      <w:proofErr w:type="spellEnd"/>
      <w:r w:rsidRPr="00845A3A">
        <w:rPr>
          <w:rFonts w:ascii="Times New Roman" w:hAnsi="Times New Roman" w:cs="Times New Roman"/>
          <w:sz w:val="24"/>
          <w:szCs w:val="24"/>
        </w:rPr>
        <w:t xml:space="preserve"> Co. Ltd., Japan) was used for the incident photon-to-current conversion efficiency (IPCE) analysis. The PAIOS system was used to observe the Nyquist plot, transient photocurrent (TPC), and transient photovoltage (TPV) decay.</w:t>
      </w:r>
    </w:p>
    <w:p w14:paraId="74E91B2D" w14:textId="77777777" w:rsidR="00EB55F0" w:rsidRPr="00845A3A" w:rsidRDefault="00EB55F0" w:rsidP="00324DDF">
      <w:pPr>
        <w:spacing w:after="0" w:line="480" w:lineRule="auto"/>
        <w:jc w:val="both"/>
        <w:rPr>
          <w:rFonts w:ascii="Times New Roman" w:hAnsi="Times New Roman" w:cs="Times New Roman"/>
          <w:b/>
          <w:bCs/>
          <w:sz w:val="28"/>
          <w:szCs w:val="28"/>
        </w:rPr>
      </w:pPr>
      <w:r w:rsidRPr="00845A3A">
        <w:rPr>
          <w:rFonts w:ascii="Times New Roman" w:hAnsi="Times New Roman" w:cs="Times New Roman"/>
          <w:b/>
          <w:bCs/>
          <w:sz w:val="28"/>
          <w:szCs w:val="28"/>
        </w:rPr>
        <w:t>3. Results and discussion</w:t>
      </w:r>
    </w:p>
    <w:p w14:paraId="2DC48D7A" w14:textId="77777777" w:rsidR="00EB55F0" w:rsidRPr="00845A3A" w:rsidRDefault="00EB55F0" w:rsidP="00324DDF">
      <w:pPr>
        <w:spacing w:line="480" w:lineRule="auto"/>
        <w:jc w:val="both"/>
        <w:rPr>
          <w:rFonts w:ascii="Times New Roman" w:hAnsi="Times New Roman" w:cs="Times New Roman"/>
          <w:sz w:val="24"/>
          <w:szCs w:val="24"/>
        </w:rPr>
      </w:pPr>
      <w:r w:rsidRPr="00845A3A">
        <w:rPr>
          <w:rFonts w:ascii="Times New Roman" w:hAnsi="Times New Roman" w:cs="Times New Roman"/>
          <w:sz w:val="24"/>
          <w:szCs w:val="24"/>
        </w:rPr>
        <w:t>In the presented study, the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was doped with different concentrations of Ce and the 5% Ce-doped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-based PSCs exhibited the best performance (</w:t>
      </w:r>
      <w:r w:rsidRPr="00845A3A">
        <w:rPr>
          <w:rFonts w:ascii="Times New Roman" w:hAnsi="Times New Roman" w:cs="Times New Roman"/>
          <w:b/>
          <w:bCs/>
          <w:sz w:val="24"/>
          <w:szCs w:val="24"/>
        </w:rPr>
        <w:t>Figure S1</w:t>
      </w:r>
      <w:r w:rsidRPr="00845A3A">
        <w:rPr>
          <w:rFonts w:ascii="Times New Roman" w:hAnsi="Times New Roman" w:cs="Times New Roman"/>
          <w:sz w:val="24"/>
          <w:szCs w:val="24"/>
        </w:rPr>
        <w:t>). Here after, the 5% Ce-doped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will be denoted as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w:t>
      </w:r>
    </w:p>
    <w:p w14:paraId="68744C2C" w14:textId="77777777" w:rsidR="00EB55F0" w:rsidRPr="00845A3A" w:rsidRDefault="00EB55F0" w:rsidP="006636FD">
      <w:pPr>
        <w:spacing w:line="480" w:lineRule="auto"/>
        <w:jc w:val="both"/>
        <w:rPr>
          <w:rFonts w:ascii="Times New Roman" w:hAnsi="Times New Roman" w:cs="Times New Roman"/>
          <w:sz w:val="24"/>
          <w:szCs w:val="24"/>
        </w:rPr>
      </w:pPr>
      <w:r w:rsidRPr="00845A3A">
        <w:rPr>
          <w:rFonts w:ascii="Times New Roman" w:hAnsi="Times New Roman" w:cs="Times New Roman"/>
          <w:sz w:val="24"/>
          <w:szCs w:val="24"/>
        </w:rPr>
        <w:t>The Ce has two oxidation states, Ce</w:t>
      </w:r>
      <w:r w:rsidRPr="00845A3A">
        <w:rPr>
          <w:rFonts w:ascii="Times New Roman" w:hAnsi="Times New Roman" w:cs="Times New Roman"/>
          <w:sz w:val="24"/>
          <w:szCs w:val="24"/>
          <w:vertAlign w:val="superscript"/>
        </w:rPr>
        <w:t>3+</w:t>
      </w:r>
      <w:r w:rsidRPr="00845A3A">
        <w:rPr>
          <w:rFonts w:ascii="Times New Roman" w:hAnsi="Times New Roman" w:cs="Times New Roman"/>
          <w:sz w:val="24"/>
          <w:szCs w:val="24"/>
        </w:rPr>
        <w:t xml:space="preserve"> and Ce</w:t>
      </w:r>
      <w:r w:rsidRPr="00845A3A">
        <w:rPr>
          <w:rFonts w:ascii="Times New Roman" w:hAnsi="Times New Roman" w:cs="Times New Roman"/>
          <w:sz w:val="24"/>
          <w:szCs w:val="24"/>
          <w:vertAlign w:val="superscript"/>
        </w:rPr>
        <w:t>4+</w:t>
      </w:r>
      <w:r w:rsidRPr="00845A3A">
        <w:rPr>
          <w:rFonts w:ascii="Times New Roman" w:hAnsi="Times New Roman" w:cs="Times New Roman"/>
          <w:sz w:val="24"/>
          <w:szCs w:val="24"/>
        </w:rPr>
        <w:t xml:space="preserve"> where the presence of Ce</w:t>
      </w:r>
      <w:r w:rsidRPr="00845A3A">
        <w:rPr>
          <w:rFonts w:ascii="Times New Roman" w:hAnsi="Times New Roman" w:cs="Times New Roman"/>
          <w:sz w:val="24"/>
          <w:szCs w:val="24"/>
          <w:vertAlign w:val="superscript"/>
        </w:rPr>
        <w:t>3+</w:t>
      </w:r>
      <w:r w:rsidRPr="00845A3A">
        <w:rPr>
          <w:rFonts w:ascii="Times New Roman" w:hAnsi="Times New Roman" w:cs="Times New Roman"/>
          <w:sz w:val="24"/>
          <w:szCs w:val="24"/>
        </w:rPr>
        <w:t xml:space="preserve"> in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could act as p-type dopant in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The spectral analysis of the X-ray photoelectron spectroscopy (XPS) of the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and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films was done to get an insight into their compositions and chemical states. The XPS analysis spectra of Sn 3d is illustrated in </w:t>
      </w:r>
      <w:r w:rsidRPr="00845A3A">
        <w:rPr>
          <w:rFonts w:ascii="Times New Roman" w:hAnsi="Times New Roman" w:cs="Times New Roman"/>
          <w:b/>
          <w:bCs/>
          <w:sz w:val="24"/>
          <w:szCs w:val="24"/>
        </w:rPr>
        <w:t>Figure 1a</w:t>
      </w:r>
      <w:r w:rsidRPr="00845A3A">
        <w:rPr>
          <w:rFonts w:ascii="Times New Roman" w:hAnsi="Times New Roman" w:cs="Times New Roman"/>
          <w:sz w:val="24"/>
          <w:szCs w:val="24"/>
        </w:rPr>
        <w:t>. The peak that appears in the position of 495.5 eV (495.1 eV) is characterized as Sn 3d</w:t>
      </w:r>
      <w:r w:rsidRPr="00845A3A">
        <w:rPr>
          <w:rFonts w:ascii="Times New Roman" w:hAnsi="Times New Roman" w:cs="Times New Roman"/>
          <w:sz w:val="24"/>
          <w:szCs w:val="24"/>
          <w:vertAlign w:val="subscript"/>
        </w:rPr>
        <w:t>3/2</w:t>
      </w:r>
      <w:r w:rsidRPr="00845A3A">
        <w:rPr>
          <w:rFonts w:ascii="Times New Roman" w:hAnsi="Times New Roman" w:cs="Times New Roman"/>
          <w:sz w:val="24"/>
          <w:szCs w:val="24"/>
        </w:rPr>
        <w:t xml:space="preserve"> and 487 eV (486.68 eV) as Sn 3d</w:t>
      </w:r>
      <w:r w:rsidRPr="00845A3A">
        <w:rPr>
          <w:rFonts w:ascii="Times New Roman" w:hAnsi="Times New Roman" w:cs="Times New Roman"/>
          <w:sz w:val="24"/>
          <w:szCs w:val="24"/>
          <w:vertAlign w:val="subscript"/>
        </w:rPr>
        <w:t>5/2</w:t>
      </w:r>
      <w:r w:rsidRPr="00845A3A">
        <w:rPr>
          <w:rFonts w:ascii="Times New Roman" w:hAnsi="Times New Roman" w:cs="Times New Roman"/>
          <w:sz w:val="24"/>
          <w:szCs w:val="24"/>
        </w:rPr>
        <w:t xml:space="preserve"> states of the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It is also noticed that the peak position of the Sn 3d</w:t>
      </w:r>
      <w:r w:rsidRPr="00845A3A">
        <w:rPr>
          <w:rFonts w:ascii="Times New Roman" w:hAnsi="Times New Roman" w:cs="Times New Roman"/>
          <w:sz w:val="24"/>
          <w:szCs w:val="24"/>
          <w:vertAlign w:val="subscript"/>
        </w:rPr>
        <w:t>3/2</w:t>
      </w:r>
      <w:r w:rsidRPr="00845A3A">
        <w:rPr>
          <w:rFonts w:ascii="Times New Roman" w:hAnsi="Times New Roman" w:cs="Times New Roman"/>
          <w:sz w:val="24"/>
          <w:szCs w:val="24"/>
        </w:rPr>
        <w:t xml:space="preserve"> as </w:t>
      </w:r>
      <w:r w:rsidRPr="00845A3A">
        <w:rPr>
          <w:rFonts w:ascii="Times New Roman" w:hAnsi="Times New Roman" w:cs="Times New Roman"/>
          <w:sz w:val="24"/>
          <w:szCs w:val="24"/>
        </w:rPr>
        <w:lastRenderedPageBreak/>
        <w:t>well as Sn 3d</w:t>
      </w:r>
      <w:r w:rsidRPr="00845A3A">
        <w:rPr>
          <w:rFonts w:ascii="Times New Roman" w:hAnsi="Times New Roman" w:cs="Times New Roman"/>
          <w:sz w:val="24"/>
          <w:szCs w:val="24"/>
          <w:vertAlign w:val="subscript"/>
        </w:rPr>
        <w:t>5/2</w:t>
      </w:r>
      <w:r w:rsidRPr="00845A3A">
        <w:rPr>
          <w:rFonts w:ascii="Times New Roman" w:hAnsi="Times New Roman" w:cs="Times New Roman"/>
          <w:sz w:val="24"/>
          <w:szCs w:val="24"/>
        </w:rPr>
        <w:t xml:space="preserve"> was shifted slightly towards the lower binding energy after introduction of Ce-doping in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The peak shift of Sn 3d occurred might be due to transfer of electron from the low electronegative Ce (1.12) to high electronegative Sn (1.96) which changes the density of electron cloud around the Sn.</w:t>
      </w:r>
      <w:hyperlink r:id="rId42" w:history="1">
        <w:r w:rsidRPr="00845A3A">
          <w:rPr>
            <w:rFonts w:ascii="Times New Roman" w:eastAsia="Times New Roman" w:hAnsi="Times New Roman" w:cs="Times New Roman"/>
            <w:sz w:val="24"/>
            <w:vertAlign w:val="superscript"/>
          </w:rPr>
          <w:t>21</w:t>
        </w:r>
      </w:hyperlink>
      <w:r w:rsidRPr="00845A3A">
        <w:rPr>
          <w:rFonts w:ascii="Times New Roman" w:eastAsia="Times New Roman" w:hAnsi="Times New Roman" w:cs="Times New Roman"/>
          <w:sz w:val="24"/>
          <w:szCs w:val="24"/>
        </w:rPr>
        <w:t xml:space="preserve"> </w:t>
      </w:r>
      <w:r w:rsidRPr="00845A3A">
        <w:rPr>
          <w:rFonts w:ascii="Times New Roman" w:eastAsia="Times New Roman" w:hAnsi="Times New Roman" w:cs="Times New Roman"/>
          <w:b/>
          <w:bCs/>
          <w:sz w:val="24"/>
          <w:szCs w:val="24"/>
        </w:rPr>
        <w:t>Figure 1b</w:t>
      </w:r>
      <w:r w:rsidRPr="00845A3A">
        <w:rPr>
          <w:rFonts w:ascii="Times New Roman" w:eastAsia="Times New Roman" w:hAnsi="Times New Roman" w:cs="Times New Roman"/>
          <w:sz w:val="24"/>
          <w:szCs w:val="24"/>
        </w:rPr>
        <w:t xml:space="preserve"> shows that Ce 3d comprises with two spin-orbit peaks of Ce 3d</w:t>
      </w:r>
      <w:r w:rsidRPr="00845A3A">
        <w:rPr>
          <w:rFonts w:ascii="Times New Roman" w:eastAsia="Times New Roman" w:hAnsi="Times New Roman" w:cs="Times New Roman"/>
          <w:sz w:val="24"/>
          <w:szCs w:val="24"/>
          <w:vertAlign w:val="subscript"/>
        </w:rPr>
        <w:t>3/2</w:t>
      </w:r>
      <w:r w:rsidRPr="00845A3A">
        <w:rPr>
          <w:rFonts w:ascii="Times New Roman" w:eastAsia="Times New Roman" w:hAnsi="Times New Roman" w:cs="Times New Roman"/>
          <w:sz w:val="24"/>
          <w:szCs w:val="24"/>
        </w:rPr>
        <w:t xml:space="preserve"> and Ce 3d</w:t>
      </w:r>
      <w:r w:rsidRPr="00845A3A">
        <w:rPr>
          <w:rFonts w:ascii="Times New Roman" w:eastAsia="Times New Roman" w:hAnsi="Times New Roman" w:cs="Times New Roman"/>
          <w:sz w:val="24"/>
          <w:szCs w:val="24"/>
          <w:vertAlign w:val="subscript"/>
        </w:rPr>
        <w:t>5/2</w:t>
      </w:r>
      <w:r w:rsidRPr="00845A3A">
        <w:rPr>
          <w:rFonts w:ascii="Times New Roman" w:eastAsia="Times New Roman" w:hAnsi="Times New Roman" w:cs="Times New Roman"/>
          <w:sz w:val="24"/>
          <w:szCs w:val="24"/>
        </w:rPr>
        <w:t>. Four peaks were extracted from the Ce 3d spectrum by using the Gaussian deconvolution method where the peaks M′ (904.2 eV) and N′ (885.6 eV) are defined to Ce</w:t>
      </w:r>
      <w:r w:rsidRPr="00845A3A">
        <w:rPr>
          <w:rFonts w:ascii="Times New Roman" w:eastAsia="Times New Roman" w:hAnsi="Times New Roman" w:cs="Times New Roman"/>
          <w:sz w:val="24"/>
          <w:szCs w:val="24"/>
          <w:vertAlign w:val="superscript"/>
        </w:rPr>
        <w:t>3+</w:t>
      </w:r>
      <w:r w:rsidRPr="00845A3A">
        <w:rPr>
          <w:rFonts w:ascii="Times New Roman" w:eastAsia="Times New Roman" w:hAnsi="Times New Roman" w:cs="Times New Roman"/>
          <w:sz w:val="24"/>
          <w:szCs w:val="24"/>
        </w:rPr>
        <w:t xml:space="preserve"> oxidation state and M (900.1 eV) and N (881.9 eV) are defined to Ce</w:t>
      </w:r>
      <w:r w:rsidRPr="00845A3A">
        <w:rPr>
          <w:rFonts w:ascii="Times New Roman" w:eastAsia="Times New Roman" w:hAnsi="Times New Roman" w:cs="Times New Roman"/>
          <w:sz w:val="24"/>
          <w:szCs w:val="24"/>
          <w:vertAlign w:val="superscript"/>
        </w:rPr>
        <w:t>4+</w:t>
      </w:r>
      <w:r w:rsidRPr="00845A3A">
        <w:rPr>
          <w:rFonts w:ascii="Times New Roman" w:eastAsia="Times New Roman" w:hAnsi="Times New Roman" w:cs="Times New Roman"/>
          <w:sz w:val="24"/>
          <w:szCs w:val="24"/>
        </w:rPr>
        <w:t xml:space="preserve"> oxidation state. This result confirms the co-existence of Ce</w:t>
      </w:r>
      <w:r w:rsidRPr="00845A3A">
        <w:rPr>
          <w:rFonts w:ascii="Times New Roman" w:eastAsia="Times New Roman" w:hAnsi="Times New Roman" w:cs="Times New Roman"/>
          <w:sz w:val="24"/>
          <w:szCs w:val="24"/>
          <w:vertAlign w:val="superscript"/>
        </w:rPr>
        <w:t>3+</w:t>
      </w:r>
      <w:r w:rsidRPr="00845A3A">
        <w:rPr>
          <w:rFonts w:ascii="Times New Roman" w:eastAsia="Times New Roman" w:hAnsi="Times New Roman" w:cs="Times New Roman"/>
          <w:sz w:val="24"/>
          <w:szCs w:val="24"/>
        </w:rPr>
        <w:t xml:space="preserve"> (86.07%) and Ce</w:t>
      </w:r>
      <w:r w:rsidRPr="00845A3A">
        <w:rPr>
          <w:rFonts w:ascii="Times New Roman" w:eastAsia="Times New Roman" w:hAnsi="Times New Roman" w:cs="Times New Roman"/>
          <w:sz w:val="24"/>
          <w:szCs w:val="24"/>
          <w:vertAlign w:val="superscript"/>
        </w:rPr>
        <w:t>4+</w:t>
      </w:r>
      <w:r w:rsidRPr="00845A3A">
        <w:rPr>
          <w:rFonts w:ascii="Times New Roman" w:eastAsia="Times New Roman" w:hAnsi="Times New Roman" w:cs="Times New Roman"/>
          <w:sz w:val="24"/>
          <w:szCs w:val="24"/>
        </w:rPr>
        <w:t xml:space="preserve"> (13.93%) in the </w:t>
      </w:r>
      <w:r w:rsidRPr="00845A3A">
        <w:rPr>
          <w:rFonts w:ascii="Times New Roman" w:hAnsi="Times New Roman" w:cs="Times New Roman"/>
          <w:sz w:val="24"/>
          <w:szCs w:val="24"/>
        </w:rPr>
        <w:t>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film. The existence of </w:t>
      </w:r>
      <w:r w:rsidRPr="00845A3A">
        <w:rPr>
          <w:rFonts w:ascii="Times New Roman" w:eastAsia="Times New Roman" w:hAnsi="Times New Roman" w:cs="Times New Roman"/>
          <w:sz w:val="24"/>
          <w:szCs w:val="24"/>
        </w:rPr>
        <w:t>Ce</w:t>
      </w:r>
      <w:r w:rsidRPr="00845A3A">
        <w:rPr>
          <w:rFonts w:ascii="Times New Roman" w:eastAsia="Times New Roman" w:hAnsi="Times New Roman" w:cs="Times New Roman"/>
          <w:sz w:val="24"/>
          <w:szCs w:val="24"/>
          <w:vertAlign w:val="superscript"/>
        </w:rPr>
        <w:t>3+</w:t>
      </w:r>
      <w:r w:rsidRPr="00845A3A">
        <w:rPr>
          <w:rFonts w:ascii="Times New Roman" w:eastAsia="Times New Roman" w:hAnsi="Times New Roman" w:cs="Times New Roman"/>
          <w:sz w:val="24"/>
          <w:szCs w:val="24"/>
        </w:rPr>
        <w:t xml:space="preserve"> state is desired to be worked as a p-type dopant in SnO</w:t>
      </w:r>
      <w:r w:rsidRPr="00845A3A">
        <w:rPr>
          <w:rFonts w:ascii="Times New Roman" w:eastAsia="Times New Roman" w:hAnsi="Times New Roman" w:cs="Times New Roman"/>
          <w:sz w:val="24"/>
          <w:szCs w:val="24"/>
          <w:vertAlign w:val="subscript"/>
        </w:rPr>
        <w:t>2</w:t>
      </w:r>
      <w:r w:rsidRPr="00845A3A">
        <w:rPr>
          <w:rFonts w:ascii="Times New Roman" w:eastAsia="Times New Roman" w:hAnsi="Times New Roman" w:cs="Times New Roman"/>
          <w:sz w:val="24"/>
          <w:szCs w:val="24"/>
        </w:rPr>
        <w:t xml:space="preserve"> which could tune the energy band alignment of SnO</w:t>
      </w:r>
      <w:r w:rsidRPr="00845A3A">
        <w:rPr>
          <w:rFonts w:ascii="Times New Roman" w:eastAsia="Times New Roman" w:hAnsi="Times New Roman" w:cs="Times New Roman"/>
          <w:sz w:val="24"/>
          <w:szCs w:val="24"/>
          <w:vertAlign w:val="subscript"/>
        </w:rPr>
        <w:t>2</w:t>
      </w:r>
      <w:r w:rsidRPr="00845A3A">
        <w:rPr>
          <w:rFonts w:ascii="Times New Roman" w:eastAsia="Times New Roman" w:hAnsi="Times New Roman" w:cs="Times New Roman"/>
          <w:sz w:val="24"/>
          <w:szCs w:val="24"/>
        </w:rPr>
        <w:t xml:space="preserve">. Besides, </w:t>
      </w:r>
      <w:r w:rsidRPr="00845A3A">
        <w:rPr>
          <w:rFonts w:ascii="Times New Roman" w:hAnsi="Times New Roman" w:cs="Times New Roman"/>
          <w:sz w:val="24"/>
          <w:szCs w:val="24"/>
        </w:rPr>
        <w:t>the existence of Ce</w:t>
      </w:r>
      <w:r w:rsidRPr="00845A3A">
        <w:rPr>
          <w:rFonts w:ascii="Times New Roman" w:hAnsi="Times New Roman" w:cs="Times New Roman"/>
          <w:sz w:val="24"/>
          <w:szCs w:val="24"/>
          <w:vertAlign w:val="superscript"/>
        </w:rPr>
        <w:t>4+</w:t>
      </w:r>
      <w:r w:rsidRPr="00845A3A">
        <w:rPr>
          <w:rFonts w:ascii="Times New Roman" w:hAnsi="Times New Roman" w:cs="Times New Roman"/>
          <w:sz w:val="24"/>
          <w:szCs w:val="24"/>
        </w:rPr>
        <w:t xml:space="preserve"> state on the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surface could passivate the uncoordinated Pb</w:t>
      </w:r>
      <w:r w:rsidRPr="00845A3A">
        <w:rPr>
          <w:rFonts w:ascii="Times New Roman" w:hAnsi="Times New Roman" w:cs="Times New Roman"/>
          <w:sz w:val="24"/>
          <w:szCs w:val="24"/>
          <w:vertAlign w:val="superscript"/>
        </w:rPr>
        <w:t>0</w:t>
      </w:r>
      <w:r w:rsidRPr="00845A3A">
        <w:rPr>
          <w:rFonts w:ascii="Times New Roman" w:hAnsi="Times New Roman" w:cs="Times New Roman"/>
          <w:sz w:val="24"/>
          <w:szCs w:val="24"/>
        </w:rPr>
        <w:t xml:space="preserve"> defects at the ETL/perovskite interface of the PSC.</w:t>
      </w:r>
      <w:hyperlink r:id="rId43" w:history="1">
        <w:r w:rsidRPr="00845A3A">
          <w:rPr>
            <w:rFonts w:ascii="Times New Roman" w:eastAsia="Times New Roman" w:hAnsi="Times New Roman" w:cs="Times New Roman"/>
            <w:sz w:val="24"/>
            <w:vertAlign w:val="superscript"/>
          </w:rPr>
          <w:t>37</w:t>
        </w:r>
      </w:hyperlink>
    </w:p>
    <w:p w14:paraId="4E2CF12F" w14:textId="0199878E" w:rsidR="00815986" w:rsidRPr="00845A3A" w:rsidRDefault="00EF4AE4" w:rsidP="00EF4AE4">
      <w:pPr>
        <w:spacing w:after="100" w:afterAutospacing="1" w:line="240" w:lineRule="auto"/>
        <w:jc w:val="center"/>
        <w:rPr>
          <w:rFonts w:ascii="Times New Roman" w:eastAsia="Times New Roman" w:hAnsi="Times New Roman" w:cs="Times New Roman"/>
          <w:kern w:val="0"/>
          <w:sz w:val="24"/>
          <w:szCs w:val="24"/>
          <w:lang w:val="en-GB" w:eastAsia="ja-JP"/>
          <w14:ligatures w14:val="none"/>
        </w:rPr>
      </w:pPr>
      <w:r w:rsidRPr="00845A3A">
        <w:rPr>
          <w:noProof/>
        </w:rPr>
        <w:drawing>
          <wp:inline distT="0" distB="0" distL="0" distR="0" wp14:anchorId="26CDBD8F" wp14:editId="79D4230E">
            <wp:extent cx="5731510" cy="2936240"/>
            <wp:effectExtent l="0" t="0" r="2540" b="0"/>
            <wp:docPr id="1376210845" name="Picture 1" descr="A group of graphs showing different typ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210845" name="Picture 1" descr="A group of graphs showing different types of data&#10;&#10;Description automatically generated with medium confidenc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31510" cy="2936240"/>
                    </a:xfrm>
                    <a:prstGeom prst="rect">
                      <a:avLst/>
                    </a:prstGeom>
                    <a:noFill/>
                    <a:ln>
                      <a:noFill/>
                    </a:ln>
                  </pic:spPr>
                </pic:pic>
              </a:graphicData>
            </a:graphic>
          </wp:inline>
        </w:drawing>
      </w:r>
    </w:p>
    <w:p w14:paraId="6A11AAEE" w14:textId="138AC825" w:rsidR="00EB55F0" w:rsidRPr="00845A3A" w:rsidRDefault="00EB55F0" w:rsidP="00A81D2F">
      <w:pPr>
        <w:pBdr>
          <w:bottom w:val="single" w:sz="4" w:space="1" w:color="auto"/>
        </w:pBdr>
        <w:spacing w:line="480" w:lineRule="auto"/>
        <w:jc w:val="both"/>
        <w:rPr>
          <w:rFonts w:ascii="Times New Roman" w:hAnsi="Times New Roman" w:cs="Times New Roman"/>
          <w:sz w:val="24"/>
          <w:szCs w:val="24"/>
        </w:rPr>
      </w:pPr>
      <w:r w:rsidRPr="00845A3A">
        <w:rPr>
          <w:rFonts w:ascii="Times New Roman" w:hAnsi="Times New Roman" w:cs="Times New Roman"/>
          <w:b/>
          <w:bCs/>
          <w:sz w:val="24"/>
          <w:szCs w:val="24"/>
        </w:rPr>
        <w:t>Figure 1.</w:t>
      </w:r>
      <w:r w:rsidRPr="00845A3A">
        <w:rPr>
          <w:rFonts w:ascii="Times New Roman" w:hAnsi="Times New Roman" w:cs="Times New Roman"/>
          <w:sz w:val="24"/>
          <w:szCs w:val="24"/>
        </w:rPr>
        <w:t xml:space="preserve"> Spectra of XPS analysis of the (a) Sn 3d of the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and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films, (b) Ce 3d of the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film, (</w:t>
      </w:r>
      <w:proofErr w:type="spellStart"/>
      <w:proofErr w:type="gramStart"/>
      <w:r w:rsidRPr="00845A3A">
        <w:rPr>
          <w:rFonts w:ascii="Times New Roman" w:hAnsi="Times New Roman" w:cs="Times New Roman"/>
          <w:sz w:val="24"/>
          <w:szCs w:val="24"/>
        </w:rPr>
        <w:t>c,d</w:t>
      </w:r>
      <w:proofErr w:type="spellEnd"/>
      <w:proofErr w:type="gramEnd"/>
      <w:r w:rsidRPr="00845A3A">
        <w:rPr>
          <w:rFonts w:ascii="Times New Roman" w:hAnsi="Times New Roman" w:cs="Times New Roman"/>
          <w:sz w:val="24"/>
          <w:szCs w:val="24"/>
        </w:rPr>
        <w:t>) O 1s of the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and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films</w:t>
      </w:r>
      <w:r w:rsidR="00E84ED8" w:rsidRPr="00845A3A">
        <w:rPr>
          <w:rFonts w:ascii="Times New Roman" w:hAnsi="Times New Roman" w:cs="Times New Roman"/>
          <w:sz w:val="24"/>
          <w:szCs w:val="24"/>
        </w:rPr>
        <w:t>.</w:t>
      </w:r>
      <w:r w:rsidRPr="00845A3A">
        <w:rPr>
          <w:rFonts w:ascii="Times New Roman" w:hAnsi="Times New Roman" w:cs="Times New Roman"/>
          <w:sz w:val="24"/>
          <w:szCs w:val="24"/>
        </w:rPr>
        <w:t xml:space="preserve"> </w:t>
      </w:r>
      <w:r w:rsidRPr="00845A3A">
        <w:rPr>
          <w:rFonts w:ascii="Times New Roman" w:hAnsi="Times New Roman" w:cs="Times New Roman"/>
          <w:i/>
          <w:iCs/>
          <w:sz w:val="24"/>
          <w:szCs w:val="24"/>
        </w:rPr>
        <w:t>J</w:t>
      </w:r>
      <w:r w:rsidRPr="00845A3A">
        <w:rPr>
          <w:rFonts w:ascii="Times New Roman" w:hAnsi="Times New Roman" w:cs="Times New Roman"/>
          <w:sz w:val="24"/>
          <w:szCs w:val="24"/>
        </w:rPr>
        <w:t>-</w:t>
      </w:r>
      <w:r w:rsidRPr="00845A3A">
        <w:rPr>
          <w:rFonts w:ascii="Times New Roman" w:hAnsi="Times New Roman" w:cs="Times New Roman"/>
          <w:i/>
          <w:iCs/>
          <w:sz w:val="24"/>
          <w:szCs w:val="24"/>
        </w:rPr>
        <w:t>V</w:t>
      </w:r>
      <w:r w:rsidRPr="00845A3A">
        <w:rPr>
          <w:rFonts w:ascii="Times New Roman" w:hAnsi="Times New Roman" w:cs="Times New Roman"/>
          <w:sz w:val="24"/>
          <w:szCs w:val="24"/>
        </w:rPr>
        <w:t xml:space="preserve"> curve of (e)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and (f)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based electron-only devices.</w:t>
      </w:r>
    </w:p>
    <w:p w14:paraId="42D762D9" w14:textId="77777777" w:rsidR="00EB55F0" w:rsidRPr="00845A3A" w:rsidRDefault="00EB55F0" w:rsidP="00A720BD">
      <w:pPr>
        <w:spacing w:before="240" w:line="480" w:lineRule="auto"/>
        <w:jc w:val="both"/>
        <w:rPr>
          <w:rFonts w:ascii="Times New Roman" w:hAnsi="Times New Roman" w:cs="Times New Roman"/>
          <w:sz w:val="24"/>
          <w:szCs w:val="24"/>
        </w:rPr>
      </w:pPr>
    </w:p>
    <w:p w14:paraId="5BF7F85F" w14:textId="77777777" w:rsidR="00EB55F0" w:rsidRPr="00845A3A" w:rsidRDefault="00EB55F0" w:rsidP="00A720BD">
      <w:pPr>
        <w:spacing w:before="240" w:line="480" w:lineRule="auto"/>
        <w:jc w:val="both"/>
        <w:rPr>
          <w:rFonts w:ascii="Times New Roman" w:hAnsi="Times New Roman" w:cs="Times New Roman"/>
          <w:sz w:val="24"/>
          <w:szCs w:val="24"/>
        </w:rPr>
      </w:pPr>
      <w:r w:rsidRPr="00845A3A">
        <w:rPr>
          <w:rFonts w:ascii="Times New Roman" w:hAnsi="Times New Roman" w:cs="Times New Roman"/>
          <w:sz w:val="24"/>
          <w:szCs w:val="24"/>
        </w:rPr>
        <w:lastRenderedPageBreak/>
        <w:t>The O 1s peak of the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has been decomposed into two different peaks 530.74 eV (530.65 eV) and 532.10 eV (532.02 eV) which are characterized as lattice oxygen (O</w:t>
      </w:r>
      <w:r w:rsidRPr="00845A3A">
        <w:rPr>
          <w:rFonts w:ascii="Times New Roman" w:hAnsi="Times New Roman" w:cs="Times New Roman"/>
          <w:sz w:val="24"/>
          <w:szCs w:val="24"/>
          <w:vertAlign w:val="subscript"/>
        </w:rPr>
        <w:t>L</w:t>
      </w:r>
      <w:r w:rsidRPr="00845A3A">
        <w:rPr>
          <w:rFonts w:ascii="Times New Roman" w:hAnsi="Times New Roman" w:cs="Times New Roman"/>
          <w:sz w:val="24"/>
          <w:szCs w:val="24"/>
        </w:rPr>
        <w:t>) and oxygen vacancy (O</w:t>
      </w:r>
      <w:r w:rsidRPr="00845A3A">
        <w:rPr>
          <w:rFonts w:ascii="Times New Roman" w:hAnsi="Times New Roman" w:cs="Times New Roman"/>
          <w:sz w:val="24"/>
          <w:szCs w:val="24"/>
          <w:vertAlign w:val="subscript"/>
        </w:rPr>
        <w:t>V</w:t>
      </w:r>
      <w:r w:rsidRPr="00845A3A">
        <w:rPr>
          <w:rFonts w:ascii="Times New Roman" w:hAnsi="Times New Roman" w:cs="Times New Roman"/>
          <w:sz w:val="24"/>
          <w:szCs w:val="24"/>
        </w:rPr>
        <w:t xml:space="preserve">), as indicated in </w:t>
      </w:r>
      <w:r w:rsidRPr="00845A3A">
        <w:rPr>
          <w:rFonts w:ascii="Times New Roman" w:hAnsi="Times New Roman" w:cs="Times New Roman"/>
          <w:b/>
          <w:bCs/>
          <w:sz w:val="24"/>
          <w:szCs w:val="24"/>
        </w:rPr>
        <w:t>Figure 1c (Figure 1d)</w:t>
      </w:r>
      <w:r w:rsidRPr="00845A3A">
        <w:rPr>
          <w:rFonts w:ascii="Times New Roman" w:hAnsi="Times New Roman" w:cs="Times New Roman"/>
          <w:sz w:val="24"/>
          <w:szCs w:val="24"/>
        </w:rPr>
        <w:t>. Comparing the percentage of the O</w:t>
      </w:r>
      <w:r w:rsidRPr="00845A3A">
        <w:rPr>
          <w:rFonts w:ascii="Times New Roman" w:hAnsi="Times New Roman" w:cs="Times New Roman"/>
          <w:sz w:val="24"/>
          <w:szCs w:val="24"/>
          <w:vertAlign w:val="subscript"/>
        </w:rPr>
        <w:t>V</w:t>
      </w:r>
      <w:r w:rsidRPr="00845A3A">
        <w:rPr>
          <w:rFonts w:ascii="Times New Roman" w:hAnsi="Times New Roman" w:cs="Times New Roman"/>
          <w:sz w:val="24"/>
          <w:szCs w:val="24"/>
        </w:rPr>
        <w:t xml:space="preserve"> in the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and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the amount of O</w:t>
      </w:r>
      <w:r w:rsidRPr="00845A3A">
        <w:rPr>
          <w:rFonts w:ascii="Times New Roman" w:hAnsi="Times New Roman" w:cs="Times New Roman"/>
          <w:sz w:val="24"/>
          <w:szCs w:val="24"/>
          <w:vertAlign w:val="subscript"/>
        </w:rPr>
        <w:t>V</w:t>
      </w:r>
      <w:r w:rsidRPr="00845A3A">
        <w:rPr>
          <w:rFonts w:ascii="Times New Roman" w:hAnsi="Times New Roman" w:cs="Times New Roman"/>
          <w:sz w:val="24"/>
          <w:szCs w:val="24"/>
        </w:rPr>
        <w:t xml:space="preserve"> content is lower in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than in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which indicates that Ce-doping leads to the passivation of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surface O</w:t>
      </w:r>
      <w:r w:rsidRPr="00845A3A">
        <w:rPr>
          <w:rFonts w:ascii="Times New Roman" w:hAnsi="Times New Roman" w:cs="Times New Roman"/>
          <w:sz w:val="24"/>
          <w:szCs w:val="24"/>
          <w:vertAlign w:val="subscript"/>
        </w:rPr>
        <w:t>V</w:t>
      </w:r>
      <w:r w:rsidRPr="00845A3A">
        <w:rPr>
          <w:rFonts w:ascii="Times New Roman" w:hAnsi="Times New Roman" w:cs="Times New Roman"/>
          <w:sz w:val="24"/>
          <w:szCs w:val="24"/>
        </w:rPr>
        <w:t xml:space="preserve"> defects. Furthermore, the reduced O</w:t>
      </w:r>
      <w:r w:rsidRPr="00845A3A">
        <w:rPr>
          <w:rFonts w:ascii="Times New Roman" w:hAnsi="Times New Roman" w:cs="Times New Roman"/>
          <w:sz w:val="24"/>
          <w:szCs w:val="24"/>
          <w:vertAlign w:val="subscript"/>
        </w:rPr>
        <w:t>V</w:t>
      </w:r>
      <w:r w:rsidRPr="00845A3A">
        <w:rPr>
          <w:rFonts w:ascii="Times New Roman" w:hAnsi="Times New Roman" w:cs="Times New Roman"/>
          <w:sz w:val="24"/>
          <w:szCs w:val="24"/>
        </w:rPr>
        <w:t xml:space="preserve"> defects would be beneficial to suppress the non-radiative recombination at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 surface of the PSCs. The synthesized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and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nanoparticles solutions were studied by the dynamic light scattering (DLS) analysis, displayed in </w:t>
      </w:r>
      <w:r w:rsidRPr="00845A3A">
        <w:rPr>
          <w:rFonts w:ascii="Times New Roman" w:hAnsi="Times New Roman" w:cs="Times New Roman"/>
          <w:b/>
          <w:bCs/>
          <w:sz w:val="24"/>
          <w:szCs w:val="24"/>
        </w:rPr>
        <w:t>Figure S2</w:t>
      </w:r>
      <w:r w:rsidRPr="00845A3A">
        <w:rPr>
          <w:rFonts w:ascii="Times New Roman" w:hAnsi="Times New Roman" w:cs="Times New Roman"/>
          <w:sz w:val="24"/>
          <w:szCs w:val="24"/>
        </w:rPr>
        <w:t>. The nanoparticles size of the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and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nanoparticles in solution was observed around 8 and 11 nm, respectively.</w:t>
      </w:r>
    </w:p>
    <w:p w14:paraId="530030AC" w14:textId="77777777" w:rsidR="00EB55F0" w:rsidRPr="00845A3A" w:rsidRDefault="00EB55F0" w:rsidP="00D55A7A">
      <w:pPr>
        <w:spacing w:after="0" w:line="480" w:lineRule="auto"/>
        <w:jc w:val="both"/>
        <w:rPr>
          <w:rFonts w:ascii="Times New Roman" w:hAnsi="Times New Roman" w:cs="Times New Roman"/>
          <w:sz w:val="24"/>
          <w:szCs w:val="24"/>
        </w:rPr>
      </w:pPr>
      <w:r w:rsidRPr="00845A3A">
        <w:rPr>
          <w:rFonts w:ascii="Times New Roman" w:hAnsi="Times New Roman" w:cs="Times New Roman"/>
          <w:sz w:val="24"/>
          <w:szCs w:val="24"/>
        </w:rPr>
        <w:t>The electron-only device (ETL/perovskite/PCBM/Ag on FTO) was studied to know the defect concentration (</w:t>
      </w:r>
      <w:proofErr w:type="spellStart"/>
      <w:r w:rsidRPr="00845A3A">
        <w:rPr>
          <w:rFonts w:ascii="Times New Roman" w:hAnsi="Times New Roman" w:cs="Times New Roman"/>
          <w:i/>
          <w:iCs/>
          <w:sz w:val="24"/>
          <w:szCs w:val="24"/>
        </w:rPr>
        <w:t>N</w:t>
      </w:r>
      <w:r w:rsidRPr="00845A3A">
        <w:rPr>
          <w:rFonts w:ascii="Times New Roman" w:hAnsi="Times New Roman" w:cs="Times New Roman"/>
          <w:sz w:val="24"/>
          <w:szCs w:val="24"/>
          <w:vertAlign w:val="subscript"/>
        </w:rPr>
        <w:t>t</w:t>
      </w:r>
      <w:proofErr w:type="spellEnd"/>
      <w:r w:rsidRPr="00845A3A">
        <w:rPr>
          <w:rFonts w:ascii="Times New Roman" w:hAnsi="Times New Roman" w:cs="Times New Roman"/>
          <w:sz w:val="24"/>
          <w:szCs w:val="24"/>
        </w:rPr>
        <w:t>) of the devices based on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and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as ETLs. The exploration of current–voltage (</w:t>
      </w:r>
      <w:r w:rsidRPr="00845A3A">
        <w:rPr>
          <w:rFonts w:ascii="Times New Roman" w:hAnsi="Times New Roman" w:cs="Times New Roman"/>
          <w:i/>
          <w:iCs/>
          <w:sz w:val="24"/>
          <w:szCs w:val="24"/>
        </w:rPr>
        <w:t>J</w:t>
      </w:r>
      <w:r w:rsidRPr="00845A3A">
        <w:rPr>
          <w:rFonts w:ascii="Times New Roman" w:hAnsi="Times New Roman" w:cs="Times New Roman"/>
          <w:sz w:val="24"/>
          <w:szCs w:val="24"/>
        </w:rPr>
        <w:t>-</w:t>
      </w:r>
      <w:r w:rsidRPr="00845A3A">
        <w:rPr>
          <w:rFonts w:ascii="Times New Roman" w:hAnsi="Times New Roman" w:cs="Times New Roman"/>
          <w:i/>
          <w:iCs/>
          <w:sz w:val="24"/>
          <w:szCs w:val="24"/>
        </w:rPr>
        <w:t>V</w:t>
      </w:r>
      <w:r w:rsidRPr="00845A3A">
        <w:rPr>
          <w:rFonts w:ascii="Times New Roman" w:hAnsi="Times New Roman" w:cs="Times New Roman"/>
          <w:sz w:val="24"/>
          <w:szCs w:val="24"/>
        </w:rPr>
        <w:t>) characteristics of the electron-only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and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based devices were conducted under dark-condition, illustrated in </w:t>
      </w:r>
      <w:r w:rsidRPr="00845A3A">
        <w:rPr>
          <w:rFonts w:ascii="Times New Roman" w:hAnsi="Times New Roman" w:cs="Times New Roman"/>
          <w:b/>
          <w:bCs/>
          <w:sz w:val="24"/>
          <w:szCs w:val="24"/>
        </w:rPr>
        <w:t>Figure 1</w:t>
      </w:r>
      <w:proofErr w:type="gramStart"/>
      <w:r w:rsidRPr="00845A3A">
        <w:rPr>
          <w:rFonts w:ascii="Times New Roman" w:hAnsi="Times New Roman" w:cs="Times New Roman"/>
          <w:b/>
          <w:bCs/>
          <w:sz w:val="24"/>
          <w:szCs w:val="24"/>
        </w:rPr>
        <w:t>e,f</w:t>
      </w:r>
      <w:r w:rsidRPr="00845A3A">
        <w:rPr>
          <w:rFonts w:ascii="Times New Roman" w:hAnsi="Times New Roman" w:cs="Times New Roman"/>
          <w:sz w:val="24"/>
          <w:szCs w:val="24"/>
        </w:rPr>
        <w:t>.</w:t>
      </w:r>
      <w:proofErr w:type="gramEnd"/>
      <w:r w:rsidRPr="00845A3A">
        <w:rPr>
          <w:rFonts w:ascii="Times New Roman" w:hAnsi="Times New Roman" w:cs="Times New Roman"/>
          <w:sz w:val="24"/>
          <w:szCs w:val="24"/>
        </w:rPr>
        <w:t xml:space="preserve"> From the curve, the voltage of trap-filling limit (V</w:t>
      </w:r>
      <w:r w:rsidRPr="00845A3A">
        <w:rPr>
          <w:rFonts w:ascii="Times New Roman" w:hAnsi="Times New Roman" w:cs="Times New Roman"/>
          <w:sz w:val="24"/>
          <w:szCs w:val="24"/>
          <w:vertAlign w:val="subscript"/>
        </w:rPr>
        <w:t>TFL</w:t>
      </w:r>
      <w:r w:rsidRPr="00845A3A">
        <w:rPr>
          <w:rFonts w:ascii="Times New Roman" w:hAnsi="Times New Roman" w:cs="Times New Roman"/>
          <w:sz w:val="24"/>
          <w:szCs w:val="24"/>
        </w:rPr>
        <w:t xml:space="preserve">) was estimated at the intersect point of the regions of the ohmic conduction and the trap-filling. The </w:t>
      </w:r>
      <w:r w:rsidRPr="00845A3A">
        <w:rPr>
          <w:rFonts w:ascii="Times New Roman" w:hAnsi="Times New Roman" w:cs="Times New Roman"/>
          <w:i/>
          <w:iCs/>
          <w:sz w:val="24"/>
          <w:szCs w:val="24"/>
        </w:rPr>
        <w:t>V</w:t>
      </w:r>
      <w:r w:rsidRPr="00845A3A">
        <w:rPr>
          <w:rFonts w:ascii="Times New Roman" w:hAnsi="Times New Roman" w:cs="Times New Roman"/>
          <w:sz w:val="24"/>
          <w:szCs w:val="24"/>
          <w:vertAlign w:val="subscript"/>
        </w:rPr>
        <w:t>TFL</w:t>
      </w:r>
      <w:r w:rsidRPr="00845A3A">
        <w:rPr>
          <w:rFonts w:ascii="Times New Roman" w:hAnsi="Times New Roman" w:cs="Times New Roman"/>
          <w:sz w:val="24"/>
          <w:szCs w:val="24"/>
        </w:rPr>
        <w:t xml:space="preserve"> of the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and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based-devices are 0.19, and 0.22 V, respectively. Following equation </w:t>
      </w:r>
      <w:r w:rsidRPr="00845A3A">
        <w:rPr>
          <w:rFonts w:ascii="Times New Roman" w:hAnsi="Times New Roman" w:cs="Times New Roman"/>
          <w:b/>
          <w:bCs/>
          <w:sz w:val="24"/>
          <w:szCs w:val="24"/>
        </w:rPr>
        <w:t>1</w:t>
      </w:r>
      <w:r w:rsidRPr="00845A3A">
        <w:rPr>
          <w:rFonts w:ascii="Times New Roman" w:hAnsi="Times New Roman" w:cs="Times New Roman"/>
          <w:sz w:val="24"/>
          <w:szCs w:val="24"/>
        </w:rPr>
        <w:t xml:space="preserve">, the </w:t>
      </w:r>
      <w:proofErr w:type="spellStart"/>
      <w:r w:rsidRPr="00845A3A">
        <w:rPr>
          <w:rFonts w:ascii="Times New Roman" w:hAnsi="Times New Roman" w:cs="Times New Roman"/>
          <w:i/>
          <w:iCs/>
          <w:sz w:val="24"/>
          <w:szCs w:val="24"/>
        </w:rPr>
        <w:t>N</w:t>
      </w:r>
      <w:r w:rsidRPr="00845A3A">
        <w:rPr>
          <w:rFonts w:ascii="Times New Roman" w:hAnsi="Times New Roman" w:cs="Times New Roman"/>
          <w:sz w:val="24"/>
          <w:szCs w:val="24"/>
          <w:vertAlign w:val="subscript"/>
        </w:rPr>
        <w:t>t</w:t>
      </w:r>
      <w:proofErr w:type="spellEnd"/>
      <w:r w:rsidRPr="00845A3A">
        <w:rPr>
          <w:rFonts w:ascii="Times New Roman" w:hAnsi="Times New Roman" w:cs="Times New Roman"/>
          <w:sz w:val="24"/>
          <w:szCs w:val="24"/>
        </w:rPr>
        <w:t xml:space="preserve"> value of the PSCs was calculated.</w:t>
      </w:r>
    </w:p>
    <w:p w14:paraId="4958205C" w14:textId="3086459E" w:rsidR="00EB55F0" w:rsidRPr="00845A3A" w:rsidRDefault="00000000" w:rsidP="002F69BC">
      <w:pPr>
        <w:spacing w:after="0" w:line="480" w:lineRule="auto"/>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N</m:t>
              </m:r>
            </m:e>
            <m:sub>
              <m:r>
                <m:rPr>
                  <m:sty m:val="p"/>
                </m:rPr>
                <w:rPr>
                  <w:rFonts w:ascii="Cambria Math" w:hAnsi="Cambria Math" w:cs="Times New Roman"/>
                  <w:sz w:val="24"/>
                  <w:szCs w:val="24"/>
                </w:rPr>
                <m:t>t</m:t>
              </m:r>
            </m:sub>
          </m:sSub>
          <m:r>
            <w:rPr>
              <w:rFonts w:ascii="Cambria Math" w:hAnsi="Cambria Math" w:cs="Times New Roman"/>
              <w:sz w:val="24"/>
              <w:szCs w:val="24"/>
            </w:rPr>
            <m:t>=</m:t>
          </m:r>
          <m:f>
            <m:fPr>
              <m:ctrlPr>
                <w:rPr>
                  <w:rFonts w:ascii="Cambria Math" w:hAnsi="Cambria Math" w:cs="Times New Roman"/>
                  <w:i/>
                  <w:sz w:val="24"/>
                  <w:szCs w:val="24"/>
                </w:rPr>
              </m:ctrlPr>
            </m:fPr>
            <m:num>
              <m:r>
                <m:rPr>
                  <m:sty m:val="p"/>
                </m:rPr>
                <w:rPr>
                  <w:rFonts w:ascii="Cambria Math" w:hAnsi="Cambria Math" w:cs="Times New Roman"/>
                  <w:sz w:val="24"/>
                  <w:szCs w:val="24"/>
                </w:rPr>
                <m:t>2</m:t>
              </m:r>
              <m:r>
                <w:rPr>
                  <w:rFonts w:ascii="Cambria Math" w:hAnsi="Cambria Math" w:cs="Times New Roman"/>
                  <w:sz w:val="24"/>
                  <w:szCs w:val="24"/>
                </w:rPr>
                <m:t>ε</m:t>
              </m:r>
              <m:sSub>
                <m:sSubPr>
                  <m:ctrlPr>
                    <w:rPr>
                      <w:rFonts w:ascii="Cambria Math" w:hAnsi="Cambria Math" w:cs="Times New Roman"/>
                      <w:i/>
                      <w:sz w:val="24"/>
                      <w:szCs w:val="24"/>
                    </w:rPr>
                  </m:ctrlPr>
                </m:sSubPr>
                <m:e>
                  <m:r>
                    <w:rPr>
                      <w:rFonts w:ascii="Cambria Math" w:hAnsi="Cambria Math" w:cs="Times New Roman"/>
                      <w:sz w:val="24"/>
                      <w:szCs w:val="24"/>
                    </w:rPr>
                    <m:t>ε</m:t>
                  </m:r>
                </m:e>
                <m:sub>
                  <m:r>
                    <m:rPr>
                      <m:sty m:val="p"/>
                    </m:rPr>
                    <w:rPr>
                      <w:rFonts w:ascii="Cambria Math" w:hAnsi="Cambria Math" w:cs="Times New Roman"/>
                      <w:sz w:val="24"/>
                      <w:szCs w:val="24"/>
                    </w:rPr>
                    <m:t>o</m:t>
                  </m:r>
                </m:sub>
              </m:sSub>
              <m:sSub>
                <m:sSubPr>
                  <m:ctrlPr>
                    <w:rPr>
                      <w:rFonts w:ascii="Cambria Math" w:hAnsi="Cambria Math" w:cs="Times New Roman"/>
                      <w:i/>
                      <w:sz w:val="24"/>
                      <w:szCs w:val="24"/>
                    </w:rPr>
                  </m:ctrlPr>
                </m:sSubPr>
                <m:e>
                  <m:r>
                    <w:rPr>
                      <w:rFonts w:ascii="Cambria Math" w:hAnsi="Cambria Math" w:cs="Times New Roman"/>
                      <w:sz w:val="24"/>
                      <w:szCs w:val="24"/>
                    </w:rPr>
                    <m:t>V</m:t>
                  </m:r>
                </m:e>
                <m:sub>
                  <m:r>
                    <m:rPr>
                      <m:sty m:val="p"/>
                    </m:rPr>
                    <w:rPr>
                      <w:rFonts w:ascii="Cambria Math" w:hAnsi="Cambria Math" w:cs="Times New Roman"/>
                      <w:sz w:val="24"/>
                      <w:szCs w:val="24"/>
                    </w:rPr>
                    <m:t>TFL</m:t>
                  </m:r>
                </m:sub>
              </m:sSub>
            </m:num>
            <m:den>
              <m:r>
                <w:rPr>
                  <w:rFonts w:ascii="Cambria Math" w:hAnsi="Cambria Math" w:cs="Times New Roman"/>
                  <w:sz w:val="24"/>
                  <w:szCs w:val="24"/>
                </w:rPr>
                <m:t>e</m:t>
              </m:r>
              <m:sSup>
                <m:sSupPr>
                  <m:ctrlPr>
                    <w:rPr>
                      <w:rFonts w:ascii="Cambria Math" w:hAnsi="Cambria Math" w:cs="Times New Roman"/>
                      <w:i/>
                      <w:sz w:val="24"/>
                      <w:szCs w:val="24"/>
                    </w:rPr>
                  </m:ctrlPr>
                </m:sSupPr>
                <m:e>
                  <m:r>
                    <w:rPr>
                      <w:rFonts w:ascii="Cambria Math" w:hAnsi="Cambria Math" w:cs="Times New Roman"/>
                      <w:sz w:val="24"/>
                      <w:szCs w:val="24"/>
                    </w:rPr>
                    <m:t>L</m:t>
                  </m:r>
                </m:e>
                <m:sup>
                  <m:r>
                    <m:rPr>
                      <m:sty m:val="p"/>
                    </m:rPr>
                    <w:rPr>
                      <w:rFonts w:ascii="Cambria Math" w:hAnsi="Cambria Math" w:cs="Times New Roman"/>
                      <w:sz w:val="24"/>
                      <w:szCs w:val="24"/>
                    </w:rPr>
                    <m:t>2</m:t>
                  </m:r>
                </m:sup>
              </m:sSup>
            </m:den>
          </m:f>
          <m:r>
            <w:rPr>
              <w:rFonts w:ascii="Cambria Math" w:hAnsi="Cambria Math" w:cs="Times New Roman"/>
              <w:sz w:val="24"/>
              <w:szCs w:val="24"/>
            </w:rPr>
            <m:t xml:space="preserve">                                      (1)</m:t>
          </m:r>
        </m:oMath>
      </m:oMathPara>
    </w:p>
    <w:p w14:paraId="54DE3626" w14:textId="1DB87D8B" w:rsidR="00EB55F0" w:rsidRPr="00845A3A" w:rsidRDefault="00EB55F0" w:rsidP="00AD69E0">
      <w:pPr>
        <w:spacing w:line="480" w:lineRule="auto"/>
        <w:jc w:val="both"/>
        <w:rPr>
          <w:rFonts w:ascii="Times New Roman" w:hAnsi="Times New Roman" w:cs="Times New Roman"/>
          <w:sz w:val="24"/>
          <w:szCs w:val="24"/>
        </w:rPr>
      </w:pPr>
      <w:r w:rsidRPr="00845A3A">
        <w:rPr>
          <w:rFonts w:ascii="Times New Roman" w:hAnsi="Times New Roman" w:cs="Times New Roman"/>
          <w:sz w:val="24"/>
          <w:szCs w:val="24"/>
        </w:rPr>
        <w:t xml:space="preserve">Where, </w:t>
      </w:r>
      <w:r w:rsidRPr="00845A3A">
        <w:rPr>
          <w:rFonts w:ascii="Times New Roman" w:hAnsi="Times New Roman" w:cs="Times New Roman"/>
          <w:i/>
          <w:iCs/>
          <w:sz w:val="24"/>
          <w:szCs w:val="24"/>
        </w:rPr>
        <w:t>e</w:t>
      </w:r>
      <w:r w:rsidRPr="00845A3A">
        <w:rPr>
          <w:rFonts w:ascii="Times New Roman" w:hAnsi="Times New Roman" w:cs="Times New Roman"/>
          <w:sz w:val="24"/>
          <w:szCs w:val="24"/>
        </w:rPr>
        <w:t xml:space="preserve"> is the elementary charge of electron,</w:t>
      </w:r>
      <w:r w:rsidRPr="00845A3A">
        <w:rPr>
          <w:rFonts w:ascii="Calibri" w:hAnsi="Calibri" w:cs="Calibri"/>
          <w:sz w:val="24"/>
          <w:szCs w:val="24"/>
        </w:rPr>
        <w:t xml:space="preserve"> </w:t>
      </w:r>
      <w:r w:rsidRPr="00845A3A">
        <w:rPr>
          <w:rFonts w:ascii="Times New Roman" w:hAnsi="Times New Roman" w:cs="Times New Roman"/>
          <w:i/>
          <w:iCs/>
          <w:sz w:val="24"/>
          <w:szCs w:val="24"/>
        </w:rPr>
        <w:t>L</w:t>
      </w:r>
      <w:r w:rsidRPr="00845A3A">
        <w:rPr>
          <w:rFonts w:ascii="Times New Roman" w:hAnsi="Times New Roman" w:cs="Times New Roman"/>
          <w:sz w:val="24"/>
          <w:szCs w:val="24"/>
        </w:rPr>
        <w:t xml:space="preserve"> the perovskite thickness,</w:t>
      </w:r>
      <w:r w:rsidRPr="00845A3A">
        <w:rPr>
          <w:rFonts w:ascii="Calibri" w:hAnsi="Calibri" w:cs="Calibri"/>
          <w:sz w:val="24"/>
          <w:szCs w:val="24"/>
        </w:rPr>
        <w:t xml:space="preserve"> </w:t>
      </w:r>
      <w:r w:rsidRPr="00845A3A">
        <w:rPr>
          <w:rFonts w:ascii="Calibri" w:hAnsi="Calibri" w:cs="Calibri"/>
          <w:i/>
          <w:iCs/>
          <w:sz w:val="24"/>
          <w:szCs w:val="24"/>
        </w:rPr>
        <w:t>ε</w:t>
      </w:r>
      <w:r w:rsidRPr="00845A3A">
        <w:rPr>
          <w:rFonts w:ascii="Times New Roman" w:hAnsi="Times New Roman" w:cs="Times New Roman"/>
          <w:sz w:val="24"/>
          <w:szCs w:val="24"/>
        </w:rPr>
        <w:t xml:space="preserve"> the perovskite’s relative dielectric constant and </w:t>
      </w:r>
      <w:proofErr w:type="spellStart"/>
      <w:r w:rsidR="00AC1032" w:rsidRPr="00845A3A">
        <w:rPr>
          <w:rFonts w:ascii="Calibri" w:hAnsi="Calibri" w:cs="Calibri"/>
          <w:i/>
          <w:iCs/>
          <w:sz w:val="24"/>
          <w:szCs w:val="24"/>
        </w:rPr>
        <w:t>ε</w:t>
      </w:r>
      <w:r w:rsidRPr="00845A3A">
        <w:rPr>
          <w:rFonts w:ascii="Times New Roman" w:hAnsi="Times New Roman" w:cs="Times New Roman"/>
          <w:sz w:val="24"/>
          <w:szCs w:val="24"/>
          <w:vertAlign w:val="subscript"/>
        </w:rPr>
        <w:t>o</w:t>
      </w:r>
      <w:proofErr w:type="spellEnd"/>
      <w:r w:rsidRPr="00845A3A">
        <w:rPr>
          <w:rFonts w:ascii="Times New Roman" w:hAnsi="Times New Roman" w:cs="Times New Roman"/>
          <w:sz w:val="24"/>
          <w:szCs w:val="24"/>
        </w:rPr>
        <w:t xml:space="preserve"> the absolute dielectric constant of vacuum. The </w:t>
      </w:r>
      <w:proofErr w:type="spellStart"/>
      <w:r w:rsidRPr="00845A3A">
        <w:rPr>
          <w:rFonts w:ascii="Times New Roman" w:hAnsi="Times New Roman" w:cs="Times New Roman"/>
          <w:i/>
          <w:iCs/>
          <w:sz w:val="24"/>
          <w:szCs w:val="24"/>
        </w:rPr>
        <w:t>N</w:t>
      </w:r>
      <w:r w:rsidRPr="00845A3A">
        <w:rPr>
          <w:rFonts w:ascii="Times New Roman" w:hAnsi="Times New Roman" w:cs="Times New Roman"/>
          <w:sz w:val="24"/>
          <w:szCs w:val="24"/>
          <w:vertAlign w:val="subscript"/>
        </w:rPr>
        <w:t>t</w:t>
      </w:r>
      <w:proofErr w:type="spellEnd"/>
      <w:r w:rsidRPr="00845A3A">
        <w:rPr>
          <w:rFonts w:ascii="Times New Roman" w:hAnsi="Times New Roman" w:cs="Times New Roman"/>
          <w:sz w:val="24"/>
          <w:szCs w:val="24"/>
        </w:rPr>
        <w:t xml:space="preserve"> of 4.11×10</w:t>
      </w:r>
      <w:r w:rsidRPr="00845A3A">
        <w:rPr>
          <w:rFonts w:ascii="Times New Roman" w:hAnsi="Times New Roman" w:cs="Times New Roman"/>
          <w:sz w:val="24"/>
          <w:szCs w:val="24"/>
          <w:vertAlign w:val="superscript"/>
        </w:rPr>
        <w:t>15</w:t>
      </w:r>
      <w:r w:rsidRPr="00845A3A">
        <w:rPr>
          <w:rFonts w:ascii="Times New Roman" w:hAnsi="Times New Roman" w:cs="Times New Roman"/>
          <w:sz w:val="24"/>
          <w:szCs w:val="24"/>
        </w:rPr>
        <w:t xml:space="preserve"> cm</w:t>
      </w:r>
      <w:r w:rsidRPr="00845A3A">
        <w:rPr>
          <w:rFonts w:ascii="Times New Roman" w:hAnsi="Times New Roman" w:cs="Times New Roman"/>
          <w:sz w:val="24"/>
          <w:szCs w:val="24"/>
          <w:vertAlign w:val="superscript"/>
        </w:rPr>
        <w:t>-3</w:t>
      </w:r>
      <w:r w:rsidRPr="00845A3A">
        <w:rPr>
          <w:rFonts w:ascii="Times New Roman" w:hAnsi="Times New Roman" w:cs="Times New Roman"/>
          <w:sz w:val="24"/>
          <w:szCs w:val="24"/>
        </w:rPr>
        <w:t xml:space="preserve"> and 3.47×10</w:t>
      </w:r>
      <w:r w:rsidRPr="00845A3A">
        <w:rPr>
          <w:rFonts w:ascii="Times New Roman" w:hAnsi="Times New Roman" w:cs="Times New Roman"/>
          <w:sz w:val="24"/>
          <w:szCs w:val="24"/>
          <w:vertAlign w:val="superscript"/>
        </w:rPr>
        <w:t>15</w:t>
      </w:r>
      <w:r w:rsidRPr="00845A3A">
        <w:rPr>
          <w:rFonts w:ascii="Times New Roman" w:hAnsi="Times New Roman" w:cs="Times New Roman"/>
          <w:sz w:val="24"/>
          <w:szCs w:val="24"/>
        </w:rPr>
        <w:t xml:space="preserve"> cm</w:t>
      </w:r>
      <w:r w:rsidRPr="00845A3A">
        <w:rPr>
          <w:rFonts w:ascii="Times New Roman" w:hAnsi="Times New Roman" w:cs="Times New Roman"/>
          <w:sz w:val="24"/>
          <w:szCs w:val="24"/>
          <w:vertAlign w:val="superscript"/>
        </w:rPr>
        <w:t>-3</w:t>
      </w:r>
      <w:r w:rsidRPr="00845A3A">
        <w:rPr>
          <w:rFonts w:ascii="Times New Roman" w:hAnsi="Times New Roman" w:cs="Times New Roman"/>
          <w:sz w:val="24"/>
          <w:szCs w:val="24"/>
        </w:rPr>
        <w:t>, correspondingly were evaluated from the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and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based-devices. These results indicate that Ce-doping can passivate the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surface defects which in turn could help to improve the charge carrier transportation and </w:t>
      </w:r>
      <w:r w:rsidRPr="00845A3A">
        <w:rPr>
          <w:rFonts w:ascii="Times New Roman" w:hAnsi="Times New Roman" w:cs="Times New Roman"/>
          <w:i/>
          <w:iCs/>
          <w:sz w:val="24"/>
          <w:szCs w:val="24"/>
        </w:rPr>
        <w:t>V</w:t>
      </w:r>
      <w:r w:rsidRPr="00845A3A">
        <w:rPr>
          <w:rFonts w:ascii="Times New Roman" w:hAnsi="Times New Roman" w:cs="Times New Roman"/>
          <w:sz w:val="24"/>
          <w:szCs w:val="24"/>
          <w:vertAlign w:val="subscript"/>
        </w:rPr>
        <w:t>OC</w:t>
      </w:r>
      <w:r w:rsidRPr="00845A3A">
        <w:rPr>
          <w:rFonts w:ascii="Times New Roman" w:hAnsi="Times New Roman" w:cs="Times New Roman"/>
          <w:sz w:val="24"/>
          <w:szCs w:val="24"/>
        </w:rPr>
        <w:t xml:space="preserve"> of the PSCs.</w:t>
      </w:r>
      <w:hyperlink r:id="rId45" w:history="1">
        <w:r w:rsidRPr="00845A3A">
          <w:rPr>
            <w:rFonts w:ascii="Times New Roman" w:eastAsia="Times New Roman" w:hAnsi="Times New Roman" w:cs="Times New Roman"/>
            <w:sz w:val="24"/>
            <w:vertAlign w:val="superscript"/>
          </w:rPr>
          <w:t>38,39</w:t>
        </w:r>
      </w:hyperlink>
    </w:p>
    <w:p w14:paraId="6BD029A4" w14:textId="24626FFD" w:rsidR="00EB55F0" w:rsidRPr="00845A3A" w:rsidRDefault="00DC6AC8" w:rsidP="0018390B">
      <w:pPr>
        <w:spacing w:after="0" w:line="480" w:lineRule="auto"/>
        <w:jc w:val="center"/>
        <w:rPr>
          <w:rFonts w:ascii="Times New Roman" w:eastAsia="Times New Roman" w:hAnsi="Times New Roman" w:cs="Times New Roman"/>
          <w:kern w:val="0"/>
          <w:sz w:val="24"/>
          <w:szCs w:val="24"/>
          <w14:ligatures w14:val="none"/>
        </w:rPr>
      </w:pPr>
      <w:r w:rsidRPr="00845A3A">
        <w:rPr>
          <w:noProof/>
        </w:rPr>
        <w:lastRenderedPageBreak/>
        <w:drawing>
          <wp:inline distT="0" distB="0" distL="0" distR="0" wp14:anchorId="41BB6409" wp14:editId="2A9783E5">
            <wp:extent cx="5731510" cy="2628265"/>
            <wp:effectExtent l="0" t="0" r="2540" b="635"/>
            <wp:docPr id="55576155" name="Picture 2" descr="A collage of images of different types of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76155" name="Picture 2" descr="A collage of images of different types of objects&#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31510" cy="2628265"/>
                    </a:xfrm>
                    <a:prstGeom prst="rect">
                      <a:avLst/>
                    </a:prstGeom>
                    <a:noFill/>
                    <a:ln>
                      <a:noFill/>
                    </a:ln>
                  </pic:spPr>
                </pic:pic>
              </a:graphicData>
            </a:graphic>
          </wp:inline>
        </w:drawing>
      </w:r>
    </w:p>
    <w:p w14:paraId="2BDA709D" w14:textId="7B2BC312" w:rsidR="00EB55F0" w:rsidRPr="00845A3A" w:rsidRDefault="00EB55F0" w:rsidP="00A81D2F">
      <w:pPr>
        <w:pBdr>
          <w:bottom w:val="single" w:sz="4" w:space="1" w:color="auto"/>
        </w:pBdr>
        <w:spacing w:line="480" w:lineRule="auto"/>
        <w:jc w:val="both"/>
        <w:rPr>
          <w:rFonts w:ascii="Times New Roman" w:hAnsi="Times New Roman" w:cs="Times New Roman"/>
          <w:sz w:val="24"/>
          <w:szCs w:val="24"/>
        </w:rPr>
      </w:pPr>
      <w:r w:rsidRPr="00845A3A">
        <w:rPr>
          <w:rFonts w:ascii="Times New Roman" w:hAnsi="Times New Roman" w:cs="Times New Roman"/>
          <w:b/>
          <w:bCs/>
          <w:sz w:val="24"/>
          <w:szCs w:val="24"/>
        </w:rPr>
        <w:t xml:space="preserve">Figure 2. </w:t>
      </w:r>
      <w:r w:rsidRPr="00845A3A">
        <w:rPr>
          <w:rFonts w:ascii="Times New Roman" w:hAnsi="Times New Roman" w:cs="Times New Roman"/>
          <w:sz w:val="24"/>
          <w:szCs w:val="24"/>
        </w:rPr>
        <w:t>(a) XRD analysis spectra of the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/perovskite and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/perovskite on FTO</w:t>
      </w:r>
      <w:r w:rsidR="00E84ED8" w:rsidRPr="00845A3A">
        <w:rPr>
          <w:rFonts w:ascii="Times New Roman" w:hAnsi="Times New Roman" w:cs="Times New Roman"/>
          <w:sz w:val="24"/>
          <w:szCs w:val="24"/>
        </w:rPr>
        <w:t>.</w:t>
      </w:r>
      <w:r w:rsidRPr="00845A3A">
        <w:rPr>
          <w:rFonts w:ascii="Times New Roman" w:hAnsi="Times New Roman" w:cs="Times New Roman"/>
          <w:sz w:val="24"/>
          <w:szCs w:val="24"/>
        </w:rPr>
        <w:t xml:space="preserve"> (b) J−V curve (under dark-condition) of the FTO/ETL/Ag device using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and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ETLs</w:t>
      </w:r>
      <w:r w:rsidR="00E84ED8" w:rsidRPr="00845A3A">
        <w:rPr>
          <w:rFonts w:ascii="Times New Roman" w:hAnsi="Times New Roman" w:cs="Times New Roman"/>
          <w:sz w:val="24"/>
          <w:szCs w:val="24"/>
        </w:rPr>
        <w:t>.</w:t>
      </w:r>
      <w:r w:rsidRPr="00845A3A">
        <w:rPr>
          <w:rFonts w:ascii="Times New Roman" w:hAnsi="Times New Roman" w:cs="Times New Roman"/>
          <w:sz w:val="24"/>
          <w:szCs w:val="24"/>
        </w:rPr>
        <w:t xml:space="preserve"> </w:t>
      </w:r>
      <w:r w:rsidR="002B6932" w:rsidRPr="00845A3A">
        <w:rPr>
          <w:rFonts w:ascii="Times New Roman" w:hAnsi="Times New Roman" w:cs="Times New Roman"/>
          <w:sz w:val="24"/>
          <w:szCs w:val="24"/>
        </w:rPr>
        <w:t>T</w:t>
      </w:r>
      <w:r w:rsidRPr="00845A3A">
        <w:rPr>
          <w:rFonts w:ascii="Times New Roman" w:hAnsi="Times New Roman" w:cs="Times New Roman"/>
          <w:sz w:val="24"/>
          <w:szCs w:val="24"/>
        </w:rPr>
        <w:t>op surface SEM images of the (c)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(d)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and perovskite coated on the (e)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and (f)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w:t>
      </w:r>
    </w:p>
    <w:p w14:paraId="761F1092" w14:textId="49931451" w:rsidR="00EB55F0" w:rsidRPr="00845A3A" w:rsidRDefault="00EB55F0" w:rsidP="00412EA9">
      <w:pPr>
        <w:spacing w:before="240" w:after="0" w:line="480" w:lineRule="auto"/>
        <w:jc w:val="both"/>
        <w:rPr>
          <w:rFonts w:ascii="Times New Roman" w:hAnsi="Times New Roman" w:cs="Times New Roman"/>
          <w:sz w:val="24"/>
          <w:szCs w:val="24"/>
        </w:rPr>
      </w:pPr>
      <w:r w:rsidRPr="00845A3A">
        <w:rPr>
          <w:rFonts w:ascii="Times New Roman" w:hAnsi="Times New Roman" w:cs="Times New Roman"/>
          <w:sz w:val="24"/>
          <w:szCs w:val="24"/>
        </w:rPr>
        <w:t>To know about the crystallographic information of the perovskite layer introduced on the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and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ETLs, the X-ray diffraction (XRD) analysis was performed, illustrated in </w:t>
      </w:r>
      <w:r w:rsidRPr="00845A3A">
        <w:rPr>
          <w:rFonts w:ascii="Times New Roman" w:hAnsi="Times New Roman" w:cs="Times New Roman"/>
          <w:b/>
          <w:bCs/>
          <w:sz w:val="24"/>
          <w:szCs w:val="24"/>
        </w:rPr>
        <w:t>Figure 2a</w:t>
      </w:r>
      <w:r w:rsidRPr="00845A3A">
        <w:rPr>
          <w:rFonts w:ascii="Times New Roman" w:hAnsi="Times New Roman" w:cs="Times New Roman"/>
          <w:sz w:val="24"/>
          <w:szCs w:val="24"/>
        </w:rPr>
        <w:t>. The PbI</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peaks were observed 12.73° and 38.76° due to the use of excess PbI</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in the perovskite solution.</w:t>
      </w:r>
      <w:r w:rsidR="00845A3A">
        <w:rPr>
          <w:rFonts w:ascii="Times New Roman" w:hAnsi="Times New Roman" w:cs="Times New Roman"/>
          <w:sz w:val="24"/>
          <w:szCs w:val="24"/>
        </w:rPr>
        <w:t xml:space="preserve"> </w:t>
      </w:r>
      <w:r w:rsidRPr="00845A3A">
        <w:rPr>
          <w:rFonts w:ascii="Times New Roman" w:hAnsi="Times New Roman" w:cs="Times New Roman"/>
          <w:sz w:val="24"/>
          <w:szCs w:val="24"/>
        </w:rPr>
        <w:t xml:space="preserve">The FTO peaks are located at 26.6°, 33.8°, and 37.86°. All other peaks correspond to the perovskite structure. With the help of Debye–Scherrer formula, crystallinity of the perovskite was estimated and presented in </w:t>
      </w:r>
      <w:r w:rsidRPr="00845A3A">
        <w:rPr>
          <w:rFonts w:ascii="Times New Roman" w:hAnsi="Times New Roman" w:cs="Times New Roman"/>
          <w:b/>
          <w:bCs/>
          <w:sz w:val="24"/>
          <w:szCs w:val="24"/>
        </w:rPr>
        <w:t>Table S1</w:t>
      </w:r>
      <w:r w:rsidRPr="00845A3A">
        <w:rPr>
          <w:rFonts w:ascii="Times New Roman" w:hAnsi="Times New Roman" w:cs="Times New Roman"/>
          <w:sz w:val="24"/>
          <w:szCs w:val="24"/>
        </w:rPr>
        <w:t xml:space="preserve">. From </w:t>
      </w:r>
      <w:r w:rsidRPr="00845A3A">
        <w:rPr>
          <w:rFonts w:ascii="Times New Roman" w:hAnsi="Times New Roman" w:cs="Times New Roman"/>
          <w:b/>
          <w:bCs/>
          <w:sz w:val="24"/>
          <w:szCs w:val="24"/>
        </w:rPr>
        <w:t>Table S1</w:t>
      </w:r>
      <w:r w:rsidRPr="00845A3A">
        <w:rPr>
          <w:rFonts w:ascii="Times New Roman" w:hAnsi="Times New Roman" w:cs="Times New Roman"/>
          <w:sz w:val="24"/>
          <w:szCs w:val="24"/>
        </w:rPr>
        <w:t>, it is observed that the crystallinity (D) was slightly increased of the perovskite which was coated on the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compared to the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In addition, lattice strain of the perovskite deposited on the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was </w:t>
      </w:r>
      <w:r w:rsidR="00895EA1" w:rsidRPr="00845A3A">
        <w:rPr>
          <w:rFonts w:ascii="Times New Roman" w:hAnsi="Times New Roman" w:cs="Times New Roman"/>
          <w:sz w:val="24"/>
          <w:szCs w:val="24"/>
        </w:rPr>
        <w:t>also observed</w:t>
      </w:r>
      <w:r w:rsidRPr="00845A3A">
        <w:rPr>
          <w:rFonts w:ascii="Times New Roman" w:hAnsi="Times New Roman" w:cs="Times New Roman"/>
          <w:sz w:val="24"/>
          <w:szCs w:val="24"/>
        </w:rPr>
        <w:t xml:space="preserve"> to be lower than the perovskite deposited on the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The passivation of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surface oxygen vacancy defects by Ce-doping might help in the relaxation of the residual stress of perovskite which in turn slightly reduced the lattice strain</w:t>
      </w:r>
      <w:r w:rsidRPr="00845A3A">
        <w:rPr>
          <w:rFonts w:ascii="Calibri" w:hAnsi="Calibri" w:cs="Calibri"/>
          <w:sz w:val="24"/>
          <w:szCs w:val="24"/>
        </w:rPr>
        <w:t xml:space="preserve"> </w:t>
      </w:r>
      <w:r w:rsidRPr="00845A3A">
        <w:rPr>
          <w:rFonts w:ascii="Times New Roman" w:hAnsi="Times New Roman" w:cs="Times New Roman"/>
          <w:sz w:val="24"/>
          <w:szCs w:val="24"/>
        </w:rPr>
        <w:t>of the perovskite.</w:t>
      </w:r>
      <w:r w:rsidRPr="00845A3A">
        <w:rPr>
          <w:rFonts w:ascii="Times New Roman" w:hAnsi="Times New Roman" w:cs="Times New Roman"/>
          <w:color w:val="0070C0"/>
          <w:sz w:val="24"/>
          <w:szCs w:val="24"/>
        </w:rPr>
        <w:t xml:space="preserve">  </w:t>
      </w:r>
      <w:r w:rsidRPr="00845A3A">
        <w:rPr>
          <w:rFonts w:ascii="Times New Roman" w:hAnsi="Times New Roman" w:cs="Times New Roman"/>
          <w:sz w:val="24"/>
          <w:szCs w:val="24"/>
        </w:rPr>
        <w:t>The improvement of these crystallographic properties of the perovskite could be advantageous for the performance of the PSCs.</w:t>
      </w:r>
    </w:p>
    <w:p w14:paraId="20CBB391" w14:textId="77777777" w:rsidR="00EB55F0" w:rsidRPr="00845A3A" w:rsidRDefault="00EB55F0" w:rsidP="00412EA9">
      <w:pPr>
        <w:spacing w:before="240" w:after="0" w:line="480" w:lineRule="auto"/>
        <w:jc w:val="both"/>
        <w:rPr>
          <w:rFonts w:ascii="Times New Roman" w:hAnsi="Times New Roman" w:cs="Times New Roman"/>
          <w:sz w:val="24"/>
          <w:szCs w:val="24"/>
        </w:rPr>
      </w:pPr>
      <w:r w:rsidRPr="00845A3A">
        <w:rPr>
          <w:rFonts w:ascii="Times New Roman" w:hAnsi="Times New Roman" w:cs="Times New Roman"/>
          <w:b/>
          <w:bCs/>
          <w:sz w:val="24"/>
          <w:szCs w:val="24"/>
        </w:rPr>
        <w:lastRenderedPageBreak/>
        <w:t>Figure 2b</w:t>
      </w:r>
      <w:r w:rsidRPr="00845A3A">
        <w:rPr>
          <w:rFonts w:ascii="Times New Roman" w:hAnsi="Times New Roman" w:cs="Times New Roman"/>
          <w:sz w:val="24"/>
          <w:szCs w:val="24"/>
        </w:rPr>
        <w:t xml:space="preserve"> displays the dark </w:t>
      </w:r>
      <w:r w:rsidRPr="00845A3A">
        <w:rPr>
          <w:rFonts w:ascii="Times New Roman" w:hAnsi="Times New Roman" w:cs="Times New Roman"/>
          <w:i/>
          <w:iCs/>
          <w:sz w:val="24"/>
          <w:szCs w:val="24"/>
        </w:rPr>
        <w:t>J</w:t>
      </w:r>
      <w:r w:rsidRPr="00845A3A">
        <w:rPr>
          <w:rFonts w:ascii="Times New Roman" w:hAnsi="Times New Roman" w:cs="Times New Roman"/>
          <w:sz w:val="24"/>
          <w:szCs w:val="24"/>
        </w:rPr>
        <w:t>-</w:t>
      </w:r>
      <w:r w:rsidRPr="00845A3A">
        <w:rPr>
          <w:rFonts w:ascii="Times New Roman" w:hAnsi="Times New Roman" w:cs="Times New Roman"/>
          <w:i/>
          <w:iCs/>
          <w:sz w:val="24"/>
          <w:szCs w:val="24"/>
        </w:rPr>
        <w:t>V</w:t>
      </w:r>
      <w:r w:rsidRPr="00845A3A">
        <w:rPr>
          <w:rFonts w:ascii="Times New Roman" w:hAnsi="Times New Roman" w:cs="Times New Roman"/>
          <w:sz w:val="24"/>
          <w:szCs w:val="24"/>
        </w:rPr>
        <w:t xml:space="preserve"> characteristic (under the dark condition) of the FTO/ETL/Ag device with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and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ETLs. The electrical conductivity of the ETLs were evaluated using equation</w:t>
      </w:r>
      <w:r w:rsidRPr="00845A3A">
        <w:rPr>
          <w:rFonts w:ascii="Times New Roman" w:hAnsi="Times New Roman" w:cs="Times New Roman"/>
          <w:b/>
          <w:bCs/>
          <w:sz w:val="24"/>
          <w:szCs w:val="24"/>
        </w:rPr>
        <w:t xml:space="preserve"> 2</w:t>
      </w:r>
      <w:r w:rsidRPr="00845A3A">
        <w:rPr>
          <w:rFonts w:ascii="Times New Roman" w:hAnsi="Times New Roman" w:cs="Times New Roman"/>
          <w:sz w:val="24"/>
          <w:szCs w:val="24"/>
        </w:rPr>
        <w:t>.</w:t>
      </w:r>
    </w:p>
    <w:p w14:paraId="41B48556" w14:textId="77777777" w:rsidR="00EB55F0" w:rsidRPr="00845A3A" w:rsidRDefault="00EB55F0" w:rsidP="00AD69E0">
      <w:pPr>
        <w:spacing w:line="480" w:lineRule="auto"/>
        <w:jc w:val="both"/>
        <w:rPr>
          <w:rFonts w:ascii="Times New Roman" w:hAnsi="Times New Roman" w:cs="Times New Roman"/>
          <w:sz w:val="24"/>
          <w:szCs w:val="24"/>
        </w:rPr>
      </w:pPr>
      <m:oMathPara>
        <m:oMath>
          <m:r>
            <w:rPr>
              <w:rFonts w:ascii="Cambria Math" w:hAnsi="Cambria Math" w:cs="Times New Roman"/>
              <w:sz w:val="24"/>
              <w:szCs w:val="24"/>
            </w:rPr>
            <m:t>σ=</m:t>
          </m:r>
          <m:f>
            <m:fPr>
              <m:ctrlPr>
                <w:rPr>
                  <w:rFonts w:ascii="Cambria Math" w:hAnsi="Cambria Math" w:cs="Times New Roman"/>
                  <w:i/>
                  <w:sz w:val="24"/>
                  <w:szCs w:val="24"/>
                </w:rPr>
              </m:ctrlPr>
            </m:fPr>
            <m:num>
              <m:r>
                <w:rPr>
                  <w:rFonts w:ascii="Cambria Math" w:hAnsi="Cambria Math" w:cs="Times New Roman"/>
                  <w:sz w:val="24"/>
                  <w:szCs w:val="24"/>
                </w:rPr>
                <m:t>Jd</m:t>
              </m:r>
            </m:num>
            <m:den>
              <m:r>
                <w:rPr>
                  <w:rFonts w:ascii="Cambria Math" w:hAnsi="Cambria Math" w:cs="Times New Roman"/>
                  <w:sz w:val="24"/>
                  <w:szCs w:val="24"/>
                </w:rPr>
                <m:t>V</m:t>
              </m:r>
            </m:den>
          </m:f>
          <m:r>
            <w:rPr>
              <w:rFonts w:ascii="Cambria Math" w:hAnsi="Cambria Math" w:cs="Times New Roman"/>
              <w:sz w:val="24"/>
              <w:szCs w:val="24"/>
            </w:rPr>
            <m:t xml:space="preserve">                                            (2)</m:t>
          </m:r>
        </m:oMath>
      </m:oMathPara>
    </w:p>
    <w:p w14:paraId="456C0EE8" w14:textId="77777777" w:rsidR="00EB55F0" w:rsidRPr="00845A3A" w:rsidRDefault="00EB55F0" w:rsidP="00AD69E0">
      <w:pPr>
        <w:spacing w:line="480" w:lineRule="auto"/>
        <w:jc w:val="both"/>
        <w:rPr>
          <w:rFonts w:ascii="Times New Roman" w:hAnsi="Times New Roman" w:cs="Times New Roman"/>
          <w:sz w:val="24"/>
          <w:szCs w:val="24"/>
        </w:rPr>
      </w:pPr>
      <w:r w:rsidRPr="00845A3A">
        <w:rPr>
          <w:rFonts w:ascii="Times New Roman" w:hAnsi="Times New Roman" w:cs="Times New Roman"/>
          <w:sz w:val="24"/>
          <w:szCs w:val="24"/>
        </w:rPr>
        <w:t xml:space="preserve">where </w:t>
      </w:r>
      <w:r w:rsidRPr="00845A3A">
        <w:rPr>
          <w:rFonts w:ascii="Times New Roman" w:hAnsi="Times New Roman" w:cs="Times New Roman"/>
          <w:i/>
          <w:iCs/>
          <w:sz w:val="24"/>
          <w:szCs w:val="24"/>
        </w:rPr>
        <w:t>σ</w:t>
      </w:r>
      <w:r w:rsidRPr="00845A3A">
        <w:rPr>
          <w:rFonts w:ascii="Times New Roman" w:hAnsi="Times New Roman" w:cs="Times New Roman"/>
          <w:sz w:val="24"/>
          <w:szCs w:val="24"/>
        </w:rPr>
        <w:t xml:space="preserve"> is related to the conductivity, </w:t>
      </w:r>
      <w:r w:rsidRPr="00845A3A">
        <w:rPr>
          <w:rFonts w:ascii="Times New Roman" w:hAnsi="Times New Roman" w:cs="Times New Roman"/>
          <w:i/>
          <w:iCs/>
          <w:sz w:val="24"/>
          <w:szCs w:val="24"/>
        </w:rPr>
        <w:t>V</w:t>
      </w:r>
      <w:r w:rsidRPr="00845A3A">
        <w:rPr>
          <w:rFonts w:ascii="Times New Roman" w:hAnsi="Times New Roman" w:cs="Times New Roman"/>
          <w:sz w:val="24"/>
          <w:szCs w:val="24"/>
        </w:rPr>
        <w:t xml:space="preserve"> the applied voltage, </w:t>
      </w:r>
      <w:r w:rsidRPr="00845A3A">
        <w:rPr>
          <w:rFonts w:ascii="Times New Roman" w:hAnsi="Times New Roman" w:cs="Times New Roman"/>
          <w:i/>
          <w:iCs/>
          <w:sz w:val="24"/>
          <w:szCs w:val="24"/>
        </w:rPr>
        <w:t>J</w:t>
      </w:r>
      <w:r w:rsidRPr="00845A3A">
        <w:rPr>
          <w:rFonts w:ascii="Times New Roman" w:hAnsi="Times New Roman" w:cs="Times New Roman"/>
          <w:sz w:val="24"/>
          <w:szCs w:val="24"/>
        </w:rPr>
        <w:t xml:space="preserve"> the current density and </w:t>
      </w:r>
      <w:r w:rsidRPr="00845A3A">
        <w:rPr>
          <w:rFonts w:ascii="Times New Roman" w:hAnsi="Times New Roman" w:cs="Times New Roman"/>
          <w:i/>
          <w:iCs/>
          <w:sz w:val="24"/>
          <w:szCs w:val="24"/>
        </w:rPr>
        <w:t>d</w:t>
      </w:r>
      <w:r w:rsidRPr="00845A3A">
        <w:rPr>
          <w:rFonts w:ascii="Times New Roman" w:hAnsi="Times New Roman" w:cs="Times New Roman"/>
          <w:sz w:val="24"/>
          <w:szCs w:val="24"/>
        </w:rPr>
        <w:t xml:space="preserve"> for the thickness of the ETL. The conductivity value of 6.46×10</w:t>
      </w:r>
      <w:r w:rsidRPr="00845A3A">
        <w:rPr>
          <w:rFonts w:ascii="Times New Roman" w:hAnsi="Times New Roman" w:cs="Times New Roman"/>
          <w:sz w:val="24"/>
          <w:szCs w:val="24"/>
          <w:vertAlign w:val="superscript"/>
        </w:rPr>
        <w:t>-5</w:t>
      </w:r>
      <w:r w:rsidRPr="00845A3A">
        <w:rPr>
          <w:rFonts w:ascii="Times New Roman" w:hAnsi="Times New Roman" w:cs="Times New Roman"/>
          <w:sz w:val="24"/>
          <w:szCs w:val="24"/>
        </w:rPr>
        <w:t xml:space="preserve"> mS/cm and 7.80×10</w:t>
      </w:r>
      <w:r w:rsidRPr="00845A3A">
        <w:rPr>
          <w:rFonts w:ascii="Times New Roman" w:hAnsi="Times New Roman" w:cs="Times New Roman"/>
          <w:sz w:val="24"/>
          <w:szCs w:val="24"/>
          <w:vertAlign w:val="superscript"/>
        </w:rPr>
        <w:t>-5</w:t>
      </w:r>
      <w:r w:rsidRPr="00845A3A">
        <w:rPr>
          <w:rFonts w:ascii="Times New Roman" w:hAnsi="Times New Roman" w:cs="Times New Roman"/>
          <w:sz w:val="24"/>
          <w:szCs w:val="24"/>
        </w:rPr>
        <w:t xml:space="preserve"> mS/cm were evaluated correspondingly for the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and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The reduction of surface defects might be the origin of conductivity improvement of the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The electron flow towards the ETL from the perovskite could be accelerated by the higher conductivity of the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w:t>
      </w:r>
      <w:hyperlink r:id="rId47" w:history="1">
        <w:r w:rsidRPr="00845A3A">
          <w:rPr>
            <w:rFonts w:ascii="Times New Roman" w:eastAsia="Times New Roman" w:hAnsi="Times New Roman" w:cs="Times New Roman"/>
            <w:sz w:val="24"/>
            <w:vertAlign w:val="superscript"/>
          </w:rPr>
          <w:t>4,40</w:t>
        </w:r>
      </w:hyperlink>
    </w:p>
    <w:p w14:paraId="5D84ABE0" w14:textId="30AEFBA0" w:rsidR="00EB55F0" w:rsidRDefault="00EB55F0" w:rsidP="00900D91">
      <w:pPr>
        <w:spacing w:after="0" w:line="480" w:lineRule="auto"/>
        <w:jc w:val="both"/>
        <w:rPr>
          <w:rFonts w:ascii="Times New Roman" w:hAnsi="Times New Roman" w:cs="Times New Roman"/>
          <w:sz w:val="24"/>
          <w:szCs w:val="24"/>
        </w:rPr>
      </w:pPr>
      <w:r w:rsidRPr="00845A3A">
        <w:rPr>
          <w:rFonts w:ascii="Times New Roman" w:hAnsi="Times New Roman" w:cs="Times New Roman"/>
          <w:sz w:val="24"/>
          <w:szCs w:val="24"/>
        </w:rPr>
        <w:t>The top surface images of the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and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coated on FTO were taken using the scanning electron microscopy (SEM) and illustrated in </w:t>
      </w:r>
      <w:r w:rsidRPr="00845A3A">
        <w:rPr>
          <w:rFonts w:ascii="Times New Roman" w:hAnsi="Times New Roman" w:cs="Times New Roman"/>
          <w:b/>
          <w:bCs/>
          <w:sz w:val="24"/>
          <w:szCs w:val="24"/>
        </w:rPr>
        <w:t>Figure 2</w:t>
      </w:r>
      <w:proofErr w:type="gramStart"/>
      <w:r w:rsidRPr="00845A3A">
        <w:rPr>
          <w:rFonts w:ascii="Times New Roman" w:hAnsi="Times New Roman" w:cs="Times New Roman"/>
          <w:b/>
          <w:bCs/>
          <w:sz w:val="24"/>
          <w:szCs w:val="24"/>
        </w:rPr>
        <w:t>c,d</w:t>
      </w:r>
      <w:r w:rsidRPr="00845A3A">
        <w:rPr>
          <w:rFonts w:ascii="Times New Roman" w:hAnsi="Times New Roman" w:cs="Times New Roman"/>
          <w:sz w:val="24"/>
          <w:szCs w:val="24"/>
        </w:rPr>
        <w:t>.</w:t>
      </w:r>
      <w:proofErr w:type="gramEnd"/>
      <w:r w:rsidRPr="00845A3A">
        <w:rPr>
          <w:rFonts w:ascii="Times New Roman" w:hAnsi="Times New Roman" w:cs="Times New Roman"/>
          <w:sz w:val="24"/>
          <w:szCs w:val="24"/>
        </w:rPr>
        <w:t xml:space="preserve"> No noticeable change was observed between the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and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surface morphology. Uniform doping of Ce into the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might be the reason. </w:t>
      </w:r>
      <w:r w:rsidRPr="00845A3A">
        <w:rPr>
          <w:rFonts w:ascii="Times New Roman" w:hAnsi="Times New Roman" w:cs="Times New Roman"/>
          <w:b/>
          <w:bCs/>
          <w:sz w:val="24"/>
          <w:szCs w:val="24"/>
        </w:rPr>
        <w:t>Figure 2</w:t>
      </w:r>
      <w:proofErr w:type="gramStart"/>
      <w:r w:rsidRPr="00845A3A">
        <w:rPr>
          <w:rFonts w:ascii="Times New Roman" w:hAnsi="Times New Roman" w:cs="Times New Roman"/>
          <w:b/>
          <w:bCs/>
          <w:sz w:val="24"/>
          <w:szCs w:val="24"/>
        </w:rPr>
        <w:t>e,f</w:t>
      </w:r>
      <w:proofErr w:type="gramEnd"/>
      <w:r w:rsidRPr="00845A3A">
        <w:rPr>
          <w:rFonts w:ascii="Times New Roman" w:hAnsi="Times New Roman" w:cs="Times New Roman"/>
          <w:sz w:val="24"/>
          <w:szCs w:val="24"/>
        </w:rPr>
        <w:t xml:space="preserve"> show SEM images of the perovskite’s top surface which were coated on the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and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respectively. The grain size was almost analogous for the perovskites those were coated on the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and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and no distinct change in morphology of the perovskite was observed. Besides, the transmittance</w:t>
      </w:r>
      <w:r w:rsidR="002035F2" w:rsidRPr="00845A3A">
        <w:rPr>
          <w:rFonts w:ascii="Times New Roman" w:hAnsi="Times New Roman" w:cs="Times New Roman"/>
          <w:sz w:val="24"/>
          <w:szCs w:val="24"/>
        </w:rPr>
        <w:t xml:space="preserve"> and absorbance</w:t>
      </w:r>
      <w:r w:rsidRPr="00845A3A">
        <w:rPr>
          <w:rFonts w:ascii="Times New Roman" w:hAnsi="Times New Roman" w:cs="Times New Roman"/>
          <w:sz w:val="24"/>
          <w:szCs w:val="24"/>
        </w:rPr>
        <w:t xml:space="preserve"> analysis of the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and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depicted in </w:t>
      </w:r>
      <w:r w:rsidRPr="00845A3A">
        <w:rPr>
          <w:rFonts w:ascii="Times New Roman" w:hAnsi="Times New Roman" w:cs="Times New Roman"/>
          <w:b/>
          <w:bCs/>
          <w:sz w:val="24"/>
          <w:szCs w:val="24"/>
        </w:rPr>
        <w:t>Figure S3</w:t>
      </w:r>
      <w:r w:rsidRPr="00845A3A">
        <w:rPr>
          <w:rFonts w:ascii="Times New Roman" w:hAnsi="Times New Roman" w:cs="Times New Roman"/>
          <w:sz w:val="24"/>
          <w:szCs w:val="24"/>
        </w:rPr>
        <w:t xml:space="preserve"> indicate that the Ce doping didn’t alter the optical transparency and band gap of the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w:t>
      </w:r>
    </w:p>
    <w:p w14:paraId="56FE29D2" w14:textId="77777777" w:rsidR="001919DE" w:rsidRDefault="001919DE" w:rsidP="00900D91">
      <w:pPr>
        <w:spacing w:after="0" w:line="480" w:lineRule="auto"/>
        <w:jc w:val="both"/>
        <w:rPr>
          <w:rFonts w:ascii="Times New Roman" w:hAnsi="Times New Roman" w:cs="Times New Roman"/>
          <w:sz w:val="24"/>
          <w:szCs w:val="24"/>
        </w:rPr>
      </w:pPr>
    </w:p>
    <w:p w14:paraId="1A555A31" w14:textId="77777777" w:rsidR="001919DE" w:rsidRPr="00845A3A" w:rsidRDefault="001919DE" w:rsidP="00900D91">
      <w:pPr>
        <w:spacing w:after="0" w:line="480" w:lineRule="auto"/>
        <w:jc w:val="both"/>
        <w:rPr>
          <w:rFonts w:ascii="Times New Roman" w:hAnsi="Times New Roman" w:cs="Times New Roman"/>
          <w:sz w:val="24"/>
          <w:szCs w:val="24"/>
        </w:rPr>
      </w:pPr>
    </w:p>
    <w:p w14:paraId="45C2A929" w14:textId="51F9232D" w:rsidR="00EB55F0" w:rsidRPr="00845A3A" w:rsidRDefault="002E31B9" w:rsidP="00900D91">
      <w:pPr>
        <w:spacing w:after="0" w:line="480" w:lineRule="auto"/>
        <w:jc w:val="center"/>
        <w:rPr>
          <w:rFonts w:ascii="Times New Roman" w:hAnsi="Times New Roman" w:cs="Times New Roman"/>
          <w:sz w:val="24"/>
          <w:szCs w:val="24"/>
        </w:rPr>
      </w:pPr>
      <w:r w:rsidRPr="00845A3A">
        <w:rPr>
          <w:rFonts w:ascii="Times New Roman" w:hAnsi="Times New Roman" w:cs="Times New Roman"/>
          <w:noProof/>
          <w:sz w:val="24"/>
          <w:szCs w:val="24"/>
        </w:rPr>
        <w:lastRenderedPageBreak/>
        <w:drawing>
          <wp:inline distT="0" distB="0" distL="0" distR="0" wp14:anchorId="5DC7473E" wp14:editId="46D482E6">
            <wp:extent cx="5731510" cy="1615440"/>
            <wp:effectExtent l="0" t="0" r="2540" b="3810"/>
            <wp:docPr id="791094052" name="Picture 3"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094052" name="Picture 3" descr="A diagram of a graph&#10;&#10;Description automatically generated with medium confidence"/>
                    <pic:cNvPicPr/>
                  </pic:nvPicPr>
                  <pic:blipFill>
                    <a:blip r:embed="rId48"/>
                    <a:stretch>
                      <a:fillRect/>
                    </a:stretch>
                  </pic:blipFill>
                  <pic:spPr>
                    <a:xfrm>
                      <a:off x="0" y="0"/>
                      <a:ext cx="5731510" cy="1615440"/>
                    </a:xfrm>
                    <a:prstGeom prst="rect">
                      <a:avLst/>
                    </a:prstGeom>
                  </pic:spPr>
                </pic:pic>
              </a:graphicData>
            </a:graphic>
          </wp:inline>
        </w:drawing>
      </w:r>
    </w:p>
    <w:p w14:paraId="57E05C3D" w14:textId="7C452BD4" w:rsidR="00EB55F0" w:rsidRPr="00845A3A" w:rsidRDefault="00EB55F0" w:rsidP="00900D91">
      <w:pPr>
        <w:pBdr>
          <w:bottom w:val="single" w:sz="4" w:space="1" w:color="auto"/>
        </w:pBdr>
        <w:spacing w:after="0" w:line="480" w:lineRule="auto"/>
        <w:jc w:val="both"/>
        <w:rPr>
          <w:rFonts w:ascii="Times New Roman" w:hAnsi="Times New Roman" w:cs="Times New Roman"/>
          <w:sz w:val="24"/>
          <w:szCs w:val="24"/>
        </w:rPr>
      </w:pPr>
      <w:r w:rsidRPr="00845A3A">
        <w:rPr>
          <w:rFonts w:ascii="Times New Roman" w:hAnsi="Times New Roman" w:cs="Times New Roman"/>
          <w:b/>
          <w:bCs/>
          <w:sz w:val="24"/>
          <w:szCs w:val="24"/>
        </w:rPr>
        <w:t>Figure 3.</w:t>
      </w:r>
      <w:r w:rsidRPr="00845A3A">
        <w:rPr>
          <w:rFonts w:ascii="Times New Roman" w:hAnsi="Times New Roman" w:cs="Times New Roman"/>
          <w:sz w:val="24"/>
          <w:szCs w:val="24"/>
        </w:rPr>
        <w:t xml:space="preserve"> (a)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and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UPS analysis spectra</w:t>
      </w:r>
      <w:r w:rsidR="002B6932" w:rsidRPr="00845A3A">
        <w:rPr>
          <w:rFonts w:ascii="Times New Roman" w:hAnsi="Times New Roman" w:cs="Times New Roman"/>
          <w:sz w:val="24"/>
          <w:szCs w:val="24"/>
        </w:rPr>
        <w:t>.</w:t>
      </w:r>
      <w:r w:rsidRPr="00845A3A">
        <w:rPr>
          <w:rFonts w:ascii="Times New Roman" w:hAnsi="Times New Roman" w:cs="Times New Roman"/>
          <w:sz w:val="24"/>
          <w:szCs w:val="24"/>
        </w:rPr>
        <w:t xml:space="preserve"> (b) </w:t>
      </w:r>
      <w:r w:rsidR="002B6932" w:rsidRPr="00845A3A">
        <w:rPr>
          <w:rFonts w:ascii="Times New Roman" w:hAnsi="Times New Roman" w:cs="Times New Roman"/>
          <w:sz w:val="24"/>
          <w:szCs w:val="24"/>
        </w:rPr>
        <w:t>E</w:t>
      </w:r>
      <w:r w:rsidRPr="00845A3A">
        <w:rPr>
          <w:rFonts w:ascii="Times New Roman" w:hAnsi="Times New Roman" w:cs="Times New Roman"/>
          <w:sz w:val="24"/>
          <w:szCs w:val="24"/>
        </w:rPr>
        <w:t>nergy band diagram of the PSC</w:t>
      </w:r>
      <w:r w:rsidR="00C30485" w:rsidRPr="00845A3A">
        <w:rPr>
          <w:rFonts w:ascii="Times New Roman" w:hAnsi="Times New Roman" w:cs="Times New Roman"/>
          <w:sz w:val="24"/>
          <w:szCs w:val="24"/>
        </w:rPr>
        <w:t>.</w:t>
      </w:r>
      <w:r w:rsidR="00EB7E0E" w:rsidRPr="00845A3A">
        <w:rPr>
          <w:rFonts w:ascii="Times New Roman" w:hAnsi="Times New Roman" w:cs="Times New Roman"/>
          <w:sz w:val="24"/>
          <w:szCs w:val="24"/>
        </w:rPr>
        <w:t xml:space="preserve"> </w:t>
      </w:r>
      <w:r w:rsidRPr="00845A3A">
        <w:rPr>
          <w:rFonts w:ascii="Times New Roman" w:hAnsi="Times New Roman" w:cs="Times New Roman"/>
          <w:sz w:val="24"/>
          <w:szCs w:val="24"/>
        </w:rPr>
        <w:t xml:space="preserve">(c) </w:t>
      </w:r>
      <w:r w:rsidR="00EB7E0E" w:rsidRPr="00845A3A">
        <w:rPr>
          <w:rFonts w:ascii="Times New Roman" w:hAnsi="Times New Roman" w:cs="Times New Roman"/>
          <w:sz w:val="24"/>
          <w:szCs w:val="24"/>
        </w:rPr>
        <w:t>C</w:t>
      </w:r>
      <w:r w:rsidRPr="00845A3A">
        <w:rPr>
          <w:rFonts w:ascii="Times New Roman" w:hAnsi="Times New Roman" w:cs="Times New Roman"/>
          <w:sz w:val="24"/>
          <w:szCs w:val="24"/>
        </w:rPr>
        <w:t>harge transport kinetics at ETL/perovskite interface.</w:t>
      </w:r>
    </w:p>
    <w:p w14:paraId="553F81E6" w14:textId="77777777" w:rsidR="00EB55F0" w:rsidRPr="00845A3A" w:rsidRDefault="00EB55F0" w:rsidP="00A720BD">
      <w:pPr>
        <w:spacing w:before="240" w:line="480" w:lineRule="auto"/>
        <w:jc w:val="both"/>
        <w:divId w:val="1103500613"/>
        <w:rPr>
          <w:rFonts w:ascii="Times New Roman" w:hAnsi="Times New Roman" w:cs="Times New Roman"/>
          <w:sz w:val="24"/>
          <w:szCs w:val="24"/>
        </w:rPr>
      </w:pPr>
      <w:r w:rsidRPr="00845A3A">
        <w:rPr>
          <w:rFonts w:ascii="Times New Roman" w:hAnsi="Times New Roman" w:cs="Times New Roman"/>
          <w:sz w:val="24"/>
          <w:szCs w:val="24"/>
        </w:rPr>
        <w:t>For the estimation of the maxima of valence band (</w:t>
      </w:r>
      <w:r w:rsidRPr="00845A3A">
        <w:rPr>
          <w:rFonts w:ascii="Times New Roman" w:hAnsi="Times New Roman" w:cs="Times New Roman"/>
          <w:i/>
          <w:iCs/>
          <w:sz w:val="24"/>
          <w:szCs w:val="24"/>
        </w:rPr>
        <w:t>E</w:t>
      </w:r>
      <w:r w:rsidRPr="00845A3A">
        <w:rPr>
          <w:rFonts w:ascii="Times New Roman" w:hAnsi="Times New Roman" w:cs="Times New Roman"/>
          <w:sz w:val="24"/>
          <w:szCs w:val="24"/>
          <w:vertAlign w:val="subscript"/>
        </w:rPr>
        <w:t>VM</w:t>
      </w:r>
      <w:r w:rsidRPr="00845A3A">
        <w:rPr>
          <w:rFonts w:ascii="Times New Roman" w:hAnsi="Times New Roman" w:cs="Times New Roman"/>
          <w:sz w:val="24"/>
          <w:szCs w:val="24"/>
        </w:rPr>
        <w:t>) as well as minima of conduction band (</w:t>
      </w:r>
      <w:r w:rsidRPr="00845A3A">
        <w:rPr>
          <w:rFonts w:ascii="Times New Roman" w:hAnsi="Times New Roman" w:cs="Times New Roman"/>
          <w:i/>
          <w:iCs/>
          <w:sz w:val="24"/>
          <w:szCs w:val="24"/>
        </w:rPr>
        <w:t>E</w:t>
      </w:r>
      <w:r w:rsidRPr="00845A3A">
        <w:rPr>
          <w:rFonts w:ascii="Times New Roman" w:hAnsi="Times New Roman" w:cs="Times New Roman"/>
          <w:sz w:val="24"/>
          <w:szCs w:val="24"/>
          <w:vertAlign w:val="subscript"/>
        </w:rPr>
        <w:t>CM</w:t>
      </w:r>
      <w:r w:rsidRPr="00845A3A">
        <w:rPr>
          <w:rFonts w:ascii="Times New Roman" w:hAnsi="Times New Roman" w:cs="Times New Roman"/>
          <w:sz w:val="24"/>
          <w:szCs w:val="24"/>
        </w:rPr>
        <w:t>) of the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doped with different mol% of Ce, and perovskite, the study of ultraviolet photoelectron spectroscopy (UPS) was performed (depicted in </w:t>
      </w:r>
      <w:r w:rsidRPr="00845A3A">
        <w:rPr>
          <w:rFonts w:ascii="Times New Roman" w:hAnsi="Times New Roman" w:cs="Times New Roman"/>
          <w:b/>
          <w:bCs/>
          <w:sz w:val="24"/>
          <w:szCs w:val="24"/>
        </w:rPr>
        <w:t>Figure S4,5</w:t>
      </w:r>
      <w:r w:rsidRPr="00845A3A">
        <w:rPr>
          <w:rFonts w:ascii="Times New Roman" w:hAnsi="Times New Roman" w:cs="Times New Roman"/>
          <w:sz w:val="24"/>
          <w:szCs w:val="24"/>
        </w:rPr>
        <w:t xml:space="preserve">). </w:t>
      </w:r>
      <w:r w:rsidRPr="00845A3A">
        <w:rPr>
          <w:rFonts w:ascii="Times New Roman" w:hAnsi="Times New Roman" w:cs="Times New Roman"/>
          <w:b/>
          <w:bCs/>
          <w:sz w:val="24"/>
          <w:szCs w:val="24"/>
        </w:rPr>
        <w:t>Figure 3a</w:t>
      </w:r>
      <w:r w:rsidRPr="00845A3A">
        <w:rPr>
          <w:rFonts w:ascii="Times New Roman" w:hAnsi="Times New Roman" w:cs="Times New Roman"/>
          <w:sz w:val="24"/>
          <w:szCs w:val="24"/>
        </w:rPr>
        <w:t xml:space="preserve"> displays the UPS analysis results of the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and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The work function of -4.46 eV and -4.30 eV were estimated correspondingly for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and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The </w:t>
      </w:r>
      <w:r w:rsidRPr="00845A3A">
        <w:rPr>
          <w:rFonts w:ascii="Times New Roman" w:hAnsi="Times New Roman" w:cs="Times New Roman"/>
          <w:i/>
          <w:iCs/>
          <w:sz w:val="24"/>
          <w:szCs w:val="24"/>
        </w:rPr>
        <w:t>E</w:t>
      </w:r>
      <w:r w:rsidRPr="00845A3A">
        <w:rPr>
          <w:rFonts w:ascii="Times New Roman" w:hAnsi="Times New Roman" w:cs="Times New Roman"/>
          <w:sz w:val="24"/>
          <w:szCs w:val="24"/>
          <w:vertAlign w:val="subscript"/>
        </w:rPr>
        <w:t>CM</w:t>
      </w:r>
      <w:r w:rsidRPr="00845A3A">
        <w:rPr>
          <w:rFonts w:ascii="Times New Roman" w:hAnsi="Times New Roman" w:cs="Times New Roman"/>
          <w:sz w:val="24"/>
          <w:szCs w:val="24"/>
        </w:rPr>
        <w:t xml:space="preserve"> value of -4.25 eV and -3.95 eV was obtained correspondingly for the of the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and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w:t>
      </w:r>
      <w:r w:rsidRPr="00845A3A">
        <w:rPr>
          <w:rFonts w:ascii="Times New Roman" w:hAnsi="Times New Roman" w:cs="Times New Roman"/>
          <w:b/>
          <w:bCs/>
          <w:sz w:val="24"/>
          <w:szCs w:val="24"/>
        </w:rPr>
        <w:t>Figure 3b</w:t>
      </w:r>
      <w:r w:rsidRPr="00845A3A">
        <w:rPr>
          <w:rFonts w:ascii="Times New Roman" w:hAnsi="Times New Roman" w:cs="Times New Roman"/>
          <w:sz w:val="24"/>
          <w:szCs w:val="24"/>
        </w:rPr>
        <w:t xml:space="preserve"> displays the diagram of the PSC’s energy band. The interface (ETL/perovskite) conduction band offset (CBO) was reduced from 0.43 eV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/perovskite) to 0.13 eV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/perovskite). Low CBO at interface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/perovskite) reduces the energy loss during the electrons transportation towards ETL from the perovskite which is favorable for the enhancement of </w:t>
      </w:r>
      <w:r w:rsidRPr="00845A3A">
        <w:rPr>
          <w:rFonts w:ascii="Times New Roman" w:hAnsi="Times New Roman" w:cs="Times New Roman"/>
          <w:i/>
          <w:iCs/>
          <w:sz w:val="24"/>
          <w:szCs w:val="24"/>
        </w:rPr>
        <w:t>V</w:t>
      </w:r>
      <w:r w:rsidRPr="00845A3A">
        <w:rPr>
          <w:rFonts w:ascii="Times New Roman" w:hAnsi="Times New Roman" w:cs="Times New Roman"/>
          <w:sz w:val="24"/>
          <w:szCs w:val="24"/>
          <w:vertAlign w:val="subscript"/>
        </w:rPr>
        <w:t>OC</w:t>
      </w:r>
      <w:r w:rsidRPr="00845A3A">
        <w:rPr>
          <w:rFonts w:ascii="Times New Roman" w:hAnsi="Times New Roman" w:cs="Times New Roman"/>
          <w:sz w:val="24"/>
          <w:szCs w:val="24"/>
        </w:rPr>
        <w:t xml:space="preserve"> and reduction of recombination rate at the ETL/perovskite interface.</w:t>
      </w:r>
      <w:hyperlink r:id="rId49" w:history="1">
        <w:r w:rsidRPr="00845A3A">
          <w:rPr>
            <w:rFonts w:ascii="Times New Roman" w:eastAsia="Times New Roman" w:hAnsi="Times New Roman" w:cs="Times New Roman"/>
            <w:sz w:val="24"/>
            <w:szCs w:val="24"/>
            <w:vertAlign w:val="superscript"/>
          </w:rPr>
          <w:t>3</w:t>
        </w:r>
      </w:hyperlink>
      <w:r w:rsidRPr="00845A3A">
        <w:rPr>
          <w:rFonts w:ascii="Times New Roman" w:hAnsi="Times New Roman" w:cs="Times New Roman"/>
          <w:sz w:val="24"/>
          <w:szCs w:val="24"/>
        </w:rPr>
        <w:t xml:space="preserve"> As seen from </w:t>
      </w:r>
      <w:r w:rsidRPr="00845A3A">
        <w:rPr>
          <w:rFonts w:ascii="Times New Roman" w:hAnsi="Times New Roman" w:cs="Times New Roman"/>
          <w:b/>
          <w:bCs/>
          <w:sz w:val="24"/>
          <w:szCs w:val="24"/>
        </w:rPr>
        <w:t xml:space="preserve">Figure 3c </w:t>
      </w:r>
      <w:r w:rsidRPr="00845A3A">
        <w:rPr>
          <w:rFonts w:ascii="Times New Roman" w:hAnsi="Times New Roman" w:cs="Times New Roman"/>
          <w:sz w:val="24"/>
          <w:szCs w:val="24"/>
        </w:rPr>
        <w:t>that</w:t>
      </w:r>
      <w:r w:rsidRPr="00845A3A">
        <w:rPr>
          <w:rFonts w:ascii="Times New Roman" w:hAnsi="Times New Roman" w:cs="Times New Roman"/>
          <w:b/>
          <w:bCs/>
          <w:sz w:val="24"/>
          <w:szCs w:val="24"/>
        </w:rPr>
        <w:t xml:space="preserve"> </w:t>
      </w:r>
      <w:r w:rsidRPr="00845A3A">
        <w:rPr>
          <w:rFonts w:ascii="Times New Roman" w:hAnsi="Times New Roman" w:cs="Times New Roman"/>
          <w:sz w:val="24"/>
          <w:szCs w:val="24"/>
        </w:rPr>
        <w:t>the barrier potential of the back flow electrons at the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/perovskite interface is higher than the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/perovskite interface due to the upshift of CB of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The higher barrier potential of the back flow electrons at the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/perovskite interface could suppress the carrier recombination rate at the ETL/perovskite interface.</w:t>
      </w:r>
    </w:p>
    <w:p w14:paraId="00674A6C" w14:textId="25D41919" w:rsidR="00EB55F0" w:rsidRPr="00845A3A" w:rsidRDefault="00621C78" w:rsidP="007D7ADC">
      <w:pPr>
        <w:spacing w:after="0" w:line="480" w:lineRule="auto"/>
        <w:jc w:val="center"/>
        <w:divId w:val="1103500613"/>
        <w:rPr>
          <w:rFonts w:ascii="Times New Roman" w:hAnsi="Times New Roman" w:cs="Times New Roman"/>
          <w:sz w:val="24"/>
          <w:szCs w:val="24"/>
        </w:rPr>
      </w:pPr>
      <w:r w:rsidRPr="00845A3A">
        <w:rPr>
          <w:rFonts w:ascii="Times New Roman" w:hAnsi="Times New Roman" w:cs="Times New Roman"/>
          <w:noProof/>
          <w:sz w:val="24"/>
          <w:szCs w:val="24"/>
        </w:rPr>
        <w:lastRenderedPageBreak/>
        <w:drawing>
          <wp:inline distT="0" distB="0" distL="0" distR="0" wp14:anchorId="54D3A754" wp14:editId="185537E7">
            <wp:extent cx="5731510" cy="4065270"/>
            <wp:effectExtent l="0" t="0" r="2540" b="0"/>
            <wp:docPr id="87584928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849286" name="Picture 875849286"/>
                    <pic:cNvPicPr/>
                  </pic:nvPicPr>
                  <pic:blipFill>
                    <a:blip r:embed="rId50"/>
                    <a:stretch>
                      <a:fillRect/>
                    </a:stretch>
                  </pic:blipFill>
                  <pic:spPr>
                    <a:xfrm>
                      <a:off x="0" y="0"/>
                      <a:ext cx="5731510" cy="4065270"/>
                    </a:xfrm>
                    <a:prstGeom prst="rect">
                      <a:avLst/>
                    </a:prstGeom>
                  </pic:spPr>
                </pic:pic>
              </a:graphicData>
            </a:graphic>
          </wp:inline>
        </w:drawing>
      </w:r>
    </w:p>
    <w:p w14:paraId="159EBA00" w14:textId="335EC594" w:rsidR="00EB55F0" w:rsidRPr="00845A3A" w:rsidRDefault="00EB55F0" w:rsidP="0091065D">
      <w:pPr>
        <w:pBdr>
          <w:bottom w:val="single" w:sz="4" w:space="1" w:color="auto"/>
        </w:pBdr>
        <w:spacing w:line="480" w:lineRule="auto"/>
        <w:jc w:val="both"/>
        <w:divId w:val="1103500613"/>
        <w:rPr>
          <w:rFonts w:ascii="Times New Roman" w:hAnsi="Times New Roman" w:cs="Times New Roman"/>
          <w:sz w:val="24"/>
          <w:szCs w:val="24"/>
        </w:rPr>
      </w:pPr>
      <w:r w:rsidRPr="00845A3A">
        <w:rPr>
          <w:rFonts w:ascii="Times New Roman" w:hAnsi="Times New Roman" w:cs="Times New Roman"/>
          <w:b/>
          <w:bCs/>
          <w:sz w:val="24"/>
          <w:szCs w:val="24"/>
        </w:rPr>
        <w:t>Figure 4.</w:t>
      </w:r>
      <w:r w:rsidRPr="00845A3A">
        <w:rPr>
          <w:rFonts w:ascii="Times New Roman" w:hAnsi="Times New Roman" w:cs="Times New Roman"/>
          <w:sz w:val="24"/>
          <w:szCs w:val="24"/>
        </w:rPr>
        <w:t xml:space="preserve"> (a) Graph of the </w:t>
      </w:r>
      <w:r w:rsidRPr="00845A3A">
        <w:rPr>
          <w:rFonts w:ascii="Times New Roman" w:hAnsi="Times New Roman" w:cs="Times New Roman"/>
          <w:i/>
          <w:iCs/>
          <w:sz w:val="24"/>
          <w:szCs w:val="24"/>
        </w:rPr>
        <w:t>J</w:t>
      </w:r>
      <w:r w:rsidRPr="00845A3A">
        <w:rPr>
          <w:rFonts w:ascii="Times New Roman" w:hAnsi="Times New Roman" w:cs="Times New Roman"/>
          <w:sz w:val="24"/>
          <w:szCs w:val="24"/>
        </w:rPr>
        <w:t>-</w:t>
      </w:r>
      <w:r w:rsidRPr="00845A3A">
        <w:rPr>
          <w:rFonts w:ascii="Times New Roman" w:hAnsi="Times New Roman" w:cs="Times New Roman"/>
          <w:i/>
          <w:iCs/>
          <w:sz w:val="24"/>
          <w:szCs w:val="24"/>
        </w:rPr>
        <w:t>V</w:t>
      </w:r>
      <w:r w:rsidRPr="00845A3A">
        <w:rPr>
          <w:rFonts w:ascii="Times New Roman" w:hAnsi="Times New Roman" w:cs="Times New Roman"/>
          <w:sz w:val="24"/>
          <w:szCs w:val="24"/>
        </w:rPr>
        <w:t xml:space="preserve"> characteristics of the PSCs (0.09 cm</w:t>
      </w:r>
      <w:r w:rsidRPr="00845A3A">
        <w:rPr>
          <w:rFonts w:ascii="Times New Roman" w:hAnsi="Times New Roman" w:cs="Times New Roman"/>
          <w:sz w:val="24"/>
          <w:szCs w:val="24"/>
          <w:vertAlign w:val="superscript"/>
        </w:rPr>
        <w:t>2</w:t>
      </w:r>
      <w:r w:rsidRPr="00845A3A">
        <w:rPr>
          <w:rFonts w:ascii="Times New Roman" w:hAnsi="Times New Roman" w:cs="Times New Roman"/>
          <w:sz w:val="24"/>
          <w:szCs w:val="24"/>
        </w:rPr>
        <w:t xml:space="preserve"> is active area) using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and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 under reverse scan</w:t>
      </w:r>
      <w:r w:rsidR="00942135" w:rsidRPr="00845A3A">
        <w:rPr>
          <w:rFonts w:ascii="Times New Roman" w:hAnsi="Times New Roman" w:cs="Times New Roman"/>
          <w:sz w:val="24"/>
          <w:szCs w:val="24"/>
        </w:rPr>
        <w:t>.</w:t>
      </w:r>
      <w:r w:rsidRPr="00845A3A">
        <w:rPr>
          <w:rFonts w:ascii="Times New Roman" w:hAnsi="Times New Roman" w:cs="Times New Roman"/>
          <w:sz w:val="24"/>
          <w:szCs w:val="24"/>
        </w:rPr>
        <w:t xml:space="preserve"> </w:t>
      </w:r>
      <w:r w:rsidRPr="00845A3A">
        <w:rPr>
          <w:rFonts w:ascii="Times New Roman" w:hAnsi="Times New Roman" w:cs="Times New Roman"/>
          <w:i/>
          <w:iCs/>
          <w:sz w:val="24"/>
          <w:szCs w:val="24"/>
        </w:rPr>
        <w:t>J</w:t>
      </w:r>
      <w:r w:rsidRPr="00845A3A">
        <w:rPr>
          <w:rFonts w:ascii="Times New Roman" w:hAnsi="Times New Roman" w:cs="Times New Roman"/>
          <w:sz w:val="24"/>
          <w:szCs w:val="24"/>
        </w:rPr>
        <w:t>-</w:t>
      </w:r>
      <w:r w:rsidRPr="00845A3A">
        <w:rPr>
          <w:rFonts w:ascii="Times New Roman" w:hAnsi="Times New Roman" w:cs="Times New Roman"/>
          <w:i/>
          <w:iCs/>
          <w:sz w:val="24"/>
          <w:szCs w:val="24"/>
        </w:rPr>
        <w:t>V</w:t>
      </w:r>
      <w:r w:rsidRPr="00845A3A">
        <w:rPr>
          <w:rFonts w:ascii="Times New Roman" w:hAnsi="Times New Roman" w:cs="Times New Roman"/>
          <w:sz w:val="24"/>
          <w:szCs w:val="24"/>
        </w:rPr>
        <w:t xml:space="preserve"> characteristics of the PSCs using (b)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and (c)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 under forward and reverse scans</w:t>
      </w:r>
      <w:r w:rsidR="000912C0" w:rsidRPr="00845A3A">
        <w:rPr>
          <w:rFonts w:ascii="Times New Roman" w:hAnsi="Times New Roman" w:cs="Times New Roman"/>
          <w:sz w:val="24"/>
          <w:szCs w:val="24"/>
        </w:rPr>
        <w:t>.</w:t>
      </w:r>
      <w:r w:rsidRPr="00845A3A">
        <w:rPr>
          <w:rFonts w:ascii="Times New Roman" w:hAnsi="Times New Roman" w:cs="Times New Roman"/>
          <w:sz w:val="24"/>
          <w:szCs w:val="24"/>
        </w:rPr>
        <w:t xml:space="preserve"> (d) </w:t>
      </w:r>
      <w:bookmarkStart w:id="1" w:name="_Hlk161394990"/>
      <w:r w:rsidRPr="00845A3A">
        <w:rPr>
          <w:rFonts w:ascii="Times New Roman" w:hAnsi="Times New Roman" w:cs="Times New Roman"/>
          <w:sz w:val="24"/>
          <w:szCs w:val="24"/>
        </w:rPr>
        <w:t xml:space="preserve">IPCE and it’s the equivalent integrated </w:t>
      </w:r>
      <w:r w:rsidRPr="00845A3A">
        <w:rPr>
          <w:rFonts w:ascii="Times New Roman" w:hAnsi="Times New Roman" w:cs="Times New Roman"/>
          <w:i/>
          <w:iCs/>
          <w:sz w:val="24"/>
          <w:szCs w:val="24"/>
        </w:rPr>
        <w:t>J</w:t>
      </w:r>
      <w:r w:rsidRPr="00845A3A">
        <w:rPr>
          <w:rFonts w:ascii="Times New Roman" w:hAnsi="Times New Roman" w:cs="Times New Roman"/>
          <w:sz w:val="24"/>
          <w:szCs w:val="24"/>
          <w:vertAlign w:val="subscript"/>
        </w:rPr>
        <w:t>SC</w:t>
      </w:r>
      <w:r w:rsidRPr="00845A3A">
        <w:rPr>
          <w:rFonts w:ascii="Times New Roman" w:hAnsi="Times New Roman" w:cs="Times New Roman"/>
          <w:sz w:val="24"/>
          <w:szCs w:val="24"/>
        </w:rPr>
        <w:t xml:space="preserve"> of the </w:t>
      </w:r>
      <w:bookmarkEnd w:id="1"/>
      <w:r w:rsidRPr="00845A3A">
        <w:rPr>
          <w:rFonts w:ascii="Times New Roman" w:hAnsi="Times New Roman" w:cs="Times New Roman"/>
          <w:sz w:val="24"/>
          <w:szCs w:val="24"/>
        </w:rPr>
        <w:t>PSCs using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and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w:t>
      </w:r>
      <w:r w:rsidR="000912C0" w:rsidRPr="00845A3A">
        <w:rPr>
          <w:rFonts w:ascii="Times New Roman" w:hAnsi="Times New Roman" w:cs="Times New Roman"/>
          <w:sz w:val="24"/>
          <w:szCs w:val="24"/>
        </w:rPr>
        <w:t>.</w:t>
      </w:r>
      <w:r w:rsidRPr="00845A3A">
        <w:rPr>
          <w:rFonts w:ascii="Times New Roman" w:hAnsi="Times New Roman" w:cs="Times New Roman"/>
          <w:sz w:val="24"/>
          <w:szCs w:val="24"/>
        </w:rPr>
        <w:t xml:space="preserve"> (e) </w:t>
      </w:r>
      <w:r w:rsidR="000912C0" w:rsidRPr="00845A3A">
        <w:rPr>
          <w:rFonts w:ascii="Times New Roman" w:hAnsi="Times New Roman" w:cs="Times New Roman"/>
          <w:sz w:val="24"/>
          <w:szCs w:val="24"/>
        </w:rPr>
        <w:t>S</w:t>
      </w:r>
      <w:r w:rsidRPr="00845A3A">
        <w:rPr>
          <w:rFonts w:ascii="Times New Roman" w:hAnsi="Times New Roman" w:cs="Times New Roman"/>
          <w:sz w:val="24"/>
          <w:szCs w:val="24"/>
        </w:rPr>
        <w:t>tatistical distribution of PCE of the PSCs using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and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 (based on </w:t>
      </w:r>
      <w:r w:rsidRPr="00845A3A">
        <w:rPr>
          <w:rFonts w:ascii="Times New Roman" w:hAnsi="Times New Roman" w:cs="Times New Roman"/>
          <w:b/>
          <w:bCs/>
          <w:sz w:val="24"/>
          <w:szCs w:val="24"/>
        </w:rPr>
        <w:t>Table S2</w:t>
      </w:r>
      <w:r w:rsidRPr="00845A3A">
        <w:rPr>
          <w:rFonts w:ascii="Times New Roman" w:hAnsi="Times New Roman" w:cs="Times New Roman"/>
          <w:sz w:val="24"/>
          <w:szCs w:val="24"/>
        </w:rPr>
        <w:t>)</w:t>
      </w:r>
      <w:r w:rsidR="00113631" w:rsidRPr="00845A3A">
        <w:rPr>
          <w:rFonts w:ascii="Times New Roman" w:hAnsi="Times New Roman" w:cs="Times New Roman"/>
          <w:sz w:val="24"/>
          <w:szCs w:val="24"/>
        </w:rPr>
        <w:t>.</w:t>
      </w:r>
      <w:r w:rsidRPr="00845A3A">
        <w:rPr>
          <w:rFonts w:ascii="Times New Roman" w:hAnsi="Times New Roman" w:cs="Times New Roman"/>
          <w:sz w:val="24"/>
          <w:szCs w:val="24"/>
        </w:rPr>
        <w:t xml:space="preserve"> (f) </w:t>
      </w:r>
      <w:r w:rsidRPr="00845A3A">
        <w:rPr>
          <w:rFonts w:ascii="Times New Roman" w:hAnsi="Times New Roman" w:cs="Times New Roman"/>
          <w:i/>
          <w:iCs/>
          <w:sz w:val="24"/>
          <w:szCs w:val="24"/>
        </w:rPr>
        <w:t>J</w:t>
      </w:r>
      <w:r w:rsidRPr="00845A3A">
        <w:rPr>
          <w:rFonts w:ascii="Times New Roman" w:hAnsi="Times New Roman" w:cs="Times New Roman"/>
          <w:sz w:val="24"/>
          <w:szCs w:val="24"/>
        </w:rPr>
        <w:t>-</w:t>
      </w:r>
      <w:r w:rsidRPr="00845A3A">
        <w:rPr>
          <w:rFonts w:ascii="Times New Roman" w:hAnsi="Times New Roman" w:cs="Times New Roman"/>
          <w:i/>
          <w:iCs/>
          <w:sz w:val="24"/>
          <w:szCs w:val="24"/>
        </w:rPr>
        <w:t>V</w:t>
      </w:r>
      <w:r w:rsidRPr="00845A3A">
        <w:rPr>
          <w:rFonts w:ascii="Times New Roman" w:hAnsi="Times New Roman" w:cs="Times New Roman"/>
          <w:sz w:val="24"/>
          <w:szCs w:val="24"/>
        </w:rPr>
        <w:t xml:space="preserve"> characteristics of the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 based PSC (active area of 1.0 cm</w:t>
      </w:r>
      <w:r w:rsidRPr="00845A3A">
        <w:rPr>
          <w:rFonts w:ascii="Times New Roman" w:hAnsi="Times New Roman" w:cs="Times New Roman"/>
          <w:sz w:val="24"/>
          <w:szCs w:val="24"/>
          <w:vertAlign w:val="superscript"/>
        </w:rPr>
        <w:t>2</w:t>
      </w:r>
      <w:r w:rsidRPr="00845A3A">
        <w:rPr>
          <w:rFonts w:ascii="Times New Roman" w:hAnsi="Times New Roman" w:cs="Times New Roman"/>
          <w:sz w:val="24"/>
          <w:szCs w:val="24"/>
        </w:rPr>
        <w:t>) under reverse scan</w:t>
      </w:r>
      <w:r w:rsidR="00113631" w:rsidRPr="00845A3A">
        <w:rPr>
          <w:rFonts w:ascii="Times New Roman" w:hAnsi="Times New Roman" w:cs="Times New Roman"/>
          <w:sz w:val="24"/>
          <w:szCs w:val="24"/>
        </w:rPr>
        <w:t xml:space="preserve">. </w:t>
      </w:r>
      <w:r w:rsidRPr="00845A3A">
        <w:rPr>
          <w:rFonts w:ascii="Times New Roman" w:hAnsi="Times New Roman" w:cs="Times New Roman"/>
          <w:sz w:val="24"/>
          <w:szCs w:val="24"/>
        </w:rPr>
        <w:t xml:space="preserve">(g) </w:t>
      </w:r>
      <w:r w:rsidR="00113631" w:rsidRPr="00845A3A">
        <w:rPr>
          <w:rFonts w:ascii="Times New Roman" w:eastAsia="Times New Roman" w:hAnsi="Times New Roman" w:cs="Times New Roman"/>
          <w:color w:val="000000"/>
          <w:kern w:val="0"/>
          <w:sz w:val="24"/>
          <w:szCs w:val="24"/>
          <w14:ligatures w14:val="none"/>
        </w:rPr>
        <w:t>S</w:t>
      </w:r>
      <w:r w:rsidRPr="00845A3A">
        <w:rPr>
          <w:rFonts w:ascii="Times New Roman" w:eastAsia="Times New Roman" w:hAnsi="Times New Roman" w:cs="Times New Roman"/>
          <w:color w:val="000000"/>
          <w:kern w:val="0"/>
          <w:sz w:val="24"/>
          <w:szCs w:val="24"/>
          <w14:ligatures w14:val="none"/>
        </w:rPr>
        <w:t>tability of the unencapsulated 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and Ce-SnO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ETLs based PSCs storage at open air conditions at 23~25°C and RH of 40~50%</w:t>
      </w:r>
      <w:r w:rsidR="00A95D53" w:rsidRPr="00845A3A">
        <w:rPr>
          <w:rFonts w:ascii="Times New Roman" w:eastAsia="Times New Roman" w:hAnsi="Times New Roman" w:cs="Times New Roman"/>
          <w:color w:val="000000"/>
          <w:kern w:val="0"/>
          <w:sz w:val="24"/>
          <w:szCs w:val="24"/>
          <w14:ligatures w14:val="none"/>
        </w:rPr>
        <w:t>.</w:t>
      </w:r>
      <w:r w:rsidRPr="00845A3A">
        <w:rPr>
          <w:rFonts w:ascii="Times New Roman" w:eastAsia="Times New Roman" w:hAnsi="Times New Roman" w:cs="Times New Roman"/>
          <w:color w:val="000000"/>
          <w:kern w:val="0"/>
          <w:sz w:val="24"/>
          <w:szCs w:val="24"/>
          <w14:ligatures w14:val="none"/>
        </w:rPr>
        <w:t xml:space="preserve"> </w:t>
      </w:r>
      <w:r w:rsidRPr="00845A3A">
        <w:rPr>
          <w:rFonts w:ascii="Times New Roman" w:hAnsi="Times New Roman" w:cs="Times New Roman"/>
          <w:sz w:val="24"/>
          <w:szCs w:val="24"/>
        </w:rPr>
        <w:t xml:space="preserve">(h) </w:t>
      </w:r>
      <w:r w:rsidRPr="00845A3A">
        <w:rPr>
          <w:rFonts w:ascii="Times New Roman" w:hAnsi="Times New Roman" w:cs="Times New Roman"/>
          <w:i/>
          <w:iCs/>
          <w:sz w:val="24"/>
          <w:szCs w:val="24"/>
        </w:rPr>
        <w:t>J</w:t>
      </w:r>
      <w:r w:rsidRPr="00845A3A">
        <w:rPr>
          <w:rFonts w:ascii="Times New Roman" w:hAnsi="Times New Roman" w:cs="Times New Roman"/>
          <w:sz w:val="24"/>
          <w:szCs w:val="24"/>
        </w:rPr>
        <w:t>-</w:t>
      </w:r>
      <w:r w:rsidRPr="00845A3A">
        <w:rPr>
          <w:rFonts w:ascii="Times New Roman" w:hAnsi="Times New Roman" w:cs="Times New Roman"/>
          <w:i/>
          <w:iCs/>
          <w:sz w:val="24"/>
          <w:szCs w:val="24"/>
        </w:rPr>
        <w:t>V</w:t>
      </w:r>
      <w:r w:rsidRPr="00845A3A">
        <w:rPr>
          <w:rFonts w:ascii="Times New Roman" w:hAnsi="Times New Roman" w:cs="Times New Roman"/>
          <w:sz w:val="24"/>
          <w:szCs w:val="24"/>
        </w:rPr>
        <w:t xml:space="preserve"> characteristics of the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 based PSC (active area of 0.09 cm</w:t>
      </w:r>
      <w:r w:rsidRPr="00845A3A">
        <w:rPr>
          <w:rFonts w:ascii="Times New Roman" w:hAnsi="Times New Roman" w:cs="Times New Roman"/>
          <w:sz w:val="24"/>
          <w:szCs w:val="24"/>
          <w:vertAlign w:val="superscript"/>
        </w:rPr>
        <w:t>2</w:t>
      </w:r>
      <w:r w:rsidRPr="00845A3A">
        <w:rPr>
          <w:rFonts w:ascii="Times New Roman" w:hAnsi="Times New Roman" w:cs="Times New Roman"/>
          <w:sz w:val="24"/>
          <w:szCs w:val="24"/>
        </w:rPr>
        <w:t>) with PEAI treatment on the perovskite surface.</w:t>
      </w:r>
    </w:p>
    <w:p w14:paraId="05523E4A" w14:textId="1F0BBE03" w:rsidR="00EB55F0" w:rsidRPr="00845A3A" w:rsidRDefault="00EB55F0" w:rsidP="0091065D">
      <w:pPr>
        <w:spacing w:before="240" w:line="480" w:lineRule="auto"/>
        <w:jc w:val="both"/>
        <w:divId w:val="1103500613"/>
        <w:rPr>
          <w:rFonts w:ascii="Times New Roman" w:eastAsia="Times New Roman" w:hAnsi="Times New Roman" w:cs="Times New Roman"/>
          <w:color w:val="000000"/>
          <w:kern w:val="0"/>
          <w:sz w:val="24"/>
          <w:szCs w:val="24"/>
          <w14:ligatures w14:val="none"/>
        </w:rPr>
      </w:pPr>
      <w:r w:rsidRPr="00845A3A">
        <w:rPr>
          <w:rFonts w:ascii="Times New Roman" w:eastAsia="Times New Roman" w:hAnsi="Times New Roman" w:cs="Times New Roman"/>
          <w:color w:val="000000"/>
          <w:kern w:val="0"/>
          <w:sz w:val="24"/>
          <w:szCs w:val="24"/>
          <w14:ligatures w14:val="none"/>
        </w:rPr>
        <w:t>To explore the effect of Ce-doping in 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ETL, the n-</w:t>
      </w:r>
      <w:proofErr w:type="spellStart"/>
      <w:r w:rsidRPr="00845A3A">
        <w:rPr>
          <w:rFonts w:ascii="Times New Roman" w:eastAsia="Times New Roman" w:hAnsi="Times New Roman" w:cs="Times New Roman"/>
          <w:color w:val="000000"/>
          <w:kern w:val="0"/>
          <w:sz w:val="24"/>
          <w:szCs w:val="24"/>
          <w14:ligatures w14:val="none"/>
        </w:rPr>
        <w:t>i</w:t>
      </w:r>
      <w:proofErr w:type="spellEnd"/>
      <w:r w:rsidRPr="00845A3A">
        <w:rPr>
          <w:rFonts w:ascii="Times New Roman" w:eastAsia="Times New Roman" w:hAnsi="Times New Roman" w:cs="Times New Roman"/>
          <w:color w:val="000000"/>
          <w:kern w:val="0"/>
          <w:sz w:val="24"/>
          <w:szCs w:val="24"/>
          <w14:ligatures w14:val="none"/>
        </w:rPr>
        <w:t>-p heterostructure (ETL/perovskite/spiro-</w:t>
      </w:r>
      <w:proofErr w:type="spellStart"/>
      <w:r w:rsidRPr="00845A3A">
        <w:rPr>
          <w:rFonts w:ascii="Times New Roman" w:eastAsia="Times New Roman" w:hAnsi="Times New Roman" w:cs="Times New Roman"/>
          <w:color w:val="000000"/>
          <w:kern w:val="0"/>
          <w:sz w:val="24"/>
          <w:szCs w:val="24"/>
          <w14:ligatures w14:val="none"/>
        </w:rPr>
        <w:t>OMeTAD</w:t>
      </w:r>
      <w:proofErr w:type="spellEnd"/>
      <w:r w:rsidRPr="00845A3A">
        <w:rPr>
          <w:rFonts w:ascii="Times New Roman" w:eastAsia="Times New Roman" w:hAnsi="Times New Roman" w:cs="Times New Roman"/>
          <w:color w:val="000000"/>
          <w:kern w:val="0"/>
          <w:sz w:val="24"/>
          <w:szCs w:val="24"/>
          <w14:ligatures w14:val="none"/>
        </w:rPr>
        <w:t xml:space="preserve">/Ag) of the PSCs were fabricated on FTO. </w:t>
      </w:r>
      <w:r w:rsidRPr="00845A3A">
        <w:rPr>
          <w:rFonts w:ascii="Times New Roman" w:eastAsia="Times New Roman" w:hAnsi="Times New Roman" w:cs="Times New Roman"/>
          <w:b/>
          <w:bCs/>
          <w:color w:val="000000"/>
          <w:kern w:val="0"/>
          <w:sz w:val="24"/>
          <w:szCs w:val="24"/>
          <w14:ligatures w14:val="none"/>
        </w:rPr>
        <w:t>Figure 4a-c</w:t>
      </w:r>
      <w:r w:rsidRPr="00845A3A">
        <w:rPr>
          <w:rFonts w:ascii="Times New Roman" w:eastAsia="Times New Roman" w:hAnsi="Times New Roman" w:cs="Times New Roman"/>
          <w:color w:val="000000"/>
          <w:kern w:val="0"/>
          <w:sz w:val="24"/>
          <w:szCs w:val="24"/>
          <w14:ligatures w14:val="none"/>
        </w:rPr>
        <w:t xml:space="preserve"> display the </w:t>
      </w:r>
      <w:r w:rsidRPr="00845A3A">
        <w:rPr>
          <w:rFonts w:ascii="Times New Roman" w:eastAsia="Times New Roman" w:hAnsi="Times New Roman" w:cs="Times New Roman"/>
          <w:i/>
          <w:iCs/>
          <w:color w:val="000000"/>
          <w:kern w:val="0"/>
          <w:sz w:val="24"/>
          <w:szCs w:val="24"/>
          <w14:ligatures w14:val="none"/>
        </w:rPr>
        <w:t>J</w:t>
      </w:r>
      <w:r w:rsidRPr="00845A3A">
        <w:rPr>
          <w:rFonts w:ascii="Times New Roman" w:eastAsia="Times New Roman" w:hAnsi="Times New Roman" w:cs="Times New Roman"/>
          <w:color w:val="000000"/>
          <w:kern w:val="0"/>
          <w:sz w:val="24"/>
          <w:szCs w:val="24"/>
          <w14:ligatures w14:val="none"/>
        </w:rPr>
        <w:t>-</w:t>
      </w:r>
      <w:r w:rsidRPr="00845A3A">
        <w:rPr>
          <w:rFonts w:ascii="Times New Roman" w:eastAsia="Times New Roman" w:hAnsi="Times New Roman" w:cs="Times New Roman"/>
          <w:i/>
          <w:iCs/>
          <w:color w:val="000000"/>
          <w:kern w:val="0"/>
          <w:sz w:val="24"/>
          <w:szCs w:val="24"/>
          <w14:ligatures w14:val="none"/>
        </w:rPr>
        <w:t>V</w:t>
      </w:r>
      <w:r w:rsidRPr="00845A3A">
        <w:rPr>
          <w:rFonts w:ascii="Times New Roman" w:eastAsia="Times New Roman" w:hAnsi="Times New Roman" w:cs="Times New Roman"/>
          <w:color w:val="000000"/>
          <w:kern w:val="0"/>
          <w:sz w:val="24"/>
          <w:szCs w:val="24"/>
          <w14:ligatures w14:val="none"/>
        </w:rPr>
        <w:t xml:space="preserve"> characteristics of the 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and Ce-SnO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ETLs based best devices (active area of 0.09 cm</w:t>
      </w:r>
      <w:r w:rsidRPr="00845A3A">
        <w:rPr>
          <w:rFonts w:ascii="Times New Roman" w:eastAsia="Times New Roman" w:hAnsi="Times New Roman" w:cs="Times New Roman"/>
          <w:color w:val="000000"/>
          <w:kern w:val="0"/>
          <w:sz w:val="24"/>
          <w:szCs w:val="24"/>
          <w:vertAlign w:val="superscript"/>
          <w14:ligatures w14:val="none"/>
        </w:rPr>
        <w:t>2</w:t>
      </w:r>
      <w:r w:rsidRPr="00845A3A">
        <w:rPr>
          <w:rFonts w:ascii="Times New Roman" w:eastAsia="Times New Roman" w:hAnsi="Times New Roman" w:cs="Times New Roman"/>
          <w:color w:val="000000"/>
          <w:kern w:val="0"/>
          <w:sz w:val="24"/>
          <w:szCs w:val="24"/>
          <w14:ligatures w14:val="none"/>
        </w:rPr>
        <w:t xml:space="preserve">). The photovoltaic (PV) properties are summarized in </w:t>
      </w:r>
      <w:r w:rsidRPr="00845A3A">
        <w:rPr>
          <w:rFonts w:ascii="Times New Roman" w:eastAsia="Times New Roman" w:hAnsi="Times New Roman" w:cs="Times New Roman"/>
          <w:b/>
          <w:bCs/>
          <w:color w:val="000000"/>
          <w:kern w:val="0"/>
          <w:sz w:val="24"/>
          <w:szCs w:val="24"/>
          <w14:ligatures w14:val="none"/>
        </w:rPr>
        <w:t>Table 1</w:t>
      </w:r>
      <w:r w:rsidRPr="00845A3A">
        <w:rPr>
          <w:rFonts w:ascii="Times New Roman" w:eastAsia="Times New Roman" w:hAnsi="Times New Roman" w:cs="Times New Roman"/>
          <w:color w:val="000000"/>
          <w:kern w:val="0"/>
          <w:sz w:val="24"/>
          <w:szCs w:val="24"/>
          <w14:ligatures w14:val="none"/>
        </w:rPr>
        <w:t xml:space="preserve">. The devices showed </w:t>
      </w:r>
      <w:r w:rsidRPr="00845A3A">
        <w:rPr>
          <w:rFonts w:ascii="Times New Roman" w:eastAsia="Times New Roman" w:hAnsi="Times New Roman" w:cs="Times New Roman"/>
          <w:color w:val="000000"/>
          <w:kern w:val="0"/>
          <w:sz w:val="24"/>
          <w:szCs w:val="24"/>
          <w14:ligatures w14:val="none"/>
        </w:rPr>
        <w:lastRenderedPageBreak/>
        <w:t xml:space="preserve">the best performance under backward scan. With the highest PCE of 21.05%, </w:t>
      </w:r>
      <w:r w:rsidRPr="00845A3A">
        <w:rPr>
          <w:rFonts w:ascii="Times New Roman" w:eastAsia="Times New Roman" w:hAnsi="Times New Roman" w:cs="Times New Roman"/>
          <w:i/>
          <w:iCs/>
          <w:color w:val="000000"/>
          <w:kern w:val="0"/>
          <w:sz w:val="24"/>
          <w:szCs w:val="24"/>
          <w14:ligatures w14:val="none"/>
        </w:rPr>
        <w:t>J</w:t>
      </w:r>
      <w:r w:rsidRPr="00845A3A">
        <w:rPr>
          <w:rFonts w:ascii="Times New Roman" w:eastAsia="Times New Roman" w:hAnsi="Times New Roman" w:cs="Times New Roman"/>
          <w:color w:val="000000"/>
          <w:kern w:val="0"/>
          <w:sz w:val="24"/>
          <w:szCs w:val="24"/>
          <w:vertAlign w:val="subscript"/>
          <w14:ligatures w14:val="none"/>
        </w:rPr>
        <w:t>SC</w:t>
      </w:r>
      <w:r w:rsidRPr="00845A3A">
        <w:rPr>
          <w:rFonts w:ascii="Times New Roman" w:eastAsia="Times New Roman" w:hAnsi="Times New Roman" w:cs="Times New Roman"/>
          <w:color w:val="000000"/>
          <w:kern w:val="0"/>
          <w:sz w:val="24"/>
          <w:szCs w:val="24"/>
          <w14:ligatures w14:val="none"/>
        </w:rPr>
        <w:t xml:space="preserve"> of 23.93 mA/cm</w:t>
      </w:r>
      <w:r w:rsidRPr="00845A3A">
        <w:rPr>
          <w:rFonts w:ascii="Times New Roman" w:eastAsia="Times New Roman" w:hAnsi="Times New Roman" w:cs="Times New Roman"/>
          <w:color w:val="000000"/>
          <w:kern w:val="0"/>
          <w:sz w:val="24"/>
          <w:szCs w:val="24"/>
          <w:vertAlign w:val="superscript"/>
          <w14:ligatures w14:val="none"/>
        </w:rPr>
        <w:t>2</w:t>
      </w:r>
      <w:r w:rsidRPr="00845A3A">
        <w:rPr>
          <w:rFonts w:ascii="Times New Roman" w:eastAsia="Times New Roman" w:hAnsi="Times New Roman" w:cs="Times New Roman"/>
          <w:color w:val="000000"/>
          <w:kern w:val="0"/>
          <w:sz w:val="24"/>
          <w:szCs w:val="24"/>
          <w14:ligatures w14:val="none"/>
        </w:rPr>
        <w:t xml:space="preserve"> and FF of 81.16%, the 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device demonstrated </w:t>
      </w:r>
      <w:r w:rsidRPr="00845A3A">
        <w:rPr>
          <w:rFonts w:ascii="Times New Roman" w:eastAsia="Times New Roman" w:hAnsi="Times New Roman" w:cs="Times New Roman"/>
          <w:i/>
          <w:iCs/>
          <w:color w:val="000000"/>
          <w:kern w:val="0"/>
          <w:sz w:val="24"/>
          <w:szCs w:val="24"/>
          <w14:ligatures w14:val="none"/>
        </w:rPr>
        <w:t>V</w:t>
      </w:r>
      <w:r w:rsidRPr="00845A3A">
        <w:rPr>
          <w:rFonts w:ascii="Times New Roman" w:eastAsia="Times New Roman" w:hAnsi="Times New Roman" w:cs="Times New Roman"/>
          <w:color w:val="000000"/>
          <w:kern w:val="0"/>
          <w:sz w:val="24"/>
          <w:szCs w:val="24"/>
          <w:vertAlign w:val="subscript"/>
          <w14:ligatures w14:val="none"/>
        </w:rPr>
        <w:t>OC</w:t>
      </w:r>
      <w:r w:rsidRPr="00845A3A">
        <w:rPr>
          <w:rFonts w:ascii="Times New Roman" w:eastAsia="Times New Roman" w:hAnsi="Times New Roman" w:cs="Times New Roman"/>
          <w:color w:val="000000"/>
          <w:kern w:val="0"/>
          <w:sz w:val="24"/>
          <w:szCs w:val="24"/>
          <w14:ligatures w14:val="none"/>
        </w:rPr>
        <w:t xml:space="preserve"> of 1.08 V. While the Ce-SnO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device demonstrated an enhanced </w:t>
      </w:r>
      <w:r w:rsidRPr="00845A3A">
        <w:rPr>
          <w:rFonts w:ascii="Times New Roman" w:eastAsia="Times New Roman" w:hAnsi="Times New Roman" w:cs="Times New Roman"/>
          <w:i/>
          <w:iCs/>
          <w:color w:val="000000"/>
          <w:kern w:val="0"/>
          <w:sz w:val="24"/>
          <w:szCs w:val="24"/>
          <w14:ligatures w14:val="none"/>
        </w:rPr>
        <w:t>V</w:t>
      </w:r>
      <w:r w:rsidRPr="00845A3A">
        <w:rPr>
          <w:rFonts w:ascii="Times New Roman" w:eastAsia="Times New Roman" w:hAnsi="Times New Roman" w:cs="Times New Roman"/>
          <w:color w:val="000000"/>
          <w:kern w:val="0"/>
          <w:sz w:val="24"/>
          <w:szCs w:val="24"/>
          <w:vertAlign w:val="subscript"/>
          <w14:ligatures w14:val="none"/>
        </w:rPr>
        <w:t>OC</w:t>
      </w:r>
      <w:r w:rsidRPr="00845A3A">
        <w:rPr>
          <w:rFonts w:ascii="Times New Roman" w:eastAsia="Times New Roman" w:hAnsi="Times New Roman" w:cs="Times New Roman"/>
          <w:color w:val="000000"/>
          <w:kern w:val="0"/>
          <w:sz w:val="24"/>
          <w:szCs w:val="24"/>
          <w14:ligatures w14:val="none"/>
        </w:rPr>
        <w:t xml:space="preserve"> of 1.18 V with the highest PCE of 22.98%, </w:t>
      </w:r>
      <w:r w:rsidRPr="00845A3A">
        <w:rPr>
          <w:rFonts w:ascii="Times New Roman" w:eastAsia="Times New Roman" w:hAnsi="Times New Roman" w:cs="Times New Roman"/>
          <w:i/>
          <w:iCs/>
          <w:color w:val="000000"/>
          <w:kern w:val="0"/>
          <w:sz w:val="24"/>
          <w:szCs w:val="24"/>
          <w14:ligatures w14:val="none"/>
        </w:rPr>
        <w:t>J</w:t>
      </w:r>
      <w:r w:rsidRPr="00845A3A">
        <w:rPr>
          <w:rFonts w:ascii="Times New Roman" w:eastAsia="Times New Roman" w:hAnsi="Times New Roman" w:cs="Times New Roman"/>
          <w:color w:val="000000"/>
          <w:kern w:val="0"/>
          <w:sz w:val="24"/>
          <w:szCs w:val="24"/>
          <w:vertAlign w:val="subscript"/>
          <w14:ligatures w14:val="none"/>
        </w:rPr>
        <w:t>SC</w:t>
      </w:r>
      <w:r w:rsidRPr="00845A3A">
        <w:rPr>
          <w:rFonts w:ascii="Times New Roman" w:eastAsia="Times New Roman" w:hAnsi="Times New Roman" w:cs="Times New Roman"/>
          <w:color w:val="000000"/>
          <w:kern w:val="0"/>
          <w:sz w:val="24"/>
          <w:szCs w:val="24"/>
          <w14:ligatures w14:val="none"/>
        </w:rPr>
        <w:t xml:space="preserve"> of 23.93 mA/cm</w:t>
      </w:r>
      <w:r w:rsidRPr="00845A3A">
        <w:rPr>
          <w:rFonts w:ascii="Times New Roman" w:eastAsia="Times New Roman" w:hAnsi="Times New Roman" w:cs="Times New Roman"/>
          <w:color w:val="000000"/>
          <w:kern w:val="0"/>
          <w:sz w:val="24"/>
          <w:szCs w:val="24"/>
          <w:vertAlign w:val="superscript"/>
          <w14:ligatures w14:val="none"/>
        </w:rPr>
        <w:t>2</w:t>
      </w:r>
      <w:r w:rsidRPr="00845A3A">
        <w:rPr>
          <w:rFonts w:ascii="Times New Roman" w:eastAsia="Times New Roman" w:hAnsi="Times New Roman" w:cs="Times New Roman"/>
          <w:color w:val="000000"/>
          <w:kern w:val="0"/>
          <w:sz w:val="24"/>
          <w:szCs w:val="24"/>
          <w14:ligatures w14:val="none"/>
        </w:rPr>
        <w:t xml:space="preserve">, and FF of 81.37%. The results indicate that the </w:t>
      </w:r>
      <w:r w:rsidRPr="00845A3A">
        <w:rPr>
          <w:rFonts w:ascii="Times New Roman" w:eastAsia="Times New Roman" w:hAnsi="Times New Roman" w:cs="Times New Roman"/>
          <w:i/>
          <w:iCs/>
          <w:color w:val="000000"/>
          <w:kern w:val="0"/>
          <w:sz w:val="24"/>
          <w:szCs w:val="24"/>
          <w14:ligatures w14:val="none"/>
        </w:rPr>
        <w:t>V</w:t>
      </w:r>
      <w:r w:rsidRPr="00845A3A">
        <w:rPr>
          <w:rFonts w:ascii="Times New Roman" w:eastAsia="Times New Roman" w:hAnsi="Times New Roman" w:cs="Times New Roman"/>
          <w:color w:val="000000"/>
          <w:kern w:val="0"/>
          <w:sz w:val="24"/>
          <w:szCs w:val="24"/>
          <w:vertAlign w:val="subscript"/>
          <w14:ligatures w14:val="none"/>
        </w:rPr>
        <w:t>OC</w:t>
      </w:r>
      <w:r w:rsidRPr="00845A3A">
        <w:rPr>
          <w:rFonts w:ascii="Times New Roman" w:eastAsia="Times New Roman" w:hAnsi="Times New Roman" w:cs="Times New Roman"/>
          <w:color w:val="000000"/>
          <w:kern w:val="0"/>
          <w:sz w:val="24"/>
          <w:szCs w:val="24"/>
          <w14:ligatures w14:val="none"/>
        </w:rPr>
        <w:t xml:space="preserve"> was enhanced significantly after introducing Ce-doping in 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ETL. The </w:t>
      </w:r>
      <w:r w:rsidRPr="00845A3A">
        <w:rPr>
          <w:rFonts w:ascii="Times New Roman" w:eastAsia="Times New Roman" w:hAnsi="Times New Roman" w:cs="Times New Roman"/>
          <w:i/>
          <w:iCs/>
          <w:color w:val="000000"/>
          <w:kern w:val="0"/>
          <w:sz w:val="24"/>
          <w:szCs w:val="24"/>
          <w14:ligatures w14:val="none"/>
        </w:rPr>
        <w:t>V</w:t>
      </w:r>
      <w:r w:rsidRPr="00845A3A">
        <w:rPr>
          <w:rFonts w:ascii="Times New Roman" w:eastAsia="Times New Roman" w:hAnsi="Times New Roman" w:cs="Times New Roman"/>
          <w:color w:val="000000"/>
          <w:kern w:val="0"/>
          <w:sz w:val="24"/>
          <w:szCs w:val="24"/>
          <w:vertAlign w:val="subscript"/>
          <w14:ligatures w14:val="none"/>
        </w:rPr>
        <w:t>OC</w:t>
      </w:r>
      <w:r w:rsidRPr="00845A3A">
        <w:rPr>
          <w:rFonts w:ascii="Times New Roman" w:eastAsia="Times New Roman" w:hAnsi="Times New Roman" w:cs="Times New Roman"/>
          <w:color w:val="000000"/>
          <w:kern w:val="0"/>
          <w:sz w:val="24"/>
          <w:szCs w:val="24"/>
          <w14:ligatures w14:val="none"/>
        </w:rPr>
        <w:t xml:space="preserve"> enhancement is correlated with the reduction of the defect concentration and CBO at the ETL/perovskite interface after insertion of Ce-SnO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ETL.</w:t>
      </w:r>
      <w:hyperlink r:id="rId51" w:history="1">
        <w:r w:rsidRPr="00845A3A">
          <w:rPr>
            <w:rFonts w:ascii="Times New Roman" w:eastAsia="Times New Roman" w:hAnsi="Times New Roman" w:cs="Times New Roman"/>
            <w:sz w:val="24"/>
            <w:szCs w:val="24"/>
            <w:vertAlign w:val="superscript"/>
          </w:rPr>
          <w:t>41</w:t>
        </w:r>
      </w:hyperlink>
      <w:r w:rsidRPr="00845A3A">
        <w:rPr>
          <w:rFonts w:ascii="Times New Roman" w:eastAsia="Times New Roman" w:hAnsi="Times New Roman" w:cs="Times New Roman"/>
          <w:color w:val="000000"/>
          <w:kern w:val="0"/>
          <w:sz w:val="24"/>
          <w:szCs w:val="24"/>
          <w14:ligatures w14:val="none"/>
        </w:rPr>
        <w:t xml:space="preserve"> The Ce-SnO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ETL also decreased the hysteresis index of the PSCs from 0.07126 (SnO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to 0.02703. </w:t>
      </w:r>
      <w:r w:rsidRPr="00845A3A">
        <w:rPr>
          <w:rFonts w:ascii="Times New Roman" w:eastAsia="Times New Roman" w:hAnsi="Times New Roman" w:cs="Times New Roman"/>
          <w:kern w:val="0"/>
          <w:sz w:val="24"/>
          <w:szCs w:val="24"/>
          <w14:ligatures w14:val="none"/>
        </w:rPr>
        <w:t>The reduction of CBO at ETL/perovskite interface and suppress of SnO</w:t>
      </w:r>
      <w:r w:rsidRPr="00845A3A">
        <w:rPr>
          <w:rFonts w:ascii="Times New Roman" w:eastAsia="Times New Roman" w:hAnsi="Times New Roman" w:cs="Times New Roman"/>
          <w:kern w:val="0"/>
          <w:sz w:val="24"/>
          <w:szCs w:val="24"/>
          <w:vertAlign w:val="subscript"/>
          <w14:ligatures w14:val="none"/>
        </w:rPr>
        <w:t>2</w:t>
      </w:r>
      <w:r w:rsidRPr="00845A3A">
        <w:rPr>
          <w:rFonts w:ascii="Times New Roman" w:eastAsia="Times New Roman" w:hAnsi="Times New Roman" w:cs="Times New Roman"/>
          <w:kern w:val="0"/>
          <w:sz w:val="24"/>
          <w:szCs w:val="24"/>
          <w14:ligatures w14:val="none"/>
        </w:rPr>
        <w:t xml:space="preserve"> surface defects by Ce-doping might help to inhibit the carrier recombination at ETL/perovskite interface which in turn reduced the hysteresis index</w:t>
      </w:r>
      <w:r w:rsidRPr="00845A3A">
        <w:rPr>
          <w:rFonts w:ascii="Times New Roman" w:eastAsia="Times New Roman" w:hAnsi="Times New Roman" w:cs="Times New Roman"/>
          <w:color w:val="000000"/>
          <w:kern w:val="0"/>
          <w:sz w:val="24"/>
          <w:szCs w:val="24"/>
          <w14:ligatures w14:val="none"/>
        </w:rPr>
        <w:t>.</w:t>
      </w:r>
      <w:hyperlink r:id="rId52" w:history="1">
        <w:r w:rsidRPr="00845A3A">
          <w:rPr>
            <w:rFonts w:ascii="Times New Roman" w:eastAsia="Times New Roman" w:hAnsi="Times New Roman" w:cs="Times New Roman"/>
            <w:sz w:val="24"/>
            <w:vertAlign w:val="superscript"/>
          </w:rPr>
          <w:t>42,43</w:t>
        </w:r>
      </w:hyperlink>
      <w:r w:rsidRPr="00845A3A">
        <w:rPr>
          <w:rFonts w:ascii="Times New Roman" w:eastAsia="Times New Roman" w:hAnsi="Times New Roman" w:cs="Times New Roman"/>
          <w:color w:val="000000"/>
          <w:kern w:val="0"/>
          <w:sz w:val="24"/>
          <w:szCs w:val="24"/>
          <w14:ligatures w14:val="none"/>
        </w:rPr>
        <w:t xml:space="preserve"> The </w:t>
      </w:r>
      <w:r w:rsidRPr="00845A3A">
        <w:rPr>
          <w:rFonts w:ascii="Times New Roman" w:eastAsia="Times New Roman" w:hAnsi="Times New Roman" w:cs="Times New Roman"/>
          <w:i/>
          <w:iCs/>
          <w:color w:val="000000"/>
          <w:kern w:val="0"/>
          <w:sz w:val="24"/>
          <w:szCs w:val="24"/>
          <w14:ligatures w14:val="none"/>
        </w:rPr>
        <w:t>J</w:t>
      </w:r>
      <w:r w:rsidRPr="00845A3A">
        <w:rPr>
          <w:rFonts w:ascii="Times New Roman" w:eastAsia="Times New Roman" w:hAnsi="Times New Roman" w:cs="Times New Roman"/>
          <w:color w:val="000000"/>
          <w:kern w:val="0"/>
          <w:sz w:val="24"/>
          <w:szCs w:val="24"/>
          <w:vertAlign w:val="subscript"/>
          <w14:ligatures w14:val="none"/>
        </w:rPr>
        <w:t>SC</w:t>
      </w:r>
      <w:r w:rsidRPr="00845A3A">
        <w:rPr>
          <w:rFonts w:ascii="Times New Roman" w:eastAsia="Times New Roman" w:hAnsi="Times New Roman" w:cs="Times New Roman"/>
          <w:color w:val="000000"/>
          <w:kern w:val="0"/>
          <w:sz w:val="24"/>
          <w:szCs w:val="24"/>
          <w14:ligatures w14:val="none"/>
        </w:rPr>
        <w:t xml:space="preserve"> was almost unchanged after using Ce-SnO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ETL which is consistent with the spectra of incident photon to current conversion efficiency (IPCE) of the PSCs illustrated in </w:t>
      </w:r>
      <w:r w:rsidRPr="00845A3A">
        <w:rPr>
          <w:rFonts w:ascii="Times New Roman" w:eastAsia="Times New Roman" w:hAnsi="Times New Roman" w:cs="Times New Roman"/>
          <w:b/>
          <w:bCs/>
          <w:color w:val="000000"/>
          <w:kern w:val="0"/>
          <w:sz w:val="24"/>
          <w:szCs w:val="24"/>
          <w14:ligatures w14:val="none"/>
        </w:rPr>
        <w:t>Figure 4d</w:t>
      </w:r>
      <w:r w:rsidRPr="00845A3A">
        <w:rPr>
          <w:rFonts w:ascii="Times New Roman" w:eastAsia="Times New Roman" w:hAnsi="Times New Roman" w:cs="Times New Roman"/>
          <w:color w:val="000000"/>
          <w:kern w:val="0"/>
          <w:sz w:val="24"/>
          <w:szCs w:val="24"/>
          <w14:ligatures w14:val="none"/>
        </w:rPr>
        <w:t xml:space="preserve">. The measured </w:t>
      </w:r>
      <w:r w:rsidRPr="00845A3A">
        <w:rPr>
          <w:rFonts w:ascii="Times New Roman" w:eastAsia="Times New Roman" w:hAnsi="Times New Roman" w:cs="Times New Roman"/>
          <w:i/>
          <w:iCs/>
          <w:color w:val="000000"/>
          <w:kern w:val="0"/>
          <w:sz w:val="24"/>
          <w:szCs w:val="24"/>
          <w14:ligatures w14:val="none"/>
        </w:rPr>
        <w:t>J</w:t>
      </w:r>
      <w:r w:rsidRPr="00845A3A">
        <w:rPr>
          <w:rFonts w:ascii="Times New Roman" w:eastAsia="Times New Roman" w:hAnsi="Times New Roman" w:cs="Times New Roman"/>
          <w:color w:val="000000"/>
          <w:kern w:val="0"/>
          <w:sz w:val="24"/>
          <w:szCs w:val="24"/>
          <w:vertAlign w:val="subscript"/>
          <w14:ligatures w14:val="none"/>
        </w:rPr>
        <w:t>SC</w:t>
      </w:r>
      <w:r w:rsidRPr="00845A3A">
        <w:rPr>
          <w:rFonts w:ascii="Times New Roman" w:eastAsia="Times New Roman" w:hAnsi="Times New Roman" w:cs="Times New Roman"/>
          <w:color w:val="000000"/>
          <w:kern w:val="0"/>
          <w:sz w:val="24"/>
          <w:szCs w:val="24"/>
          <w14:ligatures w14:val="none"/>
        </w:rPr>
        <w:t xml:space="preserve"> from the </w:t>
      </w:r>
      <w:r w:rsidRPr="00845A3A">
        <w:rPr>
          <w:rFonts w:ascii="Times New Roman" w:eastAsia="Times New Roman" w:hAnsi="Times New Roman" w:cs="Times New Roman"/>
          <w:i/>
          <w:iCs/>
          <w:color w:val="000000"/>
          <w:kern w:val="0"/>
          <w:sz w:val="24"/>
          <w:szCs w:val="24"/>
          <w14:ligatures w14:val="none"/>
        </w:rPr>
        <w:t>J</w:t>
      </w:r>
      <w:r w:rsidRPr="00845A3A">
        <w:rPr>
          <w:rFonts w:ascii="Times New Roman" w:eastAsia="Times New Roman" w:hAnsi="Times New Roman" w:cs="Times New Roman"/>
          <w:color w:val="000000"/>
          <w:kern w:val="0"/>
          <w:sz w:val="24"/>
          <w:szCs w:val="24"/>
          <w14:ligatures w14:val="none"/>
        </w:rPr>
        <w:t>-</w:t>
      </w:r>
      <w:r w:rsidRPr="00845A3A">
        <w:rPr>
          <w:rFonts w:ascii="Times New Roman" w:eastAsia="Times New Roman" w:hAnsi="Times New Roman" w:cs="Times New Roman"/>
          <w:i/>
          <w:iCs/>
          <w:color w:val="000000"/>
          <w:kern w:val="0"/>
          <w:sz w:val="24"/>
          <w:szCs w:val="24"/>
          <w14:ligatures w14:val="none"/>
        </w:rPr>
        <w:t>V</w:t>
      </w:r>
      <w:r w:rsidRPr="00845A3A">
        <w:rPr>
          <w:rFonts w:ascii="Times New Roman" w:eastAsia="Times New Roman" w:hAnsi="Times New Roman" w:cs="Times New Roman"/>
          <w:color w:val="000000"/>
          <w:kern w:val="0"/>
          <w:sz w:val="24"/>
          <w:szCs w:val="24"/>
          <w14:ligatures w14:val="none"/>
        </w:rPr>
        <w:t xml:space="preserve"> curve is reliable with the integrated </w:t>
      </w:r>
      <w:r w:rsidRPr="00845A3A">
        <w:rPr>
          <w:rFonts w:ascii="Times New Roman" w:eastAsia="Times New Roman" w:hAnsi="Times New Roman" w:cs="Times New Roman"/>
          <w:i/>
          <w:iCs/>
          <w:color w:val="000000"/>
          <w:kern w:val="0"/>
          <w:sz w:val="24"/>
          <w:szCs w:val="24"/>
          <w14:ligatures w14:val="none"/>
        </w:rPr>
        <w:t>J</w:t>
      </w:r>
      <w:r w:rsidRPr="00845A3A">
        <w:rPr>
          <w:rFonts w:ascii="Times New Roman" w:eastAsia="Times New Roman" w:hAnsi="Times New Roman" w:cs="Times New Roman"/>
          <w:color w:val="000000"/>
          <w:kern w:val="0"/>
          <w:sz w:val="24"/>
          <w:szCs w:val="24"/>
          <w:vertAlign w:val="subscript"/>
          <w14:ligatures w14:val="none"/>
        </w:rPr>
        <w:t>SC</w:t>
      </w:r>
      <w:r w:rsidRPr="00845A3A">
        <w:rPr>
          <w:rFonts w:ascii="Times New Roman" w:eastAsia="Times New Roman" w:hAnsi="Times New Roman" w:cs="Times New Roman"/>
          <w:color w:val="000000"/>
          <w:kern w:val="0"/>
          <w:sz w:val="24"/>
          <w:szCs w:val="24"/>
          <w14:ligatures w14:val="none"/>
        </w:rPr>
        <w:t xml:space="preserve"> shown in </w:t>
      </w:r>
      <w:r w:rsidRPr="00845A3A">
        <w:rPr>
          <w:rFonts w:ascii="Times New Roman" w:eastAsia="Times New Roman" w:hAnsi="Times New Roman" w:cs="Times New Roman"/>
          <w:b/>
          <w:bCs/>
          <w:color w:val="000000"/>
          <w:kern w:val="0"/>
          <w:sz w:val="24"/>
          <w:szCs w:val="24"/>
          <w14:ligatures w14:val="none"/>
        </w:rPr>
        <w:t>Figure 4d</w:t>
      </w:r>
      <w:r w:rsidRPr="00845A3A">
        <w:rPr>
          <w:rFonts w:ascii="Times New Roman" w:eastAsia="Times New Roman" w:hAnsi="Times New Roman" w:cs="Times New Roman"/>
          <w:color w:val="000000"/>
          <w:kern w:val="0"/>
          <w:sz w:val="24"/>
          <w:szCs w:val="24"/>
          <w14:ligatures w14:val="none"/>
        </w:rPr>
        <w:t xml:space="preserve">. </w:t>
      </w:r>
      <w:r w:rsidRPr="00845A3A">
        <w:rPr>
          <w:rFonts w:ascii="Times New Roman" w:hAnsi="Times New Roman" w:cs="Times New Roman"/>
          <w:sz w:val="24"/>
          <w:szCs w:val="24"/>
        </w:rPr>
        <w:t>The photovoltaic performance of the different REMs doped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 based PSCs was summarized in </w:t>
      </w:r>
      <w:r w:rsidRPr="00845A3A">
        <w:rPr>
          <w:rFonts w:ascii="Times New Roman" w:hAnsi="Times New Roman" w:cs="Times New Roman"/>
          <w:b/>
          <w:bCs/>
          <w:sz w:val="24"/>
          <w:szCs w:val="24"/>
        </w:rPr>
        <w:t>Table 2</w:t>
      </w:r>
      <w:r w:rsidRPr="00845A3A">
        <w:rPr>
          <w:rFonts w:ascii="Times New Roman" w:hAnsi="Times New Roman" w:cs="Times New Roman"/>
          <w:sz w:val="24"/>
          <w:szCs w:val="24"/>
        </w:rPr>
        <w:t xml:space="preserve">. </w:t>
      </w:r>
      <w:r w:rsidRPr="00845A3A">
        <w:rPr>
          <w:rFonts w:ascii="Times New Roman" w:hAnsi="Times New Roman" w:cs="Times New Roman"/>
          <w:b/>
          <w:bCs/>
          <w:sz w:val="24"/>
          <w:szCs w:val="24"/>
        </w:rPr>
        <w:t>Table 2</w:t>
      </w:r>
      <w:r w:rsidRPr="00845A3A">
        <w:rPr>
          <w:rFonts w:ascii="Times New Roman" w:hAnsi="Times New Roman" w:cs="Times New Roman"/>
          <w:sz w:val="24"/>
          <w:szCs w:val="24"/>
        </w:rPr>
        <w:t xml:space="preserve"> indicates that compared to other REMs doped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 based PSCs, the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 based PSCs displayed the highest </w:t>
      </w:r>
      <w:r w:rsidRPr="00845A3A">
        <w:rPr>
          <w:rFonts w:ascii="Times New Roman" w:hAnsi="Times New Roman" w:cs="Times New Roman"/>
          <w:i/>
          <w:iCs/>
          <w:sz w:val="24"/>
          <w:szCs w:val="24"/>
        </w:rPr>
        <w:t>V</w:t>
      </w:r>
      <w:r w:rsidRPr="00845A3A">
        <w:rPr>
          <w:rFonts w:ascii="Times New Roman" w:hAnsi="Times New Roman" w:cs="Times New Roman"/>
          <w:sz w:val="24"/>
          <w:szCs w:val="24"/>
          <w:vertAlign w:val="subscript"/>
        </w:rPr>
        <w:t>OC</w:t>
      </w:r>
      <w:r w:rsidRPr="00845A3A">
        <w:rPr>
          <w:rFonts w:ascii="Times New Roman" w:hAnsi="Times New Roman" w:cs="Times New Roman"/>
          <w:sz w:val="24"/>
          <w:szCs w:val="24"/>
        </w:rPr>
        <w:t>.</w:t>
      </w:r>
    </w:p>
    <w:p w14:paraId="3F2C45C6" w14:textId="77777777" w:rsidR="00EB55F0" w:rsidRPr="00845A3A" w:rsidRDefault="00EB55F0" w:rsidP="0091065D">
      <w:pPr>
        <w:spacing w:before="240" w:after="0" w:line="480" w:lineRule="auto"/>
        <w:jc w:val="both"/>
        <w:divId w:val="1275020545"/>
        <w:rPr>
          <w:rFonts w:ascii="Times New Roman" w:hAnsi="Times New Roman" w:cs="Times New Roman"/>
          <w:sz w:val="24"/>
          <w:szCs w:val="24"/>
        </w:rPr>
      </w:pPr>
      <w:r w:rsidRPr="00845A3A">
        <w:rPr>
          <w:rFonts w:ascii="Times New Roman" w:hAnsi="Times New Roman" w:cs="Times New Roman"/>
          <w:b/>
          <w:bCs/>
          <w:sz w:val="24"/>
          <w:szCs w:val="24"/>
        </w:rPr>
        <w:t>Table 1.</w:t>
      </w:r>
      <w:r w:rsidRPr="00845A3A">
        <w:rPr>
          <w:rFonts w:ascii="Times New Roman" w:hAnsi="Times New Roman" w:cs="Times New Roman"/>
          <w:sz w:val="24"/>
          <w:szCs w:val="24"/>
        </w:rPr>
        <w:t xml:space="preserve"> The PV performance parameters of the best PSCs using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and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w:t>
      </w:r>
    </w:p>
    <w:tbl>
      <w:tblPr>
        <w:tblStyle w:val="PlainTable2"/>
        <w:tblW w:w="8908" w:type="dxa"/>
        <w:tblCellMar>
          <w:left w:w="0" w:type="dxa"/>
          <w:right w:w="0" w:type="dxa"/>
        </w:tblCellMar>
        <w:tblLook w:val="04A0" w:firstRow="1" w:lastRow="0" w:firstColumn="1" w:lastColumn="0" w:noHBand="0" w:noVBand="1"/>
      </w:tblPr>
      <w:tblGrid>
        <w:gridCol w:w="1526"/>
        <w:gridCol w:w="1525"/>
        <w:gridCol w:w="1427"/>
        <w:gridCol w:w="1477"/>
        <w:gridCol w:w="1681"/>
        <w:gridCol w:w="1272"/>
      </w:tblGrid>
      <w:tr w:rsidR="00EB55F0" w:rsidRPr="00845A3A" w14:paraId="2712904B" w14:textId="77777777" w:rsidTr="004D530E">
        <w:trPr>
          <w:cnfStyle w:val="100000000000" w:firstRow="1" w:lastRow="0" w:firstColumn="0" w:lastColumn="0" w:oddVBand="0" w:evenVBand="0" w:oddHBand="0" w:evenHBand="0" w:firstRowFirstColumn="0" w:firstRowLastColumn="0" w:lastRowFirstColumn="0" w:lastRowLastColumn="0"/>
          <w:divId w:val="1275020545"/>
          <w:trHeight w:hRule="exact" w:val="450"/>
        </w:trPr>
        <w:tc>
          <w:tcPr>
            <w:cnfStyle w:val="001000000000" w:firstRow="0" w:lastRow="0" w:firstColumn="1" w:lastColumn="0" w:oddVBand="0" w:evenVBand="0" w:oddHBand="0" w:evenHBand="0" w:firstRowFirstColumn="0" w:firstRowLastColumn="0" w:lastRowFirstColumn="0" w:lastRowLastColumn="0"/>
            <w:tcW w:w="1526" w:type="dxa"/>
            <w:vAlign w:val="center"/>
          </w:tcPr>
          <w:p w14:paraId="207DA55D" w14:textId="77777777" w:rsidR="00EB55F0" w:rsidRPr="00845A3A" w:rsidRDefault="00EB55F0" w:rsidP="00AF7C70">
            <w:pPr>
              <w:jc w:val="center"/>
              <w:rPr>
                <w:rFonts w:ascii="Times New Roman" w:eastAsia="Times New Roman" w:hAnsi="Times New Roman" w:cs="Times New Roman"/>
                <w:color w:val="000000"/>
                <w:kern w:val="0"/>
                <w:sz w:val="24"/>
                <w:szCs w:val="24"/>
                <w14:ligatures w14:val="none"/>
              </w:rPr>
            </w:pPr>
            <w:r w:rsidRPr="00845A3A">
              <w:rPr>
                <w:rFonts w:ascii="Times New Roman" w:eastAsia="Times New Roman" w:hAnsi="Times New Roman" w:cs="Times New Roman"/>
                <w:color w:val="000000"/>
                <w:kern w:val="0"/>
                <w:sz w:val="24"/>
                <w:szCs w:val="24"/>
                <w14:ligatures w14:val="none"/>
              </w:rPr>
              <w:t>Sample</w:t>
            </w:r>
          </w:p>
        </w:tc>
        <w:tc>
          <w:tcPr>
            <w:tcW w:w="1525" w:type="dxa"/>
            <w:vAlign w:val="center"/>
          </w:tcPr>
          <w:p w14:paraId="0F3DA413" w14:textId="77777777" w:rsidR="00EB55F0" w:rsidRPr="00845A3A" w:rsidRDefault="00EB55F0" w:rsidP="00AF7C7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845A3A">
              <w:rPr>
                <w:rFonts w:ascii="Times New Roman" w:eastAsia="Times New Roman" w:hAnsi="Times New Roman" w:cs="Times New Roman"/>
                <w:color w:val="000000"/>
                <w:kern w:val="0"/>
                <w:sz w:val="24"/>
                <w:szCs w:val="24"/>
                <w14:ligatures w14:val="none"/>
              </w:rPr>
              <w:t>scan</w:t>
            </w:r>
          </w:p>
        </w:tc>
        <w:tc>
          <w:tcPr>
            <w:tcW w:w="1427" w:type="dxa"/>
            <w:vAlign w:val="center"/>
          </w:tcPr>
          <w:p w14:paraId="4ACC24B9" w14:textId="77777777" w:rsidR="00EB55F0" w:rsidRPr="00845A3A" w:rsidRDefault="00EB55F0" w:rsidP="00AF7C7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845A3A">
              <w:rPr>
                <w:rFonts w:ascii="Times New Roman" w:eastAsia="Times New Roman" w:hAnsi="Times New Roman" w:cs="Times New Roman"/>
                <w:i/>
                <w:iCs/>
                <w:color w:val="000000"/>
                <w:kern w:val="0"/>
                <w:sz w:val="24"/>
                <w:szCs w:val="24"/>
                <w14:ligatures w14:val="none"/>
              </w:rPr>
              <w:t>V</w:t>
            </w:r>
            <w:r w:rsidRPr="00845A3A">
              <w:rPr>
                <w:rFonts w:ascii="Times New Roman" w:eastAsia="Times New Roman" w:hAnsi="Times New Roman" w:cs="Times New Roman"/>
                <w:color w:val="000000"/>
                <w:kern w:val="0"/>
                <w:sz w:val="24"/>
                <w:szCs w:val="24"/>
                <w:vertAlign w:val="subscript"/>
                <w14:ligatures w14:val="none"/>
              </w:rPr>
              <w:t>OC</w:t>
            </w:r>
            <w:r w:rsidRPr="00845A3A">
              <w:rPr>
                <w:rFonts w:ascii="Times New Roman" w:eastAsia="Times New Roman" w:hAnsi="Times New Roman" w:cs="Times New Roman"/>
                <w:color w:val="000000"/>
                <w:kern w:val="0"/>
                <w:sz w:val="24"/>
                <w:szCs w:val="24"/>
                <w14:ligatures w14:val="none"/>
              </w:rPr>
              <w:t xml:space="preserve"> (V)</w:t>
            </w:r>
          </w:p>
        </w:tc>
        <w:tc>
          <w:tcPr>
            <w:tcW w:w="1477" w:type="dxa"/>
            <w:vAlign w:val="center"/>
          </w:tcPr>
          <w:p w14:paraId="14A9B36A" w14:textId="77777777" w:rsidR="00EB55F0" w:rsidRPr="00845A3A" w:rsidRDefault="00EB55F0" w:rsidP="00AF7C7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845A3A">
              <w:rPr>
                <w:rFonts w:ascii="Times New Roman" w:eastAsia="Times New Roman" w:hAnsi="Times New Roman" w:cs="Times New Roman"/>
                <w:color w:val="000000"/>
                <w:kern w:val="0"/>
                <w:sz w:val="24"/>
                <w:szCs w:val="24"/>
                <w14:ligatures w14:val="none"/>
              </w:rPr>
              <w:t>PCE (%)</w:t>
            </w:r>
          </w:p>
        </w:tc>
        <w:tc>
          <w:tcPr>
            <w:tcW w:w="1681" w:type="dxa"/>
            <w:vAlign w:val="center"/>
          </w:tcPr>
          <w:p w14:paraId="4D5493B1" w14:textId="77777777" w:rsidR="00EB55F0" w:rsidRPr="00845A3A" w:rsidRDefault="00EB55F0" w:rsidP="00AF7C7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845A3A">
              <w:rPr>
                <w:rFonts w:ascii="Times New Roman" w:eastAsia="Times New Roman" w:hAnsi="Times New Roman" w:cs="Times New Roman"/>
                <w:i/>
                <w:iCs/>
                <w:color w:val="000000"/>
                <w:kern w:val="0"/>
                <w:sz w:val="24"/>
                <w:szCs w:val="24"/>
                <w14:ligatures w14:val="none"/>
              </w:rPr>
              <w:t>J</w:t>
            </w:r>
            <w:r w:rsidRPr="00845A3A">
              <w:rPr>
                <w:rFonts w:ascii="Times New Roman" w:eastAsia="Times New Roman" w:hAnsi="Times New Roman" w:cs="Times New Roman"/>
                <w:color w:val="000000"/>
                <w:kern w:val="0"/>
                <w:sz w:val="24"/>
                <w:szCs w:val="24"/>
                <w:vertAlign w:val="subscript"/>
                <w14:ligatures w14:val="none"/>
              </w:rPr>
              <w:t>SC</w:t>
            </w:r>
            <w:r w:rsidRPr="00845A3A">
              <w:rPr>
                <w:rFonts w:ascii="Times New Roman" w:eastAsia="Times New Roman" w:hAnsi="Times New Roman" w:cs="Times New Roman"/>
                <w:color w:val="000000"/>
                <w:kern w:val="0"/>
                <w:sz w:val="24"/>
                <w:szCs w:val="24"/>
                <w14:ligatures w14:val="none"/>
              </w:rPr>
              <w:t xml:space="preserve"> (mA/cm</w:t>
            </w:r>
            <w:r w:rsidRPr="00845A3A">
              <w:rPr>
                <w:rFonts w:ascii="Times New Roman" w:eastAsia="Times New Roman" w:hAnsi="Times New Roman" w:cs="Times New Roman"/>
                <w:color w:val="000000"/>
                <w:kern w:val="0"/>
                <w:sz w:val="24"/>
                <w:szCs w:val="24"/>
                <w:vertAlign w:val="superscript"/>
                <w14:ligatures w14:val="none"/>
              </w:rPr>
              <w:t>2</w:t>
            </w:r>
            <w:r w:rsidRPr="00845A3A">
              <w:rPr>
                <w:rFonts w:ascii="Times New Roman" w:eastAsia="Times New Roman" w:hAnsi="Times New Roman" w:cs="Times New Roman"/>
                <w:color w:val="000000"/>
                <w:kern w:val="0"/>
                <w:sz w:val="24"/>
                <w:szCs w:val="24"/>
                <w14:ligatures w14:val="none"/>
              </w:rPr>
              <w:t>)</w:t>
            </w:r>
          </w:p>
        </w:tc>
        <w:tc>
          <w:tcPr>
            <w:tcW w:w="1272" w:type="dxa"/>
            <w:vAlign w:val="center"/>
          </w:tcPr>
          <w:p w14:paraId="40B2D141" w14:textId="77777777" w:rsidR="00EB55F0" w:rsidRPr="00845A3A" w:rsidRDefault="00EB55F0" w:rsidP="00AF7C7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845A3A">
              <w:rPr>
                <w:rFonts w:ascii="Times New Roman" w:eastAsia="Times New Roman" w:hAnsi="Times New Roman" w:cs="Times New Roman"/>
                <w:color w:val="000000"/>
                <w:kern w:val="0"/>
                <w:sz w:val="24"/>
                <w:szCs w:val="24"/>
                <w14:ligatures w14:val="none"/>
              </w:rPr>
              <w:t>FF (%)</w:t>
            </w:r>
          </w:p>
        </w:tc>
      </w:tr>
      <w:tr w:rsidR="00EB55F0" w:rsidRPr="00845A3A" w14:paraId="670190C5" w14:textId="77777777" w:rsidTr="004D530E">
        <w:trPr>
          <w:cnfStyle w:val="000000100000" w:firstRow="0" w:lastRow="0" w:firstColumn="0" w:lastColumn="0" w:oddVBand="0" w:evenVBand="0" w:oddHBand="1" w:evenHBand="0" w:firstRowFirstColumn="0" w:firstRowLastColumn="0" w:lastRowFirstColumn="0" w:lastRowLastColumn="0"/>
          <w:divId w:val="1275020545"/>
          <w:trHeight w:hRule="exact" w:val="450"/>
        </w:trPr>
        <w:tc>
          <w:tcPr>
            <w:cnfStyle w:val="001000000000" w:firstRow="0" w:lastRow="0" w:firstColumn="1" w:lastColumn="0" w:oddVBand="0" w:evenVBand="0" w:oddHBand="0" w:evenHBand="0" w:firstRowFirstColumn="0" w:firstRowLastColumn="0" w:lastRowFirstColumn="0" w:lastRowLastColumn="0"/>
            <w:tcW w:w="1526" w:type="dxa"/>
            <w:vMerge w:val="restart"/>
            <w:vAlign w:val="center"/>
          </w:tcPr>
          <w:p w14:paraId="0E365362" w14:textId="77777777" w:rsidR="00EB55F0" w:rsidRPr="00845A3A" w:rsidRDefault="00EB55F0" w:rsidP="00AF7C70">
            <w:pPr>
              <w:jc w:val="center"/>
              <w:rPr>
                <w:rFonts w:ascii="Times New Roman" w:eastAsia="Times New Roman" w:hAnsi="Times New Roman" w:cs="Times New Roman"/>
                <w:b w:val="0"/>
                <w:bCs w:val="0"/>
                <w:color w:val="000000"/>
                <w:kern w:val="0"/>
                <w:sz w:val="24"/>
                <w:szCs w:val="24"/>
                <w14:ligatures w14:val="none"/>
              </w:rPr>
            </w:pPr>
            <w:r w:rsidRPr="00845A3A">
              <w:rPr>
                <w:rFonts w:ascii="Times New Roman" w:eastAsia="Times New Roman" w:hAnsi="Times New Roman" w:cs="Times New Roman"/>
                <w:b w:val="0"/>
                <w:bCs w:val="0"/>
                <w:color w:val="000000"/>
                <w:kern w:val="0"/>
                <w:sz w:val="24"/>
                <w:szCs w:val="24"/>
                <w14:ligatures w14:val="none"/>
              </w:rPr>
              <w:t>SnO</w:t>
            </w:r>
            <w:r w:rsidRPr="00845A3A">
              <w:rPr>
                <w:rFonts w:ascii="Times New Roman" w:eastAsia="Times New Roman" w:hAnsi="Times New Roman" w:cs="Times New Roman"/>
                <w:b w:val="0"/>
                <w:bCs w:val="0"/>
                <w:color w:val="000000"/>
                <w:kern w:val="0"/>
                <w:sz w:val="24"/>
                <w:szCs w:val="24"/>
                <w:vertAlign w:val="subscript"/>
                <w14:ligatures w14:val="none"/>
              </w:rPr>
              <w:t>2</w:t>
            </w:r>
          </w:p>
        </w:tc>
        <w:tc>
          <w:tcPr>
            <w:tcW w:w="1525" w:type="dxa"/>
            <w:vAlign w:val="center"/>
          </w:tcPr>
          <w:p w14:paraId="55298AAD" w14:textId="77777777" w:rsidR="00EB55F0" w:rsidRPr="00845A3A" w:rsidRDefault="00EB55F0" w:rsidP="00AF7C7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845A3A">
              <w:rPr>
                <w:rFonts w:ascii="Times New Roman" w:eastAsia="Times New Roman" w:hAnsi="Times New Roman" w:cs="Times New Roman"/>
                <w:color w:val="000000"/>
                <w:kern w:val="0"/>
                <w:sz w:val="24"/>
                <w:szCs w:val="24"/>
                <w14:ligatures w14:val="none"/>
              </w:rPr>
              <w:t>forward</w:t>
            </w:r>
          </w:p>
        </w:tc>
        <w:tc>
          <w:tcPr>
            <w:tcW w:w="1427" w:type="dxa"/>
            <w:vAlign w:val="center"/>
          </w:tcPr>
          <w:p w14:paraId="35B9F1E7" w14:textId="77777777" w:rsidR="00EB55F0" w:rsidRPr="00845A3A" w:rsidRDefault="00EB55F0" w:rsidP="00AF7C7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845A3A">
              <w:rPr>
                <w:rFonts w:ascii="Times New Roman" w:eastAsia="Times New Roman" w:hAnsi="Times New Roman" w:cs="Times New Roman"/>
                <w:color w:val="000000"/>
                <w:kern w:val="0"/>
                <w:sz w:val="24"/>
                <w:szCs w:val="24"/>
                <w14:ligatures w14:val="none"/>
              </w:rPr>
              <w:t>1.07</w:t>
            </w:r>
          </w:p>
        </w:tc>
        <w:tc>
          <w:tcPr>
            <w:tcW w:w="1477" w:type="dxa"/>
            <w:vAlign w:val="center"/>
          </w:tcPr>
          <w:p w14:paraId="398209B4" w14:textId="77777777" w:rsidR="00EB55F0" w:rsidRPr="00845A3A" w:rsidRDefault="00EB55F0" w:rsidP="00AF7C7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845A3A">
              <w:rPr>
                <w:rFonts w:ascii="Times New Roman" w:eastAsia="Times New Roman" w:hAnsi="Times New Roman" w:cs="Times New Roman"/>
                <w:color w:val="000000"/>
                <w:kern w:val="0"/>
                <w:sz w:val="24"/>
                <w:szCs w:val="24"/>
                <w14:ligatures w14:val="none"/>
              </w:rPr>
              <w:t>19.55</w:t>
            </w:r>
          </w:p>
        </w:tc>
        <w:tc>
          <w:tcPr>
            <w:tcW w:w="1681" w:type="dxa"/>
            <w:vAlign w:val="center"/>
          </w:tcPr>
          <w:p w14:paraId="4CBB0F9D" w14:textId="77777777" w:rsidR="00EB55F0" w:rsidRPr="00845A3A" w:rsidRDefault="00EB55F0" w:rsidP="00AF7C7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845A3A">
              <w:rPr>
                <w:rFonts w:ascii="Times New Roman" w:eastAsia="Times New Roman" w:hAnsi="Times New Roman" w:cs="Times New Roman"/>
                <w:color w:val="000000"/>
                <w:kern w:val="0"/>
                <w:sz w:val="24"/>
                <w:szCs w:val="24"/>
                <w14:ligatures w14:val="none"/>
              </w:rPr>
              <w:t>23.95</w:t>
            </w:r>
          </w:p>
        </w:tc>
        <w:tc>
          <w:tcPr>
            <w:tcW w:w="1272" w:type="dxa"/>
            <w:vAlign w:val="center"/>
          </w:tcPr>
          <w:p w14:paraId="3F52CFFA" w14:textId="77777777" w:rsidR="00EB55F0" w:rsidRPr="00845A3A" w:rsidRDefault="00EB55F0" w:rsidP="00AF7C7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845A3A">
              <w:rPr>
                <w:rFonts w:ascii="Times New Roman" w:eastAsia="Times New Roman" w:hAnsi="Times New Roman" w:cs="Times New Roman"/>
                <w:color w:val="000000"/>
                <w:kern w:val="0"/>
                <w:sz w:val="24"/>
                <w:szCs w:val="24"/>
                <w14:ligatures w14:val="none"/>
              </w:rPr>
              <w:t>76.49</w:t>
            </w:r>
          </w:p>
        </w:tc>
      </w:tr>
      <w:tr w:rsidR="00EB55F0" w:rsidRPr="00845A3A" w14:paraId="79EB36AE" w14:textId="77777777" w:rsidTr="004D530E">
        <w:trPr>
          <w:divId w:val="1275020545"/>
          <w:trHeight w:hRule="exact" w:val="450"/>
        </w:trPr>
        <w:tc>
          <w:tcPr>
            <w:cnfStyle w:val="001000000000" w:firstRow="0" w:lastRow="0" w:firstColumn="1" w:lastColumn="0" w:oddVBand="0" w:evenVBand="0" w:oddHBand="0" w:evenHBand="0" w:firstRowFirstColumn="0" w:firstRowLastColumn="0" w:lastRowFirstColumn="0" w:lastRowLastColumn="0"/>
            <w:tcW w:w="1526" w:type="dxa"/>
            <w:vMerge/>
            <w:vAlign w:val="center"/>
          </w:tcPr>
          <w:p w14:paraId="421BC56F" w14:textId="77777777" w:rsidR="00EB55F0" w:rsidRPr="00845A3A" w:rsidRDefault="00EB55F0" w:rsidP="00AF7C70">
            <w:pPr>
              <w:jc w:val="center"/>
              <w:rPr>
                <w:rFonts w:ascii="Times New Roman" w:eastAsia="Times New Roman" w:hAnsi="Times New Roman" w:cs="Times New Roman"/>
                <w:b w:val="0"/>
                <w:bCs w:val="0"/>
                <w:color w:val="000000"/>
                <w:kern w:val="0"/>
                <w:sz w:val="24"/>
                <w:szCs w:val="24"/>
                <w14:ligatures w14:val="none"/>
              </w:rPr>
            </w:pPr>
          </w:p>
        </w:tc>
        <w:tc>
          <w:tcPr>
            <w:tcW w:w="1525" w:type="dxa"/>
            <w:vAlign w:val="center"/>
          </w:tcPr>
          <w:p w14:paraId="3E72146F" w14:textId="77777777" w:rsidR="00EB55F0" w:rsidRPr="00845A3A" w:rsidRDefault="00EB55F0" w:rsidP="00AF7C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845A3A">
              <w:rPr>
                <w:rFonts w:ascii="Times New Roman" w:eastAsia="Times New Roman" w:hAnsi="Times New Roman" w:cs="Times New Roman"/>
                <w:color w:val="000000"/>
                <w:kern w:val="0"/>
                <w:sz w:val="24"/>
                <w:szCs w:val="24"/>
                <w14:ligatures w14:val="none"/>
              </w:rPr>
              <w:t>reverse</w:t>
            </w:r>
          </w:p>
        </w:tc>
        <w:tc>
          <w:tcPr>
            <w:tcW w:w="1427" w:type="dxa"/>
            <w:vAlign w:val="center"/>
          </w:tcPr>
          <w:p w14:paraId="3986A963" w14:textId="77777777" w:rsidR="00EB55F0" w:rsidRPr="00845A3A" w:rsidRDefault="00EB55F0" w:rsidP="00AF7C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845A3A">
              <w:rPr>
                <w:rFonts w:ascii="Times New Roman" w:eastAsia="Times New Roman" w:hAnsi="Times New Roman" w:cs="Times New Roman"/>
                <w:color w:val="000000"/>
                <w:kern w:val="0"/>
                <w:sz w:val="24"/>
                <w:szCs w:val="24"/>
                <w14:ligatures w14:val="none"/>
              </w:rPr>
              <w:t>1.08</w:t>
            </w:r>
          </w:p>
        </w:tc>
        <w:tc>
          <w:tcPr>
            <w:tcW w:w="1477" w:type="dxa"/>
            <w:vAlign w:val="center"/>
          </w:tcPr>
          <w:p w14:paraId="7E1D043E" w14:textId="77777777" w:rsidR="00EB55F0" w:rsidRPr="00845A3A" w:rsidRDefault="00EB55F0" w:rsidP="00AF7C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845A3A">
              <w:rPr>
                <w:rFonts w:ascii="Times New Roman" w:eastAsia="Times New Roman" w:hAnsi="Times New Roman" w:cs="Times New Roman"/>
                <w:color w:val="000000"/>
                <w:kern w:val="0"/>
                <w:sz w:val="24"/>
                <w:szCs w:val="24"/>
                <w14:ligatures w14:val="none"/>
              </w:rPr>
              <w:t>21.05</w:t>
            </w:r>
          </w:p>
        </w:tc>
        <w:tc>
          <w:tcPr>
            <w:tcW w:w="1681" w:type="dxa"/>
            <w:vAlign w:val="center"/>
          </w:tcPr>
          <w:p w14:paraId="3A38B117" w14:textId="77777777" w:rsidR="00EB55F0" w:rsidRPr="00845A3A" w:rsidRDefault="00EB55F0" w:rsidP="00AF7C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845A3A">
              <w:rPr>
                <w:rFonts w:ascii="Times New Roman" w:eastAsia="Times New Roman" w:hAnsi="Times New Roman" w:cs="Times New Roman"/>
                <w:color w:val="000000"/>
                <w:kern w:val="0"/>
                <w:sz w:val="24"/>
                <w:szCs w:val="24"/>
                <w14:ligatures w14:val="none"/>
              </w:rPr>
              <w:t>23.93</w:t>
            </w:r>
          </w:p>
        </w:tc>
        <w:tc>
          <w:tcPr>
            <w:tcW w:w="1272" w:type="dxa"/>
            <w:vAlign w:val="center"/>
          </w:tcPr>
          <w:p w14:paraId="2BEE8EDB" w14:textId="77777777" w:rsidR="00EB55F0" w:rsidRPr="00845A3A" w:rsidRDefault="00EB55F0" w:rsidP="00AF7C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845A3A">
              <w:rPr>
                <w:rFonts w:ascii="Times New Roman" w:eastAsia="Times New Roman" w:hAnsi="Times New Roman" w:cs="Times New Roman"/>
                <w:color w:val="000000"/>
                <w:kern w:val="0"/>
                <w:sz w:val="24"/>
                <w:szCs w:val="24"/>
                <w14:ligatures w14:val="none"/>
              </w:rPr>
              <w:t>81.16</w:t>
            </w:r>
          </w:p>
        </w:tc>
      </w:tr>
      <w:tr w:rsidR="00EB55F0" w:rsidRPr="00845A3A" w14:paraId="5DAE0FE5" w14:textId="77777777" w:rsidTr="004D530E">
        <w:trPr>
          <w:cnfStyle w:val="000000100000" w:firstRow="0" w:lastRow="0" w:firstColumn="0" w:lastColumn="0" w:oddVBand="0" w:evenVBand="0" w:oddHBand="1" w:evenHBand="0" w:firstRowFirstColumn="0" w:firstRowLastColumn="0" w:lastRowFirstColumn="0" w:lastRowLastColumn="0"/>
          <w:divId w:val="1275020545"/>
          <w:trHeight w:hRule="exact" w:val="450"/>
        </w:trPr>
        <w:tc>
          <w:tcPr>
            <w:cnfStyle w:val="001000000000" w:firstRow="0" w:lastRow="0" w:firstColumn="1" w:lastColumn="0" w:oddVBand="0" w:evenVBand="0" w:oddHBand="0" w:evenHBand="0" w:firstRowFirstColumn="0" w:firstRowLastColumn="0" w:lastRowFirstColumn="0" w:lastRowLastColumn="0"/>
            <w:tcW w:w="1526" w:type="dxa"/>
            <w:vMerge w:val="restart"/>
            <w:vAlign w:val="center"/>
          </w:tcPr>
          <w:p w14:paraId="4F9DAA38" w14:textId="77777777" w:rsidR="00EB55F0" w:rsidRPr="00845A3A" w:rsidRDefault="00EB55F0" w:rsidP="00AF7C70">
            <w:pPr>
              <w:jc w:val="center"/>
              <w:rPr>
                <w:rFonts w:ascii="Times New Roman" w:eastAsia="Times New Roman" w:hAnsi="Times New Roman" w:cs="Times New Roman"/>
                <w:b w:val="0"/>
                <w:bCs w:val="0"/>
                <w:color w:val="000000"/>
                <w:kern w:val="0"/>
                <w:sz w:val="24"/>
                <w:szCs w:val="24"/>
                <w14:ligatures w14:val="none"/>
              </w:rPr>
            </w:pPr>
            <w:r w:rsidRPr="00845A3A">
              <w:rPr>
                <w:rFonts w:ascii="Times New Roman" w:eastAsia="Times New Roman" w:hAnsi="Times New Roman" w:cs="Times New Roman"/>
                <w:b w:val="0"/>
                <w:bCs w:val="0"/>
                <w:color w:val="000000"/>
                <w:kern w:val="0"/>
                <w:sz w:val="24"/>
                <w:szCs w:val="24"/>
                <w14:ligatures w14:val="none"/>
              </w:rPr>
              <w:t>Ce-SnO</w:t>
            </w:r>
            <w:r w:rsidRPr="00845A3A">
              <w:rPr>
                <w:rFonts w:ascii="Times New Roman" w:eastAsia="Times New Roman" w:hAnsi="Times New Roman" w:cs="Times New Roman"/>
                <w:b w:val="0"/>
                <w:bCs w:val="0"/>
                <w:color w:val="000000"/>
                <w:kern w:val="0"/>
                <w:sz w:val="24"/>
                <w:szCs w:val="24"/>
                <w:vertAlign w:val="subscript"/>
                <w14:ligatures w14:val="none"/>
              </w:rPr>
              <w:t>2</w:t>
            </w:r>
          </w:p>
        </w:tc>
        <w:tc>
          <w:tcPr>
            <w:tcW w:w="1525" w:type="dxa"/>
            <w:vAlign w:val="center"/>
          </w:tcPr>
          <w:p w14:paraId="6E980DAB" w14:textId="77777777" w:rsidR="00EB55F0" w:rsidRPr="00845A3A" w:rsidRDefault="00EB55F0" w:rsidP="00AF7C7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845A3A">
              <w:rPr>
                <w:rFonts w:ascii="Times New Roman" w:eastAsia="Times New Roman" w:hAnsi="Times New Roman" w:cs="Times New Roman"/>
                <w:color w:val="000000"/>
                <w:kern w:val="0"/>
                <w:sz w:val="24"/>
                <w:szCs w:val="24"/>
                <w14:ligatures w14:val="none"/>
              </w:rPr>
              <w:t>forward</w:t>
            </w:r>
          </w:p>
        </w:tc>
        <w:tc>
          <w:tcPr>
            <w:tcW w:w="1427" w:type="dxa"/>
            <w:vAlign w:val="center"/>
          </w:tcPr>
          <w:p w14:paraId="5A514577" w14:textId="77777777" w:rsidR="00EB55F0" w:rsidRPr="00845A3A" w:rsidRDefault="00EB55F0" w:rsidP="00AF7C7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845A3A">
              <w:rPr>
                <w:rFonts w:ascii="Times New Roman" w:eastAsia="Times New Roman" w:hAnsi="Times New Roman" w:cs="Times New Roman"/>
                <w:color w:val="000000"/>
                <w:kern w:val="0"/>
                <w:sz w:val="24"/>
                <w:szCs w:val="24"/>
                <w14:ligatures w14:val="none"/>
              </w:rPr>
              <w:t>1.18</w:t>
            </w:r>
          </w:p>
        </w:tc>
        <w:tc>
          <w:tcPr>
            <w:tcW w:w="1477" w:type="dxa"/>
            <w:vAlign w:val="center"/>
          </w:tcPr>
          <w:p w14:paraId="7AE2D93E" w14:textId="77777777" w:rsidR="00EB55F0" w:rsidRPr="00845A3A" w:rsidRDefault="00EB55F0" w:rsidP="00AF7C7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845A3A">
              <w:rPr>
                <w:rFonts w:ascii="Times New Roman" w:eastAsia="Times New Roman" w:hAnsi="Times New Roman" w:cs="Times New Roman"/>
                <w:color w:val="000000"/>
                <w:kern w:val="0"/>
                <w:sz w:val="24"/>
                <w:szCs w:val="24"/>
                <w14:ligatures w14:val="none"/>
              </w:rPr>
              <w:t>22.32</w:t>
            </w:r>
          </w:p>
        </w:tc>
        <w:tc>
          <w:tcPr>
            <w:tcW w:w="1681" w:type="dxa"/>
            <w:vAlign w:val="center"/>
          </w:tcPr>
          <w:p w14:paraId="6BB518C1" w14:textId="77777777" w:rsidR="00EB55F0" w:rsidRPr="00845A3A" w:rsidRDefault="00EB55F0" w:rsidP="00AF7C7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845A3A">
              <w:rPr>
                <w:rFonts w:ascii="Times New Roman" w:eastAsia="Times New Roman" w:hAnsi="Times New Roman" w:cs="Times New Roman"/>
                <w:color w:val="000000"/>
                <w:kern w:val="0"/>
                <w:sz w:val="24"/>
                <w:szCs w:val="24"/>
                <w14:ligatures w14:val="none"/>
              </w:rPr>
              <w:t>23.99</w:t>
            </w:r>
          </w:p>
        </w:tc>
        <w:tc>
          <w:tcPr>
            <w:tcW w:w="1272" w:type="dxa"/>
            <w:vAlign w:val="center"/>
          </w:tcPr>
          <w:p w14:paraId="1D83A06C" w14:textId="77777777" w:rsidR="00EB55F0" w:rsidRPr="00845A3A" w:rsidRDefault="00EB55F0" w:rsidP="00AF7C7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845A3A">
              <w:rPr>
                <w:rFonts w:ascii="Times New Roman" w:eastAsia="Times New Roman" w:hAnsi="Times New Roman" w:cs="Times New Roman"/>
                <w:color w:val="000000"/>
                <w:kern w:val="0"/>
                <w:sz w:val="24"/>
                <w:szCs w:val="24"/>
                <w14:ligatures w14:val="none"/>
              </w:rPr>
              <w:t>79.11</w:t>
            </w:r>
          </w:p>
        </w:tc>
      </w:tr>
      <w:tr w:rsidR="00EB55F0" w:rsidRPr="00845A3A" w14:paraId="5E772A0A" w14:textId="77777777" w:rsidTr="004D530E">
        <w:trPr>
          <w:divId w:val="1275020545"/>
          <w:trHeight w:hRule="exact" w:val="450"/>
        </w:trPr>
        <w:tc>
          <w:tcPr>
            <w:cnfStyle w:val="001000000000" w:firstRow="0" w:lastRow="0" w:firstColumn="1" w:lastColumn="0" w:oddVBand="0" w:evenVBand="0" w:oddHBand="0" w:evenHBand="0" w:firstRowFirstColumn="0" w:firstRowLastColumn="0" w:lastRowFirstColumn="0" w:lastRowLastColumn="0"/>
            <w:tcW w:w="1526" w:type="dxa"/>
            <w:vMerge/>
            <w:vAlign w:val="center"/>
          </w:tcPr>
          <w:p w14:paraId="79A4BB06" w14:textId="77777777" w:rsidR="00EB55F0" w:rsidRPr="00845A3A" w:rsidRDefault="00EB55F0" w:rsidP="00AF7C70">
            <w:pPr>
              <w:jc w:val="center"/>
              <w:rPr>
                <w:rFonts w:ascii="Times New Roman" w:eastAsia="Times New Roman" w:hAnsi="Times New Roman" w:cs="Times New Roman"/>
                <w:color w:val="000000"/>
                <w:kern w:val="0"/>
                <w:sz w:val="24"/>
                <w:szCs w:val="24"/>
                <w14:ligatures w14:val="none"/>
              </w:rPr>
            </w:pPr>
          </w:p>
        </w:tc>
        <w:tc>
          <w:tcPr>
            <w:tcW w:w="1525" w:type="dxa"/>
            <w:vAlign w:val="center"/>
          </w:tcPr>
          <w:p w14:paraId="3FA7D888" w14:textId="77777777" w:rsidR="00EB55F0" w:rsidRPr="00845A3A" w:rsidRDefault="00EB55F0" w:rsidP="00AF7C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845A3A">
              <w:rPr>
                <w:rFonts w:ascii="Times New Roman" w:eastAsia="Times New Roman" w:hAnsi="Times New Roman" w:cs="Times New Roman"/>
                <w:color w:val="000000"/>
                <w:kern w:val="0"/>
                <w:sz w:val="24"/>
                <w:szCs w:val="24"/>
                <w14:ligatures w14:val="none"/>
              </w:rPr>
              <w:t>reverse</w:t>
            </w:r>
          </w:p>
        </w:tc>
        <w:tc>
          <w:tcPr>
            <w:tcW w:w="1427" w:type="dxa"/>
            <w:vAlign w:val="center"/>
          </w:tcPr>
          <w:p w14:paraId="252A9CEB" w14:textId="77777777" w:rsidR="00EB55F0" w:rsidRPr="00845A3A" w:rsidRDefault="00EB55F0" w:rsidP="00AF7C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845A3A">
              <w:rPr>
                <w:rFonts w:ascii="Times New Roman" w:eastAsia="Times New Roman" w:hAnsi="Times New Roman" w:cs="Times New Roman"/>
                <w:color w:val="000000"/>
                <w:kern w:val="0"/>
                <w:sz w:val="24"/>
                <w:szCs w:val="24"/>
                <w14:ligatures w14:val="none"/>
              </w:rPr>
              <w:t>1.18</w:t>
            </w:r>
          </w:p>
        </w:tc>
        <w:tc>
          <w:tcPr>
            <w:tcW w:w="1477" w:type="dxa"/>
            <w:vAlign w:val="center"/>
          </w:tcPr>
          <w:p w14:paraId="6ED2B018" w14:textId="77777777" w:rsidR="00EB55F0" w:rsidRPr="00845A3A" w:rsidRDefault="00EB55F0" w:rsidP="00AF7C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845A3A">
              <w:rPr>
                <w:rFonts w:ascii="Times New Roman" w:eastAsia="Times New Roman" w:hAnsi="Times New Roman" w:cs="Times New Roman"/>
                <w:color w:val="000000"/>
                <w:kern w:val="0"/>
                <w:sz w:val="24"/>
                <w:szCs w:val="24"/>
                <w14:ligatures w14:val="none"/>
              </w:rPr>
              <w:t>22.98</w:t>
            </w:r>
          </w:p>
        </w:tc>
        <w:tc>
          <w:tcPr>
            <w:tcW w:w="1681" w:type="dxa"/>
            <w:vAlign w:val="center"/>
          </w:tcPr>
          <w:p w14:paraId="23BA88EC" w14:textId="77777777" w:rsidR="00EB55F0" w:rsidRPr="00845A3A" w:rsidRDefault="00EB55F0" w:rsidP="00AF7C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845A3A">
              <w:rPr>
                <w:rFonts w:ascii="Times New Roman" w:eastAsia="Times New Roman" w:hAnsi="Times New Roman" w:cs="Times New Roman"/>
                <w:color w:val="000000"/>
                <w:kern w:val="0"/>
                <w:sz w:val="24"/>
                <w:szCs w:val="24"/>
                <w14:ligatures w14:val="none"/>
              </w:rPr>
              <w:t>23.93</w:t>
            </w:r>
          </w:p>
        </w:tc>
        <w:tc>
          <w:tcPr>
            <w:tcW w:w="1272" w:type="dxa"/>
            <w:vAlign w:val="center"/>
          </w:tcPr>
          <w:p w14:paraId="4623977B" w14:textId="77777777" w:rsidR="00EB55F0" w:rsidRPr="00845A3A" w:rsidRDefault="00EB55F0" w:rsidP="00AF7C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845A3A">
              <w:rPr>
                <w:rFonts w:ascii="Times New Roman" w:eastAsia="Times New Roman" w:hAnsi="Times New Roman" w:cs="Times New Roman"/>
                <w:color w:val="000000"/>
                <w:kern w:val="0"/>
                <w:sz w:val="24"/>
                <w:szCs w:val="24"/>
                <w14:ligatures w14:val="none"/>
              </w:rPr>
              <w:t>81.37</w:t>
            </w:r>
          </w:p>
        </w:tc>
      </w:tr>
    </w:tbl>
    <w:p w14:paraId="1C94B21A" w14:textId="519D8E83" w:rsidR="00EB55F0" w:rsidRPr="00845A3A" w:rsidRDefault="00EB55F0" w:rsidP="00DE49C6">
      <w:pPr>
        <w:spacing w:before="240" w:line="480" w:lineRule="auto"/>
        <w:jc w:val="both"/>
        <w:divId w:val="1275020545"/>
        <w:rPr>
          <w:rFonts w:ascii="Times New Roman" w:hAnsi="Times New Roman" w:cs="Times New Roman"/>
          <w:sz w:val="24"/>
          <w:szCs w:val="24"/>
        </w:rPr>
      </w:pPr>
      <w:r w:rsidRPr="00845A3A">
        <w:rPr>
          <w:rFonts w:ascii="Times New Roman" w:hAnsi="Times New Roman" w:cs="Times New Roman"/>
          <w:b/>
          <w:bCs/>
          <w:sz w:val="24"/>
          <w:szCs w:val="24"/>
        </w:rPr>
        <w:t>Figure 4e</w:t>
      </w:r>
      <w:r w:rsidRPr="00845A3A">
        <w:rPr>
          <w:rFonts w:ascii="Times New Roman" w:hAnsi="Times New Roman" w:cs="Times New Roman"/>
          <w:sz w:val="24"/>
          <w:szCs w:val="24"/>
        </w:rPr>
        <w:t xml:space="preserve"> displays the PCE statistics for the PSCs based on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and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ETLs. The PCE of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 based PSCs exhibited lower standard deviation, which indicates the higher reproducibility of PSCs with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 </w:t>
      </w:r>
      <w:r w:rsidRPr="00845A3A">
        <w:rPr>
          <w:rFonts w:ascii="Times New Roman" w:hAnsi="Times New Roman" w:cs="Times New Roman"/>
          <w:b/>
          <w:bCs/>
          <w:sz w:val="24"/>
          <w:szCs w:val="24"/>
        </w:rPr>
        <w:t>Table S2</w:t>
      </w:r>
      <w:r w:rsidRPr="00845A3A">
        <w:rPr>
          <w:rFonts w:ascii="Times New Roman" w:hAnsi="Times New Roman" w:cs="Times New Roman"/>
          <w:sz w:val="24"/>
          <w:szCs w:val="24"/>
        </w:rPr>
        <w:t xml:space="preserve"> summarizes the PV parameters of the </w:t>
      </w:r>
      <w:r w:rsidRPr="00845A3A">
        <w:rPr>
          <w:rFonts w:ascii="Times New Roman" w:hAnsi="Times New Roman" w:cs="Times New Roman"/>
          <w:sz w:val="24"/>
          <w:szCs w:val="24"/>
        </w:rPr>
        <w:lastRenderedPageBreak/>
        <w:t>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and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 based PSCs. The advantages of uniform deposition of perovskite and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 helped to fabricate the large area (1 cm</w:t>
      </w:r>
      <w:r w:rsidRPr="00845A3A">
        <w:rPr>
          <w:rFonts w:ascii="Times New Roman" w:hAnsi="Times New Roman" w:cs="Times New Roman"/>
          <w:sz w:val="24"/>
          <w:szCs w:val="24"/>
          <w:vertAlign w:val="superscript"/>
        </w:rPr>
        <w:t>2</w:t>
      </w:r>
      <w:r w:rsidRPr="00845A3A">
        <w:rPr>
          <w:rFonts w:ascii="Times New Roman" w:hAnsi="Times New Roman" w:cs="Times New Roman"/>
          <w:sz w:val="24"/>
          <w:szCs w:val="24"/>
        </w:rPr>
        <w:t>)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 based PSCs. From the </w:t>
      </w:r>
      <w:r w:rsidRPr="00845A3A">
        <w:rPr>
          <w:rFonts w:ascii="Times New Roman" w:hAnsi="Times New Roman" w:cs="Times New Roman"/>
          <w:i/>
          <w:iCs/>
          <w:sz w:val="24"/>
          <w:szCs w:val="24"/>
        </w:rPr>
        <w:t>J</w:t>
      </w:r>
      <w:r w:rsidRPr="00845A3A">
        <w:rPr>
          <w:rFonts w:ascii="Times New Roman" w:hAnsi="Times New Roman" w:cs="Times New Roman"/>
          <w:sz w:val="24"/>
          <w:szCs w:val="24"/>
        </w:rPr>
        <w:t>-</w:t>
      </w:r>
      <w:r w:rsidRPr="00845A3A">
        <w:rPr>
          <w:rFonts w:ascii="Times New Roman" w:hAnsi="Times New Roman" w:cs="Times New Roman"/>
          <w:i/>
          <w:iCs/>
          <w:sz w:val="24"/>
          <w:szCs w:val="24"/>
        </w:rPr>
        <w:t>V</w:t>
      </w:r>
      <w:r w:rsidRPr="00845A3A">
        <w:rPr>
          <w:rFonts w:ascii="Times New Roman" w:hAnsi="Times New Roman" w:cs="Times New Roman"/>
          <w:sz w:val="24"/>
          <w:szCs w:val="24"/>
        </w:rPr>
        <w:t xml:space="preserve"> measurements of the 1 cm</w:t>
      </w:r>
      <w:r w:rsidRPr="00845A3A">
        <w:rPr>
          <w:rFonts w:ascii="Times New Roman" w:hAnsi="Times New Roman" w:cs="Times New Roman"/>
          <w:sz w:val="24"/>
          <w:szCs w:val="24"/>
          <w:vertAlign w:val="superscript"/>
        </w:rPr>
        <w:t>2</w:t>
      </w:r>
      <w:r w:rsidRPr="00845A3A">
        <w:rPr>
          <w:rFonts w:ascii="Times New Roman" w:hAnsi="Times New Roman" w:cs="Times New Roman"/>
          <w:sz w:val="24"/>
          <w:szCs w:val="24"/>
        </w:rPr>
        <w:t xml:space="preserve"> device (illustrated in </w:t>
      </w:r>
      <w:r w:rsidRPr="00845A3A">
        <w:rPr>
          <w:rFonts w:ascii="Times New Roman" w:hAnsi="Times New Roman" w:cs="Times New Roman"/>
          <w:b/>
          <w:bCs/>
          <w:sz w:val="24"/>
          <w:szCs w:val="24"/>
        </w:rPr>
        <w:t>Figure 4f</w:t>
      </w:r>
      <w:r w:rsidRPr="00845A3A">
        <w:rPr>
          <w:rFonts w:ascii="Times New Roman" w:hAnsi="Times New Roman" w:cs="Times New Roman"/>
          <w:sz w:val="24"/>
          <w:szCs w:val="24"/>
        </w:rPr>
        <w:t>), the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 based large area PSCs exhibited the </w:t>
      </w:r>
      <w:r w:rsidRPr="00845A3A">
        <w:rPr>
          <w:rFonts w:ascii="Times New Roman" w:hAnsi="Times New Roman" w:cs="Times New Roman"/>
          <w:i/>
          <w:iCs/>
          <w:sz w:val="24"/>
          <w:szCs w:val="24"/>
        </w:rPr>
        <w:t>V</w:t>
      </w:r>
      <w:r w:rsidRPr="00845A3A">
        <w:rPr>
          <w:rFonts w:ascii="Times New Roman" w:hAnsi="Times New Roman" w:cs="Times New Roman"/>
          <w:sz w:val="24"/>
          <w:szCs w:val="24"/>
          <w:vertAlign w:val="subscript"/>
        </w:rPr>
        <w:t>OC</w:t>
      </w:r>
      <w:r w:rsidRPr="00845A3A">
        <w:rPr>
          <w:rFonts w:ascii="Times New Roman" w:hAnsi="Times New Roman" w:cs="Times New Roman"/>
          <w:sz w:val="24"/>
          <w:szCs w:val="24"/>
        </w:rPr>
        <w:t xml:space="preserve"> of 1.18 V with PCE of 22.91%, </w:t>
      </w:r>
      <w:r w:rsidRPr="00845A3A">
        <w:rPr>
          <w:rFonts w:ascii="Times New Roman" w:hAnsi="Times New Roman" w:cs="Times New Roman"/>
          <w:i/>
          <w:iCs/>
          <w:sz w:val="24"/>
          <w:szCs w:val="24"/>
        </w:rPr>
        <w:t>J</w:t>
      </w:r>
      <w:r w:rsidRPr="00845A3A">
        <w:rPr>
          <w:rFonts w:ascii="Times New Roman" w:hAnsi="Times New Roman" w:cs="Times New Roman"/>
          <w:sz w:val="24"/>
          <w:szCs w:val="24"/>
          <w:vertAlign w:val="subscript"/>
        </w:rPr>
        <w:t>SC</w:t>
      </w:r>
      <w:r w:rsidRPr="00845A3A">
        <w:rPr>
          <w:rFonts w:ascii="Times New Roman" w:hAnsi="Times New Roman" w:cs="Times New Roman"/>
          <w:sz w:val="24"/>
          <w:szCs w:val="24"/>
        </w:rPr>
        <w:t xml:space="preserve"> of 24.93 mA/cm</w:t>
      </w:r>
      <w:r w:rsidRPr="00845A3A">
        <w:rPr>
          <w:rFonts w:ascii="Times New Roman" w:hAnsi="Times New Roman" w:cs="Times New Roman"/>
          <w:sz w:val="24"/>
          <w:szCs w:val="24"/>
          <w:vertAlign w:val="superscript"/>
        </w:rPr>
        <w:t>2</w:t>
      </w:r>
      <w:r w:rsidRPr="00845A3A">
        <w:rPr>
          <w:rFonts w:ascii="Times New Roman" w:hAnsi="Times New Roman" w:cs="Times New Roman"/>
          <w:sz w:val="24"/>
          <w:szCs w:val="24"/>
        </w:rPr>
        <w:t xml:space="preserve"> and FF of 77.87%. The measured </w:t>
      </w:r>
      <w:r w:rsidRPr="00845A3A">
        <w:rPr>
          <w:rFonts w:ascii="Times New Roman" w:hAnsi="Times New Roman" w:cs="Times New Roman"/>
          <w:i/>
          <w:iCs/>
          <w:sz w:val="24"/>
          <w:szCs w:val="24"/>
        </w:rPr>
        <w:t>J</w:t>
      </w:r>
      <w:r w:rsidRPr="00845A3A">
        <w:rPr>
          <w:rFonts w:ascii="Times New Roman" w:hAnsi="Times New Roman" w:cs="Times New Roman"/>
          <w:sz w:val="24"/>
          <w:szCs w:val="24"/>
          <w:vertAlign w:val="subscript"/>
        </w:rPr>
        <w:t>SC</w:t>
      </w:r>
      <w:r w:rsidRPr="00845A3A">
        <w:rPr>
          <w:rFonts w:ascii="Times New Roman" w:hAnsi="Times New Roman" w:cs="Times New Roman"/>
          <w:sz w:val="24"/>
          <w:szCs w:val="24"/>
        </w:rPr>
        <w:t xml:space="preserve"> as of the </w:t>
      </w:r>
      <w:r w:rsidRPr="00845A3A">
        <w:rPr>
          <w:rFonts w:ascii="Times New Roman" w:hAnsi="Times New Roman" w:cs="Times New Roman"/>
          <w:i/>
          <w:iCs/>
          <w:sz w:val="24"/>
          <w:szCs w:val="24"/>
        </w:rPr>
        <w:t>J</w:t>
      </w:r>
      <w:r w:rsidRPr="00845A3A">
        <w:rPr>
          <w:rFonts w:ascii="Times New Roman" w:hAnsi="Times New Roman" w:cs="Times New Roman"/>
          <w:sz w:val="24"/>
          <w:szCs w:val="24"/>
        </w:rPr>
        <w:t>-</w:t>
      </w:r>
      <w:r w:rsidRPr="00845A3A">
        <w:rPr>
          <w:rFonts w:ascii="Times New Roman" w:hAnsi="Times New Roman" w:cs="Times New Roman"/>
          <w:i/>
          <w:iCs/>
          <w:sz w:val="24"/>
          <w:szCs w:val="24"/>
        </w:rPr>
        <w:t>V</w:t>
      </w:r>
      <w:r w:rsidRPr="00845A3A">
        <w:rPr>
          <w:rFonts w:ascii="Times New Roman" w:hAnsi="Times New Roman" w:cs="Times New Roman"/>
          <w:sz w:val="24"/>
          <w:szCs w:val="24"/>
        </w:rPr>
        <w:t xml:space="preserve"> curve was matched with the integrated </w:t>
      </w:r>
      <w:r w:rsidRPr="00845A3A">
        <w:rPr>
          <w:rFonts w:ascii="Times New Roman" w:hAnsi="Times New Roman" w:cs="Times New Roman"/>
          <w:i/>
          <w:iCs/>
          <w:sz w:val="24"/>
          <w:szCs w:val="24"/>
        </w:rPr>
        <w:t>J</w:t>
      </w:r>
      <w:r w:rsidRPr="00845A3A">
        <w:rPr>
          <w:rFonts w:ascii="Times New Roman" w:hAnsi="Times New Roman" w:cs="Times New Roman"/>
          <w:sz w:val="24"/>
          <w:szCs w:val="24"/>
          <w:vertAlign w:val="subscript"/>
        </w:rPr>
        <w:t>SC</w:t>
      </w:r>
      <w:r w:rsidRPr="00845A3A">
        <w:rPr>
          <w:rFonts w:ascii="Times New Roman" w:hAnsi="Times New Roman" w:cs="Times New Roman"/>
          <w:sz w:val="24"/>
          <w:szCs w:val="24"/>
        </w:rPr>
        <w:t xml:space="preserve"> (24.4 mA/cm</w:t>
      </w:r>
      <w:r w:rsidRPr="00845A3A">
        <w:rPr>
          <w:rFonts w:ascii="Times New Roman" w:hAnsi="Times New Roman" w:cs="Times New Roman"/>
          <w:sz w:val="24"/>
          <w:szCs w:val="24"/>
          <w:vertAlign w:val="superscript"/>
        </w:rPr>
        <w:t>2</w:t>
      </w:r>
      <w:r w:rsidRPr="00845A3A">
        <w:rPr>
          <w:rFonts w:ascii="Times New Roman" w:hAnsi="Times New Roman" w:cs="Times New Roman"/>
          <w:sz w:val="24"/>
          <w:szCs w:val="24"/>
        </w:rPr>
        <w:t xml:space="preserve">) derived from the IPCE (shown in </w:t>
      </w:r>
      <w:r w:rsidRPr="00845A3A">
        <w:rPr>
          <w:rFonts w:ascii="Times New Roman" w:hAnsi="Times New Roman" w:cs="Times New Roman"/>
          <w:b/>
          <w:bCs/>
          <w:sz w:val="24"/>
          <w:szCs w:val="24"/>
        </w:rPr>
        <w:t>Figure S6</w:t>
      </w:r>
      <w:r w:rsidRPr="00845A3A">
        <w:rPr>
          <w:rFonts w:ascii="Times New Roman" w:hAnsi="Times New Roman" w:cs="Times New Roman"/>
          <w:sz w:val="24"/>
          <w:szCs w:val="24"/>
        </w:rPr>
        <w:t>) considering 2% error.</w:t>
      </w:r>
    </w:p>
    <w:p w14:paraId="0F815B93" w14:textId="7D7DE7E9" w:rsidR="00EB55F0" w:rsidRPr="00845A3A" w:rsidRDefault="00EB55F0" w:rsidP="00DE49C6">
      <w:pPr>
        <w:spacing w:before="240" w:line="480" w:lineRule="auto"/>
        <w:jc w:val="both"/>
        <w:divId w:val="1275020545"/>
        <w:rPr>
          <w:rFonts w:ascii="Times New Roman" w:eastAsia="Times New Roman" w:hAnsi="Times New Roman" w:cs="Times New Roman"/>
          <w:color w:val="000000"/>
          <w:kern w:val="0"/>
          <w:sz w:val="24"/>
          <w:szCs w:val="24"/>
          <w14:ligatures w14:val="none"/>
        </w:rPr>
      </w:pPr>
      <w:r w:rsidRPr="00845A3A">
        <w:rPr>
          <w:rFonts w:ascii="Times New Roman" w:hAnsi="Times New Roman" w:cs="Times New Roman"/>
          <w:sz w:val="24"/>
          <w:szCs w:val="24"/>
        </w:rPr>
        <w:t xml:space="preserve">The </w:t>
      </w:r>
      <w:r w:rsidRPr="00845A3A">
        <w:rPr>
          <w:rFonts w:ascii="Times New Roman" w:eastAsia="Times New Roman" w:hAnsi="Times New Roman" w:cs="Times New Roman"/>
          <w:color w:val="000000"/>
          <w:kern w:val="0"/>
          <w:sz w:val="24"/>
          <w:szCs w:val="24"/>
          <w14:ligatures w14:val="none"/>
        </w:rPr>
        <w:t>unencapsulated 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and Ce-SnO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ETLs based PSCs were stored in the open air at 23~25°C and </w:t>
      </w:r>
      <w:r w:rsidR="00A95D53" w:rsidRPr="00845A3A">
        <w:rPr>
          <w:rFonts w:ascii="Times New Roman" w:eastAsia="Times New Roman" w:hAnsi="Times New Roman" w:cs="Times New Roman"/>
          <w:color w:val="000000"/>
          <w:kern w:val="0"/>
          <w:sz w:val="24"/>
          <w:szCs w:val="24"/>
          <w14:ligatures w14:val="none"/>
        </w:rPr>
        <w:t>relative humidity (</w:t>
      </w:r>
      <w:r w:rsidRPr="00845A3A">
        <w:rPr>
          <w:rFonts w:ascii="Times New Roman" w:eastAsia="Times New Roman" w:hAnsi="Times New Roman" w:cs="Times New Roman"/>
          <w:color w:val="000000"/>
          <w:kern w:val="0"/>
          <w:sz w:val="24"/>
          <w:szCs w:val="24"/>
          <w14:ligatures w14:val="none"/>
        </w:rPr>
        <w:t>RH</w:t>
      </w:r>
      <w:r w:rsidR="00A95D53" w:rsidRPr="00845A3A">
        <w:rPr>
          <w:rFonts w:ascii="Times New Roman" w:eastAsia="Times New Roman" w:hAnsi="Times New Roman" w:cs="Times New Roman"/>
          <w:color w:val="000000"/>
          <w:kern w:val="0"/>
          <w:sz w:val="24"/>
          <w:szCs w:val="24"/>
          <w14:ligatures w14:val="none"/>
        </w:rPr>
        <w:t>)</w:t>
      </w:r>
      <w:r w:rsidRPr="00845A3A">
        <w:rPr>
          <w:rFonts w:ascii="Times New Roman" w:eastAsia="Times New Roman" w:hAnsi="Times New Roman" w:cs="Times New Roman"/>
          <w:color w:val="000000"/>
          <w:kern w:val="0"/>
          <w:sz w:val="24"/>
          <w:szCs w:val="24"/>
          <w14:ligatures w14:val="none"/>
        </w:rPr>
        <w:t xml:space="preserve"> of 40~50% to observe their long-term self-stability. As observed from </w:t>
      </w:r>
      <w:r w:rsidRPr="00845A3A">
        <w:rPr>
          <w:rFonts w:ascii="Times New Roman" w:eastAsia="Times New Roman" w:hAnsi="Times New Roman" w:cs="Times New Roman"/>
          <w:b/>
          <w:bCs/>
          <w:color w:val="000000"/>
          <w:kern w:val="0"/>
          <w:sz w:val="24"/>
          <w:szCs w:val="24"/>
          <w14:ligatures w14:val="none"/>
        </w:rPr>
        <w:t>Figure 4g</w:t>
      </w:r>
      <w:r w:rsidRPr="00845A3A">
        <w:rPr>
          <w:rFonts w:ascii="Times New Roman" w:eastAsia="Times New Roman" w:hAnsi="Times New Roman" w:cs="Times New Roman"/>
          <w:color w:val="000000"/>
          <w:kern w:val="0"/>
          <w:sz w:val="24"/>
          <w:szCs w:val="24"/>
          <w14:ligatures w14:val="none"/>
        </w:rPr>
        <w:t>, the 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ETL based PSC was able to sustain over 90% of its initial PCE for around 1200 h, while the Ce-SnO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ETL based PSC was able to do that for around 2000 h. The maximum power point tracking (MPPT) data of the unencapsulated 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and Ce-SnO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ETLs based PSCs (demonstrated in </w:t>
      </w:r>
      <w:r w:rsidRPr="00845A3A">
        <w:rPr>
          <w:rFonts w:ascii="Times New Roman" w:eastAsia="Times New Roman" w:hAnsi="Times New Roman" w:cs="Times New Roman"/>
          <w:b/>
          <w:bCs/>
          <w:color w:val="000000"/>
          <w:kern w:val="0"/>
          <w:sz w:val="24"/>
          <w:szCs w:val="24"/>
          <w14:ligatures w14:val="none"/>
        </w:rPr>
        <w:t>Figure S7</w:t>
      </w:r>
      <w:r w:rsidRPr="00845A3A">
        <w:rPr>
          <w:rFonts w:ascii="Times New Roman" w:eastAsia="Times New Roman" w:hAnsi="Times New Roman" w:cs="Times New Roman"/>
          <w:color w:val="000000"/>
          <w:kern w:val="0"/>
          <w:sz w:val="24"/>
          <w:szCs w:val="24"/>
          <w14:ligatures w14:val="none"/>
        </w:rPr>
        <w:t>) also revealed the better stability of the Ce-SnO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ETLs based PSCs than 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ETLs based PSCs. Reduced surface defects on Ce-SnO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and the formation of good-quality perovskite layer on Ce-SnO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ETL contributed to a decrease in the hysteresis index, bulk and interface recombination velocity, those in turn helped for the stability improvement of the Ce-SnO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ETL based PSCs.</w:t>
      </w:r>
      <w:hyperlink r:id="rId53" w:history="1">
        <w:r w:rsidRPr="00845A3A">
          <w:rPr>
            <w:rFonts w:ascii="Times New Roman" w:eastAsia="Times New Roman" w:hAnsi="Times New Roman" w:cs="Times New Roman"/>
            <w:sz w:val="24"/>
            <w:vertAlign w:val="superscript"/>
          </w:rPr>
          <w:t>43,44</w:t>
        </w:r>
      </w:hyperlink>
    </w:p>
    <w:p w14:paraId="70A2DEDB" w14:textId="77777777" w:rsidR="00EB55F0" w:rsidRPr="00845A3A" w:rsidRDefault="00EB55F0" w:rsidP="003B126F">
      <w:pPr>
        <w:spacing w:before="240" w:after="0" w:line="480" w:lineRule="auto"/>
        <w:jc w:val="both"/>
        <w:divId w:val="1275020545"/>
        <w:rPr>
          <w:rFonts w:ascii="Times New Roman" w:hAnsi="Times New Roman" w:cs="Times New Roman"/>
          <w:sz w:val="24"/>
          <w:szCs w:val="24"/>
        </w:rPr>
      </w:pPr>
      <w:r w:rsidRPr="00845A3A">
        <w:rPr>
          <w:rFonts w:ascii="Times New Roman" w:hAnsi="Times New Roman" w:cs="Times New Roman"/>
          <w:b/>
          <w:bCs/>
          <w:sz w:val="24"/>
          <w:szCs w:val="24"/>
        </w:rPr>
        <w:t>Table 2:</w:t>
      </w:r>
      <w:r w:rsidRPr="00845A3A">
        <w:rPr>
          <w:rFonts w:ascii="Times New Roman" w:hAnsi="Times New Roman" w:cs="Times New Roman"/>
          <w:sz w:val="24"/>
          <w:szCs w:val="24"/>
        </w:rPr>
        <w:t xml:space="preserve"> Photovoltaic performance of the different REMs doped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 based PSCs.</w:t>
      </w:r>
    </w:p>
    <w:tbl>
      <w:tblPr>
        <w:tblStyle w:val="ListTable2"/>
        <w:tblW w:w="9186" w:type="dxa"/>
        <w:tblInd w:w="-142" w:type="dxa"/>
        <w:tblLook w:val="04A0" w:firstRow="1" w:lastRow="0" w:firstColumn="1" w:lastColumn="0" w:noHBand="0" w:noVBand="1"/>
      </w:tblPr>
      <w:tblGrid>
        <w:gridCol w:w="1279"/>
        <w:gridCol w:w="1847"/>
        <w:gridCol w:w="1136"/>
        <w:gridCol w:w="1279"/>
        <w:gridCol w:w="1603"/>
        <w:gridCol w:w="1095"/>
        <w:gridCol w:w="947"/>
      </w:tblGrid>
      <w:tr w:rsidR="00EB55F0" w:rsidRPr="00845A3A" w14:paraId="28BF6AA2" w14:textId="77777777" w:rsidTr="002F163C">
        <w:trPr>
          <w:cnfStyle w:val="100000000000" w:firstRow="1" w:lastRow="0" w:firstColumn="0" w:lastColumn="0" w:oddVBand="0" w:evenVBand="0" w:oddHBand="0" w:evenHBand="0" w:firstRowFirstColumn="0" w:firstRowLastColumn="0" w:lastRowFirstColumn="0" w:lastRowLastColumn="0"/>
          <w:divId w:val="1275020545"/>
          <w:trHeight w:val="471"/>
        </w:trPr>
        <w:tc>
          <w:tcPr>
            <w:cnfStyle w:val="001000000000" w:firstRow="0" w:lastRow="0" w:firstColumn="1" w:lastColumn="0" w:oddVBand="0" w:evenVBand="0" w:oddHBand="0" w:evenHBand="0" w:firstRowFirstColumn="0" w:firstRowLastColumn="0" w:lastRowFirstColumn="0" w:lastRowLastColumn="0"/>
            <w:tcW w:w="1279" w:type="dxa"/>
            <w:shd w:val="clear" w:color="auto" w:fill="auto"/>
            <w:vAlign w:val="center"/>
          </w:tcPr>
          <w:p w14:paraId="334C6A33" w14:textId="77777777" w:rsidR="00EB55F0" w:rsidRPr="00845A3A" w:rsidRDefault="00EB55F0" w:rsidP="001C63AB">
            <w:pPr>
              <w:jc w:val="center"/>
              <w:rPr>
                <w:rFonts w:ascii="Times New Roman" w:hAnsi="Times New Roman" w:cs="Times New Roman"/>
                <w:sz w:val="24"/>
                <w:szCs w:val="24"/>
              </w:rPr>
            </w:pPr>
            <w:r w:rsidRPr="00845A3A">
              <w:rPr>
                <w:rFonts w:ascii="Times New Roman" w:hAnsi="Times New Roman" w:cs="Times New Roman"/>
                <w:sz w:val="24"/>
                <w:szCs w:val="24"/>
              </w:rPr>
              <w:t>ETL</w:t>
            </w:r>
          </w:p>
        </w:tc>
        <w:tc>
          <w:tcPr>
            <w:tcW w:w="1847" w:type="dxa"/>
            <w:shd w:val="clear" w:color="auto" w:fill="auto"/>
            <w:vAlign w:val="center"/>
          </w:tcPr>
          <w:p w14:paraId="1592FD13" w14:textId="77777777" w:rsidR="00EB55F0" w:rsidRPr="00845A3A" w:rsidRDefault="00EB55F0" w:rsidP="001C63A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45A3A">
              <w:rPr>
                <w:rFonts w:ascii="Times New Roman" w:hAnsi="Times New Roman" w:cs="Times New Roman"/>
                <w:sz w:val="24"/>
                <w:szCs w:val="24"/>
              </w:rPr>
              <w:t>Perovskite</w:t>
            </w:r>
          </w:p>
        </w:tc>
        <w:tc>
          <w:tcPr>
            <w:tcW w:w="1136" w:type="dxa"/>
            <w:shd w:val="clear" w:color="auto" w:fill="auto"/>
            <w:vAlign w:val="center"/>
          </w:tcPr>
          <w:p w14:paraId="43036D83" w14:textId="77777777" w:rsidR="00EB55F0" w:rsidRPr="00845A3A" w:rsidRDefault="00EB55F0" w:rsidP="001C63A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45A3A">
              <w:rPr>
                <w:rFonts w:ascii="Times New Roman" w:hAnsi="Times New Roman" w:cs="Times New Roman"/>
                <w:i/>
                <w:iCs/>
                <w:sz w:val="24"/>
                <w:szCs w:val="24"/>
              </w:rPr>
              <w:t>V</w:t>
            </w:r>
            <w:r w:rsidRPr="00845A3A">
              <w:rPr>
                <w:rFonts w:ascii="Times New Roman" w:hAnsi="Times New Roman" w:cs="Times New Roman"/>
                <w:sz w:val="24"/>
                <w:szCs w:val="24"/>
                <w:vertAlign w:val="subscript"/>
              </w:rPr>
              <w:t>OC</w:t>
            </w:r>
            <w:r w:rsidRPr="00845A3A">
              <w:rPr>
                <w:rFonts w:ascii="Times New Roman" w:hAnsi="Times New Roman" w:cs="Times New Roman"/>
                <w:sz w:val="24"/>
                <w:szCs w:val="24"/>
              </w:rPr>
              <w:t xml:space="preserve"> (V)</w:t>
            </w:r>
          </w:p>
        </w:tc>
        <w:tc>
          <w:tcPr>
            <w:tcW w:w="1279" w:type="dxa"/>
            <w:shd w:val="clear" w:color="auto" w:fill="auto"/>
            <w:vAlign w:val="center"/>
          </w:tcPr>
          <w:p w14:paraId="758D097D" w14:textId="77777777" w:rsidR="00EB55F0" w:rsidRPr="00845A3A" w:rsidRDefault="00EB55F0" w:rsidP="001C63A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45A3A">
              <w:rPr>
                <w:rFonts w:ascii="Times New Roman" w:hAnsi="Times New Roman" w:cs="Times New Roman"/>
                <w:sz w:val="24"/>
                <w:szCs w:val="24"/>
              </w:rPr>
              <w:t>PCE (%)</w:t>
            </w:r>
          </w:p>
        </w:tc>
        <w:tc>
          <w:tcPr>
            <w:tcW w:w="1603" w:type="dxa"/>
            <w:shd w:val="clear" w:color="auto" w:fill="auto"/>
            <w:vAlign w:val="center"/>
          </w:tcPr>
          <w:p w14:paraId="3EB1E484" w14:textId="77777777" w:rsidR="00EB55F0" w:rsidRPr="00845A3A" w:rsidRDefault="00EB55F0" w:rsidP="001C63A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45A3A">
              <w:rPr>
                <w:rFonts w:ascii="Times New Roman" w:hAnsi="Times New Roman" w:cs="Times New Roman"/>
                <w:i/>
                <w:iCs/>
                <w:sz w:val="24"/>
                <w:szCs w:val="24"/>
              </w:rPr>
              <w:t>J</w:t>
            </w:r>
            <w:r w:rsidRPr="00845A3A">
              <w:rPr>
                <w:rFonts w:ascii="Times New Roman" w:hAnsi="Times New Roman" w:cs="Times New Roman"/>
                <w:sz w:val="24"/>
                <w:szCs w:val="24"/>
                <w:vertAlign w:val="subscript"/>
              </w:rPr>
              <w:t>SC</w:t>
            </w:r>
            <w:r w:rsidRPr="00845A3A">
              <w:rPr>
                <w:rFonts w:ascii="Times New Roman" w:hAnsi="Times New Roman" w:cs="Times New Roman"/>
                <w:sz w:val="24"/>
                <w:szCs w:val="24"/>
              </w:rPr>
              <w:t xml:space="preserve"> (mA/cm</w:t>
            </w:r>
            <w:r w:rsidRPr="00845A3A">
              <w:rPr>
                <w:rFonts w:ascii="Times New Roman" w:hAnsi="Times New Roman" w:cs="Times New Roman"/>
                <w:sz w:val="24"/>
                <w:szCs w:val="24"/>
                <w:vertAlign w:val="superscript"/>
              </w:rPr>
              <w:t>2</w:t>
            </w:r>
            <w:r w:rsidRPr="00845A3A">
              <w:rPr>
                <w:rFonts w:ascii="Times New Roman" w:hAnsi="Times New Roman" w:cs="Times New Roman"/>
                <w:sz w:val="24"/>
                <w:szCs w:val="24"/>
              </w:rPr>
              <w:t>)</w:t>
            </w:r>
          </w:p>
        </w:tc>
        <w:tc>
          <w:tcPr>
            <w:tcW w:w="1095" w:type="dxa"/>
            <w:shd w:val="clear" w:color="auto" w:fill="auto"/>
            <w:vAlign w:val="center"/>
          </w:tcPr>
          <w:p w14:paraId="49986934" w14:textId="77777777" w:rsidR="00EB55F0" w:rsidRPr="00845A3A" w:rsidRDefault="00EB55F0" w:rsidP="001C63A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45A3A">
              <w:rPr>
                <w:rFonts w:ascii="Times New Roman" w:hAnsi="Times New Roman" w:cs="Times New Roman"/>
                <w:sz w:val="24"/>
                <w:szCs w:val="24"/>
              </w:rPr>
              <w:t>FF (%)</w:t>
            </w:r>
          </w:p>
        </w:tc>
        <w:tc>
          <w:tcPr>
            <w:tcW w:w="947" w:type="dxa"/>
            <w:shd w:val="clear" w:color="auto" w:fill="auto"/>
            <w:vAlign w:val="center"/>
          </w:tcPr>
          <w:p w14:paraId="7708D424" w14:textId="77777777" w:rsidR="00EB55F0" w:rsidRPr="00845A3A" w:rsidRDefault="00EB55F0" w:rsidP="001C63A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45A3A">
              <w:rPr>
                <w:rFonts w:ascii="Times New Roman" w:hAnsi="Times New Roman" w:cs="Times New Roman"/>
                <w:sz w:val="24"/>
                <w:szCs w:val="24"/>
              </w:rPr>
              <w:t>Ref.</w:t>
            </w:r>
          </w:p>
        </w:tc>
      </w:tr>
      <w:tr w:rsidR="00EB55F0" w:rsidRPr="00845A3A" w14:paraId="57BF9A49" w14:textId="77777777" w:rsidTr="002F163C">
        <w:trPr>
          <w:cnfStyle w:val="000000100000" w:firstRow="0" w:lastRow="0" w:firstColumn="0" w:lastColumn="0" w:oddVBand="0" w:evenVBand="0" w:oddHBand="1" w:evenHBand="0" w:firstRowFirstColumn="0" w:firstRowLastColumn="0" w:lastRowFirstColumn="0" w:lastRowLastColumn="0"/>
          <w:divId w:val="1275020545"/>
          <w:trHeight w:val="471"/>
        </w:trPr>
        <w:tc>
          <w:tcPr>
            <w:cnfStyle w:val="001000000000" w:firstRow="0" w:lastRow="0" w:firstColumn="1" w:lastColumn="0" w:oddVBand="0" w:evenVBand="0" w:oddHBand="0" w:evenHBand="0" w:firstRowFirstColumn="0" w:firstRowLastColumn="0" w:lastRowFirstColumn="0" w:lastRowLastColumn="0"/>
            <w:tcW w:w="1279" w:type="dxa"/>
            <w:shd w:val="clear" w:color="auto" w:fill="auto"/>
            <w:vAlign w:val="center"/>
          </w:tcPr>
          <w:p w14:paraId="526A7E93" w14:textId="77777777" w:rsidR="00EB55F0" w:rsidRPr="00845A3A" w:rsidRDefault="00EB55F0" w:rsidP="001C63AB">
            <w:pPr>
              <w:jc w:val="center"/>
              <w:rPr>
                <w:rFonts w:ascii="Times New Roman" w:hAnsi="Times New Roman" w:cs="Times New Roman"/>
                <w:b w:val="0"/>
                <w:bCs w:val="0"/>
                <w:sz w:val="24"/>
                <w:szCs w:val="24"/>
              </w:rPr>
            </w:pPr>
            <w:r w:rsidRPr="00845A3A">
              <w:rPr>
                <w:rFonts w:ascii="Times New Roman" w:hAnsi="Times New Roman" w:cs="Times New Roman"/>
                <w:b w:val="0"/>
                <w:bCs w:val="0"/>
                <w:sz w:val="24"/>
                <w:szCs w:val="24"/>
              </w:rPr>
              <w:t>Eu-SnO</w:t>
            </w:r>
            <w:r w:rsidRPr="00845A3A">
              <w:rPr>
                <w:rFonts w:ascii="Times New Roman" w:hAnsi="Times New Roman" w:cs="Times New Roman"/>
                <w:b w:val="0"/>
                <w:bCs w:val="0"/>
                <w:sz w:val="24"/>
                <w:szCs w:val="24"/>
                <w:vertAlign w:val="subscript"/>
              </w:rPr>
              <w:t>2</w:t>
            </w:r>
          </w:p>
        </w:tc>
        <w:tc>
          <w:tcPr>
            <w:tcW w:w="1847" w:type="dxa"/>
            <w:shd w:val="clear" w:color="auto" w:fill="auto"/>
            <w:vAlign w:val="center"/>
          </w:tcPr>
          <w:p w14:paraId="5A86B04E" w14:textId="77777777" w:rsidR="00EB55F0" w:rsidRPr="00845A3A" w:rsidRDefault="00EB55F0" w:rsidP="001C63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45A3A">
              <w:rPr>
                <w:rFonts w:ascii="Times New Roman" w:hAnsi="Times New Roman" w:cs="Times New Roman"/>
                <w:sz w:val="24"/>
                <w:szCs w:val="24"/>
              </w:rPr>
              <w:t>MAPbI</w:t>
            </w:r>
            <w:r w:rsidRPr="00845A3A">
              <w:rPr>
                <w:rFonts w:ascii="Times New Roman" w:hAnsi="Times New Roman" w:cs="Times New Roman"/>
                <w:sz w:val="24"/>
                <w:szCs w:val="24"/>
                <w:vertAlign w:val="subscript"/>
              </w:rPr>
              <w:t>3</w:t>
            </w:r>
          </w:p>
        </w:tc>
        <w:tc>
          <w:tcPr>
            <w:tcW w:w="1136" w:type="dxa"/>
            <w:shd w:val="clear" w:color="auto" w:fill="auto"/>
            <w:vAlign w:val="center"/>
          </w:tcPr>
          <w:p w14:paraId="7C26978B" w14:textId="77777777" w:rsidR="00EB55F0" w:rsidRPr="00845A3A" w:rsidRDefault="00EB55F0" w:rsidP="001C63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45A3A">
              <w:rPr>
                <w:rFonts w:ascii="Times New Roman" w:hAnsi="Times New Roman" w:cs="Times New Roman"/>
                <w:sz w:val="24"/>
                <w:szCs w:val="24"/>
              </w:rPr>
              <w:t>1.13</w:t>
            </w:r>
          </w:p>
        </w:tc>
        <w:tc>
          <w:tcPr>
            <w:tcW w:w="1279" w:type="dxa"/>
            <w:shd w:val="clear" w:color="auto" w:fill="auto"/>
            <w:vAlign w:val="center"/>
          </w:tcPr>
          <w:p w14:paraId="6F90AF52" w14:textId="77777777" w:rsidR="00EB55F0" w:rsidRPr="00845A3A" w:rsidRDefault="00EB55F0" w:rsidP="001C63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45A3A">
              <w:rPr>
                <w:rFonts w:ascii="Times New Roman" w:hAnsi="Times New Roman" w:cs="Times New Roman"/>
                <w:sz w:val="24"/>
                <w:szCs w:val="24"/>
              </w:rPr>
              <w:t>20.14</w:t>
            </w:r>
          </w:p>
        </w:tc>
        <w:tc>
          <w:tcPr>
            <w:tcW w:w="1603" w:type="dxa"/>
            <w:shd w:val="clear" w:color="auto" w:fill="auto"/>
            <w:vAlign w:val="center"/>
          </w:tcPr>
          <w:p w14:paraId="1CA2D880" w14:textId="77777777" w:rsidR="00EB55F0" w:rsidRPr="00845A3A" w:rsidRDefault="00EB55F0" w:rsidP="001C63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45A3A">
              <w:rPr>
                <w:rFonts w:ascii="Times New Roman" w:hAnsi="Times New Roman" w:cs="Times New Roman"/>
                <w:sz w:val="24"/>
                <w:szCs w:val="24"/>
              </w:rPr>
              <w:t>22.61</w:t>
            </w:r>
          </w:p>
        </w:tc>
        <w:tc>
          <w:tcPr>
            <w:tcW w:w="1095" w:type="dxa"/>
            <w:shd w:val="clear" w:color="auto" w:fill="auto"/>
            <w:vAlign w:val="center"/>
          </w:tcPr>
          <w:p w14:paraId="2E5855C8" w14:textId="77777777" w:rsidR="00EB55F0" w:rsidRPr="00845A3A" w:rsidRDefault="00EB55F0" w:rsidP="001C63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45A3A">
              <w:rPr>
                <w:rFonts w:ascii="Times New Roman" w:hAnsi="Times New Roman" w:cs="Times New Roman"/>
                <w:sz w:val="24"/>
                <w:szCs w:val="24"/>
              </w:rPr>
              <w:t>78.76</w:t>
            </w:r>
          </w:p>
        </w:tc>
        <w:tc>
          <w:tcPr>
            <w:tcW w:w="947" w:type="dxa"/>
            <w:shd w:val="clear" w:color="auto" w:fill="auto"/>
            <w:vAlign w:val="center"/>
          </w:tcPr>
          <w:p w14:paraId="0DDFA4BD" w14:textId="77777777" w:rsidR="00EB55F0" w:rsidRPr="00845A3A" w:rsidRDefault="00EB55F0" w:rsidP="001C63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54" w:history="1">
              <w:r w:rsidRPr="00845A3A">
                <w:rPr>
                  <w:rFonts w:ascii="Times New Roman" w:eastAsia="Times New Roman" w:hAnsi="Times New Roman" w:cs="Times New Roman"/>
                  <w:sz w:val="24"/>
                  <w:szCs w:val="24"/>
                </w:rPr>
                <w:t>28</w:t>
              </w:r>
            </w:hyperlink>
          </w:p>
        </w:tc>
      </w:tr>
      <w:tr w:rsidR="00EB55F0" w:rsidRPr="00845A3A" w14:paraId="1A81AB16" w14:textId="77777777" w:rsidTr="002F163C">
        <w:trPr>
          <w:divId w:val="1275020545"/>
          <w:trHeight w:val="99"/>
        </w:trPr>
        <w:tc>
          <w:tcPr>
            <w:cnfStyle w:val="001000000000" w:firstRow="0" w:lastRow="0" w:firstColumn="1" w:lastColumn="0" w:oddVBand="0" w:evenVBand="0" w:oddHBand="0" w:evenHBand="0" w:firstRowFirstColumn="0" w:firstRowLastColumn="0" w:lastRowFirstColumn="0" w:lastRowLastColumn="0"/>
            <w:tcW w:w="1279" w:type="dxa"/>
            <w:shd w:val="clear" w:color="auto" w:fill="auto"/>
            <w:vAlign w:val="center"/>
          </w:tcPr>
          <w:p w14:paraId="6C8EC220" w14:textId="77777777" w:rsidR="00EB55F0" w:rsidRPr="00845A3A" w:rsidRDefault="00EB55F0" w:rsidP="001C63AB">
            <w:pPr>
              <w:jc w:val="center"/>
              <w:rPr>
                <w:rFonts w:ascii="Times New Roman" w:hAnsi="Times New Roman" w:cs="Times New Roman"/>
                <w:b w:val="0"/>
                <w:bCs w:val="0"/>
                <w:sz w:val="24"/>
                <w:szCs w:val="24"/>
              </w:rPr>
            </w:pPr>
            <w:r w:rsidRPr="00845A3A">
              <w:rPr>
                <w:rFonts w:ascii="Times New Roman" w:hAnsi="Times New Roman" w:cs="Times New Roman"/>
                <w:b w:val="0"/>
                <w:bCs w:val="0"/>
                <w:sz w:val="24"/>
                <w:szCs w:val="24"/>
              </w:rPr>
              <w:t>Yb-SnO</w:t>
            </w:r>
            <w:r w:rsidRPr="00845A3A">
              <w:rPr>
                <w:rFonts w:ascii="Times New Roman" w:hAnsi="Times New Roman" w:cs="Times New Roman"/>
                <w:b w:val="0"/>
                <w:bCs w:val="0"/>
                <w:sz w:val="24"/>
                <w:szCs w:val="24"/>
                <w:vertAlign w:val="subscript"/>
              </w:rPr>
              <w:t>2</w:t>
            </w:r>
          </w:p>
        </w:tc>
        <w:tc>
          <w:tcPr>
            <w:tcW w:w="1847" w:type="dxa"/>
            <w:shd w:val="clear" w:color="auto" w:fill="auto"/>
            <w:vAlign w:val="center"/>
          </w:tcPr>
          <w:p w14:paraId="3BBA3D23" w14:textId="77777777" w:rsidR="00EB55F0" w:rsidRPr="00845A3A" w:rsidRDefault="00EB55F0" w:rsidP="001C63A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45A3A">
              <w:rPr>
                <w:rFonts w:ascii="Times New Roman" w:hAnsi="Times New Roman" w:cs="Times New Roman"/>
                <w:sz w:val="24"/>
                <w:szCs w:val="24"/>
              </w:rPr>
              <w:t>MAPbI</w:t>
            </w:r>
            <w:r w:rsidRPr="00845A3A">
              <w:rPr>
                <w:rFonts w:ascii="Times New Roman" w:hAnsi="Times New Roman" w:cs="Times New Roman"/>
                <w:sz w:val="24"/>
                <w:szCs w:val="24"/>
                <w:vertAlign w:val="subscript"/>
              </w:rPr>
              <w:t>3</w:t>
            </w:r>
          </w:p>
        </w:tc>
        <w:tc>
          <w:tcPr>
            <w:tcW w:w="1136" w:type="dxa"/>
            <w:shd w:val="clear" w:color="auto" w:fill="auto"/>
            <w:vAlign w:val="center"/>
          </w:tcPr>
          <w:p w14:paraId="72C836C3" w14:textId="77777777" w:rsidR="00EB55F0" w:rsidRPr="00845A3A" w:rsidRDefault="00EB55F0" w:rsidP="001C63A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45A3A">
              <w:rPr>
                <w:rFonts w:ascii="Times New Roman" w:hAnsi="Times New Roman" w:cs="Times New Roman"/>
                <w:sz w:val="24"/>
                <w:szCs w:val="24"/>
              </w:rPr>
              <w:t>1.06</w:t>
            </w:r>
          </w:p>
        </w:tc>
        <w:tc>
          <w:tcPr>
            <w:tcW w:w="1279" w:type="dxa"/>
            <w:shd w:val="clear" w:color="auto" w:fill="auto"/>
            <w:vAlign w:val="center"/>
          </w:tcPr>
          <w:p w14:paraId="05E9C8E2" w14:textId="77777777" w:rsidR="00EB55F0" w:rsidRPr="00845A3A" w:rsidRDefault="00EB55F0" w:rsidP="001C63A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45A3A">
              <w:rPr>
                <w:rFonts w:ascii="Times New Roman" w:hAnsi="Times New Roman" w:cs="Times New Roman"/>
                <w:sz w:val="24"/>
                <w:szCs w:val="24"/>
              </w:rPr>
              <w:t>17.31</w:t>
            </w:r>
          </w:p>
        </w:tc>
        <w:tc>
          <w:tcPr>
            <w:tcW w:w="1603" w:type="dxa"/>
            <w:shd w:val="clear" w:color="auto" w:fill="auto"/>
            <w:vAlign w:val="center"/>
          </w:tcPr>
          <w:p w14:paraId="74CC4B42" w14:textId="77777777" w:rsidR="00EB55F0" w:rsidRPr="00845A3A" w:rsidRDefault="00EB55F0" w:rsidP="001C63A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45A3A">
              <w:rPr>
                <w:rFonts w:ascii="Times New Roman" w:hAnsi="Times New Roman" w:cs="Times New Roman"/>
                <w:sz w:val="24"/>
                <w:szCs w:val="24"/>
              </w:rPr>
              <w:t>21.85</w:t>
            </w:r>
          </w:p>
        </w:tc>
        <w:tc>
          <w:tcPr>
            <w:tcW w:w="1095" w:type="dxa"/>
            <w:shd w:val="clear" w:color="auto" w:fill="auto"/>
            <w:vAlign w:val="center"/>
          </w:tcPr>
          <w:p w14:paraId="5C7015EA" w14:textId="77777777" w:rsidR="00EB55F0" w:rsidRPr="00845A3A" w:rsidRDefault="00EB55F0" w:rsidP="001C63A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45A3A">
              <w:rPr>
                <w:rFonts w:ascii="Times New Roman" w:hAnsi="Times New Roman" w:cs="Times New Roman"/>
                <w:sz w:val="24"/>
                <w:szCs w:val="24"/>
              </w:rPr>
              <w:t>74.40</w:t>
            </w:r>
          </w:p>
        </w:tc>
        <w:tc>
          <w:tcPr>
            <w:tcW w:w="947" w:type="dxa"/>
            <w:shd w:val="clear" w:color="auto" w:fill="auto"/>
            <w:vAlign w:val="center"/>
          </w:tcPr>
          <w:p w14:paraId="5305A46C" w14:textId="77777777" w:rsidR="00EB55F0" w:rsidRPr="00845A3A" w:rsidRDefault="00EB55F0" w:rsidP="001C63A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55" w:history="1">
              <w:r w:rsidRPr="00845A3A">
                <w:rPr>
                  <w:rFonts w:ascii="Times New Roman" w:eastAsia="Times New Roman" w:hAnsi="Times New Roman" w:cs="Times New Roman"/>
                  <w:sz w:val="24"/>
                  <w:szCs w:val="24"/>
                </w:rPr>
                <w:t>45</w:t>
              </w:r>
            </w:hyperlink>
          </w:p>
        </w:tc>
      </w:tr>
      <w:tr w:rsidR="00EB55F0" w:rsidRPr="00845A3A" w14:paraId="312E48F0" w14:textId="77777777" w:rsidTr="002F163C">
        <w:trPr>
          <w:cnfStyle w:val="000000100000" w:firstRow="0" w:lastRow="0" w:firstColumn="0" w:lastColumn="0" w:oddVBand="0" w:evenVBand="0" w:oddHBand="1" w:evenHBand="0" w:firstRowFirstColumn="0" w:firstRowLastColumn="0" w:lastRowFirstColumn="0" w:lastRowLastColumn="0"/>
          <w:divId w:val="1275020545"/>
          <w:trHeight w:val="471"/>
        </w:trPr>
        <w:tc>
          <w:tcPr>
            <w:cnfStyle w:val="001000000000" w:firstRow="0" w:lastRow="0" w:firstColumn="1" w:lastColumn="0" w:oddVBand="0" w:evenVBand="0" w:oddHBand="0" w:evenHBand="0" w:firstRowFirstColumn="0" w:firstRowLastColumn="0" w:lastRowFirstColumn="0" w:lastRowLastColumn="0"/>
            <w:tcW w:w="1279" w:type="dxa"/>
            <w:shd w:val="clear" w:color="auto" w:fill="auto"/>
            <w:vAlign w:val="center"/>
          </w:tcPr>
          <w:p w14:paraId="7B8D3B63" w14:textId="77777777" w:rsidR="00EB55F0" w:rsidRPr="00845A3A" w:rsidRDefault="00EB55F0" w:rsidP="001C63AB">
            <w:pPr>
              <w:jc w:val="center"/>
              <w:rPr>
                <w:rFonts w:ascii="Times New Roman" w:hAnsi="Times New Roman" w:cs="Times New Roman"/>
                <w:b w:val="0"/>
                <w:bCs w:val="0"/>
                <w:sz w:val="24"/>
                <w:szCs w:val="24"/>
              </w:rPr>
            </w:pPr>
            <w:r w:rsidRPr="00845A3A">
              <w:rPr>
                <w:rFonts w:ascii="Times New Roman" w:hAnsi="Times New Roman" w:cs="Times New Roman"/>
                <w:b w:val="0"/>
                <w:bCs w:val="0"/>
                <w:sz w:val="24"/>
                <w:szCs w:val="24"/>
              </w:rPr>
              <w:t>Y-SnO</w:t>
            </w:r>
            <w:r w:rsidRPr="00845A3A">
              <w:rPr>
                <w:rFonts w:ascii="Times New Roman" w:hAnsi="Times New Roman" w:cs="Times New Roman"/>
                <w:b w:val="0"/>
                <w:bCs w:val="0"/>
                <w:sz w:val="24"/>
                <w:szCs w:val="24"/>
                <w:vertAlign w:val="subscript"/>
              </w:rPr>
              <w:t>2</w:t>
            </w:r>
          </w:p>
        </w:tc>
        <w:tc>
          <w:tcPr>
            <w:tcW w:w="1847" w:type="dxa"/>
            <w:shd w:val="clear" w:color="auto" w:fill="auto"/>
            <w:vAlign w:val="center"/>
          </w:tcPr>
          <w:p w14:paraId="742C4158" w14:textId="77777777" w:rsidR="00EB55F0" w:rsidRPr="00845A3A" w:rsidRDefault="00EB55F0" w:rsidP="001C63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45A3A">
              <w:rPr>
                <w:rFonts w:ascii="Times New Roman" w:hAnsi="Times New Roman" w:cs="Times New Roman"/>
                <w:sz w:val="24"/>
                <w:szCs w:val="24"/>
              </w:rPr>
              <w:t>CsFAMABr</w:t>
            </w:r>
            <w:r w:rsidRPr="00845A3A">
              <w:rPr>
                <w:rFonts w:ascii="Times New Roman" w:hAnsi="Times New Roman" w:cs="Times New Roman"/>
                <w:sz w:val="24"/>
                <w:szCs w:val="24"/>
                <w:vertAlign w:val="subscript"/>
              </w:rPr>
              <w:t>x</w:t>
            </w:r>
            <w:r w:rsidRPr="00845A3A">
              <w:rPr>
                <w:rFonts w:ascii="Times New Roman" w:hAnsi="Times New Roman" w:cs="Times New Roman"/>
                <w:sz w:val="24"/>
                <w:szCs w:val="24"/>
              </w:rPr>
              <w:t>I</w:t>
            </w:r>
            <w:r w:rsidRPr="00845A3A">
              <w:rPr>
                <w:rFonts w:ascii="Times New Roman" w:hAnsi="Times New Roman" w:cs="Times New Roman"/>
                <w:sz w:val="24"/>
                <w:szCs w:val="24"/>
                <w:vertAlign w:val="subscript"/>
              </w:rPr>
              <w:t>3-x</w:t>
            </w:r>
          </w:p>
        </w:tc>
        <w:tc>
          <w:tcPr>
            <w:tcW w:w="1136" w:type="dxa"/>
            <w:shd w:val="clear" w:color="auto" w:fill="auto"/>
            <w:vAlign w:val="center"/>
          </w:tcPr>
          <w:p w14:paraId="60D3BAE3" w14:textId="77777777" w:rsidR="00EB55F0" w:rsidRPr="00845A3A" w:rsidRDefault="00EB55F0" w:rsidP="001C63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45A3A">
              <w:rPr>
                <w:rFonts w:ascii="Times New Roman" w:hAnsi="Times New Roman" w:cs="Times New Roman"/>
                <w:sz w:val="24"/>
                <w:szCs w:val="24"/>
              </w:rPr>
              <w:t>1.13</w:t>
            </w:r>
          </w:p>
        </w:tc>
        <w:tc>
          <w:tcPr>
            <w:tcW w:w="1279" w:type="dxa"/>
            <w:shd w:val="clear" w:color="auto" w:fill="auto"/>
            <w:vAlign w:val="center"/>
          </w:tcPr>
          <w:p w14:paraId="35B5824A" w14:textId="77777777" w:rsidR="00EB55F0" w:rsidRPr="00845A3A" w:rsidRDefault="00EB55F0" w:rsidP="001C63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45A3A">
              <w:rPr>
                <w:rFonts w:ascii="Times New Roman" w:hAnsi="Times New Roman" w:cs="Times New Roman"/>
                <w:sz w:val="24"/>
                <w:szCs w:val="24"/>
              </w:rPr>
              <w:t>20.71</w:t>
            </w:r>
          </w:p>
        </w:tc>
        <w:tc>
          <w:tcPr>
            <w:tcW w:w="1603" w:type="dxa"/>
            <w:shd w:val="clear" w:color="auto" w:fill="auto"/>
            <w:vAlign w:val="center"/>
          </w:tcPr>
          <w:p w14:paraId="0F5412F9" w14:textId="77777777" w:rsidR="00EB55F0" w:rsidRPr="00845A3A" w:rsidRDefault="00EB55F0" w:rsidP="001C63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45A3A">
              <w:rPr>
                <w:rFonts w:ascii="Times New Roman" w:hAnsi="Times New Roman" w:cs="Times New Roman"/>
                <w:sz w:val="24"/>
                <w:szCs w:val="24"/>
              </w:rPr>
              <w:t>23.56</w:t>
            </w:r>
          </w:p>
        </w:tc>
        <w:tc>
          <w:tcPr>
            <w:tcW w:w="1095" w:type="dxa"/>
            <w:shd w:val="clear" w:color="auto" w:fill="auto"/>
            <w:vAlign w:val="center"/>
          </w:tcPr>
          <w:p w14:paraId="276895E1" w14:textId="77777777" w:rsidR="00EB55F0" w:rsidRPr="00845A3A" w:rsidRDefault="00EB55F0" w:rsidP="001C63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45A3A">
              <w:rPr>
                <w:rFonts w:ascii="Times New Roman" w:hAnsi="Times New Roman" w:cs="Times New Roman"/>
                <w:sz w:val="24"/>
                <w:szCs w:val="24"/>
              </w:rPr>
              <w:t>77.78</w:t>
            </w:r>
          </w:p>
        </w:tc>
        <w:tc>
          <w:tcPr>
            <w:tcW w:w="947" w:type="dxa"/>
            <w:shd w:val="clear" w:color="auto" w:fill="auto"/>
            <w:vAlign w:val="center"/>
          </w:tcPr>
          <w:p w14:paraId="724A8DC9" w14:textId="77777777" w:rsidR="00EB55F0" w:rsidRPr="00845A3A" w:rsidRDefault="00EB55F0" w:rsidP="001C63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56" w:history="1">
              <w:r w:rsidRPr="00845A3A">
                <w:rPr>
                  <w:rFonts w:ascii="Times New Roman" w:eastAsia="Times New Roman" w:hAnsi="Times New Roman" w:cs="Times New Roman"/>
                  <w:sz w:val="24"/>
                  <w:szCs w:val="24"/>
                </w:rPr>
                <w:t>23</w:t>
              </w:r>
            </w:hyperlink>
          </w:p>
        </w:tc>
      </w:tr>
      <w:tr w:rsidR="00EB55F0" w:rsidRPr="00845A3A" w14:paraId="6A79E670" w14:textId="77777777" w:rsidTr="002F163C">
        <w:trPr>
          <w:divId w:val="1275020545"/>
          <w:trHeight w:val="471"/>
        </w:trPr>
        <w:tc>
          <w:tcPr>
            <w:cnfStyle w:val="001000000000" w:firstRow="0" w:lastRow="0" w:firstColumn="1" w:lastColumn="0" w:oddVBand="0" w:evenVBand="0" w:oddHBand="0" w:evenHBand="0" w:firstRowFirstColumn="0" w:firstRowLastColumn="0" w:lastRowFirstColumn="0" w:lastRowLastColumn="0"/>
            <w:tcW w:w="1279" w:type="dxa"/>
            <w:shd w:val="clear" w:color="auto" w:fill="auto"/>
            <w:vAlign w:val="center"/>
          </w:tcPr>
          <w:p w14:paraId="57B0EED6" w14:textId="77777777" w:rsidR="00EB55F0" w:rsidRPr="00845A3A" w:rsidRDefault="00EB55F0" w:rsidP="001C63AB">
            <w:pPr>
              <w:jc w:val="center"/>
              <w:rPr>
                <w:rFonts w:ascii="Times New Roman" w:hAnsi="Times New Roman" w:cs="Times New Roman"/>
                <w:b w:val="0"/>
                <w:bCs w:val="0"/>
                <w:sz w:val="24"/>
                <w:szCs w:val="24"/>
              </w:rPr>
            </w:pPr>
            <w:r w:rsidRPr="00845A3A">
              <w:rPr>
                <w:rFonts w:ascii="Times New Roman" w:hAnsi="Times New Roman" w:cs="Times New Roman"/>
                <w:b w:val="0"/>
                <w:bCs w:val="0"/>
                <w:sz w:val="24"/>
                <w:szCs w:val="24"/>
              </w:rPr>
              <w:t>Nd- SnO</w:t>
            </w:r>
            <w:r w:rsidRPr="00845A3A">
              <w:rPr>
                <w:rFonts w:ascii="Times New Roman" w:hAnsi="Times New Roman" w:cs="Times New Roman"/>
                <w:b w:val="0"/>
                <w:bCs w:val="0"/>
                <w:sz w:val="24"/>
                <w:szCs w:val="24"/>
                <w:vertAlign w:val="subscript"/>
              </w:rPr>
              <w:t>2</w:t>
            </w:r>
          </w:p>
        </w:tc>
        <w:tc>
          <w:tcPr>
            <w:tcW w:w="1847" w:type="dxa"/>
            <w:shd w:val="clear" w:color="auto" w:fill="auto"/>
            <w:vAlign w:val="center"/>
          </w:tcPr>
          <w:p w14:paraId="39C764CE" w14:textId="77777777" w:rsidR="00EB55F0" w:rsidRPr="00845A3A" w:rsidRDefault="00EB55F0" w:rsidP="001C63A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45A3A">
              <w:rPr>
                <w:rFonts w:ascii="Times New Roman" w:hAnsi="Times New Roman" w:cs="Times New Roman"/>
                <w:sz w:val="24"/>
                <w:szCs w:val="24"/>
              </w:rPr>
              <w:t>CsFAMABr</w:t>
            </w:r>
            <w:r w:rsidRPr="00845A3A">
              <w:rPr>
                <w:rFonts w:ascii="Times New Roman" w:hAnsi="Times New Roman" w:cs="Times New Roman"/>
                <w:sz w:val="24"/>
                <w:szCs w:val="24"/>
                <w:vertAlign w:val="subscript"/>
              </w:rPr>
              <w:t>x</w:t>
            </w:r>
            <w:r w:rsidRPr="00845A3A">
              <w:rPr>
                <w:rFonts w:ascii="Times New Roman" w:hAnsi="Times New Roman" w:cs="Times New Roman"/>
                <w:sz w:val="24"/>
                <w:szCs w:val="24"/>
              </w:rPr>
              <w:t>I</w:t>
            </w:r>
            <w:r w:rsidRPr="00845A3A">
              <w:rPr>
                <w:rFonts w:ascii="Times New Roman" w:hAnsi="Times New Roman" w:cs="Times New Roman"/>
                <w:sz w:val="24"/>
                <w:szCs w:val="24"/>
                <w:vertAlign w:val="subscript"/>
              </w:rPr>
              <w:t>3-x</w:t>
            </w:r>
          </w:p>
        </w:tc>
        <w:tc>
          <w:tcPr>
            <w:tcW w:w="1136" w:type="dxa"/>
            <w:shd w:val="clear" w:color="auto" w:fill="auto"/>
            <w:vAlign w:val="center"/>
          </w:tcPr>
          <w:p w14:paraId="3172FD3E" w14:textId="77777777" w:rsidR="00EB55F0" w:rsidRPr="00845A3A" w:rsidRDefault="00EB55F0" w:rsidP="001C63A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45A3A">
              <w:rPr>
                <w:rFonts w:ascii="Times New Roman" w:hAnsi="Times New Roman" w:cs="Times New Roman"/>
                <w:sz w:val="24"/>
                <w:szCs w:val="24"/>
              </w:rPr>
              <w:t>1.12</w:t>
            </w:r>
          </w:p>
        </w:tc>
        <w:tc>
          <w:tcPr>
            <w:tcW w:w="1279" w:type="dxa"/>
            <w:shd w:val="clear" w:color="auto" w:fill="auto"/>
            <w:vAlign w:val="center"/>
          </w:tcPr>
          <w:p w14:paraId="2369F52A" w14:textId="77777777" w:rsidR="00EB55F0" w:rsidRPr="00845A3A" w:rsidRDefault="00EB55F0" w:rsidP="001C63A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45A3A">
              <w:rPr>
                <w:rFonts w:ascii="Times New Roman" w:hAnsi="Times New Roman" w:cs="Times New Roman"/>
                <w:sz w:val="24"/>
                <w:szCs w:val="24"/>
              </w:rPr>
              <w:t>20.92</w:t>
            </w:r>
          </w:p>
        </w:tc>
        <w:tc>
          <w:tcPr>
            <w:tcW w:w="1603" w:type="dxa"/>
            <w:shd w:val="clear" w:color="auto" w:fill="auto"/>
            <w:vAlign w:val="center"/>
          </w:tcPr>
          <w:p w14:paraId="32EF043B" w14:textId="77777777" w:rsidR="00EB55F0" w:rsidRPr="00845A3A" w:rsidRDefault="00EB55F0" w:rsidP="001C63A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45A3A">
              <w:rPr>
                <w:rFonts w:ascii="Times New Roman" w:hAnsi="Times New Roman" w:cs="Times New Roman"/>
                <w:sz w:val="24"/>
                <w:szCs w:val="24"/>
              </w:rPr>
              <w:t>23.85</w:t>
            </w:r>
          </w:p>
        </w:tc>
        <w:tc>
          <w:tcPr>
            <w:tcW w:w="1095" w:type="dxa"/>
            <w:shd w:val="clear" w:color="auto" w:fill="auto"/>
            <w:vAlign w:val="center"/>
          </w:tcPr>
          <w:p w14:paraId="16821936" w14:textId="77777777" w:rsidR="00EB55F0" w:rsidRPr="00845A3A" w:rsidRDefault="00EB55F0" w:rsidP="001C63A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45A3A">
              <w:rPr>
                <w:rFonts w:ascii="Times New Roman" w:hAnsi="Times New Roman" w:cs="Times New Roman"/>
                <w:sz w:val="24"/>
                <w:szCs w:val="24"/>
              </w:rPr>
              <w:t>78.20</w:t>
            </w:r>
          </w:p>
        </w:tc>
        <w:tc>
          <w:tcPr>
            <w:tcW w:w="947" w:type="dxa"/>
            <w:shd w:val="clear" w:color="auto" w:fill="auto"/>
            <w:vAlign w:val="center"/>
          </w:tcPr>
          <w:p w14:paraId="180DF4ED" w14:textId="77777777" w:rsidR="00EB55F0" w:rsidRPr="00845A3A" w:rsidRDefault="00EB55F0" w:rsidP="001C63A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57" w:history="1">
              <w:r w:rsidRPr="00845A3A">
                <w:rPr>
                  <w:rFonts w:ascii="Times New Roman" w:eastAsia="Times New Roman" w:hAnsi="Times New Roman" w:cs="Times New Roman"/>
                  <w:sz w:val="24"/>
                  <w:szCs w:val="24"/>
                </w:rPr>
                <w:t>46</w:t>
              </w:r>
            </w:hyperlink>
          </w:p>
        </w:tc>
      </w:tr>
      <w:tr w:rsidR="00EB55F0" w:rsidRPr="00845A3A" w14:paraId="25AB1AEF" w14:textId="77777777" w:rsidTr="002F163C">
        <w:trPr>
          <w:cnfStyle w:val="000000100000" w:firstRow="0" w:lastRow="0" w:firstColumn="0" w:lastColumn="0" w:oddVBand="0" w:evenVBand="0" w:oddHBand="1" w:evenHBand="0" w:firstRowFirstColumn="0" w:firstRowLastColumn="0" w:lastRowFirstColumn="0" w:lastRowLastColumn="0"/>
          <w:divId w:val="1275020545"/>
          <w:trHeight w:val="471"/>
        </w:trPr>
        <w:tc>
          <w:tcPr>
            <w:cnfStyle w:val="001000000000" w:firstRow="0" w:lastRow="0" w:firstColumn="1" w:lastColumn="0" w:oddVBand="0" w:evenVBand="0" w:oddHBand="0" w:evenHBand="0" w:firstRowFirstColumn="0" w:firstRowLastColumn="0" w:lastRowFirstColumn="0" w:lastRowLastColumn="0"/>
            <w:tcW w:w="1279" w:type="dxa"/>
            <w:shd w:val="clear" w:color="auto" w:fill="auto"/>
            <w:vAlign w:val="center"/>
          </w:tcPr>
          <w:p w14:paraId="618A3552" w14:textId="77777777" w:rsidR="00EB55F0" w:rsidRPr="00845A3A" w:rsidRDefault="00EB55F0" w:rsidP="001C63AB">
            <w:pPr>
              <w:jc w:val="center"/>
              <w:rPr>
                <w:rFonts w:ascii="Times New Roman" w:hAnsi="Times New Roman" w:cs="Times New Roman"/>
                <w:b w:val="0"/>
                <w:bCs w:val="0"/>
                <w:sz w:val="24"/>
                <w:szCs w:val="24"/>
              </w:rPr>
            </w:pPr>
            <w:r w:rsidRPr="00845A3A">
              <w:rPr>
                <w:rFonts w:ascii="Times New Roman" w:hAnsi="Times New Roman" w:cs="Times New Roman"/>
                <w:b w:val="0"/>
                <w:bCs w:val="0"/>
                <w:sz w:val="24"/>
                <w:szCs w:val="24"/>
              </w:rPr>
              <w:t>Gd-SnO</w:t>
            </w:r>
            <w:r w:rsidRPr="00845A3A">
              <w:rPr>
                <w:rFonts w:ascii="Times New Roman" w:hAnsi="Times New Roman" w:cs="Times New Roman"/>
                <w:b w:val="0"/>
                <w:bCs w:val="0"/>
                <w:sz w:val="24"/>
                <w:szCs w:val="24"/>
                <w:vertAlign w:val="subscript"/>
              </w:rPr>
              <w:t>2</w:t>
            </w:r>
          </w:p>
        </w:tc>
        <w:tc>
          <w:tcPr>
            <w:tcW w:w="1847" w:type="dxa"/>
            <w:shd w:val="clear" w:color="auto" w:fill="auto"/>
            <w:vAlign w:val="center"/>
          </w:tcPr>
          <w:p w14:paraId="0E2C7471" w14:textId="77777777" w:rsidR="00EB55F0" w:rsidRPr="00845A3A" w:rsidRDefault="00EB55F0" w:rsidP="001C63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45A3A">
              <w:rPr>
                <w:rFonts w:ascii="Times New Roman" w:hAnsi="Times New Roman" w:cs="Times New Roman"/>
                <w:sz w:val="24"/>
                <w:szCs w:val="24"/>
              </w:rPr>
              <w:t>FAMAPbBr</w:t>
            </w:r>
            <w:r w:rsidRPr="00845A3A">
              <w:rPr>
                <w:rFonts w:ascii="Times New Roman" w:hAnsi="Times New Roman" w:cs="Times New Roman"/>
                <w:sz w:val="24"/>
                <w:szCs w:val="24"/>
                <w:vertAlign w:val="subscript"/>
              </w:rPr>
              <w:t>x</w:t>
            </w:r>
            <w:r w:rsidRPr="00845A3A">
              <w:rPr>
                <w:rFonts w:ascii="Times New Roman" w:hAnsi="Times New Roman" w:cs="Times New Roman"/>
                <w:sz w:val="24"/>
                <w:szCs w:val="24"/>
              </w:rPr>
              <w:t>I</w:t>
            </w:r>
            <w:r w:rsidRPr="00845A3A">
              <w:rPr>
                <w:rFonts w:ascii="Times New Roman" w:hAnsi="Times New Roman" w:cs="Times New Roman"/>
                <w:sz w:val="24"/>
                <w:szCs w:val="24"/>
                <w:vertAlign w:val="subscript"/>
              </w:rPr>
              <w:t>3-x</w:t>
            </w:r>
          </w:p>
        </w:tc>
        <w:tc>
          <w:tcPr>
            <w:tcW w:w="1136" w:type="dxa"/>
            <w:shd w:val="clear" w:color="auto" w:fill="auto"/>
            <w:vAlign w:val="center"/>
          </w:tcPr>
          <w:p w14:paraId="5A7BCADF" w14:textId="77777777" w:rsidR="00EB55F0" w:rsidRPr="00845A3A" w:rsidRDefault="00EB55F0" w:rsidP="001C63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45A3A">
              <w:rPr>
                <w:rFonts w:ascii="Times New Roman" w:hAnsi="Times New Roman" w:cs="Times New Roman"/>
                <w:sz w:val="24"/>
                <w:szCs w:val="24"/>
              </w:rPr>
              <w:t>1.14</w:t>
            </w:r>
          </w:p>
        </w:tc>
        <w:tc>
          <w:tcPr>
            <w:tcW w:w="1279" w:type="dxa"/>
            <w:shd w:val="clear" w:color="auto" w:fill="auto"/>
            <w:vAlign w:val="center"/>
          </w:tcPr>
          <w:p w14:paraId="5A22B336" w14:textId="77777777" w:rsidR="00EB55F0" w:rsidRPr="00845A3A" w:rsidRDefault="00EB55F0" w:rsidP="001C63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45A3A">
              <w:rPr>
                <w:rFonts w:ascii="Times New Roman" w:hAnsi="Times New Roman" w:cs="Times New Roman"/>
                <w:sz w:val="24"/>
                <w:szCs w:val="24"/>
              </w:rPr>
              <w:t>22.40</w:t>
            </w:r>
          </w:p>
        </w:tc>
        <w:tc>
          <w:tcPr>
            <w:tcW w:w="1603" w:type="dxa"/>
            <w:shd w:val="clear" w:color="auto" w:fill="auto"/>
            <w:vAlign w:val="center"/>
          </w:tcPr>
          <w:p w14:paraId="00421588" w14:textId="77777777" w:rsidR="00EB55F0" w:rsidRPr="00845A3A" w:rsidRDefault="00EB55F0" w:rsidP="001C63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45A3A">
              <w:rPr>
                <w:rFonts w:ascii="Times New Roman" w:hAnsi="Times New Roman" w:cs="Times New Roman"/>
                <w:sz w:val="24"/>
                <w:szCs w:val="24"/>
              </w:rPr>
              <w:t>23.80</w:t>
            </w:r>
          </w:p>
        </w:tc>
        <w:tc>
          <w:tcPr>
            <w:tcW w:w="1095" w:type="dxa"/>
            <w:shd w:val="clear" w:color="auto" w:fill="auto"/>
            <w:vAlign w:val="center"/>
          </w:tcPr>
          <w:p w14:paraId="0240C000" w14:textId="77777777" w:rsidR="00EB55F0" w:rsidRPr="00845A3A" w:rsidRDefault="00EB55F0" w:rsidP="001C63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45A3A">
              <w:rPr>
                <w:rFonts w:ascii="Times New Roman" w:hAnsi="Times New Roman" w:cs="Times New Roman"/>
                <w:sz w:val="24"/>
                <w:szCs w:val="24"/>
              </w:rPr>
              <w:t>82.00</w:t>
            </w:r>
          </w:p>
        </w:tc>
        <w:tc>
          <w:tcPr>
            <w:tcW w:w="947" w:type="dxa"/>
            <w:shd w:val="clear" w:color="auto" w:fill="auto"/>
            <w:vAlign w:val="center"/>
          </w:tcPr>
          <w:p w14:paraId="09127F52" w14:textId="77777777" w:rsidR="00EB55F0" w:rsidRPr="00845A3A" w:rsidRDefault="00EB55F0" w:rsidP="001C63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58" w:history="1">
              <w:r w:rsidRPr="00845A3A">
                <w:rPr>
                  <w:rFonts w:ascii="Times New Roman" w:eastAsia="Times New Roman" w:hAnsi="Times New Roman" w:cs="Times New Roman"/>
                  <w:sz w:val="24"/>
                  <w:szCs w:val="24"/>
                </w:rPr>
                <w:t>22</w:t>
              </w:r>
            </w:hyperlink>
          </w:p>
        </w:tc>
      </w:tr>
      <w:tr w:rsidR="00EB55F0" w:rsidRPr="00845A3A" w14:paraId="103EF019" w14:textId="77777777" w:rsidTr="002F163C">
        <w:trPr>
          <w:divId w:val="1275020545"/>
          <w:trHeight w:val="471"/>
        </w:trPr>
        <w:tc>
          <w:tcPr>
            <w:cnfStyle w:val="001000000000" w:firstRow="0" w:lastRow="0" w:firstColumn="1" w:lastColumn="0" w:oddVBand="0" w:evenVBand="0" w:oddHBand="0" w:evenHBand="0" w:firstRowFirstColumn="0" w:firstRowLastColumn="0" w:lastRowFirstColumn="0" w:lastRowLastColumn="0"/>
            <w:tcW w:w="1279" w:type="dxa"/>
            <w:vMerge w:val="restart"/>
            <w:shd w:val="clear" w:color="auto" w:fill="auto"/>
            <w:vAlign w:val="center"/>
          </w:tcPr>
          <w:p w14:paraId="30351895" w14:textId="77777777" w:rsidR="00EB55F0" w:rsidRPr="00845A3A" w:rsidRDefault="00EB55F0" w:rsidP="001C63AB">
            <w:pPr>
              <w:jc w:val="center"/>
              <w:rPr>
                <w:rFonts w:ascii="Times New Roman" w:hAnsi="Times New Roman" w:cs="Times New Roman"/>
                <w:b w:val="0"/>
                <w:bCs w:val="0"/>
                <w:sz w:val="24"/>
                <w:szCs w:val="24"/>
              </w:rPr>
            </w:pPr>
            <w:r w:rsidRPr="00845A3A">
              <w:rPr>
                <w:rFonts w:ascii="Times New Roman" w:hAnsi="Times New Roman" w:cs="Times New Roman"/>
                <w:b w:val="0"/>
                <w:bCs w:val="0"/>
                <w:sz w:val="24"/>
                <w:szCs w:val="24"/>
              </w:rPr>
              <w:t>Ce-SnO</w:t>
            </w:r>
            <w:r w:rsidRPr="00845A3A">
              <w:rPr>
                <w:rFonts w:ascii="Times New Roman" w:hAnsi="Times New Roman" w:cs="Times New Roman"/>
                <w:b w:val="0"/>
                <w:bCs w:val="0"/>
                <w:sz w:val="24"/>
                <w:szCs w:val="24"/>
                <w:vertAlign w:val="subscript"/>
              </w:rPr>
              <w:t>2</w:t>
            </w:r>
          </w:p>
        </w:tc>
        <w:tc>
          <w:tcPr>
            <w:tcW w:w="1847" w:type="dxa"/>
            <w:shd w:val="clear" w:color="auto" w:fill="auto"/>
            <w:vAlign w:val="center"/>
          </w:tcPr>
          <w:p w14:paraId="7FFCCE79" w14:textId="77777777" w:rsidR="00EB55F0" w:rsidRPr="00845A3A" w:rsidRDefault="00EB55F0" w:rsidP="001C63A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45A3A">
              <w:rPr>
                <w:rFonts w:ascii="Times New Roman" w:hAnsi="Times New Roman" w:cs="Times New Roman"/>
                <w:sz w:val="24"/>
                <w:szCs w:val="24"/>
              </w:rPr>
              <w:t>CsFAMABr</w:t>
            </w:r>
            <w:r w:rsidRPr="00845A3A">
              <w:rPr>
                <w:rFonts w:ascii="Times New Roman" w:hAnsi="Times New Roman" w:cs="Times New Roman"/>
                <w:sz w:val="24"/>
                <w:szCs w:val="24"/>
                <w:vertAlign w:val="subscript"/>
              </w:rPr>
              <w:t>x</w:t>
            </w:r>
            <w:r w:rsidRPr="00845A3A">
              <w:rPr>
                <w:rFonts w:ascii="Times New Roman" w:hAnsi="Times New Roman" w:cs="Times New Roman"/>
                <w:sz w:val="24"/>
                <w:szCs w:val="24"/>
              </w:rPr>
              <w:t>I</w:t>
            </w:r>
            <w:r w:rsidRPr="00845A3A">
              <w:rPr>
                <w:rFonts w:ascii="Times New Roman" w:hAnsi="Times New Roman" w:cs="Times New Roman"/>
                <w:sz w:val="24"/>
                <w:szCs w:val="24"/>
                <w:vertAlign w:val="subscript"/>
              </w:rPr>
              <w:t>3-x</w:t>
            </w:r>
          </w:p>
        </w:tc>
        <w:tc>
          <w:tcPr>
            <w:tcW w:w="1136" w:type="dxa"/>
            <w:shd w:val="clear" w:color="auto" w:fill="auto"/>
            <w:vAlign w:val="center"/>
          </w:tcPr>
          <w:p w14:paraId="208A0550" w14:textId="77777777" w:rsidR="00EB55F0" w:rsidRPr="00845A3A" w:rsidRDefault="00EB55F0" w:rsidP="001C63A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45A3A">
              <w:rPr>
                <w:rFonts w:ascii="Times New Roman" w:hAnsi="Times New Roman" w:cs="Times New Roman"/>
                <w:sz w:val="24"/>
                <w:szCs w:val="24"/>
              </w:rPr>
              <w:t>1.18</w:t>
            </w:r>
          </w:p>
        </w:tc>
        <w:tc>
          <w:tcPr>
            <w:tcW w:w="1279" w:type="dxa"/>
            <w:shd w:val="clear" w:color="auto" w:fill="auto"/>
            <w:vAlign w:val="center"/>
          </w:tcPr>
          <w:p w14:paraId="69FA87FB" w14:textId="77777777" w:rsidR="00EB55F0" w:rsidRPr="00845A3A" w:rsidRDefault="00EB55F0" w:rsidP="001C63A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45A3A">
              <w:rPr>
                <w:rFonts w:ascii="Times New Roman" w:hAnsi="Times New Roman" w:cs="Times New Roman"/>
                <w:sz w:val="24"/>
                <w:szCs w:val="24"/>
              </w:rPr>
              <w:t>22.98</w:t>
            </w:r>
          </w:p>
        </w:tc>
        <w:tc>
          <w:tcPr>
            <w:tcW w:w="1603" w:type="dxa"/>
            <w:shd w:val="clear" w:color="auto" w:fill="auto"/>
            <w:vAlign w:val="center"/>
          </w:tcPr>
          <w:p w14:paraId="4B3F91AF" w14:textId="77777777" w:rsidR="00EB55F0" w:rsidRPr="00845A3A" w:rsidRDefault="00EB55F0" w:rsidP="001C63A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45A3A">
              <w:rPr>
                <w:rFonts w:ascii="Times New Roman" w:hAnsi="Times New Roman" w:cs="Times New Roman"/>
                <w:sz w:val="24"/>
                <w:szCs w:val="24"/>
              </w:rPr>
              <w:t>23.93</w:t>
            </w:r>
          </w:p>
        </w:tc>
        <w:tc>
          <w:tcPr>
            <w:tcW w:w="1095" w:type="dxa"/>
            <w:shd w:val="clear" w:color="auto" w:fill="auto"/>
            <w:vAlign w:val="center"/>
          </w:tcPr>
          <w:p w14:paraId="60C4B6D2" w14:textId="77777777" w:rsidR="00EB55F0" w:rsidRPr="00845A3A" w:rsidRDefault="00EB55F0" w:rsidP="001C63A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45A3A">
              <w:rPr>
                <w:rFonts w:ascii="Times New Roman" w:hAnsi="Times New Roman" w:cs="Times New Roman"/>
                <w:sz w:val="24"/>
                <w:szCs w:val="24"/>
              </w:rPr>
              <w:t>81.37</w:t>
            </w:r>
          </w:p>
        </w:tc>
        <w:tc>
          <w:tcPr>
            <w:tcW w:w="947" w:type="dxa"/>
            <w:vMerge w:val="restart"/>
            <w:shd w:val="clear" w:color="auto" w:fill="auto"/>
            <w:vAlign w:val="center"/>
          </w:tcPr>
          <w:p w14:paraId="75A684BB" w14:textId="77777777" w:rsidR="00EB55F0" w:rsidRPr="00845A3A" w:rsidRDefault="00EB55F0" w:rsidP="001C63A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45A3A">
              <w:rPr>
                <w:rFonts w:ascii="Times New Roman" w:hAnsi="Times New Roman" w:cs="Times New Roman"/>
                <w:sz w:val="24"/>
                <w:szCs w:val="24"/>
              </w:rPr>
              <w:t>Present work</w:t>
            </w:r>
          </w:p>
        </w:tc>
      </w:tr>
      <w:tr w:rsidR="00EB55F0" w:rsidRPr="00845A3A" w14:paraId="064E0074" w14:textId="77777777" w:rsidTr="002F163C">
        <w:trPr>
          <w:cnfStyle w:val="000000100000" w:firstRow="0" w:lastRow="0" w:firstColumn="0" w:lastColumn="0" w:oddVBand="0" w:evenVBand="0" w:oddHBand="1" w:evenHBand="0" w:firstRowFirstColumn="0" w:firstRowLastColumn="0" w:lastRowFirstColumn="0" w:lastRowLastColumn="0"/>
          <w:divId w:val="1275020545"/>
          <w:trHeight w:val="245"/>
        </w:trPr>
        <w:tc>
          <w:tcPr>
            <w:cnfStyle w:val="001000000000" w:firstRow="0" w:lastRow="0" w:firstColumn="1" w:lastColumn="0" w:oddVBand="0" w:evenVBand="0" w:oddHBand="0" w:evenHBand="0" w:firstRowFirstColumn="0" w:firstRowLastColumn="0" w:lastRowFirstColumn="0" w:lastRowLastColumn="0"/>
            <w:tcW w:w="1279" w:type="dxa"/>
            <w:vMerge/>
            <w:shd w:val="clear" w:color="auto" w:fill="auto"/>
            <w:vAlign w:val="center"/>
          </w:tcPr>
          <w:p w14:paraId="598DB3CA" w14:textId="77777777" w:rsidR="00EB55F0" w:rsidRPr="00845A3A" w:rsidRDefault="00EB55F0" w:rsidP="001C63AB">
            <w:pPr>
              <w:jc w:val="center"/>
              <w:rPr>
                <w:rFonts w:ascii="Times New Roman" w:hAnsi="Times New Roman" w:cs="Times New Roman"/>
                <w:sz w:val="24"/>
                <w:szCs w:val="24"/>
              </w:rPr>
            </w:pPr>
          </w:p>
        </w:tc>
        <w:tc>
          <w:tcPr>
            <w:tcW w:w="1847" w:type="dxa"/>
            <w:shd w:val="clear" w:color="auto" w:fill="auto"/>
            <w:vAlign w:val="center"/>
          </w:tcPr>
          <w:p w14:paraId="2C373BE1" w14:textId="77777777" w:rsidR="00EB55F0" w:rsidRPr="00845A3A" w:rsidRDefault="00EB55F0" w:rsidP="001C63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45A3A">
              <w:rPr>
                <w:rFonts w:ascii="Times New Roman" w:hAnsi="Times New Roman" w:cs="Times New Roman"/>
                <w:sz w:val="24"/>
                <w:szCs w:val="24"/>
              </w:rPr>
              <w:t>CsFAMABr</w:t>
            </w:r>
            <w:r w:rsidRPr="00845A3A">
              <w:rPr>
                <w:rFonts w:ascii="Times New Roman" w:hAnsi="Times New Roman" w:cs="Times New Roman"/>
                <w:sz w:val="24"/>
                <w:szCs w:val="24"/>
                <w:vertAlign w:val="subscript"/>
              </w:rPr>
              <w:t>x</w:t>
            </w:r>
            <w:r w:rsidRPr="00845A3A">
              <w:rPr>
                <w:rFonts w:ascii="Times New Roman" w:hAnsi="Times New Roman" w:cs="Times New Roman"/>
                <w:sz w:val="24"/>
                <w:szCs w:val="24"/>
              </w:rPr>
              <w:t>I</w:t>
            </w:r>
            <w:r w:rsidRPr="00845A3A">
              <w:rPr>
                <w:rFonts w:ascii="Times New Roman" w:hAnsi="Times New Roman" w:cs="Times New Roman"/>
                <w:sz w:val="24"/>
                <w:szCs w:val="24"/>
                <w:vertAlign w:val="subscript"/>
              </w:rPr>
              <w:t>3-x</w:t>
            </w:r>
            <w:r w:rsidRPr="00845A3A">
              <w:rPr>
                <w:rFonts w:ascii="Times New Roman" w:hAnsi="Times New Roman" w:cs="Times New Roman"/>
                <w:sz w:val="24"/>
                <w:szCs w:val="24"/>
              </w:rPr>
              <w:t xml:space="preserve"> /PEAI</w:t>
            </w:r>
          </w:p>
        </w:tc>
        <w:tc>
          <w:tcPr>
            <w:tcW w:w="1136" w:type="dxa"/>
            <w:shd w:val="clear" w:color="auto" w:fill="auto"/>
            <w:vAlign w:val="center"/>
          </w:tcPr>
          <w:p w14:paraId="5E00E501" w14:textId="77777777" w:rsidR="00EB55F0" w:rsidRPr="00845A3A" w:rsidRDefault="00EB55F0" w:rsidP="001C63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45A3A">
              <w:rPr>
                <w:rFonts w:ascii="Times New Roman" w:hAnsi="Times New Roman" w:cs="Times New Roman"/>
                <w:sz w:val="24"/>
                <w:szCs w:val="24"/>
              </w:rPr>
              <w:t>1.19</w:t>
            </w:r>
          </w:p>
        </w:tc>
        <w:tc>
          <w:tcPr>
            <w:tcW w:w="1279" w:type="dxa"/>
            <w:shd w:val="clear" w:color="auto" w:fill="auto"/>
            <w:vAlign w:val="center"/>
          </w:tcPr>
          <w:p w14:paraId="635E2F07" w14:textId="77777777" w:rsidR="00EB55F0" w:rsidRPr="00845A3A" w:rsidRDefault="00EB55F0" w:rsidP="001C63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45A3A">
              <w:rPr>
                <w:rFonts w:ascii="Times New Roman" w:hAnsi="Times New Roman" w:cs="Times New Roman"/>
                <w:sz w:val="24"/>
                <w:szCs w:val="24"/>
              </w:rPr>
              <w:t>23.26</w:t>
            </w:r>
          </w:p>
        </w:tc>
        <w:tc>
          <w:tcPr>
            <w:tcW w:w="1603" w:type="dxa"/>
            <w:shd w:val="clear" w:color="auto" w:fill="auto"/>
            <w:vAlign w:val="center"/>
          </w:tcPr>
          <w:p w14:paraId="2F3F0D50" w14:textId="77777777" w:rsidR="00EB55F0" w:rsidRPr="00845A3A" w:rsidRDefault="00EB55F0" w:rsidP="001C63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45A3A">
              <w:rPr>
                <w:rFonts w:ascii="Times New Roman" w:hAnsi="Times New Roman" w:cs="Times New Roman"/>
                <w:sz w:val="24"/>
                <w:szCs w:val="24"/>
              </w:rPr>
              <w:t>23.88</w:t>
            </w:r>
          </w:p>
        </w:tc>
        <w:tc>
          <w:tcPr>
            <w:tcW w:w="1095" w:type="dxa"/>
            <w:shd w:val="clear" w:color="auto" w:fill="auto"/>
            <w:vAlign w:val="center"/>
          </w:tcPr>
          <w:p w14:paraId="20EE93E0" w14:textId="77777777" w:rsidR="00EB55F0" w:rsidRPr="00845A3A" w:rsidRDefault="00EB55F0" w:rsidP="001C63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45A3A">
              <w:rPr>
                <w:rFonts w:ascii="Times New Roman" w:hAnsi="Times New Roman" w:cs="Times New Roman"/>
                <w:sz w:val="24"/>
                <w:szCs w:val="24"/>
              </w:rPr>
              <w:t>81.85</w:t>
            </w:r>
          </w:p>
        </w:tc>
        <w:tc>
          <w:tcPr>
            <w:tcW w:w="947" w:type="dxa"/>
            <w:vMerge/>
            <w:shd w:val="clear" w:color="auto" w:fill="auto"/>
            <w:vAlign w:val="center"/>
          </w:tcPr>
          <w:p w14:paraId="7BABBBBB" w14:textId="77777777" w:rsidR="00EB55F0" w:rsidRPr="00845A3A" w:rsidRDefault="00EB55F0" w:rsidP="001C63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14:paraId="79741E01" w14:textId="0D1C1769" w:rsidR="00EB55F0" w:rsidRPr="00845A3A" w:rsidRDefault="00EB55F0" w:rsidP="00DE49C6">
      <w:pPr>
        <w:spacing w:before="240" w:line="480" w:lineRule="auto"/>
        <w:jc w:val="both"/>
        <w:divId w:val="1275020545"/>
        <w:rPr>
          <w:rFonts w:ascii="Times New Roman" w:hAnsi="Times New Roman" w:cs="Times New Roman"/>
          <w:sz w:val="24"/>
          <w:szCs w:val="24"/>
        </w:rPr>
      </w:pPr>
      <w:r w:rsidRPr="00845A3A">
        <w:rPr>
          <w:rFonts w:ascii="Times New Roman" w:hAnsi="Times New Roman" w:cs="Times New Roman"/>
          <w:sz w:val="24"/>
          <w:szCs w:val="24"/>
        </w:rPr>
        <w:lastRenderedPageBreak/>
        <w:t>Previous studies showed that post treatment of PEAI can significantly passivate the perovskite surface defects and enhance the hole transport efficiency toward the HTL from the perovskite.</w:t>
      </w:r>
      <w:hyperlink r:id="rId59" w:history="1">
        <w:r w:rsidRPr="00845A3A">
          <w:rPr>
            <w:rFonts w:ascii="Times New Roman" w:eastAsia="Times New Roman" w:hAnsi="Times New Roman" w:cs="Times New Roman"/>
            <w:sz w:val="24"/>
            <w:vertAlign w:val="superscript"/>
          </w:rPr>
          <w:t>47,48</w:t>
        </w:r>
      </w:hyperlink>
      <w:r w:rsidRPr="00845A3A">
        <w:rPr>
          <w:rFonts w:ascii="Times New Roman" w:hAnsi="Times New Roman" w:cs="Times New Roman"/>
          <w:sz w:val="24"/>
          <w:szCs w:val="24"/>
        </w:rPr>
        <w:t xml:space="preserve"> For the dual passivation of the </w:t>
      </w:r>
      <w:r w:rsidRPr="00845A3A">
        <w:rPr>
          <w:rFonts w:ascii="Times New Roman" w:eastAsia="Times New Roman" w:hAnsi="Times New Roman" w:cs="Times New Roman"/>
          <w:color w:val="000000"/>
          <w:kern w:val="0"/>
          <w:sz w:val="24"/>
          <w:szCs w:val="24"/>
          <w14:ligatures w14:val="none"/>
        </w:rPr>
        <w:t>Ce-SnO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ETL based PSCs</w:t>
      </w:r>
      <w:r w:rsidRPr="00845A3A">
        <w:rPr>
          <w:rFonts w:ascii="Times New Roman" w:hAnsi="Times New Roman" w:cs="Times New Roman"/>
          <w:sz w:val="24"/>
          <w:szCs w:val="24"/>
        </w:rPr>
        <w:t xml:space="preserve">, spin coated PEAI was introduced on the perovskite top surface. From the </w:t>
      </w:r>
      <w:r w:rsidRPr="00845A3A">
        <w:rPr>
          <w:rFonts w:ascii="Times New Roman" w:hAnsi="Times New Roman" w:cs="Times New Roman"/>
          <w:i/>
          <w:iCs/>
          <w:sz w:val="24"/>
          <w:szCs w:val="24"/>
        </w:rPr>
        <w:t>J</w:t>
      </w:r>
      <w:r w:rsidRPr="00845A3A">
        <w:rPr>
          <w:rFonts w:ascii="Times New Roman" w:hAnsi="Times New Roman" w:cs="Times New Roman"/>
          <w:sz w:val="24"/>
          <w:szCs w:val="24"/>
        </w:rPr>
        <w:t>-</w:t>
      </w:r>
      <w:r w:rsidRPr="00845A3A">
        <w:rPr>
          <w:rFonts w:ascii="Times New Roman" w:hAnsi="Times New Roman" w:cs="Times New Roman"/>
          <w:i/>
          <w:iCs/>
          <w:sz w:val="24"/>
          <w:szCs w:val="24"/>
        </w:rPr>
        <w:t>V</w:t>
      </w:r>
      <w:r w:rsidRPr="00845A3A">
        <w:rPr>
          <w:rFonts w:ascii="Times New Roman" w:hAnsi="Times New Roman" w:cs="Times New Roman"/>
          <w:sz w:val="24"/>
          <w:szCs w:val="24"/>
        </w:rPr>
        <w:t xml:space="preserve"> characteristics (depicted in </w:t>
      </w:r>
      <w:r w:rsidRPr="00845A3A">
        <w:rPr>
          <w:rFonts w:ascii="Times New Roman" w:hAnsi="Times New Roman" w:cs="Times New Roman"/>
          <w:b/>
          <w:bCs/>
          <w:sz w:val="24"/>
          <w:szCs w:val="24"/>
        </w:rPr>
        <w:t>Figure 4h</w:t>
      </w:r>
      <w:r w:rsidRPr="00845A3A">
        <w:rPr>
          <w:rFonts w:ascii="Times New Roman" w:hAnsi="Times New Roman" w:cs="Times New Roman"/>
          <w:sz w:val="24"/>
          <w:szCs w:val="24"/>
        </w:rPr>
        <w:t xml:space="preserve">), the PCE of 23.26% with </w:t>
      </w:r>
      <w:r w:rsidRPr="00845A3A">
        <w:rPr>
          <w:rFonts w:ascii="Times New Roman" w:hAnsi="Times New Roman" w:cs="Times New Roman"/>
          <w:i/>
          <w:iCs/>
          <w:sz w:val="24"/>
          <w:szCs w:val="24"/>
        </w:rPr>
        <w:t>V</w:t>
      </w:r>
      <w:r w:rsidRPr="00845A3A">
        <w:rPr>
          <w:rFonts w:ascii="Times New Roman" w:hAnsi="Times New Roman" w:cs="Times New Roman"/>
          <w:sz w:val="24"/>
          <w:szCs w:val="24"/>
          <w:vertAlign w:val="subscript"/>
        </w:rPr>
        <w:t>OC</w:t>
      </w:r>
      <w:r w:rsidRPr="00845A3A">
        <w:rPr>
          <w:rFonts w:ascii="Times New Roman" w:hAnsi="Times New Roman" w:cs="Times New Roman"/>
          <w:sz w:val="24"/>
          <w:szCs w:val="24"/>
        </w:rPr>
        <w:t xml:space="preserve"> of 1.19 V, 23.88 mA/cm</w:t>
      </w:r>
      <w:r w:rsidRPr="00845A3A">
        <w:rPr>
          <w:rFonts w:ascii="Times New Roman" w:hAnsi="Times New Roman" w:cs="Times New Roman"/>
          <w:sz w:val="24"/>
          <w:szCs w:val="24"/>
          <w:vertAlign w:val="superscript"/>
        </w:rPr>
        <w:t>2</w:t>
      </w:r>
      <w:r w:rsidRPr="00845A3A">
        <w:rPr>
          <w:rFonts w:ascii="Times New Roman" w:hAnsi="Times New Roman" w:cs="Times New Roman"/>
          <w:sz w:val="24"/>
          <w:szCs w:val="24"/>
        </w:rPr>
        <w:t xml:space="preserve"> and FF of 81.85% was observed from the </w:t>
      </w:r>
      <w:r w:rsidRPr="00845A3A">
        <w:rPr>
          <w:rFonts w:ascii="Times New Roman" w:eastAsia="Times New Roman" w:hAnsi="Times New Roman" w:cs="Times New Roman"/>
          <w:color w:val="000000"/>
          <w:kern w:val="0"/>
          <w:sz w:val="24"/>
          <w:szCs w:val="24"/>
          <w14:ligatures w14:val="none"/>
        </w:rPr>
        <w:t>Ce-SnO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ETL based </w:t>
      </w:r>
      <w:r w:rsidRPr="00845A3A">
        <w:rPr>
          <w:rFonts w:ascii="Times New Roman" w:hAnsi="Times New Roman" w:cs="Times New Roman"/>
          <w:sz w:val="24"/>
          <w:szCs w:val="24"/>
        </w:rPr>
        <w:t xml:space="preserve">dual passivated </w:t>
      </w:r>
      <w:r w:rsidRPr="00845A3A">
        <w:rPr>
          <w:rFonts w:ascii="Times New Roman" w:eastAsia="Times New Roman" w:hAnsi="Times New Roman" w:cs="Times New Roman"/>
          <w:color w:val="000000"/>
          <w:kern w:val="0"/>
          <w:sz w:val="24"/>
          <w:szCs w:val="24"/>
          <w14:ligatures w14:val="none"/>
        </w:rPr>
        <w:t xml:space="preserve">PSC. The PEAI treatment on the perovskite surface improved the </w:t>
      </w:r>
      <w:r w:rsidRPr="00845A3A">
        <w:rPr>
          <w:rFonts w:ascii="Times New Roman" w:eastAsia="Times New Roman" w:hAnsi="Times New Roman" w:cs="Times New Roman"/>
          <w:i/>
          <w:iCs/>
          <w:color w:val="000000"/>
          <w:kern w:val="0"/>
          <w:sz w:val="24"/>
          <w:szCs w:val="24"/>
          <w14:ligatures w14:val="none"/>
        </w:rPr>
        <w:t>V</w:t>
      </w:r>
      <w:r w:rsidRPr="00845A3A">
        <w:rPr>
          <w:rFonts w:ascii="Times New Roman" w:eastAsia="Times New Roman" w:hAnsi="Times New Roman" w:cs="Times New Roman"/>
          <w:color w:val="000000"/>
          <w:kern w:val="0"/>
          <w:sz w:val="24"/>
          <w:szCs w:val="24"/>
          <w:vertAlign w:val="subscript"/>
          <w14:ligatures w14:val="none"/>
        </w:rPr>
        <w:t>OC</w:t>
      </w:r>
      <w:r w:rsidRPr="00845A3A">
        <w:rPr>
          <w:rFonts w:ascii="Times New Roman" w:eastAsia="Times New Roman" w:hAnsi="Times New Roman" w:cs="Times New Roman"/>
          <w:color w:val="000000"/>
          <w:kern w:val="0"/>
          <w:sz w:val="24"/>
          <w:szCs w:val="24"/>
          <w14:ligatures w14:val="none"/>
        </w:rPr>
        <w:t xml:space="preserve"> and FF which might be due to the reduction of defects concentration on the perovskite surface and enhanced hole transportation from the perovskite to HTL</w:t>
      </w:r>
      <w:r w:rsidRPr="00845A3A">
        <w:rPr>
          <w:rFonts w:ascii="Times New Roman" w:hAnsi="Times New Roman" w:cs="Times New Roman"/>
          <w:sz w:val="24"/>
          <w:szCs w:val="24"/>
        </w:rPr>
        <w:t>.</w:t>
      </w:r>
      <w:r w:rsidRPr="00845A3A">
        <w:rPr>
          <w:rFonts w:ascii="Times New Roman" w:eastAsia="Times New Roman" w:hAnsi="Times New Roman" w:cs="Times New Roman"/>
          <w:color w:val="000000"/>
          <w:kern w:val="0"/>
          <w:sz w:val="24"/>
          <w:szCs w:val="24"/>
          <w14:ligatures w14:val="none"/>
        </w:rPr>
        <w:t xml:space="preserve"> The IPCE and </w:t>
      </w:r>
      <w:r w:rsidRPr="00845A3A">
        <w:rPr>
          <w:rFonts w:ascii="Times New Roman" w:hAnsi="Times New Roman" w:cs="Times New Roman"/>
          <w:sz w:val="24"/>
          <w:szCs w:val="24"/>
        </w:rPr>
        <w:t xml:space="preserve">integrated </w:t>
      </w:r>
      <w:r w:rsidRPr="00845A3A">
        <w:rPr>
          <w:rFonts w:ascii="Times New Roman" w:hAnsi="Times New Roman" w:cs="Times New Roman"/>
          <w:i/>
          <w:iCs/>
          <w:sz w:val="24"/>
          <w:szCs w:val="24"/>
        </w:rPr>
        <w:t>J</w:t>
      </w:r>
      <w:r w:rsidRPr="00845A3A">
        <w:rPr>
          <w:rFonts w:ascii="Times New Roman" w:hAnsi="Times New Roman" w:cs="Times New Roman"/>
          <w:sz w:val="24"/>
          <w:szCs w:val="24"/>
          <w:vertAlign w:val="subscript"/>
        </w:rPr>
        <w:t>SC</w:t>
      </w:r>
      <w:r w:rsidRPr="00845A3A">
        <w:rPr>
          <w:rFonts w:ascii="Times New Roman" w:hAnsi="Times New Roman" w:cs="Times New Roman"/>
          <w:sz w:val="24"/>
          <w:szCs w:val="24"/>
        </w:rPr>
        <w:t xml:space="preserve"> curves of the</w:t>
      </w:r>
      <w:r w:rsidRPr="00845A3A">
        <w:rPr>
          <w:rFonts w:ascii="Times New Roman" w:eastAsia="Times New Roman" w:hAnsi="Times New Roman" w:cs="Times New Roman"/>
          <w:color w:val="000000"/>
          <w:kern w:val="0"/>
          <w:sz w:val="24"/>
          <w:szCs w:val="24"/>
          <w14:ligatures w14:val="none"/>
        </w:rPr>
        <w:t xml:space="preserve"> passivated PSC are shown in </w:t>
      </w:r>
      <w:r w:rsidRPr="00845A3A">
        <w:rPr>
          <w:rFonts w:ascii="Times New Roman" w:eastAsia="Times New Roman" w:hAnsi="Times New Roman" w:cs="Times New Roman"/>
          <w:b/>
          <w:bCs/>
          <w:color w:val="000000"/>
          <w:kern w:val="0"/>
          <w:sz w:val="24"/>
          <w:szCs w:val="24"/>
          <w14:ligatures w14:val="none"/>
        </w:rPr>
        <w:t>Figure S</w:t>
      </w:r>
      <w:r w:rsidR="00FF7BB3" w:rsidRPr="00845A3A">
        <w:rPr>
          <w:rFonts w:ascii="Times New Roman" w:eastAsia="Times New Roman" w:hAnsi="Times New Roman" w:cs="Times New Roman"/>
          <w:b/>
          <w:bCs/>
          <w:color w:val="000000"/>
          <w:kern w:val="0"/>
          <w:sz w:val="24"/>
          <w:szCs w:val="24"/>
          <w14:ligatures w14:val="none"/>
        </w:rPr>
        <w:t>8</w:t>
      </w:r>
      <w:r w:rsidRPr="00845A3A">
        <w:rPr>
          <w:rFonts w:ascii="Times New Roman" w:eastAsia="Times New Roman" w:hAnsi="Times New Roman" w:cs="Times New Roman"/>
          <w:color w:val="000000"/>
          <w:kern w:val="0"/>
          <w:sz w:val="24"/>
          <w:szCs w:val="24"/>
          <w14:ligatures w14:val="none"/>
        </w:rPr>
        <w:t>. It was noticed that the</w:t>
      </w:r>
      <w:r w:rsidRPr="00845A3A">
        <w:rPr>
          <w:rFonts w:ascii="Times New Roman" w:hAnsi="Times New Roman" w:cs="Times New Roman"/>
          <w:sz w:val="24"/>
          <w:szCs w:val="24"/>
        </w:rPr>
        <w:t xml:space="preserve"> integrated </w:t>
      </w:r>
      <w:r w:rsidRPr="00845A3A">
        <w:rPr>
          <w:rFonts w:ascii="Times New Roman" w:hAnsi="Times New Roman" w:cs="Times New Roman"/>
          <w:i/>
          <w:iCs/>
          <w:sz w:val="24"/>
          <w:szCs w:val="24"/>
        </w:rPr>
        <w:t>J</w:t>
      </w:r>
      <w:r w:rsidRPr="00845A3A">
        <w:rPr>
          <w:rFonts w:ascii="Times New Roman" w:hAnsi="Times New Roman" w:cs="Times New Roman"/>
          <w:sz w:val="24"/>
          <w:szCs w:val="24"/>
          <w:vertAlign w:val="subscript"/>
        </w:rPr>
        <w:t>SC</w:t>
      </w:r>
      <w:r w:rsidRPr="00845A3A">
        <w:rPr>
          <w:rFonts w:ascii="Times New Roman" w:hAnsi="Times New Roman" w:cs="Times New Roman"/>
          <w:sz w:val="24"/>
          <w:szCs w:val="24"/>
        </w:rPr>
        <w:t xml:space="preserve"> (23.83 mA/cm</w:t>
      </w:r>
      <w:r w:rsidRPr="00845A3A">
        <w:rPr>
          <w:rFonts w:ascii="Times New Roman" w:hAnsi="Times New Roman" w:cs="Times New Roman"/>
          <w:sz w:val="24"/>
          <w:szCs w:val="24"/>
          <w:vertAlign w:val="superscript"/>
        </w:rPr>
        <w:t>2</w:t>
      </w:r>
      <w:r w:rsidRPr="00845A3A">
        <w:rPr>
          <w:rFonts w:ascii="Times New Roman" w:hAnsi="Times New Roman" w:cs="Times New Roman"/>
          <w:sz w:val="24"/>
          <w:szCs w:val="24"/>
        </w:rPr>
        <w:t xml:space="preserve">) approached the </w:t>
      </w:r>
      <w:r w:rsidRPr="00845A3A">
        <w:rPr>
          <w:rFonts w:ascii="Times New Roman" w:hAnsi="Times New Roman" w:cs="Times New Roman"/>
          <w:i/>
          <w:iCs/>
          <w:sz w:val="24"/>
          <w:szCs w:val="24"/>
        </w:rPr>
        <w:t>J</w:t>
      </w:r>
      <w:r w:rsidRPr="00845A3A">
        <w:rPr>
          <w:rFonts w:ascii="Times New Roman" w:hAnsi="Times New Roman" w:cs="Times New Roman"/>
          <w:sz w:val="24"/>
          <w:szCs w:val="24"/>
          <w:vertAlign w:val="subscript"/>
        </w:rPr>
        <w:t>SC</w:t>
      </w:r>
      <w:r w:rsidRPr="00845A3A">
        <w:rPr>
          <w:rFonts w:ascii="Times New Roman" w:hAnsi="Times New Roman" w:cs="Times New Roman"/>
          <w:sz w:val="24"/>
          <w:szCs w:val="24"/>
        </w:rPr>
        <w:t xml:space="preserve"> (23.88 mA/cm</w:t>
      </w:r>
      <w:r w:rsidRPr="00845A3A">
        <w:rPr>
          <w:rFonts w:ascii="Times New Roman" w:hAnsi="Times New Roman" w:cs="Times New Roman"/>
          <w:sz w:val="24"/>
          <w:szCs w:val="24"/>
          <w:vertAlign w:val="superscript"/>
        </w:rPr>
        <w:t>2</w:t>
      </w:r>
      <w:r w:rsidRPr="00845A3A">
        <w:rPr>
          <w:rFonts w:ascii="Times New Roman" w:hAnsi="Times New Roman" w:cs="Times New Roman"/>
          <w:sz w:val="24"/>
          <w:szCs w:val="24"/>
        </w:rPr>
        <w:t xml:space="preserve">) found from the </w:t>
      </w:r>
      <w:r w:rsidRPr="00845A3A">
        <w:rPr>
          <w:rFonts w:ascii="Times New Roman" w:hAnsi="Times New Roman" w:cs="Times New Roman"/>
          <w:i/>
          <w:iCs/>
          <w:sz w:val="24"/>
          <w:szCs w:val="24"/>
        </w:rPr>
        <w:t>J</w:t>
      </w:r>
      <w:r w:rsidRPr="00845A3A">
        <w:rPr>
          <w:rFonts w:ascii="Times New Roman" w:hAnsi="Times New Roman" w:cs="Times New Roman"/>
          <w:sz w:val="24"/>
          <w:szCs w:val="24"/>
        </w:rPr>
        <w:t>-</w:t>
      </w:r>
      <w:r w:rsidRPr="00845A3A">
        <w:rPr>
          <w:rFonts w:ascii="Times New Roman" w:hAnsi="Times New Roman" w:cs="Times New Roman"/>
          <w:i/>
          <w:iCs/>
          <w:sz w:val="24"/>
          <w:szCs w:val="24"/>
        </w:rPr>
        <w:t>V</w:t>
      </w:r>
      <w:r w:rsidRPr="00845A3A">
        <w:rPr>
          <w:rFonts w:ascii="Times New Roman" w:hAnsi="Times New Roman" w:cs="Times New Roman"/>
          <w:sz w:val="24"/>
          <w:szCs w:val="24"/>
        </w:rPr>
        <w:t xml:space="preserve"> measurements of the </w:t>
      </w:r>
      <w:r w:rsidRPr="00845A3A">
        <w:rPr>
          <w:rFonts w:ascii="Times New Roman" w:eastAsia="Times New Roman" w:hAnsi="Times New Roman" w:cs="Times New Roman"/>
          <w:color w:val="000000"/>
          <w:kern w:val="0"/>
          <w:sz w:val="24"/>
          <w:szCs w:val="24"/>
          <w14:ligatures w14:val="none"/>
        </w:rPr>
        <w:t>Ce-SnO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ETL based</w:t>
      </w:r>
      <w:r w:rsidRPr="00845A3A">
        <w:rPr>
          <w:rFonts w:ascii="Times New Roman" w:hAnsi="Times New Roman" w:cs="Times New Roman"/>
          <w:sz w:val="24"/>
          <w:szCs w:val="24"/>
        </w:rPr>
        <w:t xml:space="preserve"> dual passivated PSCs. </w:t>
      </w:r>
    </w:p>
    <w:p w14:paraId="76B01195" w14:textId="77777777" w:rsidR="00EB55F0" w:rsidRPr="00845A3A" w:rsidRDefault="00EB55F0" w:rsidP="00DE49C6">
      <w:pPr>
        <w:spacing w:before="240" w:line="480" w:lineRule="auto"/>
        <w:jc w:val="both"/>
        <w:divId w:val="1275020545"/>
        <w:rPr>
          <w:rFonts w:ascii="Times New Roman" w:eastAsia="Times New Roman" w:hAnsi="Times New Roman" w:cs="Times New Roman"/>
          <w:color w:val="000000"/>
          <w:kern w:val="0"/>
          <w:sz w:val="24"/>
          <w:szCs w:val="24"/>
          <w14:ligatures w14:val="none"/>
        </w:rPr>
      </w:pPr>
      <w:r w:rsidRPr="00845A3A">
        <w:rPr>
          <w:rFonts w:ascii="Times New Roman" w:eastAsia="Times New Roman" w:hAnsi="Times New Roman" w:cs="Times New Roman"/>
          <w:color w:val="000000"/>
          <w:kern w:val="0"/>
          <w:sz w:val="24"/>
          <w:szCs w:val="24"/>
          <w14:ligatures w14:val="none"/>
        </w:rPr>
        <w:t>The analysis of steady-state photoluminescence (PL) and time-resolved PL (TRPL) of the spin-coated perovskite on 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and Ce-SnO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/perovskite on FTO and Ce-SnO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/perovskite on FTO) revealed information about the surface defects on the perovskite. The spin coated perovskite on the Ce-SnO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ETL showed a more intense PL peak </w:t>
      </w:r>
      <w:r w:rsidRPr="00845A3A">
        <w:rPr>
          <w:rFonts w:ascii="Times New Roman" w:eastAsia="Times New Roman" w:hAnsi="Times New Roman" w:cs="Times New Roman"/>
          <w:kern w:val="0"/>
          <w:sz w:val="24"/>
          <w:szCs w:val="24"/>
          <w14:ligatures w14:val="none"/>
        </w:rPr>
        <w:t>(the light was illuminated from the perovskite side)</w:t>
      </w:r>
      <w:r w:rsidRPr="00845A3A">
        <w:rPr>
          <w:rFonts w:ascii="Times New Roman" w:eastAsia="Times New Roman" w:hAnsi="Times New Roman" w:cs="Times New Roman"/>
          <w:color w:val="000000"/>
          <w:kern w:val="0"/>
          <w:sz w:val="24"/>
          <w:szCs w:val="24"/>
          <w14:ligatures w14:val="none"/>
        </w:rPr>
        <w:t xml:space="preserve"> than the spin coated perovskite on the 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ETL, as observed from </w:t>
      </w:r>
      <w:r w:rsidRPr="00845A3A">
        <w:rPr>
          <w:rFonts w:ascii="Times New Roman" w:eastAsia="Times New Roman" w:hAnsi="Times New Roman" w:cs="Times New Roman"/>
          <w:b/>
          <w:bCs/>
          <w:color w:val="000000"/>
          <w:kern w:val="0"/>
          <w:sz w:val="24"/>
          <w:szCs w:val="24"/>
          <w14:ligatures w14:val="none"/>
        </w:rPr>
        <w:t>Figure 5a</w:t>
      </w:r>
      <w:r w:rsidRPr="00845A3A">
        <w:rPr>
          <w:rFonts w:ascii="Times New Roman" w:eastAsia="Times New Roman" w:hAnsi="Times New Roman" w:cs="Times New Roman"/>
          <w:color w:val="000000"/>
          <w:kern w:val="0"/>
          <w:sz w:val="24"/>
          <w:szCs w:val="24"/>
          <w14:ligatures w14:val="none"/>
        </w:rPr>
        <w:t>. The improvement of PL intensity implies that the spin coated perovskite on the Ce-SnO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ETL contains fewer defects that decreased the non-radiative recombination.</w:t>
      </w:r>
      <w:hyperlink r:id="rId60" w:history="1">
        <w:r w:rsidRPr="00845A3A">
          <w:rPr>
            <w:rFonts w:ascii="Times New Roman" w:eastAsia="Times New Roman" w:hAnsi="Times New Roman" w:cs="Times New Roman"/>
            <w:sz w:val="24"/>
            <w:vertAlign w:val="superscript"/>
          </w:rPr>
          <w:t>49,50</w:t>
        </w:r>
      </w:hyperlink>
      <w:r w:rsidRPr="00845A3A">
        <w:rPr>
          <w:rFonts w:ascii="Times New Roman" w:eastAsia="Times New Roman" w:hAnsi="Times New Roman" w:cs="Times New Roman"/>
          <w:color w:val="000000"/>
          <w:kern w:val="0"/>
          <w:sz w:val="24"/>
          <w:szCs w:val="24"/>
          <w14:ligatures w14:val="none"/>
        </w:rPr>
        <w:t xml:space="preserve"> </w:t>
      </w:r>
    </w:p>
    <w:p w14:paraId="5B9F7FD5" w14:textId="31C10C54" w:rsidR="00EB55F0" w:rsidRPr="00845A3A" w:rsidRDefault="00E113C4" w:rsidP="009C24F5">
      <w:pPr>
        <w:spacing w:after="0" w:line="480" w:lineRule="auto"/>
        <w:jc w:val="center"/>
        <w:divId w:val="1275020545"/>
        <w:rPr>
          <w:rFonts w:ascii="Times New Roman" w:hAnsi="Times New Roman" w:cs="Times New Roman"/>
          <w:sz w:val="24"/>
          <w:szCs w:val="24"/>
        </w:rPr>
      </w:pPr>
      <w:r w:rsidRPr="00845A3A">
        <w:rPr>
          <w:rFonts w:ascii="Times New Roman" w:hAnsi="Times New Roman" w:cs="Times New Roman"/>
          <w:noProof/>
          <w:sz w:val="24"/>
          <w:szCs w:val="24"/>
        </w:rPr>
        <w:lastRenderedPageBreak/>
        <w:drawing>
          <wp:inline distT="0" distB="0" distL="0" distR="0" wp14:anchorId="5602C563" wp14:editId="514784AC">
            <wp:extent cx="5731510" cy="2879090"/>
            <wp:effectExtent l="0" t="0" r="2540" b="0"/>
            <wp:docPr id="7631687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168773" name="Picture 763168773"/>
                    <pic:cNvPicPr/>
                  </pic:nvPicPr>
                  <pic:blipFill>
                    <a:blip r:embed="rId61"/>
                    <a:stretch>
                      <a:fillRect/>
                    </a:stretch>
                  </pic:blipFill>
                  <pic:spPr>
                    <a:xfrm>
                      <a:off x="0" y="0"/>
                      <a:ext cx="5731510" cy="2879090"/>
                    </a:xfrm>
                    <a:prstGeom prst="rect">
                      <a:avLst/>
                    </a:prstGeom>
                  </pic:spPr>
                </pic:pic>
              </a:graphicData>
            </a:graphic>
          </wp:inline>
        </w:drawing>
      </w:r>
    </w:p>
    <w:p w14:paraId="10F7EE37" w14:textId="2BEF1272" w:rsidR="00EB55F0" w:rsidRPr="00845A3A" w:rsidRDefault="00EB55F0" w:rsidP="00412EA9">
      <w:pPr>
        <w:pBdr>
          <w:bottom w:val="single" w:sz="4" w:space="1" w:color="auto"/>
        </w:pBdr>
        <w:spacing w:line="480" w:lineRule="auto"/>
        <w:jc w:val="both"/>
        <w:divId w:val="1275020545"/>
        <w:rPr>
          <w:rFonts w:ascii="Times New Roman" w:hAnsi="Times New Roman" w:cs="Times New Roman"/>
          <w:sz w:val="24"/>
          <w:szCs w:val="24"/>
        </w:rPr>
      </w:pPr>
      <w:r w:rsidRPr="00845A3A">
        <w:rPr>
          <w:rFonts w:ascii="Times New Roman" w:hAnsi="Times New Roman" w:cs="Times New Roman"/>
          <w:b/>
          <w:bCs/>
          <w:sz w:val="24"/>
          <w:szCs w:val="24"/>
        </w:rPr>
        <w:t>Figure 5.</w:t>
      </w:r>
      <w:r w:rsidRPr="00845A3A">
        <w:rPr>
          <w:rFonts w:ascii="Times New Roman" w:hAnsi="Times New Roman" w:cs="Times New Roman"/>
          <w:sz w:val="24"/>
          <w:szCs w:val="24"/>
        </w:rPr>
        <w:t xml:space="preserve"> Spectra of (a) steady-state PL and (b) time-resolved PL for the perovskite deposited on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and Ce-SnO</w:t>
      </w:r>
      <w:r w:rsidRPr="00845A3A">
        <w:rPr>
          <w:rFonts w:ascii="Times New Roman" w:hAnsi="Times New Roman" w:cs="Times New Roman"/>
          <w:sz w:val="24"/>
          <w:szCs w:val="24"/>
          <w:vertAlign w:val="subscript"/>
        </w:rPr>
        <w:t>2</w:t>
      </w:r>
      <w:r w:rsidR="003F64DC" w:rsidRPr="00845A3A">
        <w:rPr>
          <w:rFonts w:ascii="Times New Roman" w:hAnsi="Times New Roman" w:cs="Times New Roman"/>
          <w:sz w:val="24"/>
          <w:szCs w:val="24"/>
        </w:rPr>
        <w:t>.</w:t>
      </w:r>
      <w:r w:rsidRPr="00845A3A">
        <w:rPr>
          <w:rFonts w:ascii="Times New Roman" w:hAnsi="Times New Roman" w:cs="Times New Roman"/>
          <w:sz w:val="24"/>
          <w:szCs w:val="24"/>
        </w:rPr>
        <w:t xml:space="preserve"> (c) Mott−Schottky study of the PSCs using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and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w:t>
      </w:r>
      <w:r w:rsidR="003F64DC" w:rsidRPr="00845A3A">
        <w:rPr>
          <w:rFonts w:ascii="Times New Roman" w:hAnsi="Times New Roman" w:cs="Times New Roman"/>
          <w:sz w:val="24"/>
          <w:szCs w:val="24"/>
        </w:rPr>
        <w:t>.</w:t>
      </w:r>
      <w:r w:rsidRPr="00845A3A">
        <w:rPr>
          <w:rFonts w:ascii="Times New Roman" w:hAnsi="Times New Roman" w:cs="Times New Roman"/>
          <w:sz w:val="24"/>
          <w:szCs w:val="24"/>
        </w:rPr>
        <w:t xml:space="preserve"> (d) Nyquist plots of the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and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ETL-based PSCs</w:t>
      </w:r>
      <w:r w:rsidR="00AB7A1B" w:rsidRPr="00845A3A">
        <w:rPr>
          <w:rFonts w:ascii="Times New Roman" w:hAnsi="Times New Roman" w:cs="Times New Roman"/>
          <w:sz w:val="24"/>
          <w:szCs w:val="24"/>
        </w:rPr>
        <w:t>.</w:t>
      </w:r>
      <w:r w:rsidRPr="00845A3A">
        <w:rPr>
          <w:rFonts w:ascii="Times New Roman" w:hAnsi="Times New Roman" w:cs="Times New Roman"/>
          <w:sz w:val="24"/>
          <w:szCs w:val="24"/>
        </w:rPr>
        <w:t xml:space="preserve"> (e) TPV and (f) TPC measurements of the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and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ETL-based PSCs.</w:t>
      </w:r>
    </w:p>
    <w:p w14:paraId="127A73AC" w14:textId="77777777" w:rsidR="00EB55F0" w:rsidRPr="00845A3A" w:rsidRDefault="00EB55F0" w:rsidP="00DE49C6">
      <w:pPr>
        <w:spacing w:before="240" w:line="480" w:lineRule="auto"/>
        <w:jc w:val="both"/>
        <w:divId w:val="1275020545"/>
        <w:rPr>
          <w:rFonts w:ascii="Times New Roman" w:eastAsia="Times New Roman" w:hAnsi="Times New Roman" w:cs="Times New Roman"/>
          <w:color w:val="000000"/>
          <w:kern w:val="0"/>
          <w:sz w:val="24"/>
          <w:szCs w:val="24"/>
          <w14:ligatures w14:val="none"/>
        </w:rPr>
      </w:pPr>
      <w:r w:rsidRPr="00845A3A">
        <w:rPr>
          <w:rFonts w:ascii="Times New Roman" w:eastAsia="Times New Roman" w:hAnsi="Times New Roman" w:cs="Times New Roman"/>
          <w:color w:val="000000"/>
          <w:kern w:val="0"/>
          <w:sz w:val="24"/>
          <w:szCs w:val="24"/>
          <w14:ligatures w14:val="none"/>
        </w:rPr>
        <w:t>The biexponential function was applied in TRPL decay spectra (</w:t>
      </w:r>
      <w:r w:rsidRPr="00845A3A">
        <w:rPr>
          <w:rFonts w:ascii="Times New Roman" w:eastAsia="Times New Roman" w:hAnsi="Times New Roman" w:cs="Times New Roman"/>
          <w:b/>
          <w:bCs/>
          <w:color w:val="000000"/>
          <w:kern w:val="0"/>
          <w:sz w:val="24"/>
          <w:szCs w:val="24"/>
          <w14:ligatures w14:val="none"/>
        </w:rPr>
        <w:t>Figure 5b</w:t>
      </w:r>
      <w:r w:rsidRPr="00845A3A">
        <w:rPr>
          <w:rFonts w:ascii="Times New Roman" w:eastAsia="Times New Roman" w:hAnsi="Times New Roman" w:cs="Times New Roman"/>
          <w:color w:val="000000"/>
          <w:kern w:val="0"/>
          <w:sz w:val="24"/>
          <w:szCs w:val="24"/>
          <w14:ligatures w14:val="none"/>
        </w:rPr>
        <w:t>) to obtain the components of the fast (</w:t>
      </w:r>
      <w:r w:rsidRPr="00845A3A">
        <w:rPr>
          <w:rFonts w:ascii="Times New Roman" w:eastAsia="Times New Roman" w:hAnsi="Times New Roman" w:cs="Times New Roman"/>
          <w:i/>
          <w:iCs/>
          <w:color w:val="000000"/>
          <w:kern w:val="0"/>
          <w:sz w:val="24"/>
          <w:szCs w:val="24"/>
          <w14:ligatures w14:val="none"/>
        </w:rPr>
        <w:t>A</w:t>
      </w:r>
      <w:r w:rsidRPr="00845A3A">
        <w:rPr>
          <w:rFonts w:ascii="Times New Roman" w:eastAsia="Times New Roman" w:hAnsi="Times New Roman" w:cs="Times New Roman"/>
          <w:color w:val="000000"/>
          <w:kern w:val="0"/>
          <w:sz w:val="24"/>
          <w:szCs w:val="24"/>
          <w:vertAlign w:val="subscript"/>
          <w14:ligatures w14:val="none"/>
        </w:rPr>
        <w:t>1</w:t>
      </w:r>
      <w:r w:rsidRPr="00845A3A">
        <w:rPr>
          <w:rFonts w:ascii="Times New Roman" w:eastAsia="Times New Roman" w:hAnsi="Times New Roman" w:cs="Times New Roman"/>
          <w:color w:val="000000"/>
          <w:kern w:val="0"/>
          <w:sz w:val="24"/>
          <w:szCs w:val="24"/>
          <w14:ligatures w14:val="none"/>
        </w:rPr>
        <w:t xml:space="preserve">, </w:t>
      </w:r>
      <w:r w:rsidRPr="00845A3A">
        <w:rPr>
          <w:rFonts w:ascii="Times New Roman" w:eastAsia="Times New Roman" w:hAnsi="Times New Roman" w:cs="Times New Roman"/>
          <w:i/>
          <w:iCs/>
          <w:color w:val="000000"/>
          <w:kern w:val="0"/>
          <w:sz w:val="24"/>
          <w:szCs w:val="24"/>
          <w14:ligatures w14:val="none"/>
        </w:rPr>
        <w:t>t</w:t>
      </w:r>
      <w:r w:rsidRPr="00845A3A">
        <w:rPr>
          <w:rFonts w:ascii="Times New Roman" w:eastAsia="Times New Roman" w:hAnsi="Times New Roman" w:cs="Times New Roman"/>
          <w:color w:val="000000"/>
          <w:kern w:val="0"/>
          <w:sz w:val="24"/>
          <w:szCs w:val="24"/>
          <w:vertAlign w:val="subscript"/>
          <w14:ligatures w14:val="none"/>
        </w:rPr>
        <w:t>1</w:t>
      </w:r>
      <w:r w:rsidRPr="00845A3A">
        <w:rPr>
          <w:rFonts w:ascii="Times New Roman" w:eastAsia="Times New Roman" w:hAnsi="Times New Roman" w:cs="Times New Roman"/>
          <w:color w:val="000000"/>
          <w:kern w:val="0"/>
          <w:sz w:val="24"/>
          <w:szCs w:val="24"/>
          <w14:ligatures w14:val="none"/>
        </w:rPr>
        <w:t>) and slow decay (</w:t>
      </w:r>
      <w:r w:rsidRPr="00845A3A">
        <w:rPr>
          <w:rFonts w:ascii="Times New Roman" w:eastAsia="Times New Roman" w:hAnsi="Times New Roman" w:cs="Times New Roman"/>
          <w:i/>
          <w:iCs/>
          <w:color w:val="000000"/>
          <w:kern w:val="0"/>
          <w:sz w:val="24"/>
          <w:szCs w:val="24"/>
          <w14:ligatures w14:val="none"/>
        </w:rPr>
        <w:t>A</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w:t>
      </w:r>
      <w:r w:rsidRPr="00845A3A">
        <w:rPr>
          <w:rFonts w:ascii="Times New Roman" w:eastAsia="Times New Roman" w:hAnsi="Times New Roman" w:cs="Times New Roman"/>
          <w:i/>
          <w:iCs/>
          <w:color w:val="000000"/>
          <w:kern w:val="0"/>
          <w:sz w:val="24"/>
          <w:szCs w:val="24"/>
          <w14:ligatures w14:val="none"/>
        </w:rPr>
        <w:t>t</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listed in </w:t>
      </w:r>
      <w:r w:rsidRPr="00845A3A">
        <w:rPr>
          <w:rFonts w:ascii="Times New Roman" w:eastAsia="Times New Roman" w:hAnsi="Times New Roman" w:cs="Times New Roman"/>
          <w:b/>
          <w:bCs/>
          <w:color w:val="000000"/>
          <w:kern w:val="0"/>
          <w:sz w:val="24"/>
          <w:szCs w:val="24"/>
          <w14:ligatures w14:val="none"/>
        </w:rPr>
        <w:t>Table S3</w:t>
      </w:r>
      <w:r w:rsidRPr="00845A3A">
        <w:rPr>
          <w:rFonts w:ascii="Times New Roman" w:eastAsia="Times New Roman" w:hAnsi="Times New Roman" w:cs="Times New Roman"/>
          <w:color w:val="000000"/>
          <w:kern w:val="0"/>
          <w:sz w:val="24"/>
          <w:szCs w:val="24"/>
          <w14:ligatures w14:val="none"/>
        </w:rPr>
        <w:t xml:space="preserve">. </w:t>
      </w:r>
      <w:r w:rsidRPr="00845A3A">
        <w:rPr>
          <w:rFonts w:ascii="Times New Roman" w:eastAsia="Times New Roman" w:hAnsi="Times New Roman" w:cs="Times New Roman"/>
          <w:i/>
          <w:iCs/>
          <w:color w:val="000000"/>
          <w:kern w:val="0"/>
          <w:sz w:val="24"/>
          <w:szCs w:val="24"/>
          <w14:ligatures w14:val="none"/>
        </w:rPr>
        <w:t>t</w:t>
      </w:r>
      <w:r w:rsidRPr="00845A3A">
        <w:rPr>
          <w:rFonts w:ascii="Times New Roman" w:eastAsia="Times New Roman" w:hAnsi="Times New Roman" w:cs="Times New Roman"/>
          <w:color w:val="000000"/>
          <w:kern w:val="0"/>
          <w:sz w:val="24"/>
          <w:szCs w:val="24"/>
          <w:vertAlign w:val="subscript"/>
          <w14:ligatures w14:val="none"/>
        </w:rPr>
        <w:t>1</w:t>
      </w:r>
      <w:r w:rsidRPr="00845A3A">
        <w:rPr>
          <w:rFonts w:ascii="Times New Roman" w:eastAsia="Times New Roman" w:hAnsi="Times New Roman" w:cs="Times New Roman"/>
          <w:color w:val="000000"/>
          <w:kern w:val="0"/>
          <w:sz w:val="24"/>
          <w:szCs w:val="24"/>
          <w14:ligatures w14:val="none"/>
        </w:rPr>
        <w:t xml:space="preserve"> (fast decay) is associated with the carrier transport rate by ETL, and t</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(slow decay) signifies the defects associated with recombination kinetics in the perovskite layer. FTO/Ce-SnO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/perovskite sample showed shorter </w:t>
      </w:r>
      <w:r w:rsidRPr="00845A3A">
        <w:rPr>
          <w:rFonts w:ascii="Times New Roman" w:eastAsia="Times New Roman" w:hAnsi="Times New Roman" w:cs="Times New Roman"/>
          <w:i/>
          <w:iCs/>
          <w:color w:val="000000"/>
          <w:kern w:val="0"/>
          <w:sz w:val="24"/>
          <w:szCs w:val="24"/>
          <w14:ligatures w14:val="none"/>
        </w:rPr>
        <w:t>t</w:t>
      </w:r>
      <w:r w:rsidRPr="00845A3A">
        <w:rPr>
          <w:rFonts w:ascii="Times New Roman" w:eastAsia="Times New Roman" w:hAnsi="Times New Roman" w:cs="Times New Roman"/>
          <w:color w:val="000000"/>
          <w:kern w:val="0"/>
          <w:sz w:val="24"/>
          <w:szCs w:val="24"/>
          <w:vertAlign w:val="subscript"/>
          <w14:ligatures w14:val="none"/>
        </w:rPr>
        <w:t>1</w:t>
      </w:r>
      <w:r w:rsidRPr="00845A3A">
        <w:rPr>
          <w:rFonts w:ascii="Times New Roman" w:eastAsia="Times New Roman" w:hAnsi="Times New Roman" w:cs="Times New Roman"/>
          <w:color w:val="000000"/>
          <w:kern w:val="0"/>
          <w:sz w:val="24"/>
          <w:szCs w:val="24"/>
          <w14:ligatures w14:val="none"/>
        </w:rPr>
        <w:t xml:space="preserve"> than the FTO/SnO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/perovskite sample, which indicates faster carrier extraction towards the Ce-SnO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from the perovskite. The reduction of CBO at Ce-SnO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/perovskite interface helped to improve the carrier extraction rate. Besides, the FTO/Ce-SnO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/perovskite sample showed longer </w:t>
      </w:r>
      <w:r w:rsidRPr="00845A3A">
        <w:rPr>
          <w:rFonts w:ascii="Times New Roman" w:eastAsia="Times New Roman" w:hAnsi="Times New Roman" w:cs="Times New Roman"/>
          <w:i/>
          <w:iCs/>
          <w:color w:val="000000"/>
          <w:kern w:val="0"/>
          <w:sz w:val="24"/>
          <w:szCs w:val="24"/>
          <w14:ligatures w14:val="none"/>
        </w:rPr>
        <w:t>t</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and increased average carrier life time (</w:t>
      </w:r>
      <w:proofErr w:type="spellStart"/>
      <w:r w:rsidRPr="00845A3A">
        <w:rPr>
          <w:rFonts w:ascii="Times New Roman" w:eastAsia="Times New Roman" w:hAnsi="Times New Roman" w:cs="Times New Roman"/>
          <w:i/>
          <w:iCs/>
          <w:color w:val="000000"/>
          <w:kern w:val="0"/>
          <w:sz w:val="24"/>
          <w:szCs w:val="24"/>
          <w14:ligatures w14:val="none"/>
        </w:rPr>
        <w:t>t</w:t>
      </w:r>
      <w:r w:rsidRPr="00845A3A">
        <w:rPr>
          <w:rFonts w:ascii="Times New Roman" w:eastAsia="Times New Roman" w:hAnsi="Times New Roman" w:cs="Times New Roman"/>
          <w:color w:val="000000"/>
          <w:kern w:val="0"/>
          <w:sz w:val="24"/>
          <w:szCs w:val="24"/>
          <w:vertAlign w:val="subscript"/>
          <w14:ligatures w14:val="none"/>
        </w:rPr>
        <w:t>avg</w:t>
      </w:r>
      <w:proofErr w:type="spellEnd"/>
      <w:r w:rsidRPr="00845A3A">
        <w:rPr>
          <w:rFonts w:ascii="Times New Roman" w:eastAsia="Times New Roman" w:hAnsi="Times New Roman" w:cs="Times New Roman"/>
          <w:color w:val="000000"/>
          <w:kern w:val="0"/>
          <w:sz w:val="24"/>
          <w:szCs w:val="24"/>
          <w:vertAlign w:val="subscript"/>
          <w14:ligatures w14:val="none"/>
        </w:rPr>
        <w:t>.</w:t>
      </w:r>
      <w:r w:rsidRPr="00845A3A">
        <w:rPr>
          <w:rFonts w:ascii="Times New Roman" w:eastAsia="Times New Roman" w:hAnsi="Times New Roman" w:cs="Times New Roman"/>
          <w:color w:val="000000"/>
          <w:kern w:val="0"/>
          <w:sz w:val="24"/>
          <w:szCs w:val="24"/>
          <w14:ligatures w14:val="none"/>
        </w:rPr>
        <w:t>) than the FTO/SnO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/perovskite sample which implies that the perovskite growth on the Ce-SnO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ETL contained fewer defects.</w:t>
      </w:r>
      <w:hyperlink r:id="rId62" w:history="1">
        <w:r w:rsidRPr="00845A3A">
          <w:rPr>
            <w:rFonts w:ascii="Times New Roman" w:eastAsia="Times New Roman" w:hAnsi="Times New Roman" w:cs="Times New Roman"/>
            <w:sz w:val="24"/>
            <w:vertAlign w:val="superscript"/>
          </w:rPr>
          <w:t>49,50</w:t>
        </w:r>
      </w:hyperlink>
      <w:r w:rsidRPr="00845A3A">
        <w:rPr>
          <w:rFonts w:ascii="Times New Roman" w:eastAsia="Times New Roman" w:hAnsi="Times New Roman" w:cs="Times New Roman"/>
          <w:sz w:val="24"/>
        </w:rPr>
        <w:t xml:space="preserve"> </w:t>
      </w:r>
      <w:r w:rsidRPr="00845A3A">
        <w:rPr>
          <w:rFonts w:ascii="Times New Roman" w:eastAsia="Times New Roman" w:hAnsi="Times New Roman" w:cs="Times New Roman"/>
          <w:color w:val="000000"/>
          <w:kern w:val="0"/>
          <w:sz w:val="24"/>
          <w:szCs w:val="24"/>
          <w14:ligatures w14:val="none"/>
        </w:rPr>
        <w:t>The reduced lattice strain might be responsible for less defects in perovskite deposited on the Ce-SnO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w:t>
      </w:r>
    </w:p>
    <w:p w14:paraId="7EB45018" w14:textId="77777777" w:rsidR="00EB55F0" w:rsidRPr="00845A3A" w:rsidRDefault="00EB55F0" w:rsidP="000D0C6C">
      <w:pPr>
        <w:spacing w:before="240" w:line="480" w:lineRule="auto"/>
        <w:jc w:val="both"/>
        <w:divId w:val="1275020545"/>
        <w:rPr>
          <w:rFonts w:ascii="Times New Roman" w:eastAsia="Times New Roman" w:hAnsi="Times New Roman" w:cs="Times New Roman"/>
          <w:color w:val="000000"/>
          <w:kern w:val="0"/>
          <w:sz w:val="24"/>
          <w:szCs w:val="24"/>
          <w14:ligatures w14:val="none"/>
        </w:rPr>
      </w:pPr>
      <w:r w:rsidRPr="00845A3A">
        <w:rPr>
          <w:rFonts w:ascii="Times New Roman" w:eastAsia="Times New Roman" w:hAnsi="Times New Roman" w:cs="Times New Roman"/>
          <w:color w:val="000000"/>
          <w:kern w:val="0"/>
          <w:sz w:val="24"/>
          <w:szCs w:val="24"/>
          <w14:ligatures w14:val="none"/>
        </w:rPr>
        <w:lastRenderedPageBreak/>
        <w:t xml:space="preserve">The </w:t>
      </w:r>
      <w:r w:rsidRPr="00845A3A">
        <w:rPr>
          <w:rFonts w:ascii="Times New Roman" w:hAnsi="Times New Roman" w:cs="Times New Roman"/>
          <w:sz w:val="24"/>
          <w:szCs w:val="24"/>
        </w:rPr>
        <w:t>Mott−Schottky study of the PSCs using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and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 was performed for deeper understanding of the improvements of the </w:t>
      </w:r>
      <w:r w:rsidRPr="00845A3A">
        <w:rPr>
          <w:rFonts w:ascii="Times New Roman" w:hAnsi="Times New Roman" w:cs="Times New Roman"/>
          <w:i/>
          <w:iCs/>
          <w:sz w:val="24"/>
          <w:szCs w:val="24"/>
        </w:rPr>
        <w:t>V</w:t>
      </w:r>
      <w:r w:rsidRPr="00845A3A">
        <w:rPr>
          <w:rFonts w:ascii="Times New Roman" w:hAnsi="Times New Roman" w:cs="Times New Roman"/>
          <w:sz w:val="24"/>
          <w:szCs w:val="24"/>
          <w:vertAlign w:val="subscript"/>
        </w:rPr>
        <w:t>OC</w:t>
      </w:r>
      <w:r w:rsidRPr="00845A3A">
        <w:rPr>
          <w:rFonts w:ascii="Times New Roman" w:hAnsi="Times New Roman" w:cs="Times New Roman"/>
          <w:sz w:val="24"/>
          <w:szCs w:val="24"/>
        </w:rPr>
        <w:t xml:space="preserve">. From </w:t>
      </w:r>
      <w:r w:rsidRPr="00845A3A">
        <w:rPr>
          <w:rFonts w:ascii="Times New Roman" w:hAnsi="Times New Roman" w:cs="Times New Roman"/>
          <w:b/>
          <w:bCs/>
          <w:sz w:val="24"/>
          <w:szCs w:val="24"/>
        </w:rPr>
        <w:t>Figure 5c</w:t>
      </w:r>
      <w:r w:rsidRPr="00845A3A">
        <w:rPr>
          <w:rFonts w:ascii="Times New Roman" w:hAnsi="Times New Roman" w:cs="Times New Roman"/>
          <w:sz w:val="24"/>
          <w:szCs w:val="24"/>
        </w:rPr>
        <w:t>, the built-in potential (</w:t>
      </w:r>
      <w:proofErr w:type="spellStart"/>
      <w:r w:rsidRPr="00845A3A">
        <w:rPr>
          <w:rFonts w:ascii="Times New Roman" w:hAnsi="Times New Roman" w:cs="Times New Roman"/>
          <w:i/>
          <w:iCs/>
          <w:sz w:val="24"/>
          <w:szCs w:val="24"/>
        </w:rPr>
        <w:t>V</w:t>
      </w:r>
      <w:r w:rsidRPr="00845A3A">
        <w:rPr>
          <w:rFonts w:ascii="Times New Roman" w:hAnsi="Times New Roman" w:cs="Times New Roman"/>
          <w:sz w:val="24"/>
          <w:szCs w:val="24"/>
          <w:vertAlign w:val="subscript"/>
        </w:rPr>
        <w:t>bi</w:t>
      </w:r>
      <w:proofErr w:type="spellEnd"/>
      <w:r w:rsidRPr="00845A3A">
        <w:rPr>
          <w:rFonts w:ascii="Times New Roman" w:hAnsi="Times New Roman" w:cs="Times New Roman"/>
          <w:sz w:val="24"/>
          <w:szCs w:val="24"/>
        </w:rPr>
        <w:t>) of the 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and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 based-devices is observed correspondingly to be 1.06 V and 1.12 V. The higher </w:t>
      </w:r>
      <w:proofErr w:type="spellStart"/>
      <w:r w:rsidRPr="00845A3A">
        <w:rPr>
          <w:rFonts w:ascii="Times New Roman" w:hAnsi="Times New Roman" w:cs="Times New Roman"/>
          <w:i/>
          <w:iCs/>
          <w:sz w:val="24"/>
          <w:szCs w:val="24"/>
        </w:rPr>
        <w:t>V</w:t>
      </w:r>
      <w:r w:rsidRPr="00845A3A">
        <w:rPr>
          <w:rFonts w:ascii="Times New Roman" w:hAnsi="Times New Roman" w:cs="Times New Roman"/>
          <w:sz w:val="24"/>
          <w:szCs w:val="24"/>
          <w:vertAlign w:val="subscript"/>
        </w:rPr>
        <w:t>bi</w:t>
      </w:r>
      <w:proofErr w:type="spellEnd"/>
      <w:r w:rsidRPr="00845A3A">
        <w:rPr>
          <w:rFonts w:ascii="Times New Roman" w:hAnsi="Times New Roman" w:cs="Times New Roman"/>
          <w:sz w:val="24"/>
          <w:szCs w:val="24"/>
        </w:rPr>
        <w:t xml:space="preserve"> could suppress the recombination loss at the interface as well as promote the charge transportation, those are correlated with the </w:t>
      </w:r>
      <w:r w:rsidRPr="00845A3A">
        <w:rPr>
          <w:rFonts w:ascii="Times New Roman" w:hAnsi="Times New Roman" w:cs="Times New Roman"/>
          <w:i/>
          <w:iCs/>
          <w:sz w:val="24"/>
          <w:szCs w:val="24"/>
        </w:rPr>
        <w:t>V</w:t>
      </w:r>
      <w:r w:rsidRPr="00845A3A">
        <w:rPr>
          <w:rFonts w:ascii="Times New Roman" w:hAnsi="Times New Roman" w:cs="Times New Roman"/>
          <w:sz w:val="24"/>
          <w:szCs w:val="24"/>
          <w:vertAlign w:val="subscript"/>
        </w:rPr>
        <w:t>OC</w:t>
      </w:r>
      <w:r w:rsidRPr="00845A3A">
        <w:rPr>
          <w:rFonts w:ascii="Times New Roman" w:hAnsi="Times New Roman" w:cs="Times New Roman"/>
          <w:sz w:val="24"/>
          <w:szCs w:val="24"/>
        </w:rPr>
        <w:t xml:space="preserve"> enhancement of the Ce-SnO</w:t>
      </w:r>
      <w:r w:rsidRPr="00845A3A">
        <w:rPr>
          <w:rFonts w:ascii="Times New Roman" w:hAnsi="Times New Roman" w:cs="Times New Roman"/>
          <w:sz w:val="24"/>
          <w:szCs w:val="24"/>
          <w:vertAlign w:val="subscript"/>
        </w:rPr>
        <w:t>2</w:t>
      </w:r>
      <w:r w:rsidRPr="00845A3A">
        <w:rPr>
          <w:rFonts w:ascii="Times New Roman" w:hAnsi="Times New Roman" w:cs="Times New Roman"/>
          <w:sz w:val="24"/>
          <w:szCs w:val="24"/>
        </w:rPr>
        <w:t xml:space="preserve"> ETL based PSCs.</w:t>
      </w:r>
      <w:hyperlink r:id="rId63" w:history="1">
        <w:r w:rsidRPr="00845A3A">
          <w:rPr>
            <w:rFonts w:ascii="Times New Roman" w:eastAsia="Times New Roman" w:hAnsi="Times New Roman" w:cs="Times New Roman"/>
            <w:sz w:val="24"/>
            <w:vertAlign w:val="superscript"/>
          </w:rPr>
          <w:t>51,52</w:t>
        </w:r>
      </w:hyperlink>
    </w:p>
    <w:p w14:paraId="667194EA" w14:textId="422FFA2B" w:rsidR="00EB55F0" w:rsidRPr="00845A3A" w:rsidRDefault="00EB55F0" w:rsidP="000D0C6C">
      <w:pPr>
        <w:spacing w:before="240" w:line="480" w:lineRule="auto"/>
        <w:jc w:val="both"/>
        <w:divId w:val="1275020545"/>
        <w:rPr>
          <w:rFonts w:ascii="Times New Roman" w:eastAsia="Times New Roman" w:hAnsi="Times New Roman" w:cs="Times New Roman"/>
          <w:color w:val="000000"/>
          <w:kern w:val="0"/>
          <w:sz w:val="24"/>
          <w:szCs w:val="24"/>
          <w14:ligatures w14:val="none"/>
        </w:rPr>
      </w:pPr>
      <w:r w:rsidRPr="00845A3A">
        <w:rPr>
          <w:rFonts w:ascii="Times New Roman" w:eastAsia="Times New Roman" w:hAnsi="Times New Roman" w:cs="Times New Roman"/>
          <w:color w:val="000000"/>
          <w:kern w:val="0"/>
          <w:sz w:val="24"/>
          <w:szCs w:val="24"/>
          <w14:ligatures w14:val="none"/>
        </w:rPr>
        <w:t>A more insight of the carrier transport nature in the PSCs can be obtained by utilizing electrochemical impedance spectroscopy (EIS).</w:t>
      </w:r>
      <w:hyperlink r:id="rId64" w:history="1">
        <w:r w:rsidRPr="00845A3A">
          <w:rPr>
            <w:rFonts w:ascii="Times New Roman" w:eastAsia="Times New Roman" w:hAnsi="Times New Roman" w:cs="Times New Roman"/>
            <w:sz w:val="24"/>
            <w:vertAlign w:val="superscript"/>
          </w:rPr>
          <w:t>36,53</w:t>
        </w:r>
      </w:hyperlink>
      <w:r w:rsidRPr="00845A3A">
        <w:rPr>
          <w:rFonts w:ascii="Times New Roman" w:eastAsia="Times New Roman" w:hAnsi="Times New Roman" w:cs="Times New Roman"/>
          <w:color w:val="000000"/>
          <w:kern w:val="0"/>
          <w:sz w:val="24"/>
          <w:szCs w:val="24"/>
          <w14:ligatures w14:val="none"/>
        </w:rPr>
        <w:t xml:space="preserve"> </w:t>
      </w:r>
      <w:r w:rsidRPr="00845A3A">
        <w:rPr>
          <w:rFonts w:ascii="Times New Roman" w:eastAsia="Times New Roman" w:hAnsi="Times New Roman" w:cs="Times New Roman"/>
          <w:kern w:val="0"/>
          <w:sz w:val="24"/>
          <w:szCs w:val="24"/>
          <w14:ligatures w14:val="none"/>
        </w:rPr>
        <w:t>The Nyquist graph of the SnO</w:t>
      </w:r>
      <w:r w:rsidRPr="00845A3A">
        <w:rPr>
          <w:rFonts w:ascii="Times New Roman" w:eastAsia="Times New Roman" w:hAnsi="Times New Roman" w:cs="Times New Roman"/>
          <w:kern w:val="0"/>
          <w:sz w:val="24"/>
          <w:szCs w:val="24"/>
          <w:vertAlign w:val="subscript"/>
          <w14:ligatures w14:val="none"/>
        </w:rPr>
        <w:t>2</w:t>
      </w:r>
      <w:r w:rsidRPr="00845A3A">
        <w:rPr>
          <w:rFonts w:ascii="Times New Roman" w:eastAsia="Times New Roman" w:hAnsi="Times New Roman" w:cs="Times New Roman"/>
          <w:kern w:val="0"/>
          <w:sz w:val="24"/>
          <w:szCs w:val="24"/>
          <w14:ligatures w14:val="none"/>
        </w:rPr>
        <w:t xml:space="preserve"> and Ce-SnO</w:t>
      </w:r>
      <w:r w:rsidRPr="00845A3A">
        <w:rPr>
          <w:rFonts w:ascii="Times New Roman" w:eastAsia="Times New Roman" w:hAnsi="Times New Roman" w:cs="Times New Roman"/>
          <w:kern w:val="0"/>
          <w:sz w:val="24"/>
          <w:szCs w:val="24"/>
          <w:vertAlign w:val="subscript"/>
          <w14:ligatures w14:val="none"/>
        </w:rPr>
        <w:t>2</w:t>
      </w:r>
      <w:r w:rsidRPr="00845A3A">
        <w:rPr>
          <w:rFonts w:ascii="Times New Roman" w:eastAsia="Times New Roman" w:hAnsi="Times New Roman" w:cs="Times New Roman"/>
          <w:kern w:val="0"/>
          <w:sz w:val="24"/>
          <w:szCs w:val="24"/>
          <w14:ligatures w14:val="none"/>
        </w:rPr>
        <w:t xml:space="preserve"> ETL-based PSCs observed at bias voltage of 0.5 V is shown in </w:t>
      </w:r>
      <w:r w:rsidRPr="00845A3A">
        <w:rPr>
          <w:rFonts w:ascii="Times New Roman" w:eastAsia="Times New Roman" w:hAnsi="Times New Roman" w:cs="Times New Roman"/>
          <w:b/>
          <w:bCs/>
          <w:kern w:val="0"/>
          <w:sz w:val="24"/>
          <w:szCs w:val="24"/>
          <w14:ligatures w14:val="none"/>
        </w:rPr>
        <w:t>Figure 5d</w:t>
      </w:r>
      <w:r w:rsidRPr="00845A3A">
        <w:rPr>
          <w:rFonts w:ascii="Times New Roman" w:eastAsia="Times New Roman" w:hAnsi="Times New Roman" w:cs="Times New Roman"/>
          <w:kern w:val="0"/>
          <w:sz w:val="24"/>
          <w:szCs w:val="24"/>
          <w14:ligatures w14:val="none"/>
        </w:rPr>
        <w:t xml:space="preserve">. The Nyquist graph indicates </w:t>
      </w:r>
      <w:r w:rsidR="00FF7BB3" w:rsidRPr="00845A3A">
        <w:rPr>
          <w:rFonts w:ascii="Times New Roman" w:eastAsia="Times New Roman" w:hAnsi="Times New Roman" w:cs="Times New Roman"/>
          <w:kern w:val="0"/>
          <w:sz w:val="24"/>
          <w:szCs w:val="24"/>
          <w14:ligatures w14:val="none"/>
        </w:rPr>
        <w:t xml:space="preserve">that </w:t>
      </w:r>
      <w:r w:rsidRPr="00845A3A">
        <w:rPr>
          <w:rFonts w:ascii="Times New Roman" w:eastAsia="Times New Roman" w:hAnsi="Times New Roman" w:cs="Times New Roman"/>
          <w:kern w:val="0"/>
          <w:sz w:val="24"/>
          <w:szCs w:val="24"/>
          <w14:ligatures w14:val="none"/>
        </w:rPr>
        <w:t>the interface carrier recombination resistance (</w:t>
      </w:r>
      <w:proofErr w:type="spellStart"/>
      <w:r w:rsidRPr="00845A3A">
        <w:rPr>
          <w:rFonts w:ascii="Times New Roman" w:eastAsia="Times New Roman" w:hAnsi="Times New Roman" w:cs="Times New Roman"/>
          <w:i/>
          <w:iCs/>
          <w:kern w:val="0"/>
          <w:sz w:val="24"/>
          <w:szCs w:val="24"/>
          <w14:ligatures w14:val="none"/>
        </w:rPr>
        <w:t>R</w:t>
      </w:r>
      <w:r w:rsidRPr="00845A3A">
        <w:rPr>
          <w:rFonts w:ascii="Times New Roman" w:eastAsia="Times New Roman" w:hAnsi="Times New Roman" w:cs="Times New Roman"/>
          <w:kern w:val="0"/>
          <w:sz w:val="24"/>
          <w:szCs w:val="24"/>
          <w:vertAlign w:val="subscript"/>
          <w14:ligatures w14:val="none"/>
        </w:rPr>
        <w:t>rec</w:t>
      </w:r>
      <w:proofErr w:type="spellEnd"/>
      <w:r w:rsidRPr="00845A3A">
        <w:rPr>
          <w:rFonts w:ascii="Times New Roman" w:eastAsia="Times New Roman" w:hAnsi="Times New Roman" w:cs="Times New Roman"/>
          <w:kern w:val="0"/>
          <w:sz w:val="24"/>
          <w:szCs w:val="24"/>
          <w14:ligatures w14:val="none"/>
        </w:rPr>
        <w:t>) significantly improved for the PSCs based on Ce-SnO</w:t>
      </w:r>
      <w:r w:rsidRPr="00845A3A">
        <w:rPr>
          <w:rFonts w:ascii="Times New Roman" w:eastAsia="Times New Roman" w:hAnsi="Times New Roman" w:cs="Times New Roman"/>
          <w:kern w:val="0"/>
          <w:sz w:val="24"/>
          <w:szCs w:val="24"/>
          <w:vertAlign w:val="subscript"/>
          <w14:ligatures w14:val="none"/>
        </w:rPr>
        <w:t>2</w:t>
      </w:r>
      <w:r w:rsidRPr="00845A3A">
        <w:rPr>
          <w:rFonts w:ascii="Times New Roman" w:eastAsia="Times New Roman" w:hAnsi="Times New Roman" w:cs="Times New Roman"/>
          <w:kern w:val="0"/>
          <w:sz w:val="24"/>
          <w:szCs w:val="24"/>
          <w14:ligatures w14:val="none"/>
        </w:rPr>
        <w:t xml:space="preserve"> ETL compared with the PSCs based on pristine SnO</w:t>
      </w:r>
      <w:r w:rsidRPr="00845A3A">
        <w:rPr>
          <w:rFonts w:ascii="Times New Roman" w:eastAsia="Times New Roman" w:hAnsi="Times New Roman" w:cs="Times New Roman"/>
          <w:kern w:val="0"/>
          <w:sz w:val="24"/>
          <w:szCs w:val="24"/>
          <w:vertAlign w:val="subscript"/>
          <w14:ligatures w14:val="none"/>
        </w:rPr>
        <w:t>2</w:t>
      </w:r>
      <w:r w:rsidRPr="00845A3A">
        <w:rPr>
          <w:rFonts w:ascii="Times New Roman" w:eastAsia="Times New Roman" w:hAnsi="Times New Roman" w:cs="Times New Roman"/>
          <w:kern w:val="0"/>
          <w:sz w:val="24"/>
          <w:szCs w:val="24"/>
          <w14:ligatures w14:val="none"/>
        </w:rPr>
        <w:t xml:space="preserve"> ETL</w:t>
      </w:r>
      <w:r w:rsidRPr="00845A3A">
        <w:rPr>
          <w:rFonts w:ascii="Times New Roman" w:eastAsia="Times New Roman" w:hAnsi="Times New Roman" w:cs="Times New Roman"/>
          <w:color w:val="000000"/>
          <w:kern w:val="0"/>
          <w:sz w:val="24"/>
          <w:szCs w:val="24"/>
          <w14:ligatures w14:val="none"/>
        </w:rPr>
        <w:t>. This result reveals that Ce-SnO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ETL contributed to the charge transport efficiency enhancement and reduction of the interface (ETL/perovskite) recombination. </w:t>
      </w:r>
    </w:p>
    <w:p w14:paraId="2E6AB9F0" w14:textId="0A9F5C3C" w:rsidR="00EB55F0" w:rsidRPr="00845A3A" w:rsidRDefault="00EB55F0" w:rsidP="004F52ED">
      <w:pPr>
        <w:spacing w:line="480" w:lineRule="auto"/>
        <w:jc w:val="both"/>
        <w:divId w:val="1275020545"/>
        <w:rPr>
          <w:rFonts w:ascii="Times New Roman" w:eastAsia="Times New Roman" w:hAnsi="Times New Roman" w:cs="Times New Roman"/>
          <w:color w:val="000000"/>
          <w:kern w:val="0"/>
          <w:sz w:val="24"/>
          <w:szCs w:val="24"/>
          <w14:ligatures w14:val="none"/>
        </w:rPr>
      </w:pPr>
      <w:r w:rsidRPr="00845A3A">
        <w:rPr>
          <w:rFonts w:ascii="Times New Roman" w:eastAsia="Times New Roman" w:hAnsi="Times New Roman" w:cs="Times New Roman"/>
          <w:color w:val="000000"/>
          <w:kern w:val="0"/>
          <w:sz w:val="24"/>
          <w:szCs w:val="24"/>
          <w14:ligatures w14:val="none"/>
        </w:rPr>
        <w:t>The transient photovoltage (TPV) decay of the PSCs based on the 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and Ce-SnO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ETL was analyzed to get more insight about recombination kinetics. </w:t>
      </w:r>
      <w:r w:rsidRPr="00845A3A">
        <w:rPr>
          <w:rFonts w:ascii="Times New Roman" w:eastAsia="Times New Roman" w:hAnsi="Times New Roman" w:cs="Times New Roman"/>
          <w:b/>
          <w:bCs/>
          <w:color w:val="000000"/>
          <w:kern w:val="0"/>
          <w:sz w:val="24"/>
          <w:szCs w:val="24"/>
          <w14:ligatures w14:val="none"/>
        </w:rPr>
        <w:t>Figure 5e</w:t>
      </w:r>
      <w:r w:rsidRPr="00845A3A">
        <w:rPr>
          <w:rFonts w:ascii="Times New Roman" w:eastAsia="Times New Roman" w:hAnsi="Times New Roman" w:cs="Times New Roman"/>
          <w:color w:val="000000"/>
          <w:kern w:val="0"/>
          <w:sz w:val="24"/>
          <w:szCs w:val="24"/>
          <w14:ligatures w14:val="none"/>
        </w:rPr>
        <w:t xml:space="preserve"> indicates that the TPV decay is delayed for the Ce-SnO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ETL based-PSCs (11.71 </w:t>
      </w:r>
      <w:proofErr w:type="spellStart"/>
      <w:r w:rsidRPr="00845A3A">
        <w:rPr>
          <w:rFonts w:ascii="Times New Roman" w:eastAsia="Times New Roman" w:hAnsi="Times New Roman" w:cs="Times New Roman"/>
          <w:color w:val="000000"/>
          <w:kern w:val="0"/>
          <w:sz w:val="24"/>
          <w:szCs w:val="24"/>
          <w14:ligatures w14:val="none"/>
        </w:rPr>
        <w:t>ms</w:t>
      </w:r>
      <w:proofErr w:type="spellEnd"/>
      <w:r w:rsidRPr="00845A3A">
        <w:rPr>
          <w:rFonts w:ascii="Times New Roman" w:eastAsia="Times New Roman" w:hAnsi="Times New Roman" w:cs="Times New Roman"/>
          <w:color w:val="000000"/>
          <w:kern w:val="0"/>
          <w:sz w:val="24"/>
          <w:szCs w:val="24"/>
          <w14:ligatures w14:val="none"/>
        </w:rPr>
        <w:t>) compared to the pristine 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ETL based-PSCs (10.15 </w:t>
      </w:r>
      <w:proofErr w:type="spellStart"/>
      <w:r w:rsidRPr="00845A3A">
        <w:rPr>
          <w:rFonts w:ascii="Times New Roman" w:eastAsia="Times New Roman" w:hAnsi="Times New Roman" w:cs="Times New Roman"/>
          <w:color w:val="000000"/>
          <w:kern w:val="0"/>
          <w:sz w:val="24"/>
          <w:szCs w:val="24"/>
          <w14:ligatures w14:val="none"/>
        </w:rPr>
        <w:t>ms</w:t>
      </w:r>
      <w:proofErr w:type="spellEnd"/>
      <w:r w:rsidRPr="00845A3A">
        <w:rPr>
          <w:rFonts w:ascii="Times New Roman" w:eastAsia="Times New Roman" w:hAnsi="Times New Roman" w:cs="Times New Roman"/>
          <w:color w:val="000000"/>
          <w:kern w:val="0"/>
          <w:sz w:val="24"/>
          <w:szCs w:val="24"/>
          <w14:ligatures w14:val="none"/>
        </w:rPr>
        <w:t>). The delayed TPV decay indicates longer carrier lifetime and reduced recombination rate of the Ce-SnO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ETL based-PSCs.</w:t>
      </w:r>
      <w:hyperlink r:id="rId65" w:history="1">
        <w:r w:rsidRPr="00845A3A">
          <w:rPr>
            <w:rFonts w:ascii="Times New Roman" w:eastAsia="Times New Roman" w:hAnsi="Times New Roman" w:cs="Times New Roman"/>
            <w:sz w:val="24"/>
            <w:vertAlign w:val="superscript"/>
          </w:rPr>
          <w:t>54,55</w:t>
        </w:r>
      </w:hyperlink>
      <w:r w:rsidRPr="00845A3A">
        <w:rPr>
          <w:rFonts w:ascii="Times New Roman" w:eastAsia="Times New Roman" w:hAnsi="Times New Roman" w:cs="Times New Roman"/>
          <w:color w:val="000000"/>
          <w:kern w:val="0"/>
          <w:sz w:val="24"/>
          <w:szCs w:val="24"/>
          <w14:ligatures w14:val="none"/>
        </w:rPr>
        <w:t xml:space="preserve"> Furthermore, the transient photocurrent (TPC) decay analysis could provide the information</w:t>
      </w:r>
      <w:r w:rsidR="00FF7BB3" w:rsidRPr="00845A3A">
        <w:rPr>
          <w:rFonts w:ascii="Times New Roman" w:eastAsia="Times New Roman" w:hAnsi="Times New Roman" w:cs="Times New Roman"/>
          <w:color w:val="000000"/>
          <w:kern w:val="0"/>
          <w:sz w:val="24"/>
          <w:szCs w:val="24"/>
          <w14:ligatures w14:val="none"/>
        </w:rPr>
        <w:t xml:space="preserve"> of the</w:t>
      </w:r>
      <w:r w:rsidRPr="00845A3A">
        <w:rPr>
          <w:rFonts w:ascii="Times New Roman" w:eastAsia="Times New Roman" w:hAnsi="Times New Roman" w:cs="Times New Roman"/>
          <w:color w:val="000000"/>
          <w:kern w:val="0"/>
          <w:sz w:val="24"/>
          <w:szCs w:val="24"/>
          <w14:ligatures w14:val="none"/>
        </w:rPr>
        <w:t xml:space="preserve"> carrier transportation process in the PSCs. As observed from the </w:t>
      </w:r>
      <w:r w:rsidRPr="00845A3A">
        <w:rPr>
          <w:rFonts w:ascii="Times New Roman" w:eastAsia="Times New Roman" w:hAnsi="Times New Roman" w:cs="Times New Roman"/>
          <w:b/>
          <w:bCs/>
          <w:color w:val="000000"/>
          <w:kern w:val="0"/>
          <w:sz w:val="24"/>
          <w:szCs w:val="24"/>
          <w14:ligatures w14:val="none"/>
        </w:rPr>
        <w:t>Figure 5f</w:t>
      </w:r>
      <w:r w:rsidRPr="00845A3A">
        <w:rPr>
          <w:rFonts w:ascii="Times New Roman" w:eastAsia="Times New Roman" w:hAnsi="Times New Roman" w:cs="Times New Roman"/>
          <w:color w:val="000000"/>
          <w:kern w:val="0"/>
          <w:sz w:val="24"/>
          <w:szCs w:val="24"/>
          <w14:ligatures w14:val="none"/>
        </w:rPr>
        <w:t>, the Ce-SnO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ETL based-PSCs exhibited faster photocurrent decay (1.76 µs) compared to the pristine 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ETL based-PSCs (4.98 µs) which indicates faster carrier transportation in the Ce-SnO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ETL based-PSCs.</w:t>
      </w:r>
      <w:hyperlink r:id="rId66" w:history="1">
        <w:r w:rsidRPr="00845A3A">
          <w:rPr>
            <w:rFonts w:ascii="Times New Roman" w:eastAsia="Times New Roman" w:hAnsi="Times New Roman" w:cs="Times New Roman"/>
            <w:sz w:val="24"/>
            <w:vertAlign w:val="superscript"/>
          </w:rPr>
          <w:t>54</w:t>
        </w:r>
      </w:hyperlink>
      <w:r w:rsidRPr="00845A3A">
        <w:rPr>
          <w:rFonts w:ascii="Times New Roman" w:eastAsia="Times New Roman" w:hAnsi="Times New Roman" w:cs="Times New Roman"/>
          <w:color w:val="000000"/>
          <w:kern w:val="0"/>
          <w:sz w:val="24"/>
          <w:szCs w:val="24"/>
          <w14:ligatures w14:val="none"/>
        </w:rPr>
        <w:t xml:space="preserve">  The lower CBO at the Ce-SnO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/perovskite interface as well as the improved </w:t>
      </w:r>
      <w:proofErr w:type="spellStart"/>
      <w:r w:rsidRPr="00845A3A">
        <w:rPr>
          <w:rFonts w:ascii="Times New Roman" w:eastAsia="Times New Roman" w:hAnsi="Times New Roman" w:cs="Times New Roman"/>
          <w:i/>
          <w:iCs/>
          <w:color w:val="000000"/>
          <w:kern w:val="0"/>
          <w:sz w:val="24"/>
          <w:szCs w:val="24"/>
          <w14:ligatures w14:val="none"/>
        </w:rPr>
        <w:t>V</w:t>
      </w:r>
      <w:r w:rsidRPr="00845A3A">
        <w:rPr>
          <w:rFonts w:ascii="Times New Roman" w:eastAsia="Times New Roman" w:hAnsi="Times New Roman" w:cs="Times New Roman"/>
          <w:color w:val="000000"/>
          <w:kern w:val="0"/>
          <w:sz w:val="24"/>
          <w:szCs w:val="24"/>
          <w:vertAlign w:val="subscript"/>
          <w14:ligatures w14:val="none"/>
        </w:rPr>
        <w:t>bi</w:t>
      </w:r>
      <w:proofErr w:type="spellEnd"/>
      <w:r w:rsidRPr="00845A3A">
        <w:rPr>
          <w:rFonts w:ascii="Times New Roman" w:eastAsia="Times New Roman" w:hAnsi="Times New Roman" w:cs="Times New Roman"/>
          <w:color w:val="000000"/>
          <w:kern w:val="0"/>
          <w:sz w:val="24"/>
          <w:szCs w:val="24"/>
          <w14:ligatures w14:val="none"/>
        </w:rPr>
        <w:t xml:space="preserve"> might have helped to improve the carrier transportation rate in the Ce-SnO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ETL based-PSCs.</w:t>
      </w:r>
    </w:p>
    <w:p w14:paraId="4F6BF95D" w14:textId="77777777" w:rsidR="00EB55F0" w:rsidRPr="00845A3A" w:rsidRDefault="00EB55F0" w:rsidP="00AD69E0">
      <w:pPr>
        <w:spacing w:line="480" w:lineRule="auto"/>
        <w:divId w:val="783115962"/>
        <w:rPr>
          <w:rFonts w:ascii="Times New Roman" w:hAnsi="Times New Roman" w:cs="Times New Roman"/>
          <w:b/>
          <w:bCs/>
          <w:color w:val="000000"/>
          <w:sz w:val="28"/>
          <w:szCs w:val="28"/>
        </w:rPr>
      </w:pPr>
      <w:r w:rsidRPr="00845A3A">
        <w:rPr>
          <w:rFonts w:ascii="Times New Roman" w:hAnsi="Times New Roman" w:cs="Times New Roman"/>
          <w:b/>
          <w:bCs/>
          <w:color w:val="000000"/>
          <w:sz w:val="28"/>
          <w:szCs w:val="28"/>
        </w:rPr>
        <w:lastRenderedPageBreak/>
        <w:t>4. Conclusions</w:t>
      </w:r>
    </w:p>
    <w:p w14:paraId="7C4A4211" w14:textId="4B0B2AFC" w:rsidR="00EB55F0" w:rsidRPr="00845A3A" w:rsidRDefault="00EB55F0" w:rsidP="00DB3F3E">
      <w:pPr>
        <w:spacing w:line="480" w:lineRule="auto"/>
        <w:jc w:val="both"/>
        <w:divId w:val="783115962"/>
        <w:rPr>
          <w:rFonts w:ascii="Times New Roman" w:eastAsia="Times New Roman" w:hAnsi="Times New Roman" w:cs="Times New Roman"/>
          <w:color w:val="000000"/>
          <w:kern w:val="0"/>
          <w:sz w:val="24"/>
          <w:szCs w:val="24"/>
          <w14:ligatures w14:val="none"/>
        </w:rPr>
      </w:pPr>
      <w:r w:rsidRPr="00845A3A">
        <w:rPr>
          <w:rFonts w:ascii="Times New Roman" w:eastAsia="Times New Roman" w:hAnsi="Times New Roman" w:cs="Times New Roman"/>
          <w:color w:val="000000"/>
          <w:kern w:val="0"/>
          <w:sz w:val="24"/>
          <w:szCs w:val="24"/>
          <w14:ligatures w14:val="none"/>
        </w:rPr>
        <w:t xml:space="preserve">In this study, an effective way has been provided for the reduction of </w:t>
      </w:r>
      <w:r w:rsidRPr="00845A3A">
        <w:rPr>
          <w:rFonts w:ascii="Times New Roman" w:eastAsia="Times New Roman" w:hAnsi="Times New Roman" w:cs="Times New Roman"/>
          <w:i/>
          <w:iCs/>
          <w:color w:val="000000"/>
          <w:kern w:val="0"/>
          <w:sz w:val="24"/>
          <w:szCs w:val="24"/>
          <w14:ligatures w14:val="none"/>
        </w:rPr>
        <w:t>V</w:t>
      </w:r>
      <w:r w:rsidRPr="00845A3A">
        <w:rPr>
          <w:rFonts w:ascii="Times New Roman" w:eastAsia="Times New Roman" w:hAnsi="Times New Roman" w:cs="Times New Roman"/>
          <w:color w:val="000000"/>
          <w:kern w:val="0"/>
          <w:sz w:val="24"/>
          <w:szCs w:val="24"/>
          <w:vertAlign w:val="subscript"/>
          <w14:ligatures w14:val="none"/>
        </w:rPr>
        <w:t>OC</w:t>
      </w:r>
      <w:r w:rsidRPr="00845A3A">
        <w:rPr>
          <w:rFonts w:ascii="Times New Roman" w:eastAsia="Times New Roman" w:hAnsi="Times New Roman" w:cs="Times New Roman"/>
          <w:color w:val="000000"/>
          <w:kern w:val="0"/>
          <w:sz w:val="24"/>
          <w:szCs w:val="24"/>
          <w14:ligatures w14:val="none"/>
        </w:rPr>
        <w:t xml:space="preserve"> loss of the PSCs by introducing the Ce-SnO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ETL. A favorable interface for efficient carrier transport was formed by the Ce-SnO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ETL with perovskite layer. Ce-doping dramatically reduced the 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surface oxygen</w:t>
      </w:r>
      <w:r w:rsidR="00FF7BB3" w:rsidRPr="00845A3A">
        <w:rPr>
          <w:rFonts w:ascii="Times New Roman" w:eastAsia="Times New Roman" w:hAnsi="Times New Roman" w:cs="Times New Roman"/>
          <w:color w:val="000000"/>
          <w:kern w:val="0"/>
          <w:sz w:val="24"/>
          <w:szCs w:val="24"/>
          <w14:ligatures w14:val="none"/>
        </w:rPr>
        <w:t xml:space="preserve"> vacancy</w:t>
      </w:r>
      <w:r w:rsidRPr="00845A3A">
        <w:rPr>
          <w:rFonts w:ascii="Times New Roman" w:eastAsia="Times New Roman" w:hAnsi="Times New Roman" w:cs="Times New Roman"/>
          <w:color w:val="000000"/>
          <w:kern w:val="0"/>
          <w:sz w:val="24"/>
          <w:szCs w:val="24"/>
          <w14:ligatures w14:val="none"/>
        </w:rPr>
        <w:t xml:space="preserve"> defects which suppressed the ETL/perovskite interface recombination rate. At the same time, Ce helped to adjust the CB energy level of the 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As a result, the </w:t>
      </w:r>
      <w:r w:rsidRPr="00845A3A">
        <w:rPr>
          <w:rFonts w:ascii="Times New Roman" w:eastAsia="Times New Roman" w:hAnsi="Times New Roman" w:cs="Times New Roman"/>
          <w:i/>
          <w:iCs/>
          <w:color w:val="000000"/>
          <w:kern w:val="0"/>
          <w:sz w:val="24"/>
          <w:szCs w:val="24"/>
          <w14:ligatures w14:val="none"/>
        </w:rPr>
        <w:t>V</w:t>
      </w:r>
      <w:r w:rsidRPr="00845A3A">
        <w:rPr>
          <w:rFonts w:ascii="Times New Roman" w:eastAsia="Times New Roman" w:hAnsi="Times New Roman" w:cs="Times New Roman"/>
          <w:color w:val="000000"/>
          <w:kern w:val="0"/>
          <w:sz w:val="24"/>
          <w:szCs w:val="24"/>
          <w:vertAlign w:val="subscript"/>
          <w14:ligatures w14:val="none"/>
        </w:rPr>
        <w:t>OC</w:t>
      </w:r>
      <w:r w:rsidRPr="00845A3A">
        <w:rPr>
          <w:rFonts w:ascii="Times New Roman" w:eastAsia="Times New Roman" w:hAnsi="Times New Roman" w:cs="Times New Roman"/>
          <w:color w:val="000000"/>
          <w:kern w:val="0"/>
          <w:sz w:val="24"/>
          <w:szCs w:val="24"/>
          <w14:ligatures w14:val="none"/>
        </w:rPr>
        <w:t xml:space="preserve"> loss of the PSCs was able to be suppressed by around 100 mV by the Ce-SnO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ETL which showed an outstanding PCE of 23.0%. Finally, Ce-doping in 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ETL and PEAI treatment on the perovskite surface of the PSCs helped to reach the PCE to 23.3%. This study has introduced an effective method of incorporation of Ce-doping in SnO</w:t>
      </w:r>
      <w:r w:rsidRPr="00845A3A">
        <w:rPr>
          <w:rFonts w:ascii="Times New Roman" w:eastAsia="Times New Roman" w:hAnsi="Times New Roman" w:cs="Times New Roman"/>
          <w:color w:val="000000"/>
          <w:kern w:val="0"/>
          <w:sz w:val="24"/>
          <w:szCs w:val="24"/>
          <w:vertAlign w:val="subscript"/>
          <w14:ligatures w14:val="none"/>
        </w:rPr>
        <w:t>2</w:t>
      </w:r>
      <w:r w:rsidRPr="00845A3A">
        <w:rPr>
          <w:rFonts w:ascii="Times New Roman" w:eastAsia="Times New Roman" w:hAnsi="Times New Roman" w:cs="Times New Roman"/>
          <w:color w:val="000000"/>
          <w:kern w:val="0"/>
          <w:sz w:val="24"/>
          <w:szCs w:val="24"/>
          <w14:ligatures w14:val="none"/>
        </w:rPr>
        <w:t xml:space="preserve"> ETL for the enhancement of </w:t>
      </w:r>
      <w:r w:rsidRPr="00845A3A">
        <w:rPr>
          <w:rFonts w:ascii="Times New Roman" w:eastAsia="Times New Roman" w:hAnsi="Times New Roman" w:cs="Times New Roman"/>
          <w:i/>
          <w:iCs/>
          <w:color w:val="000000"/>
          <w:kern w:val="0"/>
          <w:sz w:val="24"/>
          <w:szCs w:val="24"/>
          <w14:ligatures w14:val="none"/>
        </w:rPr>
        <w:t>V</w:t>
      </w:r>
      <w:r w:rsidRPr="00845A3A">
        <w:rPr>
          <w:rFonts w:ascii="Times New Roman" w:eastAsia="Times New Roman" w:hAnsi="Times New Roman" w:cs="Times New Roman"/>
          <w:color w:val="000000"/>
          <w:kern w:val="0"/>
          <w:sz w:val="24"/>
          <w:szCs w:val="24"/>
          <w:vertAlign w:val="subscript"/>
          <w14:ligatures w14:val="none"/>
        </w:rPr>
        <w:t>OC</w:t>
      </w:r>
      <w:r w:rsidRPr="00845A3A">
        <w:rPr>
          <w:rFonts w:ascii="Times New Roman" w:eastAsia="Times New Roman" w:hAnsi="Times New Roman" w:cs="Times New Roman"/>
          <w:color w:val="000000"/>
          <w:kern w:val="0"/>
          <w:sz w:val="24"/>
          <w:szCs w:val="24"/>
          <w14:ligatures w14:val="none"/>
        </w:rPr>
        <w:t xml:space="preserve"> as well as performance of the PSCs.</w:t>
      </w:r>
    </w:p>
    <w:p w14:paraId="47D58BD9" w14:textId="77777777" w:rsidR="00EB55F0" w:rsidRPr="00845A3A" w:rsidRDefault="00EB55F0" w:rsidP="003D7CB8">
      <w:pPr>
        <w:pStyle w:val="FACorrespondingAuthorFootnote"/>
        <w:spacing w:before="240" w:after="0"/>
        <w:divId w:val="783115962"/>
        <w:rPr>
          <w:rFonts w:ascii="Times New Roman" w:hAnsi="Times New Roman"/>
          <w:b/>
          <w:bCs/>
          <w:sz w:val="28"/>
          <w:szCs w:val="22"/>
        </w:rPr>
      </w:pPr>
      <w:r w:rsidRPr="00845A3A">
        <w:rPr>
          <w:rFonts w:ascii="Times New Roman" w:hAnsi="Times New Roman"/>
          <w:b/>
          <w:bCs/>
          <w:sz w:val="28"/>
          <w:szCs w:val="22"/>
        </w:rPr>
        <w:t>SUPPORTING INFORMATION</w:t>
      </w:r>
    </w:p>
    <w:p w14:paraId="6662DF78" w14:textId="77777777" w:rsidR="00EB55F0" w:rsidRPr="00845A3A" w:rsidRDefault="00EB55F0" w:rsidP="003D7CB8">
      <w:pPr>
        <w:spacing w:line="480" w:lineRule="auto"/>
        <w:jc w:val="both"/>
        <w:divId w:val="783115962"/>
        <w:rPr>
          <w:rFonts w:ascii="Times New Roman" w:hAnsi="Times New Roman" w:cs="Times New Roman"/>
          <w:sz w:val="24"/>
          <w:szCs w:val="24"/>
        </w:rPr>
      </w:pPr>
      <w:r w:rsidRPr="00845A3A">
        <w:rPr>
          <w:rFonts w:ascii="Times New Roman" w:hAnsi="Times New Roman" w:cs="Times New Roman"/>
          <w:i/>
          <w:iCs/>
          <w:sz w:val="24"/>
          <w:szCs w:val="24"/>
        </w:rPr>
        <w:t>J</w:t>
      </w:r>
      <w:r w:rsidRPr="00845A3A">
        <w:rPr>
          <w:rFonts w:ascii="Times New Roman" w:hAnsi="Times New Roman" w:cs="Times New Roman"/>
          <w:sz w:val="24"/>
          <w:szCs w:val="24"/>
        </w:rPr>
        <w:t>-</w:t>
      </w:r>
      <w:r w:rsidRPr="00845A3A">
        <w:rPr>
          <w:rFonts w:ascii="Times New Roman" w:hAnsi="Times New Roman" w:cs="Times New Roman"/>
          <w:i/>
          <w:iCs/>
          <w:sz w:val="24"/>
          <w:szCs w:val="24"/>
        </w:rPr>
        <w:t>V</w:t>
      </w:r>
      <w:r w:rsidRPr="00845A3A">
        <w:rPr>
          <w:rFonts w:ascii="Times New Roman" w:hAnsi="Times New Roman" w:cs="Times New Roman"/>
          <w:sz w:val="24"/>
          <w:szCs w:val="24"/>
        </w:rPr>
        <w:t xml:space="preserve"> characteristics, DLS spectra, UV−vis transmittance and absorption spectra, UPS spectra, IPCE spectra, MPPT measurements, crystal parameters, Photovoltaic parameters, TRPL fitted parameters.</w:t>
      </w:r>
    </w:p>
    <w:p w14:paraId="7A23DE0D" w14:textId="77777777" w:rsidR="00EB55F0" w:rsidRPr="00845A3A" w:rsidRDefault="00EB55F0" w:rsidP="003D7CB8">
      <w:pPr>
        <w:pStyle w:val="FACorrespondingAuthorFootnote"/>
        <w:spacing w:before="240" w:after="0"/>
        <w:jc w:val="left"/>
        <w:divId w:val="783115962"/>
        <w:rPr>
          <w:rFonts w:ascii="Times New Roman" w:hAnsi="Times New Roman"/>
          <w:b/>
          <w:bCs/>
          <w:sz w:val="28"/>
          <w:szCs w:val="22"/>
        </w:rPr>
      </w:pPr>
      <w:r w:rsidRPr="00845A3A">
        <w:rPr>
          <w:rFonts w:ascii="Times New Roman" w:hAnsi="Times New Roman"/>
          <w:b/>
          <w:bCs/>
          <w:sz w:val="28"/>
          <w:szCs w:val="22"/>
        </w:rPr>
        <w:t>AUTHOR INFORMATION</w:t>
      </w:r>
    </w:p>
    <w:p w14:paraId="4D0A824C" w14:textId="77777777" w:rsidR="00EB55F0" w:rsidRPr="00845A3A" w:rsidRDefault="00EB55F0" w:rsidP="00AF654C">
      <w:pPr>
        <w:pStyle w:val="FAAuthorInfoSubtitle"/>
        <w:divId w:val="783115962"/>
        <w:rPr>
          <w:rFonts w:ascii="Times New Roman" w:hAnsi="Times New Roman"/>
        </w:rPr>
      </w:pPr>
      <w:r w:rsidRPr="00845A3A">
        <w:rPr>
          <w:rFonts w:ascii="Times New Roman" w:hAnsi="Times New Roman"/>
        </w:rPr>
        <w:t>Corresponding Author</w:t>
      </w:r>
    </w:p>
    <w:p w14:paraId="273574E7" w14:textId="77777777" w:rsidR="00EB55F0" w:rsidRPr="00845A3A" w:rsidRDefault="00EB55F0" w:rsidP="00AF654C">
      <w:pPr>
        <w:pStyle w:val="BCAuthorAddress"/>
        <w:jc w:val="both"/>
        <w:divId w:val="783115962"/>
        <w:rPr>
          <w:rFonts w:ascii="Times New Roman" w:hAnsi="Times New Roman"/>
        </w:rPr>
      </w:pPr>
      <w:r w:rsidRPr="00845A3A">
        <w:rPr>
          <w:rFonts w:ascii="Times New Roman" w:hAnsi="Times New Roman"/>
        </w:rPr>
        <w:t>Ashraful Islam- Photovoltaic Materials Group, Center for Green Research on Energy and Environmental Materials, National Institute for Materials Science (NIMS), 1-2-1 Sengen, Tsukuba 305-0047, Japan; Email: ISLAM.Ashraful@nims.go.jp</w:t>
      </w:r>
    </w:p>
    <w:p w14:paraId="48D28CD9" w14:textId="77777777" w:rsidR="00EB55F0" w:rsidRPr="00845A3A" w:rsidRDefault="00EB55F0" w:rsidP="00AF654C">
      <w:pPr>
        <w:pStyle w:val="BCAuthorAddress"/>
        <w:jc w:val="both"/>
        <w:divId w:val="783115962"/>
        <w:rPr>
          <w:rFonts w:ascii="Times New Roman" w:hAnsi="Times New Roman"/>
        </w:rPr>
      </w:pPr>
      <w:r w:rsidRPr="00845A3A">
        <w:rPr>
          <w:rFonts w:ascii="Times New Roman" w:hAnsi="Times New Roman"/>
        </w:rPr>
        <w:t xml:space="preserve">Kiyoto </w:t>
      </w:r>
      <w:proofErr w:type="spellStart"/>
      <w:r w:rsidRPr="00845A3A">
        <w:rPr>
          <w:rFonts w:ascii="Times New Roman" w:hAnsi="Times New Roman"/>
        </w:rPr>
        <w:t>Matsuishi</w:t>
      </w:r>
      <w:proofErr w:type="spellEnd"/>
      <w:r w:rsidRPr="00845A3A">
        <w:rPr>
          <w:rFonts w:ascii="Times New Roman" w:hAnsi="Times New Roman"/>
        </w:rPr>
        <w:t xml:space="preserve">- </w:t>
      </w:r>
      <w:r w:rsidRPr="00845A3A">
        <w:rPr>
          <w:rFonts w:ascii="Times New Roman" w:hAnsi="Times New Roman"/>
          <w:szCs w:val="24"/>
        </w:rPr>
        <w:t xml:space="preserve">Institute of Pure and Applied Sciences, University of Tsukuba, 1-1-1 </w:t>
      </w:r>
      <w:proofErr w:type="spellStart"/>
      <w:r w:rsidRPr="00845A3A">
        <w:rPr>
          <w:rFonts w:ascii="Times New Roman" w:hAnsi="Times New Roman"/>
          <w:szCs w:val="24"/>
        </w:rPr>
        <w:t>Tennodai</w:t>
      </w:r>
      <w:proofErr w:type="spellEnd"/>
      <w:r w:rsidRPr="00845A3A">
        <w:rPr>
          <w:rFonts w:ascii="Times New Roman" w:hAnsi="Times New Roman"/>
          <w:szCs w:val="24"/>
        </w:rPr>
        <w:t>, Tsukuba 305-8573, Ibaraki, Japan</w:t>
      </w:r>
      <w:r w:rsidRPr="00845A3A">
        <w:rPr>
          <w:rFonts w:ascii="Times New Roman" w:hAnsi="Times New Roman"/>
        </w:rPr>
        <w:t>, Email: kiyoto@bk.tsukuba.ac.jp</w:t>
      </w:r>
    </w:p>
    <w:p w14:paraId="50722CE2" w14:textId="77777777" w:rsidR="00EB55F0" w:rsidRPr="00845A3A" w:rsidRDefault="00EB55F0" w:rsidP="00AF654C">
      <w:pPr>
        <w:pStyle w:val="FAAuthorInfoSubtitle"/>
        <w:divId w:val="783115962"/>
        <w:rPr>
          <w:rFonts w:ascii="Times New Roman" w:hAnsi="Times New Roman"/>
        </w:rPr>
      </w:pPr>
      <w:r w:rsidRPr="00845A3A">
        <w:rPr>
          <w:rFonts w:ascii="Times New Roman" w:hAnsi="Times New Roman"/>
        </w:rPr>
        <w:lastRenderedPageBreak/>
        <w:t>Author Contributions</w:t>
      </w:r>
    </w:p>
    <w:p w14:paraId="4730C1F4" w14:textId="77777777" w:rsidR="00EB55F0" w:rsidRPr="00845A3A" w:rsidRDefault="00EB55F0" w:rsidP="00AF654C">
      <w:pPr>
        <w:pStyle w:val="StyleFACorrespondingAuthorFootnote7pt"/>
        <w:spacing w:after="240" w:line="480" w:lineRule="auto"/>
        <w:jc w:val="both"/>
        <w:divId w:val="783115962"/>
        <w:rPr>
          <w:rFonts w:ascii="Times New Roman" w:hAnsi="Times New Roman"/>
          <w:kern w:val="0"/>
          <w:sz w:val="24"/>
        </w:rPr>
      </w:pPr>
      <w:r w:rsidRPr="00845A3A">
        <w:rPr>
          <w:rFonts w:ascii="Times New Roman" w:hAnsi="Times New Roman"/>
          <w:kern w:val="0"/>
          <w:sz w:val="24"/>
        </w:rPr>
        <w:t xml:space="preserve">The manuscript was written through the contributions of all authors. All authors have given approval to the final version of the manuscript. </w:t>
      </w:r>
    </w:p>
    <w:p w14:paraId="348D7E0A" w14:textId="77777777" w:rsidR="00EB55F0" w:rsidRPr="00845A3A" w:rsidRDefault="00EB55F0" w:rsidP="00AF654C">
      <w:pPr>
        <w:spacing w:line="480" w:lineRule="auto"/>
        <w:divId w:val="783115962"/>
        <w:rPr>
          <w:rFonts w:ascii="Times New Roman" w:hAnsi="Times New Roman" w:cs="Times New Roman"/>
          <w:sz w:val="24"/>
          <w:szCs w:val="24"/>
        </w:rPr>
      </w:pPr>
      <w:r w:rsidRPr="00845A3A">
        <w:rPr>
          <w:rFonts w:ascii="Times New Roman" w:hAnsi="Times New Roman" w:cs="Times New Roman"/>
          <w:b/>
          <w:bCs/>
          <w:color w:val="000000"/>
          <w:sz w:val="28"/>
          <w:szCs w:val="28"/>
        </w:rPr>
        <w:t>Notes</w:t>
      </w:r>
      <w:r w:rsidRPr="00845A3A">
        <w:rPr>
          <w:rFonts w:ascii="Times New Roman" w:hAnsi="Times New Roman" w:cs="Times New Roman"/>
          <w:color w:val="000000"/>
          <w:szCs w:val="24"/>
        </w:rPr>
        <w:br/>
      </w:r>
      <w:r w:rsidRPr="00845A3A">
        <w:rPr>
          <w:rFonts w:ascii="Times New Roman" w:hAnsi="Times New Roman" w:cs="Times New Roman"/>
          <w:color w:val="000000"/>
          <w:sz w:val="24"/>
          <w:szCs w:val="24"/>
        </w:rPr>
        <w:t>The authors declare no competing financial interest.</w:t>
      </w:r>
    </w:p>
    <w:p w14:paraId="33291BA7" w14:textId="77777777" w:rsidR="00EB55F0" w:rsidRPr="00845A3A" w:rsidRDefault="00EB55F0" w:rsidP="00DB3F3E">
      <w:pPr>
        <w:spacing w:line="480" w:lineRule="auto"/>
        <w:jc w:val="both"/>
        <w:divId w:val="783115962"/>
        <w:rPr>
          <w:rFonts w:ascii="Times New Roman" w:eastAsia="Times New Roman" w:hAnsi="Times New Roman" w:cs="Times New Roman"/>
          <w:b/>
          <w:bCs/>
          <w:color w:val="000000"/>
          <w:kern w:val="0"/>
          <w:sz w:val="28"/>
          <w:szCs w:val="28"/>
          <w14:ligatures w14:val="none"/>
        </w:rPr>
      </w:pPr>
      <w:r w:rsidRPr="00845A3A">
        <w:rPr>
          <w:rFonts w:ascii="Times New Roman" w:eastAsia="Times New Roman" w:hAnsi="Times New Roman" w:cs="Times New Roman"/>
          <w:b/>
          <w:bCs/>
          <w:color w:val="000000"/>
          <w:kern w:val="0"/>
          <w:sz w:val="28"/>
          <w:szCs w:val="28"/>
          <w14:ligatures w14:val="none"/>
        </w:rPr>
        <w:t>Acknowledgements</w:t>
      </w:r>
    </w:p>
    <w:p w14:paraId="4B169D39" w14:textId="77777777" w:rsidR="00EB55F0" w:rsidRPr="00845A3A" w:rsidRDefault="00EB55F0" w:rsidP="00DB3F3E">
      <w:pPr>
        <w:spacing w:line="480" w:lineRule="auto"/>
        <w:jc w:val="both"/>
        <w:divId w:val="783115962"/>
        <w:rPr>
          <w:rFonts w:ascii="Times New Roman" w:eastAsia="Times New Roman" w:hAnsi="Times New Roman" w:cs="Times New Roman"/>
          <w:color w:val="000000"/>
          <w:kern w:val="0"/>
          <w:sz w:val="24"/>
          <w:szCs w:val="24"/>
          <w14:ligatures w14:val="none"/>
        </w:rPr>
      </w:pPr>
      <w:r w:rsidRPr="00845A3A">
        <w:rPr>
          <w:rFonts w:ascii="Times New Roman" w:eastAsia="Times New Roman" w:hAnsi="Times New Roman" w:cs="Times New Roman"/>
          <w:color w:val="000000"/>
          <w:kern w:val="0"/>
          <w:sz w:val="24"/>
          <w:szCs w:val="24"/>
          <w14:ligatures w14:val="none"/>
        </w:rPr>
        <w:t xml:space="preserve">A.I. would like to thank the Japanese organizations "JSPS KAKENHI grant no. 22H02190" and "JST-ALCA-Next Program grant no. JPMJAN23B2" for the funds they have provided. Authors acknowledge the cooperation of Dr. Yasuhiro Shirai regarding the use of the PAIOS system for the EIS, TPC, and TPV measurements. K.M. acknowledges the support from MEXT ARIM proposal no. JPMXP1223BA0024, Japan. </w:t>
      </w:r>
    </w:p>
    <w:p w14:paraId="48E1D5A1" w14:textId="71DB2F6C" w:rsidR="00EB55F0" w:rsidRPr="00845A3A" w:rsidRDefault="00EB55F0" w:rsidP="00CC7C8B">
      <w:pPr>
        <w:spacing w:before="240" w:after="0" w:line="480" w:lineRule="auto"/>
        <w:jc w:val="both"/>
        <w:divId w:val="1732456933"/>
        <w:rPr>
          <w:rFonts w:ascii="Times New Roman" w:eastAsia="Times New Roman" w:hAnsi="Times New Roman" w:cs="Times New Roman"/>
          <w:color w:val="000000"/>
          <w:kern w:val="0"/>
          <w:sz w:val="24"/>
          <w:szCs w:val="24"/>
          <w14:ligatures w14:val="none"/>
        </w:rPr>
      </w:pPr>
      <w:r w:rsidRPr="00845A3A">
        <w:rPr>
          <w:rFonts w:ascii="Times New Roman" w:hAnsi="Times New Roman" w:cs="Times New Roman"/>
          <w:b/>
          <w:bCs/>
          <w:color w:val="000000"/>
          <w:sz w:val="28"/>
          <w:szCs w:val="28"/>
        </w:rPr>
        <w:t>References</w:t>
      </w:r>
      <w:r w:rsidRPr="00845A3A">
        <w:rPr>
          <w:rFonts w:ascii="Times New Roman" w:hAnsi="Times New Roman" w:cs="Times New Roman"/>
          <w:color w:val="000000"/>
          <w:sz w:val="28"/>
          <w:szCs w:val="28"/>
        </w:rPr>
        <w:t xml:space="preserve"> </w:t>
      </w:r>
    </w:p>
    <w:p w14:paraId="1ACD5CD4" w14:textId="70DC41B3" w:rsidR="00EB55F0" w:rsidRPr="00845A3A" w:rsidRDefault="00EB55F0" w:rsidP="00FB5E97">
      <w:pPr>
        <w:pStyle w:val="NormalWeb"/>
        <w:spacing w:before="0" w:beforeAutospacing="0"/>
        <w:ind w:left="700" w:hanging="700"/>
        <w:jc w:val="both"/>
        <w:divId w:val="771971094"/>
        <w:rPr>
          <w:color w:val="000000"/>
        </w:rPr>
      </w:pPr>
      <w:hyperlink r:id="rId67" w:history="1">
        <w:r w:rsidRPr="00845A3A">
          <w:rPr>
            <w:rStyle w:val="csl-left-margin"/>
            <w:color w:val="000000"/>
          </w:rPr>
          <w:t>(1)  </w:t>
        </w:r>
        <w:r w:rsidRPr="00845A3A">
          <w:rPr>
            <w:rStyle w:val="csl-left-margin"/>
            <w:color w:val="000000"/>
          </w:rPr>
          <w:t> </w:t>
        </w:r>
        <w:r w:rsidRPr="00845A3A">
          <w:rPr>
            <w:rStyle w:val="csl-left-margin"/>
            <w:color w:val="000000"/>
          </w:rPr>
          <w:t> </w:t>
        </w:r>
        <w:r w:rsidRPr="00845A3A">
          <w:rPr>
            <w:rStyle w:val="csl-right-inline"/>
            <w:color w:val="000000"/>
          </w:rPr>
          <w:t xml:space="preserve">Yoo, J. J.; Shin, S. S.; Seo, J. Toward Efficient Perovskite Solar Cells: Progress, Strategies, and Perspectives. </w:t>
        </w:r>
        <w:r w:rsidRPr="00845A3A">
          <w:rPr>
            <w:rStyle w:val="csl-right-inline"/>
            <w:i/>
            <w:iCs/>
            <w:color w:val="000000"/>
          </w:rPr>
          <w:t>ACS Energy Lett.</w:t>
        </w:r>
        <w:r w:rsidRPr="00845A3A">
          <w:rPr>
            <w:rStyle w:val="csl-right-inline"/>
            <w:color w:val="000000"/>
          </w:rPr>
          <w:t xml:space="preserve"> </w:t>
        </w:r>
        <w:r w:rsidRPr="00845A3A">
          <w:rPr>
            <w:rStyle w:val="csl-right-inline"/>
            <w:b/>
            <w:bCs/>
            <w:color w:val="000000"/>
          </w:rPr>
          <w:t>2022</w:t>
        </w:r>
        <w:r w:rsidRPr="00845A3A">
          <w:rPr>
            <w:rStyle w:val="csl-right-inline"/>
            <w:color w:val="000000"/>
          </w:rPr>
          <w:t xml:space="preserve">, </w:t>
        </w:r>
        <w:r w:rsidRPr="00845A3A">
          <w:rPr>
            <w:rStyle w:val="csl-right-inline"/>
            <w:i/>
            <w:iCs/>
            <w:color w:val="000000"/>
          </w:rPr>
          <w:t>7</w:t>
        </w:r>
        <w:r w:rsidRPr="00845A3A">
          <w:rPr>
            <w:rStyle w:val="csl-right-inline"/>
            <w:color w:val="000000"/>
          </w:rPr>
          <w:t xml:space="preserve"> (6), 2084–2091.</w:t>
        </w:r>
      </w:hyperlink>
    </w:p>
    <w:p w14:paraId="536EF49A" w14:textId="77777777" w:rsidR="00EB55F0" w:rsidRPr="00845A3A" w:rsidRDefault="00EB55F0" w:rsidP="00CC7C8B">
      <w:pPr>
        <w:pStyle w:val="NormalWeb"/>
        <w:ind w:left="700" w:hanging="700"/>
        <w:jc w:val="both"/>
        <w:divId w:val="771971094"/>
        <w:rPr>
          <w:color w:val="000000"/>
        </w:rPr>
      </w:pPr>
      <w:hyperlink r:id="rId68" w:history="1">
        <w:r w:rsidRPr="00845A3A">
          <w:rPr>
            <w:rStyle w:val="csl-left-margin"/>
            <w:color w:val="000000"/>
          </w:rPr>
          <w:t>(2)  </w:t>
        </w:r>
        <w:r w:rsidRPr="00845A3A">
          <w:rPr>
            <w:rStyle w:val="csl-left-margin"/>
            <w:color w:val="000000"/>
          </w:rPr>
          <w:t> </w:t>
        </w:r>
        <w:r w:rsidRPr="00845A3A">
          <w:rPr>
            <w:rStyle w:val="csl-left-margin"/>
            <w:color w:val="000000"/>
          </w:rPr>
          <w:t> </w:t>
        </w:r>
        <w:r w:rsidRPr="00845A3A">
          <w:rPr>
            <w:rStyle w:val="csl-right-inline"/>
            <w:i/>
            <w:iCs/>
            <w:color w:val="000000"/>
          </w:rPr>
          <w:t>Best Research-Cell Efficiency Chart | Photovoltaic Research | NREL</w:t>
        </w:r>
        <w:r w:rsidRPr="00845A3A">
          <w:rPr>
            <w:rStyle w:val="csl-right-inline"/>
            <w:color w:val="000000"/>
          </w:rPr>
          <w:t>. https://www.nrel.gov/pv/cell-efficiency.html (accessed 2024-05-20).</w:t>
        </w:r>
      </w:hyperlink>
    </w:p>
    <w:p w14:paraId="62AA8BA3" w14:textId="61314AF6" w:rsidR="00EB55F0" w:rsidRPr="00845A3A" w:rsidRDefault="00EB55F0" w:rsidP="00CC7C8B">
      <w:pPr>
        <w:pStyle w:val="NormalWeb"/>
        <w:ind w:left="700" w:hanging="700"/>
        <w:jc w:val="both"/>
        <w:divId w:val="771971094"/>
        <w:rPr>
          <w:color w:val="000000"/>
        </w:rPr>
      </w:pPr>
      <w:hyperlink r:id="rId69" w:history="1">
        <w:r w:rsidRPr="00845A3A">
          <w:rPr>
            <w:rStyle w:val="csl-left-margin"/>
            <w:color w:val="000000"/>
          </w:rPr>
          <w:t>(3)  </w:t>
        </w:r>
        <w:r w:rsidRPr="00845A3A">
          <w:rPr>
            <w:rStyle w:val="csl-left-margin"/>
            <w:color w:val="000000"/>
          </w:rPr>
          <w:t> </w:t>
        </w:r>
        <w:r w:rsidRPr="00845A3A">
          <w:rPr>
            <w:rStyle w:val="csl-left-margin"/>
            <w:color w:val="000000"/>
          </w:rPr>
          <w:t> </w:t>
        </w:r>
        <w:r w:rsidRPr="00845A3A">
          <w:rPr>
            <w:rStyle w:val="csl-right-inline"/>
            <w:color w:val="000000"/>
          </w:rPr>
          <w:t xml:space="preserve">Wang, P.; Chen, B.; Li, R.; Wang, S.; Ren, N.; Li, Y.; Mazumdar, S.; Shi, B.; Zhao, Y.; Zhang, X. Cobalt Chloride Hexahydrate Assisted in Reducing Energy Loss in Perovskite Solar Cells with Record Open-Circuit Voltage of 1.20 V. </w:t>
        </w:r>
        <w:r w:rsidRPr="00845A3A">
          <w:rPr>
            <w:rStyle w:val="csl-right-inline"/>
            <w:i/>
            <w:iCs/>
            <w:color w:val="000000"/>
          </w:rPr>
          <w:t>ACS Energy Lett.</w:t>
        </w:r>
        <w:r w:rsidRPr="00845A3A">
          <w:rPr>
            <w:rStyle w:val="csl-right-inline"/>
            <w:color w:val="000000"/>
          </w:rPr>
          <w:t xml:space="preserve"> </w:t>
        </w:r>
        <w:r w:rsidRPr="00845A3A">
          <w:rPr>
            <w:rStyle w:val="csl-right-inline"/>
            <w:b/>
            <w:bCs/>
            <w:color w:val="000000"/>
          </w:rPr>
          <w:t>2021</w:t>
        </w:r>
        <w:r w:rsidRPr="00845A3A">
          <w:rPr>
            <w:rStyle w:val="csl-right-inline"/>
            <w:color w:val="000000"/>
          </w:rPr>
          <w:t xml:space="preserve">, </w:t>
        </w:r>
        <w:r w:rsidRPr="00845A3A">
          <w:rPr>
            <w:rStyle w:val="csl-right-inline"/>
            <w:i/>
            <w:iCs/>
            <w:color w:val="000000"/>
          </w:rPr>
          <w:t>6</w:t>
        </w:r>
        <w:r w:rsidRPr="00845A3A">
          <w:rPr>
            <w:rStyle w:val="csl-right-inline"/>
            <w:color w:val="000000"/>
          </w:rPr>
          <w:t xml:space="preserve"> (6), 2121–2128.</w:t>
        </w:r>
      </w:hyperlink>
    </w:p>
    <w:p w14:paraId="43BBE84C" w14:textId="2BB03C53" w:rsidR="00EB55F0" w:rsidRPr="00845A3A" w:rsidRDefault="00EB55F0" w:rsidP="00CC7C8B">
      <w:pPr>
        <w:pStyle w:val="NormalWeb"/>
        <w:ind w:left="700" w:hanging="700"/>
        <w:jc w:val="both"/>
        <w:divId w:val="771971094"/>
        <w:rPr>
          <w:color w:val="000000"/>
        </w:rPr>
      </w:pPr>
      <w:hyperlink r:id="rId70" w:history="1">
        <w:r w:rsidRPr="00845A3A">
          <w:rPr>
            <w:rStyle w:val="csl-left-margin"/>
            <w:color w:val="000000"/>
          </w:rPr>
          <w:t>(4)  </w:t>
        </w:r>
        <w:r w:rsidRPr="00845A3A">
          <w:rPr>
            <w:rStyle w:val="csl-left-margin"/>
            <w:color w:val="000000"/>
          </w:rPr>
          <w:t> </w:t>
        </w:r>
        <w:r w:rsidRPr="00845A3A">
          <w:rPr>
            <w:rStyle w:val="csl-left-margin"/>
            <w:color w:val="000000"/>
          </w:rPr>
          <w:t> </w:t>
        </w:r>
        <w:r w:rsidRPr="00845A3A">
          <w:rPr>
            <w:rStyle w:val="csl-right-inline"/>
            <w:color w:val="000000"/>
          </w:rPr>
          <w:t>Zhao, R.; Deng, Z.; Zhang, Z.; Zhang, J.; Guo, T.; Xing, Y.; Liu, X.; Huang, L.; Hu, Z.; Zhu, Y. Alkali Metal Cations Modulate the Energy Level of SnO</w:t>
        </w:r>
        <w:r w:rsidRPr="00845A3A">
          <w:rPr>
            <w:rStyle w:val="csl-right-inline"/>
            <w:color w:val="000000"/>
            <w:vertAlign w:val="subscript"/>
          </w:rPr>
          <w:t>2</w:t>
        </w:r>
        <w:r w:rsidRPr="00845A3A">
          <w:rPr>
            <w:rStyle w:val="csl-right-inline"/>
            <w:color w:val="000000"/>
          </w:rPr>
          <w:t xml:space="preserve"> via Micro-Agglomerating and Anchoring for Perovskite Solar Cells. </w:t>
        </w:r>
        <w:r w:rsidRPr="00845A3A">
          <w:rPr>
            <w:rStyle w:val="csl-right-inline"/>
            <w:i/>
            <w:iCs/>
            <w:color w:val="000000"/>
          </w:rPr>
          <w:t>ACS Appl. Mater. Interfaces</w:t>
        </w:r>
        <w:r w:rsidRPr="00845A3A">
          <w:rPr>
            <w:rStyle w:val="csl-right-inline"/>
            <w:color w:val="000000"/>
          </w:rPr>
          <w:t xml:space="preserve"> </w:t>
        </w:r>
        <w:r w:rsidRPr="00845A3A">
          <w:rPr>
            <w:rStyle w:val="csl-right-inline"/>
            <w:b/>
            <w:bCs/>
            <w:color w:val="000000"/>
          </w:rPr>
          <w:t>2022</w:t>
        </w:r>
        <w:r w:rsidRPr="00845A3A">
          <w:rPr>
            <w:rStyle w:val="csl-right-inline"/>
            <w:color w:val="000000"/>
          </w:rPr>
          <w:t xml:space="preserve">, </w:t>
        </w:r>
        <w:r w:rsidRPr="00845A3A">
          <w:rPr>
            <w:rStyle w:val="csl-right-inline"/>
            <w:i/>
            <w:iCs/>
            <w:color w:val="000000"/>
          </w:rPr>
          <w:t>14</w:t>
        </w:r>
        <w:r w:rsidRPr="00845A3A">
          <w:rPr>
            <w:rStyle w:val="csl-right-inline"/>
            <w:color w:val="000000"/>
          </w:rPr>
          <w:t xml:space="preserve"> (32), 36711–36720. </w:t>
        </w:r>
      </w:hyperlink>
    </w:p>
    <w:p w14:paraId="1ACB7DA9" w14:textId="3011888C" w:rsidR="00EB55F0" w:rsidRPr="00845A3A" w:rsidRDefault="00EB55F0" w:rsidP="00CC7C8B">
      <w:pPr>
        <w:pStyle w:val="NormalWeb"/>
        <w:ind w:left="700" w:hanging="700"/>
        <w:jc w:val="both"/>
        <w:divId w:val="771971094"/>
        <w:rPr>
          <w:color w:val="000000"/>
        </w:rPr>
      </w:pPr>
      <w:hyperlink r:id="rId71" w:history="1">
        <w:r w:rsidRPr="00845A3A">
          <w:rPr>
            <w:rStyle w:val="csl-left-margin"/>
            <w:color w:val="000000"/>
          </w:rPr>
          <w:t>(5)  </w:t>
        </w:r>
        <w:r w:rsidRPr="00845A3A">
          <w:rPr>
            <w:rStyle w:val="csl-left-margin"/>
            <w:color w:val="000000"/>
          </w:rPr>
          <w:t> </w:t>
        </w:r>
        <w:r w:rsidRPr="00845A3A">
          <w:rPr>
            <w:rStyle w:val="csl-left-margin"/>
            <w:color w:val="000000"/>
          </w:rPr>
          <w:t> </w:t>
        </w:r>
        <w:r w:rsidRPr="00845A3A">
          <w:rPr>
            <w:rStyle w:val="csl-right-inline"/>
            <w:color w:val="000000"/>
          </w:rPr>
          <w:t xml:space="preserve">Zhu, S.; Wu, J.; Sun, W.; Pan, W.; Cai, F.; Liu, J.; Chen, L.; Chen, X.; Wang, C.; Wang, X. Interlayer Modification Using Phenylethylamine Tetrafluoroborate for Highly Effective Perovskite Solar Cells. </w:t>
        </w:r>
        <w:r w:rsidRPr="00845A3A">
          <w:rPr>
            <w:rStyle w:val="csl-right-inline"/>
            <w:i/>
            <w:iCs/>
            <w:color w:val="000000"/>
          </w:rPr>
          <w:t>ACS Appl. Energy Mater.</w:t>
        </w:r>
        <w:r w:rsidRPr="00845A3A">
          <w:rPr>
            <w:rStyle w:val="csl-right-inline"/>
            <w:color w:val="000000"/>
          </w:rPr>
          <w:t xml:space="preserve"> </w:t>
        </w:r>
        <w:r w:rsidRPr="00845A3A">
          <w:rPr>
            <w:rStyle w:val="csl-right-inline"/>
            <w:b/>
            <w:bCs/>
            <w:color w:val="000000"/>
          </w:rPr>
          <w:t>2022</w:t>
        </w:r>
        <w:r w:rsidRPr="00845A3A">
          <w:rPr>
            <w:rStyle w:val="csl-right-inline"/>
            <w:color w:val="000000"/>
          </w:rPr>
          <w:t xml:space="preserve">, </w:t>
        </w:r>
        <w:r w:rsidRPr="00845A3A">
          <w:rPr>
            <w:rStyle w:val="csl-right-inline"/>
            <w:i/>
            <w:iCs/>
            <w:color w:val="000000"/>
          </w:rPr>
          <w:t>5</w:t>
        </w:r>
        <w:r w:rsidRPr="00845A3A">
          <w:rPr>
            <w:rStyle w:val="csl-right-inline"/>
            <w:color w:val="000000"/>
          </w:rPr>
          <w:t xml:space="preserve"> (1), 658–666.</w:t>
        </w:r>
      </w:hyperlink>
    </w:p>
    <w:p w14:paraId="0BA06BE7" w14:textId="3310F826" w:rsidR="00EB55F0" w:rsidRPr="00845A3A" w:rsidRDefault="00EB55F0" w:rsidP="00CC7C8B">
      <w:pPr>
        <w:pStyle w:val="NormalWeb"/>
        <w:ind w:left="700" w:hanging="700"/>
        <w:jc w:val="both"/>
        <w:divId w:val="771971094"/>
        <w:rPr>
          <w:color w:val="000000"/>
        </w:rPr>
      </w:pPr>
      <w:hyperlink r:id="rId72" w:history="1">
        <w:r w:rsidRPr="00845A3A">
          <w:rPr>
            <w:rStyle w:val="csl-left-margin"/>
            <w:color w:val="000000"/>
          </w:rPr>
          <w:t>(6)  </w:t>
        </w:r>
        <w:r w:rsidRPr="00845A3A">
          <w:rPr>
            <w:rStyle w:val="csl-left-margin"/>
            <w:color w:val="000000"/>
          </w:rPr>
          <w:t> </w:t>
        </w:r>
        <w:r w:rsidRPr="00845A3A">
          <w:rPr>
            <w:rStyle w:val="csl-left-margin"/>
            <w:color w:val="000000"/>
          </w:rPr>
          <w:t> </w:t>
        </w:r>
        <w:r w:rsidRPr="00845A3A">
          <w:rPr>
            <w:rStyle w:val="csl-right-inline"/>
            <w:color w:val="000000"/>
          </w:rPr>
          <w:t>Mahmud, M. A.; Elumalai, N. K.; Upama, M. B.; Wang, D.; Gonçales, V. R.; Wright, M.; Xu, C.; Haque, F.; Uddin, A. Passivation of Interstitial and Vacancy Mediated Trap-</w:t>
        </w:r>
        <w:r w:rsidRPr="00845A3A">
          <w:rPr>
            <w:rStyle w:val="csl-right-inline"/>
            <w:color w:val="000000"/>
          </w:rPr>
          <w:lastRenderedPageBreak/>
          <w:t xml:space="preserve">States for Efficient and Stable Triple-Cation Perovskite Solar Cells. </w:t>
        </w:r>
        <w:r w:rsidRPr="00845A3A">
          <w:rPr>
            <w:rStyle w:val="csl-right-inline"/>
            <w:i/>
            <w:iCs/>
            <w:color w:val="000000"/>
          </w:rPr>
          <w:t>J. Power Sources</w:t>
        </w:r>
        <w:r w:rsidRPr="00845A3A">
          <w:rPr>
            <w:rStyle w:val="csl-right-inline"/>
            <w:color w:val="000000"/>
          </w:rPr>
          <w:t xml:space="preserve"> </w:t>
        </w:r>
        <w:r w:rsidRPr="00845A3A">
          <w:rPr>
            <w:rStyle w:val="csl-right-inline"/>
            <w:b/>
            <w:bCs/>
            <w:color w:val="000000"/>
          </w:rPr>
          <w:t>2018</w:t>
        </w:r>
        <w:r w:rsidRPr="00845A3A">
          <w:rPr>
            <w:rStyle w:val="csl-right-inline"/>
            <w:color w:val="000000"/>
          </w:rPr>
          <w:t xml:space="preserve">, </w:t>
        </w:r>
        <w:r w:rsidRPr="00845A3A">
          <w:rPr>
            <w:rStyle w:val="csl-right-inline"/>
            <w:i/>
            <w:iCs/>
            <w:color w:val="000000"/>
          </w:rPr>
          <w:t>383</w:t>
        </w:r>
        <w:r w:rsidRPr="00845A3A">
          <w:rPr>
            <w:rStyle w:val="csl-right-inline"/>
            <w:color w:val="000000"/>
          </w:rPr>
          <w:t xml:space="preserve">, 59–71. </w:t>
        </w:r>
      </w:hyperlink>
    </w:p>
    <w:p w14:paraId="2458368A" w14:textId="7EB2F940" w:rsidR="00EB55F0" w:rsidRPr="00845A3A" w:rsidRDefault="00EB55F0" w:rsidP="00CC7C8B">
      <w:pPr>
        <w:pStyle w:val="NormalWeb"/>
        <w:ind w:left="700" w:hanging="700"/>
        <w:jc w:val="both"/>
        <w:divId w:val="771971094"/>
        <w:rPr>
          <w:color w:val="000000"/>
        </w:rPr>
      </w:pPr>
      <w:hyperlink r:id="rId73" w:history="1">
        <w:r w:rsidRPr="00845A3A">
          <w:rPr>
            <w:rStyle w:val="csl-left-margin"/>
            <w:color w:val="000000"/>
          </w:rPr>
          <w:t>(7)  </w:t>
        </w:r>
        <w:r w:rsidRPr="00845A3A">
          <w:rPr>
            <w:rStyle w:val="csl-left-margin"/>
            <w:color w:val="000000"/>
          </w:rPr>
          <w:t> </w:t>
        </w:r>
        <w:r w:rsidRPr="00845A3A">
          <w:rPr>
            <w:rStyle w:val="csl-left-margin"/>
            <w:color w:val="000000"/>
          </w:rPr>
          <w:t> </w:t>
        </w:r>
        <w:r w:rsidRPr="00845A3A">
          <w:rPr>
            <w:rStyle w:val="csl-right-inline"/>
            <w:color w:val="000000"/>
          </w:rPr>
          <w:t xml:space="preserve">Mahmud, M. A.; Elumalai, N. K.; Upama, M. B.; Wang, D.; Zarei, L.; Gonçales, V. R.; Wright, M.; Xu, C.; Haque, F.; Uddin, A. Adsorbed Carbon Nanomaterials for Surface and Interface-Engineered Stable Rubidium Multi-Cation Perovskite Solar Cells. </w:t>
        </w:r>
        <w:r w:rsidRPr="00845A3A">
          <w:rPr>
            <w:rStyle w:val="csl-right-inline"/>
            <w:i/>
            <w:iCs/>
            <w:color w:val="000000"/>
          </w:rPr>
          <w:t>Nanoscale</w:t>
        </w:r>
        <w:r w:rsidRPr="00845A3A">
          <w:rPr>
            <w:rStyle w:val="csl-right-inline"/>
            <w:color w:val="000000"/>
          </w:rPr>
          <w:t xml:space="preserve"> </w:t>
        </w:r>
        <w:r w:rsidRPr="00845A3A">
          <w:rPr>
            <w:rStyle w:val="csl-right-inline"/>
            <w:b/>
            <w:bCs/>
            <w:color w:val="000000"/>
          </w:rPr>
          <w:t>2018</w:t>
        </w:r>
        <w:r w:rsidRPr="00845A3A">
          <w:rPr>
            <w:rStyle w:val="csl-right-inline"/>
            <w:color w:val="000000"/>
          </w:rPr>
          <w:t xml:space="preserve">, </w:t>
        </w:r>
        <w:r w:rsidRPr="00845A3A">
          <w:rPr>
            <w:rStyle w:val="csl-right-inline"/>
            <w:i/>
            <w:iCs/>
            <w:color w:val="000000"/>
          </w:rPr>
          <w:t>10</w:t>
        </w:r>
        <w:r w:rsidRPr="00845A3A">
          <w:rPr>
            <w:rStyle w:val="csl-right-inline"/>
            <w:color w:val="000000"/>
          </w:rPr>
          <w:t xml:space="preserve"> (2), 773–790.</w:t>
        </w:r>
      </w:hyperlink>
    </w:p>
    <w:p w14:paraId="673119C2" w14:textId="38C88C46" w:rsidR="00EB55F0" w:rsidRPr="00845A3A" w:rsidRDefault="00EB55F0" w:rsidP="00CC7C8B">
      <w:pPr>
        <w:pStyle w:val="NormalWeb"/>
        <w:ind w:left="700" w:hanging="700"/>
        <w:jc w:val="both"/>
        <w:divId w:val="771971094"/>
        <w:rPr>
          <w:color w:val="000000"/>
        </w:rPr>
      </w:pPr>
      <w:hyperlink r:id="rId74" w:history="1">
        <w:r w:rsidRPr="00845A3A">
          <w:rPr>
            <w:rStyle w:val="csl-left-margin"/>
            <w:color w:val="000000"/>
          </w:rPr>
          <w:t>(8)  </w:t>
        </w:r>
        <w:r w:rsidRPr="00845A3A">
          <w:rPr>
            <w:rStyle w:val="csl-left-margin"/>
            <w:color w:val="000000"/>
          </w:rPr>
          <w:t> </w:t>
        </w:r>
        <w:r w:rsidRPr="00845A3A">
          <w:rPr>
            <w:rStyle w:val="csl-left-margin"/>
            <w:color w:val="000000"/>
          </w:rPr>
          <w:t> </w:t>
        </w:r>
        <w:r w:rsidRPr="00845A3A">
          <w:rPr>
            <w:rStyle w:val="csl-right-inline"/>
            <w:color w:val="000000"/>
          </w:rPr>
          <w:t>Guo, Z.; Jena, A. K.; Takei, I.; Kim, G. M.; Kamarudin, M. A.; Sanehira, Y.; Ishii, A.; Numata, Y.; Hayase, S.; Miyasaka, T. V</w:t>
        </w:r>
        <w:r w:rsidRPr="00845A3A">
          <w:rPr>
            <w:rStyle w:val="csl-right-inline"/>
            <w:color w:val="000000"/>
            <w:vertAlign w:val="subscript"/>
          </w:rPr>
          <w:t>OC</w:t>
        </w:r>
        <w:r w:rsidRPr="00845A3A">
          <w:rPr>
            <w:rStyle w:val="csl-right-inline"/>
            <w:color w:val="000000"/>
          </w:rPr>
          <w:t xml:space="preserve"> Over 1.4 V for Amorphous Tin-Oxide-Based Dopant-Free CsPbI</w:t>
        </w:r>
        <w:r w:rsidRPr="00845A3A">
          <w:rPr>
            <w:rStyle w:val="csl-right-inline"/>
            <w:color w:val="000000"/>
            <w:vertAlign w:val="subscript"/>
          </w:rPr>
          <w:t>2</w:t>
        </w:r>
        <w:r w:rsidRPr="00845A3A">
          <w:rPr>
            <w:rStyle w:val="csl-right-inline"/>
            <w:color w:val="000000"/>
          </w:rPr>
          <w:t xml:space="preserve">Br Perovskite Solar Cells. </w:t>
        </w:r>
        <w:r w:rsidRPr="00845A3A">
          <w:rPr>
            <w:rStyle w:val="csl-right-inline"/>
            <w:i/>
            <w:iCs/>
            <w:color w:val="000000"/>
          </w:rPr>
          <w:t>J. Am. Chem. Soc.</w:t>
        </w:r>
        <w:r w:rsidRPr="00845A3A">
          <w:rPr>
            <w:rStyle w:val="csl-right-inline"/>
            <w:color w:val="000000"/>
          </w:rPr>
          <w:t xml:space="preserve"> </w:t>
        </w:r>
        <w:r w:rsidRPr="00845A3A">
          <w:rPr>
            <w:rStyle w:val="csl-right-inline"/>
            <w:b/>
            <w:bCs/>
            <w:color w:val="000000"/>
          </w:rPr>
          <w:t>2020</w:t>
        </w:r>
        <w:r w:rsidRPr="00845A3A">
          <w:rPr>
            <w:rStyle w:val="csl-right-inline"/>
            <w:color w:val="000000"/>
          </w:rPr>
          <w:t xml:space="preserve">, </w:t>
        </w:r>
        <w:r w:rsidRPr="00845A3A">
          <w:rPr>
            <w:rStyle w:val="csl-right-inline"/>
            <w:i/>
            <w:iCs/>
            <w:color w:val="000000"/>
          </w:rPr>
          <w:t>142</w:t>
        </w:r>
        <w:r w:rsidRPr="00845A3A">
          <w:rPr>
            <w:rStyle w:val="csl-right-inline"/>
            <w:color w:val="000000"/>
          </w:rPr>
          <w:t xml:space="preserve"> (21), 9725–9734.</w:t>
        </w:r>
      </w:hyperlink>
    </w:p>
    <w:p w14:paraId="61B60835" w14:textId="2149CA0A" w:rsidR="00EB55F0" w:rsidRPr="00845A3A" w:rsidRDefault="00EB55F0" w:rsidP="00CC7C8B">
      <w:pPr>
        <w:pStyle w:val="NormalWeb"/>
        <w:ind w:left="700" w:hanging="700"/>
        <w:jc w:val="both"/>
        <w:divId w:val="771971094"/>
        <w:rPr>
          <w:color w:val="000000"/>
        </w:rPr>
      </w:pPr>
      <w:hyperlink r:id="rId75" w:history="1">
        <w:r w:rsidRPr="00845A3A">
          <w:rPr>
            <w:rStyle w:val="csl-left-margin"/>
            <w:color w:val="000000"/>
          </w:rPr>
          <w:t>(9)  </w:t>
        </w:r>
        <w:r w:rsidRPr="00845A3A">
          <w:rPr>
            <w:rStyle w:val="csl-left-margin"/>
            <w:color w:val="000000"/>
          </w:rPr>
          <w:t> </w:t>
        </w:r>
        <w:r w:rsidRPr="00845A3A">
          <w:rPr>
            <w:rStyle w:val="csl-left-margin"/>
            <w:color w:val="000000"/>
          </w:rPr>
          <w:t> </w:t>
        </w:r>
        <w:r w:rsidRPr="00845A3A">
          <w:rPr>
            <w:rStyle w:val="csl-right-inline"/>
            <w:color w:val="000000"/>
          </w:rPr>
          <w:t>He, Y.; Islam, M. M.; Tangara, H.; Karim, Md. A.; Kayesh, Md. E.; Chowdhury, T. H.; Sakurai, T.; Islam, A. Study of the Heat‐</w:t>
        </w:r>
        <w:r w:rsidR="00F8727B" w:rsidRPr="00845A3A">
          <w:rPr>
            <w:rStyle w:val="csl-right-inline"/>
            <w:color w:val="000000"/>
          </w:rPr>
          <w:t>I</w:t>
        </w:r>
        <w:r w:rsidRPr="00845A3A">
          <w:rPr>
            <w:rStyle w:val="csl-right-inline"/>
            <w:color w:val="000000"/>
          </w:rPr>
          <w:t>nduced Degradation Mechanism in PbI</w:t>
        </w:r>
        <w:r w:rsidRPr="00845A3A">
          <w:rPr>
            <w:rStyle w:val="csl-right-inline"/>
            <w:color w:val="000000"/>
            <w:vertAlign w:val="subscript"/>
          </w:rPr>
          <w:t>2</w:t>
        </w:r>
        <w:r w:rsidRPr="00845A3A">
          <w:rPr>
            <w:rStyle w:val="csl-right-inline"/>
            <w:color w:val="000000"/>
          </w:rPr>
          <w:t>‐</w:t>
        </w:r>
        <w:r w:rsidR="00F8727B" w:rsidRPr="00845A3A">
          <w:rPr>
            <w:rStyle w:val="csl-right-inline"/>
            <w:color w:val="000000"/>
          </w:rPr>
          <w:t>E</w:t>
        </w:r>
        <w:r w:rsidRPr="00845A3A">
          <w:rPr>
            <w:rStyle w:val="csl-right-inline"/>
            <w:color w:val="000000"/>
          </w:rPr>
          <w:t xml:space="preserve">xcess Perovskite Solar Cells. </w:t>
        </w:r>
        <w:r w:rsidRPr="00845A3A">
          <w:rPr>
            <w:rStyle w:val="csl-right-inline"/>
            <w:i/>
            <w:iCs/>
            <w:color w:val="000000"/>
          </w:rPr>
          <w:t>Sol. RRL</w:t>
        </w:r>
        <w:r w:rsidRPr="00845A3A">
          <w:rPr>
            <w:rStyle w:val="csl-right-inline"/>
            <w:color w:val="000000"/>
          </w:rPr>
          <w:t xml:space="preserve"> </w:t>
        </w:r>
        <w:r w:rsidRPr="00845A3A">
          <w:rPr>
            <w:rStyle w:val="csl-right-inline"/>
            <w:b/>
            <w:bCs/>
            <w:color w:val="000000"/>
          </w:rPr>
          <w:t>2023</w:t>
        </w:r>
        <w:r w:rsidRPr="00845A3A">
          <w:rPr>
            <w:rStyle w:val="csl-right-inline"/>
            <w:color w:val="000000"/>
          </w:rPr>
          <w:t xml:space="preserve">, </w:t>
        </w:r>
        <w:r w:rsidRPr="00845A3A">
          <w:rPr>
            <w:rStyle w:val="csl-right-inline"/>
            <w:i/>
            <w:iCs/>
            <w:color w:val="000000"/>
          </w:rPr>
          <w:t>7</w:t>
        </w:r>
        <w:r w:rsidRPr="00845A3A">
          <w:rPr>
            <w:rStyle w:val="csl-right-inline"/>
            <w:color w:val="000000"/>
          </w:rPr>
          <w:t>, 2300580.</w:t>
        </w:r>
      </w:hyperlink>
    </w:p>
    <w:p w14:paraId="1F65C634" w14:textId="1F4149B0" w:rsidR="00EB55F0" w:rsidRPr="00845A3A" w:rsidRDefault="00EB55F0" w:rsidP="00CC7C8B">
      <w:pPr>
        <w:pStyle w:val="NormalWeb"/>
        <w:ind w:left="700" w:hanging="700"/>
        <w:jc w:val="both"/>
        <w:divId w:val="771971094"/>
        <w:rPr>
          <w:color w:val="000000"/>
        </w:rPr>
      </w:pPr>
      <w:hyperlink r:id="rId76" w:history="1">
        <w:r w:rsidRPr="00845A3A">
          <w:rPr>
            <w:rStyle w:val="csl-left-margin"/>
            <w:color w:val="000000"/>
          </w:rPr>
          <w:t>(10)  </w:t>
        </w:r>
        <w:r w:rsidRPr="00845A3A">
          <w:rPr>
            <w:rStyle w:val="csl-left-margin"/>
            <w:color w:val="000000"/>
          </w:rPr>
          <w:t> </w:t>
        </w:r>
        <w:r w:rsidRPr="00845A3A">
          <w:rPr>
            <w:rStyle w:val="csl-right-inline"/>
            <w:color w:val="000000"/>
          </w:rPr>
          <w:t>Qian, Z.; Chen, L.; Wang, J.; Wang, L.; Xia, Y.; Ran, X.; Li, P.; Zhong, Q.; Song, L.; Müller‐Buschbaum, P.; Chen, Y.; Zhang, H. Manipulating SnO</w:t>
        </w:r>
        <w:r w:rsidRPr="00845A3A">
          <w:rPr>
            <w:rStyle w:val="csl-right-inline"/>
            <w:color w:val="000000"/>
            <w:vertAlign w:val="subscript"/>
          </w:rPr>
          <w:t>2</w:t>
        </w:r>
        <w:r w:rsidRPr="00845A3A">
          <w:rPr>
            <w:rStyle w:val="csl-right-inline"/>
            <w:color w:val="000000"/>
          </w:rPr>
          <w:t xml:space="preserve"> Growth for Efficient Electron Transport in Perovskite Solar Cells. </w:t>
        </w:r>
        <w:r w:rsidRPr="00845A3A">
          <w:rPr>
            <w:rStyle w:val="csl-right-inline"/>
            <w:i/>
            <w:iCs/>
            <w:color w:val="000000"/>
          </w:rPr>
          <w:t>Adv. Mater. Interfaces</w:t>
        </w:r>
        <w:r w:rsidRPr="00845A3A">
          <w:rPr>
            <w:rStyle w:val="csl-right-inline"/>
            <w:color w:val="000000"/>
          </w:rPr>
          <w:t xml:space="preserve"> </w:t>
        </w:r>
        <w:r w:rsidRPr="00845A3A">
          <w:rPr>
            <w:rStyle w:val="csl-right-inline"/>
            <w:b/>
            <w:bCs/>
            <w:color w:val="000000"/>
          </w:rPr>
          <w:t>2021</w:t>
        </w:r>
        <w:r w:rsidRPr="00845A3A">
          <w:rPr>
            <w:rStyle w:val="csl-right-inline"/>
            <w:color w:val="000000"/>
          </w:rPr>
          <w:t xml:space="preserve">, </w:t>
        </w:r>
        <w:r w:rsidRPr="00845A3A">
          <w:rPr>
            <w:rStyle w:val="csl-right-inline"/>
            <w:i/>
            <w:iCs/>
            <w:color w:val="000000"/>
          </w:rPr>
          <w:t>8</w:t>
        </w:r>
        <w:r w:rsidRPr="00845A3A">
          <w:rPr>
            <w:rStyle w:val="csl-right-inline"/>
            <w:color w:val="000000"/>
          </w:rPr>
          <w:t xml:space="preserve"> (10), 2100128.</w:t>
        </w:r>
      </w:hyperlink>
    </w:p>
    <w:p w14:paraId="1E71706A" w14:textId="66A3B62E" w:rsidR="00EB55F0" w:rsidRPr="00845A3A" w:rsidRDefault="00EB55F0" w:rsidP="00CC7C8B">
      <w:pPr>
        <w:pStyle w:val="NormalWeb"/>
        <w:ind w:left="700" w:hanging="700"/>
        <w:jc w:val="both"/>
        <w:divId w:val="771971094"/>
        <w:rPr>
          <w:color w:val="000000"/>
        </w:rPr>
      </w:pPr>
      <w:hyperlink r:id="rId77" w:history="1">
        <w:r w:rsidRPr="00845A3A">
          <w:rPr>
            <w:rStyle w:val="csl-left-margin"/>
            <w:color w:val="000000"/>
          </w:rPr>
          <w:t>(11)  </w:t>
        </w:r>
        <w:r w:rsidRPr="00845A3A">
          <w:rPr>
            <w:rStyle w:val="csl-left-margin"/>
            <w:color w:val="000000"/>
          </w:rPr>
          <w:t> </w:t>
        </w:r>
        <w:r w:rsidRPr="00845A3A">
          <w:rPr>
            <w:rStyle w:val="csl-right-inline"/>
            <w:color w:val="000000"/>
          </w:rPr>
          <w:t>Kim, S.; Zhang, F.; Tong, J.; Chen, X.; Enkhbayar, E.; Zhu, K.; Kim, J. Effects of Potassium Treatment on SnO</w:t>
        </w:r>
        <w:r w:rsidRPr="00845A3A">
          <w:rPr>
            <w:rStyle w:val="csl-right-inline"/>
            <w:color w:val="000000"/>
            <w:vertAlign w:val="subscript"/>
          </w:rPr>
          <w:t>2</w:t>
        </w:r>
        <w:r w:rsidRPr="00845A3A">
          <w:rPr>
            <w:rStyle w:val="csl-right-inline"/>
            <w:color w:val="000000"/>
          </w:rPr>
          <w:t xml:space="preserve"> Electron Transport Layers for Improvements of Perovskite Solar Cells. </w:t>
        </w:r>
        <w:r w:rsidRPr="00845A3A">
          <w:rPr>
            <w:rStyle w:val="csl-right-inline"/>
            <w:i/>
            <w:iCs/>
            <w:color w:val="000000"/>
          </w:rPr>
          <w:t>Solar Energy</w:t>
        </w:r>
        <w:r w:rsidRPr="00845A3A">
          <w:rPr>
            <w:rStyle w:val="csl-right-inline"/>
            <w:color w:val="000000"/>
          </w:rPr>
          <w:t xml:space="preserve"> </w:t>
        </w:r>
        <w:r w:rsidRPr="00845A3A">
          <w:rPr>
            <w:rStyle w:val="csl-right-inline"/>
            <w:b/>
            <w:bCs/>
            <w:color w:val="000000"/>
          </w:rPr>
          <w:t>2022</w:t>
        </w:r>
        <w:r w:rsidRPr="00845A3A">
          <w:rPr>
            <w:rStyle w:val="csl-right-inline"/>
            <w:color w:val="000000"/>
          </w:rPr>
          <w:t xml:space="preserve">, </w:t>
        </w:r>
        <w:r w:rsidRPr="00845A3A">
          <w:rPr>
            <w:rStyle w:val="csl-right-inline"/>
            <w:i/>
            <w:iCs/>
            <w:color w:val="000000"/>
          </w:rPr>
          <w:t>233</w:t>
        </w:r>
        <w:r w:rsidRPr="00845A3A">
          <w:rPr>
            <w:rStyle w:val="csl-right-inline"/>
            <w:color w:val="000000"/>
          </w:rPr>
          <w:t>, 353–362.</w:t>
        </w:r>
      </w:hyperlink>
    </w:p>
    <w:p w14:paraId="00F25CD7" w14:textId="2AC35DB8" w:rsidR="00EB55F0" w:rsidRPr="00845A3A" w:rsidRDefault="00EB55F0" w:rsidP="00CC7C8B">
      <w:pPr>
        <w:pStyle w:val="NormalWeb"/>
        <w:ind w:left="700" w:hanging="700"/>
        <w:jc w:val="both"/>
        <w:divId w:val="771971094"/>
        <w:rPr>
          <w:color w:val="000000"/>
        </w:rPr>
      </w:pPr>
      <w:hyperlink r:id="rId78" w:history="1">
        <w:r w:rsidRPr="00845A3A">
          <w:rPr>
            <w:rStyle w:val="csl-left-margin"/>
            <w:color w:val="000000"/>
          </w:rPr>
          <w:t>(12)  </w:t>
        </w:r>
        <w:r w:rsidRPr="00845A3A">
          <w:rPr>
            <w:rStyle w:val="csl-left-margin"/>
            <w:color w:val="000000"/>
          </w:rPr>
          <w:t> </w:t>
        </w:r>
        <w:r w:rsidRPr="00845A3A">
          <w:rPr>
            <w:rStyle w:val="csl-right-inline"/>
            <w:color w:val="000000"/>
          </w:rPr>
          <w:t>Muthukrishnan, A. P.; Lee, J.; Kim, J.; Kim, C. S.; Jo, S. Low-Temperature Solution-Processed SnO</w:t>
        </w:r>
        <w:r w:rsidRPr="00845A3A">
          <w:rPr>
            <w:rStyle w:val="csl-right-inline"/>
            <w:color w:val="000000"/>
            <w:vertAlign w:val="subscript"/>
          </w:rPr>
          <w:t>2</w:t>
        </w:r>
        <w:r w:rsidRPr="00845A3A">
          <w:rPr>
            <w:rStyle w:val="csl-right-inline"/>
            <w:color w:val="000000"/>
          </w:rPr>
          <w:t xml:space="preserve"> Electron Transport Layer Modified by Oxygen Plasma for Planar Perovskite Solar Cells. </w:t>
        </w:r>
        <w:r w:rsidRPr="00845A3A">
          <w:rPr>
            <w:rStyle w:val="csl-right-inline"/>
            <w:i/>
            <w:iCs/>
            <w:color w:val="000000"/>
          </w:rPr>
          <w:t>RSC Adv.</w:t>
        </w:r>
        <w:r w:rsidRPr="00845A3A">
          <w:rPr>
            <w:rStyle w:val="csl-right-inline"/>
            <w:color w:val="000000"/>
          </w:rPr>
          <w:t xml:space="preserve"> </w:t>
        </w:r>
        <w:r w:rsidRPr="00845A3A">
          <w:rPr>
            <w:rStyle w:val="csl-right-inline"/>
            <w:b/>
            <w:bCs/>
            <w:color w:val="000000"/>
          </w:rPr>
          <w:t>2022</w:t>
        </w:r>
        <w:r w:rsidRPr="00845A3A">
          <w:rPr>
            <w:rStyle w:val="csl-right-inline"/>
            <w:color w:val="000000"/>
          </w:rPr>
          <w:t xml:space="preserve">, </w:t>
        </w:r>
        <w:r w:rsidRPr="00845A3A">
          <w:rPr>
            <w:rStyle w:val="csl-right-inline"/>
            <w:i/>
            <w:iCs/>
            <w:color w:val="000000"/>
          </w:rPr>
          <w:t>12</w:t>
        </w:r>
        <w:r w:rsidRPr="00845A3A">
          <w:rPr>
            <w:rStyle w:val="csl-right-inline"/>
            <w:color w:val="000000"/>
          </w:rPr>
          <w:t xml:space="preserve"> (8), 4883–4890. </w:t>
        </w:r>
      </w:hyperlink>
    </w:p>
    <w:p w14:paraId="6CE05EC6" w14:textId="4AF81827" w:rsidR="00EB55F0" w:rsidRPr="00845A3A" w:rsidRDefault="00EB55F0" w:rsidP="00CC7C8B">
      <w:pPr>
        <w:pStyle w:val="NormalWeb"/>
        <w:ind w:left="700" w:hanging="700"/>
        <w:jc w:val="both"/>
        <w:divId w:val="771971094"/>
        <w:rPr>
          <w:color w:val="000000"/>
        </w:rPr>
      </w:pPr>
      <w:hyperlink r:id="rId79" w:history="1">
        <w:r w:rsidRPr="00845A3A">
          <w:rPr>
            <w:rStyle w:val="csl-left-margin"/>
            <w:color w:val="000000"/>
          </w:rPr>
          <w:t>(13)  </w:t>
        </w:r>
        <w:r w:rsidRPr="00845A3A">
          <w:rPr>
            <w:rStyle w:val="csl-left-margin"/>
            <w:color w:val="000000"/>
          </w:rPr>
          <w:t> </w:t>
        </w:r>
        <w:r w:rsidRPr="00845A3A">
          <w:rPr>
            <w:rStyle w:val="csl-right-inline"/>
            <w:color w:val="000000"/>
          </w:rPr>
          <w:t>Kim, J.; Kim, K. S.; Myung, C. W. Efficient Electron Extraction of SnO</w:t>
        </w:r>
        <w:r w:rsidRPr="00845A3A">
          <w:rPr>
            <w:rStyle w:val="csl-right-inline"/>
            <w:color w:val="000000"/>
            <w:vertAlign w:val="subscript"/>
          </w:rPr>
          <w:t>2</w:t>
        </w:r>
        <w:r w:rsidRPr="00845A3A">
          <w:rPr>
            <w:rStyle w:val="csl-right-inline"/>
            <w:color w:val="000000"/>
          </w:rPr>
          <w:t xml:space="preserve"> Electron Transport Layer for Lead Halide Perovskite Solar Cell. </w:t>
        </w:r>
        <w:r w:rsidRPr="00845A3A">
          <w:rPr>
            <w:rStyle w:val="csl-right-inline"/>
            <w:i/>
            <w:iCs/>
            <w:color w:val="000000"/>
          </w:rPr>
          <w:t>npj Comput. Mater.</w:t>
        </w:r>
        <w:r w:rsidRPr="00845A3A">
          <w:rPr>
            <w:rStyle w:val="csl-right-inline"/>
            <w:color w:val="000000"/>
          </w:rPr>
          <w:t xml:space="preserve"> </w:t>
        </w:r>
        <w:r w:rsidRPr="00845A3A">
          <w:rPr>
            <w:rStyle w:val="csl-right-inline"/>
            <w:b/>
            <w:bCs/>
            <w:color w:val="000000"/>
          </w:rPr>
          <w:t>2020</w:t>
        </w:r>
        <w:r w:rsidRPr="00845A3A">
          <w:rPr>
            <w:rStyle w:val="csl-right-inline"/>
            <w:color w:val="000000"/>
          </w:rPr>
          <w:t xml:space="preserve">, </w:t>
        </w:r>
        <w:r w:rsidRPr="00845A3A">
          <w:rPr>
            <w:rStyle w:val="csl-right-inline"/>
            <w:i/>
            <w:iCs/>
            <w:color w:val="000000"/>
          </w:rPr>
          <w:t>6</w:t>
        </w:r>
        <w:r w:rsidRPr="00845A3A">
          <w:rPr>
            <w:rStyle w:val="csl-right-inline"/>
            <w:color w:val="000000"/>
          </w:rPr>
          <w:t xml:space="preserve"> (1), 100. </w:t>
        </w:r>
      </w:hyperlink>
    </w:p>
    <w:p w14:paraId="76A0B462" w14:textId="173AEF39" w:rsidR="00EB55F0" w:rsidRPr="00845A3A" w:rsidRDefault="00EB55F0" w:rsidP="00CC7C8B">
      <w:pPr>
        <w:pStyle w:val="NormalWeb"/>
        <w:ind w:left="700" w:hanging="700"/>
        <w:jc w:val="both"/>
        <w:divId w:val="771971094"/>
        <w:rPr>
          <w:color w:val="000000"/>
        </w:rPr>
      </w:pPr>
      <w:hyperlink r:id="rId80" w:history="1">
        <w:r w:rsidRPr="00845A3A">
          <w:rPr>
            <w:rStyle w:val="csl-left-margin"/>
            <w:color w:val="000000"/>
          </w:rPr>
          <w:t>(14)  </w:t>
        </w:r>
        <w:r w:rsidRPr="00845A3A">
          <w:rPr>
            <w:rStyle w:val="csl-left-margin"/>
            <w:color w:val="000000"/>
          </w:rPr>
          <w:t> </w:t>
        </w:r>
        <w:r w:rsidRPr="00845A3A">
          <w:rPr>
            <w:rStyle w:val="csl-right-inline"/>
            <w:color w:val="000000"/>
          </w:rPr>
          <w:t xml:space="preserve">Park, J.; Kim, J.; Yun, H.-S.; Paik, M. J.; Noh, E.; Mun, H. J.; Kim, M. G.; Shin, T. J.; Seok, S. I. Controlled Growth of Perovskite Layers with Volatile Alkylammonium Chlorides. </w:t>
        </w:r>
        <w:r w:rsidRPr="00845A3A">
          <w:rPr>
            <w:rStyle w:val="csl-right-inline"/>
            <w:i/>
            <w:iCs/>
            <w:color w:val="000000"/>
          </w:rPr>
          <w:t>Nature</w:t>
        </w:r>
        <w:r w:rsidRPr="00845A3A">
          <w:rPr>
            <w:rStyle w:val="csl-right-inline"/>
            <w:color w:val="000000"/>
          </w:rPr>
          <w:t xml:space="preserve"> </w:t>
        </w:r>
        <w:r w:rsidRPr="00845A3A">
          <w:rPr>
            <w:rStyle w:val="csl-right-inline"/>
            <w:b/>
            <w:bCs/>
            <w:color w:val="000000"/>
          </w:rPr>
          <w:t>2023</w:t>
        </w:r>
        <w:r w:rsidRPr="00845A3A">
          <w:rPr>
            <w:rStyle w:val="csl-right-inline"/>
            <w:color w:val="000000"/>
          </w:rPr>
          <w:t xml:space="preserve">, </w:t>
        </w:r>
        <w:r w:rsidRPr="00845A3A">
          <w:rPr>
            <w:rStyle w:val="csl-right-inline"/>
            <w:i/>
            <w:iCs/>
            <w:color w:val="000000"/>
          </w:rPr>
          <w:t>616</w:t>
        </w:r>
        <w:r w:rsidRPr="00845A3A">
          <w:rPr>
            <w:rStyle w:val="csl-right-inline"/>
            <w:color w:val="000000"/>
          </w:rPr>
          <w:t xml:space="preserve"> (7958), 724–730. </w:t>
        </w:r>
      </w:hyperlink>
    </w:p>
    <w:p w14:paraId="0E3512E8" w14:textId="1CE84F67" w:rsidR="00EB55F0" w:rsidRPr="00845A3A" w:rsidRDefault="00EB55F0" w:rsidP="00CC7C8B">
      <w:pPr>
        <w:pStyle w:val="NormalWeb"/>
        <w:ind w:left="700" w:hanging="700"/>
        <w:jc w:val="both"/>
        <w:divId w:val="771971094"/>
        <w:rPr>
          <w:color w:val="000000"/>
        </w:rPr>
      </w:pPr>
      <w:hyperlink r:id="rId81" w:history="1">
        <w:r w:rsidRPr="00845A3A">
          <w:rPr>
            <w:rStyle w:val="csl-left-margin"/>
            <w:color w:val="000000"/>
          </w:rPr>
          <w:t>(15)  </w:t>
        </w:r>
        <w:r w:rsidRPr="00845A3A">
          <w:rPr>
            <w:rStyle w:val="csl-left-margin"/>
            <w:color w:val="000000"/>
          </w:rPr>
          <w:t> </w:t>
        </w:r>
        <w:r w:rsidRPr="00845A3A">
          <w:rPr>
            <w:rStyle w:val="csl-right-inline"/>
            <w:color w:val="000000"/>
          </w:rPr>
          <w:t>Xing, Y.; Zhang, H.; Yan, Z.; Guo, Y.; Qin, W.; Feng, Y.; Liu, S.; He, Q.; Han, S.; Zhu, H. LiF-Modified SnO</w:t>
        </w:r>
        <w:r w:rsidRPr="00845A3A">
          <w:rPr>
            <w:rStyle w:val="csl-right-inline"/>
            <w:color w:val="000000"/>
            <w:vertAlign w:val="subscript"/>
          </w:rPr>
          <w:t>2</w:t>
        </w:r>
        <w:r w:rsidRPr="00845A3A">
          <w:rPr>
            <w:rStyle w:val="csl-right-inline"/>
            <w:color w:val="000000"/>
          </w:rPr>
          <w:t xml:space="preserve"> Electron Transport Layer Improves the Performance of Carbon-Based All-Inorganic CsPbIBr</w:t>
        </w:r>
        <w:r w:rsidRPr="00845A3A">
          <w:rPr>
            <w:rStyle w:val="csl-right-inline"/>
            <w:color w:val="000000"/>
            <w:vertAlign w:val="subscript"/>
          </w:rPr>
          <w:t>2</w:t>
        </w:r>
        <w:r w:rsidRPr="00845A3A">
          <w:rPr>
            <w:rStyle w:val="csl-right-inline"/>
            <w:color w:val="000000"/>
          </w:rPr>
          <w:t xml:space="preserve"> Perovskite Solar Cells. </w:t>
        </w:r>
        <w:r w:rsidRPr="00845A3A">
          <w:rPr>
            <w:rStyle w:val="csl-right-inline"/>
            <w:i/>
            <w:iCs/>
            <w:color w:val="000000"/>
          </w:rPr>
          <w:t>Energy Fuels</w:t>
        </w:r>
        <w:r w:rsidRPr="00845A3A">
          <w:rPr>
            <w:rStyle w:val="csl-right-inline"/>
            <w:color w:val="000000"/>
          </w:rPr>
          <w:t xml:space="preserve"> </w:t>
        </w:r>
        <w:r w:rsidRPr="00845A3A">
          <w:rPr>
            <w:rStyle w:val="csl-right-inline"/>
            <w:b/>
            <w:bCs/>
            <w:color w:val="000000"/>
          </w:rPr>
          <w:t>2022</w:t>
        </w:r>
        <w:r w:rsidRPr="00845A3A">
          <w:rPr>
            <w:rStyle w:val="csl-right-inline"/>
            <w:color w:val="000000"/>
          </w:rPr>
          <w:t xml:space="preserve">, </w:t>
        </w:r>
        <w:r w:rsidRPr="00845A3A">
          <w:rPr>
            <w:rStyle w:val="csl-right-inline"/>
            <w:i/>
            <w:iCs/>
            <w:color w:val="000000"/>
          </w:rPr>
          <w:t>36</w:t>
        </w:r>
        <w:r w:rsidRPr="00845A3A">
          <w:rPr>
            <w:rStyle w:val="csl-right-inline"/>
            <w:color w:val="000000"/>
          </w:rPr>
          <w:t xml:space="preserve"> (21), 13179–13186.</w:t>
        </w:r>
      </w:hyperlink>
    </w:p>
    <w:p w14:paraId="25231923" w14:textId="32FDE609" w:rsidR="00EB55F0" w:rsidRPr="00845A3A" w:rsidRDefault="00EB55F0" w:rsidP="00CC7C8B">
      <w:pPr>
        <w:pStyle w:val="NormalWeb"/>
        <w:ind w:left="700" w:hanging="700"/>
        <w:jc w:val="both"/>
        <w:divId w:val="771971094"/>
        <w:rPr>
          <w:color w:val="000000"/>
        </w:rPr>
      </w:pPr>
      <w:hyperlink r:id="rId82" w:history="1">
        <w:r w:rsidRPr="00845A3A">
          <w:rPr>
            <w:rStyle w:val="csl-left-margin"/>
            <w:color w:val="000000"/>
          </w:rPr>
          <w:t>(16)  </w:t>
        </w:r>
        <w:r w:rsidRPr="00845A3A">
          <w:rPr>
            <w:rStyle w:val="csl-left-margin"/>
            <w:color w:val="000000"/>
          </w:rPr>
          <w:t> </w:t>
        </w:r>
        <w:r w:rsidRPr="00845A3A">
          <w:rPr>
            <w:rStyle w:val="csl-right-inline"/>
            <w:color w:val="000000"/>
          </w:rPr>
          <w:t>Jiang, E.; Yan, J.; Ai, Y.; Li, N.; Yan, B.; Zeng, Y.; Sheng, J.; Ye, J. Defect Engineering of Oxygen Vacancies in SnO</w:t>
        </w:r>
        <w:r w:rsidRPr="00845A3A">
          <w:rPr>
            <w:rStyle w:val="csl-right-inline"/>
            <w:color w:val="000000"/>
            <w:vertAlign w:val="subscript"/>
          </w:rPr>
          <w:t>x</w:t>
        </w:r>
        <w:r w:rsidRPr="00845A3A">
          <w:rPr>
            <w:rStyle w:val="csl-right-inline"/>
            <w:color w:val="000000"/>
          </w:rPr>
          <w:t xml:space="preserve"> Electron Transporting Layer for Perovskite Solar Cells. </w:t>
        </w:r>
        <w:r w:rsidRPr="00845A3A">
          <w:rPr>
            <w:rStyle w:val="csl-right-inline"/>
            <w:i/>
            <w:iCs/>
            <w:color w:val="000000"/>
          </w:rPr>
          <w:t>Materials Today Energy</w:t>
        </w:r>
        <w:r w:rsidRPr="00845A3A">
          <w:rPr>
            <w:rStyle w:val="csl-right-inline"/>
            <w:color w:val="000000"/>
          </w:rPr>
          <w:t xml:space="preserve"> </w:t>
        </w:r>
        <w:r w:rsidRPr="00845A3A">
          <w:rPr>
            <w:rStyle w:val="csl-right-inline"/>
            <w:b/>
            <w:bCs/>
            <w:color w:val="000000"/>
          </w:rPr>
          <w:t>2019</w:t>
        </w:r>
        <w:r w:rsidRPr="00845A3A">
          <w:rPr>
            <w:rStyle w:val="csl-right-inline"/>
            <w:color w:val="000000"/>
          </w:rPr>
          <w:t xml:space="preserve">, </w:t>
        </w:r>
        <w:r w:rsidRPr="00845A3A">
          <w:rPr>
            <w:rStyle w:val="csl-right-inline"/>
            <w:i/>
            <w:iCs/>
            <w:color w:val="000000"/>
          </w:rPr>
          <w:t>12</w:t>
        </w:r>
        <w:r w:rsidRPr="00845A3A">
          <w:rPr>
            <w:rStyle w:val="csl-right-inline"/>
            <w:color w:val="000000"/>
          </w:rPr>
          <w:t>, 389–397.</w:t>
        </w:r>
      </w:hyperlink>
    </w:p>
    <w:p w14:paraId="4E8818CC" w14:textId="0C2EA8B3" w:rsidR="00EB55F0" w:rsidRPr="00845A3A" w:rsidRDefault="00EB55F0" w:rsidP="00CC7C8B">
      <w:pPr>
        <w:pStyle w:val="NormalWeb"/>
        <w:ind w:left="700" w:hanging="700"/>
        <w:jc w:val="both"/>
        <w:divId w:val="771971094"/>
        <w:rPr>
          <w:color w:val="000000"/>
        </w:rPr>
      </w:pPr>
      <w:hyperlink r:id="rId83" w:history="1">
        <w:r w:rsidRPr="00845A3A">
          <w:rPr>
            <w:rStyle w:val="csl-left-margin"/>
            <w:color w:val="000000"/>
          </w:rPr>
          <w:t>(17)  </w:t>
        </w:r>
        <w:r w:rsidRPr="00845A3A">
          <w:rPr>
            <w:rStyle w:val="csl-left-margin"/>
            <w:color w:val="000000"/>
          </w:rPr>
          <w:t> </w:t>
        </w:r>
        <w:r w:rsidRPr="00845A3A">
          <w:rPr>
            <w:rStyle w:val="csl-right-inline"/>
            <w:color w:val="000000"/>
          </w:rPr>
          <w:t>Xue, R.; Zhou, X.; Peng, S.; Xu, P.; Wang, S.; Xu, C.; Zeng, W.; Xiong, Y.; Liang, D. Architecturing Lattice-Matched Bismuthene–SnO</w:t>
        </w:r>
        <w:r w:rsidRPr="00845A3A">
          <w:rPr>
            <w:rStyle w:val="csl-right-inline"/>
            <w:color w:val="000000"/>
            <w:vertAlign w:val="subscript"/>
          </w:rPr>
          <w:t>2</w:t>
        </w:r>
        <w:r w:rsidRPr="00845A3A">
          <w:rPr>
            <w:rStyle w:val="csl-right-inline"/>
            <w:color w:val="000000"/>
          </w:rPr>
          <w:t xml:space="preserve"> Heterojunction for Effective Perovskite Solar Cells. </w:t>
        </w:r>
        <w:r w:rsidRPr="00845A3A">
          <w:rPr>
            <w:rStyle w:val="csl-right-inline"/>
            <w:i/>
            <w:iCs/>
            <w:color w:val="000000"/>
          </w:rPr>
          <w:t>ACS Sustain. Chem. Eng.</w:t>
        </w:r>
        <w:r w:rsidRPr="00845A3A">
          <w:rPr>
            <w:rStyle w:val="csl-right-inline"/>
            <w:color w:val="000000"/>
          </w:rPr>
          <w:t xml:space="preserve"> </w:t>
        </w:r>
        <w:r w:rsidRPr="00845A3A">
          <w:rPr>
            <w:rStyle w:val="csl-right-inline"/>
            <w:b/>
            <w:bCs/>
            <w:color w:val="000000"/>
          </w:rPr>
          <w:t>2020</w:t>
        </w:r>
        <w:r w:rsidRPr="00845A3A">
          <w:rPr>
            <w:rStyle w:val="csl-right-inline"/>
            <w:color w:val="000000"/>
          </w:rPr>
          <w:t xml:space="preserve">, </w:t>
        </w:r>
        <w:r w:rsidRPr="00845A3A">
          <w:rPr>
            <w:rStyle w:val="csl-right-inline"/>
            <w:i/>
            <w:iCs/>
            <w:color w:val="000000"/>
          </w:rPr>
          <w:t>8</w:t>
        </w:r>
        <w:r w:rsidRPr="00845A3A">
          <w:rPr>
            <w:rStyle w:val="csl-right-inline"/>
            <w:color w:val="000000"/>
          </w:rPr>
          <w:t>, 10714−10725.</w:t>
        </w:r>
      </w:hyperlink>
    </w:p>
    <w:p w14:paraId="562C3614" w14:textId="1A1B1DF3" w:rsidR="00EB55F0" w:rsidRPr="00845A3A" w:rsidRDefault="00EB55F0" w:rsidP="00CC7C8B">
      <w:pPr>
        <w:pStyle w:val="NormalWeb"/>
        <w:ind w:left="700" w:hanging="700"/>
        <w:jc w:val="both"/>
        <w:divId w:val="771971094"/>
        <w:rPr>
          <w:color w:val="000000"/>
        </w:rPr>
      </w:pPr>
      <w:hyperlink r:id="rId84" w:history="1">
        <w:r w:rsidRPr="00845A3A">
          <w:rPr>
            <w:rStyle w:val="csl-left-margin"/>
            <w:color w:val="000000"/>
          </w:rPr>
          <w:t>(18)  </w:t>
        </w:r>
        <w:r w:rsidRPr="00845A3A">
          <w:rPr>
            <w:rStyle w:val="csl-left-margin"/>
            <w:color w:val="000000"/>
          </w:rPr>
          <w:t> </w:t>
        </w:r>
        <w:r w:rsidRPr="00845A3A">
          <w:rPr>
            <w:rStyle w:val="csl-right-inline"/>
            <w:color w:val="000000"/>
          </w:rPr>
          <w:t>Xiao, B.; Li, X.; Yi, Z.; Luo, Y.; Jiang, Q.; Yang, J. High-Performance Planar Perovskite Solar Cells with a Reduced Energy Barrier and Enhanced Charge Extraction via a Na</w:t>
        </w:r>
        <w:r w:rsidRPr="00845A3A">
          <w:rPr>
            <w:rStyle w:val="csl-right-inline"/>
            <w:color w:val="000000"/>
            <w:vertAlign w:val="subscript"/>
          </w:rPr>
          <w:t>2</w:t>
        </w:r>
        <w:r w:rsidRPr="00845A3A">
          <w:rPr>
            <w:rStyle w:val="csl-right-inline"/>
            <w:color w:val="000000"/>
          </w:rPr>
          <w:t>WO</w:t>
        </w:r>
        <w:r w:rsidRPr="00845A3A">
          <w:rPr>
            <w:rStyle w:val="csl-right-inline"/>
            <w:color w:val="000000"/>
            <w:vertAlign w:val="subscript"/>
          </w:rPr>
          <w:t>4</w:t>
        </w:r>
        <w:r w:rsidRPr="00845A3A">
          <w:rPr>
            <w:rStyle w:val="csl-right-inline"/>
            <w:color w:val="000000"/>
          </w:rPr>
          <w:t>-Modified SnO</w:t>
        </w:r>
        <w:r w:rsidRPr="00845A3A">
          <w:rPr>
            <w:rStyle w:val="csl-right-inline"/>
            <w:color w:val="000000"/>
            <w:vertAlign w:val="subscript"/>
          </w:rPr>
          <w:t>2</w:t>
        </w:r>
        <w:r w:rsidRPr="00845A3A">
          <w:rPr>
            <w:rStyle w:val="csl-right-inline"/>
            <w:color w:val="000000"/>
          </w:rPr>
          <w:t xml:space="preserve"> Electron Transport Layer. </w:t>
        </w:r>
        <w:r w:rsidRPr="00845A3A">
          <w:rPr>
            <w:rStyle w:val="csl-right-inline"/>
            <w:i/>
            <w:iCs/>
            <w:color w:val="000000"/>
          </w:rPr>
          <w:t>ACS Appl. Mater. Interfaces</w:t>
        </w:r>
        <w:r w:rsidRPr="00845A3A">
          <w:rPr>
            <w:rStyle w:val="csl-right-inline"/>
            <w:color w:val="000000"/>
          </w:rPr>
          <w:t xml:space="preserve"> </w:t>
        </w:r>
        <w:r w:rsidRPr="00845A3A">
          <w:rPr>
            <w:rStyle w:val="csl-right-inline"/>
            <w:b/>
            <w:bCs/>
            <w:color w:val="000000"/>
          </w:rPr>
          <w:t>2022</w:t>
        </w:r>
        <w:r w:rsidRPr="00845A3A">
          <w:rPr>
            <w:rStyle w:val="csl-right-inline"/>
            <w:color w:val="000000"/>
          </w:rPr>
          <w:t xml:space="preserve">, </w:t>
        </w:r>
        <w:r w:rsidRPr="00845A3A">
          <w:rPr>
            <w:rStyle w:val="csl-right-inline"/>
            <w:i/>
            <w:iCs/>
            <w:color w:val="000000"/>
          </w:rPr>
          <w:t>14</w:t>
        </w:r>
        <w:r w:rsidRPr="00845A3A">
          <w:rPr>
            <w:rStyle w:val="csl-right-inline"/>
            <w:color w:val="000000"/>
          </w:rPr>
          <w:t xml:space="preserve"> (6), 7962–7971. </w:t>
        </w:r>
      </w:hyperlink>
    </w:p>
    <w:p w14:paraId="792393A6" w14:textId="4A09CCF0" w:rsidR="00EB55F0" w:rsidRPr="00845A3A" w:rsidRDefault="00EB55F0" w:rsidP="00CC7C8B">
      <w:pPr>
        <w:pStyle w:val="NormalWeb"/>
        <w:ind w:left="700" w:hanging="700"/>
        <w:jc w:val="both"/>
        <w:divId w:val="771971094"/>
        <w:rPr>
          <w:color w:val="000000"/>
        </w:rPr>
      </w:pPr>
      <w:hyperlink r:id="rId85" w:history="1">
        <w:r w:rsidRPr="00845A3A">
          <w:rPr>
            <w:rStyle w:val="csl-left-margin"/>
            <w:color w:val="000000"/>
          </w:rPr>
          <w:t>(19)  </w:t>
        </w:r>
        <w:r w:rsidRPr="00845A3A">
          <w:rPr>
            <w:rStyle w:val="csl-left-margin"/>
            <w:color w:val="000000"/>
          </w:rPr>
          <w:t> </w:t>
        </w:r>
        <w:r w:rsidRPr="00845A3A">
          <w:rPr>
            <w:rStyle w:val="csl-right-inline"/>
            <w:color w:val="000000"/>
          </w:rPr>
          <w:t xml:space="preserve">Wang, Z.-K.; Liao, L.-S. Doped Charge-Transporting Layers in Planar Perovskite Solar Cells. </w:t>
        </w:r>
        <w:r w:rsidRPr="00845A3A">
          <w:rPr>
            <w:rStyle w:val="csl-right-inline"/>
            <w:i/>
            <w:iCs/>
            <w:color w:val="000000"/>
          </w:rPr>
          <w:t>Adv. Opt. Mater</w:t>
        </w:r>
        <w:r w:rsidR="0057332E" w:rsidRPr="00845A3A">
          <w:rPr>
            <w:rStyle w:val="csl-right-inline"/>
            <w:i/>
            <w:iCs/>
            <w:color w:val="000000"/>
          </w:rPr>
          <w:t>.</w:t>
        </w:r>
        <w:r w:rsidRPr="00845A3A">
          <w:rPr>
            <w:rStyle w:val="csl-right-inline"/>
            <w:color w:val="000000"/>
          </w:rPr>
          <w:t xml:space="preserve"> </w:t>
        </w:r>
        <w:r w:rsidRPr="00845A3A">
          <w:rPr>
            <w:rStyle w:val="csl-right-inline"/>
            <w:b/>
            <w:bCs/>
            <w:color w:val="000000"/>
          </w:rPr>
          <w:t>2018</w:t>
        </w:r>
        <w:r w:rsidRPr="00845A3A">
          <w:rPr>
            <w:rStyle w:val="csl-right-inline"/>
            <w:color w:val="000000"/>
          </w:rPr>
          <w:t xml:space="preserve">, </w:t>
        </w:r>
        <w:r w:rsidRPr="00845A3A">
          <w:rPr>
            <w:rStyle w:val="csl-right-inline"/>
            <w:i/>
            <w:iCs/>
            <w:color w:val="000000"/>
          </w:rPr>
          <w:t>6</w:t>
        </w:r>
        <w:r w:rsidRPr="00845A3A">
          <w:rPr>
            <w:rStyle w:val="csl-right-inline"/>
            <w:color w:val="000000"/>
          </w:rPr>
          <w:t xml:space="preserve"> (17), 1800276. </w:t>
        </w:r>
      </w:hyperlink>
    </w:p>
    <w:p w14:paraId="64E44735" w14:textId="2C31F928" w:rsidR="00EB55F0" w:rsidRPr="00845A3A" w:rsidRDefault="00EB55F0" w:rsidP="00CC7C8B">
      <w:pPr>
        <w:pStyle w:val="NormalWeb"/>
        <w:ind w:left="700" w:hanging="700"/>
        <w:jc w:val="both"/>
        <w:divId w:val="771971094"/>
        <w:rPr>
          <w:color w:val="000000"/>
        </w:rPr>
      </w:pPr>
      <w:hyperlink r:id="rId86" w:history="1">
        <w:r w:rsidRPr="00845A3A">
          <w:rPr>
            <w:rStyle w:val="csl-left-margin"/>
            <w:color w:val="000000"/>
          </w:rPr>
          <w:t>(20)  </w:t>
        </w:r>
        <w:r w:rsidRPr="00845A3A">
          <w:rPr>
            <w:rStyle w:val="csl-left-margin"/>
            <w:color w:val="000000"/>
          </w:rPr>
          <w:t> </w:t>
        </w:r>
        <w:r w:rsidRPr="00845A3A">
          <w:rPr>
            <w:rStyle w:val="csl-right-inline"/>
            <w:color w:val="000000"/>
          </w:rPr>
          <w:t>Huang, S.; Li, P.; Wang, J.; Huang, J. C.-C.; Xue, Q.; Fu, N. Modification of SnO</w:t>
        </w:r>
        <w:r w:rsidRPr="00845A3A">
          <w:rPr>
            <w:rStyle w:val="csl-right-inline"/>
            <w:color w:val="000000"/>
            <w:vertAlign w:val="subscript"/>
          </w:rPr>
          <w:t>2</w:t>
        </w:r>
        <w:r w:rsidRPr="00845A3A">
          <w:rPr>
            <w:rStyle w:val="csl-right-inline"/>
            <w:color w:val="000000"/>
          </w:rPr>
          <w:t xml:space="preserve"> Electron Transport Layer: Brilliant Strategies to Make Perovskite Solar Cells Stronger. </w:t>
        </w:r>
        <w:r w:rsidRPr="00845A3A">
          <w:rPr>
            <w:rStyle w:val="csl-right-inline"/>
            <w:i/>
            <w:iCs/>
            <w:color w:val="000000"/>
          </w:rPr>
          <w:t>Chemical Engineering Journal</w:t>
        </w:r>
        <w:r w:rsidRPr="00845A3A">
          <w:rPr>
            <w:rStyle w:val="csl-right-inline"/>
            <w:color w:val="000000"/>
          </w:rPr>
          <w:t xml:space="preserve"> </w:t>
        </w:r>
        <w:r w:rsidRPr="00845A3A">
          <w:rPr>
            <w:rStyle w:val="csl-right-inline"/>
            <w:b/>
            <w:bCs/>
            <w:color w:val="000000"/>
          </w:rPr>
          <w:t>2022</w:t>
        </w:r>
        <w:r w:rsidRPr="00845A3A">
          <w:rPr>
            <w:rStyle w:val="csl-right-inline"/>
            <w:color w:val="000000"/>
          </w:rPr>
          <w:t xml:space="preserve">, </w:t>
        </w:r>
        <w:r w:rsidRPr="00845A3A">
          <w:rPr>
            <w:rStyle w:val="csl-right-inline"/>
            <w:i/>
            <w:iCs/>
            <w:color w:val="000000"/>
          </w:rPr>
          <w:t>439</w:t>
        </w:r>
        <w:r w:rsidRPr="00845A3A">
          <w:rPr>
            <w:rStyle w:val="csl-right-inline"/>
            <w:color w:val="000000"/>
          </w:rPr>
          <w:t xml:space="preserve">, 135687. </w:t>
        </w:r>
      </w:hyperlink>
    </w:p>
    <w:p w14:paraId="248C987E" w14:textId="09C6D6FA" w:rsidR="00EB55F0" w:rsidRPr="00845A3A" w:rsidRDefault="00EB55F0" w:rsidP="00CC7C8B">
      <w:pPr>
        <w:pStyle w:val="NormalWeb"/>
        <w:ind w:left="700" w:hanging="700"/>
        <w:jc w:val="both"/>
        <w:divId w:val="771971094"/>
        <w:rPr>
          <w:color w:val="000000"/>
        </w:rPr>
      </w:pPr>
      <w:hyperlink r:id="rId87" w:history="1">
        <w:r w:rsidRPr="00845A3A">
          <w:rPr>
            <w:rStyle w:val="csl-left-margin"/>
            <w:color w:val="000000"/>
          </w:rPr>
          <w:t>(21)  </w:t>
        </w:r>
        <w:r w:rsidRPr="00845A3A">
          <w:rPr>
            <w:rStyle w:val="csl-left-margin"/>
            <w:color w:val="000000"/>
          </w:rPr>
          <w:t> </w:t>
        </w:r>
        <w:r w:rsidRPr="00845A3A">
          <w:rPr>
            <w:rStyle w:val="csl-right-inline"/>
            <w:color w:val="000000"/>
          </w:rPr>
          <w:t>Duan, Y.; Zheng, J.; Fu, N.; Hu, J.; Liu, T.; Fang, Y.; Zhang, Q.; Zhou, X.; Lin, Y.; Pan, F. Effects of Ga Doping and Hollow Structure on the Band-Structures and Photovoltaic Properties of SnO</w:t>
        </w:r>
        <w:r w:rsidRPr="00845A3A">
          <w:rPr>
            <w:rStyle w:val="csl-right-inline"/>
            <w:color w:val="000000"/>
            <w:vertAlign w:val="subscript"/>
          </w:rPr>
          <w:t>2</w:t>
        </w:r>
        <w:r w:rsidRPr="00845A3A">
          <w:rPr>
            <w:rStyle w:val="csl-right-inline"/>
            <w:color w:val="000000"/>
          </w:rPr>
          <w:t xml:space="preserve"> Photoanode Dye-Sensitized Solar Cells. </w:t>
        </w:r>
        <w:r w:rsidRPr="00845A3A">
          <w:rPr>
            <w:rStyle w:val="csl-right-inline"/>
            <w:i/>
            <w:iCs/>
            <w:color w:val="000000"/>
          </w:rPr>
          <w:t>RSC Adv.</w:t>
        </w:r>
        <w:r w:rsidRPr="00845A3A">
          <w:rPr>
            <w:rStyle w:val="csl-right-inline"/>
            <w:color w:val="000000"/>
          </w:rPr>
          <w:t xml:space="preserve"> </w:t>
        </w:r>
        <w:r w:rsidRPr="00845A3A">
          <w:rPr>
            <w:rStyle w:val="csl-right-inline"/>
            <w:b/>
            <w:bCs/>
            <w:color w:val="000000"/>
          </w:rPr>
          <w:t>2015</w:t>
        </w:r>
        <w:r w:rsidRPr="00845A3A">
          <w:rPr>
            <w:rStyle w:val="csl-right-inline"/>
            <w:color w:val="000000"/>
          </w:rPr>
          <w:t xml:space="preserve">, </w:t>
        </w:r>
        <w:r w:rsidRPr="00845A3A">
          <w:rPr>
            <w:rStyle w:val="csl-right-inline"/>
            <w:i/>
            <w:iCs/>
            <w:color w:val="000000"/>
          </w:rPr>
          <w:t>5</w:t>
        </w:r>
        <w:r w:rsidRPr="00845A3A">
          <w:rPr>
            <w:rStyle w:val="csl-right-inline"/>
            <w:color w:val="000000"/>
          </w:rPr>
          <w:t xml:space="preserve"> (114), 93765–93772.</w:t>
        </w:r>
      </w:hyperlink>
    </w:p>
    <w:p w14:paraId="40C2E441" w14:textId="13240D53" w:rsidR="00EB55F0" w:rsidRPr="00845A3A" w:rsidRDefault="00EB55F0" w:rsidP="00CC7C8B">
      <w:pPr>
        <w:pStyle w:val="NormalWeb"/>
        <w:ind w:left="700" w:hanging="700"/>
        <w:jc w:val="both"/>
        <w:divId w:val="771971094"/>
        <w:rPr>
          <w:color w:val="000000"/>
        </w:rPr>
      </w:pPr>
      <w:hyperlink r:id="rId88" w:history="1">
        <w:r w:rsidRPr="00845A3A">
          <w:rPr>
            <w:rStyle w:val="csl-left-margin"/>
            <w:color w:val="000000"/>
          </w:rPr>
          <w:t>(22)  </w:t>
        </w:r>
        <w:r w:rsidRPr="00845A3A">
          <w:rPr>
            <w:rStyle w:val="csl-left-margin"/>
            <w:color w:val="000000"/>
          </w:rPr>
          <w:t> </w:t>
        </w:r>
        <w:r w:rsidRPr="00845A3A">
          <w:rPr>
            <w:rStyle w:val="csl-right-inline"/>
            <w:color w:val="000000"/>
          </w:rPr>
          <w:t>Wang, R.; Wu, J.; Wei, S.; Zhu, J.; Guo, M.; Zheng, Q.; Wei, M.; Cheng, S. Gadolinium-Doped SnO</w:t>
        </w:r>
        <w:r w:rsidRPr="00845A3A">
          <w:rPr>
            <w:rStyle w:val="csl-right-inline"/>
            <w:color w:val="000000"/>
            <w:vertAlign w:val="subscript"/>
          </w:rPr>
          <w:t>2</w:t>
        </w:r>
        <w:r w:rsidRPr="00845A3A">
          <w:rPr>
            <w:rStyle w:val="csl-right-inline"/>
            <w:color w:val="000000"/>
          </w:rPr>
          <w:t xml:space="preserve"> Electron Transfer Layer for Highly Efficient Planar Perovskite Solar Cells. </w:t>
        </w:r>
        <w:r w:rsidRPr="00845A3A">
          <w:rPr>
            <w:rStyle w:val="csl-right-inline"/>
            <w:i/>
            <w:iCs/>
            <w:color w:val="000000"/>
          </w:rPr>
          <w:t>J. Power Sources</w:t>
        </w:r>
        <w:r w:rsidRPr="00845A3A">
          <w:rPr>
            <w:rStyle w:val="csl-right-inline"/>
            <w:color w:val="000000"/>
          </w:rPr>
          <w:t xml:space="preserve"> </w:t>
        </w:r>
        <w:r w:rsidRPr="00845A3A">
          <w:rPr>
            <w:rStyle w:val="csl-right-inline"/>
            <w:b/>
            <w:bCs/>
            <w:color w:val="000000"/>
          </w:rPr>
          <w:t>2022</w:t>
        </w:r>
        <w:r w:rsidRPr="00845A3A">
          <w:rPr>
            <w:rStyle w:val="csl-right-inline"/>
            <w:color w:val="000000"/>
          </w:rPr>
          <w:t xml:space="preserve">, </w:t>
        </w:r>
        <w:r w:rsidRPr="00845A3A">
          <w:rPr>
            <w:rStyle w:val="csl-right-inline"/>
            <w:i/>
            <w:iCs/>
            <w:color w:val="000000"/>
          </w:rPr>
          <w:t>544</w:t>
        </w:r>
        <w:r w:rsidRPr="00845A3A">
          <w:rPr>
            <w:rStyle w:val="csl-right-inline"/>
            <w:color w:val="000000"/>
          </w:rPr>
          <w:t>, 231870.</w:t>
        </w:r>
      </w:hyperlink>
    </w:p>
    <w:p w14:paraId="0FBB5A39" w14:textId="08A1A876" w:rsidR="00EB55F0" w:rsidRPr="00845A3A" w:rsidRDefault="00EB55F0" w:rsidP="00CC7C8B">
      <w:pPr>
        <w:pStyle w:val="NormalWeb"/>
        <w:ind w:left="700" w:hanging="700"/>
        <w:jc w:val="both"/>
        <w:divId w:val="771971094"/>
        <w:rPr>
          <w:color w:val="000000"/>
        </w:rPr>
      </w:pPr>
      <w:hyperlink r:id="rId89" w:history="1">
        <w:r w:rsidRPr="00845A3A">
          <w:rPr>
            <w:rStyle w:val="csl-left-margin"/>
            <w:color w:val="000000"/>
          </w:rPr>
          <w:t>(23)  </w:t>
        </w:r>
        <w:r w:rsidRPr="00845A3A">
          <w:rPr>
            <w:rStyle w:val="csl-left-margin"/>
            <w:color w:val="000000"/>
          </w:rPr>
          <w:t> </w:t>
        </w:r>
        <w:r w:rsidRPr="00845A3A">
          <w:rPr>
            <w:rStyle w:val="csl-right-inline"/>
            <w:color w:val="000000"/>
          </w:rPr>
          <w:t>Song, J.; Zhang, W.; Wang, D.; Deng, K.; Wu, J.; Lan, Z. Colloidal Synthesis of Y-Doped SnO</w:t>
        </w:r>
        <w:r w:rsidRPr="00845A3A">
          <w:rPr>
            <w:rStyle w:val="csl-right-inline"/>
            <w:color w:val="000000"/>
            <w:vertAlign w:val="subscript"/>
          </w:rPr>
          <w:t>2</w:t>
        </w:r>
        <w:r w:rsidRPr="00845A3A">
          <w:rPr>
            <w:rStyle w:val="csl-right-inline"/>
            <w:color w:val="000000"/>
          </w:rPr>
          <w:t xml:space="preserve"> Nanocrystals for Efficient and Slight Hysteresis Planar Perovskite Solar Cells. </w:t>
        </w:r>
        <w:r w:rsidRPr="00845A3A">
          <w:rPr>
            <w:rStyle w:val="csl-right-inline"/>
            <w:i/>
            <w:iCs/>
            <w:color w:val="000000"/>
          </w:rPr>
          <w:t>Solar Energy</w:t>
        </w:r>
        <w:r w:rsidRPr="00845A3A">
          <w:rPr>
            <w:rStyle w:val="csl-right-inline"/>
            <w:color w:val="000000"/>
          </w:rPr>
          <w:t xml:space="preserve"> </w:t>
        </w:r>
        <w:r w:rsidRPr="00845A3A">
          <w:rPr>
            <w:rStyle w:val="csl-right-inline"/>
            <w:b/>
            <w:bCs/>
            <w:color w:val="000000"/>
          </w:rPr>
          <w:t>2019</w:t>
        </w:r>
        <w:r w:rsidRPr="00845A3A">
          <w:rPr>
            <w:rStyle w:val="csl-right-inline"/>
            <w:color w:val="000000"/>
          </w:rPr>
          <w:t xml:space="preserve">, </w:t>
        </w:r>
        <w:r w:rsidRPr="00845A3A">
          <w:rPr>
            <w:rStyle w:val="csl-right-inline"/>
            <w:i/>
            <w:iCs/>
            <w:color w:val="000000"/>
          </w:rPr>
          <w:t>185</w:t>
        </w:r>
        <w:r w:rsidRPr="00845A3A">
          <w:rPr>
            <w:rStyle w:val="csl-right-inline"/>
            <w:color w:val="000000"/>
          </w:rPr>
          <w:t xml:space="preserve">, 508–515. </w:t>
        </w:r>
      </w:hyperlink>
    </w:p>
    <w:p w14:paraId="2180F08F" w14:textId="73225EF4" w:rsidR="00EB55F0" w:rsidRPr="00845A3A" w:rsidRDefault="00EB55F0" w:rsidP="00CC7C8B">
      <w:pPr>
        <w:pStyle w:val="NormalWeb"/>
        <w:ind w:left="700" w:hanging="700"/>
        <w:jc w:val="both"/>
        <w:divId w:val="771971094"/>
        <w:rPr>
          <w:color w:val="000000"/>
        </w:rPr>
      </w:pPr>
      <w:hyperlink r:id="rId90" w:history="1">
        <w:r w:rsidRPr="00845A3A">
          <w:rPr>
            <w:rStyle w:val="csl-left-margin"/>
            <w:color w:val="000000"/>
          </w:rPr>
          <w:t>(24)  </w:t>
        </w:r>
        <w:r w:rsidRPr="00845A3A">
          <w:rPr>
            <w:rStyle w:val="csl-left-margin"/>
            <w:color w:val="000000"/>
          </w:rPr>
          <w:t> </w:t>
        </w:r>
        <w:r w:rsidRPr="00845A3A">
          <w:rPr>
            <w:rStyle w:val="csl-right-inline"/>
            <w:color w:val="000000"/>
          </w:rPr>
          <w:t>Park, M.; Kim, J.-Y.; Son, H. J.; Lee, C.-H.; Jang, S. S.; Ko, M. J. Low-Temperature Solution-Processed Li-Doped SnO</w:t>
        </w:r>
        <w:r w:rsidRPr="00845A3A">
          <w:rPr>
            <w:rStyle w:val="csl-right-inline"/>
            <w:color w:val="000000"/>
            <w:vertAlign w:val="subscript"/>
          </w:rPr>
          <w:t>2</w:t>
        </w:r>
        <w:r w:rsidRPr="00845A3A">
          <w:rPr>
            <w:rStyle w:val="csl-right-inline"/>
            <w:color w:val="000000"/>
          </w:rPr>
          <w:t xml:space="preserve"> as an Effective Electron Transporting Layer for High-Performance Flexible and Wearable Perovskite Solar Cells. </w:t>
        </w:r>
        <w:r w:rsidRPr="00845A3A">
          <w:rPr>
            <w:rStyle w:val="csl-right-inline"/>
            <w:i/>
            <w:iCs/>
            <w:color w:val="000000"/>
          </w:rPr>
          <w:t>Nano Energy</w:t>
        </w:r>
        <w:r w:rsidRPr="00845A3A">
          <w:rPr>
            <w:rStyle w:val="csl-right-inline"/>
            <w:color w:val="000000"/>
          </w:rPr>
          <w:t xml:space="preserve"> </w:t>
        </w:r>
        <w:r w:rsidRPr="00845A3A">
          <w:rPr>
            <w:rStyle w:val="csl-right-inline"/>
            <w:b/>
            <w:bCs/>
            <w:color w:val="000000"/>
          </w:rPr>
          <w:t>2016</w:t>
        </w:r>
        <w:r w:rsidRPr="00845A3A">
          <w:rPr>
            <w:rStyle w:val="csl-right-inline"/>
            <w:color w:val="000000"/>
          </w:rPr>
          <w:t xml:space="preserve">, </w:t>
        </w:r>
        <w:r w:rsidRPr="00845A3A">
          <w:rPr>
            <w:rStyle w:val="csl-right-inline"/>
            <w:i/>
            <w:iCs/>
            <w:color w:val="000000"/>
          </w:rPr>
          <w:t>26</w:t>
        </w:r>
        <w:r w:rsidRPr="00845A3A">
          <w:rPr>
            <w:rStyle w:val="csl-right-inline"/>
            <w:color w:val="000000"/>
          </w:rPr>
          <w:t xml:space="preserve">, 208–215. </w:t>
        </w:r>
      </w:hyperlink>
    </w:p>
    <w:p w14:paraId="6A996C19" w14:textId="096B1AEB" w:rsidR="00EB55F0" w:rsidRPr="00845A3A" w:rsidRDefault="00EB55F0" w:rsidP="00CC7C8B">
      <w:pPr>
        <w:pStyle w:val="NormalWeb"/>
        <w:ind w:left="700" w:hanging="700"/>
        <w:jc w:val="both"/>
        <w:divId w:val="771971094"/>
        <w:rPr>
          <w:color w:val="000000"/>
        </w:rPr>
      </w:pPr>
      <w:hyperlink r:id="rId91" w:history="1">
        <w:r w:rsidRPr="00845A3A">
          <w:rPr>
            <w:rStyle w:val="csl-left-margin"/>
            <w:color w:val="000000"/>
          </w:rPr>
          <w:t>(25)  </w:t>
        </w:r>
        <w:r w:rsidRPr="00845A3A">
          <w:rPr>
            <w:rStyle w:val="csl-left-margin"/>
            <w:color w:val="000000"/>
          </w:rPr>
          <w:t> </w:t>
        </w:r>
        <w:r w:rsidRPr="00845A3A">
          <w:rPr>
            <w:rStyle w:val="csl-right-inline"/>
            <w:color w:val="000000"/>
          </w:rPr>
          <w:t>Zhao, D.; Zhang, C.; Zhao, M.; Ren, J.; Dai, Z.; Wu, Y.; Sun, Q.; Cui, Y.; Hao, Y. A Comprehensive Optimization Strategy: Potassium Phytate-Doped SnO</w:t>
        </w:r>
        <w:r w:rsidRPr="00845A3A">
          <w:rPr>
            <w:rStyle w:val="csl-right-inline"/>
            <w:color w:val="000000"/>
            <w:vertAlign w:val="subscript"/>
          </w:rPr>
          <w:t>2</w:t>
        </w:r>
        <w:r w:rsidRPr="00845A3A">
          <w:rPr>
            <w:rStyle w:val="csl-right-inline"/>
            <w:color w:val="000000"/>
          </w:rPr>
          <w:t xml:space="preserve"> as the Electron-Transport Layer for High-Efficiency Perovskite Solar Cells. </w:t>
        </w:r>
        <w:r w:rsidRPr="00845A3A">
          <w:rPr>
            <w:rStyle w:val="csl-right-inline"/>
            <w:i/>
            <w:iCs/>
            <w:color w:val="000000"/>
          </w:rPr>
          <w:t>J. Mater. Chem. C</w:t>
        </w:r>
        <w:r w:rsidRPr="00845A3A">
          <w:rPr>
            <w:rStyle w:val="csl-right-inline"/>
            <w:color w:val="000000"/>
          </w:rPr>
          <w:t xml:space="preserve"> </w:t>
        </w:r>
        <w:r w:rsidRPr="00845A3A">
          <w:rPr>
            <w:rStyle w:val="csl-right-inline"/>
            <w:b/>
            <w:bCs/>
            <w:color w:val="000000"/>
          </w:rPr>
          <w:t>2022</w:t>
        </w:r>
        <w:r w:rsidRPr="00845A3A">
          <w:rPr>
            <w:rStyle w:val="csl-right-inline"/>
            <w:color w:val="000000"/>
          </w:rPr>
          <w:t xml:space="preserve">, </w:t>
        </w:r>
        <w:r w:rsidRPr="00845A3A">
          <w:rPr>
            <w:rStyle w:val="csl-right-inline"/>
            <w:i/>
            <w:iCs/>
            <w:color w:val="000000"/>
          </w:rPr>
          <w:t>10</w:t>
        </w:r>
        <w:r w:rsidRPr="00845A3A">
          <w:rPr>
            <w:rStyle w:val="csl-right-inline"/>
            <w:color w:val="000000"/>
          </w:rPr>
          <w:t xml:space="preserve"> (19), 7641–7650. </w:t>
        </w:r>
      </w:hyperlink>
    </w:p>
    <w:p w14:paraId="1AD4E63B" w14:textId="76BB45A1" w:rsidR="00EB55F0" w:rsidRPr="00845A3A" w:rsidRDefault="00EB55F0" w:rsidP="00CC7C8B">
      <w:pPr>
        <w:pStyle w:val="NormalWeb"/>
        <w:ind w:left="700" w:hanging="700"/>
        <w:jc w:val="both"/>
        <w:divId w:val="771971094"/>
        <w:rPr>
          <w:color w:val="000000"/>
        </w:rPr>
      </w:pPr>
      <w:hyperlink r:id="rId92" w:history="1">
        <w:r w:rsidRPr="00845A3A">
          <w:rPr>
            <w:rStyle w:val="csl-left-margin"/>
            <w:color w:val="000000"/>
          </w:rPr>
          <w:t>(26)  </w:t>
        </w:r>
        <w:r w:rsidRPr="00845A3A">
          <w:rPr>
            <w:rStyle w:val="csl-left-margin"/>
            <w:color w:val="000000"/>
          </w:rPr>
          <w:t> </w:t>
        </w:r>
        <w:r w:rsidRPr="00845A3A">
          <w:rPr>
            <w:rStyle w:val="csl-right-inline"/>
            <w:color w:val="000000"/>
          </w:rPr>
          <w:t>Zhou, X.; Zhang, W.; Wang, X.; Lin, P.; Zhou, S.; Hu, T.; Tian, L.; Wen, F.; Duan, G.; Yu, L.; Xiang, Y.; Huang, B.; Huang, Y. Solution-Processed Cu-Doped SnO</w:t>
        </w:r>
        <w:r w:rsidRPr="00845A3A">
          <w:rPr>
            <w:rStyle w:val="csl-right-inline"/>
            <w:color w:val="000000"/>
            <w:vertAlign w:val="subscript"/>
          </w:rPr>
          <w:t>2</w:t>
        </w:r>
        <w:r w:rsidRPr="00845A3A">
          <w:rPr>
            <w:rStyle w:val="csl-right-inline"/>
            <w:color w:val="000000"/>
          </w:rPr>
          <w:t xml:space="preserve"> as an Effective Electron Transporting Layer for High-Performance Planar Perovskite Solar Cells. </w:t>
        </w:r>
        <w:r w:rsidRPr="00845A3A">
          <w:rPr>
            <w:rStyle w:val="csl-right-inline"/>
            <w:i/>
            <w:iCs/>
            <w:color w:val="000000"/>
          </w:rPr>
          <w:t>Appl. Surf. Sci.</w:t>
        </w:r>
        <w:r w:rsidRPr="00845A3A">
          <w:rPr>
            <w:rStyle w:val="csl-right-inline"/>
            <w:color w:val="000000"/>
          </w:rPr>
          <w:t xml:space="preserve"> </w:t>
        </w:r>
        <w:r w:rsidRPr="00845A3A">
          <w:rPr>
            <w:rStyle w:val="csl-right-inline"/>
            <w:b/>
            <w:bCs/>
            <w:color w:val="000000"/>
          </w:rPr>
          <w:t>2022</w:t>
        </w:r>
        <w:r w:rsidRPr="00845A3A">
          <w:rPr>
            <w:rStyle w:val="csl-right-inline"/>
            <w:color w:val="000000"/>
          </w:rPr>
          <w:t xml:space="preserve">, </w:t>
        </w:r>
        <w:r w:rsidRPr="00845A3A">
          <w:rPr>
            <w:rStyle w:val="csl-right-inline"/>
            <w:i/>
            <w:iCs/>
            <w:color w:val="000000"/>
          </w:rPr>
          <w:t>584</w:t>
        </w:r>
        <w:r w:rsidRPr="00845A3A">
          <w:rPr>
            <w:rStyle w:val="csl-right-inline"/>
            <w:color w:val="000000"/>
          </w:rPr>
          <w:t>, 152651.</w:t>
        </w:r>
      </w:hyperlink>
    </w:p>
    <w:p w14:paraId="74913587" w14:textId="06BF486B" w:rsidR="00EB55F0" w:rsidRPr="00845A3A" w:rsidRDefault="00EB55F0" w:rsidP="00CC7C8B">
      <w:pPr>
        <w:pStyle w:val="NormalWeb"/>
        <w:ind w:left="700" w:hanging="700"/>
        <w:jc w:val="both"/>
        <w:divId w:val="771971094"/>
        <w:rPr>
          <w:color w:val="000000"/>
        </w:rPr>
      </w:pPr>
      <w:hyperlink r:id="rId93" w:history="1">
        <w:r w:rsidRPr="00845A3A">
          <w:rPr>
            <w:rStyle w:val="csl-left-margin"/>
            <w:color w:val="000000"/>
          </w:rPr>
          <w:t>(27)  </w:t>
        </w:r>
        <w:r w:rsidRPr="00845A3A">
          <w:rPr>
            <w:rStyle w:val="csl-left-margin"/>
            <w:color w:val="000000"/>
          </w:rPr>
          <w:t> </w:t>
        </w:r>
        <w:r w:rsidRPr="00845A3A">
          <w:rPr>
            <w:rStyle w:val="csl-right-inline"/>
            <w:color w:val="000000"/>
          </w:rPr>
          <w:t>Ye, H.; Liu, Z.; Liu, X.; Sun, B.; Tan, X.; Tu, Y.; Shi, T.; Tang, Z.; Liao, G. 17.78% Efficient Low-Temperature Carbon-Based Planar Perovskite Solar Cells Using Zn-Doped SnO</w:t>
        </w:r>
        <w:r w:rsidRPr="00845A3A">
          <w:rPr>
            <w:rStyle w:val="csl-right-inline"/>
            <w:color w:val="000000"/>
            <w:vertAlign w:val="subscript"/>
          </w:rPr>
          <w:t>2</w:t>
        </w:r>
        <w:r w:rsidRPr="00845A3A">
          <w:rPr>
            <w:rStyle w:val="csl-right-inline"/>
            <w:color w:val="000000"/>
          </w:rPr>
          <w:t xml:space="preserve"> Electron Transport Layer. </w:t>
        </w:r>
        <w:r w:rsidRPr="00845A3A">
          <w:rPr>
            <w:rStyle w:val="csl-right-inline"/>
            <w:i/>
            <w:iCs/>
            <w:color w:val="000000"/>
          </w:rPr>
          <w:t>Appl. Surf. Sci.</w:t>
        </w:r>
        <w:r w:rsidRPr="00845A3A">
          <w:rPr>
            <w:rStyle w:val="csl-right-inline"/>
            <w:color w:val="000000"/>
          </w:rPr>
          <w:t xml:space="preserve"> </w:t>
        </w:r>
        <w:r w:rsidRPr="00845A3A">
          <w:rPr>
            <w:rStyle w:val="csl-right-inline"/>
            <w:b/>
            <w:bCs/>
            <w:color w:val="000000"/>
          </w:rPr>
          <w:t>2019</w:t>
        </w:r>
        <w:r w:rsidRPr="00845A3A">
          <w:rPr>
            <w:rStyle w:val="csl-right-inline"/>
            <w:color w:val="000000"/>
          </w:rPr>
          <w:t xml:space="preserve">, </w:t>
        </w:r>
        <w:r w:rsidRPr="00845A3A">
          <w:rPr>
            <w:rStyle w:val="csl-right-inline"/>
            <w:i/>
            <w:iCs/>
            <w:color w:val="000000"/>
          </w:rPr>
          <w:t>478</w:t>
        </w:r>
        <w:r w:rsidRPr="00845A3A">
          <w:rPr>
            <w:rStyle w:val="csl-right-inline"/>
            <w:color w:val="000000"/>
          </w:rPr>
          <w:t>, 417–425.</w:t>
        </w:r>
      </w:hyperlink>
    </w:p>
    <w:p w14:paraId="01BF82EB" w14:textId="6B5C2BD0" w:rsidR="00EB55F0" w:rsidRPr="00845A3A" w:rsidRDefault="00EB55F0" w:rsidP="00CC7C8B">
      <w:pPr>
        <w:pStyle w:val="NormalWeb"/>
        <w:ind w:left="700" w:hanging="700"/>
        <w:jc w:val="both"/>
        <w:divId w:val="771971094"/>
        <w:rPr>
          <w:color w:val="000000"/>
        </w:rPr>
      </w:pPr>
      <w:hyperlink r:id="rId94" w:history="1">
        <w:r w:rsidRPr="00845A3A">
          <w:rPr>
            <w:rStyle w:val="csl-left-margin"/>
            <w:color w:val="000000"/>
          </w:rPr>
          <w:t>(28)  </w:t>
        </w:r>
        <w:r w:rsidRPr="00845A3A">
          <w:rPr>
            <w:rStyle w:val="csl-left-margin"/>
            <w:color w:val="000000"/>
          </w:rPr>
          <w:t> </w:t>
        </w:r>
        <w:r w:rsidRPr="00845A3A">
          <w:rPr>
            <w:rStyle w:val="csl-right-inline"/>
            <w:color w:val="000000"/>
          </w:rPr>
          <w:t>Chen, Y.; Zuo, X.; He, Y.; Qian, F.; Zuo, S.; Zhang, Y.; Liang, L.; Chen, Z.; Zhao, K.; Liu, Z.; Gou, J.; Liu, S. F. Dual Passivation of Perovskite and SnO</w:t>
        </w:r>
        <w:r w:rsidRPr="00845A3A">
          <w:rPr>
            <w:rStyle w:val="csl-right-inline"/>
            <w:color w:val="000000"/>
            <w:vertAlign w:val="subscript"/>
          </w:rPr>
          <w:t>2</w:t>
        </w:r>
        <w:r w:rsidRPr="00845A3A">
          <w:rPr>
            <w:rStyle w:val="csl-right-inline"/>
            <w:color w:val="000000"/>
          </w:rPr>
          <w:t xml:space="preserve"> for High-Efficiency MAPbI</w:t>
        </w:r>
        <w:r w:rsidRPr="00845A3A">
          <w:rPr>
            <w:rStyle w:val="csl-right-inline"/>
            <w:color w:val="000000"/>
            <w:vertAlign w:val="subscript"/>
          </w:rPr>
          <w:t>3</w:t>
        </w:r>
        <w:r w:rsidRPr="00845A3A">
          <w:rPr>
            <w:rStyle w:val="csl-right-inline"/>
            <w:color w:val="000000"/>
          </w:rPr>
          <w:t xml:space="preserve"> Perovskite Solar Cells. </w:t>
        </w:r>
        <w:r w:rsidRPr="00845A3A">
          <w:rPr>
            <w:rStyle w:val="csl-right-inline"/>
            <w:i/>
            <w:iCs/>
            <w:color w:val="000000"/>
          </w:rPr>
          <w:t>Adv</w:t>
        </w:r>
        <w:r w:rsidR="0057332E" w:rsidRPr="00845A3A">
          <w:rPr>
            <w:rStyle w:val="csl-right-inline"/>
            <w:i/>
            <w:iCs/>
            <w:color w:val="000000"/>
          </w:rPr>
          <w:t>.</w:t>
        </w:r>
        <w:r w:rsidRPr="00845A3A">
          <w:rPr>
            <w:rStyle w:val="csl-right-inline"/>
            <w:i/>
            <w:iCs/>
            <w:color w:val="000000"/>
          </w:rPr>
          <w:t xml:space="preserve"> Sci</w:t>
        </w:r>
        <w:r w:rsidR="0057332E" w:rsidRPr="00845A3A">
          <w:rPr>
            <w:rStyle w:val="csl-right-inline"/>
            <w:i/>
            <w:iCs/>
            <w:color w:val="000000"/>
          </w:rPr>
          <w:t>.</w:t>
        </w:r>
        <w:r w:rsidRPr="00845A3A">
          <w:rPr>
            <w:rStyle w:val="csl-right-inline"/>
            <w:color w:val="000000"/>
          </w:rPr>
          <w:t xml:space="preserve"> </w:t>
        </w:r>
        <w:r w:rsidRPr="00845A3A">
          <w:rPr>
            <w:rStyle w:val="csl-right-inline"/>
            <w:b/>
            <w:bCs/>
            <w:color w:val="000000"/>
          </w:rPr>
          <w:t>2021</w:t>
        </w:r>
        <w:r w:rsidRPr="00845A3A">
          <w:rPr>
            <w:rStyle w:val="csl-right-inline"/>
            <w:color w:val="000000"/>
          </w:rPr>
          <w:t xml:space="preserve">, </w:t>
        </w:r>
        <w:r w:rsidRPr="00845A3A">
          <w:rPr>
            <w:rStyle w:val="csl-right-inline"/>
            <w:i/>
            <w:iCs/>
            <w:color w:val="000000"/>
          </w:rPr>
          <w:t>8</w:t>
        </w:r>
        <w:r w:rsidRPr="00845A3A">
          <w:rPr>
            <w:rStyle w:val="csl-right-inline"/>
            <w:color w:val="000000"/>
          </w:rPr>
          <w:t xml:space="preserve"> (5), 2001466.</w:t>
        </w:r>
      </w:hyperlink>
    </w:p>
    <w:p w14:paraId="2B0E230D" w14:textId="227BC972" w:rsidR="00EB55F0" w:rsidRPr="00845A3A" w:rsidRDefault="00EB55F0" w:rsidP="00CC7C8B">
      <w:pPr>
        <w:pStyle w:val="NormalWeb"/>
        <w:ind w:left="700" w:hanging="700"/>
        <w:jc w:val="both"/>
        <w:divId w:val="771971094"/>
        <w:rPr>
          <w:color w:val="000000"/>
        </w:rPr>
      </w:pPr>
      <w:hyperlink r:id="rId95" w:history="1">
        <w:r w:rsidRPr="00845A3A">
          <w:rPr>
            <w:rStyle w:val="csl-left-margin"/>
            <w:color w:val="000000"/>
          </w:rPr>
          <w:t>(29)  </w:t>
        </w:r>
        <w:r w:rsidRPr="00845A3A">
          <w:rPr>
            <w:rStyle w:val="csl-left-margin"/>
            <w:color w:val="000000"/>
          </w:rPr>
          <w:t> </w:t>
        </w:r>
        <w:r w:rsidRPr="00845A3A">
          <w:rPr>
            <w:rStyle w:val="csl-right-inline"/>
            <w:color w:val="000000"/>
          </w:rPr>
          <w:t>Ma, Z.; Zhou, W.; Xiao, Z.; Zhang, H.; Li, Z.; Zhuang, J.; Peng, C.; Huang, Y. Negligible Hysteresis Planar Perovskite Solar Cells Using Ga-Doped SnO</w:t>
        </w:r>
        <w:r w:rsidRPr="00845A3A">
          <w:rPr>
            <w:rStyle w:val="csl-right-inline"/>
            <w:color w:val="000000"/>
            <w:vertAlign w:val="subscript"/>
          </w:rPr>
          <w:t>2</w:t>
        </w:r>
        <w:r w:rsidRPr="00845A3A">
          <w:rPr>
            <w:rStyle w:val="csl-right-inline"/>
            <w:color w:val="000000"/>
          </w:rPr>
          <w:t xml:space="preserve"> Nanocrystal as Electron Transport Layers. </w:t>
        </w:r>
        <w:r w:rsidRPr="00845A3A">
          <w:rPr>
            <w:rStyle w:val="csl-right-inline"/>
            <w:i/>
            <w:iCs/>
            <w:color w:val="000000"/>
          </w:rPr>
          <w:t>Org. Electron.</w:t>
        </w:r>
        <w:r w:rsidRPr="00845A3A">
          <w:rPr>
            <w:rStyle w:val="csl-right-inline"/>
            <w:color w:val="000000"/>
          </w:rPr>
          <w:t xml:space="preserve"> </w:t>
        </w:r>
        <w:r w:rsidRPr="00845A3A">
          <w:rPr>
            <w:rStyle w:val="csl-right-inline"/>
            <w:b/>
            <w:bCs/>
            <w:color w:val="000000"/>
          </w:rPr>
          <w:t>2019</w:t>
        </w:r>
        <w:r w:rsidRPr="00845A3A">
          <w:rPr>
            <w:rStyle w:val="csl-right-inline"/>
            <w:color w:val="000000"/>
          </w:rPr>
          <w:t xml:space="preserve">, </w:t>
        </w:r>
        <w:r w:rsidRPr="00845A3A">
          <w:rPr>
            <w:rStyle w:val="csl-right-inline"/>
            <w:i/>
            <w:iCs/>
            <w:color w:val="000000"/>
          </w:rPr>
          <w:t>71</w:t>
        </w:r>
        <w:r w:rsidRPr="00845A3A">
          <w:rPr>
            <w:rStyle w:val="csl-right-inline"/>
            <w:color w:val="000000"/>
          </w:rPr>
          <w:t>, 98–105.</w:t>
        </w:r>
      </w:hyperlink>
    </w:p>
    <w:p w14:paraId="58636D9C" w14:textId="5824A8E2" w:rsidR="00EB55F0" w:rsidRPr="00845A3A" w:rsidRDefault="00EB55F0" w:rsidP="00CC7C8B">
      <w:pPr>
        <w:pStyle w:val="NormalWeb"/>
        <w:ind w:left="700" w:hanging="700"/>
        <w:jc w:val="both"/>
        <w:divId w:val="771971094"/>
        <w:rPr>
          <w:color w:val="000000"/>
        </w:rPr>
      </w:pPr>
      <w:hyperlink r:id="rId96" w:history="1">
        <w:r w:rsidRPr="00845A3A">
          <w:rPr>
            <w:rStyle w:val="csl-left-margin"/>
            <w:color w:val="000000"/>
          </w:rPr>
          <w:t>(30)  </w:t>
        </w:r>
        <w:r w:rsidRPr="00845A3A">
          <w:rPr>
            <w:rStyle w:val="csl-left-margin"/>
            <w:color w:val="000000"/>
          </w:rPr>
          <w:t> </w:t>
        </w:r>
        <w:r w:rsidRPr="00845A3A">
          <w:rPr>
            <w:rStyle w:val="csl-right-inline"/>
            <w:color w:val="000000"/>
          </w:rPr>
          <w:t>Xu, Z.; Teo, S. H.; Gao, L.; Guo, Z.; Kamata, Y.; Hayase, S.; Ma, T. La-Doped SnO</w:t>
        </w:r>
        <w:r w:rsidRPr="00845A3A">
          <w:rPr>
            <w:rStyle w:val="csl-right-inline"/>
            <w:color w:val="000000"/>
            <w:vertAlign w:val="subscript"/>
          </w:rPr>
          <w:t>2</w:t>
        </w:r>
        <w:r w:rsidRPr="00845A3A">
          <w:rPr>
            <w:rStyle w:val="csl-right-inline"/>
            <w:color w:val="000000"/>
          </w:rPr>
          <w:t xml:space="preserve"> as ETL for Efficient Planar-Structure Hybrid Perovskite Solar Cells. </w:t>
        </w:r>
        <w:r w:rsidRPr="00845A3A">
          <w:rPr>
            <w:rStyle w:val="csl-right-inline"/>
            <w:i/>
            <w:iCs/>
            <w:color w:val="000000"/>
          </w:rPr>
          <w:t>Org. Electron.</w:t>
        </w:r>
        <w:r w:rsidRPr="00845A3A">
          <w:rPr>
            <w:rStyle w:val="csl-right-inline"/>
            <w:color w:val="000000"/>
          </w:rPr>
          <w:t xml:space="preserve"> </w:t>
        </w:r>
        <w:r w:rsidRPr="00845A3A">
          <w:rPr>
            <w:rStyle w:val="csl-right-inline"/>
            <w:b/>
            <w:bCs/>
            <w:color w:val="000000"/>
          </w:rPr>
          <w:t>2019</w:t>
        </w:r>
        <w:r w:rsidRPr="00845A3A">
          <w:rPr>
            <w:rStyle w:val="csl-right-inline"/>
            <w:color w:val="000000"/>
          </w:rPr>
          <w:t xml:space="preserve">, </w:t>
        </w:r>
        <w:r w:rsidRPr="00845A3A">
          <w:rPr>
            <w:rStyle w:val="csl-right-inline"/>
            <w:i/>
            <w:iCs/>
            <w:color w:val="000000"/>
          </w:rPr>
          <w:t>73</w:t>
        </w:r>
        <w:r w:rsidRPr="00845A3A">
          <w:rPr>
            <w:rStyle w:val="csl-right-inline"/>
            <w:color w:val="000000"/>
          </w:rPr>
          <w:t xml:space="preserve">, 62–68. </w:t>
        </w:r>
      </w:hyperlink>
    </w:p>
    <w:p w14:paraId="7970D9E0" w14:textId="4EBF37A4" w:rsidR="00EB55F0" w:rsidRPr="00845A3A" w:rsidRDefault="00EB55F0" w:rsidP="00CC7C8B">
      <w:pPr>
        <w:pStyle w:val="NormalWeb"/>
        <w:ind w:left="700" w:hanging="700"/>
        <w:jc w:val="both"/>
        <w:divId w:val="771971094"/>
        <w:rPr>
          <w:color w:val="000000"/>
        </w:rPr>
      </w:pPr>
      <w:hyperlink r:id="rId97" w:history="1">
        <w:r w:rsidRPr="00845A3A">
          <w:rPr>
            <w:rStyle w:val="csl-left-margin"/>
            <w:color w:val="000000"/>
          </w:rPr>
          <w:t>(31)  </w:t>
        </w:r>
        <w:r w:rsidRPr="00845A3A">
          <w:rPr>
            <w:rStyle w:val="csl-left-margin"/>
            <w:color w:val="000000"/>
          </w:rPr>
          <w:t> </w:t>
        </w:r>
        <w:r w:rsidRPr="00845A3A">
          <w:rPr>
            <w:rStyle w:val="csl-right-inline"/>
            <w:color w:val="000000"/>
          </w:rPr>
          <w:t>Hoang Huy, V. P.; Nguyen, T. M. H.; Bark, C. W. Recent Advances of Doped SnO</w:t>
        </w:r>
        <w:r w:rsidRPr="00845A3A">
          <w:rPr>
            <w:rStyle w:val="csl-right-inline"/>
            <w:color w:val="000000"/>
            <w:vertAlign w:val="subscript"/>
          </w:rPr>
          <w:t>2</w:t>
        </w:r>
        <w:r w:rsidRPr="00845A3A">
          <w:rPr>
            <w:rStyle w:val="csl-right-inline"/>
            <w:color w:val="000000"/>
          </w:rPr>
          <w:t xml:space="preserve"> as Electron Transport Layer for High-Performance Perovskite Solar Cells. </w:t>
        </w:r>
        <w:r w:rsidRPr="00845A3A">
          <w:rPr>
            <w:rStyle w:val="csl-right-inline"/>
            <w:i/>
            <w:iCs/>
            <w:color w:val="000000"/>
          </w:rPr>
          <w:t>Materials</w:t>
        </w:r>
        <w:r w:rsidRPr="00845A3A">
          <w:rPr>
            <w:rStyle w:val="csl-right-inline"/>
            <w:color w:val="000000"/>
          </w:rPr>
          <w:t xml:space="preserve"> </w:t>
        </w:r>
        <w:r w:rsidRPr="00845A3A">
          <w:rPr>
            <w:rStyle w:val="csl-right-inline"/>
            <w:b/>
            <w:bCs/>
            <w:color w:val="000000"/>
          </w:rPr>
          <w:t>2023</w:t>
        </w:r>
        <w:r w:rsidRPr="00845A3A">
          <w:rPr>
            <w:rStyle w:val="csl-right-inline"/>
            <w:color w:val="000000"/>
          </w:rPr>
          <w:t xml:space="preserve">, </w:t>
        </w:r>
        <w:r w:rsidRPr="00845A3A">
          <w:rPr>
            <w:rStyle w:val="csl-right-inline"/>
            <w:i/>
            <w:iCs/>
            <w:color w:val="000000"/>
          </w:rPr>
          <w:t>16</w:t>
        </w:r>
        <w:r w:rsidRPr="00845A3A">
          <w:rPr>
            <w:rStyle w:val="csl-right-inline"/>
            <w:color w:val="000000"/>
          </w:rPr>
          <w:t xml:space="preserve"> (18), 6170. </w:t>
        </w:r>
      </w:hyperlink>
    </w:p>
    <w:p w14:paraId="79636F44" w14:textId="7CFF8BB1" w:rsidR="00EB55F0" w:rsidRPr="00845A3A" w:rsidRDefault="00EB55F0" w:rsidP="00CC7C8B">
      <w:pPr>
        <w:pStyle w:val="NormalWeb"/>
        <w:ind w:left="700" w:hanging="700"/>
        <w:jc w:val="both"/>
        <w:divId w:val="771971094"/>
        <w:rPr>
          <w:color w:val="000000"/>
        </w:rPr>
      </w:pPr>
      <w:hyperlink r:id="rId98" w:history="1">
        <w:r w:rsidRPr="00845A3A">
          <w:rPr>
            <w:rStyle w:val="csl-left-margin"/>
            <w:color w:val="000000"/>
          </w:rPr>
          <w:t>(32)  </w:t>
        </w:r>
        <w:r w:rsidRPr="00845A3A">
          <w:rPr>
            <w:rStyle w:val="csl-left-margin"/>
            <w:color w:val="000000"/>
          </w:rPr>
          <w:t> </w:t>
        </w:r>
        <w:r w:rsidRPr="00845A3A">
          <w:rPr>
            <w:rStyle w:val="csl-right-inline"/>
            <w:color w:val="000000"/>
          </w:rPr>
          <w:t xml:space="preserve">Xu, C.; Qu, X. Cerium Oxide Nanoparticle: A Remarkably Versatile Rare Earth Nanomaterial for Biological Applications. </w:t>
        </w:r>
        <w:r w:rsidRPr="00845A3A">
          <w:rPr>
            <w:rStyle w:val="csl-right-inline"/>
            <w:i/>
            <w:iCs/>
            <w:color w:val="000000"/>
          </w:rPr>
          <w:t>NPG Asia Mater.</w:t>
        </w:r>
        <w:r w:rsidRPr="00845A3A">
          <w:rPr>
            <w:rStyle w:val="csl-right-inline"/>
            <w:color w:val="000000"/>
          </w:rPr>
          <w:t xml:space="preserve"> </w:t>
        </w:r>
        <w:r w:rsidRPr="00845A3A">
          <w:rPr>
            <w:rStyle w:val="csl-right-inline"/>
            <w:b/>
            <w:bCs/>
            <w:color w:val="000000"/>
          </w:rPr>
          <w:t>2014</w:t>
        </w:r>
        <w:r w:rsidRPr="00845A3A">
          <w:rPr>
            <w:rStyle w:val="csl-right-inline"/>
            <w:color w:val="000000"/>
          </w:rPr>
          <w:t xml:space="preserve">, </w:t>
        </w:r>
        <w:r w:rsidRPr="00845A3A">
          <w:rPr>
            <w:rStyle w:val="csl-right-inline"/>
            <w:i/>
            <w:iCs/>
            <w:color w:val="000000"/>
          </w:rPr>
          <w:t>6</w:t>
        </w:r>
        <w:r w:rsidRPr="00845A3A">
          <w:rPr>
            <w:rStyle w:val="csl-right-inline"/>
            <w:color w:val="000000"/>
          </w:rPr>
          <w:t xml:space="preserve"> (3), e90.</w:t>
        </w:r>
      </w:hyperlink>
    </w:p>
    <w:p w14:paraId="76B07E82" w14:textId="566F4624" w:rsidR="00EB55F0" w:rsidRPr="00845A3A" w:rsidRDefault="00EB55F0" w:rsidP="00CC7C8B">
      <w:pPr>
        <w:pStyle w:val="NormalWeb"/>
        <w:ind w:left="700" w:hanging="700"/>
        <w:jc w:val="both"/>
        <w:divId w:val="771971094"/>
        <w:rPr>
          <w:color w:val="000000"/>
        </w:rPr>
      </w:pPr>
      <w:hyperlink r:id="rId99" w:history="1">
        <w:r w:rsidRPr="00845A3A">
          <w:rPr>
            <w:rStyle w:val="csl-left-margin"/>
            <w:color w:val="000000"/>
          </w:rPr>
          <w:t>(33)  </w:t>
        </w:r>
        <w:r w:rsidRPr="00845A3A">
          <w:rPr>
            <w:rStyle w:val="csl-left-margin"/>
            <w:color w:val="000000"/>
          </w:rPr>
          <w:t> </w:t>
        </w:r>
        <w:r w:rsidRPr="00845A3A">
          <w:rPr>
            <w:rStyle w:val="csl-right-inline"/>
            <w:color w:val="000000"/>
          </w:rPr>
          <w:t>Xu, R.; Li, Y.; Feng, S.; Wang, J.; Zhang, J.; Zhang, X.; Bian, C.; Fu, W.; Li, Z.; Yang, H. Enhanced Performance of Planar Perovskite Solar Cells Using Ce-Doped TiO</w:t>
        </w:r>
        <w:r w:rsidRPr="00845A3A">
          <w:rPr>
            <w:rStyle w:val="csl-right-inline"/>
            <w:color w:val="000000"/>
            <w:vertAlign w:val="subscript"/>
          </w:rPr>
          <w:t>2</w:t>
        </w:r>
        <w:r w:rsidRPr="00845A3A">
          <w:rPr>
            <w:rStyle w:val="csl-right-inline"/>
            <w:color w:val="000000"/>
          </w:rPr>
          <w:t xml:space="preserve"> as Electron Transport Layer. </w:t>
        </w:r>
        <w:r w:rsidRPr="00845A3A">
          <w:rPr>
            <w:rStyle w:val="csl-right-inline"/>
            <w:i/>
            <w:iCs/>
            <w:color w:val="000000"/>
          </w:rPr>
          <w:t>J. Mater. Sci.</w:t>
        </w:r>
        <w:r w:rsidRPr="00845A3A">
          <w:rPr>
            <w:rStyle w:val="csl-right-inline"/>
            <w:color w:val="000000"/>
          </w:rPr>
          <w:t xml:space="preserve"> </w:t>
        </w:r>
        <w:r w:rsidRPr="00845A3A">
          <w:rPr>
            <w:rStyle w:val="csl-right-inline"/>
            <w:b/>
            <w:bCs/>
            <w:color w:val="000000"/>
          </w:rPr>
          <w:t>2020</w:t>
        </w:r>
        <w:r w:rsidRPr="00845A3A">
          <w:rPr>
            <w:rStyle w:val="csl-right-inline"/>
            <w:color w:val="000000"/>
          </w:rPr>
          <w:t xml:space="preserve">, </w:t>
        </w:r>
        <w:r w:rsidRPr="00845A3A">
          <w:rPr>
            <w:rStyle w:val="csl-right-inline"/>
            <w:i/>
            <w:iCs/>
            <w:color w:val="000000"/>
          </w:rPr>
          <w:t>55</w:t>
        </w:r>
        <w:r w:rsidRPr="00845A3A">
          <w:rPr>
            <w:rStyle w:val="csl-right-inline"/>
            <w:color w:val="000000"/>
          </w:rPr>
          <w:t xml:space="preserve"> (14), 5681–5689.</w:t>
        </w:r>
      </w:hyperlink>
    </w:p>
    <w:p w14:paraId="6BF23656" w14:textId="60E1B85D" w:rsidR="00EB55F0" w:rsidRPr="00845A3A" w:rsidRDefault="00EB55F0" w:rsidP="00CC7C8B">
      <w:pPr>
        <w:pStyle w:val="NormalWeb"/>
        <w:ind w:left="700" w:hanging="700"/>
        <w:jc w:val="both"/>
        <w:divId w:val="771971094"/>
        <w:rPr>
          <w:color w:val="000000"/>
        </w:rPr>
      </w:pPr>
      <w:hyperlink r:id="rId100" w:history="1">
        <w:r w:rsidRPr="00845A3A">
          <w:rPr>
            <w:rStyle w:val="csl-left-margin"/>
            <w:color w:val="000000"/>
          </w:rPr>
          <w:t>(34)  </w:t>
        </w:r>
        <w:r w:rsidRPr="00845A3A">
          <w:rPr>
            <w:rStyle w:val="csl-left-margin"/>
            <w:color w:val="000000"/>
          </w:rPr>
          <w:t> </w:t>
        </w:r>
        <w:r w:rsidRPr="00845A3A">
          <w:rPr>
            <w:rStyle w:val="csl-right-inline"/>
            <w:color w:val="000000"/>
          </w:rPr>
          <w:t>Lu, H.; Zhuang, J.; Ma, Z.; Zhou, W.; Xia, H.; Xiao, Z.; Zhang, H.; Li, H. Crystal Recombination Control by Using Ce Doped in Mesoporous TiO</w:t>
        </w:r>
        <w:r w:rsidRPr="00845A3A">
          <w:rPr>
            <w:rStyle w:val="csl-right-inline"/>
            <w:color w:val="000000"/>
            <w:vertAlign w:val="subscript"/>
          </w:rPr>
          <w:t>2</w:t>
        </w:r>
        <w:r w:rsidRPr="00845A3A">
          <w:rPr>
            <w:rStyle w:val="csl-right-inline"/>
            <w:color w:val="000000"/>
          </w:rPr>
          <w:t xml:space="preserve"> for Efficient Perovskite Solar Cells. </w:t>
        </w:r>
        <w:r w:rsidRPr="00845A3A">
          <w:rPr>
            <w:rStyle w:val="csl-right-inline"/>
            <w:i/>
            <w:iCs/>
            <w:color w:val="000000"/>
          </w:rPr>
          <w:t>RSC Adv.</w:t>
        </w:r>
        <w:r w:rsidRPr="00845A3A">
          <w:rPr>
            <w:rStyle w:val="csl-right-inline"/>
            <w:color w:val="000000"/>
          </w:rPr>
          <w:t xml:space="preserve"> </w:t>
        </w:r>
        <w:r w:rsidRPr="00845A3A">
          <w:rPr>
            <w:rStyle w:val="csl-right-inline"/>
            <w:b/>
            <w:bCs/>
            <w:color w:val="000000"/>
          </w:rPr>
          <w:t>2019</w:t>
        </w:r>
        <w:r w:rsidRPr="00845A3A">
          <w:rPr>
            <w:rStyle w:val="csl-right-inline"/>
            <w:color w:val="000000"/>
          </w:rPr>
          <w:t xml:space="preserve">, </w:t>
        </w:r>
        <w:r w:rsidRPr="00845A3A">
          <w:rPr>
            <w:rStyle w:val="csl-right-inline"/>
            <w:i/>
            <w:iCs/>
            <w:color w:val="000000"/>
          </w:rPr>
          <w:t>9</w:t>
        </w:r>
        <w:r w:rsidRPr="00845A3A">
          <w:rPr>
            <w:rStyle w:val="csl-right-inline"/>
            <w:color w:val="000000"/>
          </w:rPr>
          <w:t xml:space="preserve"> (2), 1075–1083. </w:t>
        </w:r>
      </w:hyperlink>
    </w:p>
    <w:p w14:paraId="461B7DD9" w14:textId="0EC61A0A" w:rsidR="00EB55F0" w:rsidRPr="00845A3A" w:rsidRDefault="00EB55F0" w:rsidP="00CC7C8B">
      <w:pPr>
        <w:pStyle w:val="NormalWeb"/>
        <w:ind w:left="700" w:hanging="700"/>
        <w:jc w:val="both"/>
        <w:divId w:val="771971094"/>
        <w:rPr>
          <w:color w:val="000000"/>
        </w:rPr>
      </w:pPr>
      <w:hyperlink r:id="rId101" w:history="1">
        <w:r w:rsidRPr="00845A3A">
          <w:rPr>
            <w:rStyle w:val="csl-left-margin"/>
            <w:color w:val="000000"/>
          </w:rPr>
          <w:t>(35)  </w:t>
        </w:r>
        <w:r w:rsidRPr="00845A3A">
          <w:rPr>
            <w:rStyle w:val="csl-left-margin"/>
            <w:color w:val="000000"/>
          </w:rPr>
          <w:t> </w:t>
        </w:r>
        <w:r w:rsidRPr="00845A3A">
          <w:rPr>
            <w:rStyle w:val="csl-right-inline"/>
            <w:color w:val="000000"/>
          </w:rPr>
          <w:t>Wang, Y.; Li, H.; Huang, D.; Wang, X.; Cai, L.; Chen, Y.; Wang, W.; Song, Y.; Han, G.; Zhen, B. A High-Performance Ethanol Gas Sensor Based on Ce-Doped SnO</w:t>
        </w:r>
        <w:r w:rsidRPr="00845A3A">
          <w:rPr>
            <w:rStyle w:val="csl-right-inline"/>
            <w:color w:val="000000"/>
            <w:vertAlign w:val="subscript"/>
          </w:rPr>
          <w:t>2</w:t>
        </w:r>
        <w:r w:rsidRPr="00845A3A">
          <w:rPr>
            <w:rStyle w:val="csl-right-inline"/>
            <w:color w:val="000000"/>
          </w:rPr>
          <w:t xml:space="preserve"> Nanomaterials Prepared by the Pechini Method. </w:t>
        </w:r>
        <w:r w:rsidRPr="00845A3A">
          <w:rPr>
            <w:rStyle w:val="csl-right-inline"/>
            <w:i/>
            <w:iCs/>
            <w:color w:val="000000"/>
          </w:rPr>
          <w:t>Mater. Sci. Semicond. Process.</w:t>
        </w:r>
        <w:r w:rsidRPr="00845A3A">
          <w:rPr>
            <w:rStyle w:val="csl-right-inline"/>
            <w:color w:val="000000"/>
          </w:rPr>
          <w:t xml:space="preserve"> </w:t>
        </w:r>
        <w:r w:rsidRPr="00845A3A">
          <w:rPr>
            <w:rStyle w:val="csl-right-inline"/>
            <w:b/>
            <w:bCs/>
            <w:color w:val="000000"/>
          </w:rPr>
          <w:t>2022</w:t>
        </w:r>
        <w:r w:rsidRPr="00845A3A">
          <w:rPr>
            <w:rStyle w:val="csl-right-inline"/>
            <w:color w:val="000000"/>
          </w:rPr>
          <w:t xml:space="preserve">, </w:t>
        </w:r>
        <w:r w:rsidRPr="00845A3A">
          <w:rPr>
            <w:rStyle w:val="csl-right-inline"/>
            <w:i/>
            <w:iCs/>
            <w:color w:val="000000"/>
          </w:rPr>
          <w:t>137</w:t>
        </w:r>
        <w:r w:rsidRPr="00845A3A">
          <w:rPr>
            <w:rStyle w:val="csl-right-inline"/>
            <w:color w:val="000000"/>
          </w:rPr>
          <w:t xml:space="preserve">, 106188. </w:t>
        </w:r>
      </w:hyperlink>
    </w:p>
    <w:p w14:paraId="27B7CA5F" w14:textId="149E0F85" w:rsidR="00EB55F0" w:rsidRPr="00845A3A" w:rsidRDefault="00EB55F0" w:rsidP="00CC7C8B">
      <w:pPr>
        <w:pStyle w:val="NormalWeb"/>
        <w:ind w:left="700" w:hanging="700"/>
        <w:jc w:val="both"/>
        <w:divId w:val="771971094"/>
        <w:rPr>
          <w:color w:val="000000"/>
        </w:rPr>
      </w:pPr>
      <w:hyperlink r:id="rId102" w:history="1">
        <w:r w:rsidRPr="00845A3A">
          <w:rPr>
            <w:rStyle w:val="csl-left-margin"/>
            <w:color w:val="000000"/>
          </w:rPr>
          <w:t>(36)  </w:t>
        </w:r>
        <w:r w:rsidRPr="00845A3A">
          <w:rPr>
            <w:rStyle w:val="csl-left-margin"/>
            <w:color w:val="000000"/>
          </w:rPr>
          <w:t> </w:t>
        </w:r>
        <w:r w:rsidRPr="00845A3A">
          <w:rPr>
            <w:rStyle w:val="csl-right-inline"/>
            <w:color w:val="000000"/>
          </w:rPr>
          <w:t>Chen, N.; Liu, B.; Zhang, P.; Wang, C.; Du, Y.; Chang, W.; Hong, W. Enhanced Photocatalytic Performance of Ce-Doped SnO</w:t>
        </w:r>
        <w:r w:rsidRPr="00845A3A">
          <w:rPr>
            <w:rStyle w:val="csl-right-inline"/>
            <w:color w:val="000000"/>
            <w:vertAlign w:val="subscript"/>
          </w:rPr>
          <w:t>2</w:t>
        </w:r>
        <w:r w:rsidRPr="00845A3A">
          <w:rPr>
            <w:rStyle w:val="csl-right-inline"/>
            <w:color w:val="000000"/>
          </w:rPr>
          <w:t xml:space="preserve"> Hollow Spheres by a One-Pot Hydrothermal Method. </w:t>
        </w:r>
        <w:r w:rsidRPr="00845A3A">
          <w:rPr>
            <w:rStyle w:val="csl-right-inline"/>
            <w:i/>
            <w:iCs/>
            <w:color w:val="000000"/>
          </w:rPr>
          <w:t>Inorg. Chem. Commun.</w:t>
        </w:r>
        <w:r w:rsidRPr="00845A3A">
          <w:rPr>
            <w:rStyle w:val="csl-right-inline"/>
            <w:color w:val="000000"/>
          </w:rPr>
          <w:t xml:space="preserve"> </w:t>
        </w:r>
        <w:r w:rsidRPr="00845A3A">
          <w:rPr>
            <w:rStyle w:val="csl-right-inline"/>
            <w:b/>
            <w:bCs/>
            <w:color w:val="000000"/>
          </w:rPr>
          <w:t>2021</w:t>
        </w:r>
        <w:r w:rsidRPr="00845A3A">
          <w:rPr>
            <w:rStyle w:val="csl-right-inline"/>
            <w:color w:val="000000"/>
          </w:rPr>
          <w:t xml:space="preserve">, </w:t>
        </w:r>
        <w:r w:rsidRPr="00845A3A">
          <w:rPr>
            <w:rStyle w:val="csl-right-inline"/>
            <w:i/>
            <w:iCs/>
            <w:color w:val="000000"/>
          </w:rPr>
          <w:t>132</w:t>
        </w:r>
        <w:r w:rsidRPr="00845A3A">
          <w:rPr>
            <w:rStyle w:val="csl-right-inline"/>
            <w:color w:val="000000"/>
          </w:rPr>
          <w:t>, 108848.</w:t>
        </w:r>
      </w:hyperlink>
    </w:p>
    <w:p w14:paraId="50DB5E80" w14:textId="7644DA42" w:rsidR="00EB55F0" w:rsidRPr="00845A3A" w:rsidRDefault="00EB55F0" w:rsidP="00CC7C8B">
      <w:pPr>
        <w:pStyle w:val="NormalWeb"/>
        <w:ind w:left="700" w:hanging="700"/>
        <w:jc w:val="both"/>
        <w:divId w:val="771971094"/>
        <w:rPr>
          <w:color w:val="000000"/>
        </w:rPr>
      </w:pPr>
      <w:hyperlink r:id="rId103" w:history="1">
        <w:r w:rsidRPr="00845A3A">
          <w:rPr>
            <w:rStyle w:val="csl-left-margin"/>
            <w:color w:val="000000"/>
          </w:rPr>
          <w:t>(37)  </w:t>
        </w:r>
        <w:r w:rsidRPr="00845A3A">
          <w:rPr>
            <w:rStyle w:val="csl-left-margin"/>
            <w:color w:val="000000"/>
          </w:rPr>
          <w:t> </w:t>
        </w:r>
        <w:r w:rsidRPr="00845A3A">
          <w:rPr>
            <w:rStyle w:val="csl-right-inline"/>
            <w:color w:val="000000"/>
          </w:rPr>
          <w:t xml:space="preserve">Song, Z.; Xu, W.; Wu, Y.; Liu, S.; Bi, W.; Chen, X.; Song, H. Incorporating of Lanthanides Ions into Perovskite Film for Efficient and Stable Perovskite Solar Cells. </w:t>
        </w:r>
        <w:r w:rsidRPr="00845A3A">
          <w:rPr>
            <w:rStyle w:val="csl-right-inline"/>
            <w:i/>
            <w:iCs/>
            <w:color w:val="000000"/>
          </w:rPr>
          <w:t>Small</w:t>
        </w:r>
        <w:r w:rsidRPr="00845A3A">
          <w:rPr>
            <w:rStyle w:val="csl-right-inline"/>
            <w:color w:val="000000"/>
          </w:rPr>
          <w:t xml:space="preserve"> </w:t>
        </w:r>
        <w:r w:rsidRPr="00845A3A">
          <w:rPr>
            <w:rStyle w:val="csl-right-inline"/>
            <w:b/>
            <w:bCs/>
            <w:color w:val="000000"/>
          </w:rPr>
          <w:t>2020</w:t>
        </w:r>
        <w:r w:rsidRPr="00845A3A">
          <w:rPr>
            <w:rStyle w:val="csl-right-inline"/>
            <w:color w:val="000000"/>
          </w:rPr>
          <w:t xml:space="preserve">, </w:t>
        </w:r>
        <w:r w:rsidRPr="00845A3A">
          <w:rPr>
            <w:rStyle w:val="csl-right-inline"/>
            <w:i/>
            <w:iCs/>
            <w:color w:val="000000"/>
          </w:rPr>
          <w:t>16</w:t>
        </w:r>
        <w:r w:rsidRPr="00845A3A">
          <w:rPr>
            <w:rStyle w:val="csl-right-inline"/>
            <w:color w:val="000000"/>
          </w:rPr>
          <w:t xml:space="preserve"> (40), e2001770. </w:t>
        </w:r>
      </w:hyperlink>
    </w:p>
    <w:p w14:paraId="0AC532FD" w14:textId="488375A3" w:rsidR="00EB55F0" w:rsidRPr="00845A3A" w:rsidRDefault="00EB55F0" w:rsidP="00CC7C8B">
      <w:pPr>
        <w:pStyle w:val="NormalWeb"/>
        <w:ind w:left="700" w:hanging="700"/>
        <w:jc w:val="both"/>
        <w:divId w:val="771971094"/>
        <w:rPr>
          <w:color w:val="000000"/>
        </w:rPr>
      </w:pPr>
      <w:hyperlink r:id="rId104" w:history="1">
        <w:r w:rsidRPr="00845A3A">
          <w:rPr>
            <w:rStyle w:val="csl-left-margin"/>
            <w:color w:val="000000"/>
          </w:rPr>
          <w:t>(38)  </w:t>
        </w:r>
        <w:r w:rsidRPr="00845A3A">
          <w:rPr>
            <w:rStyle w:val="csl-left-margin"/>
            <w:color w:val="000000"/>
          </w:rPr>
          <w:t> </w:t>
        </w:r>
        <w:r w:rsidRPr="00845A3A">
          <w:rPr>
            <w:rStyle w:val="csl-right-inline"/>
            <w:color w:val="000000"/>
          </w:rPr>
          <w:t xml:space="preserve">Zuo, X.; Kim, B.; Liu, B.; He, D.; Bai, L.; Wang, W.; Xu, C.; Song, Q.; Jia, C.; Zang, Z.; Lee, D.; Li, X.; Chen, J. Passivating Buried Interface via Self-Assembled Novel Sulfonium Salt toward Stable and Efficient Perovskite Solar Cells. </w:t>
        </w:r>
        <w:r w:rsidRPr="00845A3A">
          <w:rPr>
            <w:rStyle w:val="csl-right-inline"/>
            <w:i/>
            <w:iCs/>
            <w:color w:val="000000"/>
          </w:rPr>
          <w:t>Chemical Engineering Journal</w:t>
        </w:r>
        <w:r w:rsidRPr="00845A3A">
          <w:rPr>
            <w:rStyle w:val="csl-right-inline"/>
            <w:color w:val="000000"/>
          </w:rPr>
          <w:t xml:space="preserve"> </w:t>
        </w:r>
        <w:r w:rsidRPr="00845A3A">
          <w:rPr>
            <w:rStyle w:val="csl-right-inline"/>
            <w:b/>
            <w:bCs/>
            <w:color w:val="000000"/>
          </w:rPr>
          <w:t>2022</w:t>
        </w:r>
        <w:r w:rsidRPr="00845A3A">
          <w:rPr>
            <w:rStyle w:val="csl-right-inline"/>
            <w:color w:val="000000"/>
          </w:rPr>
          <w:t xml:space="preserve">, </w:t>
        </w:r>
        <w:r w:rsidRPr="00845A3A">
          <w:rPr>
            <w:rStyle w:val="csl-right-inline"/>
            <w:i/>
            <w:iCs/>
            <w:color w:val="000000"/>
          </w:rPr>
          <w:t>431</w:t>
        </w:r>
        <w:r w:rsidRPr="00845A3A">
          <w:rPr>
            <w:rStyle w:val="csl-right-inline"/>
            <w:color w:val="000000"/>
          </w:rPr>
          <w:t xml:space="preserve">, 133209. </w:t>
        </w:r>
      </w:hyperlink>
    </w:p>
    <w:p w14:paraId="4A41C942" w14:textId="52F97ED4" w:rsidR="00EB55F0" w:rsidRPr="00845A3A" w:rsidRDefault="00EB55F0" w:rsidP="00CC7C8B">
      <w:pPr>
        <w:pStyle w:val="NormalWeb"/>
        <w:ind w:left="700" w:hanging="700"/>
        <w:jc w:val="both"/>
        <w:divId w:val="771971094"/>
        <w:rPr>
          <w:color w:val="000000"/>
        </w:rPr>
      </w:pPr>
      <w:hyperlink r:id="rId105" w:history="1">
        <w:r w:rsidRPr="00845A3A">
          <w:rPr>
            <w:rStyle w:val="csl-left-margin"/>
            <w:color w:val="000000"/>
          </w:rPr>
          <w:t>(39)  </w:t>
        </w:r>
        <w:r w:rsidRPr="00845A3A">
          <w:rPr>
            <w:rStyle w:val="csl-left-margin"/>
            <w:color w:val="000000"/>
          </w:rPr>
          <w:t> </w:t>
        </w:r>
        <w:r w:rsidRPr="00845A3A">
          <w:rPr>
            <w:rStyle w:val="csl-right-inline"/>
            <w:color w:val="000000"/>
          </w:rPr>
          <w:t xml:space="preserve">Wang, D.; Chen, S.-C.; Zheng, Q. </w:t>
        </w:r>
        <w:proofErr w:type="gramStart"/>
        <w:r w:rsidRPr="00845A3A">
          <w:rPr>
            <w:rStyle w:val="csl-right-inline"/>
            <w:color w:val="000000"/>
          </w:rPr>
          <w:t>Poly(</w:t>
        </w:r>
        <w:proofErr w:type="gramEnd"/>
        <w:r w:rsidRPr="00845A3A">
          <w:rPr>
            <w:rStyle w:val="csl-right-inline"/>
            <w:color w:val="000000"/>
          </w:rPr>
          <w:t>Vinylpyrrolidone)-Doped SnO</w:t>
        </w:r>
        <w:r w:rsidRPr="00845A3A">
          <w:rPr>
            <w:rStyle w:val="csl-right-inline"/>
            <w:color w:val="000000"/>
            <w:vertAlign w:val="subscript"/>
          </w:rPr>
          <w:t>2</w:t>
        </w:r>
        <w:r w:rsidRPr="00845A3A">
          <w:rPr>
            <w:rStyle w:val="csl-right-inline"/>
            <w:color w:val="000000"/>
          </w:rPr>
          <w:t xml:space="preserve"> as an Electron Transport Layer for Perovskite Solar Cells with Improved Performance. </w:t>
        </w:r>
        <w:r w:rsidRPr="00845A3A">
          <w:rPr>
            <w:rStyle w:val="csl-right-inline"/>
            <w:i/>
            <w:iCs/>
            <w:color w:val="000000"/>
          </w:rPr>
          <w:t>J. Mater. Chem. C</w:t>
        </w:r>
        <w:r w:rsidRPr="00845A3A">
          <w:rPr>
            <w:rStyle w:val="csl-right-inline"/>
            <w:color w:val="000000"/>
          </w:rPr>
          <w:t xml:space="preserve"> </w:t>
        </w:r>
        <w:r w:rsidRPr="00845A3A">
          <w:rPr>
            <w:rStyle w:val="csl-right-inline"/>
            <w:b/>
            <w:bCs/>
            <w:color w:val="000000"/>
          </w:rPr>
          <w:t>2019</w:t>
        </w:r>
        <w:r w:rsidRPr="00845A3A">
          <w:rPr>
            <w:rStyle w:val="csl-right-inline"/>
            <w:color w:val="000000"/>
          </w:rPr>
          <w:t xml:space="preserve">, </w:t>
        </w:r>
        <w:r w:rsidRPr="00845A3A">
          <w:rPr>
            <w:rStyle w:val="csl-right-inline"/>
            <w:i/>
            <w:iCs/>
            <w:color w:val="000000"/>
          </w:rPr>
          <w:t>7</w:t>
        </w:r>
        <w:r w:rsidRPr="00845A3A">
          <w:rPr>
            <w:rStyle w:val="csl-right-inline"/>
            <w:color w:val="000000"/>
          </w:rPr>
          <w:t xml:space="preserve"> (39), 12204–12210. </w:t>
        </w:r>
      </w:hyperlink>
    </w:p>
    <w:p w14:paraId="58D2CF67" w14:textId="73A9C50D" w:rsidR="00EB55F0" w:rsidRPr="00845A3A" w:rsidRDefault="00EB55F0" w:rsidP="00CC7C8B">
      <w:pPr>
        <w:pStyle w:val="NormalWeb"/>
        <w:ind w:left="700" w:hanging="700"/>
        <w:jc w:val="both"/>
        <w:divId w:val="771971094"/>
        <w:rPr>
          <w:color w:val="000000"/>
        </w:rPr>
      </w:pPr>
      <w:hyperlink r:id="rId106" w:history="1">
        <w:r w:rsidRPr="00845A3A">
          <w:rPr>
            <w:rStyle w:val="csl-left-margin"/>
            <w:color w:val="000000"/>
          </w:rPr>
          <w:t>(40)  </w:t>
        </w:r>
        <w:r w:rsidRPr="00845A3A">
          <w:rPr>
            <w:rStyle w:val="csl-left-margin"/>
            <w:color w:val="000000"/>
          </w:rPr>
          <w:t> </w:t>
        </w:r>
        <w:r w:rsidRPr="00845A3A">
          <w:rPr>
            <w:rStyle w:val="csl-right-inline"/>
            <w:color w:val="000000"/>
          </w:rPr>
          <w:t xml:space="preserve">Gu, L.; Wang, C.; Mo, W.; Zeng, H.; Shou, C.; Yang, S.; Wen, F. High Efficiency Perovskite Solar Cells via NaCl Modified Tin Oxide Electron Transport Layer. </w:t>
        </w:r>
        <w:r w:rsidRPr="00845A3A">
          <w:rPr>
            <w:rStyle w:val="csl-right-inline"/>
            <w:i/>
            <w:iCs/>
            <w:color w:val="000000"/>
          </w:rPr>
          <w:t>Org. Electron.</w:t>
        </w:r>
        <w:r w:rsidRPr="00845A3A">
          <w:rPr>
            <w:rStyle w:val="csl-right-inline"/>
            <w:color w:val="000000"/>
          </w:rPr>
          <w:t xml:space="preserve"> </w:t>
        </w:r>
        <w:r w:rsidRPr="00845A3A">
          <w:rPr>
            <w:rStyle w:val="csl-right-inline"/>
            <w:b/>
            <w:bCs/>
            <w:color w:val="000000"/>
          </w:rPr>
          <w:t>2023</w:t>
        </w:r>
        <w:r w:rsidRPr="00845A3A">
          <w:rPr>
            <w:rStyle w:val="csl-right-inline"/>
            <w:color w:val="000000"/>
          </w:rPr>
          <w:t xml:space="preserve">, </w:t>
        </w:r>
        <w:r w:rsidRPr="00845A3A">
          <w:rPr>
            <w:rStyle w:val="csl-right-inline"/>
            <w:i/>
            <w:iCs/>
            <w:color w:val="000000"/>
          </w:rPr>
          <w:t>113</w:t>
        </w:r>
        <w:r w:rsidRPr="00845A3A">
          <w:rPr>
            <w:rStyle w:val="csl-right-inline"/>
            <w:color w:val="000000"/>
          </w:rPr>
          <w:t xml:space="preserve">, 106677. </w:t>
        </w:r>
      </w:hyperlink>
    </w:p>
    <w:p w14:paraId="2A6B87DF" w14:textId="774A2CE8" w:rsidR="00EB55F0" w:rsidRPr="00845A3A" w:rsidRDefault="00EB55F0" w:rsidP="00CC7C8B">
      <w:pPr>
        <w:pStyle w:val="NormalWeb"/>
        <w:ind w:left="700" w:hanging="700"/>
        <w:jc w:val="both"/>
        <w:divId w:val="771971094"/>
        <w:rPr>
          <w:color w:val="000000"/>
        </w:rPr>
      </w:pPr>
      <w:hyperlink r:id="rId107" w:history="1">
        <w:r w:rsidRPr="00845A3A">
          <w:rPr>
            <w:rStyle w:val="csl-left-margin"/>
            <w:color w:val="000000"/>
          </w:rPr>
          <w:t>(41)  </w:t>
        </w:r>
        <w:r w:rsidRPr="00845A3A">
          <w:rPr>
            <w:rStyle w:val="csl-left-margin"/>
            <w:color w:val="000000"/>
          </w:rPr>
          <w:t> </w:t>
        </w:r>
        <w:r w:rsidRPr="00845A3A">
          <w:rPr>
            <w:rStyle w:val="csl-right-inline"/>
            <w:color w:val="000000"/>
          </w:rPr>
          <w:t xml:space="preserve">Yokoyama, T.; Nishitani, Y.; Miyamoto, Y.; Kusumoto, S.; Uchida, R.; Matsui, T.; Kawano, K.; Sekiguchi, T.; Kaneko, Y. Improving the Open-Circuit Voltage of Sn-Based Perovskite Solar Cells by Band Alignment at the Electron Transport Layer/Perovskite Layer Interface. </w:t>
        </w:r>
        <w:r w:rsidRPr="00845A3A">
          <w:rPr>
            <w:rStyle w:val="csl-right-inline"/>
            <w:i/>
            <w:iCs/>
            <w:color w:val="000000"/>
          </w:rPr>
          <w:t>ACS Appl. Mater. Interfaces</w:t>
        </w:r>
        <w:r w:rsidRPr="00845A3A">
          <w:rPr>
            <w:rStyle w:val="csl-right-inline"/>
            <w:color w:val="000000"/>
          </w:rPr>
          <w:t xml:space="preserve"> </w:t>
        </w:r>
        <w:r w:rsidRPr="00845A3A">
          <w:rPr>
            <w:rStyle w:val="csl-right-inline"/>
            <w:b/>
            <w:bCs/>
            <w:color w:val="000000"/>
          </w:rPr>
          <w:t>2020</w:t>
        </w:r>
        <w:r w:rsidRPr="00845A3A">
          <w:rPr>
            <w:rStyle w:val="csl-right-inline"/>
            <w:color w:val="000000"/>
          </w:rPr>
          <w:t xml:space="preserve">, </w:t>
        </w:r>
        <w:r w:rsidRPr="00845A3A">
          <w:rPr>
            <w:rStyle w:val="csl-right-inline"/>
            <w:i/>
            <w:iCs/>
            <w:color w:val="000000"/>
          </w:rPr>
          <w:t>12</w:t>
        </w:r>
        <w:r w:rsidRPr="00845A3A">
          <w:rPr>
            <w:rStyle w:val="csl-right-inline"/>
            <w:color w:val="000000"/>
          </w:rPr>
          <w:t xml:space="preserve"> (24), 27131–27139. </w:t>
        </w:r>
      </w:hyperlink>
    </w:p>
    <w:p w14:paraId="7A484D9A" w14:textId="66020A18" w:rsidR="00EB55F0" w:rsidRPr="00845A3A" w:rsidRDefault="00EB55F0" w:rsidP="00CC7C8B">
      <w:pPr>
        <w:pStyle w:val="NormalWeb"/>
        <w:ind w:left="700" w:hanging="700"/>
        <w:jc w:val="both"/>
        <w:divId w:val="771971094"/>
        <w:rPr>
          <w:color w:val="000000"/>
        </w:rPr>
      </w:pPr>
      <w:hyperlink r:id="rId108" w:history="1">
        <w:r w:rsidRPr="00845A3A">
          <w:rPr>
            <w:rStyle w:val="csl-left-margin"/>
            <w:color w:val="000000"/>
          </w:rPr>
          <w:t>(42)  </w:t>
        </w:r>
        <w:r w:rsidRPr="00845A3A">
          <w:rPr>
            <w:rStyle w:val="csl-left-margin"/>
            <w:color w:val="000000"/>
          </w:rPr>
          <w:t> </w:t>
        </w:r>
        <w:r w:rsidRPr="00845A3A">
          <w:rPr>
            <w:rStyle w:val="csl-right-inline"/>
            <w:color w:val="000000"/>
          </w:rPr>
          <w:t>Li, Y.; Yao, D.; Tang, Z.; Jiang, B.; Li, C.; Gao, Y.; Tian, N.; Wang, J.; Zheng, G.; Long, F. SnO</w:t>
        </w:r>
        <w:r w:rsidRPr="00845A3A">
          <w:rPr>
            <w:rStyle w:val="csl-right-inline"/>
            <w:color w:val="000000"/>
            <w:vertAlign w:val="subscript"/>
          </w:rPr>
          <w:t>2</w:t>
        </w:r>
        <w:r w:rsidRPr="00845A3A">
          <w:rPr>
            <w:rStyle w:val="csl-right-inline"/>
            <w:color w:val="000000"/>
          </w:rPr>
          <w:t xml:space="preserve">-Perovskite Interface Engineering Based on Bifacial Passivation via Multifunctional N-(2-Acetamido)-2-Aminoethanesulfonic Acid toward Efficient and Stable Solar Cells. </w:t>
        </w:r>
        <w:r w:rsidRPr="00845A3A">
          <w:rPr>
            <w:rStyle w:val="csl-right-inline"/>
            <w:i/>
            <w:iCs/>
            <w:color w:val="000000"/>
          </w:rPr>
          <w:t>ACS Appl. Mater. Interfaces</w:t>
        </w:r>
        <w:r w:rsidRPr="00845A3A">
          <w:rPr>
            <w:rStyle w:val="csl-right-inline"/>
            <w:color w:val="000000"/>
          </w:rPr>
          <w:t xml:space="preserve"> </w:t>
        </w:r>
        <w:r w:rsidRPr="00845A3A">
          <w:rPr>
            <w:rStyle w:val="csl-right-inline"/>
            <w:b/>
            <w:bCs/>
            <w:color w:val="000000"/>
          </w:rPr>
          <w:t>2024</w:t>
        </w:r>
        <w:r w:rsidRPr="00845A3A">
          <w:rPr>
            <w:rStyle w:val="csl-right-inline"/>
            <w:color w:val="000000"/>
          </w:rPr>
          <w:t xml:space="preserve">, </w:t>
        </w:r>
        <w:r w:rsidRPr="00845A3A">
          <w:rPr>
            <w:rStyle w:val="csl-right-inline"/>
            <w:i/>
            <w:iCs/>
            <w:color w:val="000000"/>
          </w:rPr>
          <w:t>16</w:t>
        </w:r>
        <w:r w:rsidRPr="00845A3A">
          <w:rPr>
            <w:rStyle w:val="csl-right-inline"/>
            <w:color w:val="000000"/>
          </w:rPr>
          <w:t xml:space="preserve"> (7), 9388–9399.</w:t>
        </w:r>
      </w:hyperlink>
    </w:p>
    <w:p w14:paraId="42D5F3BF" w14:textId="266829BB" w:rsidR="00EB55F0" w:rsidRPr="00845A3A" w:rsidRDefault="00EB55F0" w:rsidP="00CC7C8B">
      <w:pPr>
        <w:pStyle w:val="NormalWeb"/>
        <w:ind w:left="700" w:hanging="700"/>
        <w:jc w:val="both"/>
        <w:divId w:val="771971094"/>
        <w:rPr>
          <w:color w:val="000000"/>
        </w:rPr>
      </w:pPr>
      <w:hyperlink r:id="rId109" w:history="1">
        <w:r w:rsidRPr="00845A3A">
          <w:rPr>
            <w:rStyle w:val="csl-left-margin"/>
            <w:color w:val="000000"/>
          </w:rPr>
          <w:t>(43)  </w:t>
        </w:r>
        <w:r w:rsidRPr="00845A3A">
          <w:rPr>
            <w:rStyle w:val="csl-left-margin"/>
            <w:color w:val="000000"/>
          </w:rPr>
          <w:t> </w:t>
        </w:r>
        <w:r w:rsidRPr="00845A3A">
          <w:rPr>
            <w:rStyle w:val="csl-right-inline"/>
            <w:color w:val="000000"/>
          </w:rPr>
          <w:t>Zeng, W.; He, X.; Bian, H.; Guo, P.; Wang, M.; Xu, C.; Xu, G.; Zhong, Y.; Lu, D.; Sofer, Z.; Song, Q.; Zhang, S. Multi-Functional Strategy: Ammonium Citrate-Modified SnO</w:t>
        </w:r>
        <w:r w:rsidRPr="00845A3A">
          <w:rPr>
            <w:rStyle w:val="csl-right-inline"/>
            <w:color w:val="000000"/>
            <w:vertAlign w:val="subscript"/>
          </w:rPr>
          <w:t>2</w:t>
        </w:r>
        <w:r w:rsidRPr="00845A3A">
          <w:rPr>
            <w:rStyle w:val="csl-right-inline"/>
            <w:color w:val="000000"/>
          </w:rPr>
          <w:t xml:space="preserve"> ETL for Efficient and Stable Perovskite Solar Cells. </w:t>
        </w:r>
        <w:r w:rsidRPr="00845A3A">
          <w:rPr>
            <w:rStyle w:val="csl-right-inline"/>
            <w:i/>
            <w:iCs/>
            <w:color w:val="000000"/>
          </w:rPr>
          <w:t>ACS Appl. Mater. Interfaces</w:t>
        </w:r>
        <w:r w:rsidRPr="00845A3A">
          <w:rPr>
            <w:rStyle w:val="csl-right-inline"/>
            <w:color w:val="000000"/>
          </w:rPr>
          <w:t xml:space="preserve"> </w:t>
        </w:r>
        <w:r w:rsidRPr="00845A3A">
          <w:rPr>
            <w:rStyle w:val="csl-right-inline"/>
            <w:b/>
            <w:bCs/>
            <w:color w:val="000000"/>
          </w:rPr>
          <w:t>2022</w:t>
        </w:r>
        <w:r w:rsidRPr="00845A3A">
          <w:rPr>
            <w:rStyle w:val="csl-right-inline"/>
            <w:color w:val="000000"/>
          </w:rPr>
          <w:t xml:space="preserve">, </w:t>
        </w:r>
        <w:r w:rsidRPr="00845A3A">
          <w:rPr>
            <w:rStyle w:val="csl-right-inline"/>
            <w:i/>
            <w:iCs/>
            <w:color w:val="000000"/>
          </w:rPr>
          <w:t>14</w:t>
        </w:r>
        <w:r w:rsidRPr="00845A3A">
          <w:rPr>
            <w:rStyle w:val="csl-right-inline"/>
            <w:color w:val="000000"/>
          </w:rPr>
          <w:t xml:space="preserve"> (38), 43975–43986. </w:t>
        </w:r>
      </w:hyperlink>
    </w:p>
    <w:p w14:paraId="24F4C852" w14:textId="02C3A39B" w:rsidR="00EB55F0" w:rsidRPr="00845A3A" w:rsidRDefault="00EB55F0" w:rsidP="00CC7C8B">
      <w:pPr>
        <w:pStyle w:val="NormalWeb"/>
        <w:ind w:left="700" w:hanging="700"/>
        <w:jc w:val="both"/>
        <w:divId w:val="771971094"/>
        <w:rPr>
          <w:color w:val="000000"/>
        </w:rPr>
      </w:pPr>
      <w:hyperlink r:id="rId110" w:history="1">
        <w:r w:rsidRPr="00845A3A">
          <w:rPr>
            <w:rStyle w:val="csl-left-margin"/>
            <w:color w:val="000000"/>
          </w:rPr>
          <w:t>(44)  </w:t>
        </w:r>
        <w:r w:rsidRPr="00845A3A">
          <w:rPr>
            <w:rStyle w:val="csl-left-margin"/>
            <w:color w:val="000000"/>
          </w:rPr>
          <w:t> </w:t>
        </w:r>
        <w:r w:rsidRPr="00845A3A">
          <w:rPr>
            <w:rStyle w:val="csl-right-inline"/>
            <w:color w:val="000000"/>
          </w:rPr>
          <w:t xml:space="preserve">Li, Y.; Meng, J.; Duan, P.; Wu, R.; Shi, Y.; Zhang, L.; Yan, C.; Deng, J.; Zhang, X. Transport Layer Engineering by Hydrochloric Acid for Efficient Perovskite Solar Cells with a High Open-Circuit Voltage. </w:t>
        </w:r>
        <w:r w:rsidRPr="00845A3A">
          <w:rPr>
            <w:rStyle w:val="csl-right-inline"/>
            <w:i/>
            <w:iCs/>
            <w:color w:val="000000"/>
          </w:rPr>
          <w:t>ACS Appl. Mater. Interfaces</w:t>
        </w:r>
        <w:r w:rsidRPr="00845A3A">
          <w:rPr>
            <w:rStyle w:val="csl-right-inline"/>
            <w:color w:val="000000"/>
          </w:rPr>
          <w:t xml:space="preserve"> </w:t>
        </w:r>
        <w:r w:rsidRPr="00845A3A">
          <w:rPr>
            <w:rStyle w:val="csl-right-inline"/>
            <w:b/>
            <w:bCs/>
            <w:color w:val="000000"/>
          </w:rPr>
          <w:t>2023</w:t>
        </w:r>
        <w:r w:rsidRPr="00845A3A">
          <w:rPr>
            <w:rStyle w:val="csl-right-inline"/>
            <w:color w:val="000000"/>
          </w:rPr>
          <w:t xml:space="preserve">, </w:t>
        </w:r>
        <w:r w:rsidRPr="00845A3A">
          <w:rPr>
            <w:rStyle w:val="csl-right-inline"/>
            <w:i/>
            <w:iCs/>
            <w:color w:val="000000"/>
          </w:rPr>
          <w:t>15</w:t>
        </w:r>
        <w:r w:rsidRPr="00845A3A">
          <w:rPr>
            <w:rStyle w:val="csl-right-inline"/>
            <w:color w:val="000000"/>
          </w:rPr>
          <w:t xml:space="preserve"> (19), 23208–23216. </w:t>
        </w:r>
      </w:hyperlink>
    </w:p>
    <w:p w14:paraId="5DB5B4C6" w14:textId="252B21FD" w:rsidR="00EB55F0" w:rsidRPr="00845A3A" w:rsidRDefault="00EB55F0" w:rsidP="00CC7C8B">
      <w:pPr>
        <w:pStyle w:val="NormalWeb"/>
        <w:ind w:left="700" w:hanging="700"/>
        <w:jc w:val="both"/>
        <w:divId w:val="771971094"/>
        <w:rPr>
          <w:color w:val="000000"/>
        </w:rPr>
      </w:pPr>
      <w:hyperlink r:id="rId111" w:history="1">
        <w:r w:rsidRPr="00845A3A">
          <w:rPr>
            <w:rStyle w:val="csl-left-margin"/>
            <w:color w:val="000000"/>
          </w:rPr>
          <w:t>(45)  </w:t>
        </w:r>
        <w:r w:rsidRPr="00845A3A">
          <w:rPr>
            <w:rStyle w:val="csl-left-margin"/>
            <w:color w:val="000000"/>
          </w:rPr>
          <w:t> </w:t>
        </w:r>
        <w:r w:rsidRPr="00845A3A">
          <w:rPr>
            <w:rStyle w:val="csl-right-inline"/>
            <w:color w:val="000000"/>
          </w:rPr>
          <w:t>Liu, D.; Zhang, W.; Ren, Z.; Li, X. Yb-Doped SnO</w:t>
        </w:r>
        <w:r w:rsidRPr="00845A3A">
          <w:rPr>
            <w:rStyle w:val="csl-right-inline"/>
            <w:color w:val="000000"/>
            <w:vertAlign w:val="subscript"/>
          </w:rPr>
          <w:t>2</w:t>
        </w:r>
        <w:r w:rsidRPr="00845A3A">
          <w:rPr>
            <w:rStyle w:val="csl-right-inline"/>
            <w:color w:val="000000"/>
          </w:rPr>
          <w:t xml:space="preserve"> Electron Transfer Layer Assisting the Fabrication of High-Efficiency and Stable Perovskite Solar Cells in Air. </w:t>
        </w:r>
        <w:r w:rsidRPr="00845A3A">
          <w:rPr>
            <w:rStyle w:val="csl-right-inline"/>
            <w:i/>
            <w:iCs/>
            <w:color w:val="000000"/>
          </w:rPr>
          <w:t>RSC Adv.</w:t>
        </w:r>
        <w:r w:rsidRPr="00845A3A">
          <w:rPr>
            <w:rStyle w:val="csl-right-inline"/>
            <w:color w:val="000000"/>
          </w:rPr>
          <w:t xml:space="preserve"> </w:t>
        </w:r>
        <w:r w:rsidRPr="00845A3A">
          <w:rPr>
            <w:rStyle w:val="csl-right-inline"/>
            <w:b/>
            <w:bCs/>
            <w:color w:val="000000"/>
          </w:rPr>
          <w:t>2022</w:t>
        </w:r>
        <w:r w:rsidRPr="00845A3A">
          <w:rPr>
            <w:rStyle w:val="csl-right-inline"/>
            <w:color w:val="000000"/>
          </w:rPr>
          <w:t xml:space="preserve">, </w:t>
        </w:r>
        <w:r w:rsidRPr="00845A3A">
          <w:rPr>
            <w:rStyle w:val="csl-right-inline"/>
            <w:i/>
            <w:iCs/>
            <w:color w:val="000000"/>
          </w:rPr>
          <w:t>12</w:t>
        </w:r>
        <w:r w:rsidRPr="00845A3A">
          <w:rPr>
            <w:rStyle w:val="csl-right-inline"/>
            <w:color w:val="000000"/>
          </w:rPr>
          <w:t xml:space="preserve"> (23), 14631–14638. </w:t>
        </w:r>
      </w:hyperlink>
    </w:p>
    <w:p w14:paraId="1EE4F89B" w14:textId="1A60AF7A" w:rsidR="00EB55F0" w:rsidRPr="00845A3A" w:rsidRDefault="00EB55F0" w:rsidP="00CC7C8B">
      <w:pPr>
        <w:pStyle w:val="NormalWeb"/>
        <w:ind w:left="700" w:hanging="700"/>
        <w:jc w:val="both"/>
        <w:divId w:val="771971094"/>
        <w:rPr>
          <w:color w:val="000000"/>
        </w:rPr>
      </w:pPr>
      <w:hyperlink r:id="rId112" w:history="1">
        <w:r w:rsidRPr="00845A3A">
          <w:rPr>
            <w:rStyle w:val="csl-left-margin"/>
            <w:color w:val="000000"/>
          </w:rPr>
          <w:t>(46)  </w:t>
        </w:r>
        <w:r w:rsidRPr="00845A3A">
          <w:rPr>
            <w:rStyle w:val="csl-left-margin"/>
            <w:color w:val="000000"/>
          </w:rPr>
          <w:t> </w:t>
        </w:r>
        <w:r w:rsidRPr="00845A3A">
          <w:rPr>
            <w:rStyle w:val="csl-right-inline"/>
            <w:color w:val="000000"/>
          </w:rPr>
          <w:t>Jia, J.; Dong, J.; Wu, J.; Wei, H.; Cao, B. Combustion Procedure Deposited SnO</w:t>
        </w:r>
        <w:r w:rsidRPr="00845A3A">
          <w:rPr>
            <w:rStyle w:val="csl-right-inline"/>
            <w:color w:val="000000"/>
            <w:vertAlign w:val="subscript"/>
          </w:rPr>
          <w:t>2</w:t>
        </w:r>
        <w:r w:rsidRPr="00845A3A">
          <w:rPr>
            <w:rStyle w:val="csl-right-inline"/>
            <w:color w:val="000000"/>
          </w:rPr>
          <w:t xml:space="preserve"> Electron Transport Layers for </w:t>
        </w:r>
        <w:proofErr w:type="gramStart"/>
        <w:r w:rsidRPr="00845A3A">
          <w:rPr>
            <w:rStyle w:val="csl-right-inline"/>
            <w:color w:val="000000"/>
          </w:rPr>
          <w:t>High</w:t>
        </w:r>
        <w:proofErr w:type="gramEnd"/>
        <w:r w:rsidRPr="00845A3A">
          <w:rPr>
            <w:rStyle w:val="csl-right-inline"/>
            <w:color w:val="000000"/>
          </w:rPr>
          <w:t xml:space="preserve"> Efficient Perovskite Solar Cells. </w:t>
        </w:r>
        <w:r w:rsidRPr="00845A3A">
          <w:rPr>
            <w:rStyle w:val="csl-right-inline"/>
            <w:i/>
            <w:iCs/>
            <w:color w:val="000000"/>
          </w:rPr>
          <w:t>J</w:t>
        </w:r>
        <w:r w:rsidR="0057332E" w:rsidRPr="00845A3A">
          <w:rPr>
            <w:rStyle w:val="csl-right-inline"/>
            <w:i/>
            <w:iCs/>
            <w:color w:val="000000"/>
          </w:rPr>
          <w:t>.</w:t>
        </w:r>
        <w:r w:rsidRPr="00845A3A">
          <w:rPr>
            <w:rStyle w:val="csl-right-inline"/>
            <w:i/>
            <w:iCs/>
            <w:color w:val="000000"/>
          </w:rPr>
          <w:t xml:space="preserve"> Alloys</w:t>
        </w:r>
        <w:r w:rsidR="0057332E" w:rsidRPr="00845A3A">
          <w:rPr>
            <w:rStyle w:val="csl-right-inline"/>
            <w:i/>
            <w:iCs/>
            <w:color w:val="000000"/>
          </w:rPr>
          <w:t>.</w:t>
        </w:r>
        <w:r w:rsidRPr="00845A3A">
          <w:rPr>
            <w:rStyle w:val="csl-right-inline"/>
            <w:i/>
            <w:iCs/>
            <w:color w:val="000000"/>
          </w:rPr>
          <w:t xml:space="preserve"> Compd</w:t>
        </w:r>
        <w:r w:rsidR="0057332E" w:rsidRPr="00845A3A">
          <w:rPr>
            <w:rStyle w:val="csl-right-inline"/>
            <w:i/>
            <w:iCs/>
            <w:color w:val="000000"/>
          </w:rPr>
          <w:t>.</w:t>
        </w:r>
        <w:r w:rsidRPr="00845A3A">
          <w:rPr>
            <w:rStyle w:val="csl-right-inline"/>
            <w:color w:val="000000"/>
          </w:rPr>
          <w:t xml:space="preserve"> </w:t>
        </w:r>
        <w:r w:rsidRPr="00845A3A">
          <w:rPr>
            <w:rStyle w:val="csl-right-inline"/>
            <w:b/>
            <w:bCs/>
            <w:color w:val="000000"/>
          </w:rPr>
          <w:t>2020</w:t>
        </w:r>
        <w:r w:rsidRPr="00845A3A">
          <w:rPr>
            <w:rStyle w:val="csl-right-inline"/>
            <w:color w:val="000000"/>
          </w:rPr>
          <w:t xml:space="preserve">, </w:t>
        </w:r>
        <w:r w:rsidRPr="00845A3A">
          <w:rPr>
            <w:rStyle w:val="csl-right-inline"/>
            <w:i/>
            <w:iCs/>
            <w:color w:val="000000"/>
          </w:rPr>
          <w:t>844</w:t>
        </w:r>
        <w:r w:rsidRPr="00845A3A">
          <w:rPr>
            <w:rStyle w:val="csl-right-inline"/>
            <w:color w:val="000000"/>
          </w:rPr>
          <w:t xml:space="preserve">, 156032. </w:t>
        </w:r>
      </w:hyperlink>
    </w:p>
    <w:p w14:paraId="512222A2" w14:textId="3655E8A2" w:rsidR="00EB55F0" w:rsidRPr="00845A3A" w:rsidRDefault="00EB55F0" w:rsidP="00CC7C8B">
      <w:pPr>
        <w:pStyle w:val="NormalWeb"/>
        <w:ind w:left="700" w:hanging="700"/>
        <w:jc w:val="both"/>
        <w:divId w:val="771971094"/>
        <w:rPr>
          <w:color w:val="000000"/>
        </w:rPr>
      </w:pPr>
      <w:hyperlink r:id="rId113" w:history="1">
        <w:r w:rsidRPr="00845A3A">
          <w:rPr>
            <w:rStyle w:val="csl-left-margin"/>
            <w:color w:val="000000"/>
          </w:rPr>
          <w:t>(47)  </w:t>
        </w:r>
        <w:r w:rsidRPr="00845A3A">
          <w:rPr>
            <w:rStyle w:val="csl-left-margin"/>
            <w:color w:val="000000"/>
          </w:rPr>
          <w:t> </w:t>
        </w:r>
        <w:r w:rsidRPr="00845A3A">
          <w:rPr>
            <w:rStyle w:val="csl-right-inline"/>
            <w:color w:val="000000"/>
          </w:rPr>
          <w:t xml:space="preserve">Jiang, Q.; Zhao, Y.; Zhang, X.; Yang, X.; Chen, Y.; Chu, Z.; Ye, Q.; Li, X.; Yin, Z.; You, J. Surface Passivation of Perovskite Film for Efficient Solar Cells. </w:t>
        </w:r>
        <w:r w:rsidRPr="00845A3A">
          <w:rPr>
            <w:rStyle w:val="csl-right-inline"/>
            <w:i/>
            <w:iCs/>
            <w:color w:val="000000"/>
          </w:rPr>
          <w:t>Nat. Photonics</w:t>
        </w:r>
        <w:r w:rsidRPr="00845A3A">
          <w:rPr>
            <w:rStyle w:val="csl-right-inline"/>
            <w:color w:val="000000"/>
          </w:rPr>
          <w:t xml:space="preserve"> </w:t>
        </w:r>
        <w:r w:rsidRPr="00845A3A">
          <w:rPr>
            <w:rStyle w:val="csl-right-inline"/>
            <w:b/>
            <w:bCs/>
            <w:color w:val="000000"/>
          </w:rPr>
          <w:t>2019</w:t>
        </w:r>
        <w:r w:rsidRPr="00845A3A">
          <w:rPr>
            <w:rStyle w:val="csl-right-inline"/>
            <w:color w:val="000000"/>
          </w:rPr>
          <w:t xml:space="preserve">, </w:t>
        </w:r>
        <w:r w:rsidRPr="00845A3A">
          <w:rPr>
            <w:rStyle w:val="csl-right-inline"/>
            <w:i/>
            <w:iCs/>
            <w:color w:val="000000"/>
          </w:rPr>
          <w:t>13</w:t>
        </w:r>
        <w:r w:rsidRPr="00845A3A">
          <w:rPr>
            <w:rStyle w:val="csl-right-inline"/>
            <w:color w:val="000000"/>
          </w:rPr>
          <w:t xml:space="preserve"> (7), 460–466. </w:t>
        </w:r>
      </w:hyperlink>
    </w:p>
    <w:p w14:paraId="25976FE7" w14:textId="58E07784" w:rsidR="00EB55F0" w:rsidRPr="00845A3A" w:rsidRDefault="00EB55F0" w:rsidP="00CC7C8B">
      <w:pPr>
        <w:pStyle w:val="NormalWeb"/>
        <w:ind w:left="700" w:hanging="700"/>
        <w:jc w:val="both"/>
        <w:divId w:val="771971094"/>
        <w:rPr>
          <w:color w:val="000000"/>
        </w:rPr>
      </w:pPr>
      <w:hyperlink r:id="rId114" w:history="1">
        <w:r w:rsidRPr="00845A3A">
          <w:rPr>
            <w:rStyle w:val="csl-left-margin"/>
            <w:color w:val="000000"/>
          </w:rPr>
          <w:t>(48)  </w:t>
        </w:r>
        <w:r w:rsidRPr="00845A3A">
          <w:rPr>
            <w:rStyle w:val="csl-left-margin"/>
            <w:color w:val="000000"/>
          </w:rPr>
          <w:t> </w:t>
        </w:r>
        <w:r w:rsidRPr="00845A3A">
          <w:rPr>
            <w:rStyle w:val="csl-right-inline"/>
            <w:color w:val="000000"/>
          </w:rPr>
          <w:t xml:space="preserve">Yoo, H.-S.; Park, N.-G. Post-Treatment of Perovskite Film with Phenylalkylammonium Iodide for Hysteresis-Less Perovskite Solar Cells. </w:t>
        </w:r>
        <w:r w:rsidRPr="00845A3A">
          <w:rPr>
            <w:rStyle w:val="csl-right-inline"/>
            <w:i/>
            <w:iCs/>
            <w:color w:val="000000"/>
          </w:rPr>
          <w:t>Solar Energy Materials and Solar Cells</w:t>
        </w:r>
        <w:r w:rsidRPr="00845A3A">
          <w:rPr>
            <w:rStyle w:val="csl-right-inline"/>
            <w:color w:val="000000"/>
          </w:rPr>
          <w:t xml:space="preserve"> </w:t>
        </w:r>
        <w:r w:rsidRPr="00845A3A">
          <w:rPr>
            <w:rStyle w:val="csl-right-inline"/>
            <w:b/>
            <w:bCs/>
            <w:color w:val="000000"/>
          </w:rPr>
          <w:t>2018</w:t>
        </w:r>
        <w:r w:rsidRPr="00845A3A">
          <w:rPr>
            <w:rStyle w:val="csl-right-inline"/>
            <w:color w:val="000000"/>
          </w:rPr>
          <w:t xml:space="preserve">, </w:t>
        </w:r>
        <w:r w:rsidRPr="00845A3A">
          <w:rPr>
            <w:rStyle w:val="csl-right-inline"/>
            <w:i/>
            <w:iCs/>
            <w:color w:val="000000"/>
          </w:rPr>
          <w:t>179</w:t>
        </w:r>
        <w:r w:rsidRPr="00845A3A">
          <w:rPr>
            <w:rStyle w:val="csl-right-inline"/>
            <w:color w:val="000000"/>
          </w:rPr>
          <w:t xml:space="preserve">, 57–65. </w:t>
        </w:r>
      </w:hyperlink>
    </w:p>
    <w:p w14:paraId="3DACBC99" w14:textId="336F88D1" w:rsidR="00EB55F0" w:rsidRPr="00845A3A" w:rsidRDefault="00EB55F0" w:rsidP="00CC7C8B">
      <w:pPr>
        <w:pStyle w:val="NormalWeb"/>
        <w:ind w:left="700" w:hanging="700"/>
        <w:jc w:val="both"/>
        <w:divId w:val="771971094"/>
        <w:rPr>
          <w:color w:val="000000"/>
        </w:rPr>
      </w:pPr>
      <w:hyperlink r:id="rId115" w:history="1">
        <w:r w:rsidRPr="00845A3A">
          <w:rPr>
            <w:rStyle w:val="csl-left-margin"/>
            <w:color w:val="000000"/>
          </w:rPr>
          <w:t>(49)  </w:t>
        </w:r>
        <w:r w:rsidRPr="00845A3A">
          <w:rPr>
            <w:rStyle w:val="csl-left-margin"/>
            <w:color w:val="000000"/>
          </w:rPr>
          <w:t> </w:t>
        </w:r>
        <w:r w:rsidRPr="00845A3A">
          <w:rPr>
            <w:rStyle w:val="csl-right-inline"/>
            <w:color w:val="000000"/>
          </w:rPr>
          <w:t>Zhu, P.; Gu, S.; Luo, X.; Gao, Y.; Li, S.; Zhu, J.; Tan, H. Simultaneous Contact and Grain‐boundary Passivation in Planar Perovskite Solar Cells Using SnO</w:t>
        </w:r>
        <w:r w:rsidRPr="00845A3A">
          <w:rPr>
            <w:rStyle w:val="csl-right-inline"/>
            <w:color w:val="000000"/>
            <w:vertAlign w:val="subscript"/>
          </w:rPr>
          <w:t>2</w:t>
        </w:r>
        <w:r w:rsidRPr="00845A3A">
          <w:rPr>
            <w:rStyle w:val="csl-right-inline"/>
            <w:color w:val="000000"/>
          </w:rPr>
          <w:t xml:space="preserve">‐KCl Composite Electron Transport Layer. </w:t>
        </w:r>
        <w:r w:rsidRPr="00845A3A">
          <w:rPr>
            <w:rStyle w:val="csl-right-inline"/>
            <w:i/>
            <w:iCs/>
            <w:color w:val="000000"/>
          </w:rPr>
          <w:t>Adv. Energy Mater.</w:t>
        </w:r>
        <w:r w:rsidRPr="00845A3A">
          <w:rPr>
            <w:rStyle w:val="csl-right-inline"/>
            <w:color w:val="000000"/>
          </w:rPr>
          <w:t xml:space="preserve"> </w:t>
        </w:r>
        <w:r w:rsidRPr="00845A3A">
          <w:rPr>
            <w:rStyle w:val="csl-right-inline"/>
            <w:b/>
            <w:bCs/>
            <w:color w:val="000000"/>
          </w:rPr>
          <w:t>2020</w:t>
        </w:r>
        <w:r w:rsidRPr="00845A3A">
          <w:rPr>
            <w:rStyle w:val="csl-right-inline"/>
            <w:color w:val="000000"/>
          </w:rPr>
          <w:t xml:space="preserve">, </w:t>
        </w:r>
        <w:r w:rsidRPr="00845A3A">
          <w:rPr>
            <w:rStyle w:val="csl-right-inline"/>
            <w:i/>
            <w:iCs/>
            <w:color w:val="000000"/>
          </w:rPr>
          <w:t>10</w:t>
        </w:r>
        <w:r w:rsidRPr="00845A3A">
          <w:rPr>
            <w:rStyle w:val="csl-right-inline"/>
            <w:color w:val="000000"/>
          </w:rPr>
          <w:t xml:space="preserve"> (3), 1903083.</w:t>
        </w:r>
      </w:hyperlink>
    </w:p>
    <w:p w14:paraId="26CBFE98" w14:textId="59099A52" w:rsidR="00EB55F0" w:rsidRPr="00845A3A" w:rsidRDefault="00EB55F0" w:rsidP="00CC7C8B">
      <w:pPr>
        <w:pStyle w:val="NormalWeb"/>
        <w:ind w:left="700" w:hanging="700"/>
        <w:jc w:val="both"/>
        <w:divId w:val="771971094"/>
        <w:rPr>
          <w:color w:val="000000"/>
        </w:rPr>
      </w:pPr>
      <w:hyperlink r:id="rId116" w:history="1">
        <w:r w:rsidRPr="00845A3A">
          <w:rPr>
            <w:rStyle w:val="csl-left-margin"/>
            <w:color w:val="000000"/>
          </w:rPr>
          <w:t>(50)  </w:t>
        </w:r>
        <w:r w:rsidRPr="00845A3A">
          <w:rPr>
            <w:rStyle w:val="csl-left-margin"/>
            <w:color w:val="000000"/>
          </w:rPr>
          <w:t> </w:t>
        </w:r>
        <w:r w:rsidRPr="00845A3A">
          <w:rPr>
            <w:rStyle w:val="csl-right-inline"/>
            <w:color w:val="000000"/>
          </w:rPr>
          <w:t>Zhuang, J.; Mao, P.; Luan, Y.; Chen, N.; Cao, X.; Niu, G.; Jia, F.; Wang, F.; Cao, S.; Wang, J. Rubidium Fluoride Modified SnO</w:t>
        </w:r>
        <w:r w:rsidRPr="00845A3A">
          <w:rPr>
            <w:rStyle w:val="csl-right-inline"/>
            <w:color w:val="000000"/>
            <w:vertAlign w:val="subscript"/>
          </w:rPr>
          <w:t>2</w:t>
        </w:r>
        <w:r w:rsidRPr="00845A3A">
          <w:rPr>
            <w:rStyle w:val="csl-right-inline"/>
            <w:color w:val="000000"/>
          </w:rPr>
          <w:t xml:space="preserve"> for Planar </w:t>
        </w:r>
        <w:r w:rsidR="0057332E" w:rsidRPr="00845A3A">
          <w:rPr>
            <w:rStyle w:val="csl-right-inline"/>
            <w:color w:val="000000"/>
          </w:rPr>
          <w:t>n</w:t>
        </w:r>
        <w:r w:rsidRPr="00845A3A">
          <w:rPr>
            <w:rStyle w:val="csl-right-inline"/>
            <w:color w:val="000000"/>
          </w:rPr>
          <w:t xml:space="preserve">‐i‐p Perovskite Solar Cells. </w:t>
        </w:r>
        <w:r w:rsidRPr="00845A3A">
          <w:rPr>
            <w:rStyle w:val="csl-right-inline"/>
            <w:i/>
            <w:iCs/>
            <w:color w:val="000000"/>
          </w:rPr>
          <w:t>Adv. Funct. Mater.</w:t>
        </w:r>
        <w:r w:rsidRPr="00845A3A">
          <w:rPr>
            <w:rStyle w:val="csl-right-inline"/>
            <w:color w:val="000000"/>
          </w:rPr>
          <w:t xml:space="preserve"> </w:t>
        </w:r>
        <w:r w:rsidRPr="00845A3A">
          <w:rPr>
            <w:rStyle w:val="csl-right-inline"/>
            <w:b/>
            <w:bCs/>
            <w:color w:val="000000"/>
          </w:rPr>
          <w:t>2021</w:t>
        </w:r>
        <w:r w:rsidRPr="00845A3A">
          <w:rPr>
            <w:rStyle w:val="csl-right-inline"/>
            <w:color w:val="000000"/>
          </w:rPr>
          <w:t xml:space="preserve">, </w:t>
        </w:r>
        <w:r w:rsidRPr="00845A3A">
          <w:rPr>
            <w:rStyle w:val="csl-right-inline"/>
            <w:i/>
            <w:iCs/>
            <w:color w:val="000000"/>
          </w:rPr>
          <w:t>31</w:t>
        </w:r>
        <w:r w:rsidRPr="00845A3A">
          <w:rPr>
            <w:rStyle w:val="csl-right-inline"/>
            <w:color w:val="000000"/>
          </w:rPr>
          <w:t xml:space="preserve"> (17), 2010385.</w:t>
        </w:r>
      </w:hyperlink>
    </w:p>
    <w:p w14:paraId="7AF2CBDB" w14:textId="45637D95" w:rsidR="00EB55F0" w:rsidRPr="00845A3A" w:rsidRDefault="00EB55F0" w:rsidP="00CC7C8B">
      <w:pPr>
        <w:pStyle w:val="NormalWeb"/>
        <w:ind w:left="700" w:hanging="700"/>
        <w:jc w:val="both"/>
        <w:divId w:val="771971094"/>
        <w:rPr>
          <w:color w:val="000000"/>
        </w:rPr>
      </w:pPr>
      <w:hyperlink r:id="rId117" w:history="1">
        <w:r w:rsidRPr="00845A3A">
          <w:rPr>
            <w:rStyle w:val="csl-left-margin"/>
            <w:color w:val="000000"/>
          </w:rPr>
          <w:t>(51)  </w:t>
        </w:r>
        <w:r w:rsidRPr="00845A3A">
          <w:rPr>
            <w:rStyle w:val="csl-left-margin"/>
            <w:color w:val="000000"/>
          </w:rPr>
          <w:t> </w:t>
        </w:r>
        <w:r w:rsidRPr="00845A3A">
          <w:rPr>
            <w:rStyle w:val="csl-right-inline"/>
            <w:color w:val="000000"/>
          </w:rPr>
          <w:t xml:space="preserve">Sandberg, O. J.; Kurpiers, J.; Stolterfoht, M.; Neher, D.; Meredith, P.; Shoaee, S.; Armin, A. On the Question of the Need for a Built‐in Potential in Perovskite Solar Cells. </w:t>
        </w:r>
        <w:r w:rsidRPr="00845A3A">
          <w:rPr>
            <w:rStyle w:val="csl-right-inline"/>
            <w:i/>
            <w:iCs/>
            <w:color w:val="000000"/>
          </w:rPr>
          <w:t>Adv. Mater. Interfaces</w:t>
        </w:r>
        <w:r w:rsidRPr="00845A3A">
          <w:rPr>
            <w:rStyle w:val="csl-right-inline"/>
            <w:color w:val="000000"/>
          </w:rPr>
          <w:t xml:space="preserve"> </w:t>
        </w:r>
        <w:r w:rsidRPr="00845A3A">
          <w:rPr>
            <w:rStyle w:val="csl-right-inline"/>
            <w:b/>
            <w:bCs/>
            <w:color w:val="000000"/>
          </w:rPr>
          <w:t>2020</w:t>
        </w:r>
        <w:r w:rsidRPr="00845A3A">
          <w:rPr>
            <w:rStyle w:val="csl-right-inline"/>
            <w:color w:val="000000"/>
          </w:rPr>
          <w:t xml:space="preserve">, </w:t>
        </w:r>
        <w:r w:rsidRPr="00845A3A">
          <w:rPr>
            <w:rStyle w:val="csl-right-inline"/>
            <w:i/>
            <w:iCs/>
            <w:color w:val="000000"/>
          </w:rPr>
          <w:t>7</w:t>
        </w:r>
        <w:r w:rsidRPr="00845A3A">
          <w:rPr>
            <w:rStyle w:val="csl-right-inline"/>
            <w:color w:val="000000"/>
          </w:rPr>
          <w:t xml:space="preserve"> (10), 2000041.</w:t>
        </w:r>
      </w:hyperlink>
    </w:p>
    <w:p w14:paraId="4F838B11" w14:textId="4B584896" w:rsidR="00EB55F0" w:rsidRPr="00845A3A" w:rsidRDefault="00EB55F0" w:rsidP="00CC7C8B">
      <w:pPr>
        <w:pStyle w:val="NormalWeb"/>
        <w:ind w:left="700" w:hanging="700"/>
        <w:jc w:val="both"/>
        <w:divId w:val="771971094"/>
        <w:rPr>
          <w:color w:val="000000"/>
        </w:rPr>
      </w:pPr>
      <w:hyperlink r:id="rId118" w:history="1">
        <w:r w:rsidRPr="00845A3A">
          <w:rPr>
            <w:rStyle w:val="csl-left-margin"/>
            <w:color w:val="000000"/>
          </w:rPr>
          <w:t>(52)  </w:t>
        </w:r>
        <w:r w:rsidRPr="00845A3A">
          <w:rPr>
            <w:rStyle w:val="csl-left-margin"/>
            <w:color w:val="000000"/>
          </w:rPr>
          <w:t> </w:t>
        </w:r>
        <w:r w:rsidRPr="00845A3A">
          <w:rPr>
            <w:rStyle w:val="csl-right-inline"/>
            <w:color w:val="000000"/>
          </w:rPr>
          <w:t xml:space="preserve">Sonmezoglu, S.; Akin, S. Suppression of the Interface-Dependent Nonradiative Recombination by Using 2-Methylbenzimidazole as Interlayer for Highly Efficient and Stable Perovskite Solar Cells. </w:t>
        </w:r>
        <w:r w:rsidRPr="00845A3A">
          <w:rPr>
            <w:rStyle w:val="csl-right-inline"/>
            <w:i/>
            <w:iCs/>
            <w:color w:val="000000"/>
          </w:rPr>
          <w:t>Nano Energy</w:t>
        </w:r>
        <w:r w:rsidRPr="00845A3A">
          <w:rPr>
            <w:rStyle w:val="csl-right-inline"/>
            <w:color w:val="000000"/>
          </w:rPr>
          <w:t xml:space="preserve"> </w:t>
        </w:r>
        <w:r w:rsidRPr="00845A3A">
          <w:rPr>
            <w:rStyle w:val="csl-right-inline"/>
            <w:b/>
            <w:bCs/>
            <w:color w:val="000000"/>
          </w:rPr>
          <w:t>2020</w:t>
        </w:r>
        <w:r w:rsidRPr="00845A3A">
          <w:rPr>
            <w:rStyle w:val="csl-right-inline"/>
            <w:color w:val="000000"/>
          </w:rPr>
          <w:t xml:space="preserve">, </w:t>
        </w:r>
        <w:r w:rsidRPr="00845A3A">
          <w:rPr>
            <w:rStyle w:val="csl-right-inline"/>
            <w:i/>
            <w:iCs/>
            <w:color w:val="000000"/>
          </w:rPr>
          <w:t>76</w:t>
        </w:r>
        <w:r w:rsidRPr="00845A3A">
          <w:rPr>
            <w:rStyle w:val="csl-right-inline"/>
            <w:color w:val="000000"/>
          </w:rPr>
          <w:t>, 105127.</w:t>
        </w:r>
      </w:hyperlink>
    </w:p>
    <w:p w14:paraId="047AE46B" w14:textId="2459A9F2" w:rsidR="00EB55F0" w:rsidRPr="00845A3A" w:rsidRDefault="00EB55F0" w:rsidP="00CC7C8B">
      <w:pPr>
        <w:pStyle w:val="NormalWeb"/>
        <w:ind w:left="700" w:hanging="700"/>
        <w:jc w:val="both"/>
        <w:divId w:val="771971094"/>
        <w:rPr>
          <w:color w:val="000000"/>
        </w:rPr>
      </w:pPr>
      <w:hyperlink r:id="rId119" w:history="1">
        <w:r w:rsidRPr="00845A3A">
          <w:rPr>
            <w:rStyle w:val="csl-left-margin"/>
            <w:color w:val="000000"/>
          </w:rPr>
          <w:t>(53)  </w:t>
        </w:r>
        <w:r w:rsidRPr="00845A3A">
          <w:rPr>
            <w:rStyle w:val="csl-left-margin"/>
            <w:color w:val="000000"/>
          </w:rPr>
          <w:t> </w:t>
        </w:r>
        <w:r w:rsidRPr="00845A3A">
          <w:rPr>
            <w:rStyle w:val="csl-right-inline"/>
            <w:color w:val="000000"/>
          </w:rPr>
          <w:t>Bu, T.; Li, J.; Zheng, F.; Chen, W.; Wen, X.; Ku, Z.; Peng, Y.; Zhong, J.; Cheng, Y.-B.; Huang, F. Universal Passivation Strategy to Slot-Die Printed SnO</w:t>
        </w:r>
        <w:r w:rsidRPr="00845A3A">
          <w:rPr>
            <w:rStyle w:val="csl-right-inline"/>
            <w:color w:val="000000"/>
            <w:vertAlign w:val="subscript"/>
          </w:rPr>
          <w:t>2</w:t>
        </w:r>
        <w:r w:rsidRPr="00845A3A">
          <w:rPr>
            <w:rStyle w:val="csl-right-inline"/>
            <w:color w:val="000000"/>
          </w:rPr>
          <w:t xml:space="preserve"> for Hysteresis-Free Efficient Flexible Perovskite Solar Module. </w:t>
        </w:r>
        <w:r w:rsidRPr="00845A3A">
          <w:rPr>
            <w:rStyle w:val="csl-right-inline"/>
            <w:i/>
            <w:iCs/>
            <w:color w:val="000000"/>
          </w:rPr>
          <w:t>Nat. Commun.</w:t>
        </w:r>
        <w:r w:rsidRPr="00845A3A">
          <w:rPr>
            <w:rStyle w:val="csl-right-inline"/>
            <w:color w:val="000000"/>
          </w:rPr>
          <w:t xml:space="preserve"> </w:t>
        </w:r>
        <w:r w:rsidRPr="00845A3A">
          <w:rPr>
            <w:rStyle w:val="csl-right-inline"/>
            <w:b/>
            <w:bCs/>
            <w:color w:val="000000"/>
          </w:rPr>
          <w:t>2018</w:t>
        </w:r>
        <w:r w:rsidRPr="00845A3A">
          <w:rPr>
            <w:rStyle w:val="csl-right-inline"/>
            <w:color w:val="000000"/>
          </w:rPr>
          <w:t xml:space="preserve">, </w:t>
        </w:r>
        <w:r w:rsidRPr="00845A3A">
          <w:rPr>
            <w:rStyle w:val="csl-right-inline"/>
            <w:i/>
            <w:iCs/>
            <w:color w:val="000000"/>
          </w:rPr>
          <w:t>9</w:t>
        </w:r>
        <w:r w:rsidRPr="00845A3A">
          <w:rPr>
            <w:rStyle w:val="csl-right-inline"/>
            <w:color w:val="000000"/>
          </w:rPr>
          <w:t xml:space="preserve"> (1), 4609.</w:t>
        </w:r>
      </w:hyperlink>
    </w:p>
    <w:p w14:paraId="79999D28" w14:textId="193C7B88" w:rsidR="00EB55F0" w:rsidRPr="00845A3A" w:rsidRDefault="00EB55F0" w:rsidP="00CC7C8B">
      <w:pPr>
        <w:pStyle w:val="NormalWeb"/>
        <w:ind w:left="700" w:hanging="700"/>
        <w:jc w:val="both"/>
        <w:divId w:val="771971094"/>
        <w:rPr>
          <w:color w:val="000000"/>
        </w:rPr>
      </w:pPr>
      <w:hyperlink r:id="rId120" w:history="1">
        <w:r w:rsidRPr="00845A3A">
          <w:rPr>
            <w:rStyle w:val="csl-left-margin"/>
            <w:color w:val="000000"/>
          </w:rPr>
          <w:t>(54)  </w:t>
        </w:r>
        <w:r w:rsidRPr="00845A3A">
          <w:rPr>
            <w:rStyle w:val="csl-left-margin"/>
            <w:color w:val="000000"/>
          </w:rPr>
          <w:t> </w:t>
        </w:r>
        <w:r w:rsidRPr="00845A3A">
          <w:rPr>
            <w:rStyle w:val="csl-right-inline"/>
            <w:color w:val="000000"/>
          </w:rPr>
          <w:t>Karim, M. A.; Matsuishi, K.; Kayesh, M. E.; He, Y.; Islam, A. Inhibition of Sn</w:t>
        </w:r>
        <w:r w:rsidRPr="00845A3A">
          <w:rPr>
            <w:rStyle w:val="csl-right-inline"/>
            <w:color w:val="000000"/>
            <w:vertAlign w:val="superscript"/>
          </w:rPr>
          <w:t>2+</w:t>
        </w:r>
        <w:r w:rsidRPr="00845A3A">
          <w:rPr>
            <w:rStyle w:val="csl-right-inline"/>
            <w:color w:val="000000"/>
          </w:rPr>
          <w:t xml:space="preserve"> Oxidation in FASnI</w:t>
        </w:r>
        <w:r w:rsidRPr="00845A3A">
          <w:rPr>
            <w:rStyle w:val="csl-right-inline"/>
            <w:color w:val="000000"/>
            <w:vertAlign w:val="subscript"/>
          </w:rPr>
          <w:t>3</w:t>
        </w:r>
        <w:r w:rsidRPr="00845A3A">
          <w:rPr>
            <w:rStyle w:val="csl-right-inline"/>
            <w:color w:val="000000"/>
          </w:rPr>
          <w:t xml:space="preserve"> Perovskite Precursor Solution and Enhanced Stability of Perovskite Solar Cells by Reductive Additive. </w:t>
        </w:r>
        <w:r w:rsidRPr="00845A3A">
          <w:rPr>
            <w:rStyle w:val="csl-right-inline"/>
            <w:i/>
            <w:iCs/>
            <w:color w:val="000000"/>
          </w:rPr>
          <w:t>ACS Appl. Mater. Interfaces</w:t>
        </w:r>
        <w:r w:rsidRPr="00845A3A">
          <w:rPr>
            <w:rStyle w:val="csl-right-inline"/>
            <w:color w:val="000000"/>
          </w:rPr>
          <w:t xml:space="preserve"> </w:t>
        </w:r>
        <w:r w:rsidRPr="00845A3A">
          <w:rPr>
            <w:rStyle w:val="csl-right-inline"/>
            <w:b/>
            <w:bCs/>
            <w:color w:val="000000"/>
          </w:rPr>
          <w:t>2023</w:t>
        </w:r>
        <w:r w:rsidRPr="00845A3A">
          <w:rPr>
            <w:rStyle w:val="csl-right-inline"/>
            <w:color w:val="000000"/>
          </w:rPr>
          <w:t xml:space="preserve">, </w:t>
        </w:r>
        <w:r w:rsidRPr="00845A3A">
          <w:rPr>
            <w:rStyle w:val="csl-right-inline"/>
            <w:i/>
            <w:iCs/>
            <w:color w:val="000000"/>
          </w:rPr>
          <w:t>15</w:t>
        </w:r>
        <w:r w:rsidRPr="00845A3A">
          <w:rPr>
            <w:rStyle w:val="csl-right-inline"/>
            <w:color w:val="000000"/>
          </w:rPr>
          <w:t xml:space="preserve"> (39), 45823–45833.</w:t>
        </w:r>
      </w:hyperlink>
    </w:p>
    <w:p w14:paraId="1F9DF5F4" w14:textId="77777777" w:rsidR="00225552" w:rsidRDefault="00EB55F0" w:rsidP="00225552">
      <w:pPr>
        <w:spacing w:line="240" w:lineRule="auto"/>
        <w:ind w:left="700" w:hanging="700"/>
        <w:jc w:val="both"/>
        <w:rPr>
          <w:rFonts w:ascii="Calibri" w:hAnsi="Calibri" w:cs="Calibri"/>
          <w:color w:val="000000"/>
          <w:sz w:val="24"/>
        </w:rPr>
      </w:pPr>
      <w:hyperlink r:id="rId121" w:history="1">
        <w:r w:rsidRPr="00845A3A">
          <w:rPr>
            <w:rStyle w:val="csl-left-margin"/>
            <w:rFonts w:ascii="Times New Roman" w:hAnsi="Times New Roman" w:cs="Times New Roman"/>
            <w:color w:val="000000"/>
            <w:sz w:val="24"/>
            <w:szCs w:val="24"/>
          </w:rPr>
          <w:t>(55)  </w:t>
        </w:r>
        <w:r w:rsidRPr="00845A3A">
          <w:rPr>
            <w:rStyle w:val="csl-left-margin"/>
            <w:rFonts w:ascii="Times New Roman" w:hAnsi="Times New Roman" w:cs="Times New Roman"/>
            <w:color w:val="000000"/>
            <w:sz w:val="24"/>
            <w:szCs w:val="24"/>
          </w:rPr>
          <w:t> </w:t>
        </w:r>
        <w:r w:rsidRPr="00845A3A">
          <w:rPr>
            <w:rStyle w:val="csl-right-inline"/>
            <w:rFonts w:ascii="Times New Roman" w:hAnsi="Times New Roman" w:cs="Times New Roman"/>
            <w:color w:val="000000"/>
            <w:sz w:val="24"/>
            <w:szCs w:val="24"/>
          </w:rPr>
          <w:t xml:space="preserve">Abdel-Shakour, M.; Chowdhury, T. H.; Matsuishi, K.; Karim, Md. A.; He, Y.; Moritomo, Y.; Islam, A. Diaminomaleonitrile Lewis Base Additive for Push–Pull Electron Extraction for Efficient and Stable Tin-Based Perovskite Solar Cells. </w:t>
        </w:r>
        <w:r w:rsidRPr="00845A3A">
          <w:rPr>
            <w:rStyle w:val="csl-right-inline"/>
            <w:rFonts w:ascii="Times New Roman" w:hAnsi="Times New Roman" w:cs="Times New Roman"/>
            <w:i/>
            <w:iCs/>
            <w:color w:val="000000"/>
            <w:sz w:val="24"/>
            <w:szCs w:val="24"/>
          </w:rPr>
          <w:t>ACS Appl. Energy Mater.</w:t>
        </w:r>
        <w:r w:rsidRPr="00845A3A">
          <w:rPr>
            <w:rStyle w:val="csl-right-inline"/>
            <w:rFonts w:ascii="Times New Roman" w:hAnsi="Times New Roman" w:cs="Times New Roman"/>
            <w:color w:val="000000"/>
            <w:sz w:val="24"/>
            <w:szCs w:val="24"/>
          </w:rPr>
          <w:t xml:space="preserve"> </w:t>
        </w:r>
        <w:r w:rsidRPr="00845A3A">
          <w:rPr>
            <w:rStyle w:val="csl-right-inline"/>
            <w:rFonts w:ascii="Times New Roman" w:hAnsi="Times New Roman" w:cs="Times New Roman"/>
            <w:b/>
            <w:bCs/>
            <w:color w:val="000000"/>
            <w:sz w:val="24"/>
            <w:szCs w:val="24"/>
          </w:rPr>
          <w:t>2021</w:t>
        </w:r>
        <w:r w:rsidRPr="00845A3A">
          <w:rPr>
            <w:rStyle w:val="csl-right-inline"/>
            <w:rFonts w:ascii="Times New Roman" w:hAnsi="Times New Roman" w:cs="Times New Roman"/>
            <w:color w:val="000000"/>
            <w:sz w:val="24"/>
            <w:szCs w:val="24"/>
          </w:rPr>
          <w:t xml:space="preserve">, </w:t>
        </w:r>
        <w:r w:rsidRPr="00845A3A">
          <w:rPr>
            <w:rStyle w:val="csl-right-inline"/>
            <w:rFonts w:ascii="Times New Roman" w:hAnsi="Times New Roman" w:cs="Times New Roman"/>
            <w:i/>
            <w:iCs/>
            <w:color w:val="000000"/>
            <w:sz w:val="24"/>
            <w:szCs w:val="24"/>
          </w:rPr>
          <w:t>4</w:t>
        </w:r>
        <w:r w:rsidRPr="00845A3A">
          <w:rPr>
            <w:rStyle w:val="csl-right-inline"/>
            <w:rFonts w:ascii="Times New Roman" w:hAnsi="Times New Roman" w:cs="Times New Roman"/>
            <w:color w:val="000000"/>
            <w:sz w:val="24"/>
            <w:szCs w:val="24"/>
          </w:rPr>
          <w:t xml:space="preserve"> (11), 12515–12524.</w:t>
        </w:r>
      </w:hyperlink>
      <w:r w:rsidRPr="00845A3A">
        <w:rPr>
          <w:rFonts w:ascii="Calibri" w:hAnsi="Calibri" w:cs="Calibri"/>
          <w:color w:val="000000"/>
          <w:sz w:val="24"/>
        </w:rPr>
        <w:t xml:space="preserve"> </w:t>
      </w:r>
      <w:r w:rsidRPr="00845A3A">
        <w:rPr>
          <w:rFonts w:ascii="Calibri" w:hAnsi="Calibri" w:cs="Calibri"/>
          <w:color w:val="000000"/>
          <w:sz w:val="24"/>
        </w:rPr>
        <w:br w:type="column"/>
      </w:r>
    </w:p>
    <w:p w14:paraId="1E699FCC" w14:textId="2BE5BAD2" w:rsidR="00EB55F0" w:rsidRPr="00225552" w:rsidRDefault="00EB55F0" w:rsidP="00225552">
      <w:pPr>
        <w:spacing w:line="240" w:lineRule="auto"/>
        <w:ind w:left="700" w:hanging="700"/>
        <w:jc w:val="both"/>
        <w:rPr>
          <w:rFonts w:ascii="Times New Roman" w:hAnsi="Times New Roman" w:cs="Times New Roman"/>
          <w:b/>
          <w:bCs/>
          <w:sz w:val="28"/>
          <w:szCs w:val="28"/>
        </w:rPr>
      </w:pPr>
      <w:r w:rsidRPr="00845A3A">
        <w:rPr>
          <w:rFonts w:ascii="Times New Roman" w:hAnsi="Times New Roman" w:cs="Times New Roman"/>
          <w:b/>
          <w:bCs/>
          <w:sz w:val="28"/>
          <w:szCs w:val="28"/>
        </w:rPr>
        <w:t>Table of Contents</w:t>
      </w:r>
    </w:p>
    <w:p w14:paraId="5524232F" w14:textId="77777777" w:rsidR="00EB55F0" w:rsidRPr="00580EDF" w:rsidRDefault="00EB55F0" w:rsidP="00A751D7">
      <w:pPr>
        <w:spacing w:before="240"/>
        <w:rPr>
          <w:rFonts w:ascii="Calibri" w:eastAsia="Times New Roman" w:hAnsi="Calibri" w:cs="Calibri"/>
          <w:color w:val="000000"/>
          <w:kern w:val="0"/>
          <w:sz w:val="24"/>
          <w:szCs w:val="24"/>
          <w14:ligatures w14:val="none"/>
        </w:rPr>
      </w:pPr>
      <w:r w:rsidRPr="00845A3A">
        <w:rPr>
          <w:noProof/>
        </w:rPr>
        <w:drawing>
          <wp:inline distT="0" distB="0" distL="0" distR="0" wp14:anchorId="3AE84753" wp14:editId="7C050939">
            <wp:extent cx="2971800" cy="1600200"/>
            <wp:effectExtent l="0" t="0" r="0" b="0"/>
            <wp:docPr id="1079911947" name="Picture 1" descr="A diagram of a vol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911947" name="Picture 1" descr="A diagram of a voltage&#10;&#10;Description automatically generated"/>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971800" cy="1600200"/>
                    </a:xfrm>
                    <a:prstGeom prst="rect">
                      <a:avLst/>
                    </a:prstGeom>
                    <a:noFill/>
                    <a:ln>
                      <a:noFill/>
                    </a:ln>
                  </pic:spPr>
                </pic:pic>
              </a:graphicData>
            </a:graphic>
          </wp:inline>
        </w:drawing>
      </w:r>
    </w:p>
    <w:p w14:paraId="6666A640" w14:textId="77777777" w:rsidR="00EB55F0" w:rsidRPr="00254BC7" w:rsidRDefault="00EB55F0" w:rsidP="00580EDF">
      <w:pPr>
        <w:spacing w:line="240" w:lineRule="auto"/>
        <w:ind w:left="700" w:hanging="700"/>
        <w:rPr>
          <w:sz w:val="24"/>
          <w:szCs w:val="24"/>
        </w:rPr>
      </w:pPr>
    </w:p>
    <w:sectPr w:rsidR="00EB55F0" w:rsidRPr="00254BC7" w:rsidSect="003816E4">
      <w:footerReference w:type="default" r:id="rId123"/>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FD6795" w14:textId="77777777" w:rsidR="000F1341" w:rsidRDefault="000F1341" w:rsidP="00BA598B">
      <w:pPr>
        <w:spacing w:after="0" w:line="240" w:lineRule="auto"/>
      </w:pPr>
      <w:r>
        <w:separator/>
      </w:r>
    </w:p>
  </w:endnote>
  <w:endnote w:type="continuationSeparator" w:id="0">
    <w:p w14:paraId="7E5966C2" w14:textId="77777777" w:rsidR="000F1341" w:rsidRDefault="000F1341" w:rsidP="00BA598B">
      <w:pPr>
        <w:spacing w:after="0" w:line="240" w:lineRule="auto"/>
      </w:pPr>
      <w:r>
        <w:continuationSeparator/>
      </w:r>
    </w:p>
  </w:endnote>
  <w:endnote w:type="continuationNotice" w:id="1">
    <w:p w14:paraId="07721B56" w14:textId="77777777" w:rsidR="000F1341" w:rsidRDefault="000F13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67172F" w14:textId="77777777" w:rsidR="00F44EF9" w:rsidRPr="00787CD5" w:rsidRDefault="00F44EF9">
    <w:pPr>
      <w:pStyle w:val="Footer"/>
      <w:tabs>
        <w:tab w:val="clear" w:pos="4680"/>
        <w:tab w:val="clear" w:pos="9360"/>
      </w:tabs>
      <w:jc w:val="center"/>
      <w:rPr>
        <w:rFonts w:ascii="Times New Roman" w:hAnsi="Times New Roman" w:cs="Times New Roman"/>
        <w:caps/>
        <w:noProof/>
      </w:rPr>
    </w:pPr>
    <w:r w:rsidRPr="00787CD5">
      <w:rPr>
        <w:rFonts w:ascii="Times New Roman" w:hAnsi="Times New Roman" w:cs="Times New Roman"/>
        <w:caps/>
      </w:rPr>
      <w:fldChar w:fldCharType="begin"/>
    </w:r>
    <w:r w:rsidRPr="00787CD5">
      <w:rPr>
        <w:rFonts w:ascii="Times New Roman" w:hAnsi="Times New Roman" w:cs="Times New Roman"/>
        <w:caps/>
      </w:rPr>
      <w:instrText xml:space="preserve"> PAGE   \* MERGEFORMAT </w:instrText>
    </w:r>
    <w:r w:rsidRPr="00787CD5">
      <w:rPr>
        <w:rFonts w:ascii="Times New Roman" w:hAnsi="Times New Roman" w:cs="Times New Roman"/>
        <w:caps/>
      </w:rPr>
      <w:fldChar w:fldCharType="separate"/>
    </w:r>
    <w:r w:rsidRPr="00787CD5">
      <w:rPr>
        <w:rFonts w:ascii="Times New Roman" w:hAnsi="Times New Roman" w:cs="Times New Roman"/>
        <w:caps/>
        <w:noProof/>
      </w:rPr>
      <w:t>2</w:t>
    </w:r>
    <w:r w:rsidRPr="00787CD5">
      <w:rPr>
        <w:rFonts w:ascii="Times New Roman" w:hAnsi="Times New Roman" w:cs="Times New Roman"/>
        <w:caps/>
        <w:noProof/>
      </w:rPr>
      <w:fldChar w:fldCharType="end"/>
    </w:r>
  </w:p>
  <w:p w14:paraId="0FF12952" w14:textId="77777777" w:rsidR="00F44EF9" w:rsidRPr="00787CD5" w:rsidRDefault="00F44EF9">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A63BE7" w14:textId="77777777" w:rsidR="000F1341" w:rsidRDefault="000F1341" w:rsidP="00BA598B">
      <w:pPr>
        <w:spacing w:after="0" w:line="240" w:lineRule="auto"/>
      </w:pPr>
      <w:r>
        <w:separator/>
      </w:r>
    </w:p>
  </w:footnote>
  <w:footnote w:type="continuationSeparator" w:id="0">
    <w:p w14:paraId="3CEED49B" w14:textId="77777777" w:rsidR="000F1341" w:rsidRDefault="000F1341" w:rsidP="00BA598B">
      <w:pPr>
        <w:spacing w:after="0" w:line="240" w:lineRule="auto"/>
      </w:pPr>
      <w:r>
        <w:continuationSeparator/>
      </w:r>
    </w:p>
  </w:footnote>
  <w:footnote w:type="continuationNotice" w:id="1">
    <w:p w14:paraId="285C3969" w14:textId="77777777" w:rsidR="000F1341" w:rsidRDefault="000F134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94666"/>
    <w:multiLevelType w:val="hybridMultilevel"/>
    <w:tmpl w:val="35649EB2"/>
    <w:lvl w:ilvl="0" w:tplc="13F62692">
      <w:start w:val="22"/>
      <w:numFmt w:val="decimal"/>
      <w:lvlText w:val="%1."/>
      <w:lvlJc w:val="left"/>
      <w:pPr>
        <w:ind w:left="720" w:hanging="360"/>
      </w:pPr>
      <w:rPr>
        <w:rFonts w:eastAsia="Times New Roman" w:hint="default"/>
        <w:b w:val="0"/>
        <w:color w:val="00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79946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I0BFIgbGFhaKCkoxScWlycmZ8HUmBoUQsAYyhzBy0AAAA="/>
  </w:docVars>
  <w:rsids>
    <w:rsidRoot w:val="00B75046"/>
    <w:rsid w:val="00000882"/>
    <w:rsid w:val="000009E6"/>
    <w:rsid w:val="00001015"/>
    <w:rsid w:val="00001B30"/>
    <w:rsid w:val="00002B9E"/>
    <w:rsid w:val="00002E66"/>
    <w:rsid w:val="00003CE2"/>
    <w:rsid w:val="00003E62"/>
    <w:rsid w:val="0000412E"/>
    <w:rsid w:val="00004805"/>
    <w:rsid w:val="00004A3B"/>
    <w:rsid w:val="00005101"/>
    <w:rsid w:val="00005632"/>
    <w:rsid w:val="00006309"/>
    <w:rsid w:val="00006DA0"/>
    <w:rsid w:val="000070BF"/>
    <w:rsid w:val="00007262"/>
    <w:rsid w:val="00007EC1"/>
    <w:rsid w:val="00010329"/>
    <w:rsid w:val="0001032F"/>
    <w:rsid w:val="000105E4"/>
    <w:rsid w:val="00010753"/>
    <w:rsid w:val="000108E9"/>
    <w:rsid w:val="0001109A"/>
    <w:rsid w:val="0001178D"/>
    <w:rsid w:val="00011F33"/>
    <w:rsid w:val="000123CF"/>
    <w:rsid w:val="00012C56"/>
    <w:rsid w:val="000132CC"/>
    <w:rsid w:val="0001334F"/>
    <w:rsid w:val="00013D3D"/>
    <w:rsid w:val="00013DD8"/>
    <w:rsid w:val="00015A14"/>
    <w:rsid w:val="0001645D"/>
    <w:rsid w:val="0001649B"/>
    <w:rsid w:val="000178A4"/>
    <w:rsid w:val="00017DBB"/>
    <w:rsid w:val="00021601"/>
    <w:rsid w:val="00022FA1"/>
    <w:rsid w:val="00025992"/>
    <w:rsid w:val="00025AFE"/>
    <w:rsid w:val="00026FF6"/>
    <w:rsid w:val="00027106"/>
    <w:rsid w:val="0002780F"/>
    <w:rsid w:val="00032918"/>
    <w:rsid w:val="00032E5F"/>
    <w:rsid w:val="00033279"/>
    <w:rsid w:val="00033415"/>
    <w:rsid w:val="0003486A"/>
    <w:rsid w:val="00034A31"/>
    <w:rsid w:val="00034F60"/>
    <w:rsid w:val="00036E1B"/>
    <w:rsid w:val="000405EE"/>
    <w:rsid w:val="00040E24"/>
    <w:rsid w:val="00042313"/>
    <w:rsid w:val="00042316"/>
    <w:rsid w:val="00043337"/>
    <w:rsid w:val="0004485E"/>
    <w:rsid w:val="000452FE"/>
    <w:rsid w:val="00046124"/>
    <w:rsid w:val="000462F4"/>
    <w:rsid w:val="00046BD6"/>
    <w:rsid w:val="00047C3B"/>
    <w:rsid w:val="00050796"/>
    <w:rsid w:val="0005201C"/>
    <w:rsid w:val="00053AAC"/>
    <w:rsid w:val="00055840"/>
    <w:rsid w:val="000561F8"/>
    <w:rsid w:val="000564F5"/>
    <w:rsid w:val="00056CC4"/>
    <w:rsid w:val="00061ACB"/>
    <w:rsid w:val="00061B3F"/>
    <w:rsid w:val="0006204E"/>
    <w:rsid w:val="0006273F"/>
    <w:rsid w:val="000628BE"/>
    <w:rsid w:val="0006315B"/>
    <w:rsid w:val="00063645"/>
    <w:rsid w:val="000646B1"/>
    <w:rsid w:val="000647C4"/>
    <w:rsid w:val="000647CC"/>
    <w:rsid w:val="000649CD"/>
    <w:rsid w:val="000655B6"/>
    <w:rsid w:val="000657FF"/>
    <w:rsid w:val="00065BF5"/>
    <w:rsid w:val="00066708"/>
    <w:rsid w:val="0006674F"/>
    <w:rsid w:val="00066A57"/>
    <w:rsid w:val="000706E3"/>
    <w:rsid w:val="00070B83"/>
    <w:rsid w:val="00071000"/>
    <w:rsid w:val="000711FC"/>
    <w:rsid w:val="000712BB"/>
    <w:rsid w:val="0007191C"/>
    <w:rsid w:val="00071EA6"/>
    <w:rsid w:val="00072376"/>
    <w:rsid w:val="00073303"/>
    <w:rsid w:val="000733A8"/>
    <w:rsid w:val="00073E9B"/>
    <w:rsid w:val="00074FE8"/>
    <w:rsid w:val="000754BD"/>
    <w:rsid w:val="00076826"/>
    <w:rsid w:val="0007760E"/>
    <w:rsid w:val="0007777F"/>
    <w:rsid w:val="000779DA"/>
    <w:rsid w:val="00077F4F"/>
    <w:rsid w:val="000801D7"/>
    <w:rsid w:val="00080352"/>
    <w:rsid w:val="00081172"/>
    <w:rsid w:val="0008121C"/>
    <w:rsid w:val="0008175E"/>
    <w:rsid w:val="00081808"/>
    <w:rsid w:val="00082A32"/>
    <w:rsid w:val="00083B9B"/>
    <w:rsid w:val="0008423C"/>
    <w:rsid w:val="000843F9"/>
    <w:rsid w:val="000848A2"/>
    <w:rsid w:val="00084C6F"/>
    <w:rsid w:val="0008510A"/>
    <w:rsid w:val="00085AB8"/>
    <w:rsid w:val="000860C3"/>
    <w:rsid w:val="000863D8"/>
    <w:rsid w:val="000864E6"/>
    <w:rsid w:val="0008745D"/>
    <w:rsid w:val="00087D34"/>
    <w:rsid w:val="000912C0"/>
    <w:rsid w:val="0009186C"/>
    <w:rsid w:val="000918C7"/>
    <w:rsid w:val="000922AF"/>
    <w:rsid w:val="000926A0"/>
    <w:rsid w:val="000927D0"/>
    <w:rsid w:val="000927D7"/>
    <w:rsid w:val="0009288F"/>
    <w:rsid w:val="00094271"/>
    <w:rsid w:val="00094773"/>
    <w:rsid w:val="0009485C"/>
    <w:rsid w:val="00094A9B"/>
    <w:rsid w:val="00095B99"/>
    <w:rsid w:val="00095D7E"/>
    <w:rsid w:val="00096C13"/>
    <w:rsid w:val="000A0365"/>
    <w:rsid w:val="000A0538"/>
    <w:rsid w:val="000A1522"/>
    <w:rsid w:val="000A21F5"/>
    <w:rsid w:val="000A2D4E"/>
    <w:rsid w:val="000A3773"/>
    <w:rsid w:val="000A3F26"/>
    <w:rsid w:val="000A43A1"/>
    <w:rsid w:val="000A528D"/>
    <w:rsid w:val="000A552D"/>
    <w:rsid w:val="000A5F93"/>
    <w:rsid w:val="000A64B8"/>
    <w:rsid w:val="000A6547"/>
    <w:rsid w:val="000A6A76"/>
    <w:rsid w:val="000A6A8E"/>
    <w:rsid w:val="000A6C2A"/>
    <w:rsid w:val="000A6DCA"/>
    <w:rsid w:val="000A771C"/>
    <w:rsid w:val="000B04C5"/>
    <w:rsid w:val="000B0CE2"/>
    <w:rsid w:val="000B25B0"/>
    <w:rsid w:val="000B2607"/>
    <w:rsid w:val="000B2951"/>
    <w:rsid w:val="000B324B"/>
    <w:rsid w:val="000B32EC"/>
    <w:rsid w:val="000B3E16"/>
    <w:rsid w:val="000B3EB1"/>
    <w:rsid w:val="000B478B"/>
    <w:rsid w:val="000B4809"/>
    <w:rsid w:val="000B4A51"/>
    <w:rsid w:val="000B4D24"/>
    <w:rsid w:val="000B5877"/>
    <w:rsid w:val="000B615A"/>
    <w:rsid w:val="000B635A"/>
    <w:rsid w:val="000B7218"/>
    <w:rsid w:val="000B799B"/>
    <w:rsid w:val="000B7E23"/>
    <w:rsid w:val="000C01A9"/>
    <w:rsid w:val="000C18F4"/>
    <w:rsid w:val="000C199F"/>
    <w:rsid w:val="000C1AA6"/>
    <w:rsid w:val="000C1D17"/>
    <w:rsid w:val="000C1EB1"/>
    <w:rsid w:val="000C257A"/>
    <w:rsid w:val="000C2A57"/>
    <w:rsid w:val="000C2CB1"/>
    <w:rsid w:val="000C2EA6"/>
    <w:rsid w:val="000C393D"/>
    <w:rsid w:val="000C3A9B"/>
    <w:rsid w:val="000C4541"/>
    <w:rsid w:val="000C4D38"/>
    <w:rsid w:val="000C54AE"/>
    <w:rsid w:val="000C5B36"/>
    <w:rsid w:val="000C5E63"/>
    <w:rsid w:val="000C69E2"/>
    <w:rsid w:val="000C7A72"/>
    <w:rsid w:val="000D02D6"/>
    <w:rsid w:val="000D0C6C"/>
    <w:rsid w:val="000D0F0C"/>
    <w:rsid w:val="000D122C"/>
    <w:rsid w:val="000D12A3"/>
    <w:rsid w:val="000D1369"/>
    <w:rsid w:val="000D19E7"/>
    <w:rsid w:val="000D1FFA"/>
    <w:rsid w:val="000D2265"/>
    <w:rsid w:val="000D2464"/>
    <w:rsid w:val="000D2C99"/>
    <w:rsid w:val="000D3322"/>
    <w:rsid w:val="000D3BB0"/>
    <w:rsid w:val="000D3E1C"/>
    <w:rsid w:val="000D4F0A"/>
    <w:rsid w:val="000D5409"/>
    <w:rsid w:val="000D6284"/>
    <w:rsid w:val="000D686C"/>
    <w:rsid w:val="000D6B2B"/>
    <w:rsid w:val="000E02AB"/>
    <w:rsid w:val="000E0D6E"/>
    <w:rsid w:val="000E1830"/>
    <w:rsid w:val="000E1B44"/>
    <w:rsid w:val="000E3F6C"/>
    <w:rsid w:val="000E3F76"/>
    <w:rsid w:val="000E44C9"/>
    <w:rsid w:val="000E489E"/>
    <w:rsid w:val="000E49A6"/>
    <w:rsid w:val="000E50B2"/>
    <w:rsid w:val="000E527F"/>
    <w:rsid w:val="000E6EED"/>
    <w:rsid w:val="000E70FB"/>
    <w:rsid w:val="000E7466"/>
    <w:rsid w:val="000E7685"/>
    <w:rsid w:val="000F017A"/>
    <w:rsid w:val="000F033F"/>
    <w:rsid w:val="000F03A2"/>
    <w:rsid w:val="000F0697"/>
    <w:rsid w:val="000F0B4F"/>
    <w:rsid w:val="000F1341"/>
    <w:rsid w:val="000F1ED3"/>
    <w:rsid w:val="000F1FC5"/>
    <w:rsid w:val="000F291C"/>
    <w:rsid w:val="000F2D36"/>
    <w:rsid w:val="000F3072"/>
    <w:rsid w:val="000F3160"/>
    <w:rsid w:val="000F329E"/>
    <w:rsid w:val="000F40C6"/>
    <w:rsid w:val="000F4181"/>
    <w:rsid w:val="000F59EC"/>
    <w:rsid w:val="000F63F8"/>
    <w:rsid w:val="000F6E76"/>
    <w:rsid w:val="000F73FB"/>
    <w:rsid w:val="000F75E7"/>
    <w:rsid w:val="00101A69"/>
    <w:rsid w:val="00102043"/>
    <w:rsid w:val="001020DB"/>
    <w:rsid w:val="00102302"/>
    <w:rsid w:val="00102A8A"/>
    <w:rsid w:val="001034DA"/>
    <w:rsid w:val="001038EE"/>
    <w:rsid w:val="00103DB2"/>
    <w:rsid w:val="00104158"/>
    <w:rsid w:val="00104206"/>
    <w:rsid w:val="00104D99"/>
    <w:rsid w:val="001050A2"/>
    <w:rsid w:val="00105D5B"/>
    <w:rsid w:val="00105E39"/>
    <w:rsid w:val="001061B3"/>
    <w:rsid w:val="001061F6"/>
    <w:rsid w:val="00106A73"/>
    <w:rsid w:val="001070A1"/>
    <w:rsid w:val="00107EFA"/>
    <w:rsid w:val="001110F4"/>
    <w:rsid w:val="0011193E"/>
    <w:rsid w:val="00111F7B"/>
    <w:rsid w:val="0011285D"/>
    <w:rsid w:val="001128B0"/>
    <w:rsid w:val="001135D1"/>
    <w:rsid w:val="00113631"/>
    <w:rsid w:val="00113A71"/>
    <w:rsid w:val="00113B84"/>
    <w:rsid w:val="00113FA1"/>
    <w:rsid w:val="00115BEE"/>
    <w:rsid w:val="001178F4"/>
    <w:rsid w:val="00117C2F"/>
    <w:rsid w:val="00121BCD"/>
    <w:rsid w:val="001229FA"/>
    <w:rsid w:val="00122CE7"/>
    <w:rsid w:val="00122D25"/>
    <w:rsid w:val="00122D9A"/>
    <w:rsid w:val="00123242"/>
    <w:rsid w:val="00123DC6"/>
    <w:rsid w:val="00124A6E"/>
    <w:rsid w:val="00124B48"/>
    <w:rsid w:val="00124C0F"/>
    <w:rsid w:val="00125228"/>
    <w:rsid w:val="0012525A"/>
    <w:rsid w:val="00125996"/>
    <w:rsid w:val="0012642A"/>
    <w:rsid w:val="001268C1"/>
    <w:rsid w:val="001269CB"/>
    <w:rsid w:val="0013008F"/>
    <w:rsid w:val="0013021D"/>
    <w:rsid w:val="00130422"/>
    <w:rsid w:val="001307BC"/>
    <w:rsid w:val="00130ADB"/>
    <w:rsid w:val="00131A1E"/>
    <w:rsid w:val="00131C58"/>
    <w:rsid w:val="00131D1F"/>
    <w:rsid w:val="00132672"/>
    <w:rsid w:val="001326E3"/>
    <w:rsid w:val="00132D45"/>
    <w:rsid w:val="00134576"/>
    <w:rsid w:val="001349AF"/>
    <w:rsid w:val="001351FB"/>
    <w:rsid w:val="0013577F"/>
    <w:rsid w:val="00136F83"/>
    <w:rsid w:val="001370E4"/>
    <w:rsid w:val="00140696"/>
    <w:rsid w:val="0014086E"/>
    <w:rsid w:val="00141A9C"/>
    <w:rsid w:val="00142028"/>
    <w:rsid w:val="001426DB"/>
    <w:rsid w:val="001427E8"/>
    <w:rsid w:val="00142921"/>
    <w:rsid w:val="00142AEE"/>
    <w:rsid w:val="00142B31"/>
    <w:rsid w:val="00142BA8"/>
    <w:rsid w:val="001435CD"/>
    <w:rsid w:val="001449F0"/>
    <w:rsid w:val="00144D23"/>
    <w:rsid w:val="00145A4B"/>
    <w:rsid w:val="00146C1B"/>
    <w:rsid w:val="0014775A"/>
    <w:rsid w:val="00147831"/>
    <w:rsid w:val="00147C5A"/>
    <w:rsid w:val="00151D1D"/>
    <w:rsid w:val="00151F5F"/>
    <w:rsid w:val="001524D8"/>
    <w:rsid w:val="00152558"/>
    <w:rsid w:val="00152C24"/>
    <w:rsid w:val="00152E14"/>
    <w:rsid w:val="00153A0A"/>
    <w:rsid w:val="00154206"/>
    <w:rsid w:val="00154F21"/>
    <w:rsid w:val="00155BD3"/>
    <w:rsid w:val="00155F18"/>
    <w:rsid w:val="00156017"/>
    <w:rsid w:val="00156AA5"/>
    <w:rsid w:val="00156BB6"/>
    <w:rsid w:val="00156F8F"/>
    <w:rsid w:val="00157700"/>
    <w:rsid w:val="00157F6E"/>
    <w:rsid w:val="00162EC6"/>
    <w:rsid w:val="0016420B"/>
    <w:rsid w:val="00165852"/>
    <w:rsid w:val="00165ABB"/>
    <w:rsid w:val="001661C8"/>
    <w:rsid w:val="00166810"/>
    <w:rsid w:val="00167BAC"/>
    <w:rsid w:val="00167BB9"/>
    <w:rsid w:val="00167F43"/>
    <w:rsid w:val="00170C3E"/>
    <w:rsid w:val="00171B89"/>
    <w:rsid w:val="00172F21"/>
    <w:rsid w:val="00172F7C"/>
    <w:rsid w:val="0017389B"/>
    <w:rsid w:val="00173F3A"/>
    <w:rsid w:val="0017401E"/>
    <w:rsid w:val="001747AD"/>
    <w:rsid w:val="0017485C"/>
    <w:rsid w:val="00174F4E"/>
    <w:rsid w:val="00176CD9"/>
    <w:rsid w:val="0017746D"/>
    <w:rsid w:val="001776A0"/>
    <w:rsid w:val="00177745"/>
    <w:rsid w:val="0018061B"/>
    <w:rsid w:val="00181DEE"/>
    <w:rsid w:val="0018324E"/>
    <w:rsid w:val="0018360C"/>
    <w:rsid w:val="0018370D"/>
    <w:rsid w:val="0018390B"/>
    <w:rsid w:val="00183ED6"/>
    <w:rsid w:val="00183FD1"/>
    <w:rsid w:val="0018496B"/>
    <w:rsid w:val="00184A51"/>
    <w:rsid w:val="00185371"/>
    <w:rsid w:val="00185840"/>
    <w:rsid w:val="001859FF"/>
    <w:rsid w:val="00185A24"/>
    <w:rsid w:val="00186CEB"/>
    <w:rsid w:val="001878CA"/>
    <w:rsid w:val="00190226"/>
    <w:rsid w:val="00190573"/>
    <w:rsid w:val="00191766"/>
    <w:rsid w:val="001919DE"/>
    <w:rsid w:val="001922A7"/>
    <w:rsid w:val="001933C0"/>
    <w:rsid w:val="00194D1C"/>
    <w:rsid w:val="00195AC7"/>
    <w:rsid w:val="00196534"/>
    <w:rsid w:val="00197684"/>
    <w:rsid w:val="001976CC"/>
    <w:rsid w:val="001A0542"/>
    <w:rsid w:val="001A0639"/>
    <w:rsid w:val="001A0765"/>
    <w:rsid w:val="001A0B14"/>
    <w:rsid w:val="001A0C1D"/>
    <w:rsid w:val="001A1A53"/>
    <w:rsid w:val="001A21D2"/>
    <w:rsid w:val="001A24DA"/>
    <w:rsid w:val="001A26DB"/>
    <w:rsid w:val="001A27B9"/>
    <w:rsid w:val="001A34C6"/>
    <w:rsid w:val="001A3DFB"/>
    <w:rsid w:val="001A3F84"/>
    <w:rsid w:val="001A446A"/>
    <w:rsid w:val="001A4CE2"/>
    <w:rsid w:val="001A4F21"/>
    <w:rsid w:val="001A5275"/>
    <w:rsid w:val="001A5EE3"/>
    <w:rsid w:val="001A740A"/>
    <w:rsid w:val="001A7C1F"/>
    <w:rsid w:val="001A7D6A"/>
    <w:rsid w:val="001A7F2B"/>
    <w:rsid w:val="001B2014"/>
    <w:rsid w:val="001B2458"/>
    <w:rsid w:val="001B3AC2"/>
    <w:rsid w:val="001B52DD"/>
    <w:rsid w:val="001B52FE"/>
    <w:rsid w:val="001B55D5"/>
    <w:rsid w:val="001B59E8"/>
    <w:rsid w:val="001B5EC2"/>
    <w:rsid w:val="001B6558"/>
    <w:rsid w:val="001B71CE"/>
    <w:rsid w:val="001B7C7F"/>
    <w:rsid w:val="001C0FB7"/>
    <w:rsid w:val="001C12F3"/>
    <w:rsid w:val="001C162F"/>
    <w:rsid w:val="001C255A"/>
    <w:rsid w:val="001C293A"/>
    <w:rsid w:val="001C457D"/>
    <w:rsid w:val="001C4654"/>
    <w:rsid w:val="001C4AA1"/>
    <w:rsid w:val="001C5865"/>
    <w:rsid w:val="001C5EB0"/>
    <w:rsid w:val="001C6147"/>
    <w:rsid w:val="001C63AB"/>
    <w:rsid w:val="001C669B"/>
    <w:rsid w:val="001C673A"/>
    <w:rsid w:val="001D044D"/>
    <w:rsid w:val="001D1395"/>
    <w:rsid w:val="001D2E89"/>
    <w:rsid w:val="001D3587"/>
    <w:rsid w:val="001D382A"/>
    <w:rsid w:val="001D4397"/>
    <w:rsid w:val="001D4516"/>
    <w:rsid w:val="001D55CE"/>
    <w:rsid w:val="001D5DCF"/>
    <w:rsid w:val="001D6720"/>
    <w:rsid w:val="001D7451"/>
    <w:rsid w:val="001D7763"/>
    <w:rsid w:val="001E0F3E"/>
    <w:rsid w:val="001E239C"/>
    <w:rsid w:val="001E2405"/>
    <w:rsid w:val="001E24FA"/>
    <w:rsid w:val="001E2727"/>
    <w:rsid w:val="001E3146"/>
    <w:rsid w:val="001E3F29"/>
    <w:rsid w:val="001E3F3B"/>
    <w:rsid w:val="001E47C0"/>
    <w:rsid w:val="001E51C7"/>
    <w:rsid w:val="001E5535"/>
    <w:rsid w:val="001E579F"/>
    <w:rsid w:val="001E712C"/>
    <w:rsid w:val="001E7A4B"/>
    <w:rsid w:val="001E7EE1"/>
    <w:rsid w:val="001F033A"/>
    <w:rsid w:val="001F0830"/>
    <w:rsid w:val="001F095A"/>
    <w:rsid w:val="001F09A9"/>
    <w:rsid w:val="001F0B41"/>
    <w:rsid w:val="001F0E00"/>
    <w:rsid w:val="001F1E0B"/>
    <w:rsid w:val="001F1E59"/>
    <w:rsid w:val="001F369C"/>
    <w:rsid w:val="001F3F45"/>
    <w:rsid w:val="001F4B7A"/>
    <w:rsid w:val="001F4B8F"/>
    <w:rsid w:val="001F5242"/>
    <w:rsid w:val="001F52B7"/>
    <w:rsid w:val="001F52C7"/>
    <w:rsid w:val="001F56C9"/>
    <w:rsid w:val="001F5C49"/>
    <w:rsid w:val="001F5E1F"/>
    <w:rsid w:val="001F61C1"/>
    <w:rsid w:val="001F6A6C"/>
    <w:rsid w:val="001F6EBF"/>
    <w:rsid w:val="001F732F"/>
    <w:rsid w:val="002003AF"/>
    <w:rsid w:val="0020139D"/>
    <w:rsid w:val="00201790"/>
    <w:rsid w:val="00201AC2"/>
    <w:rsid w:val="002025DE"/>
    <w:rsid w:val="00202B31"/>
    <w:rsid w:val="002030FE"/>
    <w:rsid w:val="002035F2"/>
    <w:rsid w:val="002036B2"/>
    <w:rsid w:val="0020374B"/>
    <w:rsid w:val="00203A0A"/>
    <w:rsid w:val="00203D9B"/>
    <w:rsid w:val="00204164"/>
    <w:rsid w:val="002074B1"/>
    <w:rsid w:val="002075F5"/>
    <w:rsid w:val="0021074C"/>
    <w:rsid w:val="00210865"/>
    <w:rsid w:val="00211052"/>
    <w:rsid w:val="002111E8"/>
    <w:rsid w:val="0021240E"/>
    <w:rsid w:val="00212475"/>
    <w:rsid w:val="00212528"/>
    <w:rsid w:val="00212D55"/>
    <w:rsid w:val="00213967"/>
    <w:rsid w:val="00214009"/>
    <w:rsid w:val="00214709"/>
    <w:rsid w:val="00214827"/>
    <w:rsid w:val="002148C3"/>
    <w:rsid w:val="00214BE0"/>
    <w:rsid w:val="00215A45"/>
    <w:rsid w:val="00216483"/>
    <w:rsid w:val="0021658C"/>
    <w:rsid w:val="00217F3C"/>
    <w:rsid w:val="002204BA"/>
    <w:rsid w:val="00220805"/>
    <w:rsid w:val="0022082A"/>
    <w:rsid w:val="00220B72"/>
    <w:rsid w:val="00220CAD"/>
    <w:rsid w:val="00220FCB"/>
    <w:rsid w:val="002211D0"/>
    <w:rsid w:val="00221345"/>
    <w:rsid w:val="002213B5"/>
    <w:rsid w:val="00222ED0"/>
    <w:rsid w:val="00222FB5"/>
    <w:rsid w:val="00223F25"/>
    <w:rsid w:val="00225552"/>
    <w:rsid w:val="00225929"/>
    <w:rsid w:val="00225BA2"/>
    <w:rsid w:val="0022600B"/>
    <w:rsid w:val="00226BC8"/>
    <w:rsid w:val="00226E7A"/>
    <w:rsid w:val="00227F1E"/>
    <w:rsid w:val="002305B9"/>
    <w:rsid w:val="00230D5B"/>
    <w:rsid w:val="00230E2C"/>
    <w:rsid w:val="00230F6C"/>
    <w:rsid w:val="00231032"/>
    <w:rsid w:val="00232038"/>
    <w:rsid w:val="0023217A"/>
    <w:rsid w:val="002334D5"/>
    <w:rsid w:val="002334D9"/>
    <w:rsid w:val="00233EC2"/>
    <w:rsid w:val="00234020"/>
    <w:rsid w:val="00234184"/>
    <w:rsid w:val="00234CB8"/>
    <w:rsid w:val="00235288"/>
    <w:rsid w:val="0023556A"/>
    <w:rsid w:val="00236403"/>
    <w:rsid w:val="00236732"/>
    <w:rsid w:val="00236C91"/>
    <w:rsid w:val="00240FB3"/>
    <w:rsid w:val="00241459"/>
    <w:rsid w:val="002416EB"/>
    <w:rsid w:val="002417A9"/>
    <w:rsid w:val="00242BA0"/>
    <w:rsid w:val="00243CAD"/>
    <w:rsid w:val="002441E0"/>
    <w:rsid w:val="002449C4"/>
    <w:rsid w:val="00244A4E"/>
    <w:rsid w:val="00245F34"/>
    <w:rsid w:val="002466DB"/>
    <w:rsid w:val="0024745C"/>
    <w:rsid w:val="0025148E"/>
    <w:rsid w:val="00252006"/>
    <w:rsid w:val="0025292E"/>
    <w:rsid w:val="00252A00"/>
    <w:rsid w:val="00252AE5"/>
    <w:rsid w:val="00252B22"/>
    <w:rsid w:val="0025316B"/>
    <w:rsid w:val="00253AA2"/>
    <w:rsid w:val="002549E9"/>
    <w:rsid w:val="00254BC7"/>
    <w:rsid w:val="00254C62"/>
    <w:rsid w:val="00255407"/>
    <w:rsid w:val="002556C3"/>
    <w:rsid w:val="00255908"/>
    <w:rsid w:val="00255DAC"/>
    <w:rsid w:val="002564EB"/>
    <w:rsid w:val="0026181B"/>
    <w:rsid w:val="0026202D"/>
    <w:rsid w:val="002621D2"/>
    <w:rsid w:val="002623A5"/>
    <w:rsid w:val="002626A9"/>
    <w:rsid w:val="00262ED9"/>
    <w:rsid w:val="00264CC6"/>
    <w:rsid w:val="00265916"/>
    <w:rsid w:val="00266142"/>
    <w:rsid w:val="002661B8"/>
    <w:rsid w:val="00266CEB"/>
    <w:rsid w:val="00266E66"/>
    <w:rsid w:val="00267270"/>
    <w:rsid w:val="00267620"/>
    <w:rsid w:val="00267BA5"/>
    <w:rsid w:val="00267F30"/>
    <w:rsid w:val="00270F51"/>
    <w:rsid w:val="00271574"/>
    <w:rsid w:val="00271746"/>
    <w:rsid w:val="0027363E"/>
    <w:rsid w:val="00273BAE"/>
    <w:rsid w:val="00274AC2"/>
    <w:rsid w:val="00275E63"/>
    <w:rsid w:val="002761B7"/>
    <w:rsid w:val="00276652"/>
    <w:rsid w:val="002766B7"/>
    <w:rsid w:val="0027680A"/>
    <w:rsid w:val="00276E85"/>
    <w:rsid w:val="002771B1"/>
    <w:rsid w:val="00277442"/>
    <w:rsid w:val="00277500"/>
    <w:rsid w:val="00280A2F"/>
    <w:rsid w:val="00281A65"/>
    <w:rsid w:val="0028202B"/>
    <w:rsid w:val="0028256B"/>
    <w:rsid w:val="00282575"/>
    <w:rsid w:val="00282644"/>
    <w:rsid w:val="00282FDD"/>
    <w:rsid w:val="002832C7"/>
    <w:rsid w:val="0028399C"/>
    <w:rsid w:val="0028535C"/>
    <w:rsid w:val="002879A9"/>
    <w:rsid w:val="0029017A"/>
    <w:rsid w:val="002909A5"/>
    <w:rsid w:val="00290BA1"/>
    <w:rsid w:val="0029125F"/>
    <w:rsid w:val="002914EE"/>
    <w:rsid w:val="00291BC6"/>
    <w:rsid w:val="00292535"/>
    <w:rsid w:val="00292597"/>
    <w:rsid w:val="002926E8"/>
    <w:rsid w:val="00292D0E"/>
    <w:rsid w:val="00294322"/>
    <w:rsid w:val="0029456A"/>
    <w:rsid w:val="002946D9"/>
    <w:rsid w:val="0029474F"/>
    <w:rsid w:val="00294997"/>
    <w:rsid w:val="00294C1C"/>
    <w:rsid w:val="0029529E"/>
    <w:rsid w:val="002954D8"/>
    <w:rsid w:val="00296089"/>
    <w:rsid w:val="002960FF"/>
    <w:rsid w:val="002969AA"/>
    <w:rsid w:val="00296F91"/>
    <w:rsid w:val="00297870"/>
    <w:rsid w:val="002A3541"/>
    <w:rsid w:val="002A3C89"/>
    <w:rsid w:val="002A410E"/>
    <w:rsid w:val="002A4AE1"/>
    <w:rsid w:val="002A54C4"/>
    <w:rsid w:val="002A5A0B"/>
    <w:rsid w:val="002A5DA7"/>
    <w:rsid w:val="002A665A"/>
    <w:rsid w:val="002A6F91"/>
    <w:rsid w:val="002A7055"/>
    <w:rsid w:val="002B05B3"/>
    <w:rsid w:val="002B06D3"/>
    <w:rsid w:val="002B1329"/>
    <w:rsid w:val="002B1586"/>
    <w:rsid w:val="002B2069"/>
    <w:rsid w:val="002B2203"/>
    <w:rsid w:val="002B3BE9"/>
    <w:rsid w:val="002B40D0"/>
    <w:rsid w:val="002B4BB1"/>
    <w:rsid w:val="002B50F0"/>
    <w:rsid w:val="002B5431"/>
    <w:rsid w:val="002B5A87"/>
    <w:rsid w:val="002B5DF6"/>
    <w:rsid w:val="002B614C"/>
    <w:rsid w:val="002B6932"/>
    <w:rsid w:val="002B6CAB"/>
    <w:rsid w:val="002B6EF9"/>
    <w:rsid w:val="002B7616"/>
    <w:rsid w:val="002C0D67"/>
    <w:rsid w:val="002C2363"/>
    <w:rsid w:val="002C2370"/>
    <w:rsid w:val="002C271C"/>
    <w:rsid w:val="002C29AE"/>
    <w:rsid w:val="002C2A51"/>
    <w:rsid w:val="002C2D06"/>
    <w:rsid w:val="002C2DB6"/>
    <w:rsid w:val="002C3028"/>
    <w:rsid w:val="002C32ED"/>
    <w:rsid w:val="002C3864"/>
    <w:rsid w:val="002C3F87"/>
    <w:rsid w:val="002C4305"/>
    <w:rsid w:val="002C43DD"/>
    <w:rsid w:val="002C49BA"/>
    <w:rsid w:val="002C4A4E"/>
    <w:rsid w:val="002C5ED0"/>
    <w:rsid w:val="002C5F35"/>
    <w:rsid w:val="002C6B15"/>
    <w:rsid w:val="002C6B7F"/>
    <w:rsid w:val="002C7D90"/>
    <w:rsid w:val="002D07E1"/>
    <w:rsid w:val="002D0A47"/>
    <w:rsid w:val="002D0CFE"/>
    <w:rsid w:val="002D0EA5"/>
    <w:rsid w:val="002D1A5A"/>
    <w:rsid w:val="002D238E"/>
    <w:rsid w:val="002D272F"/>
    <w:rsid w:val="002D2A31"/>
    <w:rsid w:val="002D2A93"/>
    <w:rsid w:val="002D2ABB"/>
    <w:rsid w:val="002D2B04"/>
    <w:rsid w:val="002D2DD9"/>
    <w:rsid w:val="002D2E17"/>
    <w:rsid w:val="002D3772"/>
    <w:rsid w:val="002D4643"/>
    <w:rsid w:val="002D5BA8"/>
    <w:rsid w:val="002D7458"/>
    <w:rsid w:val="002D7AAF"/>
    <w:rsid w:val="002E0BE2"/>
    <w:rsid w:val="002E14D1"/>
    <w:rsid w:val="002E1740"/>
    <w:rsid w:val="002E198D"/>
    <w:rsid w:val="002E202F"/>
    <w:rsid w:val="002E31B9"/>
    <w:rsid w:val="002E4378"/>
    <w:rsid w:val="002E46A2"/>
    <w:rsid w:val="002E4DD5"/>
    <w:rsid w:val="002E5CC8"/>
    <w:rsid w:val="002E5E89"/>
    <w:rsid w:val="002E5F16"/>
    <w:rsid w:val="002E6284"/>
    <w:rsid w:val="002E6816"/>
    <w:rsid w:val="002E6C16"/>
    <w:rsid w:val="002E73F0"/>
    <w:rsid w:val="002E7618"/>
    <w:rsid w:val="002E7BEF"/>
    <w:rsid w:val="002E7DF2"/>
    <w:rsid w:val="002F088E"/>
    <w:rsid w:val="002F131B"/>
    <w:rsid w:val="002F163C"/>
    <w:rsid w:val="002F1AC5"/>
    <w:rsid w:val="002F1F32"/>
    <w:rsid w:val="002F3E9C"/>
    <w:rsid w:val="002F4B64"/>
    <w:rsid w:val="002F4D69"/>
    <w:rsid w:val="002F5B3C"/>
    <w:rsid w:val="002F6686"/>
    <w:rsid w:val="002F66D2"/>
    <w:rsid w:val="002F69BC"/>
    <w:rsid w:val="002F6BC1"/>
    <w:rsid w:val="002F6C9E"/>
    <w:rsid w:val="002F6E01"/>
    <w:rsid w:val="002F7889"/>
    <w:rsid w:val="00300106"/>
    <w:rsid w:val="00301031"/>
    <w:rsid w:val="003013E2"/>
    <w:rsid w:val="00302364"/>
    <w:rsid w:val="003028EB"/>
    <w:rsid w:val="00303EA5"/>
    <w:rsid w:val="00303F5B"/>
    <w:rsid w:val="003046AA"/>
    <w:rsid w:val="00304964"/>
    <w:rsid w:val="00304981"/>
    <w:rsid w:val="00304FC6"/>
    <w:rsid w:val="00306485"/>
    <w:rsid w:val="00306E66"/>
    <w:rsid w:val="003074B0"/>
    <w:rsid w:val="00307537"/>
    <w:rsid w:val="00310235"/>
    <w:rsid w:val="00310285"/>
    <w:rsid w:val="0031104E"/>
    <w:rsid w:val="0031251E"/>
    <w:rsid w:val="003145A6"/>
    <w:rsid w:val="00314C77"/>
    <w:rsid w:val="0031567A"/>
    <w:rsid w:val="00316B47"/>
    <w:rsid w:val="00317815"/>
    <w:rsid w:val="00317A50"/>
    <w:rsid w:val="0032037E"/>
    <w:rsid w:val="00321656"/>
    <w:rsid w:val="003230AD"/>
    <w:rsid w:val="0032344A"/>
    <w:rsid w:val="00323833"/>
    <w:rsid w:val="003241FA"/>
    <w:rsid w:val="003246F8"/>
    <w:rsid w:val="003249EE"/>
    <w:rsid w:val="00324DDF"/>
    <w:rsid w:val="00325855"/>
    <w:rsid w:val="003260BB"/>
    <w:rsid w:val="003264EB"/>
    <w:rsid w:val="00326DBB"/>
    <w:rsid w:val="00326EB3"/>
    <w:rsid w:val="00327E66"/>
    <w:rsid w:val="00330C89"/>
    <w:rsid w:val="00331511"/>
    <w:rsid w:val="003317E1"/>
    <w:rsid w:val="003326AB"/>
    <w:rsid w:val="00332CCB"/>
    <w:rsid w:val="0033331A"/>
    <w:rsid w:val="003340C4"/>
    <w:rsid w:val="00336E92"/>
    <w:rsid w:val="00337085"/>
    <w:rsid w:val="0033726D"/>
    <w:rsid w:val="00337E64"/>
    <w:rsid w:val="00340190"/>
    <w:rsid w:val="00340CAD"/>
    <w:rsid w:val="00340DEA"/>
    <w:rsid w:val="00341692"/>
    <w:rsid w:val="0034181E"/>
    <w:rsid w:val="003431F9"/>
    <w:rsid w:val="00343397"/>
    <w:rsid w:val="00343C42"/>
    <w:rsid w:val="00343C4C"/>
    <w:rsid w:val="003448F1"/>
    <w:rsid w:val="00344B62"/>
    <w:rsid w:val="00345583"/>
    <w:rsid w:val="003455A2"/>
    <w:rsid w:val="003457BE"/>
    <w:rsid w:val="00345E53"/>
    <w:rsid w:val="00346023"/>
    <w:rsid w:val="00346729"/>
    <w:rsid w:val="00347587"/>
    <w:rsid w:val="0034766D"/>
    <w:rsid w:val="003476B8"/>
    <w:rsid w:val="00347748"/>
    <w:rsid w:val="00347B07"/>
    <w:rsid w:val="0035016E"/>
    <w:rsid w:val="0035101F"/>
    <w:rsid w:val="003516D6"/>
    <w:rsid w:val="00352829"/>
    <w:rsid w:val="0035364F"/>
    <w:rsid w:val="00353E6C"/>
    <w:rsid w:val="00355BF9"/>
    <w:rsid w:val="00357D30"/>
    <w:rsid w:val="003603E0"/>
    <w:rsid w:val="00360A5C"/>
    <w:rsid w:val="00361ECD"/>
    <w:rsid w:val="003620F8"/>
    <w:rsid w:val="0036236D"/>
    <w:rsid w:val="00363167"/>
    <w:rsid w:val="0036337B"/>
    <w:rsid w:val="00364C6B"/>
    <w:rsid w:val="0036517F"/>
    <w:rsid w:val="0036589C"/>
    <w:rsid w:val="00365AB4"/>
    <w:rsid w:val="00365F0E"/>
    <w:rsid w:val="00366334"/>
    <w:rsid w:val="003669CD"/>
    <w:rsid w:val="0036721F"/>
    <w:rsid w:val="00367A59"/>
    <w:rsid w:val="0037053C"/>
    <w:rsid w:val="0037160B"/>
    <w:rsid w:val="003721E9"/>
    <w:rsid w:val="00372A67"/>
    <w:rsid w:val="0037391B"/>
    <w:rsid w:val="0037394A"/>
    <w:rsid w:val="00375073"/>
    <w:rsid w:val="0037564A"/>
    <w:rsid w:val="00375759"/>
    <w:rsid w:val="00375A6E"/>
    <w:rsid w:val="003767DE"/>
    <w:rsid w:val="0037687F"/>
    <w:rsid w:val="003816E4"/>
    <w:rsid w:val="00382575"/>
    <w:rsid w:val="00383560"/>
    <w:rsid w:val="0038390C"/>
    <w:rsid w:val="00383D88"/>
    <w:rsid w:val="00384858"/>
    <w:rsid w:val="00385B0C"/>
    <w:rsid w:val="00385D61"/>
    <w:rsid w:val="003862E3"/>
    <w:rsid w:val="00386578"/>
    <w:rsid w:val="003900E9"/>
    <w:rsid w:val="00390116"/>
    <w:rsid w:val="0039024B"/>
    <w:rsid w:val="003910C0"/>
    <w:rsid w:val="003915F4"/>
    <w:rsid w:val="00392076"/>
    <w:rsid w:val="00393329"/>
    <w:rsid w:val="003935B6"/>
    <w:rsid w:val="003935C0"/>
    <w:rsid w:val="003939CF"/>
    <w:rsid w:val="003943CC"/>
    <w:rsid w:val="003948F9"/>
    <w:rsid w:val="00394EAD"/>
    <w:rsid w:val="0039517B"/>
    <w:rsid w:val="003951A7"/>
    <w:rsid w:val="0039523F"/>
    <w:rsid w:val="0039676A"/>
    <w:rsid w:val="003972E7"/>
    <w:rsid w:val="00397407"/>
    <w:rsid w:val="0039740B"/>
    <w:rsid w:val="00397528"/>
    <w:rsid w:val="00397F8B"/>
    <w:rsid w:val="003A0118"/>
    <w:rsid w:val="003A02C8"/>
    <w:rsid w:val="003A06F2"/>
    <w:rsid w:val="003A0AB2"/>
    <w:rsid w:val="003A1695"/>
    <w:rsid w:val="003A1727"/>
    <w:rsid w:val="003A26D1"/>
    <w:rsid w:val="003A29D2"/>
    <w:rsid w:val="003A2AA1"/>
    <w:rsid w:val="003A303A"/>
    <w:rsid w:val="003A361D"/>
    <w:rsid w:val="003A3BD3"/>
    <w:rsid w:val="003A3EC7"/>
    <w:rsid w:val="003A43B7"/>
    <w:rsid w:val="003A7669"/>
    <w:rsid w:val="003A7A2D"/>
    <w:rsid w:val="003B0EC9"/>
    <w:rsid w:val="003B0F64"/>
    <w:rsid w:val="003B1131"/>
    <w:rsid w:val="003B126F"/>
    <w:rsid w:val="003B27CA"/>
    <w:rsid w:val="003B2A5F"/>
    <w:rsid w:val="003B2CCF"/>
    <w:rsid w:val="003B393F"/>
    <w:rsid w:val="003B3DE5"/>
    <w:rsid w:val="003B3FCC"/>
    <w:rsid w:val="003B49F3"/>
    <w:rsid w:val="003B4A56"/>
    <w:rsid w:val="003B4B62"/>
    <w:rsid w:val="003B5CF7"/>
    <w:rsid w:val="003B5EE1"/>
    <w:rsid w:val="003B74D3"/>
    <w:rsid w:val="003B7B2C"/>
    <w:rsid w:val="003B7BF0"/>
    <w:rsid w:val="003C005B"/>
    <w:rsid w:val="003C0BD4"/>
    <w:rsid w:val="003C141A"/>
    <w:rsid w:val="003C286F"/>
    <w:rsid w:val="003C3EA9"/>
    <w:rsid w:val="003C3F0B"/>
    <w:rsid w:val="003C435F"/>
    <w:rsid w:val="003C484B"/>
    <w:rsid w:val="003C5760"/>
    <w:rsid w:val="003C5F10"/>
    <w:rsid w:val="003C60A1"/>
    <w:rsid w:val="003C6586"/>
    <w:rsid w:val="003C663B"/>
    <w:rsid w:val="003C6B10"/>
    <w:rsid w:val="003C715D"/>
    <w:rsid w:val="003C7440"/>
    <w:rsid w:val="003C780B"/>
    <w:rsid w:val="003C7D9D"/>
    <w:rsid w:val="003D0B3C"/>
    <w:rsid w:val="003D1A87"/>
    <w:rsid w:val="003D23B3"/>
    <w:rsid w:val="003D2D4C"/>
    <w:rsid w:val="003D36BB"/>
    <w:rsid w:val="003D40C6"/>
    <w:rsid w:val="003D4444"/>
    <w:rsid w:val="003D4EFA"/>
    <w:rsid w:val="003D5DFF"/>
    <w:rsid w:val="003D6EBE"/>
    <w:rsid w:val="003D73F8"/>
    <w:rsid w:val="003D7CB8"/>
    <w:rsid w:val="003D7D2A"/>
    <w:rsid w:val="003D7EB1"/>
    <w:rsid w:val="003E3119"/>
    <w:rsid w:val="003E3DF1"/>
    <w:rsid w:val="003E4C7E"/>
    <w:rsid w:val="003E50C5"/>
    <w:rsid w:val="003E5570"/>
    <w:rsid w:val="003E60FA"/>
    <w:rsid w:val="003E6431"/>
    <w:rsid w:val="003E6D35"/>
    <w:rsid w:val="003E6DE1"/>
    <w:rsid w:val="003E737F"/>
    <w:rsid w:val="003E77B5"/>
    <w:rsid w:val="003E7F85"/>
    <w:rsid w:val="003F0404"/>
    <w:rsid w:val="003F0B63"/>
    <w:rsid w:val="003F14BC"/>
    <w:rsid w:val="003F1DAD"/>
    <w:rsid w:val="003F296E"/>
    <w:rsid w:val="003F2DAA"/>
    <w:rsid w:val="003F36EE"/>
    <w:rsid w:val="003F381B"/>
    <w:rsid w:val="003F51A0"/>
    <w:rsid w:val="003F5AC5"/>
    <w:rsid w:val="003F5BB3"/>
    <w:rsid w:val="003F5E2B"/>
    <w:rsid w:val="003F5E97"/>
    <w:rsid w:val="003F64DC"/>
    <w:rsid w:val="003F73D1"/>
    <w:rsid w:val="003F769B"/>
    <w:rsid w:val="003F7A97"/>
    <w:rsid w:val="00400F05"/>
    <w:rsid w:val="004011B9"/>
    <w:rsid w:val="00401B60"/>
    <w:rsid w:val="00403370"/>
    <w:rsid w:val="004033EE"/>
    <w:rsid w:val="004040BF"/>
    <w:rsid w:val="00404703"/>
    <w:rsid w:val="004049B7"/>
    <w:rsid w:val="0040580D"/>
    <w:rsid w:val="0040594D"/>
    <w:rsid w:val="00406374"/>
    <w:rsid w:val="0040640B"/>
    <w:rsid w:val="004079A7"/>
    <w:rsid w:val="004126D9"/>
    <w:rsid w:val="00412EA9"/>
    <w:rsid w:val="004130DF"/>
    <w:rsid w:val="00413177"/>
    <w:rsid w:val="00413245"/>
    <w:rsid w:val="00413632"/>
    <w:rsid w:val="00413AA7"/>
    <w:rsid w:val="00413CDD"/>
    <w:rsid w:val="004144A2"/>
    <w:rsid w:val="00414676"/>
    <w:rsid w:val="00414C0C"/>
    <w:rsid w:val="00415364"/>
    <w:rsid w:val="00416797"/>
    <w:rsid w:val="0041771C"/>
    <w:rsid w:val="00417ECB"/>
    <w:rsid w:val="00420205"/>
    <w:rsid w:val="00421111"/>
    <w:rsid w:val="004212C8"/>
    <w:rsid w:val="00422235"/>
    <w:rsid w:val="0042301C"/>
    <w:rsid w:val="0042385C"/>
    <w:rsid w:val="0042390A"/>
    <w:rsid w:val="00423D77"/>
    <w:rsid w:val="00424DAD"/>
    <w:rsid w:val="00424E11"/>
    <w:rsid w:val="00425270"/>
    <w:rsid w:val="004254DE"/>
    <w:rsid w:val="00425B3C"/>
    <w:rsid w:val="0042620D"/>
    <w:rsid w:val="004276EC"/>
    <w:rsid w:val="00427929"/>
    <w:rsid w:val="004310EF"/>
    <w:rsid w:val="004314C8"/>
    <w:rsid w:val="00431AE5"/>
    <w:rsid w:val="00431B04"/>
    <w:rsid w:val="00431B42"/>
    <w:rsid w:val="004320C6"/>
    <w:rsid w:val="0043235B"/>
    <w:rsid w:val="00432898"/>
    <w:rsid w:val="004330C2"/>
    <w:rsid w:val="0043360A"/>
    <w:rsid w:val="0043404E"/>
    <w:rsid w:val="00434383"/>
    <w:rsid w:val="004343B3"/>
    <w:rsid w:val="00434C36"/>
    <w:rsid w:val="00434E7C"/>
    <w:rsid w:val="0043502B"/>
    <w:rsid w:val="004359B6"/>
    <w:rsid w:val="004365B3"/>
    <w:rsid w:val="00436A13"/>
    <w:rsid w:val="00436B43"/>
    <w:rsid w:val="00436DC6"/>
    <w:rsid w:val="00437C84"/>
    <w:rsid w:val="004401BB"/>
    <w:rsid w:val="004401C4"/>
    <w:rsid w:val="004403B9"/>
    <w:rsid w:val="004415EE"/>
    <w:rsid w:val="004447EF"/>
    <w:rsid w:val="00445148"/>
    <w:rsid w:val="0044541A"/>
    <w:rsid w:val="004454EB"/>
    <w:rsid w:val="00445A5E"/>
    <w:rsid w:val="00445DD5"/>
    <w:rsid w:val="00445F98"/>
    <w:rsid w:val="004462E6"/>
    <w:rsid w:val="00446838"/>
    <w:rsid w:val="0044701E"/>
    <w:rsid w:val="004472F0"/>
    <w:rsid w:val="00447959"/>
    <w:rsid w:val="00447B09"/>
    <w:rsid w:val="00447F77"/>
    <w:rsid w:val="004504B0"/>
    <w:rsid w:val="0045131E"/>
    <w:rsid w:val="00451614"/>
    <w:rsid w:val="004527B8"/>
    <w:rsid w:val="004529B6"/>
    <w:rsid w:val="00453384"/>
    <w:rsid w:val="0045350F"/>
    <w:rsid w:val="00455A1E"/>
    <w:rsid w:val="00456243"/>
    <w:rsid w:val="004562A9"/>
    <w:rsid w:val="00456FB4"/>
    <w:rsid w:val="00457021"/>
    <w:rsid w:val="004570C8"/>
    <w:rsid w:val="00457614"/>
    <w:rsid w:val="00460352"/>
    <w:rsid w:val="004605B3"/>
    <w:rsid w:val="004621BA"/>
    <w:rsid w:val="004625F7"/>
    <w:rsid w:val="00463207"/>
    <w:rsid w:val="00464647"/>
    <w:rsid w:val="00465C9F"/>
    <w:rsid w:val="00466374"/>
    <w:rsid w:val="0046696E"/>
    <w:rsid w:val="00466A1C"/>
    <w:rsid w:val="00466CD0"/>
    <w:rsid w:val="00466E4F"/>
    <w:rsid w:val="0046743B"/>
    <w:rsid w:val="00467BDF"/>
    <w:rsid w:val="004709C0"/>
    <w:rsid w:val="00470EBF"/>
    <w:rsid w:val="004715B2"/>
    <w:rsid w:val="0047187F"/>
    <w:rsid w:val="004719F8"/>
    <w:rsid w:val="00471A39"/>
    <w:rsid w:val="0047220B"/>
    <w:rsid w:val="0047259D"/>
    <w:rsid w:val="004726F4"/>
    <w:rsid w:val="00473349"/>
    <w:rsid w:val="004737C0"/>
    <w:rsid w:val="00473B70"/>
    <w:rsid w:val="00473DE9"/>
    <w:rsid w:val="00475041"/>
    <w:rsid w:val="00475BA7"/>
    <w:rsid w:val="00476014"/>
    <w:rsid w:val="0047611D"/>
    <w:rsid w:val="004767C1"/>
    <w:rsid w:val="00476C9C"/>
    <w:rsid w:val="00477771"/>
    <w:rsid w:val="00477EAA"/>
    <w:rsid w:val="00480359"/>
    <w:rsid w:val="00480B7B"/>
    <w:rsid w:val="00480C64"/>
    <w:rsid w:val="004812B4"/>
    <w:rsid w:val="004814FE"/>
    <w:rsid w:val="00481820"/>
    <w:rsid w:val="0048297A"/>
    <w:rsid w:val="00482AB0"/>
    <w:rsid w:val="00483101"/>
    <w:rsid w:val="00483852"/>
    <w:rsid w:val="00483CB5"/>
    <w:rsid w:val="00484279"/>
    <w:rsid w:val="0048482D"/>
    <w:rsid w:val="00485916"/>
    <w:rsid w:val="00486712"/>
    <w:rsid w:val="004867B3"/>
    <w:rsid w:val="00487A86"/>
    <w:rsid w:val="00487AC5"/>
    <w:rsid w:val="00490A29"/>
    <w:rsid w:val="00490C7C"/>
    <w:rsid w:val="00491429"/>
    <w:rsid w:val="00491655"/>
    <w:rsid w:val="00492023"/>
    <w:rsid w:val="004924B0"/>
    <w:rsid w:val="0049275B"/>
    <w:rsid w:val="0049280E"/>
    <w:rsid w:val="00493165"/>
    <w:rsid w:val="004931A4"/>
    <w:rsid w:val="00493422"/>
    <w:rsid w:val="00493577"/>
    <w:rsid w:val="004935ED"/>
    <w:rsid w:val="00493E4B"/>
    <w:rsid w:val="004944B4"/>
    <w:rsid w:val="004954AC"/>
    <w:rsid w:val="0049588A"/>
    <w:rsid w:val="0049588B"/>
    <w:rsid w:val="00496BB8"/>
    <w:rsid w:val="00496C18"/>
    <w:rsid w:val="00496E58"/>
    <w:rsid w:val="00497DE1"/>
    <w:rsid w:val="004A06F7"/>
    <w:rsid w:val="004A077B"/>
    <w:rsid w:val="004A1C70"/>
    <w:rsid w:val="004A1D89"/>
    <w:rsid w:val="004A221B"/>
    <w:rsid w:val="004A2671"/>
    <w:rsid w:val="004A26CB"/>
    <w:rsid w:val="004A2D1B"/>
    <w:rsid w:val="004A2EB8"/>
    <w:rsid w:val="004A3525"/>
    <w:rsid w:val="004A55AE"/>
    <w:rsid w:val="004A5B1A"/>
    <w:rsid w:val="004A5C7D"/>
    <w:rsid w:val="004A618D"/>
    <w:rsid w:val="004A6538"/>
    <w:rsid w:val="004A670A"/>
    <w:rsid w:val="004A7101"/>
    <w:rsid w:val="004A75BD"/>
    <w:rsid w:val="004A784E"/>
    <w:rsid w:val="004A78C4"/>
    <w:rsid w:val="004A7EB0"/>
    <w:rsid w:val="004B03BB"/>
    <w:rsid w:val="004B118D"/>
    <w:rsid w:val="004B121A"/>
    <w:rsid w:val="004B192D"/>
    <w:rsid w:val="004B24EE"/>
    <w:rsid w:val="004B2583"/>
    <w:rsid w:val="004B348F"/>
    <w:rsid w:val="004B38ED"/>
    <w:rsid w:val="004B4D99"/>
    <w:rsid w:val="004B54DE"/>
    <w:rsid w:val="004B6526"/>
    <w:rsid w:val="004B6775"/>
    <w:rsid w:val="004B68CF"/>
    <w:rsid w:val="004B690E"/>
    <w:rsid w:val="004B6DE2"/>
    <w:rsid w:val="004C0DBE"/>
    <w:rsid w:val="004C0F91"/>
    <w:rsid w:val="004C1592"/>
    <w:rsid w:val="004C20F6"/>
    <w:rsid w:val="004C2BF3"/>
    <w:rsid w:val="004C3511"/>
    <w:rsid w:val="004C41E1"/>
    <w:rsid w:val="004C44AA"/>
    <w:rsid w:val="004C4939"/>
    <w:rsid w:val="004C4C1E"/>
    <w:rsid w:val="004C52F2"/>
    <w:rsid w:val="004C5A36"/>
    <w:rsid w:val="004C63AD"/>
    <w:rsid w:val="004C68B2"/>
    <w:rsid w:val="004C76E5"/>
    <w:rsid w:val="004C77CD"/>
    <w:rsid w:val="004D14AC"/>
    <w:rsid w:val="004D26E4"/>
    <w:rsid w:val="004D2B17"/>
    <w:rsid w:val="004D2F47"/>
    <w:rsid w:val="004D2F83"/>
    <w:rsid w:val="004D32A9"/>
    <w:rsid w:val="004D5064"/>
    <w:rsid w:val="004D530E"/>
    <w:rsid w:val="004D5C62"/>
    <w:rsid w:val="004D5C95"/>
    <w:rsid w:val="004D6532"/>
    <w:rsid w:val="004D687A"/>
    <w:rsid w:val="004D743D"/>
    <w:rsid w:val="004D7477"/>
    <w:rsid w:val="004D75B4"/>
    <w:rsid w:val="004D7B6E"/>
    <w:rsid w:val="004D7C89"/>
    <w:rsid w:val="004E0925"/>
    <w:rsid w:val="004E0A89"/>
    <w:rsid w:val="004E0A99"/>
    <w:rsid w:val="004E0D9F"/>
    <w:rsid w:val="004E1679"/>
    <w:rsid w:val="004E1E63"/>
    <w:rsid w:val="004E1EC4"/>
    <w:rsid w:val="004E2737"/>
    <w:rsid w:val="004E331E"/>
    <w:rsid w:val="004E35A1"/>
    <w:rsid w:val="004E4671"/>
    <w:rsid w:val="004E476E"/>
    <w:rsid w:val="004E5722"/>
    <w:rsid w:val="004E5871"/>
    <w:rsid w:val="004E5BFB"/>
    <w:rsid w:val="004E5DAF"/>
    <w:rsid w:val="004E5FA8"/>
    <w:rsid w:val="004E6D3B"/>
    <w:rsid w:val="004E6E38"/>
    <w:rsid w:val="004E70AB"/>
    <w:rsid w:val="004E7219"/>
    <w:rsid w:val="004E7260"/>
    <w:rsid w:val="004F0AA9"/>
    <w:rsid w:val="004F12C7"/>
    <w:rsid w:val="004F14F6"/>
    <w:rsid w:val="004F177B"/>
    <w:rsid w:val="004F1830"/>
    <w:rsid w:val="004F195E"/>
    <w:rsid w:val="004F27D9"/>
    <w:rsid w:val="004F2862"/>
    <w:rsid w:val="004F2A96"/>
    <w:rsid w:val="004F3D00"/>
    <w:rsid w:val="004F43D5"/>
    <w:rsid w:val="004F45A6"/>
    <w:rsid w:val="004F4708"/>
    <w:rsid w:val="004F4C58"/>
    <w:rsid w:val="004F52ED"/>
    <w:rsid w:val="004F58A7"/>
    <w:rsid w:val="004F5B50"/>
    <w:rsid w:val="00500FE5"/>
    <w:rsid w:val="00501F36"/>
    <w:rsid w:val="005026DE"/>
    <w:rsid w:val="00502E77"/>
    <w:rsid w:val="00503396"/>
    <w:rsid w:val="005035D5"/>
    <w:rsid w:val="005036C5"/>
    <w:rsid w:val="00504C4E"/>
    <w:rsid w:val="0050531C"/>
    <w:rsid w:val="005055F5"/>
    <w:rsid w:val="005074B2"/>
    <w:rsid w:val="00510C5F"/>
    <w:rsid w:val="00511E6C"/>
    <w:rsid w:val="00512DB7"/>
    <w:rsid w:val="00514C8A"/>
    <w:rsid w:val="005151F7"/>
    <w:rsid w:val="005154F8"/>
    <w:rsid w:val="0051587D"/>
    <w:rsid w:val="0051620D"/>
    <w:rsid w:val="0051631C"/>
    <w:rsid w:val="005163A6"/>
    <w:rsid w:val="005169A7"/>
    <w:rsid w:val="005175C8"/>
    <w:rsid w:val="00517A54"/>
    <w:rsid w:val="00517BDF"/>
    <w:rsid w:val="0052053A"/>
    <w:rsid w:val="00520DC8"/>
    <w:rsid w:val="005212AC"/>
    <w:rsid w:val="005228AB"/>
    <w:rsid w:val="00523B49"/>
    <w:rsid w:val="00523F0D"/>
    <w:rsid w:val="00524EAE"/>
    <w:rsid w:val="005254D0"/>
    <w:rsid w:val="00526350"/>
    <w:rsid w:val="00526BC7"/>
    <w:rsid w:val="00527862"/>
    <w:rsid w:val="00530C74"/>
    <w:rsid w:val="005319D4"/>
    <w:rsid w:val="0053202A"/>
    <w:rsid w:val="00533B71"/>
    <w:rsid w:val="005345E5"/>
    <w:rsid w:val="0053461E"/>
    <w:rsid w:val="00534BB7"/>
    <w:rsid w:val="005357B2"/>
    <w:rsid w:val="00535DFB"/>
    <w:rsid w:val="00535E73"/>
    <w:rsid w:val="00536349"/>
    <w:rsid w:val="005377E7"/>
    <w:rsid w:val="00537E32"/>
    <w:rsid w:val="00540E70"/>
    <w:rsid w:val="00540F9E"/>
    <w:rsid w:val="00541716"/>
    <w:rsid w:val="0054188A"/>
    <w:rsid w:val="0054196C"/>
    <w:rsid w:val="00541AEF"/>
    <w:rsid w:val="00541F4A"/>
    <w:rsid w:val="005421FA"/>
    <w:rsid w:val="00542971"/>
    <w:rsid w:val="00543633"/>
    <w:rsid w:val="0054437C"/>
    <w:rsid w:val="00544EA4"/>
    <w:rsid w:val="00545543"/>
    <w:rsid w:val="0054591D"/>
    <w:rsid w:val="00546DA2"/>
    <w:rsid w:val="00547E59"/>
    <w:rsid w:val="00550277"/>
    <w:rsid w:val="00550631"/>
    <w:rsid w:val="0055125E"/>
    <w:rsid w:val="0055148E"/>
    <w:rsid w:val="00551656"/>
    <w:rsid w:val="00551C81"/>
    <w:rsid w:val="00552132"/>
    <w:rsid w:val="00552D43"/>
    <w:rsid w:val="005537D7"/>
    <w:rsid w:val="005540FB"/>
    <w:rsid w:val="00554E0D"/>
    <w:rsid w:val="005552CB"/>
    <w:rsid w:val="0055658E"/>
    <w:rsid w:val="0055667D"/>
    <w:rsid w:val="005567A3"/>
    <w:rsid w:val="00556B49"/>
    <w:rsid w:val="005600FD"/>
    <w:rsid w:val="005612E6"/>
    <w:rsid w:val="00561F7B"/>
    <w:rsid w:val="0056293D"/>
    <w:rsid w:val="00562D09"/>
    <w:rsid w:val="005630E1"/>
    <w:rsid w:val="00563216"/>
    <w:rsid w:val="00563D2D"/>
    <w:rsid w:val="00563F47"/>
    <w:rsid w:val="00564606"/>
    <w:rsid w:val="00565156"/>
    <w:rsid w:val="005656BE"/>
    <w:rsid w:val="00570A74"/>
    <w:rsid w:val="00570C47"/>
    <w:rsid w:val="005711D9"/>
    <w:rsid w:val="005717B4"/>
    <w:rsid w:val="0057233F"/>
    <w:rsid w:val="00572C84"/>
    <w:rsid w:val="0057332E"/>
    <w:rsid w:val="00573D5A"/>
    <w:rsid w:val="00577E8F"/>
    <w:rsid w:val="0058035E"/>
    <w:rsid w:val="00580EDF"/>
    <w:rsid w:val="005812C6"/>
    <w:rsid w:val="00581D09"/>
    <w:rsid w:val="00582B24"/>
    <w:rsid w:val="00582BEB"/>
    <w:rsid w:val="00582FD5"/>
    <w:rsid w:val="005833C9"/>
    <w:rsid w:val="005837C8"/>
    <w:rsid w:val="00583E2F"/>
    <w:rsid w:val="00584681"/>
    <w:rsid w:val="00584EB8"/>
    <w:rsid w:val="005866A3"/>
    <w:rsid w:val="00587CB3"/>
    <w:rsid w:val="00590030"/>
    <w:rsid w:val="00590808"/>
    <w:rsid w:val="00590AB7"/>
    <w:rsid w:val="00590F34"/>
    <w:rsid w:val="0059264D"/>
    <w:rsid w:val="0059369E"/>
    <w:rsid w:val="005947BC"/>
    <w:rsid w:val="00594F33"/>
    <w:rsid w:val="005957DC"/>
    <w:rsid w:val="005958B5"/>
    <w:rsid w:val="005958C2"/>
    <w:rsid w:val="00596689"/>
    <w:rsid w:val="00596927"/>
    <w:rsid w:val="00596A77"/>
    <w:rsid w:val="00596CD4"/>
    <w:rsid w:val="00597167"/>
    <w:rsid w:val="005973CB"/>
    <w:rsid w:val="005975CA"/>
    <w:rsid w:val="00597DB6"/>
    <w:rsid w:val="005A04A5"/>
    <w:rsid w:val="005A098D"/>
    <w:rsid w:val="005A0B04"/>
    <w:rsid w:val="005A0CF0"/>
    <w:rsid w:val="005A15FE"/>
    <w:rsid w:val="005A218C"/>
    <w:rsid w:val="005A241E"/>
    <w:rsid w:val="005A33FC"/>
    <w:rsid w:val="005A3FE1"/>
    <w:rsid w:val="005A400C"/>
    <w:rsid w:val="005A5072"/>
    <w:rsid w:val="005A5A14"/>
    <w:rsid w:val="005A6CAF"/>
    <w:rsid w:val="005A7EF0"/>
    <w:rsid w:val="005B01D0"/>
    <w:rsid w:val="005B0C4F"/>
    <w:rsid w:val="005B136B"/>
    <w:rsid w:val="005B1653"/>
    <w:rsid w:val="005B166A"/>
    <w:rsid w:val="005B2FE8"/>
    <w:rsid w:val="005B34F2"/>
    <w:rsid w:val="005B3926"/>
    <w:rsid w:val="005B40A1"/>
    <w:rsid w:val="005B4A08"/>
    <w:rsid w:val="005B4A62"/>
    <w:rsid w:val="005B4D5B"/>
    <w:rsid w:val="005B4DD6"/>
    <w:rsid w:val="005B5506"/>
    <w:rsid w:val="005C0F30"/>
    <w:rsid w:val="005C168E"/>
    <w:rsid w:val="005C24DA"/>
    <w:rsid w:val="005C327D"/>
    <w:rsid w:val="005C361E"/>
    <w:rsid w:val="005C4551"/>
    <w:rsid w:val="005C4BDA"/>
    <w:rsid w:val="005C52BD"/>
    <w:rsid w:val="005C5D67"/>
    <w:rsid w:val="005C5FA4"/>
    <w:rsid w:val="005C67A3"/>
    <w:rsid w:val="005C6994"/>
    <w:rsid w:val="005C6C45"/>
    <w:rsid w:val="005C734E"/>
    <w:rsid w:val="005D0E24"/>
    <w:rsid w:val="005D1BCC"/>
    <w:rsid w:val="005D2C9F"/>
    <w:rsid w:val="005D41CA"/>
    <w:rsid w:val="005D460B"/>
    <w:rsid w:val="005D4932"/>
    <w:rsid w:val="005D4F9E"/>
    <w:rsid w:val="005D52F3"/>
    <w:rsid w:val="005D5BB2"/>
    <w:rsid w:val="005D7659"/>
    <w:rsid w:val="005E00D9"/>
    <w:rsid w:val="005E27C5"/>
    <w:rsid w:val="005E2ABE"/>
    <w:rsid w:val="005E2DFE"/>
    <w:rsid w:val="005E2F2C"/>
    <w:rsid w:val="005E367E"/>
    <w:rsid w:val="005E4DB4"/>
    <w:rsid w:val="005E4E22"/>
    <w:rsid w:val="005E645F"/>
    <w:rsid w:val="005E7ACE"/>
    <w:rsid w:val="005F0354"/>
    <w:rsid w:val="005F04FF"/>
    <w:rsid w:val="005F06C7"/>
    <w:rsid w:val="005F088D"/>
    <w:rsid w:val="005F0EB9"/>
    <w:rsid w:val="005F1625"/>
    <w:rsid w:val="005F185B"/>
    <w:rsid w:val="005F1E12"/>
    <w:rsid w:val="005F319A"/>
    <w:rsid w:val="005F348E"/>
    <w:rsid w:val="005F359C"/>
    <w:rsid w:val="005F367D"/>
    <w:rsid w:val="005F563E"/>
    <w:rsid w:val="005F59AD"/>
    <w:rsid w:val="005F6117"/>
    <w:rsid w:val="005F71AD"/>
    <w:rsid w:val="005F720E"/>
    <w:rsid w:val="005F769E"/>
    <w:rsid w:val="0060092B"/>
    <w:rsid w:val="00602045"/>
    <w:rsid w:val="006028DD"/>
    <w:rsid w:val="006030AD"/>
    <w:rsid w:val="0060336A"/>
    <w:rsid w:val="00603627"/>
    <w:rsid w:val="0060473C"/>
    <w:rsid w:val="006047D4"/>
    <w:rsid w:val="0060596A"/>
    <w:rsid w:val="006065A6"/>
    <w:rsid w:val="00606811"/>
    <w:rsid w:val="00607347"/>
    <w:rsid w:val="00607C2D"/>
    <w:rsid w:val="00611CCA"/>
    <w:rsid w:val="00612316"/>
    <w:rsid w:val="0061280E"/>
    <w:rsid w:val="00613B36"/>
    <w:rsid w:val="006148D9"/>
    <w:rsid w:val="00614AEC"/>
    <w:rsid w:val="00616801"/>
    <w:rsid w:val="00616B2E"/>
    <w:rsid w:val="00617BE1"/>
    <w:rsid w:val="00617DFF"/>
    <w:rsid w:val="00621C78"/>
    <w:rsid w:val="00622614"/>
    <w:rsid w:val="00622898"/>
    <w:rsid w:val="00622AF6"/>
    <w:rsid w:val="006238C8"/>
    <w:rsid w:val="00624680"/>
    <w:rsid w:val="00624B69"/>
    <w:rsid w:val="00624E85"/>
    <w:rsid w:val="0062508C"/>
    <w:rsid w:val="0062543A"/>
    <w:rsid w:val="00625652"/>
    <w:rsid w:val="00625838"/>
    <w:rsid w:val="00625C9E"/>
    <w:rsid w:val="00625ED5"/>
    <w:rsid w:val="0062668A"/>
    <w:rsid w:val="00626AC5"/>
    <w:rsid w:val="006279B0"/>
    <w:rsid w:val="00630608"/>
    <w:rsid w:val="00630D41"/>
    <w:rsid w:val="00630EA3"/>
    <w:rsid w:val="0063110A"/>
    <w:rsid w:val="006313B3"/>
    <w:rsid w:val="00631FCB"/>
    <w:rsid w:val="00632D37"/>
    <w:rsid w:val="00633169"/>
    <w:rsid w:val="0063362F"/>
    <w:rsid w:val="00633A7F"/>
    <w:rsid w:val="00634200"/>
    <w:rsid w:val="00634ECE"/>
    <w:rsid w:val="006357AC"/>
    <w:rsid w:val="006366E1"/>
    <w:rsid w:val="00636807"/>
    <w:rsid w:val="00636B3D"/>
    <w:rsid w:val="00637356"/>
    <w:rsid w:val="00640005"/>
    <w:rsid w:val="006409BD"/>
    <w:rsid w:val="006409F0"/>
    <w:rsid w:val="00640CE6"/>
    <w:rsid w:val="006410E2"/>
    <w:rsid w:val="006416D6"/>
    <w:rsid w:val="00641B11"/>
    <w:rsid w:val="00641F48"/>
    <w:rsid w:val="0064233B"/>
    <w:rsid w:val="00642611"/>
    <w:rsid w:val="006434AA"/>
    <w:rsid w:val="006434CF"/>
    <w:rsid w:val="00643CBB"/>
    <w:rsid w:val="00643DD8"/>
    <w:rsid w:val="00645755"/>
    <w:rsid w:val="00645B15"/>
    <w:rsid w:val="00645F1D"/>
    <w:rsid w:val="00646708"/>
    <w:rsid w:val="0064711D"/>
    <w:rsid w:val="0064772A"/>
    <w:rsid w:val="006478BC"/>
    <w:rsid w:val="00647BFD"/>
    <w:rsid w:val="00650CD9"/>
    <w:rsid w:val="00650D96"/>
    <w:rsid w:val="00652704"/>
    <w:rsid w:val="00652792"/>
    <w:rsid w:val="00652C73"/>
    <w:rsid w:val="006530C3"/>
    <w:rsid w:val="006531BE"/>
    <w:rsid w:val="0065369D"/>
    <w:rsid w:val="00653949"/>
    <w:rsid w:val="0065399C"/>
    <w:rsid w:val="0065423F"/>
    <w:rsid w:val="006548E1"/>
    <w:rsid w:val="00654F56"/>
    <w:rsid w:val="006557D7"/>
    <w:rsid w:val="00655A5E"/>
    <w:rsid w:val="00655AE7"/>
    <w:rsid w:val="00656286"/>
    <w:rsid w:val="006566DA"/>
    <w:rsid w:val="00661B9B"/>
    <w:rsid w:val="006636FD"/>
    <w:rsid w:val="006637BF"/>
    <w:rsid w:val="0066396F"/>
    <w:rsid w:val="00663D14"/>
    <w:rsid w:val="00663E5B"/>
    <w:rsid w:val="006641E6"/>
    <w:rsid w:val="00664F76"/>
    <w:rsid w:val="006659A0"/>
    <w:rsid w:val="00665A10"/>
    <w:rsid w:val="00666915"/>
    <w:rsid w:val="006671E5"/>
    <w:rsid w:val="0066738E"/>
    <w:rsid w:val="0066764A"/>
    <w:rsid w:val="00667A7C"/>
    <w:rsid w:val="00667F08"/>
    <w:rsid w:val="0067090F"/>
    <w:rsid w:val="00670DE6"/>
    <w:rsid w:val="00671829"/>
    <w:rsid w:val="00671A2D"/>
    <w:rsid w:val="00671EB1"/>
    <w:rsid w:val="0067207C"/>
    <w:rsid w:val="006727A0"/>
    <w:rsid w:val="00672C89"/>
    <w:rsid w:val="00673212"/>
    <w:rsid w:val="00673D7D"/>
    <w:rsid w:val="00673F40"/>
    <w:rsid w:val="0067428B"/>
    <w:rsid w:val="00674377"/>
    <w:rsid w:val="0067483B"/>
    <w:rsid w:val="006756E4"/>
    <w:rsid w:val="006765A2"/>
    <w:rsid w:val="00676738"/>
    <w:rsid w:val="00676F02"/>
    <w:rsid w:val="00677085"/>
    <w:rsid w:val="00677489"/>
    <w:rsid w:val="00677E88"/>
    <w:rsid w:val="0068000A"/>
    <w:rsid w:val="006806D7"/>
    <w:rsid w:val="00680F5E"/>
    <w:rsid w:val="006818F6"/>
    <w:rsid w:val="00681927"/>
    <w:rsid w:val="006828E6"/>
    <w:rsid w:val="00682ABF"/>
    <w:rsid w:val="006835BE"/>
    <w:rsid w:val="00683D9F"/>
    <w:rsid w:val="006840BB"/>
    <w:rsid w:val="006840C7"/>
    <w:rsid w:val="006845AE"/>
    <w:rsid w:val="0068485F"/>
    <w:rsid w:val="006848E5"/>
    <w:rsid w:val="00684F00"/>
    <w:rsid w:val="006859F6"/>
    <w:rsid w:val="0068616A"/>
    <w:rsid w:val="00686E4F"/>
    <w:rsid w:val="0068729A"/>
    <w:rsid w:val="00687C8E"/>
    <w:rsid w:val="00687D08"/>
    <w:rsid w:val="006928EE"/>
    <w:rsid w:val="00692E0D"/>
    <w:rsid w:val="00692EED"/>
    <w:rsid w:val="0069418A"/>
    <w:rsid w:val="006945E6"/>
    <w:rsid w:val="00694E1E"/>
    <w:rsid w:val="0069529E"/>
    <w:rsid w:val="00695A52"/>
    <w:rsid w:val="006968BA"/>
    <w:rsid w:val="00696CAF"/>
    <w:rsid w:val="00697DF4"/>
    <w:rsid w:val="006A0381"/>
    <w:rsid w:val="006A08A4"/>
    <w:rsid w:val="006A0B84"/>
    <w:rsid w:val="006A0F13"/>
    <w:rsid w:val="006A198F"/>
    <w:rsid w:val="006A1DB0"/>
    <w:rsid w:val="006A2ECE"/>
    <w:rsid w:val="006A3B88"/>
    <w:rsid w:val="006A4138"/>
    <w:rsid w:val="006A4D9A"/>
    <w:rsid w:val="006A60E8"/>
    <w:rsid w:val="006A64CE"/>
    <w:rsid w:val="006A6807"/>
    <w:rsid w:val="006A6A19"/>
    <w:rsid w:val="006A72A6"/>
    <w:rsid w:val="006A7AF8"/>
    <w:rsid w:val="006A7E27"/>
    <w:rsid w:val="006B03FF"/>
    <w:rsid w:val="006B0DA3"/>
    <w:rsid w:val="006B0E4C"/>
    <w:rsid w:val="006B1043"/>
    <w:rsid w:val="006B14DB"/>
    <w:rsid w:val="006B238A"/>
    <w:rsid w:val="006B2397"/>
    <w:rsid w:val="006B2649"/>
    <w:rsid w:val="006B280D"/>
    <w:rsid w:val="006B2BB1"/>
    <w:rsid w:val="006B31FB"/>
    <w:rsid w:val="006B3786"/>
    <w:rsid w:val="006B3A5F"/>
    <w:rsid w:val="006B3AE8"/>
    <w:rsid w:val="006B3D1E"/>
    <w:rsid w:val="006B3DD2"/>
    <w:rsid w:val="006B464D"/>
    <w:rsid w:val="006B4B25"/>
    <w:rsid w:val="006B4B31"/>
    <w:rsid w:val="006B4BEE"/>
    <w:rsid w:val="006B4DCB"/>
    <w:rsid w:val="006B5EF1"/>
    <w:rsid w:val="006B6264"/>
    <w:rsid w:val="006B6568"/>
    <w:rsid w:val="006B7A6D"/>
    <w:rsid w:val="006B7E20"/>
    <w:rsid w:val="006B7E70"/>
    <w:rsid w:val="006C01C5"/>
    <w:rsid w:val="006C043B"/>
    <w:rsid w:val="006C073C"/>
    <w:rsid w:val="006C0EA6"/>
    <w:rsid w:val="006C17C5"/>
    <w:rsid w:val="006C229F"/>
    <w:rsid w:val="006C2B7F"/>
    <w:rsid w:val="006C3102"/>
    <w:rsid w:val="006C40C7"/>
    <w:rsid w:val="006C5997"/>
    <w:rsid w:val="006C5DC7"/>
    <w:rsid w:val="006C650A"/>
    <w:rsid w:val="006D0727"/>
    <w:rsid w:val="006D1934"/>
    <w:rsid w:val="006D1E57"/>
    <w:rsid w:val="006D23BD"/>
    <w:rsid w:val="006D2437"/>
    <w:rsid w:val="006D270B"/>
    <w:rsid w:val="006D359F"/>
    <w:rsid w:val="006D4D28"/>
    <w:rsid w:val="006D4DE5"/>
    <w:rsid w:val="006D5165"/>
    <w:rsid w:val="006D6264"/>
    <w:rsid w:val="006D655C"/>
    <w:rsid w:val="006D66E5"/>
    <w:rsid w:val="006D677F"/>
    <w:rsid w:val="006D7BCF"/>
    <w:rsid w:val="006E0169"/>
    <w:rsid w:val="006E0655"/>
    <w:rsid w:val="006E084C"/>
    <w:rsid w:val="006E0D3D"/>
    <w:rsid w:val="006E0F99"/>
    <w:rsid w:val="006E1AC1"/>
    <w:rsid w:val="006E2245"/>
    <w:rsid w:val="006E27E8"/>
    <w:rsid w:val="006E40B0"/>
    <w:rsid w:val="006E433D"/>
    <w:rsid w:val="006E5EEB"/>
    <w:rsid w:val="006E6324"/>
    <w:rsid w:val="006E6540"/>
    <w:rsid w:val="006E69B9"/>
    <w:rsid w:val="006F02E7"/>
    <w:rsid w:val="006F0805"/>
    <w:rsid w:val="006F09EF"/>
    <w:rsid w:val="006F0BEC"/>
    <w:rsid w:val="006F172D"/>
    <w:rsid w:val="006F24DD"/>
    <w:rsid w:val="006F27B0"/>
    <w:rsid w:val="006F371E"/>
    <w:rsid w:val="006F399B"/>
    <w:rsid w:val="006F3BCC"/>
    <w:rsid w:val="006F3BEF"/>
    <w:rsid w:val="006F3C6D"/>
    <w:rsid w:val="006F412E"/>
    <w:rsid w:val="006F4A44"/>
    <w:rsid w:val="006F4FF0"/>
    <w:rsid w:val="006F5850"/>
    <w:rsid w:val="006F6FCE"/>
    <w:rsid w:val="006F783F"/>
    <w:rsid w:val="006F7CD7"/>
    <w:rsid w:val="0070047A"/>
    <w:rsid w:val="00700507"/>
    <w:rsid w:val="007008A0"/>
    <w:rsid w:val="00700917"/>
    <w:rsid w:val="00700D3D"/>
    <w:rsid w:val="00700DC9"/>
    <w:rsid w:val="007017D1"/>
    <w:rsid w:val="007036DF"/>
    <w:rsid w:val="00704037"/>
    <w:rsid w:val="007047FF"/>
    <w:rsid w:val="007058DE"/>
    <w:rsid w:val="00707632"/>
    <w:rsid w:val="007125D3"/>
    <w:rsid w:val="0071431F"/>
    <w:rsid w:val="00714455"/>
    <w:rsid w:val="007168E8"/>
    <w:rsid w:val="00717FE0"/>
    <w:rsid w:val="007202B1"/>
    <w:rsid w:val="007209F7"/>
    <w:rsid w:val="00720DB5"/>
    <w:rsid w:val="00720E34"/>
    <w:rsid w:val="007222FD"/>
    <w:rsid w:val="007223C7"/>
    <w:rsid w:val="00722E43"/>
    <w:rsid w:val="00722F34"/>
    <w:rsid w:val="007235C6"/>
    <w:rsid w:val="00723660"/>
    <w:rsid w:val="0072395D"/>
    <w:rsid w:val="00724B5F"/>
    <w:rsid w:val="00725278"/>
    <w:rsid w:val="007259D6"/>
    <w:rsid w:val="00725EA5"/>
    <w:rsid w:val="00726D13"/>
    <w:rsid w:val="00726F22"/>
    <w:rsid w:val="00727DEA"/>
    <w:rsid w:val="0073042C"/>
    <w:rsid w:val="00730EAF"/>
    <w:rsid w:val="00731342"/>
    <w:rsid w:val="00731926"/>
    <w:rsid w:val="00731C99"/>
    <w:rsid w:val="007324DA"/>
    <w:rsid w:val="0073313C"/>
    <w:rsid w:val="00733B2E"/>
    <w:rsid w:val="0073501E"/>
    <w:rsid w:val="007357ED"/>
    <w:rsid w:val="0073639F"/>
    <w:rsid w:val="00736503"/>
    <w:rsid w:val="00736626"/>
    <w:rsid w:val="00736B8C"/>
    <w:rsid w:val="00737034"/>
    <w:rsid w:val="0073737A"/>
    <w:rsid w:val="00737968"/>
    <w:rsid w:val="00740B79"/>
    <w:rsid w:val="00742AB0"/>
    <w:rsid w:val="00743828"/>
    <w:rsid w:val="007438D8"/>
    <w:rsid w:val="00744398"/>
    <w:rsid w:val="00744665"/>
    <w:rsid w:val="00744886"/>
    <w:rsid w:val="00744AAE"/>
    <w:rsid w:val="00745303"/>
    <w:rsid w:val="0074541A"/>
    <w:rsid w:val="0074573A"/>
    <w:rsid w:val="00745BED"/>
    <w:rsid w:val="00745D29"/>
    <w:rsid w:val="007460BC"/>
    <w:rsid w:val="00746730"/>
    <w:rsid w:val="00746E5E"/>
    <w:rsid w:val="007478EC"/>
    <w:rsid w:val="007503F9"/>
    <w:rsid w:val="00751164"/>
    <w:rsid w:val="007512D3"/>
    <w:rsid w:val="00751460"/>
    <w:rsid w:val="0075190F"/>
    <w:rsid w:val="007538F4"/>
    <w:rsid w:val="00754665"/>
    <w:rsid w:val="00754A1A"/>
    <w:rsid w:val="00754A44"/>
    <w:rsid w:val="00754AB8"/>
    <w:rsid w:val="00755570"/>
    <w:rsid w:val="00755748"/>
    <w:rsid w:val="00756FF3"/>
    <w:rsid w:val="0075707B"/>
    <w:rsid w:val="007578A2"/>
    <w:rsid w:val="00757FFA"/>
    <w:rsid w:val="00760EA0"/>
    <w:rsid w:val="00762427"/>
    <w:rsid w:val="007629DD"/>
    <w:rsid w:val="007636CF"/>
    <w:rsid w:val="00763D23"/>
    <w:rsid w:val="0076408B"/>
    <w:rsid w:val="0076430B"/>
    <w:rsid w:val="0076437A"/>
    <w:rsid w:val="007646BE"/>
    <w:rsid w:val="0076550D"/>
    <w:rsid w:val="00765A4C"/>
    <w:rsid w:val="00767BC9"/>
    <w:rsid w:val="007701A2"/>
    <w:rsid w:val="00770B09"/>
    <w:rsid w:val="00770D69"/>
    <w:rsid w:val="00770EC1"/>
    <w:rsid w:val="007711F3"/>
    <w:rsid w:val="00771227"/>
    <w:rsid w:val="007713B3"/>
    <w:rsid w:val="00771A91"/>
    <w:rsid w:val="00772EC6"/>
    <w:rsid w:val="00773087"/>
    <w:rsid w:val="00773CED"/>
    <w:rsid w:val="00774145"/>
    <w:rsid w:val="0077417B"/>
    <w:rsid w:val="0077466C"/>
    <w:rsid w:val="00775512"/>
    <w:rsid w:val="00776B42"/>
    <w:rsid w:val="0077747D"/>
    <w:rsid w:val="00777EE1"/>
    <w:rsid w:val="007801FF"/>
    <w:rsid w:val="0078077E"/>
    <w:rsid w:val="007815E0"/>
    <w:rsid w:val="0078195B"/>
    <w:rsid w:val="00781E9B"/>
    <w:rsid w:val="00782928"/>
    <w:rsid w:val="00782987"/>
    <w:rsid w:val="0078400F"/>
    <w:rsid w:val="007845F9"/>
    <w:rsid w:val="007859F6"/>
    <w:rsid w:val="00785F60"/>
    <w:rsid w:val="00787CD5"/>
    <w:rsid w:val="00791BEC"/>
    <w:rsid w:val="00791C8F"/>
    <w:rsid w:val="00792059"/>
    <w:rsid w:val="007926FB"/>
    <w:rsid w:val="00792854"/>
    <w:rsid w:val="007928DE"/>
    <w:rsid w:val="00793256"/>
    <w:rsid w:val="007933E9"/>
    <w:rsid w:val="0079360F"/>
    <w:rsid w:val="00793710"/>
    <w:rsid w:val="0079527D"/>
    <w:rsid w:val="0079573F"/>
    <w:rsid w:val="00795CFB"/>
    <w:rsid w:val="00795E60"/>
    <w:rsid w:val="00796EEF"/>
    <w:rsid w:val="00797800"/>
    <w:rsid w:val="007A0057"/>
    <w:rsid w:val="007A0130"/>
    <w:rsid w:val="007A07DB"/>
    <w:rsid w:val="007A1415"/>
    <w:rsid w:val="007A1600"/>
    <w:rsid w:val="007A1EA2"/>
    <w:rsid w:val="007A1F6B"/>
    <w:rsid w:val="007A213B"/>
    <w:rsid w:val="007A2D57"/>
    <w:rsid w:val="007A3929"/>
    <w:rsid w:val="007A3B48"/>
    <w:rsid w:val="007A4175"/>
    <w:rsid w:val="007A483C"/>
    <w:rsid w:val="007A57C1"/>
    <w:rsid w:val="007A5989"/>
    <w:rsid w:val="007A6622"/>
    <w:rsid w:val="007A6A44"/>
    <w:rsid w:val="007A706F"/>
    <w:rsid w:val="007B0044"/>
    <w:rsid w:val="007B0A45"/>
    <w:rsid w:val="007B0D0E"/>
    <w:rsid w:val="007B1315"/>
    <w:rsid w:val="007B2C26"/>
    <w:rsid w:val="007B2ECC"/>
    <w:rsid w:val="007B30D0"/>
    <w:rsid w:val="007B3211"/>
    <w:rsid w:val="007B3748"/>
    <w:rsid w:val="007B3BFE"/>
    <w:rsid w:val="007B3D1B"/>
    <w:rsid w:val="007B4341"/>
    <w:rsid w:val="007B447C"/>
    <w:rsid w:val="007B4911"/>
    <w:rsid w:val="007B4AE5"/>
    <w:rsid w:val="007B4C25"/>
    <w:rsid w:val="007B4CB0"/>
    <w:rsid w:val="007B4F9C"/>
    <w:rsid w:val="007B56FB"/>
    <w:rsid w:val="007B5853"/>
    <w:rsid w:val="007B7037"/>
    <w:rsid w:val="007B703A"/>
    <w:rsid w:val="007B7341"/>
    <w:rsid w:val="007B7533"/>
    <w:rsid w:val="007B7B25"/>
    <w:rsid w:val="007C196A"/>
    <w:rsid w:val="007C2432"/>
    <w:rsid w:val="007C2F87"/>
    <w:rsid w:val="007C3CEC"/>
    <w:rsid w:val="007C3CF8"/>
    <w:rsid w:val="007C3DFC"/>
    <w:rsid w:val="007C3FEE"/>
    <w:rsid w:val="007C42B6"/>
    <w:rsid w:val="007C454B"/>
    <w:rsid w:val="007C4D70"/>
    <w:rsid w:val="007C5FC5"/>
    <w:rsid w:val="007C6CBC"/>
    <w:rsid w:val="007C6F05"/>
    <w:rsid w:val="007C74C3"/>
    <w:rsid w:val="007C7AF6"/>
    <w:rsid w:val="007D0D6F"/>
    <w:rsid w:val="007D11A8"/>
    <w:rsid w:val="007D1FDF"/>
    <w:rsid w:val="007D2041"/>
    <w:rsid w:val="007D20F4"/>
    <w:rsid w:val="007D2393"/>
    <w:rsid w:val="007D284E"/>
    <w:rsid w:val="007D42FD"/>
    <w:rsid w:val="007D4604"/>
    <w:rsid w:val="007D496C"/>
    <w:rsid w:val="007D6AD0"/>
    <w:rsid w:val="007D6DF2"/>
    <w:rsid w:val="007D7329"/>
    <w:rsid w:val="007D7ADC"/>
    <w:rsid w:val="007D7BBB"/>
    <w:rsid w:val="007D7E85"/>
    <w:rsid w:val="007E11E9"/>
    <w:rsid w:val="007E12AC"/>
    <w:rsid w:val="007E146B"/>
    <w:rsid w:val="007E19DD"/>
    <w:rsid w:val="007E1CA3"/>
    <w:rsid w:val="007E2065"/>
    <w:rsid w:val="007E356F"/>
    <w:rsid w:val="007E4434"/>
    <w:rsid w:val="007E44E2"/>
    <w:rsid w:val="007E4A65"/>
    <w:rsid w:val="007E5429"/>
    <w:rsid w:val="007E56FF"/>
    <w:rsid w:val="007E57B8"/>
    <w:rsid w:val="007E58F8"/>
    <w:rsid w:val="007E61FB"/>
    <w:rsid w:val="007E6E23"/>
    <w:rsid w:val="007E7923"/>
    <w:rsid w:val="007F0381"/>
    <w:rsid w:val="007F0E09"/>
    <w:rsid w:val="007F15B0"/>
    <w:rsid w:val="007F1BD7"/>
    <w:rsid w:val="007F263F"/>
    <w:rsid w:val="007F2884"/>
    <w:rsid w:val="007F29E0"/>
    <w:rsid w:val="007F2E92"/>
    <w:rsid w:val="007F2F75"/>
    <w:rsid w:val="007F303D"/>
    <w:rsid w:val="007F3FF0"/>
    <w:rsid w:val="007F52FF"/>
    <w:rsid w:val="007F563D"/>
    <w:rsid w:val="007F5A0D"/>
    <w:rsid w:val="007F61A4"/>
    <w:rsid w:val="007F69C0"/>
    <w:rsid w:val="007F6B83"/>
    <w:rsid w:val="007F72A7"/>
    <w:rsid w:val="007F7A61"/>
    <w:rsid w:val="00800494"/>
    <w:rsid w:val="00800904"/>
    <w:rsid w:val="00801E7A"/>
    <w:rsid w:val="008021B4"/>
    <w:rsid w:val="00802A18"/>
    <w:rsid w:val="008031FA"/>
    <w:rsid w:val="008040B7"/>
    <w:rsid w:val="00804BC9"/>
    <w:rsid w:val="00804E23"/>
    <w:rsid w:val="008055BD"/>
    <w:rsid w:val="008056E1"/>
    <w:rsid w:val="00805CC2"/>
    <w:rsid w:val="0080707A"/>
    <w:rsid w:val="008072BB"/>
    <w:rsid w:val="008073B6"/>
    <w:rsid w:val="00807A50"/>
    <w:rsid w:val="00807C2E"/>
    <w:rsid w:val="008106E9"/>
    <w:rsid w:val="00812AE6"/>
    <w:rsid w:val="008139CD"/>
    <w:rsid w:val="00813E2C"/>
    <w:rsid w:val="00814B62"/>
    <w:rsid w:val="00815355"/>
    <w:rsid w:val="008153D9"/>
    <w:rsid w:val="00815986"/>
    <w:rsid w:val="00816FCE"/>
    <w:rsid w:val="00820B23"/>
    <w:rsid w:val="008212EA"/>
    <w:rsid w:val="008222D8"/>
    <w:rsid w:val="00822A37"/>
    <w:rsid w:val="00822FD0"/>
    <w:rsid w:val="00823507"/>
    <w:rsid w:val="0082369D"/>
    <w:rsid w:val="0082398F"/>
    <w:rsid w:val="008240A0"/>
    <w:rsid w:val="0082467D"/>
    <w:rsid w:val="00824820"/>
    <w:rsid w:val="008249C3"/>
    <w:rsid w:val="00824E8E"/>
    <w:rsid w:val="00824F4E"/>
    <w:rsid w:val="008266F5"/>
    <w:rsid w:val="008275B1"/>
    <w:rsid w:val="00827DCF"/>
    <w:rsid w:val="00830886"/>
    <w:rsid w:val="00830ABF"/>
    <w:rsid w:val="00831240"/>
    <w:rsid w:val="0083172B"/>
    <w:rsid w:val="0083196A"/>
    <w:rsid w:val="00831C18"/>
    <w:rsid w:val="00832695"/>
    <w:rsid w:val="008327A9"/>
    <w:rsid w:val="008328A2"/>
    <w:rsid w:val="0083459B"/>
    <w:rsid w:val="008346CD"/>
    <w:rsid w:val="00834F02"/>
    <w:rsid w:val="0083575F"/>
    <w:rsid w:val="00835A3E"/>
    <w:rsid w:val="0083624A"/>
    <w:rsid w:val="00836F82"/>
    <w:rsid w:val="00837207"/>
    <w:rsid w:val="008373F4"/>
    <w:rsid w:val="00837C63"/>
    <w:rsid w:val="008409C8"/>
    <w:rsid w:val="00841F7C"/>
    <w:rsid w:val="00842383"/>
    <w:rsid w:val="00842B02"/>
    <w:rsid w:val="008433D4"/>
    <w:rsid w:val="008443F9"/>
    <w:rsid w:val="00845A3A"/>
    <w:rsid w:val="00847345"/>
    <w:rsid w:val="00847B2F"/>
    <w:rsid w:val="0085030B"/>
    <w:rsid w:val="0085096B"/>
    <w:rsid w:val="00850D38"/>
    <w:rsid w:val="00852FB6"/>
    <w:rsid w:val="00855195"/>
    <w:rsid w:val="00855918"/>
    <w:rsid w:val="00856566"/>
    <w:rsid w:val="00856581"/>
    <w:rsid w:val="00857BEC"/>
    <w:rsid w:val="0086105A"/>
    <w:rsid w:val="008615B8"/>
    <w:rsid w:val="008627FB"/>
    <w:rsid w:val="00862B67"/>
    <w:rsid w:val="00864375"/>
    <w:rsid w:val="00864685"/>
    <w:rsid w:val="008649B1"/>
    <w:rsid w:val="00864AF3"/>
    <w:rsid w:val="00864C98"/>
    <w:rsid w:val="00864EC2"/>
    <w:rsid w:val="00864FE6"/>
    <w:rsid w:val="00865967"/>
    <w:rsid w:val="00865E2C"/>
    <w:rsid w:val="00866411"/>
    <w:rsid w:val="008675AD"/>
    <w:rsid w:val="00867A41"/>
    <w:rsid w:val="00867DCC"/>
    <w:rsid w:val="00870110"/>
    <w:rsid w:val="00870135"/>
    <w:rsid w:val="008706E2"/>
    <w:rsid w:val="0087091A"/>
    <w:rsid w:val="00870A44"/>
    <w:rsid w:val="00870E0E"/>
    <w:rsid w:val="00871151"/>
    <w:rsid w:val="00871D2A"/>
    <w:rsid w:val="00873B1E"/>
    <w:rsid w:val="00873DEF"/>
    <w:rsid w:val="00873FD8"/>
    <w:rsid w:val="00874BBB"/>
    <w:rsid w:val="00876310"/>
    <w:rsid w:val="00876CA5"/>
    <w:rsid w:val="00880226"/>
    <w:rsid w:val="00880B14"/>
    <w:rsid w:val="00881022"/>
    <w:rsid w:val="00881BA7"/>
    <w:rsid w:val="00882CD4"/>
    <w:rsid w:val="00882F17"/>
    <w:rsid w:val="00883620"/>
    <w:rsid w:val="008844BA"/>
    <w:rsid w:val="00884C7A"/>
    <w:rsid w:val="00884D4B"/>
    <w:rsid w:val="00884F85"/>
    <w:rsid w:val="008859D5"/>
    <w:rsid w:val="00885DCA"/>
    <w:rsid w:val="008865C3"/>
    <w:rsid w:val="008865DC"/>
    <w:rsid w:val="0088755C"/>
    <w:rsid w:val="00890123"/>
    <w:rsid w:val="008909F2"/>
    <w:rsid w:val="00891C7E"/>
    <w:rsid w:val="008928A1"/>
    <w:rsid w:val="008928A4"/>
    <w:rsid w:val="00892962"/>
    <w:rsid w:val="008959A0"/>
    <w:rsid w:val="00895EA1"/>
    <w:rsid w:val="008961B6"/>
    <w:rsid w:val="00896AD0"/>
    <w:rsid w:val="0089710C"/>
    <w:rsid w:val="0089754E"/>
    <w:rsid w:val="008976B5"/>
    <w:rsid w:val="00897AE9"/>
    <w:rsid w:val="00897B82"/>
    <w:rsid w:val="008A0D35"/>
    <w:rsid w:val="008A141D"/>
    <w:rsid w:val="008A1E24"/>
    <w:rsid w:val="008A2044"/>
    <w:rsid w:val="008A2097"/>
    <w:rsid w:val="008A2C3C"/>
    <w:rsid w:val="008A2F7B"/>
    <w:rsid w:val="008A3F87"/>
    <w:rsid w:val="008A4249"/>
    <w:rsid w:val="008A4B72"/>
    <w:rsid w:val="008A4D3F"/>
    <w:rsid w:val="008A5188"/>
    <w:rsid w:val="008A51AB"/>
    <w:rsid w:val="008A59B8"/>
    <w:rsid w:val="008A5C86"/>
    <w:rsid w:val="008A6864"/>
    <w:rsid w:val="008A72E9"/>
    <w:rsid w:val="008A778E"/>
    <w:rsid w:val="008A78F6"/>
    <w:rsid w:val="008B04D2"/>
    <w:rsid w:val="008B0E2E"/>
    <w:rsid w:val="008B11C1"/>
    <w:rsid w:val="008B2338"/>
    <w:rsid w:val="008B23BA"/>
    <w:rsid w:val="008B2A68"/>
    <w:rsid w:val="008B3290"/>
    <w:rsid w:val="008B3499"/>
    <w:rsid w:val="008B3654"/>
    <w:rsid w:val="008B3FF2"/>
    <w:rsid w:val="008B49C7"/>
    <w:rsid w:val="008B4CAB"/>
    <w:rsid w:val="008B569D"/>
    <w:rsid w:val="008B59A8"/>
    <w:rsid w:val="008B6D1D"/>
    <w:rsid w:val="008B6EC8"/>
    <w:rsid w:val="008B6F27"/>
    <w:rsid w:val="008B736E"/>
    <w:rsid w:val="008B7826"/>
    <w:rsid w:val="008B7CB9"/>
    <w:rsid w:val="008C0050"/>
    <w:rsid w:val="008C00E2"/>
    <w:rsid w:val="008C040F"/>
    <w:rsid w:val="008C131B"/>
    <w:rsid w:val="008C1747"/>
    <w:rsid w:val="008C1A14"/>
    <w:rsid w:val="008C1FA6"/>
    <w:rsid w:val="008C412B"/>
    <w:rsid w:val="008C431F"/>
    <w:rsid w:val="008C4A0C"/>
    <w:rsid w:val="008C4B4A"/>
    <w:rsid w:val="008C6503"/>
    <w:rsid w:val="008C6F7E"/>
    <w:rsid w:val="008C76B3"/>
    <w:rsid w:val="008C7EC8"/>
    <w:rsid w:val="008D0526"/>
    <w:rsid w:val="008D1130"/>
    <w:rsid w:val="008D1245"/>
    <w:rsid w:val="008D1CF6"/>
    <w:rsid w:val="008D304B"/>
    <w:rsid w:val="008D39F7"/>
    <w:rsid w:val="008D3E52"/>
    <w:rsid w:val="008D4246"/>
    <w:rsid w:val="008D4288"/>
    <w:rsid w:val="008D4640"/>
    <w:rsid w:val="008D4C02"/>
    <w:rsid w:val="008D4ED4"/>
    <w:rsid w:val="008D516B"/>
    <w:rsid w:val="008D5975"/>
    <w:rsid w:val="008D6020"/>
    <w:rsid w:val="008D6148"/>
    <w:rsid w:val="008D65C6"/>
    <w:rsid w:val="008D73BC"/>
    <w:rsid w:val="008E1106"/>
    <w:rsid w:val="008E1281"/>
    <w:rsid w:val="008E15EA"/>
    <w:rsid w:val="008E2748"/>
    <w:rsid w:val="008E29C9"/>
    <w:rsid w:val="008E2A70"/>
    <w:rsid w:val="008E2B80"/>
    <w:rsid w:val="008E3247"/>
    <w:rsid w:val="008E42F6"/>
    <w:rsid w:val="008E6925"/>
    <w:rsid w:val="008E6E20"/>
    <w:rsid w:val="008E6E31"/>
    <w:rsid w:val="008E7388"/>
    <w:rsid w:val="008F0D47"/>
    <w:rsid w:val="008F1091"/>
    <w:rsid w:val="008F17AE"/>
    <w:rsid w:val="008F275C"/>
    <w:rsid w:val="008F2A02"/>
    <w:rsid w:val="008F2F99"/>
    <w:rsid w:val="008F32F5"/>
    <w:rsid w:val="008F34AA"/>
    <w:rsid w:val="008F495F"/>
    <w:rsid w:val="008F56C6"/>
    <w:rsid w:val="008F68FB"/>
    <w:rsid w:val="008F69C5"/>
    <w:rsid w:val="008F74DA"/>
    <w:rsid w:val="008F7544"/>
    <w:rsid w:val="00900D91"/>
    <w:rsid w:val="00901A25"/>
    <w:rsid w:val="009024B5"/>
    <w:rsid w:val="009025AD"/>
    <w:rsid w:val="00902E54"/>
    <w:rsid w:val="00903267"/>
    <w:rsid w:val="009036BD"/>
    <w:rsid w:val="00903EE8"/>
    <w:rsid w:val="00904483"/>
    <w:rsid w:val="00904AF5"/>
    <w:rsid w:val="00905014"/>
    <w:rsid w:val="00905668"/>
    <w:rsid w:val="0090585E"/>
    <w:rsid w:val="00906C41"/>
    <w:rsid w:val="00907294"/>
    <w:rsid w:val="0090799D"/>
    <w:rsid w:val="009100F6"/>
    <w:rsid w:val="009101FD"/>
    <w:rsid w:val="0091065D"/>
    <w:rsid w:val="009109A5"/>
    <w:rsid w:val="00910BE3"/>
    <w:rsid w:val="00910EA4"/>
    <w:rsid w:val="0091144B"/>
    <w:rsid w:val="00911A19"/>
    <w:rsid w:val="00912FB7"/>
    <w:rsid w:val="009131F4"/>
    <w:rsid w:val="00913E71"/>
    <w:rsid w:val="009148B9"/>
    <w:rsid w:val="00914D52"/>
    <w:rsid w:val="00916825"/>
    <w:rsid w:val="00916841"/>
    <w:rsid w:val="00916CD5"/>
    <w:rsid w:val="00917242"/>
    <w:rsid w:val="009172C3"/>
    <w:rsid w:val="009174E4"/>
    <w:rsid w:val="00920488"/>
    <w:rsid w:val="0092086E"/>
    <w:rsid w:val="00920AD6"/>
    <w:rsid w:val="00920BEC"/>
    <w:rsid w:val="00920FAC"/>
    <w:rsid w:val="00920FD4"/>
    <w:rsid w:val="009213C7"/>
    <w:rsid w:val="0092160A"/>
    <w:rsid w:val="00924994"/>
    <w:rsid w:val="00924C0F"/>
    <w:rsid w:val="00924DC0"/>
    <w:rsid w:val="00925BC6"/>
    <w:rsid w:val="009261BC"/>
    <w:rsid w:val="00926FFB"/>
    <w:rsid w:val="0092775F"/>
    <w:rsid w:val="00927C62"/>
    <w:rsid w:val="00930339"/>
    <w:rsid w:val="009312BC"/>
    <w:rsid w:val="00932346"/>
    <w:rsid w:val="009338A2"/>
    <w:rsid w:val="00934707"/>
    <w:rsid w:val="00934EB4"/>
    <w:rsid w:val="0093539C"/>
    <w:rsid w:val="00936441"/>
    <w:rsid w:val="00936939"/>
    <w:rsid w:val="00936C7A"/>
    <w:rsid w:val="00937120"/>
    <w:rsid w:val="00937C4E"/>
    <w:rsid w:val="0094053E"/>
    <w:rsid w:val="009415B8"/>
    <w:rsid w:val="009415D2"/>
    <w:rsid w:val="00941678"/>
    <w:rsid w:val="00942135"/>
    <w:rsid w:val="0094218F"/>
    <w:rsid w:val="009424AE"/>
    <w:rsid w:val="00942B8D"/>
    <w:rsid w:val="00942C51"/>
    <w:rsid w:val="00942D86"/>
    <w:rsid w:val="009440DF"/>
    <w:rsid w:val="0094602A"/>
    <w:rsid w:val="00946636"/>
    <w:rsid w:val="00946B3A"/>
    <w:rsid w:val="00946CF1"/>
    <w:rsid w:val="00947200"/>
    <w:rsid w:val="00950523"/>
    <w:rsid w:val="009507D7"/>
    <w:rsid w:val="00950920"/>
    <w:rsid w:val="009516B6"/>
    <w:rsid w:val="00951A49"/>
    <w:rsid w:val="0095204A"/>
    <w:rsid w:val="00953A89"/>
    <w:rsid w:val="00953FC3"/>
    <w:rsid w:val="0095408D"/>
    <w:rsid w:val="00954554"/>
    <w:rsid w:val="00954CEB"/>
    <w:rsid w:val="009554A8"/>
    <w:rsid w:val="009558AC"/>
    <w:rsid w:val="00955E98"/>
    <w:rsid w:val="00957AF3"/>
    <w:rsid w:val="00957ECA"/>
    <w:rsid w:val="00960883"/>
    <w:rsid w:val="009609DE"/>
    <w:rsid w:val="00961394"/>
    <w:rsid w:val="00962445"/>
    <w:rsid w:val="00963049"/>
    <w:rsid w:val="009634D5"/>
    <w:rsid w:val="00964129"/>
    <w:rsid w:val="0096422F"/>
    <w:rsid w:val="0096505A"/>
    <w:rsid w:val="00965A37"/>
    <w:rsid w:val="009674B8"/>
    <w:rsid w:val="009675F8"/>
    <w:rsid w:val="00967640"/>
    <w:rsid w:val="00967DA5"/>
    <w:rsid w:val="00967DC0"/>
    <w:rsid w:val="00967F74"/>
    <w:rsid w:val="00970129"/>
    <w:rsid w:val="00970465"/>
    <w:rsid w:val="00970DC2"/>
    <w:rsid w:val="00970F80"/>
    <w:rsid w:val="00971080"/>
    <w:rsid w:val="00971CEB"/>
    <w:rsid w:val="00972DA1"/>
    <w:rsid w:val="00972E5F"/>
    <w:rsid w:val="0097300F"/>
    <w:rsid w:val="00973D52"/>
    <w:rsid w:val="00973FE1"/>
    <w:rsid w:val="00974BF4"/>
    <w:rsid w:val="00975195"/>
    <w:rsid w:val="0097599F"/>
    <w:rsid w:val="009759B2"/>
    <w:rsid w:val="0097603A"/>
    <w:rsid w:val="00976181"/>
    <w:rsid w:val="009768BC"/>
    <w:rsid w:val="00976DDD"/>
    <w:rsid w:val="00977437"/>
    <w:rsid w:val="0098002B"/>
    <w:rsid w:val="009822C5"/>
    <w:rsid w:val="00982734"/>
    <w:rsid w:val="009827CC"/>
    <w:rsid w:val="00982FF2"/>
    <w:rsid w:val="009830E3"/>
    <w:rsid w:val="0098353D"/>
    <w:rsid w:val="00983A3D"/>
    <w:rsid w:val="00983E32"/>
    <w:rsid w:val="00984B03"/>
    <w:rsid w:val="00984EDF"/>
    <w:rsid w:val="0098542F"/>
    <w:rsid w:val="009854D1"/>
    <w:rsid w:val="00985913"/>
    <w:rsid w:val="00985B4E"/>
    <w:rsid w:val="00986673"/>
    <w:rsid w:val="00986B7F"/>
    <w:rsid w:val="00986CAC"/>
    <w:rsid w:val="009900A2"/>
    <w:rsid w:val="00990712"/>
    <w:rsid w:val="00990A80"/>
    <w:rsid w:val="00990AA9"/>
    <w:rsid w:val="00991F57"/>
    <w:rsid w:val="00992C6E"/>
    <w:rsid w:val="00993888"/>
    <w:rsid w:val="00994500"/>
    <w:rsid w:val="009960F7"/>
    <w:rsid w:val="0099638C"/>
    <w:rsid w:val="00997068"/>
    <w:rsid w:val="00997EB8"/>
    <w:rsid w:val="009A0FF4"/>
    <w:rsid w:val="009A1128"/>
    <w:rsid w:val="009A13A6"/>
    <w:rsid w:val="009A14C8"/>
    <w:rsid w:val="009A1D34"/>
    <w:rsid w:val="009A33DF"/>
    <w:rsid w:val="009A3422"/>
    <w:rsid w:val="009A3E2D"/>
    <w:rsid w:val="009A44E4"/>
    <w:rsid w:val="009A4544"/>
    <w:rsid w:val="009A4730"/>
    <w:rsid w:val="009A56BA"/>
    <w:rsid w:val="009A5751"/>
    <w:rsid w:val="009A5854"/>
    <w:rsid w:val="009A5FAB"/>
    <w:rsid w:val="009A6A9E"/>
    <w:rsid w:val="009A6AB1"/>
    <w:rsid w:val="009A7590"/>
    <w:rsid w:val="009A7814"/>
    <w:rsid w:val="009A7CC7"/>
    <w:rsid w:val="009B0001"/>
    <w:rsid w:val="009B008D"/>
    <w:rsid w:val="009B0095"/>
    <w:rsid w:val="009B27E1"/>
    <w:rsid w:val="009B2F36"/>
    <w:rsid w:val="009B4150"/>
    <w:rsid w:val="009B4A5D"/>
    <w:rsid w:val="009B4ACB"/>
    <w:rsid w:val="009B636A"/>
    <w:rsid w:val="009B6601"/>
    <w:rsid w:val="009B6D42"/>
    <w:rsid w:val="009B7B51"/>
    <w:rsid w:val="009C09CC"/>
    <w:rsid w:val="009C0C51"/>
    <w:rsid w:val="009C11B5"/>
    <w:rsid w:val="009C130D"/>
    <w:rsid w:val="009C22B4"/>
    <w:rsid w:val="009C23CD"/>
    <w:rsid w:val="009C24F5"/>
    <w:rsid w:val="009C28E7"/>
    <w:rsid w:val="009C2F45"/>
    <w:rsid w:val="009C44CB"/>
    <w:rsid w:val="009C4D6E"/>
    <w:rsid w:val="009C4DFE"/>
    <w:rsid w:val="009C5348"/>
    <w:rsid w:val="009C53AC"/>
    <w:rsid w:val="009C7042"/>
    <w:rsid w:val="009C742B"/>
    <w:rsid w:val="009C7568"/>
    <w:rsid w:val="009C77C8"/>
    <w:rsid w:val="009C790C"/>
    <w:rsid w:val="009C7967"/>
    <w:rsid w:val="009C7BE4"/>
    <w:rsid w:val="009D003B"/>
    <w:rsid w:val="009D0DC2"/>
    <w:rsid w:val="009D103B"/>
    <w:rsid w:val="009D1238"/>
    <w:rsid w:val="009D268D"/>
    <w:rsid w:val="009D2AF6"/>
    <w:rsid w:val="009D32AB"/>
    <w:rsid w:val="009D372A"/>
    <w:rsid w:val="009D3AB5"/>
    <w:rsid w:val="009D3BC9"/>
    <w:rsid w:val="009D3C7E"/>
    <w:rsid w:val="009D414C"/>
    <w:rsid w:val="009D4A5C"/>
    <w:rsid w:val="009D5708"/>
    <w:rsid w:val="009D5B6F"/>
    <w:rsid w:val="009D66AD"/>
    <w:rsid w:val="009D6953"/>
    <w:rsid w:val="009D7B9E"/>
    <w:rsid w:val="009E0B3B"/>
    <w:rsid w:val="009E22DD"/>
    <w:rsid w:val="009E2485"/>
    <w:rsid w:val="009E269F"/>
    <w:rsid w:val="009E2A82"/>
    <w:rsid w:val="009E3167"/>
    <w:rsid w:val="009E345C"/>
    <w:rsid w:val="009E36B5"/>
    <w:rsid w:val="009E449D"/>
    <w:rsid w:val="009E44D9"/>
    <w:rsid w:val="009E490B"/>
    <w:rsid w:val="009E4D6C"/>
    <w:rsid w:val="009E5840"/>
    <w:rsid w:val="009E5862"/>
    <w:rsid w:val="009F0318"/>
    <w:rsid w:val="009F0B72"/>
    <w:rsid w:val="009F0E71"/>
    <w:rsid w:val="009F0FEC"/>
    <w:rsid w:val="009F15E3"/>
    <w:rsid w:val="009F2307"/>
    <w:rsid w:val="009F31C6"/>
    <w:rsid w:val="009F3E8C"/>
    <w:rsid w:val="009F4229"/>
    <w:rsid w:val="009F4537"/>
    <w:rsid w:val="009F4ECF"/>
    <w:rsid w:val="009F5CCA"/>
    <w:rsid w:val="009F6707"/>
    <w:rsid w:val="009F7AF1"/>
    <w:rsid w:val="00A005A1"/>
    <w:rsid w:val="00A00C1D"/>
    <w:rsid w:val="00A01B0A"/>
    <w:rsid w:val="00A01C2D"/>
    <w:rsid w:val="00A0267C"/>
    <w:rsid w:val="00A03EEE"/>
    <w:rsid w:val="00A04660"/>
    <w:rsid w:val="00A04A04"/>
    <w:rsid w:val="00A05A68"/>
    <w:rsid w:val="00A06122"/>
    <w:rsid w:val="00A06385"/>
    <w:rsid w:val="00A06730"/>
    <w:rsid w:val="00A07362"/>
    <w:rsid w:val="00A07895"/>
    <w:rsid w:val="00A10378"/>
    <w:rsid w:val="00A10CD8"/>
    <w:rsid w:val="00A11B88"/>
    <w:rsid w:val="00A11B95"/>
    <w:rsid w:val="00A11BFC"/>
    <w:rsid w:val="00A125B0"/>
    <w:rsid w:val="00A125DA"/>
    <w:rsid w:val="00A12C67"/>
    <w:rsid w:val="00A14374"/>
    <w:rsid w:val="00A14E55"/>
    <w:rsid w:val="00A1569E"/>
    <w:rsid w:val="00A15745"/>
    <w:rsid w:val="00A157F3"/>
    <w:rsid w:val="00A17543"/>
    <w:rsid w:val="00A178E4"/>
    <w:rsid w:val="00A17BC9"/>
    <w:rsid w:val="00A17C05"/>
    <w:rsid w:val="00A20043"/>
    <w:rsid w:val="00A2043B"/>
    <w:rsid w:val="00A209B1"/>
    <w:rsid w:val="00A21052"/>
    <w:rsid w:val="00A21563"/>
    <w:rsid w:val="00A2226F"/>
    <w:rsid w:val="00A2266A"/>
    <w:rsid w:val="00A231D3"/>
    <w:rsid w:val="00A23620"/>
    <w:rsid w:val="00A23AA2"/>
    <w:rsid w:val="00A2605D"/>
    <w:rsid w:val="00A26221"/>
    <w:rsid w:val="00A26495"/>
    <w:rsid w:val="00A27236"/>
    <w:rsid w:val="00A27695"/>
    <w:rsid w:val="00A277AB"/>
    <w:rsid w:val="00A3024C"/>
    <w:rsid w:val="00A312B7"/>
    <w:rsid w:val="00A31DF8"/>
    <w:rsid w:val="00A32568"/>
    <w:rsid w:val="00A33340"/>
    <w:rsid w:val="00A33955"/>
    <w:rsid w:val="00A34C32"/>
    <w:rsid w:val="00A34CE8"/>
    <w:rsid w:val="00A34EE0"/>
    <w:rsid w:val="00A35563"/>
    <w:rsid w:val="00A3566C"/>
    <w:rsid w:val="00A356BF"/>
    <w:rsid w:val="00A360B0"/>
    <w:rsid w:val="00A36610"/>
    <w:rsid w:val="00A36ABA"/>
    <w:rsid w:val="00A3704B"/>
    <w:rsid w:val="00A40098"/>
    <w:rsid w:val="00A40473"/>
    <w:rsid w:val="00A40B79"/>
    <w:rsid w:val="00A410D0"/>
    <w:rsid w:val="00A4224E"/>
    <w:rsid w:val="00A43227"/>
    <w:rsid w:val="00A43286"/>
    <w:rsid w:val="00A439E4"/>
    <w:rsid w:val="00A457FA"/>
    <w:rsid w:val="00A4629E"/>
    <w:rsid w:val="00A5103B"/>
    <w:rsid w:val="00A51190"/>
    <w:rsid w:val="00A5123F"/>
    <w:rsid w:val="00A51799"/>
    <w:rsid w:val="00A51809"/>
    <w:rsid w:val="00A53E0F"/>
    <w:rsid w:val="00A54135"/>
    <w:rsid w:val="00A5444F"/>
    <w:rsid w:val="00A55142"/>
    <w:rsid w:val="00A5564A"/>
    <w:rsid w:val="00A559EB"/>
    <w:rsid w:val="00A55FBF"/>
    <w:rsid w:val="00A56153"/>
    <w:rsid w:val="00A56357"/>
    <w:rsid w:val="00A57011"/>
    <w:rsid w:val="00A57976"/>
    <w:rsid w:val="00A60CEE"/>
    <w:rsid w:val="00A61A34"/>
    <w:rsid w:val="00A61FC3"/>
    <w:rsid w:val="00A62F8B"/>
    <w:rsid w:val="00A630D7"/>
    <w:rsid w:val="00A63294"/>
    <w:rsid w:val="00A652BC"/>
    <w:rsid w:val="00A655EA"/>
    <w:rsid w:val="00A66FE7"/>
    <w:rsid w:val="00A67674"/>
    <w:rsid w:val="00A67C33"/>
    <w:rsid w:val="00A715C2"/>
    <w:rsid w:val="00A71B47"/>
    <w:rsid w:val="00A71E8D"/>
    <w:rsid w:val="00A720BD"/>
    <w:rsid w:val="00A731E3"/>
    <w:rsid w:val="00A736D6"/>
    <w:rsid w:val="00A73ED4"/>
    <w:rsid w:val="00A7454C"/>
    <w:rsid w:val="00A7455D"/>
    <w:rsid w:val="00A749E6"/>
    <w:rsid w:val="00A74D03"/>
    <w:rsid w:val="00A74D50"/>
    <w:rsid w:val="00A74F2C"/>
    <w:rsid w:val="00A751D7"/>
    <w:rsid w:val="00A75482"/>
    <w:rsid w:val="00A75C29"/>
    <w:rsid w:val="00A75DE3"/>
    <w:rsid w:val="00A7690C"/>
    <w:rsid w:val="00A76AE3"/>
    <w:rsid w:val="00A77316"/>
    <w:rsid w:val="00A77D4B"/>
    <w:rsid w:val="00A77FA1"/>
    <w:rsid w:val="00A8035B"/>
    <w:rsid w:val="00A805E6"/>
    <w:rsid w:val="00A80949"/>
    <w:rsid w:val="00A810A1"/>
    <w:rsid w:val="00A81236"/>
    <w:rsid w:val="00A81539"/>
    <w:rsid w:val="00A81985"/>
    <w:rsid w:val="00A81D2F"/>
    <w:rsid w:val="00A81F8A"/>
    <w:rsid w:val="00A821C6"/>
    <w:rsid w:val="00A83393"/>
    <w:rsid w:val="00A83D4C"/>
    <w:rsid w:val="00A84F30"/>
    <w:rsid w:val="00A85067"/>
    <w:rsid w:val="00A850CB"/>
    <w:rsid w:val="00A85127"/>
    <w:rsid w:val="00A859EE"/>
    <w:rsid w:val="00A868FE"/>
    <w:rsid w:val="00A86A17"/>
    <w:rsid w:val="00A87ED9"/>
    <w:rsid w:val="00A905C6"/>
    <w:rsid w:val="00A90741"/>
    <w:rsid w:val="00A90A7E"/>
    <w:rsid w:val="00A91330"/>
    <w:rsid w:val="00A91D37"/>
    <w:rsid w:val="00A91DAF"/>
    <w:rsid w:val="00A921B3"/>
    <w:rsid w:val="00A92285"/>
    <w:rsid w:val="00A925D6"/>
    <w:rsid w:val="00A92751"/>
    <w:rsid w:val="00A93326"/>
    <w:rsid w:val="00A93645"/>
    <w:rsid w:val="00A946B4"/>
    <w:rsid w:val="00A94944"/>
    <w:rsid w:val="00A94DA1"/>
    <w:rsid w:val="00A95115"/>
    <w:rsid w:val="00A9564B"/>
    <w:rsid w:val="00A95D53"/>
    <w:rsid w:val="00A95D8C"/>
    <w:rsid w:val="00A96A60"/>
    <w:rsid w:val="00A978F9"/>
    <w:rsid w:val="00AA02F5"/>
    <w:rsid w:val="00AA036F"/>
    <w:rsid w:val="00AA0FC7"/>
    <w:rsid w:val="00AA13F1"/>
    <w:rsid w:val="00AA19A3"/>
    <w:rsid w:val="00AA1D07"/>
    <w:rsid w:val="00AA2944"/>
    <w:rsid w:val="00AA2D2F"/>
    <w:rsid w:val="00AA565F"/>
    <w:rsid w:val="00AA5D73"/>
    <w:rsid w:val="00AA6AAC"/>
    <w:rsid w:val="00AA6C0B"/>
    <w:rsid w:val="00AB028D"/>
    <w:rsid w:val="00AB02B2"/>
    <w:rsid w:val="00AB1136"/>
    <w:rsid w:val="00AB17C8"/>
    <w:rsid w:val="00AB30C6"/>
    <w:rsid w:val="00AB324B"/>
    <w:rsid w:val="00AB36AB"/>
    <w:rsid w:val="00AB3D4C"/>
    <w:rsid w:val="00AB3D4D"/>
    <w:rsid w:val="00AB514D"/>
    <w:rsid w:val="00AB5E29"/>
    <w:rsid w:val="00AB5ECC"/>
    <w:rsid w:val="00AB6D3F"/>
    <w:rsid w:val="00AB6E00"/>
    <w:rsid w:val="00AB76F9"/>
    <w:rsid w:val="00AB7A1B"/>
    <w:rsid w:val="00AB7BB9"/>
    <w:rsid w:val="00AC026D"/>
    <w:rsid w:val="00AC070D"/>
    <w:rsid w:val="00AC1032"/>
    <w:rsid w:val="00AC2B37"/>
    <w:rsid w:val="00AC3644"/>
    <w:rsid w:val="00AC3931"/>
    <w:rsid w:val="00AC3A05"/>
    <w:rsid w:val="00AC515B"/>
    <w:rsid w:val="00AC71EC"/>
    <w:rsid w:val="00AC78AC"/>
    <w:rsid w:val="00AC7E84"/>
    <w:rsid w:val="00AD01AF"/>
    <w:rsid w:val="00AD0EE4"/>
    <w:rsid w:val="00AD3445"/>
    <w:rsid w:val="00AD480A"/>
    <w:rsid w:val="00AD5079"/>
    <w:rsid w:val="00AD578D"/>
    <w:rsid w:val="00AD5AE3"/>
    <w:rsid w:val="00AD5BAD"/>
    <w:rsid w:val="00AD6359"/>
    <w:rsid w:val="00AD64F6"/>
    <w:rsid w:val="00AD66C9"/>
    <w:rsid w:val="00AD69E0"/>
    <w:rsid w:val="00AD6A0B"/>
    <w:rsid w:val="00AD6C73"/>
    <w:rsid w:val="00AD7B89"/>
    <w:rsid w:val="00AD7C73"/>
    <w:rsid w:val="00AE01EF"/>
    <w:rsid w:val="00AE03F0"/>
    <w:rsid w:val="00AE04BC"/>
    <w:rsid w:val="00AE0922"/>
    <w:rsid w:val="00AE118D"/>
    <w:rsid w:val="00AE21C7"/>
    <w:rsid w:val="00AE257A"/>
    <w:rsid w:val="00AE2598"/>
    <w:rsid w:val="00AE3405"/>
    <w:rsid w:val="00AE3A95"/>
    <w:rsid w:val="00AE3D38"/>
    <w:rsid w:val="00AE4ACA"/>
    <w:rsid w:val="00AE5698"/>
    <w:rsid w:val="00AE6173"/>
    <w:rsid w:val="00AE6F70"/>
    <w:rsid w:val="00AE6F7C"/>
    <w:rsid w:val="00AE7E9E"/>
    <w:rsid w:val="00AE7FFB"/>
    <w:rsid w:val="00AF0214"/>
    <w:rsid w:val="00AF1993"/>
    <w:rsid w:val="00AF29E2"/>
    <w:rsid w:val="00AF4D6D"/>
    <w:rsid w:val="00AF5935"/>
    <w:rsid w:val="00AF5B7F"/>
    <w:rsid w:val="00AF5DEC"/>
    <w:rsid w:val="00AF5FFA"/>
    <w:rsid w:val="00AF654C"/>
    <w:rsid w:val="00AF67B3"/>
    <w:rsid w:val="00AF67DA"/>
    <w:rsid w:val="00AF6863"/>
    <w:rsid w:val="00AF686F"/>
    <w:rsid w:val="00AF74EB"/>
    <w:rsid w:val="00AF793B"/>
    <w:rsid w:val="00AF7C70"/>
    <w:rsid w:val="00B0057A"/>
    <w:rsid w:val="00B00C71"/>
    <w:rsid w:val="00B02782"/>
    <w:rsid w:val="00B03168"/>
    <w:rsid w:val="00B04762"/>
    <w:rsid w:val="00B05831"/>
    <w:rsid w:val="00B05BCB"/>
    <w:rsid w:val="00B06A47"/>
    <w:rsid w:val="00B06E94"/>
    <w:rsid w:val="00B07016"/>
    <w:rsid w:val="00B072FD"/>
    <w:rsid w:val="00B100E1"/>
    <w:rsid w:val="00B1017C"/>
    <w:rsid w:val="00B109DB"/>
    <w:rsid w:val="00B10D44"/>
    <w:rsid w:val="00B10E2D"/>
    <w:rsid w:val="00B11BB0"/>
    <w:rsid w:val="00B1292A"/>
    <w:rsid w:val="00B13198"/>
    <w:rsid w:val="00B1343E"/>
    <w:rsid w:val="00B14797"/>
    <w:rsid w:val="00B14D91"/>
    <w:rsid w:val="00B151B0"/>
    <w:rsid w:val="00B153E0"/>
    <w:rsid w:val="00B154B5"/>
    <w:rsid w:val="00B1669B"/>
    <w:rsid w:val="00B16F4A"/>
    <w:rsid w:val="00B172FE"/>
    <w:rsid w:val="00B17C4A"/>
    <w:rsid w:val="00B17EE6"/>
    <w:rsid w:val="00B20002"/>
    <w:rsid w:val="00B2205D"/>
    <w:rsid w:val="00B22A2A"/>
    <w:rsid w:val="00B22BE8"/>
    <w:rsid w:val="00B23A0B"/>
    <w:rsid w:val="00B23EAA"/>
    <w:rsid w:val="00B23F17"/>
    <w:rsid w:val="00B23F4C"/>
    <w:rsid w:val="00B23F6C"/>
    <w:rsid w:val="00B24DF7"/>
    <w:rsid w:val="00B252DF"/>
    <w:rsid w:val="00B2615E"/>
    <w:rsid w:val="00B263A2"/>
    <w:rsid w:val="00B26DFF"/>
    <w:rsid w:val="00B2704D"/>
    <w:rsid w:val="00B272C1"/>
    <w:rsid w:val="00B274C1"/>
    <w:rsid w:val="00B3043E"/>
    <w:rsid w:val="00B30F16"/>
    <w:rsid w:val="00B31169"/>
    <w:rsid w:val="00B31AF9"/>
    <w:rsid w:val="00B33614"/>
    <w:rsid w:val="00B33D84"/>
    <w:rsid w:val="00B33DD1"/>
    <w:rsid w:val="00B345A8"/>
    <w:rsid w:val="00B347E2"/>
    <w:rsid w:val="00B348A3"/>
    <w:rsid w:val="00B348E6"/>
    <w:rsid w:val="00B34AC6"/>
    <w:rsid w:val="00B34C27"/>
    <w:rsid w:val="00B356B5"/>
    <w:rsid w:val="00B36B55"/>
    <w:rsid w:val="00B37A5D"/>
    <w:rsid w:val="00B37E9B"/>
    <w:rsid w:val="00B40A3C"/>
    <w:rsid w:val="00B411F0"/>
    <w:rsid w:val="00B41264"/>
    <w:rsid w:val="00B41B9F"/>
    <w:rsid w:val="00B41D25"/>
    <w:rsid w:val="00B41D31"/>
    <w:rsid w:val="00B424D7"/>
    <w:rsid w:val="00B42A17"/>
    <w:rsid w:val="00B43A97"/>
    <w:rsid w:val="00B442BC"/>
    <w:rsid w:val="00B44CCA"/>
    <w:rsid w:val="00B45003"/>
    <w:rsid w:val="00B45DE9"/>
    <w:rsid w:val="00B465CE"/>
    <w:rsid w:val="00B504B3"/>
    <w:rsid w:val="00B508C9"/>
    <w:rsid w:val="00B51154"/>
    <w:rsid w:val="00B51480"/>
    <w:rsid w:val="00B51D6B"/>
    <w:rsid w:val="00B52311"/>
    <w:rsid w:val="00B54260"/>
    <w:rsid w:val="00B543FF"/>
    <w:rsid w:val="00B548DF"/>
    <w:rsid w:val="00B55111"/>
    <w:rsid w:val="00B55A21"/>
    <w:rsid w:val="00B55B62"/>
    <w:rsid w:val="00B56536"/>
    <w:rsid w:val="00B568B2"/>
    <w:rsid w:val="00B56F42"/>
    <w:rsid w:val="00B57C96"/>
    <w:rsid w:val="00B600A0"/>
    <w:rsid w:val="00B60597"/>
    <w:rsid w:val="00B61350"/>
    <w:rsid w:val="00B61859"/>
    <w:rsid w:val="00B62A85"/>
    <w:rsid w:val="00B62E10"/>
    <w:rsid w:val="00B62E63"/>
    <w:rsid w:val="00B6492D"/>
    <w:rsid w:val="00B64ED8"/>
    <w:rsid w:val="00B64FD6"/>
    <w:rsid w:val="00B65258"/>
    <w:rsid w:val="00B65C34"/>
    <w:rsid w:val="00B6782C"/>
    <w:rsid w:val="00B679ED"/>
    <w:rsid w:val="00B67CE3"/>
    <w:rsid w:val="00B67DE7"/>
    <w:rsid w:val="00B70161"/>
    <w:rsid w:val="00B70E17"/>
    <w:rsid w:val="00B721E7"/>
    <w:rsid w:val="00B725A3"/>
    <w:rsid w:val="00B72D4F"/>
    <w:rsid w:val="00B73AC1"/>
    <w:rsid w:val="00B75046"/>
    <w:rsid w:val="00B75099"/>
    <w:rsid w:val="00B750C1"/>
    <w:rsid w:val="00B75C3B"/>
    <w:rsid w:val="00B76250"/>
    <w:rsid w:val="00B76F4E"/>
    <w:rsid w:val="00B77503"/>
    <w:rsid w:val="00B77B0F"/>
    <w:rsid w:val="00B77D58"/>
    <w:rsid w:val="00B8050C"/>
    <w:rsid w:val="00B8082C"/>
    <w:rsid w:val="00B820D6"/>
    <w:rsid w:val="00B82482"/>
    <w:rsid w:val="00B82A9D"/>
    <w:rsid w:val="00B83342"/>
    <w:rsid w:val="00B83392"/>
    <w:rsid w:val="00B84155"/>
    <w:rsid w:val="00B844AE"/>
    <w:rsid w:val="00B847EE"/>
    <w:rsid w:val="00B8481F"/>
    <w:rsid w:val="00B848C2"/>
    <w:rsid w:val="00B84F9E"/>
    <w:rsid w:val="00B85936"/>
    <w:rsid w:val="00B8598F"/>
    <w:rsid w:val="00B85AFB"/>
    <w:rsid w:val="00B86286"/>
    <w:rsid w:val="00B864B8"/>
    <w:rsid w:val="00B865C4"/>
    <w:rsid w:val="00B86ED9"/>
    <w:rsid w:val="00B9176A"/>
    <w:rsid w:val="00B918D2"/>
    <w:rsid w:val="00B928F5"/>
    <w:rsid w:val="00B92DE1"/>
    <w:rsid w:val="00B9493A"/>
    <w:rsid w:val="00B94F29"/>
    <w:rsid w:val="00B94FFC"/>
    <w:rsid w:val="00B95073"/>
    <w:rsid w:val="00B96341"/>
    <w:rsid w:val="00B972D1"/>
    <w:rsid w:val="00BA0793"/>
    <w:rsid w:val="00BA18F9"/>
    <w:rsid w:val="00BA2530"/>
    <w:rsid w:val="00BA28D3"/>
    <w:rsid w:val="00BA292B"/>
    <w:rsid w:val="00BA3282"/>
    <w:rsid w:val="00BA34CF"/>
    <w:rsid w:val="00BA37E6"/>
    <w:rsid w:val="00BA4E6C"/>
    <w:rsid w:val="00BA53E2"/>
    <w:rsid w:val="00BA550B"/>
    <w:rsid w:val="00BA598B"/>
    <w:rsid w:val="00BA5E2B"/>
    <w:rsid w:val="00BA6441"/>
    <w:rsid w:val="00BA6635"/>
    <w:rsid w:val="00BA6A42"/>
    <w:rsid w:val="00BA6CB0"/>
    <w:rsid w:val="00BA7017"/>
    <w:rsid w:val="00BA71C0"/>
    <w:rsid w:val="00BB1036"/>
    <w:rsid w:val="00BB1998"/>
    <w:rsid w:val="00BB1BA5"/>
    <w:rsid w:val="00BB1FB4"/>
    <w:rsid w:val="00BB2508"/>
    <w:rsid w:val="00BB2749"/>
    <w:rsid w:val="00BB41B1"/>
    <w:rsid w:val="00BB4331"/>
    <w:rsid w:val="00BB4939"/>
    <w:rsid w:val="00BB4DF1"/>
    <w:rsid w:val="00BB67C3"/>
    <w:rsid w:val="00BB6A16"/>
    <w:rsid w:val="00BB6F3F"/>
    <w:rsid w:val="00BB70C8"/>
    <w:rsid w:val="00BB7270"/>
    <w:rsid w:val="00BB7437"/>
    <w:rsid w:val="00BB7629"/>
    <w:rsid w:val="00BB7B6B"/>
    <w:rsid w:val="00BC01D1"/>
    <w:rsid w:val="00BC04F1"/>
    <w:rsid w:val="00BC05CD"/>
    <w:rsid w:val="00BC062A"/>
    <w:rsid w:val="00BC0770"/>
    <w:rsid w:val="00BC12BE"/>
    <w:rsid w:val="00BC1E01"/>
    <w:rsid w:val="00BC2204"/>
    <w:rsid w:val="00BC2BCD"/>
    <w:rsid w:val="00BC3354"/>
    <w:rsid w:val="00BC3866"/>
    <w:rsid w:val="00BC3A3B"/>
    <w:rsid w:val="00BC3BE9"/>
    <w:rsid w:val="00BC3C9A"/>
    <w:rsid w:val="00BC3CA2"/>
    <w:rsid w:val="00BC3F65"/>
    <w:rsid w:val="00BC423F"/>
    <w:rsid w:val="00BC4693"/>
    <w:rsid w:val="00BC5207"/>
    <w:rsid w:val="00BC5349"/>
    <w:rsid w:val="00BC5ACB"/>
    <w:rsid w:val="00BC5E8B"/>
    <w:rsid w:val="00BC6087"/>
    <w:rsid w:val="00BC67FD"/>
    <w:rsid w:val="00BC69CD"/>
    <w:rsid w:val="00BC6E35"/>
    <w:rsid w:val="00BC7EF2"/>
    <w:rsid w:val="00BD0340"/>
    <w:rsid w:val="00BD1AA2"/>
    <w:rsid w:val="00BD1B9F"/>
    <w:rsid w:val="00BD27C0"/>
    <w:rsid w:val="00BD3109"/>
    <w:rsid w:val="00BD3555"/>
    <w:rsid w:val="00BD4131"/>
    <w:rsid w:val="00BD41EA"/>
    <w:rsid w:val="00BD43A5"/>
    <w:rsid w:val="00BD49D5"/>
    <w:rsid w:val="00BD4FC6"/>
    <w:rsid w:val="00BD60D8"/>
    <w:rsid w:val="00BD6682"/>
    <w:rsid w:val="00BD72B6"/>
    <w:rsid w:val="00BD785E"/>
    <w:rsid w:val="00BD7DF8"/>
    <w:rsid w:val="00BE0BAC"/>
    <w:rsid w:val="00BE111C"/>
    <w:rsid w:val="00BE1888"/>
    <w:rsid w:val="00BE22B5"/>
    <w:rsid w:val="00BE3240"/>
    <w:rsid w:val="00BE362A"/>
    <w:rsid w:val="00BE3BF9"/>
    <w:rsid w:val="00BE3CC9"/>
    <w:rsid w:val="00BE487D"/>
    <w:rsid w:val="00BE65D9"/>
    <w:rsid w:val="00BE6CDB"/>
    <w:rsid w:val="00BE7902"/>
    <w:rsid w:val="00BF0F93"/>
    <w:rsid w:val="00BF0FEC"/>
    <w:rsid w:val="00BF1272"/>
    <w:rsid w:val="00BF1C78"/>
    <w:rsid w:val="00BF321E"/>
    <w:rsid w:val="00BF3A71"/>
    <w:rsid w:val="00BF454E"/>
    <w:rsid w:val="00BF4ABD"/>
    <w:rsid w:val="00BF6542"/>
    <w:rsid w:val="00BF673E"/>
    <w:rsid w:val="00BF6D46"/>
    <w:rsid w:val="00BF702C"/>
    <w:rsid w:val="00BF7FA8"/>
    <w:rsid w:val="00C011E2"/>
    <w:rsid w:val="00C0139F"/>
    <w:rsid w:val="00C027E0"/>
    <w:rsid w:val="00C0347D"/>
    <w:rsid w:val="00C03874"/>
    <w:rsid w:val="00C03B9A"/>
    <w:rsid w:val="00C04022"/>
    <w:rsid w:val="00C04738"/>
    <w:rsid w:val="00C04796"/>
    <w:rsid w:val="00C05749"/>
    <w:rsid w:val="00C06952"/>
    <w:rsid w:val="00C06CA3"/>
    <w:rsid w:val="00C071B5"/>
    <w:rsid w:val="00C07896"/>
    <w:rsid w:val="00C07A7F"/>
    <w:rsid w:val="00C07C0D"/>
    <w:rsid w:val="00C07F22"/>
    <w:rsid w:val="00C07F42"/>
    <w:rsid w:val="00C101A0"/>
    <w:rsid w:val="00C106F3"/>
    <w:rsid w:val="00C10753"/>
    <w:rsid w:val="00C10924"/>
    <w:rsid w:val="00C1128B"/>
    <w:rsid w:val="00C11457"/>
    <w:rsid w:val="00C115B5"/>
    <w:rsid w:val="00C119D5"/>
    <w:rsid w:val="00C123F5"/>
    <w:rsid w:val="00C12E8E"/>
    <w:rsid w:val="00C12EB6"/>
    <w:rsid w:val="00C1355F"/>
    <w:rsid w:val="00C1387C"/>
    <w:rsid w:val="00C14BE7"/>
    <w:rsid w:val="00C15AFD"/>
    <w:rsid w:val="00C1605B"/>
    <w:rsid w:val="00C171E0"/>
    <w:rsid w:val="00C207AD"/>
    <w:rsid w:val="00C20D72"/>
    <w:rsid w:val="00C20E87"/>
    <w:rsid w:val="00C2215B"/>
    <w:rsid w:val="00C2282C"/>
    <w:rsid w:val="00C22D37"/>
    <w:rsid w:val="00C22D96"/>
    <w:rsid w:val="00C23A72"/>
    <w:rsid w:val="00C243D3"/>
    <w:rsid w:val="00C254DA"/>
    <w:rsid w:val="00C27AD3"/>
    <w:rsid w:val="00C301B7"/>
    <w:rsid w:val="00C30485"/>
    <w:rsid w:val="00C3080D"/>
    <w:rsid w:val="00C30EC1"/>
    <w:rsid w:val="00C31DF7"/>
    <w:rsid w:val="00C32616"/>
    <w:rsid w:val="00C32966"/>
    <w:rsid w:val="00C33040"/>
    <w:rsid w:val="00C33081"/>
    <w:rsid w:val="00C33A02"/>
    <w:rsid w:val="00C33FFA"/>
    <w:rsid w:val="00C341B9"/>
    <w:rsid w:val="00C3436A"/>
    <w:rsid w:val="00C35A65"/>
    <w:rsid w:val="00C368CD"/>
    <w:rsid w:val="00C36C7B"/>
    <w:rsid w:val="00C37636"/>
    <w:rsid w:val="00C37683"/>
    <w:rsid w:val="00C410B4"/>
    <w:rsid w:val="00C415E8"/>
    <w:rsid w:val="00C41797"/>
    <w:rsid w:val="00C41F22"/>
    <w:rsid w:val="00C424B7"/>
    <w:rsid w:val="00C42C27"/>
    <w:rsid w:val="00C439D9"/>
    <w:rsid w:val="00C445B0"/>
    <w:rsid w:val="00C4493E"/>
    <w:rsid w:val="00C4640C"/>
    <w:rsid w:val="00C46628"/>
    <w:rsid w:val="00C46E67"/>
    <w:rsid w:val="00C478EB"/>
    <w:rsid w:val="00C50002"/>
    <w:rsid w:val="00C5083C"/>
    <w:rsid w:val="00C50FE1"/>
    <w:rsid w:val="00C51262"/>
    <w:rsid w:val="00C51398"/>
    <w:rsid w:val="00C51D83"/>
    <w:rsid w:val="00C53982"/>
    <w:rsid w:val="00C546F4"/>
    <w:rsid w:val="00C54B78"/>
    <w:rsid w:val="00C5520C"/>
    <w:rsid w:val="00C558F0"/>
    <w:rsid w:val="00C55AE4"/>
    <w:rsid w:val="00C56075"/>
    <w:rsid w:val="00C5658B"/>
    <w:rsid w:val="00C56D5C"/>
    <w:rsid w:val="00C5795D"/>
    <w:rsid w:val="00C57ECB"/>
    <w:rsid w:val="00C600E6"/>
    <w:rsid w:val="00C60857"/>
    <w:rsid w:val="00C60AB4"/>
    <w:rsid w:val="00C60F32"/>
    <w:rsid w:val="00C615CD"/>
    <w:rsid w:val="00C61F94"/>
    <w:rsid w:val="00C6283B"/>
    <w:rsid w:val="00C62A63"/>
    <w:rsid w:val="00C62BC5"/>
    <w:rsid w:val="00C62BD3"/>
    <w:rsid w:val="00C630F2"/>
    <w:rsid w:val="00C63488"/>
    <w:rsid w:val="00C63A6A"/>
    <w:rsid w:val="00C64627"/>
    <w:rsid w:val="00C646A8"/>
    <w:rsid w:val="00C64D72"/>
    <w:rsid w:val="00C651D1"/>
    <w:rsid w:val="00C6538A"/>
    <w:rsid w:val="00C655F0"/>
    <w:rsid w:val="00C65C56"/>
    <w:rsid w:val="00C660AE"/>
    <w:rsid w:val="00C66EA2"/>
    <w:rsid w:val="00C67BBC"/>
    <w:rsid w:val="00C67D7D"/>
    <w:rsid w:val="00C70ECE"/>
    <w:rsid w:val="00C710BF"/>
    <w:rsid w:val="00C714E7"/>
    <w:rsid w:val="00C718B1"/>
    <w:rsid w:val="00C71951"/>
    <w:rsid w:val="00C71E8D"/>
    <w:rsid w:val="00C72957"/>
    <w:rsid w:val="00C72F3B"/>
    <w:rsid w:val="00C73624"/>
    <w:rsid w:val="00C74147"/>
    <w:rsid w:val="00C7427B"/>
    <w:rsid w:val="00C74491"/>
    <w:rsid w:val="00C74CE5"/>
    <w:rsid w:val="00C750CE"/>
    <w:rsid w:val="00C75A24"/>
    <w:rsid w:val="00C7628A"/>
    <w:rsid w:val="00C7629D"/>
    <w:rsid w:val="00C77116"/>
    <w:rsid w:val="00C822C4"/>
    <w:rsid w:val="00C82DA3"/>
    <w:rsid w:val="00C83508"/>
    <w:rsid w:val="00C838AB"/>
    <w:rsid w:val="00C84E48"/>
    <w:rsid w:val="00C84E82"/>
    <w:rsid w:val="00C863CC"/>
    <w:rsid w:val="00C87D82"/>
    <w:rsid w:val="00C9026F"/>
    <w:rsid w:val="00C90B53"/>
    <w:rsid w:val="00C90F7A"/>
    <w:rsid w:val="00C92213"/>
    <w:rsid w:val="00C932F1"/>
    <w:rsid w:val="00C93A75"/>
    <w:rsid w:val="00C93C27"/>
    <w:rsid w:val="00C93C81"/>
    <w:rsid w:val="00C93D5B"/>
    <w:rsid w:val="00C949B3"/>
    <w:rsid w:val="00C94A9C"/>
    <w:rsid w:val="00C94D9A"/>
    <w:rsid w:val="00C95540"/>
    <w:rsid w:val="00C956F1"/>
    <w:rsid w:val="00C95EF7"/>
    <w:rsid w:val="00C96D7F"/>
    <w:rsid w:val="00C97AE0"/>
    <w:rsid w:val="00CA0284"/>
    <w:rsid w:val="00CA135F"/>
    <w:rsid w:val="00CA16A0"/>
    <w:rsid w:val="00CA1DAC"/>
    <w:rsid w:val="00CA27DA"/>
    <w:rsid w:val="00CA2C47"/>
    <w:rsid w:val="00CA2DD9"/>
    <w:rsid w:val="00CA364E"/>
    <w:rsid w:val="00CA391A"/>
    <w:rsid w:val="00CA4453"/>
    <w:rsid w:val="00CA45C2"/>
    <w:rsid w:val="00CA4707"/>
    <w:rsid w:val="00CA4F18"/>
    <w:rsid w:val="00CA661C"/>
    <w:rsid w:val="00CA6F28"/>
    <w:rsid w:val="00CA7D62"/>
    <w:rsid w:val="00CB06C7"/>
    <w:rsid w:val="00CB09CB"/>
    <w:rsid w:val="00CB0C8E"/>
    <w:rsid w:val="00CB0FB3"/>
    <w:rsid w:val="00CB183A"/>
    <w:rsid w:val="00CB2230"/>
    <w:rsid w:val="00CB22E9"/>
    <w:rsid w:val="00CB2D8B"/>
    <w:rsid w:val="00CB2F0F"/>
    <w:rsid w:val="00CB36D7"/>
    <w:rsid w:val="00CB37AA"/>
    <w:rsid w:val="00CB73AA"/>
    <w:rsid w:val="00CB7DFD"/>
    <w:rsid w:val="00CC0543"/>
    <w:rsid w:val="00CC0D89"/>
    <w:rsid w:val="00CC1477"/>
    <w:rsid w:val="00CC20FF"/>
    <w:rsid w:val="00CC30DA"/>
    <w:rsid w:val="00CC312C"/>
    <w:rsid w:val="00CC3A21"/>
    <w:rsid w:val="00CC506E"/>
    <w:rsid w:val="00CC512E"/>
    <w:rsid w:val="00CC62B0"/>
    <w:rsid w:val="00CC72DE"/>
    <w:rsid w:val="00CC73A9"/>
    <w:rsid w:val="00CC7C8B"/>
    <w:rsid w:val="00CC7F97"/>
    <w:rsid w:val="00CD0380"/>
    <w:rsid w:val="00CD0B91"/>
    <w:rsid w:val="00CD0CA3"/>
    <w:rsid w:val="00CD0FB4"/>
    <w:rsid w:val="00CD11A3"/>
    <w:rsid w:val="00CD162B"/>
    <w:rsid w:val="00CD191F"/>
    <w:rsid w:val="00CD1B55"/>
    <w:rsid w:val="00CD1FE0"/>
    <w:rsid w:val="00CD24A3"/>
    <w:rsid w:val="00CD2FF1"/>
    <w:rsid w:val="00CD33D9"/>
    <w:rsid w:val="00CD3D93"/>
    <w:rsid w:val="00CD54AC"/>
    <w:rsid w:val="00CD5DA5"/>
    <w:rsid w:val="00CD5FD1"/>
    <w:rsid w:val="00CD6489"/>
    <w:rsid w:val="00CD66B5"/>
    <w:rsid w:val="00CD6902"/>
    <w:rsid w:val="00CD6EE7"/>
    <w:rsid w:val="00CD7993"/>
    <w:rsid w:val="00CD7B02"/>
    <w:rsid w:val="00CE00A1"/>
    <w:rsid w:val="00CE070B"/>
    <w:rsid w:val="00CE1F78"/>
    <w:rsid w:val="00CE254C"/>
    <w:rsid w:val="00CE2786"/>
    <w:rsid w:val="00CE3B7F"/>
    <w:rsid w:val="00CE6E8B"/>
    <w:rsid w:val="00CE7945"/>
    <w:rsid w:val="00CF025C"/>
    <w:rsid w:val="00CF0B9E"/>
    <w:rsid w:val="00CF10D1"/>
    <w:rsid w:val="00CF1723"/>
    <w:rsid w:val="00CF23C6"/>
    <w:rsid w:val="00CF2472"/>
    <w:rsid w:val="00CF2551"/>
    <w:rsid w:val="00CF2CAC"/>
    <w:rsid w:val="00CF4166"/>
    <w:rsid w:val="00CF4A5C"/>
    <w:rsid w:val="00CF4ADC"/>
    <w:rsid w:val="00CF506C"/>
    <w:rsid w:val="00CF5588"/>
    <w:rsid w:val="00CF5F2D"/>
    <w:rsid w:val="00CF65CC"/>
    <w:rsid w:val="00CF6680"/>
    <w:rsid w:val="00CF76C0"/>
    <w:rsid w:val="00CF77BF"/>
    <w:rsid w:val="00CF7966"/>
    <w:rsid w:val="00D019F5"/>
    <w:rsid w:val="00D025B1"/>
    <w:rsid w:val="00D029AA"/>
    <w:rsid w:val="00D02D5F"/>
    <w:rsid w:val="00D035B9"/>
    <w:rsid w:val="00D03A37"/>
    <w:rsid w:val="00D03CA1"/>
    <w:rsid w:val="00D04FC7"/>
    <w:rsid w:val="00D056A8"/>
    <w:rsid w:val="00D057DB"/>
    <w:rsid w:val="00D0707D"/>
    <w:rsid w:val="00D0738E"/>
    <w:rsid w:val="00D10145"/>
    <w:rsid w:val="00D10734"/>
    <w:rsid w:val="00D131CF"/>
    <w:rsid w:val="00D13AB8"/>
    <w:rsid w:val="00D14ACD"/>
    <w:rsid w:val="00D14B1C"/>
    <w:rsid w:val="00D15C93"/>
    <w:rsid w:val="00D16052"/>
    <w:rsid w:val="00D16094"/>
    <w:rsid w:val="00D160C0"/>
    <w:rsid w:val="00D1676D"/>
    <w:rsid w:val="00D1694B"/>
    <w:rsid w:val="00D16CBF"/>
    <w:rsid w:val="00D172B6"/>
    <w:rsid w:val="00D1778C"/>
    <w:rsid w:val="00D21D4E"/>
    <w:rsid w:val="00D2245D"/>
    <w:rsid w:val="00D23894"/>
    <w:rsid w:val="00D23BDA"/>
    <w:rsid w:val="00D247B8"/>
    <w:rsid w:val="00D25D5A"/>
    <w:rsid w:val="00D26340"/>
    <w:rsid w:val="00D26B9C"/>
    <w:rsid w:val="00D26DDF"/>
    <w:rsid w:val="00D27ED1"/>
    <w:rsid w:val="00D27F13"/>
    <w:rsid w:val="00D30350"/>
    <w:rsid w:val="00D313F2"/>
    <w:rsid w:val="00D31924"/>
    <w:rsid w:val="00D31F5F"/>
    <w:rsid w:val="00D32CA1"/>
    <w:rsid w:val="00D33E14"/>
    <w:rsid w:val="00D343D3"/>
    <w:rsid w:val="00D34C89"/>
    <w:rsid w:val="00D34D5E"/>
    <w:rsid w:val="00D352F3"/>
    <w:rsid w:val="00D356DE"/>
    <w:rsid w:val="00D35DAD"/>
    <w:rsid w:val="00D3645A"/>
    <w:rsid w:val="00D367B0"/>
    <w:rsid w:val="00D37098"/>
    <w:rsid w:val="00D37108"/>
    <w:rsid w:val="00D4005C"/>
    <w:rsid w:val="00D40E6B"/>
    <w:rsid w:val="00D414EF"/>
    <w:rsid w:val="00D41B26"/>
    <w:rsid w:val="00D41EB7"/>
    <w:rsid w:val="00D434C2"/>
    <w:rsid w:val="00D450A1"/>
    <w:rsid w:val="00D45692"/>
    <w:rsid w:val="00D462D3"/>
    <w:rsid w:val="00D466C9"/>
    <w:rsid w:val="00D46A4D"/>
    <w:rsid w:val="00D47C2A"/>
    <w:rsid w:val="00D47C53"/>
    <w:rsid w:val="00D50077"/>
    <w:rsid w:val="00D509B0"/>
    <w:rsid w:val="00D50FBA"/>
    <w:rsid w:val="00D510EF"/>
    <w:rsid w:val="00D53164"/>
    <w:rsid w:val="00D5392C"/>
    <w:rsid w:val="00D53937"/>
    <w:rsid w:val="00D53ABE"/>
    <w:rsid w:val="00D54020"/>
    <w:rsid w:val="00D5402A"/>
    <w:rsid w:val="00D5420D"/>
    <w:rsid w:val="00D54D56"/>
    <w:rsid w:val="00D5568E"/>
    <w:rsid w:val="00D557CD"/>
    <w:rsid w:val="00D55A7A"/>
    <w:rsid w:val="00D572B1"/>
    <w:rsid w:val="00D57C70"/>
    <w:rsid w:val="00D57D37"/>
    <w:rsid w:val="00D57FD4"/>
    <w:rsid w:val="00D618F6"/>
    <w:rsid w:val="00D62144"/>
    <w:rsid w:val="00D62232"/>
    <w:rsid w:val="00D629EE"/>
    <w:rsid w:val="00D632DE"/>
    <w:rsid w:val="00D63FF9"/>
    <w:rsid w:val="00D645FE"/>
    <w:rsid w:val="00D649E0"/>
    <w:rsid w:val="00D64C1D"/>
    <w:rsid w:val="00D6500A"/>
    <w:rsid w:val="00D66E56"/>
    <w:rsid w:val="00D675B8"/>
    <w:rsid w:val="00D67A36"/>
    <w:rsid w:val="00D7019E"/>
    <w:rsid w:val="00D70CD7"/>
    <w:rsid w:val="00D70DCF"/>
    <w:rsid w:val="00D71158"/>
    <w:rsid w:val="00D71C72"/>
    <w:rsid w:val="00D721D5"/>
    <w:rsid w:val="00D7249F"/>
    <w:rsid w:val="00D7274E"/>
    <w:rsid w:val="00D72B48"/>
    <w:rsid w:val="00D72F20"/>
    <w:rsid w:val="00D73472"/>
    <w:rsid w:val="00D73DBF"/>
    <w:rsid w:val="00D74850"/>
    <w:rsid w:val="00D749ED"/>
    <w:rsid w:val="00D74CE3"/>
    <w:rsid w:val="00D7502C"/>
    <w:rsid w:val="00D7532E"/>
    <w:rsid w:val="00D75385"/>
    <w:rsid w:val="00D75BB9"/>
    <w:rsid w:val="00D75F7A"/>
    <w:rsid w:val="00D766E4"/>
    <w:rsid w:val="00D769A2"/>
    <w:rsid w:val="00D76F14"/>
    <w:rsid w:val="00D772B4"/>
    <w:rsid w:val="00D7746C"/>
    <w:rsid w:val="00D7767E"/>
    <w:rsid w:val="00D77ED5"/>
    <w:rsid w:val="00D807CF"/>
    <w:rsid w:val="00D80BDD"/>
    <w:rsid w:val="00D80F1E"/>
    <w:rsid w:val="00D81880"/>
    <w:rsid w:val="00D81BD0"/>
    <w:rsid w:val="00D81CFE"/>
    <w:rsid w:val="00D836BE"/>
    <w:rsid w:val="00D83D04"/>
    <w:rsid w:val="00D83E53"/>
    <w:rsid w:val="00D83EC1"/>
    <w:rsid w:val="00D8590C"/>
    <w:rsid w:val="00D85BA2"/>
    <w:rsid w:val="00D85EDB"/>
    <w:rsid w:val="00D8654D"/>
    <w:rsid w:val="00D87231"/>
    <w:rsid w:val="00D872A9"/>
    <w:rsid w:val="00D90297"/>
    <w:rsid w:val="00D902BF"/>
    <w:rsid w:val="00D91B90"/>
    <w:rsid w:val="00D924DE"/>
    <w:rsid w:val="00D92DBE"/>
    <w:rsid w:val="00D94766"/>
    <w:rsid w:val="00D94CB1"/>
    <w:rsid w:val="00D95FF5"/>
    <w:rsid w:val="00D97539"/>
    <w:rsid w:val="00D979E8"/>
    <w:rsid w:val="00D97F47"/>
    <w:rsid w:val="00DA052D"/>
    <w:rsid w:val="00DA0671"/>
    <w:rsid w:val="00DA15FF"/>
    <w:rsid w:val="00DA1FD8"/>
    <w:rsid w:val="00DA20B8"/>
    <w:rsid w:val="00DA21DF"/>
    <w:rsid w:val="00DA3C91"/>
    <w:rsid w:val="00DA3CA2"/>
    <w:rsid w:val="00DA52FC"/>
    <w:rsid w:val="00DA5697"/>
    <w:rsid w:val="00DA6451"/>
    <w:rsid w:val="00DA67CC"/>
    <w:rsid w:val="00DA7E9E"/>
    <w:rsid w:val="00DB021D"/>
    <w:rsid w:val="00DB082B"/>
    <w:rsid w:val="00DB14D0"/>
    <w:rsid w:val="00DB1CCC"/>
    <w:rsid w:val="00DB2205"/>
    <w:rsid w:val="00DB241A"/>
    <w:rsid w:val="00DB2772"/>
    <w:rsid w:val="00DB3176"/>
    <w:rsid w:val="00DB3A0D"/>
    <w:rsid w:val="00DB3F3E"/>
    <w:rsid w:val="00DB42A9"/>
    <w:rsid w:val="00DB4C3F"/>
    <w:rsid w:val="00DB520B"/>
    <w:rsid w:val="00DB5B56"/>
    <w:rsid w:val="00DB6226"/>
    <w:rsid w:val="00DB68AB"/>
    <w:rsid w:val="00DB7166"/>
    <w:rsid w:val="00DB7FB9"/>
    <w:rsid w:val="00DC1BEB"/>
    <w:rsid w:val="00DC2806"/>
    <w:rsid w:val="00DC280E"/>
    <w:rsid w:val="00DC52E0"/>
    <w:rsid w:val="00DC5690"/>
    <w:rsid w:val="00DC62C8"/>
    <w:rsid w:val="00DC6AC8"/>
    <w:rsid w:val="00DC6DA3"/>
    <w:rsid w:val="00DC6F0C"/>
    <w:rsid w:val="00DC7A5E"/>
    <w:rsid w:val="00DD137D"/>
    <w:rsid w:val="00DD1A0C"/>
    <w:rsid w:val="00DD1DA6"/>
    <w:rsid w:val="00DD1FE1"/>
    <w:rsid w:val="00DD32F8"/>
    <w:rsid w:val="00DD33C2"/>
    <w:rsid w:val="00DD374B"/>
    <w:rsid w:val="00DD5238"/>
    <w:rsid w:val="00DD765D"/>
    <w:rsid w:val="00DD7682"/>
    <w:rsid w:val="00DE0586"/>
    <w:rsid w:val="00DE1DC8"/>
    <w:rsid w:val="00DE21A7"/>
    <w:rsid w:val="00DE21BA"/>
    <w:rsid w:val="00DE2C42"/>
    <w:rsid w:val="00DE309C"/>
    <w:rsid w:val="00DE49C6"/>
    <w:rsid w:val="00DE4E09"/>
    <w:rsid w:val="00DE509B"/>
    <w:rsid w:val="00DE5AA4"/>
    <w:rsid w:val="00DE6393"/>
    <w:rsid w:val="00DE6485"/>
    <w:rsid w:val="00DE69DB"/>
    <w:rsid w:val="00DE79ED"/>
    <w:rsid w:val="00DE7FC7"/>
    <w:rsid w:val="00DF050D"/>
    <w:rsid w:val="00DF0734"/>
    <w:rsid w:val="00DF13E1"/>
    <w:rsid w:val="00DF1BFF"/>
    <w:rsid w:val="00DF2512"/>
    <w:rsid w:val="00DF27EA"/>
    <w:rsid w:val="00DF2C5A"/>
    <w:rsid w:val="00DF3C4F"/>
    <w:rsid w:val="00DF4EFD"/>
    <w:rsid w:val="00DF50D6"/>
    <w:rsid w:val="00DF55D6"/>
    <w:rsid w:val="00DF59DC"/>
    <w:rsid w:val="00DF7503"/>
    <w:rsid w:val="00DF7BD8"/>
    <w:rsid w:val="00E0098E"/>
    <w:rsid w:val="00E00A3B"/>
    <w:rsid w:val="00E01405"/>
    <w:rsid w:val="00E021A0"/>
    <w:rsid w:val="00E02714"/>
    <w:rsid w:val="00E0273C"/>
    <w:rsid w:val="00E02DC4"/>
    <w:rsid w:val="00E0388B"/>
    <w:rsid w:val="00E0455A"/>
    <w:rsid w:val="00E0535F"/>
    <w:rsid w:val="00E05B31"/>
    <w:rsid w:val="00E05CC3"/>
    <w:rsid w:val="00E06F71"/>
    <w:rsid w:val="00E075AD"/>
    <w:rsid w:val="00E10010"/>
    <w:rsid w:val="00E10E0E"/>
    <w:rsid w:val="00E11386"/>
    <w:rsid w:val="00E113C4"/>
    <w:rsid w:val="00E11589"/>
    <w:rsid w:val="00E11712"/>
    <w:rsid w:val="00E12116"/>
    <w:rsid w:val="00E121D4"/>
    <w:rsid w:val="00E12A93"/>
    <w:rsid w:val="00E131E8"/>
    <w:rsid w:val="00E13B1A"/>
    <w:rsid w:val="00E13C46"/>
    <w:rsid w:val="00E1477A"/>
    <w:rsid w:val="00E14F9E"/>
    <w:rsid w:val="00E15BCA"/>
    <w:rsid w:val="00E15D6F"/>
    <w:rsid w:val="00E15EB2"/>
    <w:rsid w:val="00E16A94"/>
    <w:rsid w:val="00E16FE3"/>
    <w:rsid w:val="00E17EC7"/>
    <w:rsid w:val="00E2045F"/>
    <w:rsid w:val="00E212CE"/>
    <w:rsid w:val="00E21D90"/>
    <w:rsid w:val="00E22CA3"/>
    <w:rsid w:val="00E22FE4"/>
    <w:rsid w:val="00E242E7"/>
    <w:rsid w:val="00E245CD"/>
    <w:rsid w:val="00E258BB"/>
    <w:rsid w:val="00E25DAE"/>
    <w:rsid w:val="00E26A4C"/>
    <w:rsid w:val="00E26C98"/>
    <w:rsid w:val="00E26EC4"/>
    <w:rsid w:val="00E27819"/>
    <w:rsid w:val="00E27A77"/>
    <w:rsid w:val="00E27A82"/>
    <w:rsid w:val="00E303F8"/>
    <w:rsid w:val="00E309F6"/>
    <w:rsid w:val="00E3249C"/>
    <w:rsid w:val="00E32E70"/>
    <w:rsid w:val="00E33393"/>
    <w:rsid w:val="00E33DAA"/>
    <w:rsid w:val="00E346DF"/>
    <w:rsid w:val="00E36F00"/>
    <w:rsid w:val="00E37C5F"/>
    <w:rsid w:val="00E40044"/>
    <w:rsid w:val="00E4091F"/>
    <w:rsid w:val="00E40C8D"/>
    <w:rsid w:val="00E410BC"/>
    <w:rsid w:val="00E41432"/>
    <w:rsid w:val="00E41E8A"/>
    <w:rsid w:val="00E42678"/>
    <w:rsid w:val="00E4267D"/>
    <w:rsid w:val="00E42AD6"/>
    <w:rsid w:val="00E430C2"/>
    <w:rsid w:val="00E4311C"/>
    <w:rsid w:val="00E4371D"/>
    <w:rsid w:val="00E45004"/>
    <w:rsid w:val="00E45681"/>
    <w:rsid w:val="00E4596E"/>
    <w:rsid w:val="00E45B96"/>
    <w:rsid w:val="00E45D87"/>
    <w:rsid w:val="00E47138"/>
    <w:rsid w:val="00E472EA"/>
    <w:rsid w:val="00E4734A"/>
    <w:rsid w:val="00E47CDC"/>
    <w:rsid w:val="00E50422"/>
    <w:rsid w:val="00E505B3"/>
    <w:rsid w:val="00E51781"/>
    <w:rsid w:val="00E51DB7"/>
    <w:rsid w:val="00E5306B"/>
    <w:rsid w:val="00E5339B"/>
    <w:rsid w:val="00E5601D"/>
    <w:rsid w:val="00E560B9"/>
    <w:rsid w:val="00E56369"/>
    <w:rsid w:val="00E57220"/>
    <w:rsid w:val="00E57222"/>
    <w:rsid w:val="00E57E54"/>
    <w:rsid w:val="00E603DB"/>
    <w:rsid w:val="00E60A86"/>
    <w:rsid w:val="00E60AAA"/>
    <w:rsid w:val="00E613EF"/>
    <w:rsid w:val="00E62429"/>
    <w:rsid w:val="00E62D78"/>
    <w:rsid w:val="00E62DAA"/>
    <w:rsid w:val="00E630B0"/>
    <w:rsid w:val="00E636F9"/>
    <w:rsid w:val="00E6376D"/>
    <w:rsid w:val="00E63890"/>
    <w:rsid w:val="00E63D26"/>
    <w:rsid w:val="00E64A7E"/>
    <w:rsid w:val="00E650EB"/>
    <w:rsid w:val="00E655E8"/>
    <w:rsid w:val="00E655F5"/>
    <w:rsid w:val="00E65754"/>
    <w:rsid w:val="00E65D90"/>
    <w:rsid w:val="00E6600E"/>
    <w:rsid w:val="00E66886"/>
    <w:rsid w:val="00E6701B"/>
    <w:rsid w:val="00E67148"/>
    <w:rsid w:val="00E674BB"/>
    <w:rsid w:val="00E70349"/>
    <w:rsid w:val="00E70644"/>
    <w:rsid w:val="00E707A6"/>
    <w:rsid w:val="00E707CD"/>
    <w:rsid w:val="00E7172E"/>
    <w:rsid w:val="00E71B64"/>
    <w:rsid w:val="00E724C0"/>
    <w:rsid w:val="00E72712"/>
    <w:rsid w:val="00E73AD6"/>
    <w:rsid w:val="00E74312"/>
    <w:rsid w:val="00E74481"/>
    <w:rsid w:val="00E75BB9"/>
    <w:rsid w:val="00E76369"/>
    <w:rsid w:val="00E76E3F"/>
    <w:rsid w:val="00E76FC4"/>
    <w:rsid w:val="00E76FC9"/>
    <w:rsid w:val="00E77884"/>
    <w:rsid w:val="00E77FB2"/>
    <w:rsid w:val="00E8058B"/>
    <w:rsid w:val="00E8097A"/>
    <w:rsid w:val="00E80E0B"/>
    <w:rsid w:val="00E8321C"/>
    <w:rsid w:val="00E83F38"/>
    <w:rsid w:val="00E84223"/>
    <w:rsid w:val="00E845E7"/>
    <w:rsid w:val="00E84ED8"/>
    <w:rsid w:val="00E8504A"/>
    <w:rsid w:val="00E85C64"/>
    <w:rsid w:val="00E86E03"/>
    <w:rsid w:val="00E8701F"/>
    <w:rsid w:val="00E87C85"/>
    <w:rsid w:val="00E87EFD"/>
    <w:rsid w:val="00E907BC"/>
    <w:rsid w:val="00E907E5"/>
    <w:rsid w:val="00E908A5"/>
    <w:rsid w:val="00E90C4B"/>
    <w:rsid w:val="00E91032"/>
    <w:rsid w:val="00E91678"/>
    <w:rsid w:val="00E92011"/>
    <w:rsid w:val="00E92E37"/>
    <w:rsid w:val="00E93326"/>
    <w:rsid w:val="00E93648"/>
    <w:rsid w:val="00E938BC"/>
    <w:rsid w:val="00E9530E"/>
    <w:rsid w:val="00E95A91"/>
    <w:rsid w:val="00E95B26"/>
    <w:rsid w:val="00E95C80"/>
    <w:rsid w:val="00E9622C"/>
    <w:rsid w:val="00E962CB"/>
    <w:rsid w:val="00E963DD"/>
    <w:rsid w:val="00E96FFB"/>
    <w:rsid w:val="00E97C5D"/>
    <w:rsid w:val="00E97F37"/>
    <w:rsid w:val="00EA0663"/>
    <w:rsid w:val="00EA0711"/>
    <w:rsid w:val="00EA0FF4"/>
    <w:rsid w:val="00EA1482"/>
    <w:rsid w:val="00EA1522"/>
    <w:rsid w:val="00EA158D"/>
    <w:rsid w:val="00EA28F5"/>
    <w:rsid w:val="00EA3AF3"/>
    <w:rsid w:val="00EA3B2E"/>
    <w:rsid w:val="00EA3BD0"/>
    <w:rsid w:val="00EA3DFC"/>
    <w:rsid w:val="00EA40CE"/>
    <w:rsid w:val="00EA4516"/>
    <w:rsid w:val="00EA45F8"/>
    <w:rsid w:val="00EA65DB"/>
    <w:rsid w:val="00EA6E15"/>
    <w:rsid w:val="00EA7157"/>
    <w:rsid w:val="00EA7433"/>
    <w:rsid w:val="00EA7503"/>
    <w:rsid w:val="00EA7997"/>
    <w:rsid w:val="00EA7AA6"/>
    <w:rsid w:val="00EB0668"/>
    <w:rsid w:val="00EB06D7"/>
    <w:rsid w:val="00EB098F"/>
    <w:rsid w:val="00EB0B24"/>
    <w:rsid w:val="00EB15BF"/>
    <w:rsid w:val="00EB25CB"/>
    <w:rsid w:val="00EB2DD7"/>
    <w:rsid w:val="00EB3B2F"/>
    <w:rsid w:val="00EB3E0E"/>
    <w:rsid w:val="00EB4920"/>
    <w:rsid w:val="00EB4D7B"/>
    <w:rsid w:val="00EB5061"/>
    <w:rsid w:val="00EB50B0"/>
    <w:rsid w:val="00EB52BF"/>
    <w:rsid w:val="00EB55F0"/>
    <w:rsid w:val="00EB5888"/>
    <w:rsid w:val="00EB5B04"/>
    <w:rsid w:val="00EB6F33"/>
    <w:rsid w:val="00EB75FD"/>
    <w:rsid w:val="00EB778D"/>
    <w:rsid w:val="00EB7E0E"/>
    <w:rsid w:val="00EB7EA6"/>
    <w:rsid w:val="00EC1504"/>
    <w:rsid w:val="00EC2383"/>
    <w:rsid w:val="00EC2663"/>
    <w:rsid w:val="00EC2CA9"/>
    <w:rsid w:val="00EC2ECE"/>
    <w:rsid w:val="00EC3EB5"/>
    <w:rsid w:val="00EC4F40"/>
    <w:rsid w:val="00EC6522"/>
    <w:rsid w:val="00EC6760"/>
    <w:rsid w:val="00EC6DD9"/>
    <w:rsid w:val="00EC7D9B"/>
    <w:rsid w:val="00ED00A7"/>
    <w:rsid w:val="00ED0192"/>
    <w:rsid w:val="00ED02F6"/>
    <w:rsid w:val="00ED1DE9"/>
    <w:rsid w:val="00ED23C1"/>
    <w:rsid w:val="00ED2D3E"/>
    <w:rsid w:val="00ED31DC"/>
    <w:rsid w:val="00ED3AB3"/>
    <w:rsid w:val="00ED3C53"/>
    <w:rsid w:val="00ED485B"/>
    <w:rsid w:val="00ED4E30"/>
    <w:rsid w:val="00ED5090"/>
    <w:rsid w:val="00ED51C8"/>
    <w:rsid w:val="00ED5DEB"/>
    <w:rsid w:val="00ED5EC6"/>
    <w:rsid w:val="00ED5F53"/>
    <w:rsid w:val="00ED6343"/>
    <w:rsid w:val="00ED665E"/>
    <w:rsid w:val="00ED6B68"/>
    <w:rsid w:val="00ED79C0"/>
    <w:rsid w:val="00ED7E1F"/>
    <w:rsid w:val="00EE0ACC"/>
    <w:rsid w:val="00EE0BED"/>
    <w:rsid w:val="00EE1ACB"/>
    <w:rsid w:val="00EE3107"/>
    <w:rsid w:val="00EE315A"/>
    <w:rsid w:val="00EE32AF"/>
    <w:rsid w:val="00EE676B"/>
    <w:rsid w:val="00EF0F9D"/>
    <w:rsid w:val="00EF1CC4"/>
    <w:rsid w:val="00EF233D"/>
    <w:rsid w:val="00EF28EE"/>
    <w:rsid w:val="00EF324E"/>
    <w:rsid w:val="00EF3462"/>
    <w:rsid w:val="00EF357E"/>
    <w:rsid w:val="00EF3798"/>
    <w:rsid w:val="00EF392B"/>
    <w:rsid w:val="00EF3981"/>
    <w:rsid w:val="00EF4AE4"/>
    <w:rsid w:val="00EF4D08"/>
    <w:rsid w:val="00EF52EA"/>
    <w:rsid w:val="00EF59E0"/>
    <w:rsid w:val="00EF5E7F"/>
    <w:rsid w:val="00EF65F8"/>
    <w:rsid w:val="00EF6A36"/>
    <w:rsid w:val="00EF6F0B"/>
    <w:rsid w:val="00EF7B46"/>
    <w:rsid w:val="00F0030A"/>
    <w:rsid w:val="00F010B9"/>
    <w:rsid w:val="00F03177"/>
    <w:rsid w:val="00F03E82"/>
    <w:rsid w:val="00F03EF2"/>
    <w:rsid w:val="00F0461B"/>
    <w:rsid w:val="00F04692"/>
    <w:rsid w:val="00F0619F"/>
    <w:rsid w:val="00F06394"/>
    <w:rsid w:val="00F06999"/>
    <w:rsid w:val="00F06AC7"/>
    <w:rsid w:val="00F06BC4"/>
    <w:rsid w:val="00F07EDC"/>
    <w:rsid w:val="00F1084E"/>
    <w:rsid w:val="00F10C73"/>
    <w:rsid w:val="00F1206C"/>
    <w:rsid w:val="00F12227"/>
    <w:rsid w:val="00F124B7"/>
    <w:rsid w:val="00F12DD3"/>
    <w:rsid w:val="00F13125"/>
    <w:rsid w:val="00F133C7"/>
    <w:rsid w:val="00F13A63"/>
    <w:rsid w:val="00F14B9F"/>
    <w:rsid w:val="00F151E2"/>
    <w:rsid w:val="00F163C6"/>
    <w:rsid w:val="00F17066"/>
    <w:rsid w:val="00F17553"/>
    <w:rsid w:val="00F1764E"/>
    <w:rsid w:val="00F17756"/>
    <w:rsid w:val="00F1780C"/>
    <w:rsid w:val="00F17F04"/>
    <w:rsid w:val="00F17FAD"/>
    <w:rsid w:val="00F21878"/>
    <w:rsid w:val="00F21CB3"/>
    <w:rsid w:val="00F222D8"/>
    <w:rsid w:val="00F23360"/>
    <w:rsid w:val="00F237D8"/>
    <w:rsid w:val="00F255E6"/>
    <w:rsid w:val="00F2631E"/>
    <w:rsid w:val="00F26337"/>
    <w:rsid w:val="00F274F3"/>
    <w:rsid w:val="00F279BD"/>
    <w:rsid w:val="00F30411"/>
    <w:rsid w:val="00F305D9"/>
    <w:rsid w:val="00F30C6D"/>
    <w:rsid w:val="00F30DAE"/>
    <w:rsid w:val="00F319A9"/>
    <w:rsid w:val="00F33727"/>
    <w:rsid w:val="00F33CA1"/>
    <w:rsid w:val="00F33D54"/>
    <w:rsid w:val="00F3412F"/>
    <w:rsid w:val="00F347E2"/>
    <w:rsid w:val="00F35568"/>
    <w:rsid w:val="00F358E8"/>
    <w:rsid w:val="00F35A10"/>
    <w:rsid w:val="00F364C9"/>
    <w:rsid w:val="00F37167"/>
    <w:rsid w:val="00F37424"/>
    <w:rsid w:val="00F374A2"/>
    <w:rsid w:val="00F377F4"/>
    <w:rsid w:val="00F37807"/>
    <w:rsid w:val="00F40808"/>
    <w:rsid w:val="00F41C28"/>
    <w:rsid w:val="00F41FE5"/>
    <w:rsid w:val="00F42A60"/>
    <w:rsid w:val="00F43583"/>
    <w:rsid w:val="00F43848"/>
    <w:rsid w:val="00F43C0B"/>
    <w:rsid w:val="00F43F6B"/>
    <w:rsid w:val="00F44EF9"/>
    <w:rsid w:val="00F45574"/>
    <w:rsid w:val="00F46103"/>
    <w:rsid w:val="00F47E5A"/>
    <w:rsid w:val="00F47FE8"/>
    <w:rsid w:val="00F501D1"/>
    <w:rsid w:val="00F50370"/>
    <w:rsid w:val="00F50FB7"/>
    <w:rsid w:val="00F51191"/>
    <w:rsid w:val="00F513C8"/>
    <w:rsid w:val="00F516DC"/>
    <w:rsid w:val="00F516F0"/>
    <w:rsid w:val="00F51C8E"/>
    <w:rsid w:val="00F522F2"/>
    <w:rsid w:val="00F52611"/>
    <w:rsid w:val="00F52E2C"/>
    <w:rsid w:val="00F53412"/>
    <w:rsid w:val="00F537FE"/>
    <w:rsid w:val="00F54B07"/>
    <w:rsid w:val="00F54B66"/>
    <w:rsid w:val="00F5525E"/>
    <w:rsid w:val="00F55EFF"/>
    <w:rsid w:val="00F567FA"/>
    <w:rsid w:val="00F56A37"/>
    <w:rsid w:val="00F56CE6"/>
    <w:rsid w:val="00F5702C"/>
    <w:rsid w:val="00F57C79"/>
    <w:rsid w:val="00F57F89"/>
    <w:rsid w:val="00F60056"/>
    <w:rsid w:val="00F60F72"/>
    <w:rsid w:val="00F62C43"/>
    <w:rsid w:val="00F62F33"/>
    <w:rsid w:val="00F6335A"/>
    <w:rsid w:val="00F6438D"/>
    <w:rsid w:val="00F64EBD"/>
    <w:rsid w:val="00F653B8"/>
    <w:rsid w:val="00F65BC0"/>
    <w:rsid w:val="00F66057"/>
    <w:rsid w:val="00F66469"/>
    <w:rsid w:val="00F66ACC"/>
    <w:rsid w:val="00F66D6F"/>
    <w:rsid w:val="00F670C0"/>
    <w:rsid w:val="00F6728B"/>
    <w:rsid w:val="00F676E0"/>
    <w:rsid w:val="00F67F1E"/>
    <w:rsid w:val="00F72E1F"/>
    <w:rsid w:val="00F73647"/>
    <w:rsid w:val="00F74988"/>
    <w:rsid w:val="00F759AB"/>
    <w:rsid w:val="00F7627E"/>
    <w:rsid w:val="00F8013C"/>
    <w:rsid w:val="00F80C4A"/>
    <w:rsid w:val="00F81DA7"/>
    <w:rsid w:val="00F8215E"/>
    <w:rsid w:val="00F8232F"/>
    <w:rsid w:val="00F83F6C"/>
    <w:rsid w:val="00F84BE1"/>
    <w:rsid w:val="00F8500E"/>
    <w:rsid w:val="00F85E21"/>
    <w:rsid w:val="00F86F6D"/>
    <w:rsid w:val="00F870DA"/>
    <w:rsid w:val="00F8727B"/>
    <w:rsid w:val="00F87286"/>
    <w:rsid w:val="00F8784C"/>
    <w:rsid w:val="00F91139"/>
    <w:rsid w:val="00F915B8"/>
    <w:rsid w:val="00F91614"/>
    <w:rsid w:val="00F93086"/>
    <w:rsid w:val="00F9399E"/>
    <w:rsid w:val="00F93E10"/>
    <w:rsid w:val="00F940EC"/>
    <w:rsid w:val="00F95FCD"/>
    <w:rsid w:val="00F97075"/>
    <w:rsid w:val="00F97405"/>
    <w:rsid w:val="00FA06B5"/>
    <w:rsid w:val="00FA10EE"/>
    <w:rsid w:val="00FA2372"/>
    <w:rsid w:val="00FA2FD1"/>
    <w:rsid w:val="00FA375A"/>
    <w:rsid w:val="00FA384F"/>
    <w:rsid w:val="00FA3F6F"/>
    <w:rsid w:val="00FA4253"/>
    <w:rsid w:val="00FA4B5A"/>
    <w:rsid w:val="00FA4E76"/>
    <w:rsid w:val="00FA4F04"/>
    <w:rsid w:val="00FA5032"/>
    <w:rsid w:val="00FA50FF"/>
    <w:rsid w:val="00FA55B6"/>
    <w:rsid w:val="00FA577A"/>
    <w:rsid w:val="00FA59B9"/>
    <w:rsid w:val="00FA5ED1"/>
    <w:rsid w:val="00FA678C"/>
    <w:rsid w:val="00FA6806"/>
    <w:rsid w:val="00FA6BB3"/>
    <w:rsid w:val="00FB07D9"/>
    <w:rsid w:val="00FB0ADD"/>
    <w:rsid w:val="00FB0DE8"/>
    <w:rsid w:val="00FB169F"/>
    <w:rsid w:val="00FB1847"/>
    <w:rsid w:val="00FB25AE"/>
    <w:rsid w:val="00FB2779"/>
    <w:rsid w:val="00FB2B45"/>
    <w:rsid w:val="00FB2BE7"/>
    <w:rsid w:val="00FB2F72"/>
    <w:rsid w:val="00FB306A"/>
    <w:rsid w:val="00FB496B"/>
    <w:rsid w:val="00FB4AB9"/>
    <w:rsid w:val="00FB4ABE"/>
    <w:rsid w:val="00FB4C1C"/>
    <w:rsid w:val="00FB4DF3"/>
    <w:rsid w:val="00FB501E"/>
    <w:rsid w:val="00FB5A9C"/>
    <w:rsid w:val="00FB5B49"/>
    <w:rsid w:val="00FB5C68"/>
    <w:rsid w:val="00FB5E97"/>
    <w:rsid w:val="00FB6620"/>
    <w:rsid w:val="00FB68CA"/>
    <w:rsid w:val="00FB6951"/>
    <w:rsid w:val="00FB6BAD"/>
    <w:rsid w:val="00FB7049"/>
    <w:rsid w:val="00FB7AA4"/>
    <w:rsid w:val="00FB7C89"/>
    <w:rsid w:val="00FC0396"/>
    <w:rsid w:val="00FC0AC7"/>
    <w:rsid w:val="00FC1D97"/>
    <w:rsid w:val="00FC2909"/>
    <w:rsid w:val="00FC3115"/>
    <w:rsid w:val="00FC3121"/>
    <w:rsid w:val="00FC3EF1"/>
    <w:rsid w:val="00FC4DC5"/>
    <w:rsid w:val="00FC567B"/>
    <w:rsid w:val="00FC6163"/>
    <w:rsid w:val="00FC621F"/>
    <w:rsid w:val="00FC77B2"/>
    <w:rsid w:val="00FC790D"/>
    <w:rsid w:val="00FC7B09"/>
    <w:rsid w:val="00FD0B0B"/>
    <w:rsid w:val="00FD1616"/>
    <w:rsid w:val="00FD2EBD"/>
    <w:rsid w:val="00FD581E"/>
    <w:rsid w:val="00FD5FBD"/>
    <w:rsid w:val="00FD5FE0"/>
    <w:rsid w:val="00FD6CD5"/>
    <w:rsid w:val="00FD73C3"/>
    <w:rsid w:val="00FE00D6"/>
    <w:rsid w:val="00FE0637"/>
    <w:rsid w:val="00FE080D"/>
    <w:rsid w:val="00FE0FA6"/>
    <w:rsid w:val="00FE221A"/>
    <w:rsid w:val="00FE2EE4"/>
    <w:rsid w:val="00FE4551"/>
    <w:rsid w:val="00FE4984"/>
    <w:rsid w:val="00FE4FFC"/>
    <w:rsid w:val="00FE6DE0"/>
    <w:rsid w:val="00FE7087"/>
    <w:rsid w:val="00FE750D"/>
    <w:rsid w:val="00FE779E"/>
    <w:rsid w:val="00FE7B8A"/>
    <w:rsid w:val="00FF13FB"/>
    <w:rsid w:val="00FF16F5"/>
    <w:rsid w:val="00FF3713"/>
    <w:rsid w:val="00FF3BA3"/>
    <w:rsid w:val="00FF47C6"/>
    <w:rsid w:val="00FF4827"/>
    <w:rsid w:val="00FF4AEA"/>
    <w:rsid w:val="00FF50D4"/>
    <w:rsid w:val="00FF56A6"/>
    <w:rsid w:val="00FF5E13"/>
    <w:rsid w:val="00FF621D"/>
    <w:rsid w:val="00FF747F"/>
    <w:rsid w:val="00FF765E"/>
    <w:rsid w:val="00FF7B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4E60AC4"/>
  <w14:defaultImageDpi w14:val="330"/>
  <w15:chartTrackingRefBased/>
  <w15:docId w15:val="{3F7D8D47-A1CF-464D-9C48-193980060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0CE2"/>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21BA"/>
    <w:rPr>
      <w:color w:val="808080"/>
    </w:rPr>
  </w:style>
  <w:style w:type="character" w:customStyle="1" w:styleId="Heading1Char">
    <w:name w:val="Heading 1 Char"/>
    <w:basedOn w:val="DefaultParagraphFont"/>
    <w:link w:val="Heading1"/>
    <w:uiPriority w:val="9"/>
    <w:rsid w:val="000B0CE2"/>
    <w:rPr>
      <w:rFonts w:asciiTheme="majorHAnsi" w:eastAsiaTheme="majorEastAsia" w:hAnsiTheme="majorHAnsi" w:cstheme="majorBidi"/>
      <w:color w:val="2F5496" w:themeColor="accent1" w:themeShade="BF"/>
      <w:kern w:val="0"/>
      <w:sz w:val="32"/>
      <w:szCs w:val="32"/>
      <w14:ligatures w14:val="none"/>
    </w:rPr>
  </w:style>
  <w:style w:type="table" w:styleId="TableGrid">
    <w:name w:val="Table Grid"/>
    <w:basedOn w:val="TableNormal"/>
    <w:uiPriority w:val="39"/>
    <w:rsid w:val="00A95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BA598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A598B"/>
    <w:rPr>
      <w:sz w:val="20"/>
      <w:szCs w:val="20"/>
    </w:rPr>
  </w:style>
  <w:style w:type="character" w:styleId="EndnoteReference">
    <w:name w:val="endnote reference"/>
    <w:basedOn w:val="DefaultParagraphFont"/>
    <w:uiPriority w:val="99"/>
    <w:semiHidden/>
    <w:unhideWhenUsed/>
    <w:rsid w:val="00BA598B"/>
    <w:rPr>
      <w:vertAlign w:val="superscript"/>
    </w:rPr>
  </w:style>
  <w:style w:type="character" w:styleId="Hyperlink">
    <w:name w:val="Hyperlink"/>
    <w:basedOn w:val="DefaultParagraphFont"/>
    <w:uiPriority w:val="99"/>
    <w:unhideWhenUsed/>
    <w:rsid w:val="00493E4B"/>
    <w:rPr>
      <w:color w:val="0000FF"/>
      <w:u w:val="single"/>
    </w:rPr>
  </w:style>
  <w:style w:type="character" w:customStyle="1" w:styleId="csl-left-margin">
    <w:name w:val="csl-left-margin"/>
    <w:basedOn w:val="DefaultParagraphFont"/>
    <w:rsid w:val="00597167"/>
  </w:style>
  <w:style w:type="character" w:customStyle="1" w:styleId="csl-right-inline">
    <w:name w:val="csl-right-inline"/>
    <w:basedOn w:val="DefaultParagraphFont"/>
    <w:rsid w:val="00597167"/>
  </w:style>
  <w:style w:type="paragraph" w:styleId="NormalWeb">
    <w:name w:val="Normal (Web)"/>
    <w:basedOn w:val="Normal"/>
    <w:uiPriority w:val="99"/>
    <w:semiHidden/>
    <w:unhideWhenUsed/>
    <w:rsid w:val="001D6720"/>
    <w:pPr>
      <w:spacing w:before="100" w:beforeAutospacing="1" w:after="100" w:afterAutospacing="1" w:line="240" w:lineRule="auto"/>
    </w:pPr>
    <w:rPr>
      <w:rFonts w:ascii="Times New Roman" w:hAnsi="Times New Roman" w:cs="Times New Roman"/>
      <w:kern w:val="0"/>
      <w:sz w:val="24"/>
      <w:szCs w:val="24"/>
      <w14:ligatures w14:val="none"/>
    </w:rPr>
  </w:style>
  <w:style w:type="table" w:styleId="PlainTable2">
    <w:name w:val="Plain Table 2"/>
    <w:basedOn w:val="TableNormal"/>
    <w:uiPriority w:val="42"/>
    <w:rsid w:val="00154F2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B678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782C"/>
  </w:style>
  <w:style w:type="paragraph" w:styleId="Footer">
    <w:name w:val="footer"/>
    <w:basedOn w:val="Normal"/>
    <w:link w:val="FooterChar"/>
    <w:uiPriority w:val="99"/>
    <w:unhideWhenUsed/>
    <w:rsid w:val="00B678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782C"/>
  </w:style>
  <w:style w:type="paragraph" w:styleId="Revision">
    <w:name w:val="Revision"/>
    <w:hidden/>
    <w:uiPriority w:val="99"/>
    <w:semiHidden/>
    <w:rsid w:val="00F62C43"/>
    <w:pPr>
      <w:spacing w:after="0" w:line="240" w:lineRule="auto"/>
    </w:pPr>
  </w:style>
  <w:style w:type="paragraph" w:styleId="ListParagraph">
    <w:name w:val="List Paragraph"/>
    <w:basedOn w:val="Normal"/>
    <w:uiPriority w:val="34"/>
    <w:qFormat/>
    <w:rsid w:val="00F377F4"/>
    <w:pPr>
      <w:ind w:left="720"/>
      <w:contextualSpacing/>
    </w:pPr>
  </w:style>
  <w:style w:type="table" w:styleId="ListTable2">
    <w:name w:val="List Table 2"/>
    <w:basedOn w:val="TableNormal"/>
    <w:uiPriority w:val="47"/>
    <w:rsid w:val="00C2215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D4005C"/>
    <w:rPr>
      <w:color w:val="605E5C"/>
      <w:shd w:val="clear" w:color="auto" w:fill="E1DFDD"/>
    </w:rPr>
  </w:style>
  <w:style w:type="paragraph" w:customStyle="1" w:styleId="BCAuthorAddress">
    <w:name w:val="BC_Author_Address"/>
    <w:basedOn w:val="Normal"/>
    <w:next w:val="Normal"/>
    <w:rsid w:val="00AF654C"/>
    <w:pPr>
      <w:spacing w:after="240" w:line="480" w:lineRule="auto"/>
      <w:jc w:val="center"/>
    </w:pPr>
    <w:rPr>
      <w:rFonts w:ascii="Times" w:eastAsia="Times New Roman" w:hAnsi="Times" w:cs="Times New Roman"/>
      <w:kern w:val="0"/>
      <w:sz w:val="24"/>
      <w:szCs w:val="20"/>
      <w14:ligatures w14:val="none"/>
    </w:rPr>
  </w:style>
  <w:style w:type="paragraph" w:customStyle="1" w:styleId="FACorrespondingAuthorFootnote">
    <w:name w:val="FA_Corresponding_Author_Footnote"/>
    <w:basedOn w:val="Normal"/>
    <w:next w:val="Normal"/>
    <w:rsid w:val="00AF654C"/>
    <w:pPr>
      <w:spacing w:after="200" w:line="480" w:lineRule="auto"/>
      <w:jc w:val="both"/>
    </w:pPr>
    <w:rPr>
      <w:rFonts w:ascii="Times" w:eastAsia="Times New Roman" w:hAnsi="Times" w:cs="Times New Roman"/>
      <w:kern w:val="0"/>
      <w:sz w:val="24"/>
      <w:szCs w:val="20"/>
      <w14:ligatures w14:val="none"/>
    </w:rPr>
  </w:style>
  <w:style w:type="paragraph" w:customStyle="1" w:styleId="StyleFACorrespondingAuthorFootnote7pt">
    <w:name w:val="Style FA_Corresponding_Author_Footnote + 7 pt"/>
    <w:basedOn w:val="Normal"/>
    <w:next w:val="Normal"/>
    <w:link w:val="StyleFACorrespondingAuthorFootnote7ptChar"/>
    <w:autoRedefine/>
    <w:rsid w:val="00AF654C"/>
    <w:pPr>
      <w:spacing w:after="0" w:line="240" w:lineRule="auto"/>
    </w:pPr>
    <w:rPr>
      <w:rFonts w:ascii="Arno Pro" w:eastAsia="Times New Roman" w:hAnsi="Arno Pro" w:cs="Times New Roman"/>
      <w:kern w:val="20"/>
      <w:sz w:val="18"/>
      <w:szCs w:val="20"/>
      <w14:ligatures w14:val="none"/>
    </w:rPr>
  </w:style>
  <w:style w:type="character" w:customStyle="1" w:styleId="StyleFACorrespondingAuthorFootnote7ptChar">
    <w:name w:val="Style FA_Corresponding_Author_Footnote + 7 pt Char"/>
    <w:link w:val="StyleFACorrespondingAuthorFootnote7pt"/>
    <w:rsid w:val="00AF654C"/>
    <w:rPr>
      <w:rFonts w:ascii="Arno Pro" w:eastAsia="Times New Roman" w:hAnsi="Arno Pro" w:cs="Times New Roman"/>
      <w:kern w:val="20"/>
      <w:sz w:val="18"/>
      <w:szCs w:val="20"/>
      <w14:ligatures w14:val="none"/>
    </w:rPr>
  </w:style>
  <w:style w:type="paragraph" w:customStyle="1" w:styleId="FAAuthorInfoSubtitle">
    <w:name w:val="FA_Author_Info_Subtitle"/>
    <w:basedOn w:val="Normal"/>
    <w:link w:val="FAAuthorInfoSubtitleChar"/>
    <w:autoRedefine/>
    <w:rsid w:val="00AF654C"/>
    <w:pPr>
      <w:spacing w:before="120" w:after="60" w:line="480" w:lineRule="auto"/>
    </w:pPr>
    <w:rPr>
      <w:rFonts w:ascii="Times" w:eastAsia="Times New Roman" w:hAnsi="Times" w:cs="Times New Roman"/>
      <w:b/>
      <w:kern w:val="0"/>
      <w:sz w:val="28"/>
      <w14:ligatures w14:val="none"/>
    </w:rPr>
  </w:style>
  <w:style w:type="character" w:customStyle="1" w:styleId="FAAuthorInfoSubtitleChar">
    <w:name w:val="FA_Author_Info_Subtitle Char"/>
    <w:link w:val="FAAuthorInfoSubtitle"/>
    <w:rsid w:val="00AF654C"/>
    <w:rPr>
      <w:rFonts w:ascii="Times" w:eastAsia="Times New Roman" w:hAnsi="Times" w:cs="Times New Roman"/>
      <w:b/>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534949">
      <w:bodyDiv w:val="1"/>
      <w:marLeft w:val="0"/>
      <w:marRight w:val="0"/>
      <w:marTop w:val="0"/>
      <w:marBottom w:val="0"/>
      <w:divBdr>
        <w:top w:val="none" w:sz="0" w:space="0" w:color="auto"/>
        <w:left w:val="none" w:sz="0" w:space="0" w:color="auto"/>
        <w:bottom w:val="none" w:sz="0" w:space="0" w:color="auto"/>
        <w:right w:val="none" w:sz="0" w:space="0" w:color="auto"/>
      </w:divBdr>
    </w:div>
    <w:div w:id="55785816">
      <w:bodyDiv w:val="1"/>
      <w:marLeft w:val="0"/>
      <w:marRight w:val="0"/>
      <w:marTop w:val="0"/>
      <w:marBottom w:val="0"/>
      <w:divBdr>
        <w:top w:val="none" w:sz="0" w:space="0" w:color="auto"/>
        <w:left w:val="none" w:sz="0" w:space="0" w:color="auto"/>
        <w:bottom w:val="none" w:sz="0" w:space="0" w:color="auto"/>
        <w:right w:val="none" w:sz="0" w:space="0" w:color="auto"/>
      </w:divBdr>
      <w:divsChild>
        <w:div w:id="316694998">
          <w:marLeft w:val="0"/>
          <w:marRight w:val="0"/>
          <w:marTop w:val="0"/>
          <w:marBottom w:val="0"/>
          <w:divBdr>
            <w:top w:val="none" w:sz="0" w:space="0" w:color="auto"/>
            <w:left w:val="none" w:sz="0" w:space="0" w:color="auto"/>
            <w:bottom w:val="none" w:sz="0" w:space="0" w:color="auto"/>
            <w:right w:val="none" w:sz="0" w:space="0" w:color="auto"/>
          </w:divBdr>
        </w:div>
      </w:divsChild>
    </w:div>
    <w:div w:id="82773377">
      <w:bodyDiv w:val="1"/>
      <w:marLeft w:val="0"/>
      <w:marRight w:val="0"/>
      <w:marTop w:val="0"/>
      <w:marBottom w:val="0"/>
      <w:divBdr>
        <w:top w:val="none" w:sz="0" w:space="0" w:color="auto"/>
        <w:left w:val="none" w:sz="0" w:space="0" w:color="auto"/>
        <w:bottom w:val="none" w:sz="0" w:space="0" w:color="auto"/>
        <w:right w:val="none" w:sz="0" w:space="0" w:color="auto"/>
      </w:divBdr>
    </w:div>
    <w:div w:id="119803717">
      <w:bodyDiv w:val="1"/>
      <w:marLeft w:val="0"/>
      <w:marRight w:val="0"/>
      <w:marTop w:val="0"/>
      <w:marBottom w:val="0"/>
      <w:divBdr>
        <w:top w:val="none" w:sz="0" w:space="0" w:color="auto"/>
        <w:left w:val="none" w:sz="0" w:space="0" w:color="auto"/>
        <w:bottom w:val="none" w:sz="0" w:space="0" w:color="auto"/>
        <w:right w:val="none" w:sz="0" w:space="0" w:color="auto"/>
      </w:divBdr>
    </w:div>
    <w:div w:id="124781925">
      <w:bodyDiv w:val="1"/>
      <w:marLeft w:val="0"/>
      <w:marRight w:val="0"/>
      <w:marTop w:val="0"/>
      <w:marBottom w:val="0"/>
      <w:divBdr>
        <w:top w:val="none" w:sz="0" w:space="0" w:color="auto"/>
        <w:left w:val="none" w:sz="0" w:space="0" w:color="auto"/>
        <w:bottom w:val="none" w:sz="0" w:space="0" w:color="auto"/>
        <w:right w:val="none" w:sz="0" w:space="0" w:color="auto"/>
      </w:divBdr>
    </w:div>
    <w:div w:id="132328900">
      <w:bodyDiv w:val="1"/>
      <w:marLeft w:val="0"/>
      <w:marRight w:val="0"/>
      <w:marTop w:val="0"/>
      <w:marBottom w:val="0"/>
      <w:divBdr>
        <w:top w:val="none" w:sz="0" w:space="0" w:color="auto"/>
        <w:left w:val="none" w:sz="0" w:space="0" w:color="auto"/>
        <w:bottom w:val="none" w:sz="0" w:space="0" w:color="auto"/>
        <w:right w:val="none" w:sz="0" w:space="0" w:color="auto"/>
      </w:divBdr>
    </w:div>
    <w:div w:id="135415258">
      <w:bodyDiv w:val="1"/>
      <w:marLeft w:val="0"/>
      <w:marRight w:val="0"/>
      <w:marTop w:val="0"/>
      <w:marBottom w:val="0"/>
      <w:divBdr>
        <w:top w:val="none" w:sz="0" w:space="0" w:color="auto"/>
        <w:left w:val="none" w:sz="0" w:space="0" w:color="auto"/>
        <w:bottom w:val="none" w:sz="0" w:space="0" w:color="auto"/>
        <w:right w:val="none" w:sz="0" w:space="0" w:color="auto"/>
      </w:divBdr>
      <w:divsChild>
        <w:div w:id="278727089">
          <w:marLeft w:val="640"/>
          <w:marRight w:val="0"/>
          <w:marTop w:val="0"/>
          <w:marBottom w:val="0"/>
          <w:divBdr>
            <w:top w:val="none" w:sz="0" w:space="0" w:color="auto"/>
            <w:left w:val="none" w:sz="0" w:space="0" w:color="auto"/>
            <w:bottom w:val="none" w:sz="0" w:space="0" w:color="auto"/>
            <w:right w:val="none" w:sz="0" w:space="0" w:color="auto"/>
          </w:divBdr>
        </w:div>
        <w:div w:id="1727221166">
          <w:marLeft w:val="640"/>
          <w:marRight w:val="0"/>
          <w:marTop w:val="0"/>
          <w:marBottom w:val="0"/>
          <w:divBdr>
            <w:top w:val="none" w:sz="0" w:space="0" w:color="auto"/>
            <w:left w:val="none" w:sz="0" w:space="0" w:color="auto"/>
            <w:bottom w:val="none" w:sz="0" w:space="0" w:color="auto"/>
            <w:right w:val="none" w:sz="0" w:space="0" w:color="auto"/>
          </w:divBdr>
        </w:div>
        <w:div w:id="761805681">
          <w:marLeft w:val="640"/>
          <w:marRight w:val="0"/>
          <w:marTop w:val="0"/>
          <w:marBottom w:val="0"/>
          <w:divBdr>
            <w:top w:val="none" w:sz="0" w:space="0" w:color="auto"/>
            <w:left w:val="none" w:sz="0" w:space="0" w:color="auto"/>
            <w:bottom w:val="none" w:sz="0" w:space="0" w:color="auto"/>
            <w:right w:val="none" w:sz="0" w:space="0" w:color="auto"/>
          </w:divBdr>
        </w:div>
      </w:divsChild>
    </w:div>
    <w:div w:id="143621934">
      <w:bodyDiv w:val="1"/>
      <w:marLeft w:val="0"/>
      <w:marRight w:val="0"/>
      <w:marTop w:val="0"/>
      <w:marBottom w:val="0"/>
      <w:divBdr>
        <w:top w:val="none" w:sz="0" w:space="0" w:color="auto"/>
        <w:left w:val="none" w:sz="0" w:space="0" w:color="auto"/>
        <w:bottom w:val="none" w:sz="0" w:space="0" w:color="auto"/>
        <w:right w:val="none" w:sz="0" w:space="0" w:color="auto"/>
      </w:divBdr>
      <w:divsChild>
        <w:div w:id="50004031">
          <w:marLeft w:val="0"/>
          <w:marRight w:val="0"/>
          <w:marTop w:val="0"/>
          <w:marBottom w:val="0"/>
          <w:divBdr>
            <w:top w:val="none" w:sz="0" w:space="0" w:color="auto"/>
            <w:left w:val="none" w:sz="0" w:space="0" w:color="auto"/>
            <w:bottom w:val="none" w:sz="0" w:space="0" w:color="auto"/>
            <w:right w:val="none" w:sz="0" w:space="0" w:color="auto"/>
          </w:divBdr>
        </w:div>
      </w:divsChild>
    </w:div>
    <w:div w:id="147594865">
      <w:bodyDiv w:val="1"/>
      <w:marLeft w:val="0"/>
      <w:marRight w:val="0"/>
      <w:marTop w:val="0"/>
      <w:marBottom w:val="0"/>
      <w:divBdr>
        <w:top w:val="none" w:sz="0" w:space="0" w:color="auto"/>
        <w:left w:val="none" w:sz="0" w:space="0" w:color="auto"/>
        <w:bottom w:val="none" w:sz="0" w:space="0" w:color="auto"/>
        <w:right w:val="none" w:sz="0" w:space="0" w:color="auto"/>
      </w:divBdr>
    </w:div>
    <w:div w:id="161435580">
      <w:bodyDiv w:val="1"/>
      <w:marLeft w:val="0"/>
      <w:marRight w:val="0"/>
      <w:marTop w:val="0"/>
      <w:marBottom w:val="0"/>
      <w:divBdr>
        <w:top w:val="none" w:sz="0" w:space="0" w:color="auto"/>
        <w:left w:val="none" w:sz="0" w:space="0" w:color="auto"/>
        <w:bottom w:val="none" w:sz="0" w:space="0" w:color="auto"/>
        <w:right w:val="none" w:sz="0" w:space="0" w:color="auto"/>
      </w:divBdr>
    </w:div>
    <w:div w:id="176503433">
      <w:bodyDiv w:val="1"/>
      <w:marLeft w:val="0"/>
      <w:marRight w:val="0"/>
      <w:marTop w:val="0"/>
      <w:marBottom w:val="0"/>
      <w:divBdr>
        <w:top w:val="none" w:sz="0" w:space="0" w:color="auto"/>
        <w:left w:val="none" w:sz="0" w:space="0" w:color="auto"/>
        <w:bottom w:val="none" w:sz="0" w:space="0" w:color="auto"/>
        <w:right w:val="none" w:sz="0" w:space="0" w:color="auto"/>
      </w:divBdr>
    </w:div>
    <w:div w:id="192572833">
      <w:bodyDiv w:val="1"/>
      <w:marLeft w:val="0"/>
      <w:marRight w:val="0"/>
      <w:marTop w:val="0"/>
      <w:marBottom w:val="0"/>
      <w:divBdr>
        <w:top w:val="none" w:sz="0" w:space="0" w:color="auto"/>
        <w:left w:val="none" w:sz="0" w:space="0" w:color="auto"/>
        <w:bottom w:val="none" w:sz="0" w:space="0" w:color="auto"/>
        <w:right w:val="none" w:sz="0" w:space="0" w:color="auto"/>
      </w:divBdr>
    </w:div>
    <w:div w:id="223443879">
      <w:bodyDiv w:val="1"/>
      <w:marLeft w:val="0"/>
      <w:marRight w:val="0"/>
      <w:marTop w:val="0"/>
      <w:marBottom w:val="0"/>
      <w:divBdr>
        <w:top w:val="none" w:sz="0" w:space="0" w:color="auto"/>
        <w:left w:val="none" w:sz="0" w:space="0" w:color="auto"/>
        <w:bottom w:val="none" w:sz="0" w:space="0" w:color="auto"/>
        <w:right w:val="none" w:sz="0" w:space="0" w:color="auto"/>
      </w:divBdr>
    </w:div>
    <w:div w:id="225409835">
      <w:bodyDiv w:val="1"/>
      <w:marLeft w:val="0"/>
      <w:marRight w:val="0"/>
      <w:marTop w:val="0"/>
      <w:marBottom w:val="0"/>
      <w:divBdr>
        <w:top w:val="none" w:sz="0" w:space="0" w:color="auto"/>
        <w:left w:val="none" w:sz="0" w:space="0" w:color="auto"/>
        <w:bottom w:val="none" w:sz="0" w:space="0" w:color="auto"/>
        <w:right w:val="none" w:sz="0" w:space="0" w:color="auto"/>
      </w:divBdr>
      <w:divsChild>
        <w:div w:id="1496874541">
          <w:marLeft w:val="640"/>
          <w:marRight w:val="0"/>
          <w:marTop w:val="0"/>
          <w:marBottom w:val="0"/>
          <w:divBdr>
            <w:top w:val="none" w:sz="0" w:space="0" w:color="auto"/>
            <w:left w:val="none" w:sz="0" w:space="0" w:color="auto"/>
            <w:bottom w:val="none" w:sz="0" w:space="0" w:color="auto"/>
            <w:right w:val="none" w:sz="0" w:space="0" w:color="auto"/>
          </w:divBdr>
        </w:div>
        <w:div w:id="814294243">
          <w:marLeft w:val="640"/>
          <w:marRight w:val="0"/>
          <w:marTop w:val="0"/>
          <w:marBottom w:val="0"/>
          <w:divBdr>
            <w:top w:val="none" w:sz="0" w:space="0" w:color="auto"/>
            <w:left w:val="none" w:sz="0" w:space="0" w:color="auto"/>
            <w:bottom w:val="none" w:sz="0" w:space="0" w:color="auto"/>
            <w:right w:val="none" w:sz="0" w:space="0" w:color="auto"/>
          </w:divBdr>
        </w:div>
        <w:div w:id="773475991">
          <w:marLeft w:val="640"/>
          <w:marRight w:val="0"/>
          <w:marTop w:val="0"/>
          <w:marBottom w:val="0"/>
          <w:divBdr>
            <w:top w:val="none" w:sz="0" w:space="0" w:color="auto"/>
            <w:left w:val="none" w:sz="0" w:space="0" w:color="auto"/>
            <w:bottom w:val="none" w:sz="0" w:space="0" w:color="auto"/>
            <w:right w:val="none" w:sz="0" w:space="0" w:color="auto"/>
          </w:divBdr>
        </w:div>
      </w:divsChild>
    </w:div>
    <w:div w:id="265617974">
      <w:bodyDiv w:val="1"/>
      <w:marLeft w:val="0"/>
      <w:marRight w:val="0"/>
      <w:marTop w:val="0"/>
      <w:marBottom w:val="0"/>
      <w:divBdr>
        <w:top w:val="none" w:sz="0" w:space="0" w:color="auto"/>
        <w:left w:val="none" w:sz="0" w:space="0" w:color="auto"/>
        <w:bottom w:val="none" w:sz="0" w:space="0" w:color="auto"/>
        <w:right w:val="none" w:sz="0" w:space="0" w:color="auto"/>
      </w:divBdr>
    </w:div>
    <w:div w:id="276761287">
      <w:bodyDiv w:val="1"/>
      <w:marLeft w:val="0"/>
      <w:marRight w:val="0"/>
      <w:marTop w:val="0"/>
      <w:marBottom w:val="0"/>
      <w:divBdr>
        <w:top w:val="none" w:sz="0" w:space="0" w:color="auto"/>
        <w:left w:val="none" w:sz="0" w:space="0" w:color="auto"/>
        <w:bottom w:val="none" w:sz="0" w:space="0" w:color="auto"/>
        <w:right w:val="none" w:sz="0" w:space="0" w:color="auto"/>
      </w:divBdr>
    </w:div>
    <w:div w:id="288977461">
      <w:bodyDiv w:val="1"/>
      <w:marLeft w:val="0"/>
      <w:marRight w:val="0"/>
      <w:marTop w:val="0"/>
      <w:marBottom w:val="0"/>
      <w:divBdr>
        <w:top w:val="none" w:sz="0" w:space="0" w:color="auto"/>
        <w:left w:val="none" w:sz="0" w:space="0" w:color="auto"/>
        <w:bottom w:val="none" w:sz="0" w:space="0" w:color="auto"/>
        <w:right w:val="none" w:sz="0" w:space="0" w:color="auto"/>
      </w:divBdr>
    </w:div>
    <w:div w:id="317000136">
      <w:bodyDiv w:val="1"/>
      <w:marLeft w:val="0"/>
      <w:marRight w:val="0"/>
      <w:marTop w:val="0"/>
      <w:marBottom w:val="0"/>
      <w:divBdr>
        <w:top w:val="none" w:sz="0" w:space="0" w:color="auto"/>
        <w:left w:val="none" w:sz="0" w:space="0" w:color="auto"/>
        <w:bottom w:val="none" w:sz="0" w:space="0" w:color="auto"/>
        <w:right w:val="none" w:sz="0" w:space="0" w:color="auto"/>
      </w:divBdr>
    </w:div>
    <w:div w:id="334575621">
      <w:bodyDiv w:val="1"/>
      <w:marLeft w:val="0"/>
      <w:marRight w:val="0"/>
      <w:marTop w:val="0"/>
      <w:marBottom w:val="0"/>
      <w:divBdr>
        <w:top w:val="none" w:sz="0" w:space="0" w:color="auto"/>
        <w:left w:val="none" w:sz="0" w:space="0" w:color="auto"/>
        <w:bottom w:val="none" w:sz="0" w:space="0" w:color="auto"/>
        <w:right w:val="none" w:sz="0" w:space="0" w:color="auto"/>
      </w:divBdr>
    </w:div>
    <w:div w:id="335226860">
      <w:bodyDiv w:val="1"/>
      <w:marLeft w:val="0"/>
      <w:marRight w:val="0"/>
      <w:marTop w:val="0"/>
      <w:marBottom w:val="0"/>
      <w:divBdr>
        <w:top w:val="none" w:sz="0" w:space="0" w:color="auto"/>
        <w:left w:val="none" w:sz="0" w:space="0" w:color="auto"/>
        <w:bottom w:val="none" w:sz="0" w:space="0" w:color="auto"/>
        <w:right w:val="none" w:sz="0" w:space="0" w:color="auto"/>
      </w:divBdr>
    </w:div>
    <w:div w:id="347952716">
      <w:bodyDiv w:val="1"/>
      <w:marLeft w:val="0"/>
      <w:marRight w:val="0"/>
      <w:marTop w:val="0"/>
      <w:marBottom w:val="0"/>
      <w:divBdr>
        <w:top w:val="none" w:sz="0" w:space="0" w:color="auto"/>
        <w:left w:val="none" w:sz="0" w:space="0" w:color="auto"/>
        <w:bottom w:val="none" w:sz="0" w:space="0" w:color="auto"/>
        <w:right w:val="none" w:sz="0" w:space="0" w:color="auto"/>
      </w:divBdr>
    </w:div>
    <w:div w:id="384262636">
      <w:bodyDiv w:val="1"/>
      <w:marLeft w:val="0"/>
      <w:marRight w:val="0"/>
      <w:marTop w:val="0"/>
      <w:marBottom w:val="0"/>
      <w:divBdr>
        <w:top w:val="none" w:sz="0" w:space="0" w:color="auto"/>
        <w:left w:val="none" w:sz="0" w:space="0" w:color="auto"/>
        <w:bottom w:val="none" w:sz="0" w:space="0" w:color="auto"/>
        <w:right w:val="none" w:sz="0" w:space="0" w:color="auto"/>
      </w:divBdr>
    </w:div>
    <w:div w:id="401560176">
      <w:bodyDiv w:val="1"/>
      <w:marLeft w:val="0"/>
      <w:marRight w:val="0"/>
      <w:marTop w:val="0"/>
      <w:marBottom w:val="0"/>
      <w:divBdr>
        <w:top w:val="none" w:sz="0" w:space="0" w:color="auto"/>
        <w:left w:val="none" w:sz="0" w:space="0" w:color="auto"/>
        <w:bottom w:val="none" w:sz="0" w:space="0" w:color="auto"/>
        <w:right w:val="none" w:sz="0" w:space="0" w:color="auto"/>
      </w:divBdr>
      <w:divsChild>
        <w:div w:id="1610501289">
          <w:marLeft w:val="640"/>
          <w:marRight w:val="0"/>
          <w:marTop w:val="0"/>
          <w:marBottom w:val="0"/>
          <w:divBdr>
            <w:top w:val="none" w:sz="0" w:space="0" w:color="auto"/>
            <w:left w:val="none" w:sz="0" w:space="0" w:color="auto"/>
            <w:bottom w:val="none" w:sz="0" w:space="0" w:color="auto"/>
            <w:right w:val="none" w:sz="0" w:space="0" w:color="auto"/>
          </w:divBdr>
        </w:div>
      </w:divsChild>
    </w:div>
    <w:div w:id="404692130">
      <w:bodyDiv w:val="1"/>
      <w:marLeft w:val="0"/>
      <w:marRight w:val="0"/>
      <w:marTop w:val="0"/>
      <w:marBottom w:val="0"/>
      <w:divBdr>
        <w:top w:val="none" w:sz="0" w:space="0" w:color="auto"/>
        <w:left w:val="none" w:sz="0" w:space="0" w:color="auto"/>
        <w:bottom w:val="none" w:sz="0" w:space="0" w:color="auto"/>
        <w:right w:val="none" w:sz="0" w:space="0" w:color="auto"/>
      </w:divBdr>
    </w:div>
    <w:div w:id="434253414">
      <w:bodyDiv w:val="1"/>
      <w:marLeft w:val="0"/>
      <w:marRight w:val="0"/>
      <w:marTop w:val="0"/>
      <w:marBottom w:val="0"/>
      <w:divBdr>
        <w:top w:val="none" w:sz="0" w:space="0" w:color="auto"/>
        <w:left w:val="none" w:sz="0" w:space="0" w:color="auto"/>
        <w:bottom w:val="none" w:sz="0" w:space="0" w:color="auto"/>
        <w:right w:val="none" w:sz="0" w:space="0" w:color="auto"/>
      </w:divBdr>
      <w:divsChild>
        <w:div w:id="2078622862">
          <w:marLeft w:val="640"/>
          <w:marRight w:val="0"/>
          <w:marTop w:val="0"/>
          <w:marBottom w:val="0"/>
          <w:divBdr>
            <w:top w:val="none" w:sz="0" w:space="0" w:color="auto"/>
            <w:left w:val="none" w:sz="0" w:space="0" w:color="auto"/>
            <w:bottom w:val="none" w:sz="0" w:space="0" w:color="auto"/>
            <w:right w:val="none" w:sz="0" w:space="0" w:color="auto"/>
          </w:divBdr>
        </w:div>
      </w:divsChild>
    </w:div>
    <w:div w:id="471602969">
      <w:bodyDiv w:val="1"/>
      <w:marLeft w:val="0"/>
      <w:marRight w:val="0"/>
      <w:marTop w:val="0"/>
      <w:marBottom w:val="0"/>
      <w:divBdr>
        <w:top w:val="none" w:sz="0" w:space="0" w:color="auto"/>
        <w:left w:val="none" w:sz="0" w:space="0" w:color="auto"/>
        <w:bottom w:val="none" w:sz="0" w:space="0" w:color="auto"/>
        <w:right w:val="none" w:sz="0" w:space="0" w:color="auto"/>
      </w:divBdr>
    </w:div>
    <w:div w:id="472066228">
      <w:bodyDiv w:val="1"/>
      <w:marLeft w:val="0"/>
      <w:marRight w:val="0"/>
      <w:marTop w:val="0"/>
      <w:marBottom w:val="0"/>
      <w:divBdr>
        <w:top w:val="none" w:sz="0" w:space="0" w:color="auto"/>
        <w:left w:val="none" w:sz="0" w:space="0" w:color="auto"/>
        <w:bottom w:val="none" w:sz="0" w:space="0" w:color="auto"/>
        <w:right w:val="none" w:sz="0" w:space="0" w:color="auto"/>
      </w:divBdr>
    </w:div>
    <w:div w:id="476187539">
      <w:bodyDiv w:val="1"/>
      <w:marLeft w:val="0"/>
      <w:marRight w:val="0"/>
      <w:marTop w:val="0"/>
      <w:marBottom w:val="0"/>
      <w:divBdr>
        <w:top w:val="none" w:sz="0" w:space="0" w:color="auto"/>
        <w:left w:val="none" w:sz="0" w:space="0" w:color="auto"/>
        <w:bottom w:val="none" w:sz="0" w:space="0" w:color="auto"/>
        <w:right w:val="none" w:sz="0" w:space="0" w:color="auto"/>
      </w:divBdr>
    </w:div>
    <w:div w:id="488374431">
      <w:bodyDiv w:val="1"/>
      <w:marLeft w:val="0"/>
      <w:marRight w:val="0"/>
      <w:marTop w:val="0"/>
      <w:marBottom w:val="0"/>
      <w:divBdr>
        <w:top w:val="none" w:sz="0" w:space="0" w:color="auto"/>
        <w:left w:val="none" w:sz="0" w:space="0" w:color="auto"/>
        <w:bottom w:val="none" w:sz="0" w:space="0" w:color="auto"/>
        <w:right w:val="none" w:sz="0" w:space="0" w:color="auto"/>
      </w:divBdr>
    </w:div>
    <w:div w:id="488522209">
      <w:bodyDiv w:val="1"/>
      <w:marLeft w:val="0"/>
      <w:marRight w:val="0"/>
      <w:marTop w:val="0"/>
      <w:marBottom w:val="0"/>
      <w:divBdr>
        <w:top w:val="none" w:sz="0" w:space="0" w:color="auto"/>
        <w:left w:val="none" w:sz="0" w:space="0" w:color="auto"/>
        <w:bottom w:val="none" w:sz="0" w:space="0" w:color="auto"/>
        <w:right w:val="none" w:sz="0" w:space="0" w:color="auto"/>
      </w:divBdr>
    </w:div>
    <w:div w:id="499581158">
      <w:bodyDiv w:val="1"/>
      <w:marLeft w:val="0"/>
      <w:marRight w:val="0"/>
      <w:marTop w:val="0"/>
      <w:marBottom w:val="0"/>
      <w:divBdr>
        <w:top w:val="none" w:sz="0" w:space="0" w:color="auto"/>
        <w:left w:val="none" w:sz="0" w:space="0" w:color="auto"/>
        <w:bottom w:val="none" w:sz="0" w:space="0" w:color="auto"/>
        <w:right w:val="none" w:sz="0" w:space="0" w:color="auto"/>
      </w:divBdr>
    </w:div>
    <w:div w:id="500778104">
      <w:bodyDiv w:val="1"/>
      <w:marLeft w:val="0"/>
      <w:marRight w:val="0"/>
      <w:marTop w:val="0"/>
      <w:marBottom w:val="0"/>
      <w:divBdr>
        <w:top w:val="none" w:sz="0" w:space="0" w:color="auto"/>
        <w:left w:val="none" w:sz="0" w:space="0" w:color="auto"/>
        <w:bottom w:val="none" w:sz="0" w:space="0" w:color="auto"/>
        <w:right w:val="none" w:sz="0" w:space="0" w:color="auto"/>
      </w:divBdr>
    </w:div>
    <w:div w:id="518936279">
      <w:bodyDiv w:val="1"/>
      <w:marLeft w:val="0"/>
      <w:marRight w:val="0"/>
      <w:marTop w:val="0"/>
      <w:marBottom w:val="0"/>
      <w:divBdr>
        <w:top w:val="none" w:sz="0" w:space="0" w:color="auto"/>
        <w:left w:val="none" w:sz="0" w:space="0" w:color="auto"/>
        <w:bottom w:val="none" w:sz="0" w:space="0" w:color="auto"/>
        <w:right w:val="none" w:sz="0" w:space="0" w:color="auto"/>
      </w:divBdr>
    </w:div>
    <w:div w:id="554002221">
      <w:bodyDiv w:val="1"/>
      <w:marLeft w:val="0"/>
      <w:marRight w:val="0"/>
      <w:marTop w:val="0"/>
      <w:marBottom w:val="0"/>
      <w:divBdr>
        <w:top w:val="none" w:sz="0" w:space="0" w:color="auto"/>
        <w:left w:val="none" w:sz="0" w:space="0" w:color="auto"/>
        <w:bottom w:val="none" w:sz="0" w:space="0" w:color="auto"/>
        <w:right w:val="none" w:sz="0" w:space="0" w:color="auto"/>
      </w:divBdr>
    </w:div>
    <w:div w:id="555093281">
      <w:bodyDiv w:val="1"/>
      <w:marLeft w:val="0"/>
      <w:marRight w:val="0"/>
      <w:marTop w:val="0"/>
      <w:marBottom w:val="0"/>
      <w:divBdr>
        <w:top w:val="none" w:sz="0" w:space="0" w:color="auto"/>
        <w:left w:val="none" w:sz="0" w:space="0" w:color="auto"/>
        <w:bottom w:val="none" w:sz="0" w:space="0" w:color="auto"/>
        <w:right w:val="none" w:sz="0" w:space="0" w:color="auto"/>
      </w:divBdr>
    </w:div>
    <w:div w:id="582448930">
      <w:bodyDiv w:val="1"/>
      <w:marLeft w:val="0"/>
      <w:marRight w:val="0"/>
      <w:marTop w:val="0"/>
      <w:marBottom w:val="0"/>
      <w:divBdr>
        <w:top w:val="none" w:sz="0" w:space="0" w:color="auto"/>
        <w:left w:val="none" w:sz="0" w:space="0" w:color="auto"/>
        <w:bottom w:val="none" w:sz="0" w:space="0" w:color="auto"/>
        <w:right w:val="none" w:sz="0" w:space="0" w:color="auto"/>
      </w:divBdr>
    </w:div>
    <w:div w:id="636641026">
      <w:bodyDiv w:val="1"/>
      <w:marLeft w:val="0"/>
      <w:marRight w:val="0"/>
      <w:marTop w:val="0"/>
      <w:marBottom w:val="0"/>
      <w:divBdr>
        <w:top w:val="none" w:sz="0" w:space="0" w:color="auto"/>
        <w:left w:val="none" w:sz="0" w:space="0" w:color="auto"/>
        <w:bottom w:val="none" w:sz="0" w:space="0" w:color="auto"/>
        <w:right w:val="none" w:sz="0" w:space="0" w:color="auto"/>
      </w:divBdr>
    </w:div>
    <w:div w:id="644969796">
      <w:bodyDiv w:val="1"/>
      <w:marLeft w:val="0"/>
      <w:marRight w:val="0"/>
      <w:marTop w:val="0"/>
      <w:marBottom w:val="0"/>
      <w:divBdr>
        <w:top w:val="none" w:sz="0" w:space="0" w:color="auto"/>
        <w:left w:val="none" w:sz="0" w:space="0" w:color="auto"/>
        <w:bottom w:val="none" w:sz="0" w:space="0" w:color="auto"/>
        <w:right w:val="none" w:sz="0" w:space="0" w:color="auto"/>
      </w:divBdr>
    </w:div>
    <w:div w:id="688335962">
      <w:bodyDiv w:val="1"/>
      <w:marLeft w:val="0"/>
      <w:marRight w:val="0"/>
      <w:marTop w:val="0"/>
      <w:marBottom w:val="0"/>
      <w:divBdr>
        <w:top w:val="none" w:sz="0" w:space="0" w:color="auto"/>
        <w:left w:val="none" w:sz="0" w:space="0" w:color="auto"/>
        <w:bottom w:val="none" w:sz="0" w:space="0" w:color="auto"/>
        <w:right w:val="none" w:sz="0" w:space="0" w:color="auto"/>
      </w:divBdr>
    </w:div>
    <w:div w:id="703599856">
      <w:bodyDiv w:val="1"/>
      <w:marLeft w:val="0"/>
      <w:marRight w:val="0"/>
      <w:marTop w:val="0"/>
      <w:marBottom w:val="0"/>
      <w:divBdr>
        <w:top w:val="none" w:sz="0" w:space="0" w:color="auto"/>
        <w:left w:val="none" w:sz="0" w:space="0" w:color="auto"/>
        <w:bottom w:val="none" w:sz="0" w:space="0" w:color="auto"/>
        <w:right w:val="none" w:sz="0" w:space="0" w:color="auto"/>
      </w:divBdr>
    </w:div>
    <w:div w:id="742676838">
      <w:bodyDiv w:val="1"/>
      <w:marLeft w:val="0"/>
      <w:marRight w:val="0"/>
      <w:marTop w:val="0"/>
      <w:marBottom w:val="0"/>
      <w:divBdr>
        <w:top w:val="none" w:sz="0" w:space="0" w:color="auto"/>
        <w:left w:val="none" w:sz="0" w:space="0" w:color="auto"/>
        <w:bottom w:val="none" w:sz="0" w:space="0" w:color="auto"/>
        <w:right w:val="none" w:sz="0" w:space="0" w:color="auto"/>
      </w:divBdr>
      <w:divsChild>
        <w:div w:id="2106143332">
          <w:marLeft w:val="640"/>
          <w:marRight w:val="0"/>
          <w:marTop w:val="0"/>
          <w:marBottom w:val="0"/>
          <w:divBdr>
            <w:top w:val="none" w:sz="0" w:space="0" w:color="auto"/>
            <w:left w:val="none" w:sz="0" w:space="0" w:color="auto"/>
            <w:bottom w:val="none" w:sz="0" w:space="0" w:color="auto"/>
            <w:right w:val="none" w:sz="0" w:space="0" w:color="auto"/>
          </w:divBdr>
        </w:div>
      </w:divsChild>
    </w:div>
    <w:div w:id="752048018">
      <w:bodyDiv w:val="1"/>
      <w:marLeft w:val="0"/>
      <w:marRight w:val="0"/>
      <w:marTop w:val="0"/>
      <w:marBottom w:val="0"/>
      <w:divBdr>
        <w:top w:val="none" w:sz="0" w:space="0" w:color="auto"/>
        <w:left w:val="none" w:sz="0" w:space="0" w:color="auto"/>
        <w:bottom w:val="none" w:sz="0" w:space="0" w:color="auto"/>
        <w:right w:val="none" w:sz="0" w:space="0" w:color="auto"/>
      </w:divBdr>
    </w:div>
    <w:div w:id="756826377">
      <w:bodyDiv w:val="1"/>
      <w:marLeft w:val="0"/>
      <w:marRight w:val="0"/>
      <w:marTop w:val="0"/>
      <w:marBottom w:val="0"/>
      <w:divBdr>
        <w:top w:val="none" w:sz="0" w:space="0" w:color="auto"/>
        <w:left w:val="none" w:sz="0" w:space="0" w:color="auto"/>
        <w:bottom w:val="none" w:sz="0" w:space="0" w:color="auto"/>
        <w:right w:val="none" w:sz="0" w:space="0" w:color="auto"/>
      </w:divBdr>
    </w:div>
    <w:div w:id="771971094">
      <w:bodyDiv w:val="1"/>
      <w:marLeft w:val="0"/>
      <w:marRight w:val="0"/>
      <w:marTop w:val="0"/>
      <w:marBottom w:val="0"/>
      <w:divBdr>
        <w:top w:val="none" w:sz="0" w:space="0" w:color="auto"/>
        <w:left w:val="none" w:sz="0" w:space="0" w:color="auto"/>
        <w:bottom w:val="none" w:sz="0" w:space="0" w:color="auto"/>
        <w:right w:val="none" w:sz="0" w:space="0" w:color="auto"/>
      </w:divBdr>
    </w:div>
    <w:div w:id="772743578">
      <w:bodyDiv w:val="1"/>
      <w:marLeft w:val="0"/>
      <w:marRight w:val="0"/>
      <w:marTop w:val="0"/>
      <w:marBottom w:val="0"/>
      <w:divBdr>
        <w:top w:val="none" w:sz="0" w:space="0" w:color="auto"/>
        <w:left w:val="none" w:sz="0" w:space="0" w:color="auto"/>
        <w:bottom w:val="none" w:sz="0" w:space="0" w:color="auto"/>
        <w:right w:val="none" w:sz="0" w:space="0" w:color="auto"/>
      </w:divBdr>
    </w:div>
    <w:div w:id="776290646">
      <w:bodyDiv w:val="1"/>
      <w:marLeft w:val="0"/>
      <w:marRight w:val="0"/>
      <w:marTop w:val="0"/>
      <w:marBottom w:val="0"/>
      <w:divBdr>
        <w:top w:val="none" w:sz="0" w:space="0" w:color="auto"/>
        <w:left w:val="none" w:sz="0" w:space="0" w:color="auto"/>
        <w:bottom w:val="none" w:sz="0" w:space="0" w:color="auto"/>
        <w:right w:val="none" w:sz="0" w:space="0" w:color="auto"/>
      </w:divBdr>
    </w:div>
    <w:div w:id="777262440">
      <w:bodyDiv w:val="1"/>
      <w:marLeft w:val="0"/>
      <w:marRight w:val="0"/>
      <w:marTop w:val="0"/>
      <w:marBottom w:val="0"/>
      <w:divBdr>
        <w:top w:val="none" w:sz="0" w:space="0" w:color="auto"/>
        <w:left w:val="none" w:sz="0" w:space="0" w:color="auto"/>
        <w:bottom w:val="none" w:sz="0" w:space="0" w:color="auto"/>
        <w:right w:val="none" w:sz="0" w:space="0" w:color="auto"/>
      </w:divBdr>
      <w:divsChild>
        <w:div w:id="1948123731">
          <w:marLeft w:val="480"/>
          <w:marRight w:val="0"/>
          <w:marTop w:val="0"/>
          <w:marBottom w:val="0"/>
          <w:divBdr>
            <w:top w:val="none" w:sz="0" w:space="0" w:color="auto"/>
            <w:left w:val="none" w:sz="0" w:space="0" w:color="auto"/>
            <w:bottom w:val="none" w:sz="0" w:space="0" w:color="auto"/>
            <w:right w:val="none" w:sz="0" w:space="0" w:color="auto"/>
          </w:divBdr>
        </w:div>
      </w:divsChild>
    </w:div>
    <w:div w:id="783115962">
      <w:bodyDiv w:val="1"/>
      <w:marLeft w:val="0"/>
      <w:marRight w:val="0"/>
      <w:marTop w:val="0"/>
      <w:marBottom w:val="0"/>
      <w:divBdr>
        <w:top w:val="none" w:sz="0" w:space="0" w:color="auto"/>
        <w:left w:val="none" w:sz="0" w:space="0" w:color="auto"/>
        <w:bottom w:val="none" w:sz="0" w:space="0" w:color="auto"/>
        <w:right w:val="none" w:sz="0" w:space="0" w:color="auto"/>
      </w:divBdr>
    </w:div>
    <w:div w:id="783232569">
      <w:bodyDiv w:val="1"/>
      <w:marLeft w:val="0"/>
      <w:marRight w:val="0"/>
      <w:marTop w:val="0"/>
      <w:marBottom w:val="0"/>
      <w:divBdr>
        <w:top w:val="none" w:sz="0" w:space="0" w:color="auto"/>
        <w:left w:val="none" w:sz="0" w:space="0" w:color="auto"/>
        <w:bottom w:val="none" w:sz="0" w:space="0" w:color="auto"/>
        <w:right w:val="none" w:sz="0" w:space="0" w:color="auto"/>
      </w:divBdr>
    </w:div>
    <w:div w:id="806705418">
      <w:bodyDiv w:val="1"/>
      <w:marLeft w:val="0"/>
      <w:marRight w:val="0"/>
      <w:marTop w:val="0"/>
      <w:marBottom w:val="0"/>
      <w:divBdr>
        <w:top w:val="none" w:sz="0" w:space="0" w:color="auto"/>
        <w:left w:val="none" w:sz="0" w:space="0" w:color="auto"/>
        <w:bottom w:val="none" w:sz="0" w:space="0" w:color="auto"/>
        <w:right w:val="none" w:sz="0" w:space="0" w:color="auto"/>
      </w:divBdr>
      <w:divsChild>
        <w:div w:id="1582711921">
          <w:marLeft w:val="640"/>
          <w:marRight w:val="0"/>
          <w:marTop w:val="0"/>
          <w:marBottom w:val="0"/>
          <w:divBdr>
            <w:top w:val="none" w:sz="0" w:space="0" w:color="auto"/>
            <w:left w:val="none" w:sz="0" w:space="0" w:color="auto"/>
            <w:bottom w:val="none" w:sz="0" w:space="0" w:color="auto"/>
            <w:right w:val="none" w:sz="0" w:space="0" w:color="auto"/>
          </w:divBdr>
        </w:div>
      </w:divsChild>
    </w:div>
    <w:div w:id="814835101">
      <w:bodyDiv w:val="1"/>
      <w:marLeft w:val="0"/>
      <w:marRight w:val="0"/>
      <w:marTop w:val="0"/>
      <w:marBottom w:val="0"/>
      <w:divBdr>
        <w:top w:val="none" w:sz="0" w:space="0" w:color="auto"/>
        <w:left w:val="none" w:sz="0" w:space="0" w:color="auto"/>
        <w:bottom w:val="none" w:sz="0" w:space="0" w:color="auto"/>
        <w:right w:val="none" w:sz="0" w:space="0" w:color="auto"/>
      </w:divBdr>
    </w:div>
    <w:div w:id="828710419">
      <w:bodyDiv w:val="1"/>
      <w:marLeft w:val="0"/>
      <w:marRight w:val="0"/>
      <w:marTop w:val="0"/>
      <w:marBottom w:val="0"/>
      <w:divBdr>
        <w:top w:val="none" w:sz="0" w:space="0" w:color="auto"/>
        <w:left w:val="none" w:sz="0" w:space="0" w:color="auto"/>
        <w:bottom w:val="none" w:sz="0" w:space="0" w:color="auto"/>
        <w:right w:val="none" w:sz="0" w:space="0" w:color="auto"/>
      </w:divBdr>
    </w:div>
    <w:div w:id="839003844">
      <w:bodyDiv w:val="1"/>
      <w:marLeft w:val="0"/>
      <w:marRight w:val="0"/>
      <w:marTop w:val="0"/>
      <w:marBottom w:val="0"/>
      <w:divBdr>
        <w:top w:val="none" w:sz="0" w:space="0" w:color="auto"/>
        <w:left w:val="none" w:sz="0" w:space="0" w:color="auto"/>
        <w:bottom w:val="none" w:sz="0" w:space="0" w:color="auto"/>
        <w:right w:val="none" w:sz="0" w:space="0" w:color="auto"/>
      </w:divBdr>
    </w:div>
    <w:div w:id="860515780">
      <w:bodyDiv w:val="1"/>
      <w:marLeft w:val="0"/>
      <w:marRight w:val="0"/>
      <w:marTop w:val="0"/>
      <w:marBottom w:val="0"/>
      <w:divBdr>
        <w:top w:val="none" w:sz="0" w:space="0" w:color="auto"/>
        <w:left w:val="none" w:sz="0" w:space="0" w:color="auto"/>
        <w:bottom w:val="none" w:sz="0" w:space="0" w:color="auto"/>
        <w:right w:val="none" w:sz="0" w:space="0" w:color="auto"/>
      </w:divBdr>
    </w:div>
    <w:div w:id="885872783">
      <w:bodyDiv w:val="1"/>
      <w:marLeft w:val="0"/>
      <w:marRight w:val="0"/>
      <w:marTop w:val="0"/>
      <w:marBottom w:val="0"/>
      <w:divBdr>
        <w:top w:val="none" w:sz="0" w:space="0" w:color="auto"/>
        <w:left w:val="none" w:sz="0" w:space="0" w:color="auto"/>
        <w:bottom w:val="none" w:sz="0" w:space="0" w:color="auto"/>
        <w:right w:val="none" w:sz="0" w:space="0" w:color="auto"/>
      </w:divBdr>
    </w:div>
    <w:div w:id="887565918">
      <w:bodyDiv w:val="1"/>
      <w:marLeft w:val="0"/>
      <w:marRight w:val="0"/>
      <w:marTop w:val="0"/>
      <w:marBottom w:val="0"/>
      <w:divBdr>
        <w:top w:val="none" w:sz="0" w:space="0" w:color="auto"/>
        <w:left w:val="none" w:sz="0" w:space="0" w:color="auto"/>
        <w:bottom w:val="none" w:sz="0" w:space="0" w:color="auto"/>
        <w:right w:val="none" w:sz="0" w:space="0" w:color="auto"/>
      </w:divBdr>
      <w:divsChild>
        <w:div w:id="1536579528">
          <w:marLeft w:val="640"/>
          <w:marRight w:val="0"/>
          <w:marTop w:val="0"/>
          <w:marBottom w:val="0"/>
          <w:divBdr>
            <w:top w:val="none" w:sz="0" w:space="0" w:color="auto"/>
            <w:left w:val="none" w:sz="0" w:space="0" w:color="auto"/>
            <w:bottom w:val="none" w:sz="0" w:space="0" w:color="auto"/>
            <w:right w:val="none" w:sz="0" w:space="0" w:color="auto"/>
          </w:divBdr>
        </w:div>
      </w:divsChild>
    </w:div>
    <w:div w:id="901646395">
      <w:bodyDiv w:val="1"/>
      <w:marLeft w:val="0"/>
      <w:marRight w:val="0"/>
      <w:marTop w:val="0"/>
      <w:marBottom w:val="0"/>
      <w:divBdr>
        <w:top w:val="none" w:sz="0" w:space="0" w:color="auto"/>
        <w:left w:val="none" w:sz="0" w:space="0" w:color="auto"/>
        <w:bottom w:val="none" w:sz="0" w:space="0" w:color="auto"/>
        <w:right w:val="none" w:sz="0" w:space="0" w:color="auto"/>
      </w:divBdr>
    </w:div>
    <w:div w:id="910237560">
      <w:bodyDiv w:val="1"/>
      <w:marLeft w:val="0"/>
      <w:marRight w:val="0"/>
      <w:marTop w:val="0"/>
      <w:marBottom w:val="0"/>
      <w:divBdr>
        <w:top w:val="none" w:sz="0" w:space="0" w:color="auto"/>
        <w:left w:val="none" w:sz="0" w:space="0" w:color="auto"/>
        <w:bottom w:val="none" w:sz="0" w:space="0" w:color="auto"/>
        <w:right w:val="none" w:sz="0" w:space="0" w:color="auto"/>
      </w:divBdr>
    </w:div>
    <w:div w:id="953319361">
      <w:bodyDiv w:val="1"/>
      <w:marLeft w:val="0"/>
      <w:marRight w:val="0"/>
      <w:marTop w:val="0"/>
      <w:marBottom w:val="0"/>
      <w:divBdr>
        <w:top w:val="none" w:sz="0" w:space="0" w:color="auto"/>
        <w:left w:val="none" w:sz="0" w:space="0" w:color="auto"/>
        <w:bottom w:val="none" w:sz="0" w:space="0" w:color="auto"/>
        <w:right w:val="none" w:sz="0" w:space="0" w:color="auto"/>
      </w:divBdr>
    </w:div>
    <w:div w:id="978922136">
      <w:bodyDiv w:val="1"/>
      <w:marLeft w:val="0"/>
      <w:marRight w:val="0"/>
      <w:marTop w:val="0"/>
      <w:marBottom w:val="0"/>
      <w:divBdr>
        <w:top w:val="none" w:sz="0" w:space="0" w:color="auto"/>
        <w:left w:val="none" w:sz="0" w:space="0" w:color="auto"/>
        <w:bottom w:val="none" w:sz="0" w:space="0" w:color="auto"/>
        <w:right w:val="none" w:sz="0" w:space="0" w:color="auto"/>
      </w:divBdr>
    </w:div>
    <w:div w:id="999886943">
      <w:bodyDiv w:val="1"/>
      <w:marLeft w:val="0"/>
      <w:marRight w:val="0"/>
      <w:marTop w:val="0"/>
      <w:marBottom w:val="0"/>
      <w:divBdr>
        <w:top w:val="none" w:sz="0" w:space="0" w:color="auto"/>
        <w:left w:val="none" w:sz="0" w:space="0" w:color="auto"/>
        <w:bottom w:val="none" w:sz="0" w:space="0" w:color="auto"/>
        <w:right w:val="none" w:sz="0" w:space="0" w:color="auto"/>
      </w:divBdr>
    </w:div>
    <w:div w:id="1015349818">
      <w:bodyDiv w:val="1"/>
      <w:marLeft w:val="0"/>
      <w:marRight w:val="0"/>
      <w:marTop w:val="0"/>
      <w:marBottom w:val="0"/>
      <w:divBdr>
        <w:top w:val="none" w:sz="0" w:space="0" w:color="auto"/>
        <w:left w:val="none" w:sz="0" w:space="0" w:color="auto"/>
        <w:bottom w:val="none" w:sz="0" w:space="0" w:color="auto"/>
        <w:right w:val="none" w:sz="0" w:space="0" w:color="auto"/>
      </w:divBdr>
      <w:divsChild>
        <w:div w:id="192228997">
          <w:marLeft w:val="640"/>
          <w:marRight w:val="0"/>
          <w:marTop w:val="0"/>
          <w:marBottom w:val="0"/>
          <w:divBdr>
            <w:top w:val="none" w:sz="0" w:space="0" w:color="auto"/>
            <w:left w:val="none" w:sz="0" w:space="0" w:color="auto"/>
            <w:bottom w:val="none" w:sz="0" w:space="0" w:color="auto"/>
            <w:right w:val="none" w:sz="0" w:space="0" w:color="auto"/>
          </w:divBdr>
        </w:div>
        <w:div w:id="1215972382">
          <w:marLeft w:val="640"/>
          <w:marRight w:val="0"/>
          <w:marTop w:val="0"/>
          <w:marBottom w:val="0"/>
          <w:divBdr>
            <w:top w:val="none" w:sz="0" w:space="0" w:color="auto"/>
            <w:left w:val="none" w:sz="0" w:space="0" w:color="auto"/>
            <w:bottom w:val="none" w:sz="0" w:space="0" w:color="auto"/>
            <w:right w:val="none" w:sz="0" w:space="0" w:color="auto"/>
          </w:divBdr>
        </w:div>
        <w:div w:id="1091320441">
          <w:marLeft w:val="640"/>
          <w:marRight w:val="0"/>
          <w:marTop w:val="0"/>
          <w:marBottom w:val="0"/>
          <w:divBdr>
            <w:top w:val="none" w:sz="0" w:space="0" w:color="auto"/>
            <w:left w:val="none" w:sz="0" w:space="0" w:color="auto"/>
            <w:bottom w:val="none" w:sz="0" w:space="0" w:color="auto"/>
            <w:right w:val="none" w:sz="0" w:space="0" w:color="auto"/>
          </w:divBdr>
        </w:div>
      </w:divsChild>
    </w:div>
    <w:div w:id="1031345417">
      <w:bodyDiv w:val="1"/>
      <w:marLeft w:val="0"/>
      <w:marRight w:val="0"/>
      <w:marTop w:val="0"/>
      <w:marBottom w:val="0"/>
      <w:divBdr>
        <w:top w:val="none" w:sz="0" w:space="0" w:color="auto"/>
        <w:left w:val="none" w:sz="0" w:space="0" w:color="auto"/>
        <w:bottom w:val="none" w:sz="0" w:space="0" w:color="auto"/>
        <w:right w:val="none" w:sz="0" w:space="0" w:color="auto"/>
      </w:divBdr>
    </w:div>
    <w:div w:id="1036390982">
      <w:bodyDiv w:val="1"/>
      <w:marLeft w:val="0"/>
      <w:marRight w:val="0"/>
      <w:marTop w:val="0"/>
      <w:marBottom w:val="0"/>
      <w:divBdr>
        <w:top w:val="none" w:sz="0" w:space="0" w:color="auto"/>
        <w:left w:val="none" w:sz="0" w:space="0" w:color="auto"/>
        <w:bottom w:val="none" w:sz="0" w:space="0" w:color="auto"/>
        <w:right w:val="none" w:sz="0" w:space="0" w:color="auto"/>
      </w:divBdr>
    </w:div>
    <w:div w:id="1039281430">
      <w:bodyDiv w:val="1"/>
      <w:marLeft w:val="0"/>
      <w:marRight w:val="0"/>
      <w:marTop w:val="0"/>
      <w:marBottom w:val="0"/>
      <w:divBdr>
        <w:top w:val="none" w:sz="0" w:space="0" w:color="auto"/>
        <w:left w:val="none" w:sz="0" w:space="0" w:color="auto"/>
        <w:bottom w:val="none" w:sz="0" w:space="0" w:color="auto"/>
        <w:right w:val="none" w:sz="0" w:space="0" w:color="auto"/>
      </w:divBdr>
      <w:divsChild>
        <w:div w:id="1223322156">
          <w:marLeft w:val="640"/>
          <w:marRight w:val="0"/>
          <w:marTop w:val="0"/>
          <w:marBottom w:val="0"/>
          <w:divBdr>
            <w:top w:val="none" w:sz="0" w:space="0" w:color="auto"/>
            <w:left w:val="none" w:sz="0" w:space="0" w:color="auto"/>
            <w:bottom w:val="none" w:sz="0" w:space="0" w:color="auto"/>
            <w:right w:val="none" w:sz="0" w:space="0" w:color="auto"/>
          </w:divBdr>
        </w:div>
        <w:div w:id="931937447">
          <w:marLeft w:val="640"/>
          <w:marRight w:val="0"/>
          <w:marTop w:val="0"/>
          <w:marBottom w:val="0"/>
          <w:divBdr>
            <w:top w:val="none" w:sz="0" w:space="0" w:color="auto"/>
            <w:left w:val="none" w:sz="0" w:space="0" w:color="auto"/>
            <w:bottom w:val="none" w:sz="0" w:space="0" w:color="auto"/>
            <w:right w:val="none" w:sz="0" w:space="0" w:color="auto"/>
          </w:divBdr>
        </w:div>
        <w:div w:id="1811705181">
          <w:marLeft w:val="640"/>
          <w:marRight w:val="0"/>
          <w:marTop w:val="0"/>
          <w:marBottom w:val="0"/>
          <w:divBdr>
            <w:top w:val="none" w:sz="0" w:space="0" w:color="auto"/>
            <w:left w:val="none" w:sz="0" w:space="0" w:color="auto"/>
            <w:bottom w:val="none" w:sz="0" w:space="0" w:color="auto"/>
            <w:right w:val="none" w:sz="0" w:space="0" w:color="auto"/>
          </w:divBdr>
        </w:div>
      </w:divsChild>
    </w:div>
    <w:div w:id="1084453308">
      <w:bodyDiv w:val="1"/>
      <w:marLeft w:val="0"/>
      <w:marRight w:val="0"/>
      <w:marTop w:val="0"/>
      <w:marBottom w:val="0"/>
      <w:divBdr>
        <w:top w:val="none" w:sz="0" w:space="0" w:color="auto"/>
        <w:left w:val="none" w:sz="0" w:space="0" w:color="auto"/>
        <w:bottom w:val="none" w:sz="0" w:space="0" w:color="auto"/>
        <w:right w:val="none" w:sz="0" w:space="0" w:color="auto"/>
      </w:divBdr>
    </w:div>
    <w:div w:id="1087458215">
      <w:bodyDiv w:val="1"/>
      <w:marLeft w:val="0"/>
      <w:marRight w:val="0"/>
      <w:marTop w:val="0"/>
      <w:marBottom w:val="0"/>
      <w:divBdr>
        <w:top w:val="none" w:sz="0" w:space="0" w:color="auto"/>
        <w:left w:val="none" w:sz="0" w:space="0" w:color="auto"/>
        <w:bottom w:val="none" w:sz="0" w:space="0" w:color="auto"/>
        <w:right w:val="none" w:sz="0" w:space="0" w:color="auto"/>
      </w:divBdr>
    </w:div>
    <w:div w:id="1097141176">
      <w:bodyDiv w:val="1"/>
      <w:marLeft w:val="0"/>
      <w:marRight w:val="0"/>
      <w:marTop w:val="0"/>
      <w:marBottom w:val="0"/>
      <w:divBdr>
        <w:top w:val="none" w:sz="0" w:space="0" w:color="auto"/>
        <w:left w:val="none" w:sz="0" w:space="0" w:color="auto"/>
        <w:bottom w:val="none" w:sz="0" w:space="0" w:color="auto"/>
        <w:right w:val="none" w:sz="0" w:space="0" w:color="auto"/>
      </w:divBdr>
    </w:div>
    <w:div w:id="1103500613">
      <w:bodyDiv w:val="1"/>
      <w:marLeft w:val="0"/>
      <w:marRight w:val="0"/>
      <w:marTop w:val="0"/>
      <w:marBottom w:val="0"/>
      <w:divBdr>
        <w:top w:val="none" w:sz="0" w:space="0" w:color="auto"/>
        <w:left w:val="none" w:sz="0" w:space="0" w:color="auto"/>
        <w:bottom w:val="none" w:sz="0" w:space="0" w:color="auto"/>
        <w:right w:val="none" w:sz="0" w:space="0" w:color="auto"/>
      </w:divBdr>
      <w:divsChild>
        <w:div w:id="2078278490">
          <w:marLeft w:val="0"/>
          <w:marRight w:val="0"/>
          <w:marTop w:val="0"/>
          <w:marBottom w:val="0"/>
          <w:divBdr>
            <w:top w:val="none" w:sz="0" w:space="0" w:color="auto"/>
            <w:left w:val="none" w:sz="0" w:space="0" w:color="auto"/>
            <w:bottom w:val="none" w:sz="0" w:space="0" w:color="auto"/>
            <w:right w:val="none" w:sz="0" w:space="0" w:color="auto"/>
          </w:divBdr>
        </w:div>
        <w:div w:id="2117096580">
          <w:marLeft w:val="0"/>
          <w:marRight w:val="0"/>
          <w:marTop w:val="0"/>
          <w:marBottom w:val="0"/>
          <w:divBdr>
            <w:top w:val="none" w:sz="0" w:space="0" w:color="auto"/>
            <w:left w:val="none" w:sz="0" w:space="0" w:color="auto"/>
            <w:bottom w:val="none" w:sz="0" w:space="0" w:color="auto"/>
            <w:right w:val="none" w:sz="0" w:space="0" w:color="auto"/>
          </w:divBdr>
        </w:div>
        <w:div w:id="550851126">
          <w:marLeft w:val="0"/>
          <w:marRight w:val="0"/>
          <w:marTop w:val="0"/>
          <w:marBottom w:val="0"/>
          <w:divBdr>
            <w:top w:val="none" w:sz="0" w:space="0" w:color="auto"/>
            <w:left w:val="none" w:sz="0" w:space="0" w:color="auto"/>
            <w:bottom w:val="none" w:sz="0" w:space="0" w:color="auto"/>
            <w:right w:val="none" w:sz="0" w:space="0" w:color="auto"/>
          </w:divBdr>
        </w:div>
      </w:divsChild>
    </w:div>
    <w:div w:id="1145203955">
      <w:bodyDiv w:val="1"/>
      <w:marLeft w:val="0"/>
      <w:marRight w:val="0"/>
      <w:marTop w:val="0"/>
      <w:marBottom w:val="0"/>
      <w:divBdr>
        <w:top w:val="none" w:sz="0" w:space="0" w:color="auto"/>
        <w:left w:val="none" w:sz="0" w:space="0" w:color="auto"/>
        <w:bottom w:val="none" w:sz="0" w:space="0" w:color="auto"/>
        <w:right w:val="none" w:sz="0" w:space="0" w:color="auto"/>
      </w:divBdr>
    </w:div>
    <w:div w:id="1189180798">
      <w:bodyDiv w:val="1"/>
      <w:marLeft w:val="0"/>
      <w:marRight w:val="0"/>
      <w:marTop w:val="0"/>
      <w:marBottom w:val="0"/>
      <w:divBdr>
        <w:top w:val="none" w:sz="0" w:space="0" w:color="auto"/>
        <w:left w:val="none" w:sz="0" w:space="0" w:color="auto"/>
        <w:bottom w:val="none" w:sz="0" w:space="0" w:color="auto"/>
        <w:right w:val="none" w:sz="0" w:space="0" w:color="auto"/>
      </w:divBdr>
    </w:div>
    <w:div w:id="1201472510">
      <w:bodyDiv w:val="1"/>
      <w:marLeft w:val="0"/>
      <w:marRight w:val="0"/>
      <w:marTop w:val="0"/>
      <w:marBottom w:val="0"/>
      <w:divBdr>
        <w:top w:val="none" w:sz="0" w:space="0" w:color="auto"/>
        <w:left w:val="none" w:sz="0" w:space="0" w:color="auto"/>
        <w:bottom w:val="none" w:sz="0" w:space="0" w:color="auto"/>
        <w:right w:val="none" w:sz="0" w:space="0" w:color="auto"/>
      </w:divBdr>
    </w:div>
    <w:div w:id="1203396146">
      <w:bodyDiv w:val="1"/>
      <w:marLeft w:val="0"/>
      <w:marRight w:val="0"/>
      <w:marTop w:val="0"/>
      <w:marBottom w:val="0"/>
      <w:divBdr>
        <w:top w:val="none" w:sz="0" w:space="0" w:color="auto"/>
        <w:left w:val="none" w:sz="0" w:space="0" w:color="auto"/>
        <w:bottom w:val="none" w:sz="0" w:space="0" w:color="auto"/>
        <w:right w:val="none" w:sz="0" w:space="0" w:color="auto"/>
      </w:divBdr>
      <w:divsChild>
        <w:div w:id="1457721347">
          <w:marLeft w:val="640"/>
          <w:marRight w:val="0"/>
          <w:marTop w:val="0"/>
          <w:marBottom w:val="0"/>
          <w:divBdr>
            <w:top w:val="none" w:sz="0" w:space="0" w:color="auto"/>
            <w:left w:val="none" w:sz="0" w:space="0" w:color="auto"/>
            <w:bottom w:val="none" w:sz="0" w:space="0" w:color="auto"/>
            <w:right w:val="none" w:sz="0" w:space="0" w:color="auto"/>
          </w:divBdr>
        </w:div>
        <w:div w:id="1448043879">
          <w:marLeft w:val="640"/>
          <w:marRight w:val="0"/>
          <w:marTop w:val="0"/>
          <w:marBottom w:val="0"/>
          <w:divBdr>
            <w:top w:val="none" w:sz="0" w:space="0" w:color="auto"/>
            <w:left w:val="none" w:sz="0" w:space="0" w:color="auto"/>
            <w:bottom w:val="none" w:sz="0" w:space="0" w:color="auto"/>
            <w:right w:val="none" w:sz="0" w:space="0" w:color="auto"/>
          </w:divBdr>
        </w:div>
      </w:divsChild>
    </w:div>
    <w:div w:id="1208831027">
      <w:bodyDiv w:val="1"/>
      <w:marLeft w:val="0"/>
      <w:marRight w:val="0"/>
      <w:marTop w:val="0"/>
      <w:marBottom w:val="0"/>
      <w:divBdr>
        <w:top w:val="none" w:sz="0" w:space="0" w:color="auto"/>
        <w:left w:val="none" w:sz="0" w:space="0" w:color="auto"/>
        <w:bottom w:val="none" w:sz="0" w:space="0" w:color="auto"/>
        <w:right w:val="none" w:sz="0" w:space="0" w:color="auto"/>
      </w:divBdr>
    </w:div>
    <w:div w:id="1241908967">
      <w:bodyDiv w:val="1"/>
      <w:marLeft w:val="0"/>
      <w:marRight w:val="0"/>
      <w:marTop w:val="0"/>
      <w:marBottom w:val="0"/>
      <w:divBdr>
        <w:top w:val="none" w:sz="0" w:space="0" w:color="auto"/>
        <w:left w:val="none" w:sz="0" w:space="0" w:color="auto"/>
        <w:bottom w:val="none" w:sz="0" w:space="0" w:color="auto"/>
        <w:right w:val="none" w:sz="0" w:space="0" w:color="auto"/>
      </w:divBdr>
    </w:div>
    <w:div w:id="1256397167">
      <w:bodyDiv w:val="1"/>
      <w:marLeft w:val="0"/>
      <w:marRight w:val="0"/>
      <w:marTop w:val="0"/>
      <w:marBottom w:val="0"/>
      <w:divBdr>
        <w:top w:val="none" w:sz="0" w:space="0" w:color="auto"/>
        <w:left w:val="none" w:sz="0" w:space="0" w:color="auto"/>
        <w:bottom w:val="none" w:sz="0" w:space="0" w:color="auto"/>
        <w:right w:val="none" w:sz="0" w:space="0" w:color="auto"/>
      </w:divBdr>
    </w:div>
    <w:div w:id="1275020545">
      <w:bodyDiv w:val="1"/>
      <w:marLeft w:val="0"/>
      <w:marRight w:val="0"/>
      <w:marTop w:val="0"/>
      <w:marBottom w:val="0"/>
      <w:divBdr>
        <w:top w:val="none" w:sz="0" w:space="0" w:color="auto"/>
        <w:left w:val="none" w:sz="0" w:space="0" w:color="auto"/>
        <w:bottom w:val="none" w:sz="0" w:space="0" w:color="auto"/>
        <w:right w:val="none" w:sz="0" w:space="0" w:color="auto"/>
      </w:divBdr>
    </w:div>
    <w:div w:id="1277366192">
      <w:bodyDiv w:val="1"/>
      <w:marLeft w:val="0"/>
      <w:marRight w:val="0"/>
      <w:marTop w:val="0"/>
      <w:marBottom w:val="0"/>
      <w:divBdr>
        <w:top w:val="none" w:sz="0" w:space="0" w:color="auto"/>
        <w:left w:val="none" w:sz="0" w:space="0" w:color="auto"/>
        <w:bottom w:val="none" w:sz="0" w:space="0" w:color="auto"/>
        <w:right w:val="none" w:sz="0" w:space="0" w:color="auto"/>
      </w:divBdr>
    </w:div>
    <w:div w:id="1310553612">
      <w:bodyDiv w:val="1"/>
      <w:marLeft w:val="0"/>
      <w:marRight w:val="0"/>
      <w:marTop w:val="0"/>
      <w:marBottom w:val="0"/>
      <w:divBdr>
        <w:top w:val="none" w:sz="0" w:space="0" w:color="auto"/>
        <w:left w:val="none" w:sz="0" w:space="0" w:color="auto"/>
        <w:bottom w:val="none" w:sz="0" w:space="0" w:color="auto"/>
        <w:right w:val="none" w:sz="0" w:space="0" w:color="auto"/>
      </w:divBdr>
    </w:div>
    <w:div w:id="1339042024">
      <w:bodyDiv w:val="1"/>
      <w:marLeft w:val="0"/>
      <w:marRight w:val="0"/>
      <w:marTop w:val="0"/>
      <w:marBottom w:val="0"/>
      <w:divBdr>
        <w:top w:val="none" w:sz="0" w:space="0" w:color="auto"/>
        <w:left w:val="none" w:sz="0" w:space="0" w:color="auto"/>
        <w:bottom w:val="none" w:sz="0" w:space="0" w:color="auto"/>
        <w:right w:val="none" w:sz="0" w:space="0" w:color="auto"/>
      </w:divBdr>
    </w:div>
    <w:div w:id="1370106617">
      <w:bodyDiv w:val="1"/>
      <w:marLeft w:val="0"/>
      <w:marRight w:val="0"/>
      <w:marTop w:val="0"/>
      <w:marBottom w:val="0"/>
      <w:divBdr>
        <w:top w:val="none" w:sz="0" w:space="0" w:color="auto"/>
        <w:left w:val="none" w:sz="0" w:space="0" w:color="auto"/>
        <w:bottom w:val="none" w:sz="0" w:space="0" w:color="auto"/>
        <w:right w:val="none" w:sz="0" w:space="0" w:color="auto"/>
      </w:divBdr>
    </w:div>
    <w:div w:id="1372072737">
      <w:bodyDiv w:val="1"/>
      <w:marLeft w:val="0"/>
      <w:marRight w:val="0"/>
      <w:marTop w:val="0"/>
      <w:marBottom w:val="0"/>
      <w:divBdr>
        <w:top w:val="none" w:sz="0" w:space="0" w:color="auto"/>
        <w:left w:val="none" w:sz="0" w:space="0" w:color="auto"/>
        <w:bottom w:val="none" w:sz="0" w:space="0" w:color="auto"/>
        <w:right w:val="none" w:sz="0" w:space="0" w:color="auto"/>
      </w:divBdr>
    </w:div>
    <w:div w:id="1380083991">
      <w:bodyDiv w:val="1"/>
      <w:marLeft w:val="0"/>
      <w:marRight w:val="0"/>
      <w:marTop w:val="0"/>
      <w:marBottom w:val="0"/>
      <w:divBdr>
        <w:top w:val="none" w:sz="0" w:space="0" w:color="auto"/>
        <w:left w:val="none" w:sz="0" w:space="0" w:color="auto"/>
        <w:bottom w:val="none" w:sz="0" w:space="0" w:color="auto"/>
        <w:right w:val="none" w:sz="0" w:space="0" w:color="auto"/>
      </w:divBdr>
    </w:div>
    <w:div w:id="1427074499">
      <w:bodyDiv w:val="1"/>
      <w:marLeft w:val="0"/>
      <w:marRight w:val="0"/>
      <w:marTop w:val="0"/>
      <w:marBottom w:val="0"/>
      <w:divBdr>
        <w:top w:val="none" w:sz="0" w:space="0" w:color="auto"/>
        <w:left w:val="none" w:sz="0" w:space="0" w:color="auto"/>
        <w:bottom w:val="none" w:sz="0" w:space="0" w:color="auto"/>
        <w:right w:val="none" w:sz="0" w:space="0" w:color="auto"/>
      </w:divBdr>
    </w:div>
    <w:div w:id="1439520102">
      <w:bodyDiv w:val="1"/>
      <w:marLeft w:val="0"/>
      <w:marRight w:val="0"/>
      <w:marTop w:val="0"/>
      <w:marBottom w:val="0"/>
      <w:divBdr>
        <w:top w:val="none" w:sz="0" w:space="0" w:color="auto"/>
        <w:left w:val="none" w:sz="0" w:space="0" w:color="auto"/>
        <w:bottom w:val="none" w:sz="0" w:space="0" w:color="auto"/>
        <w:right w:val="none" w:sz="0" w:space="0" w:color="auto"/>
      </w:divBdr>
    </w:div>
    <w:div w:id="1448622400">
      <w:bodyDiv w:val="1"/>
      <w:marLeft w:val="0"/>
      <w:marRight w:val="0"/>
      <w:marTop w:val="0"/>
      <w:marBottom w:val="0"/>
      <w:divBdr>
        <w:top w:val="none" w:sz="0" w:space="0" w:color="auto"/>
        <w:left w:val="none" w:sz="0" w:space="0" w:color="auto"/>
        <w:bottom w:val="none" w:sz="0" w:space="0" w:color="auto"/>
        <w:right w:val="none" w:sz="0" w:space="0" w:color="auto"/>
      </w:divBdr>
    </w:div>
    <w:div w:id="1449929814">
      <w:bodyDiv w:val="1"/>
      <w:marLeft w:val="0"/>
      <w:marRight w:val="0"/>
      <w:marTop w:val="0"/>
      <w:marBottom w:val="0"/>
      <w:divBdr>
        <w:top w:val="none" w:sz="0" w:space="0" w:color="auto"/>
        <w:left w:val="none" w:sz="0" w:space="0" w:color="auto"/>
        <w:bottom w:val="none" w:sz="0" w:space="0" w:color="auto"/>
        <w:right w:val="none" w:sz="0" w:space="0" w:color="auto"/>
      </w:divBdr>
    </w:div>
    <w:div w:id="1450466034">
      <w:bodyDiv w:val="1"/>
      <w:marLeft w:val="0"/>
      <w:marRight w:val="0"/>
      <w:marTop w:val="0"/>
      <w:marBottom w:val="0"/>
      <w:divBdr>
        <w:top w:val="none" w:sz="0" w:space="0" w:color="auto"/>
        <w:left w:val="none" w:sz="0" w:space="0" w:color="auto"/>
        <w:bottom w:val="none" w:sz="0" w:space="0" w:color="auto"/>
        <w:right w:val="none" w:sz="0" w:space="0" w:color="auto"/>
      </w:divBdr>
    </w:div>
    <w:div w:id="1468862999">
      <w:bodyDiv w:val="1"/>
      <w:marLeft w:val="0"/>
      <w:marRight w:val="0"/>
      <w:marTop w:val="0"/>
      <w:marBottom w:val="0"/>
      <w:divBdr>
        <w:top w:val="none" w:sz="0" w:space="0" w:color="auto"/>
        <w:left w:val="none" w:sz="0" w:space="0" w:color="auto"/>
        <w:bottom w:val="none" w:sz="0" w:space="0" w:color="auto"/>
        <w:right w:val="none" w:sz="0" w:space="0" w:color="auto"/>
      </w:divBdr>
    </w:div>
    <w:div w:id="1469398365">
      <w:bodyDiv w:val="1"/>
      <w:marLeft w:val="0"/>
      <w:marRight w:val="0"/>
      <w:marTop w:val="0"/>
      <w:marBottom w:val="0"/>
      <w:divBdr>
        <w:top w:val="none" w:sz="0" w:space="0" w:color="auto"/>
        <w:left w:val="none" w:sz="0" w:space="0" w:color="auto"/>
        <w:bottom w:val="none" w:sz="0" w:space="0" w:color="auto"/>
        <w:right w:val="none" w:sz="0" w:space="0" w:color="auto"/>
      </w:divBdr>
    </w:div>
    <w:div w:id="1479030859">
      <w:bodyDiv w:val="1"/>
      <w:marLeft w:val="0"/>
      <w:marRight w:val="0"/>
      <w:marTop w:val="0"/>
      <w:marBottom w:val="0"/>
      <w:divBdr>
        <w:top w:val="none" w:sz="0" w:space="0" w:color="auto"/>
        <w:left w:val="none" w:sz="0" w:space="0" w:color="auto"/>
        <w:bottom w:val="none" w:sz="0" w:space="0" w:color="auto"/>
        <w:right w:val="none" w:sz="0" w:space="0" w:color="auto"/>
      </w:divBdr>
    </w:div>
    <w:div w:id="1483619951">
      <w:bodyDiv w:val="1"/>
      <w:marLeft w:val="0"/>
      <w:marRight w:val="0"/>
      <w:marTop w:val="0"/>
      <w:marBottom w:val="0"/>
      <w:divBdr>
        <w:top w:val="none" w:sz="0" w:space="0" w:color="auto"/>
        <w:left w:val="none" w:sz="0" w:space="0" w:color="auto"/>
        <w:bottom w:val="none" w:sz="0" w:space="0" w:color="auto"/>
        <w:right w:val="none" w:sz="0" w:space="0" w:color="auto"/>
      </w:divBdr>
    </w:div>
    <w:div w:id="1497184653">
      <w:bodyDiv w:val="1"/>
      <w:marLeft w:val="0"/>
      <w:marRight w:val="0"/>
      <w:marTop w:val="0"/>
      <w:marBottom w:val="0"/>
      <w:divBdr>
        <w:top w:val="none" w:sz="0" w:space="0" w:color="auto"/>
        <w:left w:val="none" w:sz="0" w:space="0" w:color="auto"/>
        <w:bottom w:val="none" w:sz="0" w:space="0" w:color="auto"/>
        <w:right w:val="none" w:sz="0" w:space="0" w:color="auto"/>
      </w:divBdr>
    </w:div>
    <w:div w:id="1502311947">
      <w:bodyDiv w:val="1"/>
      <w:marLeft w:val="0"/>
      <w:marRight w:val="0"/>
      <w:marTop w:val="0"/>
      <w:marBottom w:val="0"/>
      <w:divBdr>
        <w:top w:val="none" w:sz="0" w:space="0" w:color="auto"/>
        <w:left w:val="none" w:sz="0" w:space="0" w:color="auto"/>
        <w:bottom w:val="none" w:sz="0" w:space="0" w:color="auto"/>
        <w:right w:val="none" w:sz="0" w:space="0" w:color="auto"/>
      </w:divBdr>
    </w:div>
    <w:div w:id="1509364921">
      <w:bodyDiv w:val="1"/>
      <w:marLeft w:val="0"/>
      <w:marRight w:val="0"/>
      <w:marTop w:val="0"/>
      <w:marBottom w:val="0"/>
      <w:divBdr>
        <w:top w:val="none" w:sz="0" w:space="0" w:color="auto"/>
        <w:left w:val="none" w:sz="0" w:space="0" w:color="auto"/>
        <w:bottom w:val="none" w:sz="0" w:space="0" w:color="auto"/>
        <w:right w:val="none" w:sz="0" w:space="0" w:color="auto"/>
      </w:divBdr>
    </w:div>
    <w:div w:id="1530610378">
      <w:bodyDiv w:val="1"/>
      <w:marLeft w:val="0"/>
      <w:marRight w:val="0"/>
      <w:marTop w:val="0"/>
      <w:marBottom w:val="0"/>
      <w:divBdr>
        <w:top w:val="none" w:sz="0" w:space="0" w:color="auto"/>
        <w:left w:val="none" w:sz="0" w:space="0" w:color="auto"/>
        <w:bottom w:val="none" w:sz="0" w:space="0" w:color="auto"/>
        <w:right w:val="none" w:sz="0" w:space="0" w:color="auto"/>
      </w:divBdr>
    </w:div>
    <w:div w:id="1540237783">
      <w:bodyDiv w:val="1"/>
      <w:marLeft w:val="0"/>
      <w:marRight w:val="0"/>
      <w:marTop w:val="0"/>
      <w:marBottom w:val="0"/>
      <w:divBdr>
        <w:top w:val="none" w:sz="0" w:space="0" w:color="auto"/>
        <w:left w:val="none" w:sz="0" w:space="0" w:color="auto"/>
        <w:bottom w:val="none" w:sz="0" w:space="0" w:color="auto"/>
        <w:right w:val="none" w:sz="0" w:space="0" w:color="auto"/>
      </w:divBdr>
    </w:div>
    <w:div w:id="1542939801">
      <w:bodyDiv w:val="1"/>
      <w:marLeft w:val="0"/>
      <w:marRight w:val="0"/>
      <w:marTop w:val="0"/>
      <w:marBottom w:val="0"/>
      <w:divBdr>
        <w:top w:val="none" w:sz="0" w:space="0" w:color="auto"/>
        <w:left w:val="none" w:sz="0" w:space="0" w:color="auto"/>
        <w:bottom w:val="none" w:sz="0" w:space="0" w:color="auto"/>
        <w:right w:val="none" w:sz="0" w:space="0" w:color="auto"/>
      </w:divBdr>
    </w:div>
    <w:div w:id="1544248168">
      <w:bodyDiv w:val="1"/>
      <w:marLeft w:val="0"/>
      <w:marRight w:val="0"/>
      <w:marTop w:val="0"/>
      <w:marBottom w:val="0"/>
      <w:divBdr>
        <w:top w:val="none" w:sz="0" w:space="0" w:color="auto"/>
        <w:left w:val="none" w:sz="0" w:space="0" w:color="auto"/>
        <w:bottom w:val="none" w:sz="0" w:space="0" w:color="auto"/>
        <w:right w:val="none" w:sz="0" w:space="0" w:color="auto"/>
      </w:divBdr>
    </w:div>
    <w:div w:id="1573730542">
      <w:bodyDiv w:val="1"/>
      <w:marLeft w:val="0"/>
      <w:marRight w:val="0"/>
      <w:marTop w:val="0"/>
      <w:marBottom w:val="0"/>
      <w:divBdr>
        <w:top w:val="none" w:sz="0" w:space="0" w:color="auto"/>
        <w:left w:val="none" w:sz="0" w:space="0" w:color="auto"/>
        <w:bottom w:val="none" w:sz="0" w:space="0" w:color="auto"/>
        <w:right w:val="none" w:sz="0" w:space="0" w:color="auto"/>
      </w:divBdr>
    </w:div>
    <w:div w:id="1585454491">
      <w:bodyDiv w:val="1"/>
      <w:marLeft w:val="0"/>
      <w:marRight w:val="0"/>
      <w:marTop w:val="0"/>
      <w:marBottom w:val="0"/>
      <w:divBdr>
        <w:top w:val="none" w:sz="0" w:space="0" w:color="auto"/>
        <w:left w:val="none" w:sz="0" w:space="0" w:color="auto"/>
        <w:bottom w:val="none" w:sz="0" w:space="0" w:color="auto"/>
        <w:right w:val="none" w:sz="0" w:space="0" w:color="auto"/>
      </w:divBdr>
    </w:div>
    <w:div w:id="1604150306">
      <w:bodyDiv w:val="1"/>
      <w:marLeft w:val="0"/>
      <w:marRight w:val="0"/>
      <w:marTop w:val="0"/>
      <w:marBottom w:val="0"/>
      <w:divBdr>
        <w:top w:val="none" w:sz="0" w:space="0" w:color="auto"/>
        <w:left w:val="none" w:sz="0" w:space="0" w:color="auto"/>
        <w:bottom w:val="none" w:sz="0" w:space="0" w:color="auto"/>
        <w:right w:val="none" w:sz="0" w:space="0" w:color="auto"/>
      </w:divBdr>
    </w:div>
    <w:div w:id="1605381448">
      <w:bodyDiv w:val="1"/>
      <w:marLeft w:val="0"/>
      <w:marRight w:val="0"/>
      <w:marTop w:val="0"/>
      <w:marBottom w:val="0"/>
      <w:divBdr>
        <w:top w:val="none" w:sz="0" w:space="0" w:color="auto"/>
        <w:left w:val="none" w:sz="0" w:space="0" w:color="auto"/>
        <w:bottom w:val="none" w:sz="0" w:space="0" w:color="auto"/>
        <w:right w:val="none" w:sz="0" w:space="0" w:color="auto"/>
      </w:divBdr>
    </w:div>
    <w:div w:id="1646666396">
      <w:bodyDiv w:val="1"/>
      <w:marLeft w:val="0"/>
      <w:marRight w:val="0"/>
      <w:marTop w:val="0"/>
      <w:marBottom w:val="0"/>
      <w:divBdr>
        <w:top w:val="none" w:sz="0" w:space="0" w:color="auto"/>
        <w:left w:val="none" w:sz="0" w:space="0" w:color="auto"/>
        <w:bottom w:val="none" w:sz="0" w:space="0" w:color="auto"/>
        <w:right w:val="none" w:sz="0" w:space="0" w:color="auto"/>
      </w:divBdr>
    </w:div>
    <w:div w:id="1660377763">
      <w:bodyDiv w:val="1"/>
      <w:marLeft w:val="0"/>
      <w:marRight w:val="0"/>
      <w:marTop w:val="0"/>
      <w:marBottom w:val="0"/>
      <w:divBdr>
        <w:top w:val="none" w:sz="0" w:space="0" w:color="auto"/>
        <w:left w:val="none" w:sz="0" w:space="0" w:color="auto"/>
        <w:bottom w:val="none" w:sz="0" w:space="0" w:color="auto"/>
        <w:right w:val="none" w:sz="0" w:space="0" w:color="auto"/>
      </w:divBdr>
    </w:div>
    <w:div w:id="1684239513">
      <w:bodyDiv w:val="1"/>
      <w:marLeft w:val="0"/>
      <w:marRight w:val="0"/>
      <w:marTop w:val="0"/>
      <w:marBottom w:val="0"/>
      <w:divBdr>
        <w:top w:val="none" w:sz="0" w:space="0" w:color="auto"/>
        <w:left w:val="none" w:sz="0" w:space="0" w:color="auto"/>
        <w:bottom w:val="none" w:sz="0" w:space="0" w:color="auto"/>
        <w:right w:val="none" w:sz="0" w:space="0" w:color="auto"/>
      </w:divBdr>
    </w:div>
    <w:div w:id="1697727169">
      <w:bodyDiv w:val="1"/>
      <w:marLeft w:val="0"/>
      <w:marRight w:val="0"/>
      <w:marTop w:val="0"/>
      <w:marBottom w:val="0"/>
      <w:divBdr>
        <w:top w:val="none" w:sz="0" w:space="0" w:color="auto"/>
        <w:left w:val="none" w:sz="0" w:space="0" w:color="auto"/>
        <w:bottom w:val="none" w:sz="0" w:space="0" w:color="auto"/>
        <w:right w:val="none" w:sz="0" w:space="0" w:color="auto"/>
      </w:divBdr>
    </w:div>
    <w:div w:id="1710760482">
      <w:bodyDiv w:val="1"/>
      <w:marLeft w:val="0"/>
      <w:marRight w:val="0"/>
      <w:marTop w:val="0"/>
      <w:marBottom w:val="0"/>
      <w:divBdr>
        <w:top w:val="none" w:sz="0" w:space="0" w:color="auto"/>
        <w:left w:val="none" w:sz="0" w:space="0" w:color="auto"/>
        <w:bottom w:val="none" w:sz="0" w:space="0" w:color="auto"/>
        <w:right w:val="none" w:sz="0" w:space="0" w:color="auto"/>
      </w:divBdr>
    </w:div>
    <w:div w:id="1715539416">
      <w:bodyDiv w:val="1"/>
      <w:marLeft w:val="0"/>
      <w:marRight w:val="0"/>
      <w:marTop w:val="0"/>
      <w:marBottom w:val="0"/>
      <w:divBdr>
        <w:top w:val="none" w:sz="0" w:space="0" w:color="auto"/>
        <w:left w:val="none" w:sz="0" w:space="0" w:color="auto"/>
        <w:bottom w:val="none" w:sz="0" w:space="0" w:color="auto"/>
        <w:right w:val="none" w:sz="0" w:space="0" w:color="auto"/>
      </w:divBdr>
    </w:div>
    <w:div w:id="1728140047">
      <w:bodyDiv w:val="1"/>
      <w:marLeft w:val="0"/>
      <w:marRight w:val="0"/>
      <w:marTop w:val="0"/>
      <w:marBottom w:val="0"/>
      <w:divBdr>
        <w:top w:val="none" w:sz="0" w:space="0" w:color="auto"/>
        <w:left w:val="none" w:sz="0" w:space="0" w:color="auto"/>
        <w:bottom w:val="none" w:sz="0" w:space="0" w:color="auto"/>
        <w:right w:val="none" w:sz="0" w:space="0" w:color="auto"/>
      </w:divBdr>
      <w:divsChild>
        <w:div w:id="63184754">
          <w:marLeft w:val="640"/>
          <w:marRight w:val="0"/>
          <w:marTop w:val="0"/>
          <w:marBottom w:val="0"/>
          <w:divBdr>
            <w:top w:val="none" w:sz="0" w:space="0" w:color="auto"/>
            <w:left w:val="none" w:sz="0" w:space="0" w:color="auto"/>
            <w:bottom w:val="none" w:sz="0" w:space="0" w:color="auto"/>
            <w:right w:val="none" w:sz="0" w:space="0" w:color="auto"/>
          </w:divBdr>
        </w:div>
      </w:divsChild>
    </w:div>
    <w:div w:id="1732456933">
      <w:bodyDiv w:val="1"/>
      <w:marLeft w:val="0"/>
      <w:marRight w:val="0"/>
      <w:marTop w:val="0"/>
      <w:marBottom w:val="0"/>
      <w:divBdr>
        <w:top w:val="none" w:sz="0" w:space="0" w:color="auto"/>
        <w:left w:val="none" w:sz="0" w:space="0" w:color="auto"/>
        <w:bottom w:val="none" w:sz="0" w:space="0" w:color="auto"/>
        <w:right w:val="none" w:sz="0" w:space="0" w:color="auto"/>
      </w:divBdr>
    </w:div>
    <w:div w:id="1767574882">
      <w:bodyDiv w:val="1"/>
      <w:marLeft w:val="0"/>
      <w:marRight w:val="0"/>
      <w:marTop w:val="0"/>
      <w:marBottom w:val="0"/>
      <w:divBdr>
        <w:top w:val="none" w:sz="0" w:space="0" w:color="auto"/>
        <w:left w:val="none" w:sz="0" w:space="0" w:color="auto"/>
        <w:bottom w:val="none" w:sz="0" w:space="0" w:color="auto"/>
        <w:right w:val="none" w:sz="0" w:space="0" w:color="auto"/>
      </w:divBdr>
    </w:div>
    <w:div w:id="1789468538">
      <w:bodyDiv w:val="1"/>
      <w:marLeft w:val="0"/>
      <w:marRight w:val="0"/>
      <w:marTop w:val="0"/>
      <w:marBottom w:val="0"/>
      <w:divBdr>
        <w:top w:val="none" w:sz="0" w:space="0" w:color="auto"/>
        <w:left w:val="none" w:sz="0" w:space="0" w:color="auto"/>
        <w:bottom w:val="none" w:sz="0" w:space="0" w:color="auto"/>
        <w:right w:val="none" w:sz="0" w:space="0" w:color="auto"/>
      </w:divBdr>
    </w:div>
    <w:div w:id="1799108175">
      <w:bodyDiv w:val="1"/>
      <w:marLeft w:val="0"/>
      <w:marRight w:val="0"/>
      <w:marTop w:val="0"/>
      <w:marBottom w:val="0"/>
      <w:divBdr>
        <w:top w:val="none" w:sz="0" w:space="0" w:color="auto"/>
        <w:left w:val="none" w:sz="0" w:space="0" w:color="auto"/>
        <w:bottom w:val="none" w:sz="0" w:space="0" w:color="auto"/>
        <w:right w:val="none" w:sz="0" w:space="0" w:color="auto"/>
      </w:divBdr>
    </w:div>
    <w:div w:id="1824201067">
      <w:bodyDiv w:val="1"/>
      <w:marLeft w:val="0"/>
      <w:marRight w:val="0"/>
      <w:marTop w:val="0"/>
      <w:marBottom w:val="0"/>
      <w:divBdr>
        <w:top w:val="none" w:sz="0" w:space="0" w:color="auto"/>
        <w:left w:val="none" w:sz="0" w:space="0" w:color="auto"/>
        <w:bottom w:val="none" w:sz="0" w:space="0" w:color="auto"/>
        <w:right w:val="none" w:sz="0" w:space="0" w:color="auto"/>
      </w:divBdr>
    </w:div>
    <w:div w:id="1834904963">
      <w:bodyDiv w:val="1"/>
      <w:marLeft w:val="0"/>
      <w:marRight w:val="0"/>
      <w:marTop w:val="0"/>
      <w:marBottom w:val="0"/>
      <w:divBdr>
        <w:top w:val="none" w:sz="0" w:space="0" w:color="auto"/>
        <w:left w:val="none" w:sz="0" w:space="0" w:color="auto"/>
        <w:bottom w:val="none" w:sz="0" w:space="0" w:color="auto"/>
        <w:right w:val="none" w:sz="0" w:space="0" w:color="auto"/>
      </w:divBdr>
    </w:div>
    <w:div w:id="1846239135">
      <w:bodyDiv w:val="1"/>
      <w:marLeft w:val="0"/>
      <w:marRight w:val="0"/>
      <w:marTop w:val="0"/>
      <w:marBottom w:val="0"/>
      <w:divBdr>
        <w:top w:val="none" w:sz="0" w:space="0" w:color="auto"/>
        <w:left w:val="none" w:sz="0" w:space="0" w:color="auto"/>
        <w:bottom w:val="none" w:sz="0" w:space="0" w:color="auto"/>
        <w:right w:val="none" w:sz="0" w:space="0" w:color="auto"/>
      </w:divBdr>
    </w:div>
    <w:div w:id="1898321991">
      <w:bodyDiv w:val="1"/>
      <w:marLeft w:val="0"/>
      <w:marRight w:val="0"/>
      <w:marTop w:val="0"/>
      <w:marBottom w:val="0"/>
      <w:divBdr>
        <w:top w:val="none" w:sz="0" w:space="0" w:color="auto"/>
        <w:left w:val="none" w:sz="0" w:space="0" w:color="auto"/>
        <w:bottom w:val="none" w:sz="0" w:space="0" w:color="auto"/>
        <w:right w:val="none" w:sz="0" w:space="0" w:color="auto"/>
      </w:divBdr>
    </w:div>
    <w:div w:id="1913857605">
      <w:bodyDiv w:val="1"/>
      <w:marLeft w:val="0"/>
      <w:marRight w:val="0"/>
      <w:marTop w:val="0"/>
      <w:marBottom w:val="0"/>
      <w:divBdr>
        <w:top w:val="none" w:sz="0" w:space="0" w:color="auto"/>
        <w:left w:val="none" w:sz="0" w:space="0" w:color="auto"/>
        <w:bottom w:val="none" w:sz="0" w:space="0" w:color="auto"/>
        <w:right w:val="none" w:sz="0" w:space="0" w:color="auto"/>
      </w:divBdr>
    </w:div>
    <w:div w:id="1915504521">
      <w:bodyDiv w:val="1"/>
      <w:marLeft w:val="0"/>
      <w:marRight w:val="0"/>
      <w:marTop w:val="0"/>
      <w:marBottom w:val="0"/>
      <w:divBdr>
        <w:top w:val="none" w:sz="0" w:space="0" w:color="auto"/>
        <w:left w:val="none" w:sz="0" w:space="0" w:color="auto"/>
        <w:bottom w:val="none" w:sz="0" w:space="0" w:color="auto"/>
        <w:right w:val="none" w:sz="0" w:space="0" w:color="auto"/>
      </w:divBdr>
    </w:div>
    <w:div w:id="1921331273">
      <w:bodyDiv w:val="1"/>
      <w:marLeft w:val="0"/>
      <w:marRight w:val="0"/>
      <w:marTop w:val="0"/>
      <w:marBottom w:val="0"/>
      <w:divBdr>
        <w:top w:val="none" w:sz="0" w:space="0" w:color="auto"/>
        <w:left w:val="none" w:sz="0" w:space="0" w:color="auto"/>
        <w:bottom w:val="none" w:sz="0" w:space="0" w:color="auto"/>
        <w:right w:val="none" w:sz="0" w:space="0" w:color="auto"/>
      </w:divBdr>
    </w:div>
    <w:div w:id="1921909593">
      <w:bodyDiv w:val="1"/>
      <w:marLeft w:val="0"/>
      <w:marRight w:val="0"/>
      <w:marTop w:val="0"/>
      <w:marBottom w:val="0"/>
      <w:divBdr>
        <w:top w:val="none" w:sz="0" w:space="0" w:color="auto"/>
        <w:left w:val="none" w:sz="0" w:space="0" w:color="auto"/>
        <w:bottom w:val="none" w:sz="0" w:space="0" w:color="auto"/>
        <w:right w:val="none" w:sz="0" w:space="0" w:color="auto"/>
      </w:divBdr>
    </w:div>
    <w:div w:id="1927035742">
      <w:bodyDiv w:val="1"/>
      <w:marLeft w:val="0"/>
      <w:marRight w:val="0"/>
      <w:marTop w:val="0"/>
      <w:marBottom w:val="0"/>
      <w:divBdr>
        <w:top w:val="none" w:sz="0" w:space="0" w:color="auto"/>
        <w:left w:val="none" w:sz="0" w:space="0" w:color="auto"/>
        <w:bottom w:val="none" w:sz="0" w:space="0" w:color="auto"/>
        <w:right w:val="none" w:sz="0" w:space="0" w:color="auto"/>
      </w:divBdr>
    </w:div>
    <w:div w:id="1938051071">
      <w:bodyDiv w:val="1"/>
      <w:marLeft w:val="0"/>
      <w:marRight w:val="0"/>
      <w:marTop w:val="0"/>
      <w:marBottom w:val="0"/>
      <w:divBdr>
        <w:top w:val="none" w:sz="0" w:space="0" w:color="auto"/>
        <w:left w:val="none" w:sz="0" w:space="0" w:color="auto"/>
        <w:bottom w:val="none" w:sz="0" w:space="0" w:color="auto"/>
        <w:right w:val="none" w:sz="0" w:space="0" w:color="auto"/>
      </w:divBdr>
    </w:div>
    <w:div w:id="1962884282">
      <w:bodyDiv w:val="1"/>
      <w:marLeft w:val="0"/>
      <w:marRight w:val="0"/>
      <w:marTop w:val="0"/>
      <w:marBottom w:val="0"/>
      <w:divBdr>
        <w:top w:val="none" w:sz="0" w:space="0" w:color="auto"/>
        <w:left w:val="none" w:sz="0" w:space="0" w:color="auto"/>
        <w:bottom w:val="none" w:sz="0" w:space="0" w:color="auto"/>
        <w:right w:val="none" w:sz="0" w:space="0" w:color="auto"/>
      </w:divBdr>
      <w:divsChild>
        <w:div w:id="177039871">
          <w:marLeft w:val="640"/>
          <w:marRight w:val="0"/>
          <w:marTop w:val="0"/>
          <w:marBottom w:val="0"/>
          <w:divBdr>
            <w:top w:val="none" w:sz="0" w:space="0" w:color="auto"/>
            <w:left w:val="none" w:sz="0" w:space="0" w:color="auto"/>
            <w:bottom w:val="none" w:sz="0" w:space="0" w:color="auto"/>
            <w:right w:val="none" w:sz="0" w:space="0" w:color="auto"/>
          </w:divBdr>
        </w:div>
      </w:divsChild>
    </w:div>
    <w:div w:id="1973901433">
      <w:bodyDiv w:val="1"/>
      <w:marLeft w:val="0"/>
      <w:marRight w:val="0"/>
      <w:marTop w:val="0"/>
      <w:marBottom w:val="0"/>
      <w:divBdr>
        <w:top w:val="none" w:sz="0" w:space="0" w:color="auto"/>
        <w:left w:val="none" w:sz="0" w:space="0" w:color="auto"/>
        <w:bottom w:val="none" w:sz="0" w:space="0" w:color="auto"/>
        <w:right w:val="none" w:sz="0" w:space="0" w:color="auto"/>
      </w:divBdr>
    </w:div>
    <w:div w:id="1976983092">
      <w:bodyDiv w:val="1"/>
      <w:marLeft w:val="0"/>
      <w:marRight w:val="0"/>
      <w:marTop w:val="0"/>
      <w:marBottom w:val="0"/>
      <w:divBdr>
        <w:top w:val="none" w:sz="0" w:space="0" w:color="auto"/>
        <w:left w:val="none" w:sz="0" w:space="0" w:color="auto"/>
        <w:bottom w:val="none" w:sz="0" w:space="0" w:color="auto"/>
        <w:right w:val="none" w:sz="0" w:space="0" w:color="auto"/>
      </w:divBdr>
    </w:div>
    <w:div w:id="1990279620">
      <w:bodyDiv w:val="1"/>
      <w:marLeft w:val="0"/>
      <w:marRight w:val="0"/>
      <w:marTop w:val="0"/>
      <w:marBottom w:val="0"/>
      <w:divBdr>
        <w:top w:val="none" w:sz="0" w:space="0" w:color="auto"/>
        <w:left w:val="none" w:sz="0" w:space="0" w:color="auto"/>
        <w:bottom w:val="none" w:sz="0" w:space="0" w:color="auto"/>
        <w:right w:val="none" w:sz="0" w:space="0" w:color="auto"/>
      </w:divBdr>
    </w:div>
    <w:div w:id="1999964100">
      <w:bodyDiv w:val="1"/>
      <w:marLeft w:val="0"/>
      <w:marRight w:val="0"/>
      <w:marTop w:val="0"/>
      <w:marBottom w:val="0"/>
      <w:divBdr>
        <w:top w:val="none" w:sz="0" w:space="0" w:color="auto"/>
        <w:left w:val="none" w:sz="0" w:space="0" w:color="auto"/>
        <w:bottom w:val="none" w:sz="0" w:space="0" w:color="auto"/>
        <w:right w:val="none" w:sz="0" w:space="0" w:color="auto"/>
      </w:divBdr>
    </w:div>
    <w:div w:id="2036686435">
      <w:bodyDiv w:val="1"/>
      <w:marLeft w:val="0"/>
      <w:marRight w:val="0"/>
      <w:marTop w:val="0"/>
      <w:marBottom w:val="0"/>
      <w:divBdr>
        <w:top w:val="none" w:sz="0" w:space="0" w:color="auto"/>
        <w:left w:val="none" w:sz="0" w:space="0" w:color="auto"/>
        <w:bottom w:val="none" w:sz="0" w:space="0" w:color="auto"/>
        <w:right w:val="none" w:sz="0" w:space="0" w:color="auto"/>
      </w:divBdr>
    </w:div>
    <w:div w:id="2038892192">
      <w:bodyDiv w:val="1"/>
      <w:marLeft w:val="0"/>
      <w:marRight w:val="0"/>
      <w:marTop w:val="0"/>
      <w:marBottom w:val="0"/>
      <w:divBdr>
        <w:top w:val="none" w:sz="0" w:space="0" w:color="auto"/>
        <w:left w:val="none" w:sz="0" w:space="0" w:color="auto"/>
        <w:bottom w:val="none" w:sz="0" w:space="0" w:color="auto"/>
        <w:right w:val="none" w:sz="0" w:space="0" w:color="auto"/>
      </w:divBdr>
    </w:div>
    <w:div w:id="2063140338">
      <w:bodyDiv w:val="1"/>
      <w:marLeft w:val="0"/>
      <w:marRight w:val="0"/>
      <w:marTop w:val="0"/>
      <w:marBottom w:val="0"/>
      <w:divBdr>
        <w:top w:val="none" w:sz="0" w:space="0" w:color="auto"/>
        <w:left w:val="none" w:sz="0" w:space="0" w:color="auto"/>
        <w:bottom w:val="none" w:sz="0" w:space="0" w:color="auto"/>
        <w:right w:val="none" w:sz="0" w:space="0" w:color="auto"/>
      </w:divBdr>
      <w:divsChild>
        <w:div w:id="361979151">
          <w:marLeft w:val="640"/>
          <w:marRight w:val="0"/>
          <w:marTop w:val="0"/>
          <w:marBottom w:val="0"/>
          <w:divBdr>
            <w:top w:val="none" w:sz="0" w:space="0" w:color="auto"/>
            <w:left w:val="none" w:sz="0" w:space="0" w:color="auto"/>
            <w:bottom w:val="none" w:sz="0" w:space="0" w:color="auto"/>
            <w:right w:val="none" w:sz="0" w:space="0" w:color="auto"/>
          </w:divBdr>
        </w:div>
        <w:div w:id="923798899">
          <w:marLeft w:val="640"/>
          <w:marRight w:val="0"/>
          <w:marTop w:val="0"/>
          <w:marBottom w:val="0"/>
          <w:divBdr>
            <w:top w:val="none" w:sz="0" w:space="0" w:color="auto"/>
            <w:left w:val="none" w:sz="0" w:space="0" w:color="auto"/>
            <w:bottom w:val="none" w:sz="0" w:space="0" w:color="auto"/>
            <w:right w:val="none" w:sz="0" w:space="0" w:color="auto"/>
          </w:divBdr>
        </w:div>
        <w:div w:id="128523496">
          <w:marLeft w:val="640"/>
          <w:marRight w:val="0"/>
          <w:marTop w:val="0"/>
          <w:marBottom w:val="0"/>
          <w:divBdr>
            <w:top w:val="none" w:sz="0" w:space="0" w:color="auto"/>
            <w:left w:val="none" w:sz="0" w:space="0" w:color="auto"/>
            <w:bottom w:val="none" w:sz="0" w:space="0" w:color="auto"/>
            <w:right w:val="none" w:sz="0" w:space="0" w:color="auto"/>
          </w:divBdr>
        </w:div>
      </w:divsChild>
    </w:div>
    <w:div w:id="2076466235">
      <w:bodyDiv w:val="1"/>
      <w:marLeft w:val="0"/>
      <w:marRight w:val="0"/>
      <w:marTop w:val="0"/>
      <w:marBottom w:val="0"/>
      <w:divBdr>
        <w:top w:val="none" w:sz="0" w:space="0" w:color="auto"/>
        <w:left w:val="none" w:sz="0" w:space="0" w:color="auto"/>
        <w:bottom w:val="none" w:sz="0" w:space="0" w:color="auto"/>
        <w:right w:val="none" w:sz="0" w:space="0" w:color="auto"/>
      </w:divBdr>
    </w:div>
    <w:div w:id="2081127746">
      <w:bodyDiv w:val="1"/>
      <w:marLeft w:val="0"/>
      <w:marRight w:val="0"/>
      <w:marTop w:val="0"/>
      <w:marBottom w:val="0"/>
      <w:divBdr>
        <w:top w:val="none" w:sz="0" w:space="0" w:color="auto"/>
        <w:left w:val="none" w:sz="0" w:space="0" w:color="auto"/>
        <w:bottom w:val="none" w:sz="0" w:space="0" w:color="auto"/>
        <w:right w:val="none" w:sz="0" w:space="0" w:color="auto"/>
      </w:divBdr>
    </w:div>
    <w:div w:id="2092314245">
      <w:bodyDiv w:val="1"/>
      <w:marLeft w:val="0"/>
      <w:marRight w:val="0"/>
      <w:marTop w:val="0"/>
      <w:marBottom w:val="0"/>
      <w:divBdr>
        <w:top w:val="none" w:sz="0" w:space="0" w:color="auto"/>
        <w:left w:val="none" w:sz="0" w:space="0" w:color="auto"/>
        <w:bottom w:val="none" w:sz="0" w:space="0" w:color="auto"/>
        <w:right w:val="none" w:sz="0" w:space="0" w:color="auto"/>
      </w:divBdr>
    </w:div>
    <w:div w:id="2110808438">
      <w:bodyDiv w:val="1"/>
      <w:marLeft w:val="0"/>
      <w:marRight w:val="0"/>
      <w:marTop w:val="0"/>
      <w:marBottom w:val="0"/>
      <w:divBdr>
        <w:top w:val="none" w:sz="0" w:space="0" w:color="auto"/>
        <w:left w:val="none" w:sz="0" w:space="0" w:color="auto"/>
        <w:bottom w:val="none" w:sz="0" w:space="0" w:color="auto"/>
        <w:right w:val="none" w:sz="0" w:space="0" w:color="auto"/>
      </w:divBdr>
    </w:div>
    <w:div w:id="2122989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ciwheel.com/work/citation?ids=15274695&amp;pre=&amp;suf=&amp;sa=0&amp;dbf=0" TargetMode="External"/><Relationship Id="rId117" Type="http://schemas.openxmlformats.org/officeDocument/2006/relationships/hyperlink" Target="https://sciwheel.com/work/bibliography/15409126" TargetMode="External"/><Relationship Id="rId21" Type="http://schemas.openxmlformats.org/officeDocument/2006/relationships/hyperlink" Target="https://sciwheel.com/work/citation?ids=15259303,15259304&amp;pre=&amp;pre=&amp;suf=&amp;suf=&amp;sa=0,0&amp;dbf=0&amp;dbf=0" TargetMode="External"/><Relationship Id="rId42" Type="http://schemas.openxmlformats.org/officeDocument/2006/relationships/hyperlink" Target="https://sciwheel.com/work/citation?ids=15649545&amp;pre=&amp;suf=&amp;sa=0&amp;dbf=0" TargetMode="External"/><Relationship Id="rId47" Type="http://schemas.openxmlformats.org/officeDocument/2006/relationships/hyperlink" Target="https://sciwheel.com/work/citation?ids=15603729,15259303&amp;pre=&amp;pre=&amp;suf=&amp;suf=&amp;sa=0,0&amp;dbf=0&amp;dbf=0" TargetMode="External"/><Relationship Id="rId63" Type="http://schemas.openxmlformats.org/officeDocument/2006/relationships/hyperlink" Target="https://sciwheel.com/work/citation?ids=15409126,15603756&amp;pre=&amp;pre=&amp;suf=&amp;suf=&amp;sa=0,0&amp;dbf=0&amp;dbf=0" TargetMode="External"/><Relationship Id="rId68" Type="http://schemas.openxmlformats.org/officeDocument/2006/relationships/hyperlink" Target="https://sciwheel.com/work/bibliography/16473517" TargetMode="External"/><Relationship Id="rId84" Type="http://schemas.openxmlformats.org/officeDocument/2006/relationships/hyperlink" Target="https://sciwheel.com/work/bibliography/15274282" TargetMode="External"/><Relationship Id="rId89" Type="http://schemas.openxmlformats.org/officeDocument/2006/relationships/hyperlink" Target="https://sciwheel.com/work/bibliography/15274663" TargetMode="External"/><Relationship Id="rId112" Type="http://schemas.openxmlformats.org/officeDocument/2006/relationships/hyperlink" Target="https://sciwheel.com/work/bibliography/16214624" TargetMode="External"/><Relationship Id="rId16" Type="http://schemas.openxmlformats.org/officeDocument/2006/relationships/hyperlink" Target="https://sciwheel.com/work/citation?ids=15259505&amp;pre=&amp;suf=&amp;sa=0&amp;dbf=0" TargetMode="External"/><Relationship Id="rId107" Type="http://schemas.openxmlformats.org/officeDocument/2006/relationships/hyperlink" Target="https://sciwheel.com/work/bibliography/15272791" TargetMode="External"/><Relationship Id="rId11" Type="http://schemas.openxmlformats.org/officeDocument/2006/relationships/hyperlink" Target="https://sciwheel.com/work/citation?ids=15259415&amp;pre=&amp;suf=&amp;sa=0&amp;dbf=0" TargetMode="External"/><Relationship Id="rId32" Type="http://schemas.openxmlformats.org/officeDocument/2006/relationships/hyperlink" Target="https://sciwheel.com/work/citation?ids=15274663&amp;pre=&amp;suf=&amp;sa=0&amp;dbf=0" TargetMode="External"/><Relationship Id="rId37" Type="http://schemas.openxmlformats.org/officeDocument/2006/relationships/hyperlink" Target="https://sciwheel.com/work/citation?ids=15646689&amp;pre=&amp;suf=&amp;sa=0&amp;dbf=0" TargetMode="External"/><Relationship Id="rId53" Type="http://schemas.openxmlformats.org/officeDocument/2006/relationships/hyperlink" Target="https://sciwheel.com/work/citation?ids=15965084,15965083&amp;pre=&amp;pre=&amp;suf=&amp;suf=&amp;sa=0,0&amp;dbf=0&amp;dbf=0" TargetMode="External"/><Relationship Id="rId58" Type="http://schemas.openxmlformats.org/officeDocument/2006/relationships/hyperlink" Target="https://sciwheel.com/work/citation?ids=15274668&amp;pre=&amp;suf=&amp;sa=0&amp;dbf=0" TargetMode="External"/><Relationship Id="rId74" Type="http://schemas.openxmlformats.org/officeDocument/2006/relationships/hyperlink" Target="https://sciwheel.com/work/bibliography/15259418" TargetMode="External"/><Relationship Id="rId79" Type="http://schemas.openxmlformats.org/officeDocument/2006/relationships/hyperlink" Target="https://sciwheel.com/work/bibliography/15259515" TargetMode="External"/><Relationship Id="rId102" Type="http://schemas.openxmlformats.org/officeDocument/2006/relationships/hyperlink" Target="https://sciwheel.com/work/bibliography/15274834" TargetMode="External"/><Relationship Id="rId123"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hyperlink" Target="https://sciwheel.com/work/bibliography/15274695" TargetMode="External"/><Relationship Id="rId95" Type="http://schemas.openxmlformats.org/officeDocument/2006/relationships/hyperlink" Target="https://sciwheel.com/work/bibliography/15274713" TargetMode="External"/><Relationship Id="rId22" Type="http://schemas.openxmlformats.org/officeDocument/2006/relationships/hyperlink" Target="https://sciwheel.com/work/citation?ids=15274652,15274656&amp;pre=&amp;pre=&amp;suf=&amp;suf=&amp;sa=0,0&amp;dbf=0&amp;dbf=0" TargetMode="External"/><Relationship Id="rId27" Type="http://schemas.openxmlformats.org/officeDocument/2006/relationships/hyperlink" Target="https://sciwheel.com/work/citation?ids=15274706&amp;pre=&amp;suf=&amp;sa=0&amp;dbf=0" TargetMode="External"/><Relationship Id="rId43" Type="http://schemas.openxmlformats.org/officeDocument/2006/relationships/hyperlink" Target="https://sciwheel.com/work/citation?ids=16454795&amp;pre=&amp;suf=&amp;sa=0&amp;dbf=0" TargetMode="External"/><Relationship Id="rId48" Type="http://schemas.openxmlformats.org/officeDocument/2006/relationships/image" Target="media/image3.jpg"/><Relationship Id="rId64" Type="http://schemas.openxmlformats.org/officeDocument/2006/relationships/hyperlink" Target="https://sciwheel.com/work/citation?ids=15302100,15274834&amp;pre=&amp;pre=&amp;suf=&amp;suf=&amp;sa=0,0&amp;dbf=0&amp;dbf=0" TargetMode="External"/><Relationship Id="rId69" Type="http://schemas.openxmlformats.org/officeDocument/2006/relationships/hyperlink" Target="https://sciwheel.com/work/bibliography/15259304" TargetMode="External"/><Relationship Id="rId113" Type="http://schemas.openxmlformats.org/officeDocument/2006/relationships/hyperlink" Target="https://sciwheel.com/work/bibliography/12027332" TargetMode="External"/><Relationship Id="rId118" Type="http://schemas.openxmlformats.org/officeDocument/2006/relationships/hyperlink" Target="https://sciwheel.com/work/bibliography/15603756" TargetMode="External"/><Relationship Id="rId80" Type="http://schemas.openxmlformats.org/officeDocument/2006/relationships/hyperlink" Target="https://sciwheel.com/work/bibliography/15272771" TargetMode="External"/><Relationship Id="rId85" Type="http://schemas.openxmlformats.org/officeDocument/2006/relationships/hyperlink" Target="https://sciwheel.com/work/bibliography/15274652" TargetMode="External"/><Relationship Id="rId12" Type="http://schemas.openxmlformats.org/officeDocument/2006/relationships/hyperlink" Target="https://sciwheel.com/work/citation?ids=15259428,15259425&amp;pre=&amp;pre=&amp;suf=&amp;suf=&amp;sa=0,0&amp;dbf=0&amp;dbf=0" TargetMode="External"/><Relationship Id="rId17" Type="http://schemas.openxmlformats.org/officeDocument/2006/relationships/hyperlink" Target="https://sciwheel.com/work/citation?ids=15259515&amp;pre=&amp;suf=&amp;sa=0&amp;dbf=0" TargetMode="External"/><Relationship Id="rId33" Type="http://schemas.openxmlformats.org/officeDocument/2006/relationships/hyperlink" Target="https://sciwheel.com/work/citation?ids=15274668&amp;pre=&amp;suf=&amp;sa=0&amp;dbf=0" TargetMode="External"/><Relationship Id="rId38" Type="http://schemas.openxmlformats.org/officeDocument/2006/relationships/hyperlink" Target="https://sciwheel.com/work/citation?ids=15646690&amp;pre=&amp;suf=&amp;sa=0&amp;dbf=0" TargetMode="External"/><Relationship Id="rId59" Type="http://schemas.openxmlformats.org/officeDocument/2006/relationships/hyperlink" Target="https://sciwheel.com/work/citation?ids=12027332,16200878&amp;pre=&amp;pre=&amp;suf=&amp;suf=&amp;sa=0,0&amp;dbf=0&amp;dbf=0" TargetMode="External"/><Relationship Id="rId103" Type="http://schemas.openxmlformats.org/officeDocument/2006/relationships/hyperlink" Target="https://sciwheel.com/work/bibliography/16454795" TargetMode="External"/><Relationship Id="rId108" Type="http://schemas.openxmlformats.org/officeDocument/2006/relationships/hyperlink" Target="https://sciwheel.com/work/bibliography/16454566" TargetMode="External"/><Relationship Id="rId124" Type="http://schemas.openxmlformats.org/officeDocument/2006/relationships/fontTable" Target="fontTable.xml"/><Relationship Id="rId54" Type="http://schemas.openxmlformats.org/officeDocument/2006/relationships/hyperlink" Target="https://sciwheel.com/work/citation?ids=15274710&amp;pre=&amp;suf=&amp;sa=0&amp;dbf=0" TargetMode="External"/><Relationship Id="rId70" Type="http://schemas.openxmlformats.org/officeDocument/2006/relationships/hyperlink" Target="https://sciwheel.com/work/bibliography/15259303" TargetMode="External"/><Relationship Id="rId75" Type="http://schemas.openxmlformats.org/officeDocument/2006/relationships/hyperlink" Target="https://sciwheel.com/work/bibliography/15612713" TargetMode="External"/><Relationship Id="rId91" Type="http://schemas.openxmlformats.org/officeDocument/2006/relationships/hyperlink" Target="https://sciwheel.com/work/bibliography/15274706" TargetMode="External"/><Relationship Id="rId96" Type="http://schemas.openxmlformats.org/officeDocument/2006/relationships/hyperlink" Target="https://sciwheel.com/work/bibliography/15274763"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sciwheel.com/work/citation?ids=15274656&amp;pre=&amp;suf=&amp;sa=0&amp;dbf=0" TargetMode="External"/><Relationship Id="rId28" Type="http://schemas.openxmlformats.org/officeDocument/2006/relationships/hyperlink" Target="https://sciwheel.com/work/citation?ids=15274707&amp;pre=&amp;suf=&amp;sa=0&amp;dbf=0" TargetMode="External"/><Relationship Id="rId49" Type="http://schemas.openxmlformats.org/officeDocument/2006/relationships/hyperlink" Target="https://sciwheel.com/work/citation?ids=15259304&amp;pre=&amp;suf=&amp;sa=0&amp;dbf=0" TargetMode="External"/><Relationship Id="rId114" Type="http://schemas.openxmlformats.org/officeDocument/2006/relationships/hyperlink" Target="https://sciwheel.com/work/bibliography/16200878" TargetMode="External"/><Relationship Id="rId119" Type="http://schemas.openxmlformats.org/officeDocument/2006/relationships/hyperlink" Target="https://sciwheel.com/work/bibliography/15302100" TargetMode="External"/><Relationship Id="rId44" Type="http://schemas.openxmlformats.org/officeDocument/2006/relationships/image" Target="media/image1.jpeg"/><Relationship Id="rId60" Type="http://schemas.openxmlformats.org/officeDocument/2006/relationships/hyperlink" Target="https://sciwheel.com/work/citation?ids=15879805,15879745&amp;pre=&amp;pre=&amp;suf=&amp;suf=&amp;sa=0,0&amp;dbf=0&amp;dbf=0" TargetMode="External"/><Relationship Id="rId65" Type="http://schemas.openxmlformats.org/officeDocument/2006/relationships/hyperlink" Target="https://sciwheel.com/work/citation?ids=15604564,15604562&amp;pre=&amp;pre=&amp;suf=&amp;suf=&amp;sa=0,0&amp;dbf=0&amp;dbf=0" TargetMode="External"/><Relationship Id="rId81" Type="http://schemas.openxmlformats.org/officeDocument/2006/relationships/hyperlink" Target="https://sciwheel.com/work/bibliography/15274281" TargetMode="External"/><Relationship Id="rId86" Type="http://schemas.openxmlformats.org/officeDocument/2006/relationships/hyperlink" Target="https://sciwheel.com/work/bibliography/15274656" TargetMode="External"/><Relationship Id="rId13" Type="http://schemas.openxmlformats.org/officeDocument/2006/relationships/hyperlink" Target="https://sciwheel.com/work/citation?ids=15259418,15612713&amp;pre=&amp;pre=&amp;suf=&amp;suf=&amp;sa=0,0&amp;dbf=0&amp;dbf=0" TargetMode="External"/><Relationship Id="rId18" Type="http://schemas.openxmlformats.org/officeDocument/2006/relationships/hyperlink" Target="https://sciwheel.com/work/citation?ids=15272771&amp;pre=&amp;suf=&amp;sa=0&amp;dbf=0" TargetMode="External"/><Relationship Id="rId39" Type="http://schemas.openxmlformats.org/officeDocument/2006/relationships/hyperlink" Target="https://sciwheel.com/work/citation?ids=15646690,15646689&amp;pre=&amp;pre=&amp;suf=&amp;suf=&amp;sa=0,0&amp;dbf=0&amp;dbf=0" TargetMode="External"/><Relationship Id="rId109" Type="http://schemas.openxmlformats.org/officeDocument/2006/relationships/hyperlink" Target="https://sciwheel.com/work/bibliography/15965084" TargetMode="External"/><Relationship Id="rId34" Type="http://schemas.openxmlformats.org/officeDocument/2006/relationships/hyperlink" Target="https://sciwheel.com/work/citation?ids=15274763,15646692&amp;pre=&amp;pre=&amp;suf=&amp;suf=&amp;sa=0,0&amp;dbf=0&amp;dbf=0" TargetMode="External"/><Relationship Id="rId50" Type="http://schemas.openxmlformats.org/officeDocument/2006/relationships/image" Target="media/image4.jpg"/><Relationship Id="rId55" Type="http://schemas.openxmlformats.org/officeDocument/2006/relationships/hyperlink" Target="https://sciwheel.com/work/citation?ids=16214618&amp;pre=&amp;suf=&amp;sa=0&amp;dbf=0" TargetMode="External"/><Relationship Id="rId76" Type="http://schemas.openxmlformats.org/officeDocument/2006/relationships/hyperlink" Target="https://sciwheel.com/work/bibliography/15259456" TargetMode="External"/><Relationship Id="rId97" Type="http://schemas.openxmlformats.org/officeDocument/2006/relationships/hyperlink" Target="https://sciwheel.com/work/bibliography/15646692" TargetMode="External"/><Relationship Id="rId104" Type="http://schemas.openxmlformats.org/officeDocument/2006/relationships/hyperlink" Target="https://sciwheel.com/work/bibliography/15603566" TargetMode="External"/><Relationship Id="rId120" Type="http://schemas.openxmlformats.org/officeDocument/2006/relationships/hyperlink" Target="https://sciwheel.com/work/bibliography/15604564" TargetMode="External"/><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sciwheel.com/work/bibliography/15259415" TargetMode="External"/><Relationship Id="rId92" Type="http://schemas.openxmlformats.org/officeDocument/2006/relationships/hyperlink" Target="https://sciwheel.com/work/bibliography/15274707" TargetMode="External"/><Relationship Id="rId2" Type="http://schemas.openxmlformats.org/officeDocument/2006/relationships/numbering" Target="numbering.xml"/><Relationship Id="rId29" Type="http://schemas.openxmlformats.org/officeDocument/2006/relationships/hyperlink" Target="https://sciwheel.com/work/citation?ids=15274709&amp;pre=&amp;suf=&amp;sa=0&amp;dbf=0" TargetMode="External"/><Relationship Id="rId24" Type="http://schemas.openxmlformats.org/officeDocument/2006/relationships/hyperlink" Target="https://sciwheel.com/work/citation?ids=15649545&amp;pre=&amp;suf=&amp;sa=0&amp;dbf=0" TargetMode="External"/><Relationship Id="rId40" Type="http://schemas.openxmlformats.org/officeDocument/2006/relationships/hyperlink" Target="https://sciwheel.com/work/citation?ids=15274832&amp;pre=&amp;suf=&amp;sa=0&amp;dbf=0" TargetMode="External"/><Relationship Id="rId45" Type="http://schemas.openxmlformats.org/officeDocument/2006/relationships/hyperlink" Target="https://sciwheel.com/work/citation?ids=15603566,15603564&amp;pre=&amp;pre=&amp;suf=&amp;suf=&amp;sa=0,0&amp;dbf=0&amp;dbf=0" TargetMode="External"/><Relationship Id="rId66" Type="http://schemas.openxmlformats.org/officeDocument/2006/relationships/hyperlink" Target="https://sciwheel.com/work/citation?ids=15604564&amp;pre=&amp;suf=&amp;sa=0&amp;dbf=0" TargetMode="External"/><Relationship Id="rId87" Type="http://schemas.openxmlformats.org/officeDocument/2006/relationships/hyperlink" Target="https://sciwheel.com/work/bibliography/15649545" TargetMode="External"/><Relationship Id="rId110" Type="http://schemas.openxmlformats.org/officeDocument/2006/relationships/hyperlink" Target="https://sciwheel.com/work/bibliography/15965083" TargetMode="External"/><Relationship Id="rId115" Type="http://schemas.openxmlformats.org/officeDocument/2006/relationships/hyperlink" Target="https://sciwheel.com/work/bibliography/15879805" TargetMode="External"/><Relationship Id="rId61" Type="http://schemas.openxmlformats.org/officeDocument/2006/relationships/image" Target="media/image5.jpg"/><Relationship Id="rId82" Type="http://schemas.openxmlformats.org/officeDocument/2006/relationships/hyperlink" Target="https://sciwheel.com/work/bibliography/15274280" TargetMode="External"/><Relationship Id="rId19" Type="http://schemas.openxmlformats.org/officeDocument/2006/relationships/hyperlink" Target="https://sciwheel.com/work/citation?ids=15274281,15274280&amp;pre=&amp;pre=&amp;suf=&amp;suf=&amp;sa=0,0&amp;dbf=0&amp;dbf=0" TargetMode="External"/><Relationship Id="rId14" Type="http://schemas.openxmlformats.org/officeDocument/2006/relationships/hyperlink" Target="https://sciwheel.com/work/citation?ids=15259456&amp;pre=&amp;suf=&amp;sa=0&amp;dbf=0" TargetMode="External"/><Relationship Id="rId30" Type="http://schemas.openxmlformats.org/officeDocument/2006/relationships/hyperlink" Target="https://sciwheel.com/work/citation?ids=15274710&amp;pre=&amp;suf=&amp;sa=0&amp;dbf=0" TargetMode="External"/><Relationship Id="rId35" Type="http://schemas.openxmlformats.org/officeDocument/2006/relationships/hyperlink" Target="https://sciwheel.com/work/citation?ids=15274668,15274713,15274763&amp;pre=&amp;pre=&amp;pre=&amp;suf=&amp;suf=&amp;suf=&amp;sa=0,0,0&amp;dbf=0&amp;dbf=0&amp;dbf=0" TargetMode="External"/><Relationship Id="rId56" Type="http://schemas.openxmlformats.org/officeDocument/2006/relationships/hyperlink" Target="https://sciwheel.com/work/citation?ids=15274663&amp;pre=&amp;suf=&amp;sa=0&amp;dbf=0" TargetMode="External"/><Relationship Id="rId77" Type="http://schemas.openxmlformats.org/officeDocument/2006/relationships/hyperlink" Target="https://sciwheel.com/work/bibliography/15259498" TargetMode="External"/><Relationship Id="rId100" Type="http://schemas.openxmlformats.org/officeDocument/2006/relationships/hyperlink" Target="https://sciwheel.com/work/bibliography/15646690" TargetMode="External"/><Relationship Id="rId105" Type="http://schemas.openxmlformats.org/officeDocument/2006/relationships/hyperlink" Target="https://sciwheel.com/work/bibliography/15603564" TargetMode="External"/><Relationship Id="rId8" Type="http://schemas.openxmlformats.org/officeDocument/2006/relationships/hyperlink" Target="https://sciwheel.com/work/citation?ids=15256826&amp;pre=&amp;suf=&amp;sa=0&amp;dbf=0" TargetMode="External"/><Relationship Id="rId51" Type="http://schemas.openxmlformats.org/officeDocument/2006/relationships/hyperlink" Target="https://sciwheel.com/work/citation?ids=15272791&amp;pre=&amp;suf=&amp;sa=0&amp;dbf=0" TargetMode="External"/><Relationship Id="rId72" Type="http://schemas.openxmlformats.org/officeDocument/2006/relationships/hyperlink" Target="https://sciwheel.com/work/bibliography/15259428" TargetMode="External"/><Relationship Id="rId93" Type="http://schemas.openxmlformats.org/officeDocument/2006/relationships/hyperlink" Target="https://sciwheel.com/work/bibliography/15274709" TargetMode="External"/><Relationship Id="rId98" Type="http://schemas.openxmlformats.org/officeDocument/2006/relationships/hyperlink" Target="https://sciwheel.com/work/bibliography/2111387" TargetMode="External"/><Relationship Id="rId121" Type="http://schemas.openxmlformats.org/officeDocument/2006/relationships/hyperlink" Target="https://sciwheel.com/work/bibliography/15604562" TargetMode="External"/><Relationship Id="rId3" Type="http://schemas.openxmlformats.org/officeDocument/2006/relationships/styles" Target="styles.xml"/><Relationship Id="rId25" Type="http://schemas.openxmlformats.org/officeDocument/2006/relationships/hyperlink" Target="https://sciwheel.com/work/citation?ids=15274668,15274663&amp;pre=&amp;pre=&amp;suf=&amp;suf=&amp;sa=0,0&amp;dbf=0&amp;dbf=0" TargetMode="External"/><Relationship Id="rId46" Type="http://schemas.openxmlformats.org/officeDocument/2006/relationships/image" Target="media/image2.jpeg"/><Relationship Id="rId67" Type="http://schemas.openxmlformats.org/officeDocument/2006/relationships/hyperlink" Target="https://sciwheel.com/work/bibliography/15256826" TargetMode="External"/><Relationship Id="rId116" Type="http://schemas.openxmlformats.org/officeDocument/2006/relationships/hyperlink" Target="https://sciwheel.com/work/bibliography/15879745" TargetMode="External"/><Relationship Id="rId20" Type="http://schemas.openxmlformats.org/officeDocument/2006/relationships/hyperlink" Target="https://sciwheel.com/work/citation?ids=15274284,15274282&amp;pre=&amp;pre=&amp;suf=&amp;suf=&amp;sa=0,0&amp;dbf=0&amp;dbf=0" TargetMode="External"/><Relationship Id="rId41" Type="http://schemas.openxmlformats.org/officeDocument/2006/relationships/hyperlink" Target="https://sciwheel.com/work/citation?ids=15274834&amp;pre=&amp;suf=&amp;sa=0&amp;dbf=0" TargetMode="External"/><Relationship Id="rId62" Type="http://schemas.openxmlformats.org/officeDocument/2006/relationships/hyperlink" Target="https://sciwheel.com/work/citation?ids=15879745,15879805&amp;pre=&amp;pre=&amp;suf=&amp;suf=&amp;sa=0,0&amp;dbf=0&amp;dbf=0" TargetMode="External"/><Relationship Id="rId83" Type="http://schemas.openxmlformats.org/officeDocument/2006/relationships/hyperlink" Target="https://sciwheel.com/work/bibliography/15274284" TargetMode="External"/><Relationship Id="rId88" Type="http://schemas.openxmlformats.org/officeDocument/2006/relationships/hyperlink" Target="https://sciwheel.com/work/bibliography/15274668" TargetMode="External"/><Relationship Id="rId111" Type="http://schemas.openxmlformats.org/officeDocument/2006/relationships/hyperlink" Target="https://sciwheel.com/work/bibliography/16214618" TargetMode="External"/><Relationship Id="rId15" Type="http://schemas.openxmlformats.org/officeDocument/2006/relationships/hyperlink" Target="https://sciwheel.com/work/citation?ids=15259498&amp;pre=&amp;suf=&amp;sa=0&amp;dbf=0" TargetMode="External"/><Relationship Id="rId36" Type="http://schemas.openxmlformats.org/officeDocument/2006/relationships/hyperlink" Target="https://sciwheel.com/work/citation?ids=2111387&amp;pre=&amp;suf=&amp;sa=0&amp;dbf=0" TargetMode="External"/><Relationship Id="rId57" Type="http://schemas.openxmlformats.org/officeDocument/2006/relationships/hyperlink" Target="https://sciwheel.com/work/citation?ids=16214624&amp;pre=&amp;suf=&amp;sa=0&amp;dbf=0" TargetMode="External"/><Relationship Id="rId106" Type="http://schemas.openxmlformats.org/officeDocument/2006/relationships/hyperlink" Target="https://sciwheel.com/work/bibliography/15603729" TargetMode="External"/><Relationship Id="rId10" Type="http://schemas.openxmlformats.org/officeDocument/2006/relationships/hyperlink" Target="https://sciwheel.com/work/citation?ids=15259304,15259303&amp;pre=&amp;pre=&amp;suf=&amp;suf=&amp;sa=0,0&amp;dbf=0&amp;dbf=0" TargetMode="External"/><Relationship Id="rId31" Type="http://schemas.openxmlformats.org/officeDocument/2006/relationships/hyperlink" Target="https://sciwheel.com/work/citation?ids=15274713&amp;pre=&amp;suf=&amp;sa=0&amp;dbf=0" TargetMode="External"/><Relationship Id="rId52" Type="http://schemas.openxmlformats.org/officeDocument/2006/relationships/hyperlink" Target="https://sciwheel.com/work/citation?ids=16454566,15965084&amp;pre=&amp;pre=&amp;suf=&amp;suf=&amp;sa=0,0&amp;dbf=0&amp;dbf=0" TargetMode="External"/><Relationship Id="rId73" Type="http://schemas.openxmlformats.org/officeDocument/2006/relationships/hyperlink" Target="https://sciwheel.com/work/bibliography/15259425" TargetMode="External"/><Relationship Id="rId78" Type="http://schemas.openxmlformats.org/officeDocument/2006/relationships/hyperlink" Target="https://sciwheel.com/work/bibliography/15259505" TargetMode="External"/><Relationship Id="rId94" Type="http://schemas.openxmlformats.org/officeDocument/2006/relationships/hyperlink" Target="https://sciwheel.com/work/bibliography/15274710" TargetMode="External"/><Relationship Id="rId99" Type="http://schemas.openxmlformats.org/officeDocument/2006/relationships/hyperlink" Target="https://sciwheel.com/work/bibliography/15646689" TargetMode="External"/><Relationship Id="rId101" Type="http://schemas.openxmlformats.org/officeDocument/2006/relationships/hyperlink" Target="https://sciwheel.com/work/bibliography/15274832" TargetMode="External"/><Relationship Id="rId122" Type="http://schemas.openxmlformats.org/officeDocument/2006/relationships/image" Target="media/image6.tiff"/><Relationship Id="rId4" Type="http://schemas.openxmlformats.org/officeDocument/2006/relationships/settings" Target="settings.xml"/><Relationship Id="rId9" Type="http://schemas.openxmlformats.org/officeDocument/2006/relationships/hyperlink" Target="https://sciwheel.com/work/citation?ids=16473517&amp;pre=&amp;suf=&amp;sa=0&amp;dbf=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5E20A3F-C814-45FC-9D7B-9944B38574DB}">
  <we:reference id="wa200002534" version="6.0.0.0" store="en-US" storeType="OMEX"/>
  <we:alternateReferences>
    <we:reference id="WA200002534" version="6.0.0.0" store="WA200002534" storeType="OMEX"/>
  </we:alternateReferences>
  <we:properties>
    <we:property name="sciwheel-csl-items" value="[{&quot;title&quot;:&quot;Effects of Ga doping and hollow structure on the band-structures and photovoltaic properties of SnO&lt;sub&gt;2&lt;/sub&gt; photoanode dye-sensitized solar cells&quot;,&quot;page&quot;:&quot;93765-93772&quot;,&quot;volume&quot;:&quot;5&quot;,&quot;issue&quot;:&quot;114&quot;,&quot;journalAbbreviation&quot;:&quot;RSC Adv.&quot;,&quot;id&quot;:&quot;15649545&quot;,&quot;type&quot;:&quot;article-journal&quot;,&quot;container-title&quot;:&quot;RSC Adv.&quot;,&quot;container-title-short&quot;:&quot;RSC Adv.&quot;,&quot;abstract&quot;:&quot;By introducing the rough hollow microspheres structure and Ga-doping technique, a high power conversion efficiency ( η ) up to 7.11% is obtained for SnO 2 based DSSCs.&quot;,&quot;author&quot;:[{&quot;family&quot;:&quot;Duan&quot;,&quot;given&quot;:&quot;Yandong&quot;},{&quot;family&quot;:&quot;Zheng&quot;,&quot;given&quot;:&quot;Jiaxin&quot;},{&quot;family&quot;:&quot;Fu&quot;,&quot;given&quot;:&quot;Nianqing&quot;},{&quot;family&quot;:&quot;Hu&quot;,&quot;given&quot;:&quot;Jiangtao&quot;},{&quot;family&quot;:&quot;Liu&quot;,&quot;given&quot;:&quot;Tongchao&quot;},{&quot;family&quot;:&quot;Fang&quot;,&quot;given&quot;:&quot;Yanyan&quot;},{&quot;family&quot;:&quot;Zhang&quot;,&quot;given&quot;:&quot;Qian&quot;},{&quot;family&quot;:&quot;Zhou&quot;,&quot;given&quot;:&quot;Xiaowen&quot;},{&quot;family&quot;:&quot;Lin&quot;,&quot;given&quot;:&quot;Yuan&quot;},{&quot;family&quot;:&quot;Pan&quot;,&quot;given&quot;:&quot;Feng&quot;}],&quot;issued&quot;:{&quot;date-parts&quot;:[[&quot;2015&quot;]]},&quot;DOI&quot;:&quot;10.1039/C5RA19491A&quot;,&quot;citation-label&quot;:&quot;15649545&quot;},{&quot;title&quot;:&quot;Recent Advances of Doped SnO&lt;sub&gt;2&lt;/sub&gt; as Electron Transport Layer for High-Performance Perovskite Solar Cells.&quot;,&quot;page&quot;:&quot;6170&quot;,&quot;volume&quot;:&quot;16&quot;,&quot;issue&quot;:&quot;18&quot;,&quot;journalAbbreviation&quot;:&quot;Materials (Basel)&quot;,&quot;id&quot;:&quot;15646692&quot;,&quot;type&quot;:&quot;article-journal&quot;,&quot;container-title&quot;:&quot;Materials&quot;,&quot;container-title-short&quot;:&quot;Materials (Basel)&quot;,&quot;abstract&quot;:&quot;Perovskite solar cells (PSCs) have garnered considerable attention over the past decade owing to their low cost and proven high power conversion efficiency of over 25%. In the planar heterojunction PSC structure, tin oxide was utilized as a substitute material for the TiO2 electron transport layer (ETL) owing to its similar physical properties and high mobility, which is suitable for electron mining. Nevertheless, the defects and morphology significantly changed the performance of SnO2 according to the different deposition techniques, resulting in the poor performance of PSCs. In this review, we provide a comprehensive insight into the factors that specifically influence the ETL in PSC. The properties of the SnO2 materials are briefly introduced. In particular, the general operating principles, as well as the suitability level of doping in SnO2, are elucidated along with the details of the obtained results. Subsequently, the potential for doping is evaluated from the obtained results to achieve better results in PSCs. This review aims to provide a systematic and comprehensive understanding of the effects of different types of doping on the performance of ETL SnO2 and potentially instigate further development of PSCs with an extension to SnO2-based PSCs.&quot;,&quot;author&quot;:[{&quot;family&quot;:&quot;Hoang Huy&quot;,&quot;given&quot;:&quot;Vo Pham&quot;},{&quot;family&quot;:&quot;Nguyen&quot;,&quot;given&quot;:&quot;Thi My Huyen&quot;},{&quot;family&quot;:&quot;Bark&quot;,&quot;given&quot;:&quot;Chung Wung&quot;}],&quot;issued&quot;:{&quot;date-parts&quot;:[[&quot;2023&quot;,&quot;9&quot;,&quot;12&quot;]]},&quot;DOI&quot;:&quot;10.3390/ma16186170&quot;,&quot;PMID&quot;:&quot;37763449&quot;,&quot;PMCID&quot;:&quot;PMC10532999&quot;,&quot;citation-label&quot;:&quot;15646692&quot;},{&quot;title&quot;:&quot;Crystal recombination control by using Ce doped in mesoporous TiO&lt;sub&gt;2&lt;/sub&gt; for efficient perovskite solar cells.&quot;,&quot;page&quot;:&quot;1075-1083&quot;,&quot;volume&quot;:&quot;9&quot;,&quot;issue&quot;:&quot;2&quot;,&quot;journalAbbreviation&quot;:&quot;RSC Adv.&quot;,&quot;id&quot;:&quot;15646690&quot;,&quot;type&quot;:&quot;article-journal&quot;,&quot;container-title&quot;:&quot;RSC advances&quot;,&quot;container-title-short&quot;:&quot;RSC Adv.&quot;,&quot;abstract&quot;:&quot;Efficient electron transport layers (ETLs) are the crucial issue for electron transport and hole blocking in organic-inorganic hybrid perovskite solar cells (PSCs). To date, most of the reported effective ETLs have comprised TiO2, which exhibits limited electron mobility and numerous defect states and restricts the enhancement of the performance of PSCs. Hence, the investigation of effective tactics for improving the electronic properties of TiO2 is critical for the fabrication of high-efficiency devices. In this study, a cerium doping method was adopted in mesoporous TiO2, which was prepared via a traditional one-step hydrothermal process, to improve its electron transport properties by recombining nanocrystals and optimizing the negative flat band potential of TiO2. Continuous, aligned and regulated recombined crystals of mesoporous TiO2 were obtained with optimized pathways of electron transport from the ETL to the FTO layer. Moreover, a small amount of Ti4+ ions was replaced by Ce4+ ions in the TiO2 lattice, which led to deformation of the TiO2 lattice and influenced the growth process of TiO2 grains. With an optimized mole proportion of Ce element in the TiO2 precursor, the power conversion efficiency (PCE) of perovskite solar cells was typically boosted to 17.75% in comparison with 15.92% in the case of undoped TiO2.This journal is © The Royal Society of Chemistry.&quot;,&quot;author&quot;:[{&quot;family&quot;:&quot;Lu&quot;,&quot;given&quot;:&quot;Honglin&quot;},{&quot;family&quot;:&quot;Zhuang&quot;,&quot;given&quot;:&quot;Jia&quot;},{&quot;family&quot;:&quot;Ma&quot;,&quot;given&quot;:&quot;Zhu&quot;},{&quot;family&quot;:&quot;Zhou&quot;,&quot;given&quot;:&quot;Weiya&quot;},{&quot;family&quot;:&quot;Xia&quot;,&quot;given&quot;:&quot;Haoran&quot;},{&quot;family&quot;:&quot;Xiao&quot;,&quot;given&quot;:&quot;Zheng&quot;},{&quot;family&quot;:&quot;Zhang&quot;,&quot;given&quot;:&quot;Hua&quot;},{&quot;family&quot;:&quot;Li&quot;,&quot;given&quot;:&quot;Haimin&quot;}],&quot;issued&quot;:{&quot;date-parts&quot;:[[&quot;2019&quot;,&quot;1&quot;,&quot;2&quot;]]},&quot;DOI&quot;:&quot;10.1039/c8ra07800a&quot;,&quot;PMID&quot;:&quot;35517592&quot;,&quot;PMCID&quot;:&quot;PMC9059523&quot;,&quot;citation-label&quot;:&quot;15646690&quot;},{&quot;title&quot;:&quot;Enhanced performance of planar perovskite solar cells using Ce-doped TiO&lt;sub&gt;2&lt;/sub&gt; as electron transport layer&quot;,&quot;page&quot;:&quot;5681-5689&quot;,&quot;volume&quot;:&quot;55&quot;,&quot;issue&quot;:&quot;14&quot;,&quot;journalAbbreviation&quot;:&quot;J. Mater. Sci.&quot;,&quot;id&quot;:&quot;15646689&quot;,&quot;type&quot;:&quot;article-journal&quot;,&quot;container-title&quot;:&quot;Journal of materials science&quot;,&quot;container-title-short&quot;:&quot;J. Mater. Sci.&quot;,&quot;author&quot;:[{&quot;family&quot;:&quot;Xu&quot;,&quot;given&quot;:&quot;Ri&quot;},{&quot;family&quot;:&quot;Li&quot;,&quot;given&quot;:&quot;Ying&quot;},{&quot;family&quot;:&quot;Feng&quot;,&quot;given&quot;:&quot;Shuang&quot;},{&quot;family&quot;:&quot;Wang&quot;,&quot;given&quot;:&quot;Jun&quot;},{&quot;family&quot;:&quot;Zhang&quot;,&quot;given&quot;:&quot;Jiejing&quot;},{&quot;family&quot;:&quot;Zhang&quot;,&quot;given&quot;:&quot;Xinxin&quot;},{&quot;family&quot;:&quot;Bian&quot;,&quot;given&quot;:&quot;Chang&quot;},{&quot;family&quot;:&quot;Fu&quot;,&quot;given&quot;:&quot;Wuyou&quot;},{&quot;family&quot;:&quot;Li&quot;,&quot;given&quot;:&quot;Zhihui&quot;},{&quot;family&quot;:&quot;Yang&quot;,&quot;given&quot;:&quot;Haibin&quot;}],&quot;issued&quot;:{&quot;date-parts&quot;:[[&quot;2020&quot;,&quot;5&quot;]]},&quot;DOI&quot;:&quot;10.1007/s10853-020-04409-9&quot;,&quot;citation-label&quot;:&quot;15646689&quot;},{&quot;title&quot;:&quot;Study of the heat‐induced degradation mechanism in PbI&lt;sub&gt;2&lt;/sub&gt;‐excess perovskite solar cells&quot;,&quot;page&quot;:&quot;2300580&quot;,&quot;volume&quot;:&quot;7&quot;,&quot;journalAbbreviation&quot;:&quot;Sol. RRL&quot;,&quot;id&quot;:&quot;15612713&quot;,&quot;type&quot;:&quot;article-journal&quot;,&quot;container-title&quot;:&quot;Solar RRL&quot;,&quot;container-title-short&quot;:&quot;Sol. RRL&quot;,&quot;abstract&quot;:&quot;The photodecomposition of PbI 2 in the perovskite halide structure has been identified as a primary reason for the rapid degradation of metal halide perovskite solar cells (PSCs) under continuous illumination. In particular, excess PbI 2 on the surface of perovskite films reduces the stability of PSCs via several mechanisms that are still unelucidated. Herein, the influence of excess PbI 2 on PSCs is investigated by varying the Au deposition rate, which results in different temperatures during the fabrication of PSCs, and then they are compared with stoichiometric PSCs. It is demonstrated that the anion exchange of Br − in perovskite and I − in excess PbI 2 occurs at the grain boundary and interface of the perovskite layers induced by the high heating temperature, leading to a photoluminescence peak redshift and lower power conversion efficiency. Light illumination accelerates the exchange of Br − and I − between the perovskite layer and excess PbI 2 induced by carrier accumulation at the interface and grain boundary, leading to the poor stability of the PSCs.&quot;,&quot;author&quot;:[{&quot;family&quot;:&quot;He&quot;,&quot;given&quot;:&quot;Yulu&quot;},{&quot;family&quot;:&quot;Islam&quot;,&quot;given&quot;:&quot;Muhammad Monirul&quot;},{&quot;family&quot;:&quot;Tangara&quot;,&quot;given&quot;:&quot;Hamidou&quot;},{&quot;family&quot;:&quot;Karim&quot;,&quot;given&quot;:&quot;Md. Abdul&quot;},{&quot;family&quot;:&quot;Kayesh&quot;,&quot;given&quot;:&quot;Md. Emrul&quot;},{&quot;family&quot;:&quot;Chowdhury&quot;,&quot;given&quot;:&quot;Towhid Hossain&quot;},{&quot;family&quot;:&quot;Sakurai&quot;,&quot;given&quot;:&quot;Takeaki&quot;},{&quot;family&quot;:&quot;Islam&quot;,&quot;given&quot;:&quot;Ashraful&quot;}],&quot;issued&quot;:{&quot;date-parts&quot;:[[&quot;2023&quot;,&quot;9&quot;,&quot;13&quot;]]},&quot;DOI&quot;:&quot;10.1002/solr.202300580&quot;,&quot;citation-label&quot;:&quot;15612713&quot;},{&quot;title&quot;:&quot;Inhibition of Sn&lt;sup&gt;2+&lt;/sup&gt; oxidation in FASnI&lt;sub&gt;3&lt;/sub&gt; perovskite precursor solution and enhanced stability of perovskite solar cells by reductive additive.&quot;,&quot;page&quot;:&quot;45823-45833&quot;,&quot;volume&quot;:&quot;15&quot;,&quot;issue&quot;:&quot;39&quot;,&quot;journalAbbreviation&quot;:&quot;ACS Appl. Mater. Interfaces&quot;,&quot;id&quot;:&quot;15604564&quot;,&quot;type&quot;:&quot;article-journal&quot;,&quot;container-title&quot;:&quot;ACS Applied Materials &amp; Interfaces&quot;,&quot;container-title-short&quot;:&quot;ACS Appl. Mater. Interfaces&quot;,&quot;abstract&quot;:&quot;Tin-based halide perovskite solar cells (Sn-PSCs) have attracted a progressive amount of attention as a potential alternative to lead-based PSCs (Pb-PSCs). Sn-perovskite films are fabricated by a solution process spin-coating technique. However, the efficiency of these devices varies significantly with the different batches of precursor solution due to the poor chemical stability of SnI2-DMSO and the oxidation of Sn2+ to Sn4+. This study investigated the origin of Sn2+ oxidation before film formation, and it was identified that the ionization of SnI2 in dimethyl sulfoxide (DMSO) causes the oxidation of free Sn2+ and I- ions. To address these issues, this study introduces the reductive additive 4-fluorophenylhydrazine hydrochloride (4F-PHCl) in the FASnI3 perovskite precursor solution. The hydrazine functional (-NH-NH2) group converted detrimental Sn4+ and I2 defects back to Sn2+ and I- in precursor solution while retaining the properties of the perovskite solution. Furthermore, the addition of 4F-PHCl in the precursor solution effectively slows the crystallization process, enhancing the crystallinity of FASnI3 perovskite films and guaranteeing the Sn2+/I- stoichiometric ratio, ultimately leading to a power conversion efficiency (PCE) of 10.86%. The hydrophobic fluorinated benzene ring in 4F-PHCl ensures moisture stability in perovskite films, allowing unencapsulated PSCs to retain over 92% of their initial PCE in an N2-filled glovebox for 130 days. Moreover, the 4F-PHCl-modified encapsulated PSCs showed superior operational stability for 420 h and maintained 95% of their initial PCE for 300 h under maximum power point tracking at 1 sun continuous illumination. This study's findings provide a promising pathway to create a controlled Sn-based perovskite precursor solution for highly reproducible and stable Pb-free Sn-PSCs.&quot;,&quot;author&quot;:[{&quot;family&quot;:&quot;Karim&quot;,&quot;given&quot;:&quot;Md Abdul&quot;},{&quot;family&quot;:&quot;Matsuishi&quot;,&quot;given&quot;:&quot;Kiyoto&quot;},{&quot;family&quot;:&quot;Kayesh&quot;,&quot;given&quot;:&quot;Md Emrul&quot;},{&quot;family&quot;:&quot;He&quot;,&quot;given&quot;:&quot;Yulu&quot;},{&quot;family&quot;:&quot;Islam&quot;,&quot;given&quot;:&quot;Ashraful&quot;}],&quot;issued&quot;:{&quot;date-parts&quot;:[[&quot;2023&quot;,&quot;10&quot;,&quot;4&quot;]]},&quot;DOI&quot;:&quot;10.1021/acsami.3c07903&quot;,&quot;PMID&quot;:&quot;37738477&quot;,&quot;citation-label&quot;:&quot;15604564&quot;},{&quot;title&quot;:&quot;Diaminomaleonitrile Lewis Base Additive for Push–Pull Electron Extraction for Efficient and Stable Tin-Based Perovskite Solar Cells&quot;,&quot;page&quot;:&quot;12515-12524&quot;,&quot;volume&quot;:&quot;4&quot;,&quot;issue&quot;:&quot;11&quot;,&quot;journalAbbreviation&quot;:&quot;ACS Appl. Energy Mater.&quot;,&quot;id&quot;:&quot;15604562&quot;,&quot;type&quot;:&quot;article-journal&quot;,&quot;container-title&quot;:&quot;ACS Applied Energy Materials&quot;,&quot;container-title-short&quot;:&quot;ACS Appl. Energy Mater.&quot;,&quot;author&quot;:[{&quot;family&quot;:&quot;Abdel-Shakour&quot;,&quot;given&quot;:&quot;Muhammad&quot;},{&quot;family&quot;:&quot;Chowdhury&quot;,&quot;given&quot;:&quot;Towhid H.&quot;},{&quot;family&quot;:&quot;Matsuishi&quot;,&quot;given&quot;:&quot;Kiyoto&quot;},{&quot;family&quot;:&quot;Karim&quot;,&quot;given&quot;:&quot;Md. Abdul&quot;},{&quot;family&quot;:&quot;He&quot;,&quot;given&quot;:&quot;Yulu&quot;},{&quot;family&quot;:&quot;Moritomo&quot;,&quot;given&quot;:&quot;Yutaka&quot;},{&quot;family&quot;:&quot;Islam&quot;,&quot;given&quot;:&quot;Ashraful&quot;}],&quot;issued&quot;:{&quot;date-parts&quot;:[[&quot;2021&quot;,&quot;11&quot;,&quot;22&quot;]]},&quot;DOI&quot;:&quot;10.1021/acsaem.1c02320&quot;,&quot;citation-label&quot;:&quot;15604562&quot;},{&quot;title&quot;:&quot;Carrier dynamic process in all-inorganic halide perovskites explored by photoluminescence spectra&quot;,&quot;page&quot;:&quot;151&quot;,&quot;volume&quot;:&quot;9&quot;,&quot;issue&quot;:&quot;2&quot;,&quot;journalAbbreviation&quot;:&quot;Photon. Res.&quot;,&quot;id&quot;:&quot;15604060&quot;,&quot;type&quot;:&quot;article-journal&quot;,&quot;container-title&quot;:&quot;Photonics Research&quot;,&quot;container-title-short&quot;:&quot;Photon. Res.&quot;,&quot;abstract&quot;:&quot;Recently, all-inorganic halide perovskites have received enormous attention because of their excellent optoelectronic properties. Among them, the power conversion efficiency (PCE) of all-inorganic halide perovskite solar cells has made rapid progress in the last few years. However, understanding the intrinsic physical nature of halide perovskites, especially the dynamic process of photo-generated carriers, is a key for improving the PCE. In this review, we introduced and summarized the photoluminescence (PL) technique used to explore the carrier dynamic process in all-inorganic halide perovskites. Several physical models were proposed to investigate the dynamic parameters, i.e., recombination lifetime and diffusion length, by analyzing the steady-state PL as well as the time-resolved PL spectra. We also discussed the distinction of PL spectral behavior between bulk halide perovskite samples and those grown with transport layers due to the participation of different dominant dynamic paths. Finally, we briefly described some other optical techniques reported to study the relevant physical properties of all-inorganic halide perovskites.&quot;,&quot;author&quot;:[{&quot;family&quot;:&quot;Chen&quot;,&quot;given&quot;:&quot;Jing&quot;},{&quot;family&quot;:&quot;Zhang&quot;,&quot;given&quot;:&quot;Chao&quot;},{&quot;family&quot;:&quot;Liu&quot;,&quot;given&quot;:&quot;Xiaolin&quot;},{&quot;family&quot;:&quot;Peng&quot;,&quot;given&quot;:&quot;Lin&quot;},{&quot;family&quot;:&quot;Lin&quot;,&quot;given&quot;:&quot;Jia&quot;},{&quot;family&quot;:&quot;Chen&quot;,&quot;given&quot;:&quot;Xianfeng&quot;}],&quot;issued&quot;:{&quot;date-parts&quot;:[[&quot;2021&quot;,&quot;2&quot;,&quot;1&quot;]]},&quot;DOI&quot;:&quot;10.1364/PRJ.410290&quot;,&quot;citation-label&quot;:&quot;15604060&quot;},{&quot;title&quot;:&quot;On the question of the need for a built‐in potential in perovskite solar cells&quot;,&quot;page&quot;:&quot;2000041&quot;,&quot;volume&quot;:&quot;7&quot;,&quot;issue&quot;:&quot;10&quot;,&quot;journalAbbreviation&quot;:&quot;Adv. Mater. Interfaces&quot;,&quot;id&quot;:&quot;15409126&quot;,&quot;type&quot;:&quot;article-journal&quot;,&quot;container-title&quot;:&quot;Advanced materials interfaces&quot;,&quot;container-title-short&quot;:&quot;Adv. Mater. Interfaces&quot;,&quot;abstract&quot;:&quot;Perovskite semiconductors as the active materials in efficient solar cells exhibit free carrier diffusion lengths on the order of microns at low illumination fluxes and many hundreds of nanometers under 1 sun conditions. These lengthscales are significantly larger than typical junction thicknesses, and thus the carrier transport and charge collection should be expected to be diffusion controlled. A consensus along these lines is emerging in the field. However, the question as to whether the built‐in potential plays any role is still of matter of some conjecture. This important question using phase‐sensitive photocurrent measurements and theoretical device simulations based upon the drift‐diffusion framework is addressed. In particular, the role of the built‐in electric field and charge‐selective transport layers in state‐of‐the‐art p–i–n perovskite solar cells comparing experimental findings and simulation predictions is probed. It is found that while charge collection in the junction does not require a drift field per se, a built‐in potential is still needed to avoid the formation of reverse electric fields inside the active layer, and to ensure efficient extraction through the charge transport layers.&quot;,&quot;author&quot;:[{&quot;family&quot;:&quot;Sandberg&quot;,&quot;given&quot;:&quot;Oskar J.&quot;},{&quot;family&quot;:&quot;Kurpiers&quot;,&quot;given&quot;:&quot;Jona&quot;},{&quot;family&quot;:&quot;Stolterfoht&quot;,&quot;given&quot;:&quot;Martin&quot;},{&quot;family&quot;:&quot;Neher&quot;,&quot;given&quot;:&quot;Dieter&quot;},{&quot;family&quot;:&quot;Meredith&quot;,&quot;given&quot;:&quot;Paul&quot;},{&quot;family&quot;:&quot;Shoaee&quot;,&quot;given&quot;:&quot;Safa&quot;},{&quot;family&quot;:&quot;Armin&quot;,&quot;given&quot;:&quot;Ardalan&quot;}],&quot;issued&quot;:{&quot;date-parts&quot;:[[&quot;2020&quot;,&quot;5&quot;]]},&quot;DOI&quot;:&quot;10.1002/admi.202000041&quot;,&quot;citation-label&quot;:&quot;15409126&quot;},{&quot;title&quot;:&quot;Suppression of the interface-dependent nonradiative recombination by using 2-methylbenzimidazole as interlayer for highly efficient and stable perovskite solar cells&quot;,&quot;page&quot;:&quot;105127&quot;,&quot;volume&quot;:&quot;76&quot;,&quot;journalAbbreviation&quot;:&quot;Nano Energy&quot;,&quot;id&quot;:&quot;15603756&quot;,&quot;type&quot;:&quot;article-journal&quot;,&quot;container-title&quot;:&quot;Nano Energy&quot;,&quot;container-title-short&quot;:&quot;Nano Energy&quot;,&quot;author&quot;:[{&quot;family&quot;:&quot;Sonmezoglu&quot;,&quot;given&quot;:&quot;Savas&quot;},{&quot;family&quot;:&quot;Akin&quot;,&quot;given&quot;:&quot;Seckin&quot;}],&quot;issued&quot;:{&quot;date-parts&quot;:[[&quot;2020&quot;,&quot;10&quot;]]},&quot;DOI&quot;:&quot;10.1016/j.nanoen.2020.105127&quot;,&quot;citation-label&quot;:&quot;15603756&quot;},{&quot;title&quot;:&quot;High efficiency perovskite solar cells via NaCl modified tin oxide electron transport layer&quot;,&quot;page&quot;:&quot;106677&quot;,&quot;volume&quot;:&quot;113&quot;,&quot;journalAbbreviation&quot;:&quot;Org. Electron.&quot;,&quot;id&quot;:&quot;15603729&quot;,&quot;type&quot;:&quot;article-journal&quot;,&quot;container-title&quot;:&quot;Organic electronics&quot;,&quot;container-title-short&quot;:&quot;Org. Electron.&quot;,&quot;author&quot;:[{&quot;family&quot;:&quot;Gu&quot;,&quot;given&quot;:&quot;Liangxue&quot;},{&quot;family&quot;:&quot;Wang&quot;,&quot;given&quot;:&quot;Chuang&quot;},{&quot;family&quot;:&quot;Mo&quot;,&quot;given&quot;:&quot;Weijun&quot;},{&quot;family&quot;:&quot;Zeng&quot;,&quot;given&quot;:&quot;Haoran&quot;},{&quot;family&quot;:&quot;Shou&quot;,&quot;given&quot;:&quot;Chunhui&quot;},{&quot;family&quot;:&quot;Yang&quot;,&quot;given&quot;:&quot;Songwang&quot;},{&quot;family&quot;:&quot;Wen&quot;,&quot;given&quot;:&quot;Feng&quot;}],&quot;issued&quot;:{&quot;date-parts&quot;:[[&quot;2023&quot;,&quot;2&quot;]]},&quot;DOI&quot;:&quot;10.1016/j.orgel.2022.106677&quot;,&quot;citation-label&quot;:&quot;15603729&quot;},{&quot;title&quot;:&quot;Unreacted PbI&lt;sub&gt;2&lt;/sub&gt; as a Double-Edged Sword for Enhancing the Performance of Perovskite Solar Cells.&quot;,&quot;page&quot;:&quot;10331-10343&quot;,&quot;volume&quot;:&quot;138&quot;,&quot;issue&quot;:&quot;32&quot;,&quot;journalAbbreviation&quot;:&quot;J. Am. Chem. Soc.&quot;,&quot;id&quot;:&quot;2106825&quot;,&quot;type&quot;:&quot;article-journal&quot;,&quot;container-title&quot;:&quot;Journal of the American Chemical Society&quot;,&quot;container-title-short&quot;:&quot;J. Am. Chem. Soc.&quot;,&quot;abstract&quot;:&quot;Lead halide perovskites have over the past few years attracted considerable interest as photo absorbers in PV applications with record efficiencies now reaching 22%. It has recently been found that not only the composition but also the precise stoichiometry is important for the device performance. Recent reports have, for example, demonstrated small amount of PbI2 in the perovskite films to be beneficial for the overall performance of both the standard perovskite, CH3NH3PbI3, as well as for the mixed perovskites (CH3NH3)x(CH(NH2)2)(1-x)PbBryI(3-y). In this work a broad range of characterization techniques including X-ray diffraction (XRD), scanning electron microscopy (SEM), transmission electron microscopy (TEM), photo electron spectroscopy (PES), transient absorption spectroscopy (TAS), UV-vis, electroluminescence (EL), photoluminescence (PL), and confocal PL mapping have been used to further understand the importance of remnant PbI2 in perovskite solar cells. Our best devices were over 18% efficient, and had in line with previous results a small amount of excess PbI2. For the PbI2-deficient samples, the photocurrent dropped, which could be attributed to accumulation of organic species at the grain boundaries, low charge carrier mobility, and decreased electron injection into the TiO2. The PbI2-deficient compositions did, however, also have advantages. The record Voc was as high as 1.20 V and was found in PbI2-deficient samples. This was correlated with high crystal quality, longer charge carrier lifetimes, and high PL yields and was rationalized as a consequence of the dynamics of the perovskite formation. We further found the ion migration to be obstructed in the PbI2-deficient samples, which decreased the JV hysteresis and increased the photostability. PbI2-deficient synthesis conditions can thus be used to deposit perovskites with excellent crystal quality but with the downside of grain boundaries enriched in organic species, which act as a barrier toward current transport. Exploring ways to tune the synthesis conditions to give the high crystal quality obtained under PbI2-poor condition while maintaining the favorable grain boundary characteristics obtained under PbI2-rich conditions would thus be a strategy toward more efficiency devices.&quot;,&quot;author&quot;:[{&quot;family&quot;:&quot;Jacobsson&quot;,&quot;given&quot;:&quot;T Jesper&quot;},{&quot;family&quot;:&quot;Correa-Baena&quot;,&quot;given&quot;:&quot;Juan-Pablo&quot;},{&quot;family&quot;:&quot;Halvani Anaraki&quot;,&quot;given&quot;:&quot;Elham&quot;},{&quot;family&quot;:&quot;Philippe&quot;,&quot;given&quot;:&quot;Bertrand&quot;},{&quot;family&quot;:&quot;Stranks&quot;,&quot;given&quot;:&quot;Samuel D&quot;},{&quot;family&quot;:&quot;Bouduban&quot;,&quot;given&quot;:&quot;Marine E F&quot;},{&quot;family&quot;:&quot;Tress&quot;,&quot;given&quot;:&quot;Wolfgang&quot;},{&quot;family&quot;:&quot;Schenk&quot;,&quot;given&quot;:&quot;Kurt&quot;},{&quot;family&quot;:&quot;Teuscher&quot;,&quot;given&quot;:&quot;Joël&quot;},{&quot;family&quot;:&quot;Moser&quot;,&quot;given&quot;:&quot;Jacques-E&quot;},{&quot;family&quot;:&quot;Rensmo&quot;,&quot;given&quot;:&quot;Håkan&quot;},{&quot;family&quot;:&quot;Hagfeldt&quot;,&quot;given&quot;:&quot;Anders&quot;}],&quot;issued&quot;:{&quot;date-parts&quot;:[[&quot;2016&quot;,&quot;8&quot;,&quot;17&quot;]]},&quot;DOI&quot;:&quot;10.1021/jacs.6b06320&quot;,&quot;PMID&quot;:&quot;27437906&quot;,&quot;citation-label&quot;:&quot;2106825&quot;},{&quot;title&quot;:&quot;Passivating buried interface via self-assembled novel sulfonium salt toward stable and efficient perovskite solar cells&quot;,&quot;page&quot;:&quot;133209&quot;,&quot;volume&quot;:&quot;431&quot;,&quot;journalAbbreviation&quot;:&quot;Chemical Engineering Journal&quot;,&quot;id&quot;:&quot;15603566&quot;,&quot;type&quot;:&quot;article-journal&quot;,&quot;container-title&quot;:&quot;Chemical Engineering Journal&quot;,&quot;container-title-short&quot;:&quot;Chemical Engineering Journal&quot;,&quot;author&quot;:[{&quot;family&quot;:&quot;Zuo&quot;,&quot;given&quot;:&quot;Xin&quot;},{&quot;family&quot;:&quot;Kim&quot;,&quot;given&quot;:&quot;Bohyung&quot;},{&quot;family&quot;:&quot;Liu&quot;,&quot;given&quot;:&quot;Baibai&quot;},{&quot;family&quot;:&quot;He&quot;,&quot;given&quot;:&quot;Dongmei&quot;},{&quot;family&quot;:&quot;Bai&quot;,&quot;given&quot;:&quot;Le&quot;},{&quot;family&quot;:&quot;Wang&quot;,&quot;given&quot;:&quot;Wenqi&quot;},{&quot;family&quot;:&quot;Xu&quot;,&quot;given&quot;:&quot;Cunyun&quot;},{&quot;family&quot;:&quot;Song&quot;,&quot;given&quot;:&quot;Qunliang&quot;},{&quot;family&quot;:&quot;Jia&quot;,&quot;given&quot;:&quot;Chunyang&quot;},{&quot;family&quot;:&quot;Zang&quot;,&quot;given&quot;:&quot;Zhigang&quot;},{&quot;family&quot;:&quot;Lee&quot;,&quot;given&quot;:&quot;Donghwa&quot;},{&quot;family&quot;:&quot;Li&quot;,&quot;given&quot;:&quot;Xiong&quot;},{&quot;family&quot;:&quot;Chen&quot;,&quot;given&quot;:&quot;Jiangzhao&quot;}],&quot;issued&quot;:{&quot;date-parts&quot;:[[&quot;2022&quot;,&quot;3&quot;]]},&quot;DOI&quot;:&quot;10.1016/j.cej.2021.133209&quot;,&quot;citation-label&quot;:&quot;15603566&quot;},{&quot;title&quot;:&quot;Poly(vinylpyrrolidone)-doped SnO&lt;sub&gt;2&lt;/sub&gt; as an electron transport layer for perovskite solar cells with improved performance&quot;,&quot;page&quot;:&quot;12204-12210&quot;,&quot;volume&quot;:&quot;7&quot;,&quot;issue&quot;:&quot;39&quot;,&quot;journalAbbreviation&quot;:&quot;J. Mater. Chem. C&quot;,&quot;id&quot;:&quot;15603564&quot;,&quot;type&quot;:&quot;article-journal&quot;,&quot;container-title&quot;:&quot;J. Mater. Chem. C&quot;,&quot;container-title-short&quot;:&quot;J. Mater. Chem. C&quot;,&quot;abstract&quot;:&quot;Poly(vinylpyrrolidone) (PVP)-doped SnO 2 was first used as an efficient electron transport layer for perovskite solar cells with increased efficiency and improved stability.&quot;,&quot;author&quot;:[{&quot;family&quot;:&quot;Wang&quot;,&quot;given&quot;:&quot;Di&quot;},{&quot;family&quot;:&quot;Chen&quot;,&quot;given&quot;:&quot;Shan-Ci&quot;},{&quot;family&quot;:&quot;Zheng&quot;,&quot;given&quot;:&quot;Qingdong&quot;}],&quot;issued&quot;:{&quot;date-parts&quot;:[[&quot;2019&quot;]]},&quot;DOI&quot;:&quot;10.1039/C9TC04269E&quot;,&quot;citation-label&quot;:&quot;15603564&quot;},{&quot;title&quot;:&quot;Universal passivation strategy to slot-die printed SnO&lt;sub&gt;2&lt;/sub&gt; for hysteresis-free efficient flexible perovskite solar module.&quot;,&quot;page&quot;:&quot;4609&quot;,&quot;volume&quot;:&quot;9&quot;,&quot;issue&quot;:&quot;1&quot;,&quot;journalAbbreviation&quot;:&quot;Nat. Commun.&quot;,&quot;id&quot;:&quot;15302100&quot;,&quot;type&quot;:&quot;article-journal&quot;,&quot;container-title&quot;:&quot;Nature Communications&quot;,&quot;container-title-short&quot;:&quot;Nat. Commun.&quot;,&quot;abstract&quot;:&quot;Perovskite solar cells (PSCs) have reached an impressive efficiency over 23%. One of its promising characteristics is the low-cost solution printability, especially for flexible solar cells. However, printing large area uniform electron transport layers on rough and soft plastic substrates without hysteresis is still a great challenge. Herein, we demonstrate slot-die printed high quality tin oxide films for high efficiency flexible PSCs. The inherent hysteresis induced by the tin oxide layer is suppressed using a universal potassium interfacial passivation strategy regardless of fabricating methods. Results show that the potassium cations, not the anions, facilitate the growth of perovskite grains, passivate the interface, and contribute to the enhanced efficiency and stability. The small size flexible PSCs achieve a high efficiency of 17.18% and large size (5 × 6 cm2) flexible modules obtain an efficiency over 15%. This passivation strategy has shown great promise for pursuing high performance large area flexible PSCs.&quot;,&quot;author&quot;:[{&quot;family&quot;:&quot;Bu&quot;,&quot;given&quot;:&quot;Tongle&quot;},{&quot;family&quot;:&quot;Li&quot;,&quot;given&quot;:&quot;Jing&quot;},{&quot;family&quot;:&quot;Zheng&quot;,&quot;given&quot;:&quot;Fei&quot;},{&quot;family&quot;:&quot;Chen&quot;,&quot;given&quot;:&quot;Weijian&quot;},{&quot;family&quot;:&quot;Wen&quot;,&quot;given&quot;:&quot;Xiaoming&quot;},{&quot;family&quot;:&quot;Ku&quot;,&quot;given&quot;:&quot;Zhiliang&quot;},{&quot;family&quot;:&quot;Peng&quot;,&quot;given&quot;:&quot;Yong&quot;},{&quot;family&quot;:&quot;Zhong&quot;,&quot;given&quot;:&quot;Jie&quot;},{&quot;family&quot;:&quot;Cheng&quot;,&quot;given&quot;:&quot;Yi-Bing&quot;},{&quot;family&quot;:&quot;Huang&quot;,&quot;given&quot;:&quot;Fuzhi&quot;}],&quot;issued&quot;:{&quot;date-parts&quot;:[[&quot;2018&quot;,&quot;11&quot;,&quot;2&quot;]]},&quot;DOI&quot;:&quot;10.1038/s41467-018-07099-9&quot;,&quot;PMID&quot;:&quot;30389948&quot;,&quot;PMCID&quot;:&quot;PMC6214926&quot;,&quot;citation-label&quot;:&quot;15302100&quot;},{&quot;title&quot;:&quot;Enhanced photocatalytic performance of Ce-doped SnO&lt;sub&gt;2&lt;/sub&gt; hollow spheres by a one-pot hydrothermal method&quot;,&quot;page&quot;:&quot;108848&quot;,&quot;volume&quot;:&quot;132&quot;,&quot;journalAbbreviation&quot;:&quot;Inorg. Chem. Commun.&quot;,&quot;id&quot;:&quot;15274834&quot;,&quot;type&quot;:&quot;article-journal&quot;,&quot;container-title&quot;:&quot;Inorganic chemistry communications&quot;,&quot;container-title-short&quot;:&quot;Inorg. Chem. Commun.&quot;,&quot;author&quot;:[{&quot;family&quot;:&quot;Chen&quot;,&quot;given&quot;:&quot;Ning&quot;},{&quot;family&quot;:&quot;Liu&quot;,&quot;given&quot;:&quot;Bin&quot;},{&quot;family&quot;:&quot;Zhang&quot;,&quot;given&quot;:&quot;Peng&quot;},{&quot;family&quot;:&quot;Wang&quot;,&quot;given&quot;:&quot;Chenrui&quot;},{&quot;family&quot;:&quot;Du&quot;,&quot;given&quot;:&quot;Yanping&quot;},{&quot;family&quot;:&quot;Chang&quot;,&quot;given&quot;:&quot;Wei&quot;},{&quot;family&quot;:&quot;Hong&quot;,&quot;given&quot;:&quot;Wanyu&quot;}],&quot;issued&quot;:{&quot;date-parts&quot;:[[&quot;2021&quot;,&quot;10&quot;]]},&quot;DOI&quot;:&quot;10.1016/j.inoche.2021.108848&quot;,&quot;citation-label&quot;:&quot;15274834&quot;},{&quot;title&quot;:&quot;A high-performance ethanol gas sensor based on Ce-doped SnO&lt;sub&gt;2&lt;/sub&gt; nanomaterials prepared by the Pechini method&quot;,&quot;page&quot;:&quot;106188&quot;,&quot;volume&quot;:&quot;137&quot;,&quot;journalAbbreviation&quot;:&quot;Mater. Sci. Semicond. Process.&quot;,&quot;id&quot;:&quot;15274832&quot;,&quot;type&quot;:&quot;article-journal&quot;,&quot;container-title&quot;:&quot;Materials science in semiconductor processing&quot;,&quot;container-title-short&quot;:&quot;Mater. Sci. Semicond. Process.&quot;,&quot;author&quot;:[{&quot;family&quot;:&quot;Wang&quot;,&quot;given&quot;:&quot;Yongchang&quot;},{&quot;family&quot;:&quot;Li&quot;,&quot;given&quot;:&quot;Hairong&quot;},{&quot;family&quot;:&quot;Huang&quot;,&quot;given&quot;:&quot;Dandan&quot;},{&quot;family&quot;:&quot;Wang&quot;,&quot;given&quot;:&quot;Xudong&quot;},{&quot;family&quot;:&quot;Cai&quot;,&quot;given&quot;:&quot;Lina&quot;},{&quot;family&quot;:&quot;Chen&quot;,&quot;given&quot;:&quot;Yawen&quot;},{&quot;family&quot;:&quot;Wang&quot;,&quot;given&quot;:&quot;Wenjie&quot;},{&quot;family&quot;:&quot;Song&quot;,&quot;given&quot;:&quot;Yuzhe&quot;},{&quot;family&quot;:&quot;Han&quot;,&quot;given&quot;:&quot;Genliang&quot;},{&quot;family&quot;:&quot;Zhen&quot;,&quot;given&quot;:&quot;Bo&quot;}],&quot;issued&quot;:{&quot;date-parts&quot;:[[&quot;2022&quot;,&quot;1&quot;]]},&quot;DOI&quot;:&quot;10.1016/j.mssp.2021.106188&quot;,&quot;citation-label&quot;:&quot;15274832&quot;},{&quot;title&quot;:&quot;Cerium oxide nanoparticle: a remarkably versatile rare earth nanomaterial for biological applications&quot;,&quot;page&quot;:&quot;e90&quot;,&quot;volume&quot;:&quot;6&quot;,&quot;issue&quot;:&quot;3&quot;,&quot;journalAbbreviation&quot;:&quot;NPG Asia Mater.&quot;,&quot;id&quot;:&quot;2111387&quot;,&quot;type&quot;:&quot;article-journal&quot;,&quot;container-title&quot;:&quot;NPG Asia Materials&quot;,&quot;container-title-short&quot;:&quot;NPG Asia Mater.&quot;,&quot;abstract&quot;:&quot;Cerium oxide nanoparticles (CeONPs) have received much attention because of their excellent catalytic activities, which are derived from quick and expedient mutation of the oxidation state between Ce4+ and Ce3+. The cerium atom has the ability to easily and drastically adjust its electronic configuration to best fit its immediate environment. It also exhibits oxygen vacancies, or defects, in the lattice structure; these arise through loss of oxygen and/or its electrons, alternating between CeO2 and CeO2−x during redox reactions. Being a mature engineered nanoparticle with various industrial applications, CeONP was recently found to have multi-enzyme, including superoxide oxidase, catalase and oxidase, mimetic properties that produce various biological effects, such as being potentially antioxidant towards almost all noxious intracellular reactive oxygen species. CeONP has emerged as a fascinating and lucrative material in biological fields such as bioanalysis, biomedicine, drug delivery, and bioscaffolding. This review provides a comprehensive introduction to CeONP’s catalytic mechanisms, multi-enzyme-like activities, and potential applications in biological fields.&quot;,&quot;author&quot;:[{&quot;family&quot;:&quot;Xu&quot;,&quot;given&quot;:&quot;Can&quot;},{&quot;family&quot;:&quot;Qu&quot;,&quot;given&quot;:&quot;Xiaogang&quot;}],&quot;issued&quot;:{&quot;date-parts&quot;:[[&quot;2014&quot;,&quot;3&quot;,&quot;7&quot;]]},&quot;DOI&quot;:&quot;10.1038/am.2013.88&quot;,&quot;citation-label&quot;:&quot;2111387&quot;},{&quot;title&quot;:&quot;La-doped SnO&lt;sub&gt;2&lt;/sub&gt; as ETL for efficient planar-structure hybrid perovskite solar cells&quot;,&quot;page&quot;:&quot;62-68&quot;,&quot;volume&quot;:&quot;73&quot;,&quot;journalAbbreviation&quot;:&quot;Org. Electron.&quot;,&quot;id&quot;:&quot;15274763&quot;,&quot;type&quot;:&quot;article-journal&quot;,&quot;container-title&quot;:&quot;Organic electronics&quot;,&quot;container-title-short&quot;:&quot;Org. Electron.&quot;,&quot;author&quot;:[{&quot;family&quot;:&quot;Xu&quot;,&quot;given&quot;:&quot;Zhenhua&quot;},{&quot;family&quot;:&quot;Teo&quot;,&quot;given&quot;:&quot;Siow Hwa&quot;},{&quot;family&quot;:&quot;Gao&quot;,&quot;given&quot;:&quot;Liguo&quot;},{&quot;family&quot;:&quot;Guo&quot;,&quot;given&quot;:&quot;Zhanglin&quot;},{&quot;family&quot;:&quot;Kamata&quot;,&quot;given&quot;:&quot;Yusuke&quot;},{&quot;family&quot;:&quot;Hayase&quot;,&quot;given&quot;:&quot;Shuzi&quot;},{&quot;family&quot;:&quot;Ma&quot;,&quot;given&quot;:&quot;Tingli&quot;}],&quot;issued&quot;:{&quot;date-parts&quot;:[[&quot;2019&quot;,&quot;10&quot;]]},&quot;DOI&quot;:&quot;10.1016/j.orgel.2019.03.053&quot;,&quot;citation-label&quot;:&quot;15274763&quot;},{&quot;title&quot;:&quot;Negligible hysteresis planar perovskite solar cells using Ga-doped SnO&lt;sub&gt;2&lt;/sub&gt; nanocrystal as electron transport layers&quot;,&quot;page&quot;:&quot;98-105&quot;,&quot;volume&quot;:&quot;71&quot;,&quot;journalAbbreviation&quot;:&quot;Org. Electron.&quot;,&quot;id&quot;:&quot;15274713&quot;,&quot;type&quot;:&quot;article-journal&quot;,&quot;container-title&quot;:&quot;Organic electronics&quot;,&quot;container-title-short&quot;:&quot;Org. Electron.&quot;,&quot;author&quot;:[{&quot;family&quot;:&quot;Ma&quot;,&quot;given&quot;:&quot;Zhu&quot;},{&quot;family&quot;:&quot;Zhou&quot;,&quot;given&quot;:&quot;Weiya&quot;},{&quot;family&quot;:&quot;Xiao&quot;,&quot;given&quot;:&quot;Zheng&quot;},{&quot;family&quot;:&quot;Zhang&quot;,&quot;given&quot;:&quot;Hua&quot;},{&quot;family&quot;:&quot;Li&quot;,&quot;given&quot;:&quot;Zhuoyun&quot;},{&quot;family&quot;:&quot;Zhuang&quot;,&quot;given&quot;:&quot;Jia&quot;},{&quot;family&quot;:&quot;Peng&quot;,&quot;given&quot;:&quot;Changtao&quot;},{&quot;family&quot;:&quot;Huang&quot;,&quot;given&quot;:&quot;Yuelong&quot;}],&quot;issued&quot;:{&quot;date-parts&quot;:[[&quot;2019&quot;,&quot;8&quot;]]},&quot;DOI&quot;:&quot;10.1016/j.orgel.2019.05.011&quot;,&quot;citation-label&quot;:&quot;15274713&quot;},{&quot;title&quot;:&quot;Dual Passivation of Perovskite and SnO&lt;sub&gt;2&lt;/sub&gt; for High-Efficiency MAPbI&lt;sub&gt;3&lt;/sub&gt; Perovskite Solar Cells.&quot;,&quot;page&quot;:&quot;2001466&quot;,&quot;volume&quot;:&quot;8&quot;,&quot;issue&quot;:&quot;5&quot;,&quot;journalAbbreviation&quot;:&quot;Adv Sci (Weinh)&quot;,&quot;id&quot;:&quot;15274710&quot;,&quot;type&quot;:&quot;article-journal&quot;,&quot;container-title&quot;:&quot;Advanced science (Weinheim, Baden-Wurttemberg, Germany)&quot;,&quot;container-title-short&quot;:&quot;Adv Sci (Weinh)&quot;,&quot;abstract&quot;:&quot;So far, most techniques for modifying perovskite solar cells (PSCs) focus on either the perovskite or electron transport layer (ETL). For the sake of comprehensively improving device performance, a dual-functional method of simultaneously passivating trap defects in both the perovskite and ETL films is proposed that utilizes guidable transfer of Eu3+ in SnO2 to perovskite. Europium ions are distributed throughout the SnO2 film during the formation process of SnO2, and they can diffuse directionally through the SnO2/perovskite interface into the perovskite, while most of the europium ions remain at the interface. Under the synergistic effect of distributed Eu3+ in the SnO2 and aggregated Eu3+ at the interface, the electron mobilities of ETLs are evidently improved. Meanwhile, diffused Eu3+ ions passivate the perovskite to reduce trap densities at the grain boundaries, which can dramatically elevate the open-circuit voltage (Voc) of PSCs. Finally, the mainly PSCs coated on SnO2:Eu3+ ETL achieve a power conversion efficiency of 20.14%. Moreover, an unsealed device degrades by only 13% after exposure to ambient atmosphere for 84 days.© 2021 The Authors. Published by Wiley‐VCH GmbH.&quot;,&quot;author&quot;:[{&quot;family&quot;:&quot;Chen&quot;,&quot;given&quot;:&quot;Yali&quot;},{&quot;family&quot;:&quot;Zuo&quot;,&quot;given&quot;:&quot;Xuejiao&quot;},{&quot;family&quot;:&quot;He&quot;,&quot;given&quot;:&quot;Yiyang&quot;},{&quot;family&quot;:&quot;Qian&quot;,&quot;given&quot;:&quot;Fang&quot;},{&quot;family&quot;:&quot;Zuo&quot;,&quot;given&quot;:&quot;Shengnan&quot;},{&quot;family&quot;:&quot;Zhang&quot;,&quot;given&quot;:&quot;Yalan&quot;},{&quot;family&quot;:&quot;Liang&quot;,&quot;given&quot;:&quot;Lei&quot;},{&quot;family&quot;:&quot;Chen&quot;,&quot;given&quot;:&quot;Zuqin&quot;},{&quot;family&quot;:&quot;Zhao&quot;,&quot;given&quot;:&quot;Kui&quot;},{&quot;family&quot;:&quot;Liu&quot;,&quot;given&quot;:&quot;Zhike&quot;},{&quot;family&quot;:&quot;Gou&quot;,&quot;given&quot;:&quot;Jing&quot;},{&quot;family&quot;:&quot;Liu&quot;,&quot;given&quot;:&quot;Shengzhong Frank&quot;}],&quot;issued&quot;:{&quot;date-parts&quot;:[[&quot;2021&quot;,&quot;3&quot;]]},&quot;DOI&quot;:&quot;10.1002/advs.202001466&quot;,&quot;PMID&quot;:&quot;33717834&quot;,&quot;PMCID&quot;:&quot;PMC7927604&quot;,&quot;citation-label&quot;:&quot;15274710&quot;},{&quot;title&quot;:&quot;17.78% efficient low-temperature carbon-based planar perovskite solar cells using Zn-doped SnO&lt;sub&gt;2&lt;/sub&gt; electron transport layer&quot;,&quot;page&quot;:&quot;417-425&quot;,&quot;volume&quot;:&quot;478&quot;,&quot;journalAbbreviation&quot;:&quot;Appl. Surf. Sci.&quot;,&quot;id&quot;:&quot;15274709&quot;,&quot;type&quot;:&quot;article-journal&quot;,&quot;container-title&quot;:&quot;Applied surface science&quot;,&quot;container-title-short&quot;:&quot;Appl. Surf. Sci.&quot;,&quot;abstract&quot;:&quot;Abstract   Organic-inorganic lead halide perovskite solar cells have garnered enormous interest in scientific communities due to comparable power conversion efficiencies and solution-processed fabrication techniques. Among them, carbon-based perovskite solar cells seem to be one of the most promising candidates for addressing the stability issue while suffering from inferior efficiency or high processing temperature. Herein, we introduce low-temperature processed Zn-doped SnO 2  (below 200 °C) as an effective electron transport layer in perovskite solar cells for the first time, and demonstrate a low-temperature carbon-based device with Cu-phthalocyanine as hole transport layer. We find that Zn doping contributes to a more suitable energy level alignment and an improved conductivity for SnO 2  films. As a result, the electron transfer and extraction are enhanced and the charge recombination is suppressed. In addition, devices with Zn-doped SnO 2  have a wider depletion region, leading to an enhanced photovoltaic performance. An optimal efficiency of 17.78% can be obtained after 2 mM Zn doping. Furthermore, these devices, introducing highly stable and hydrophobic Cu-phthalocyanine and carbon, maintain almost 100% of their initial efficiencies over 1200 h in ambient air. Our study paves the way for developing highly efficient and flexible carbon-based perovskite solar cells.&quot;,&quot;author&quot;:[{&quot;family&quot;:&quot;Ye&quot;,&quot;given&quot;:&quot;Haibo&quot;},{&quot;family&quot;:&quot;Liu&quot;,&quot;given&quot;:&quot;Zhiyong&quot;},{&quot;family&quot;:&quot;Liu&quot;,&quot;given&quot;:&quot;Xingyue&quot;},{&quot;family&quot;:&quot;Sun&quot;,&quot;given&quot;:&quot;Bo&quot;},{&quot;family&quot;:&quot;Tan&quot;,&quot;given&quot;:&quot;Xianhua&quot;},{&quot;family&quot;:&quot;Tu&quot;,&quot;given&quot;:&quot;Yuxue&quot;},{&quot;family&quot;:&quot;Shi&quot;,&quot;given&quot;:&quot;Tielin&quot;},{&quot;family&quot;:&quot;Tang&quot;,&quot;given&quot;:&quot;Zirong&quot;},{&quot;family&quot;:&quot;Liao&quot;,&quot;given&quot;:&quot;Guanglan&quot;}],&quot;issued&quot;:{&quot;date-parts&quot;:[[&quot;2019&quot;,&quot;6&quot;]]},&quot;DOI&quot;:&quot;10.1016/j.apsusc.2019.01.237&quot;,&quot;citation-label&quot;:&quot;15274709&quot;},{&quot;title&quot;:&quot;Solution-processed Cu-doped SnO&lt;sub&gt;2&lt;/sub&gt; as an effective electron transporting layer for High-Performance planar perovskite solar cells&quot;,&quot;page&quot;:&quot;152651&quot;,&quot;volume&quot;:&quot;584&quot;,&quot;journalAbbreviation&quot;:&quot;Appl. Surf. Sci.&quot;,&quot;id&quot;:&quot;15274707&quot;,&quot;type&quot;:&quot;article-journal&quot;,&quot;container-title&quot;:&quot;Applied surface science&quot;,&quot;container-title-short&quot;:&quot;Appl. Surf. Sci.&quot;,&quot;author&quot;:[{&quot;family&quot;:&quot;Zhou&quot;,&quot;given&quot;:&quot;Xiangqing&quot;},{&quot;family&quot;:&quot;Zhang&quot;,&quot;given&quot;:&quot;Wenfeng&quot;},{&quot;family&quot;:&quot;Wang&quot;,&quot;given&quot;:&quot;Xiaohong&quot;},{&quot;family&quot;:&quot;Lin&quot;,&quot;given&quot;:&quot;Puan&quot;},{&quot;family&quot;:&quot;Zhou&quot;,&quot;given&quot;:&quot;Shenghou&quot;},{&quot;family&quot;:&quot;Hu&quot;,&quot;given&quot;:&quot;Taotao&quot;},{&quot;family&quot;:&quot;Tian&quot;,&quot;given&quot;:&quot;Liuwen&quot;},{&quot;family&quot;:&quot;Wen&quot;,&quot;given&quot;:&quot;Fang&quot;},{&quot;family&quot;:&quot;Duan&quot;,&quot;given&quot;:&quot;Gongtao&quot;},{&quot;family&quot;:&quot;Yu&quot;,&quot;given&quot;:&quot;Lang&quot;},{&quot;family&quot;:&quot;Xiang&quot;,&quot;given&quot;:&quot;Yan&quot;},{&quot;family&quot;:&quot;Huang&quot;,&quot;given&quot;:&quot;Bensheng&quot;},{&quot;family&quot;:&quot;Huang&quot;,&quot;given&quot;:&quot;Yuelong&quot;}],&quot;issued&quot;:{&quot;date-parts&quot;:[[&quot;2022&quot;,&quot;5&quot;]]},&quot;DOI&quot;:&quot;10.1016/j.apsusc.2022.152651&quot;,&quot;citation-label&quot;:&quot;15274707&quot;},{&quot;title&quot;:&quot;A comprehensive optimization strategy: potassium phytate-doped SnO&lt;sub&gt;2&lt;/sub&gt; as the electron-transport layer for high-efficiency perovskite solar cells&quot;,&quot;page&quot;:&quot;7641-7650&quot;,&quot;volume&quot;:&quot;10&quot;,&quot;issue&quot;:&quot;19&quot;,&quot;journalAbbreviation&quot;:&quot;J. Mater. Chem. C&quot;,&quot;id&quot;:&quot;15274706&quot;,&quot;type&quot;:&quot;article-journal&quot;,&quot;container-title&quot;:&quot;J. Mater. Chem. C&quot;,&quot;container-title-short&quot;:&quot;J. Mater. Chem. C&quot;,&quot;abstract&quot;:&quot;Potassium phytate (PP) doped SnO 2 as a highly efficient ETL was proposed for PSC.&quot;,&quot;author&quot;:[{&quot;family&quot;:&quot;Zhao&quot;,&quot;given&quot;:&quot;Dengjie&quot;},{&quot;family&quot;:&quot;Zhang&quot;,&quot;given&quot;:&quot;Chenxi&quot;},{&quot;family&quot;:&quot;Zhao&quot;,&quot;given&quot;:&quot;Min&quot;},{&quot;family&quot;:&quot;Ren&quot;,&quot;given&quot;:&quot;Jingkun&quot;},{&quot;family&quot;:&quot;Dai&quot;,&quot;given&quot;:&quot;Zhen&quot;},{&quot;family&quot;:&quot;Wu&quot;,&quot;given&quot;:&quot;Yukun&quot;},{&quot;family&quot;:&quot;Sun&quot;,&quot;given&quot;:&quot;Qinjun&quot;},{&quot;family&quot;:&quot;Cui&quot;,&quot;given&quot;:&quot;Yanxia&quot;},{&quot;family&quot;:&quot;Hao&quot;,&quot;given&quot;:&quot;Yuying&quot;}],&quot;issued&quot;:{&quot;date-parts&quot;:[[&quot;2022&quot;]]},&quot;DOI&quot;:&quot;10.1039/D2TC00882C&quot;,&quot;citation-label&quot;:&quot;15274706&quot;},{&quot;title&quot;:&quot;Low-temperature solution-processed Li-doped SnO&lt;sub&gt;2&lt;/sub&gt;  as an effective electron transporting layer for high-performance flexible and wearable perovskite solar cells&quot;,&quot;page&quot;:&quot;208-215&quot;,&quot;volume&quot;:&quot;26&quot;,&quot;journalAbbreviation&quot;:&quot;Nano Energy&quot;,&quot;id&quot;:&quot;15274695&quot;,&quot;type&quot;:&quot;article-journal&quot;,&quot;container-title&quot;:&quot;Nano Energy&quot;,&quot;container-title-short&quot;:&quot;Nano Energy&quot;,&quot;abstract&quot;:&quot;Lead halide perovskite solar cells (PSCs) are thought to be promising energy power suppliers because of their feasibility for high power conversion efficiency (PCE), light weight, and flexible architecture. The preparation of charge transporting layers at low temperature has been essential for high-performance and flexible PSCs. Recently, low-temperature-processed metal oxides have been a desirable material for charge transport and air stability for PSCs, instead of organic semiconductors. However, pristine metal oxides fabricated at low temperature have still precluded high performance of the device because of their low conductivity and large deviation in energy levels from the conduction band or valance band of the perovskite. Therefore, doping metals in the metal oxides has been considered as an effective method to endow suitable electrical properties. Herein, we developed a highly efficient electron transporting layer (ETL) comprising Li-doped SnO2 (Li:SnO2) prepared at low temperature in solution. The doped Li in SnO2 enhanced conductivity as well as induced a downward shift of the conduction band minimum of SnO2, which facilitated injection and transfer of electrons from the conduction band of the perovskite. The PCE was measured to be 18.2% and 14.78% for the rigid and flexible substrates, respectively. The high-performance and flexible PSCs could be potentially used as a wearable energy power source.&quot;,&quot;author&quot;:[{&quot;family&quot;:&quot;Park&quot;,&quot;given&quot;:&quot;Minwoo&quot;},{&quot;family&quot;:&quot;Kim&quot;,&quot;given&quot;:&quot;Jae-Yup&quot;},{&quot;family&quot;:&quot;Son&quot;,&quot;given&quot;:&quot;Hae Jung&quot;},{&quot;family&quot;:&quot;Lee&quot;,&quot;given&quot;:&quot;Chul-Ho&quot;},{&quot;family&quot;:&quot;Jang&quot;,&quot;given&quot;:&quot;Seung Soon&quot;},{&quot;family&quot;:&quot;Ko&quot;,&quot;given&quot;:&quot;Min Jae&quot;}],&quot;issued&quot;:{&quot;date-parts&quot;:[[&quot;2016&quot;,&quot;8&quot;]]},&quot;DOI&quot;:&quot;10.1016/j.nanoen.2016.04.060&quot;,&quot;citation-label&quot;:&quot;15274695&quot;},{&quot;title&quot;:&quot;Gadolinium-doped SnO&lt;sub&gt;2&lt;/sub&gt; electron transfer layer for highly efficient planar perovskite solar cells&quot;,&quot;page&quot;:&quot;231870&quot;,&quot;volume&quot;:&quot;544&quot;,&quot;journalAbbreviation&quot;:&quot;J. Power Sources&quot;,&quot;id&quot;:&quot;15274668&quot;,&quot;type&quot;:&quot;article-journal&quot;,&quot;container-title&quot;:&quot;Journal of power sources&quot;,&quot;container-title-short&quot;:&quot;J. Power Sources&quot;,&quot;author&quot;:[{&quot;family&quot;:&quot;Wang&quot;,&quot;given&quot;:&quot;Renjie&quot;},{&quot;family&quot;:&quot;Wu&quot;,&quot;given&quot;:&quot;Jionghua&quot;},{&quot;family&quot;:&quot;Wei&quot;,&quot;given&quot;:&quot;Shuping&quot;},{&quot;family&quot;:&quot;Zhu&quot;,&quot;given&quot;:&quot;Jingwei&quot;},{&quot;family&quot;:&quot;Guo&quot;,&quot;given&quot;:&quot;Minghuang&quot;},{&quot;family&quot;:&quot;Zheng&quot;,&quot;given&quot;:&quot;Qiao&quot;},{&quot;family&quot;:&quot;Wei&quot;,&quot;given&quot;:&quot;Mingdeng&quot;},{&quot;family&quot;:&quot;Cheng&quot;,&quot;given&quot;:&quot;Shuying&quot;}],&quot;issued&quot;:{&quot;date-parts&quot;:[[&quot;2022&quot;,&quot;10&quot;]]},&quot;DOI&quot;:&quot;10.1016/j.jpowsour.2022.231870&quot;,&quot;citation-label&quot;:&quot;15274668&quot;},{&quot;title&quot;:&quot;Colloidal synthesis of Y-doped SnO&lt;sub&gt;2&lt;/sub&gt; nanocrystals for efficient and slight hysteresis planar perovskite solar cells&quot;,&quot;page&quot;:&quot;508-515&quot;,&quot;volume&quot;:&quot;185&quot;,&quot;journalAbbreviation&quot;:&quot;Solar Energy&quot;,&quot;id&quot;:&quot;15274663&quot;,&quot;type&quot;:&quot;article-journal&quot;,&quot;container-title&quot;:&quot;Solar Energy&quot;,&quot;container-title-short&quot;:&quot;Solar Energy&quot;,&quot;abstract&quot;:&quot;Abstract   It is well known that the electron-transporting layers (ETLs) play an indispensable role in any types of high efficient perovskite solar cells (PSCs) because of their important functions in extracting/transporting electrons and blocking holes during the light-to-electricity conversion process. High quality ETLs are necessary for preparing efficient planar PSCs because the electron diffusion length is shorter than its hole counterpart in perovskite materials and the planar PSCs have short electrons extracting channels due to the lack of mesoporous layers. Recently, impressive advances in planar PSCs with SnO 2  ETLs have been reported due to the perfect characteristics of SnO 2  material including suitable energy level, high electron mobility, good transmittance, excellent chemical stability, inactive UV photocatalysis, and so on. Here, we use the doping route to further enhance the quality of SnO 2  ETLs. The SnO 2  nanocrystals are doped with Y 3+  through the typical solvothermal method. The Y dopant leads to more suitable energy level structure and better charge carrier dynamics in the devices than those of the undoped ones. The planar PSCs with Y-SnO 2  ETLs achieve a champion efficiency of 20.71% with slight hysteresis, much higher than the undoped ones (18.08%).&quot;,&quot;author&quot;:[{&quot;family&quot;:&quot;Song&quot;,&quot;given&quot;:&quot;Jing&quot;},{&quot;family&quot;:&quot;Zhang&quot;,&quot;given&quot;:&quot;Weina&quot;},{&quot;family&quot;:&quot;Wang&quot;,&quot;given&quot;:&quot;Deng&quot;},{&quot;family&quot;:&quot;Deng&quot;,&quot;given&quot;:&quot;Kaiming&quot;},{&quot;family&quot;:&quot;Wu&quot;,&quot;given&quot;:&quot;Jihuai&quot;},{&quot;family&quot;:&quot;Lan&quot;,&quot;given&quot;:&quot;Zhang&quot;}],&quot;issued&quot;:{&quot;date-parts&quot;:[[&quot;2019&quot;,&quot;6&quot;]]},&quot;DOI&quot;:&quot;10.1016/j.solener.2019.04.084&quot;,&quot;citation-label&quot;:&quot;15274663&quot;},{&quot;title&quot;:&quot;Modification of SnO&lt;sub&gt;2&lt;/sub&gt; electron transport Layer: Brilliant strategies to make perovskite solar cells stronger&quot;,&quot;page&quot;:&quot;135687&quot;,&quot;volume&quot;:&quot;439&quot;,&quot;journalAbbreviation&quot;:&quot;Chemical Engineering Journal&quot;,&quot;id&quot;:&quot;15274656&quot;,&quot;type&quot;:&quot;article-journal&quot;,&quot;container-title&quot;:&quot;Chemical Engineering Journal&quot;,&quot;container-title-short&quot;:&quot;Chemical Engineering Journal&quot;,&quot;author&quot;:[{&quot;family&quot;:&quot;Huang&quot;,&quot;given&quot;:&quot;Shumin&quot;},{&quot;family&quot;:&quot;Li&quot;,&quot;given&quot;:&quot;Peiyu&quot;},{&quot;family&quot;:&quot;Wang&quot;,&quot;given&quot;:&quot;Jing&quot;},{&quot;family&quot;:&quot;Huang&quot;,&quot;given&quot;:&quot;Jacob Chih-Ching&quot;},{&quot;family&quot;:&quot;Xue&quot;,&quot;given&quot;:&quot;Qifan&quot;},{&quot;family&quot;:&quot;Fu&quot;,&quot;given&quot;:&quot;Nianqing&quot;}],&quot;issued&quot;:{&quot;date-parts&quot;:[[&quot;2022&quot;,&quot;7&quot;]]},&quot;DOI&quot;:&quot;10.1016/j.cej.2022.135687&quot;,&quot;citation-label&quot;:&quot;15274656&quot;},{&quot;title&quot;:&quot;Doped Charge-Transporting Layers in Planar Perovskite Solar Cells&quot;,&quot;page&quot;:&quot;1800276&quot;,&quot;volume&quot;:&quot;6&quot;,&quot;issue&quot;:&quot;17&quot;,&quot;journalAbbreviation&quot;:&quot;Adv. Opt. Mater&quot;,&quot;id&quot;:&quot;15274652&quot;,&quot;type&quot;:&quot;article-journal&quot;,&quot;container-title&quot;:&quot;Advanced Optical Materials&quot;,&quot;container-title-short&quot;:&quot;Adv. Opt. Mater&quot;,&quot;author&quot;:[{&quot;family&quot;:&quot;Wang&quot;,&quot;given&quot;:&quot;Zhao-Kui&quot;},{&quot;family&quot;:&quot;Liao&quot;,&quot;given&quot;:&quot;Liang-Sheng&quot;}],&quot;issued&quot;:{&quot;date-parts&quot;:[[&quot;2018&quot;,&quot;9&quot;]]},&quot;DOI&quot;:&quot;10.1002/adom.201800276&quot;,&quot;citation-label&quot;:&quot;15274652&quot;},{&quot;title&quot;:&quot;Architecturing Lattice-Matched Bismuthene–SnO&lt;sub&gt;2&lt;/sub&gt; Heterojunction for Effective Perovskite Solar Cells&quot;,&quot;page&quot;:&quot;10714−10725&quot;,&quot;volume&quot;:&quot;8&quot;,&quot;journalAbbreviation&quot;:&quot;ACS Sustain. Chem. Eng.&quot;,&quot;id&quot;:&quot;15274284&quot;,&quot;type&quot;:&quot;article-journal&quot;,&quot;container-title&quot;:&quot;ACS sustainable chemistry &amp; engineering&quot;,&quot;container-title-short&quot;:&quot;ACS Sustain. Chem. Eng.&quot;,&quot;author&quot;:[{&quot;family&quot;:&quot;Xue&quot;,&quot;given&quot;:&quot;Rui&quot;},{&quot;family&quot;:&quot;Zhou&quot;,&quot;given&quot;:&quot;Xiaowen&quot;},{&quot;family&quot;:&quot;Peng&quot;,&quot;given&quot;:&quot;Shuai&quot;},{&quot;family&quot;:&quot;Xu&quot;,&quot;given&quot;:&quot;Pengfei&quot;},{&quot;family&quot;:&quot;Wang&quot;,&quot;given&quot;:&quot;Siliang&quot;},{&quot;family&quot;:&quot;Xu&quot;,&quot;given&quot;:&quot;Chao&quot;},{&quot;family&quot;:&quot;Zeng&quot;,&quot;given&quot;:&quot;Wei&quot;},{&quot;family&quot;:&quot;Xiong&quot;,&quot;given&quot;:&quot;Yi&quot;},{&quot;family&quot;:&quot;Liang&quot;,&quot;given&quot;:&quot;Dong&quot;}],&quot;issued&quot;:{&quot;date-parts&quot;:[[&quot;2020&quot;,&quot;7&quot;,&quot;15&quot;]]},&quot;DOI&quot;:&quot;10.1021/acssuschemeng.0c01794&quot;,&quot;citation-label&quot;:&quot;15274284&quot;},{&quot;title&quot;:&quot;High-Performance Planar Perovskite Solar Cells with a Reduced Energy Barrier and Enhanced Charge Extraction via a Na&lt;sub&gt;2&lt;/sub&gt;WO&lt;sub&gt;4&lt;/sub&gt;-Modified SnO&lt;sub&gt;2&lt;/sub&gt; Electron Transport Layer.&quot;,&quot;page&quot;:&quot;7962-7971&quot;,&quot;volume&quot;:&quot;14&quot;,&quot;issue&quot;:&quot;6&quot;,&quot;journalAbbreviation&quot;:&quot;ACS Appl. Mater. Interfaces&quot;,&quot;id&quot;:&quot;15274282&quot;,&quot;type&quot;:&quot;article-journal&quot;,&quot;container-title&quot;:&quot;ACS Applied Materials &amp; Interfaces&quot;,&quot;container-title-short&quot;:&quot;ACS Appl. Mater. Interfaces&quot;,&quot;abstract&quot;:&quot;Tin oxide (SnO2) has been commonly used as an electron transport layer (ETL) in planar perovskite solar cells (p-PSCs) because it can be prepared by a low-temperature solution-processed method. However, the device performance has been restricted due to the limited electrical performance of SnO2 and its mismatched energy level alignment with the perovskite absorber. Considering these problems, sodium tungstate (Na2WO4) has been employed to modify the SnO2 ETL. The conduction band minimum of SnO2 increases and the defects at the ETL/perovskite interface decrease by the modification of the SnO2 ETL with Na2WO4, thus reducing the energy barrier between the ETL and perovskite. In addition, the electron extraction ability has been enhanced and the interface recombination between the ETL and perovskite has also been inhibited. As a result, the photovoltaic performance of p-PSCs based on the modified ETL has been improved, and a champion power conversion efficiency of 21.16% has been achieved compared with the control device of 17.30% with an open circuit voltage increased from 1.075 to 1.162 V.&quot;,&quot;author&quot;:[{&quot;family&quot;:&quot;Xiao&quot;,&quot;given&quot;:&quot;Bo&quot;},{&quot;family&quot;:&quot;Li&quot;,&quot;given&quot;:&quot;Xin&quot;},{&quot;family&quot;:&quot;Yi&quot;,&quot;given&quot;:&quot;Zijun&quot;},{&quot;family&quot;:&quot;Luo&quot;,&quot;given&quot;:&quot;Yubo&quot;},{&quot;family&quot;:&quot;Jiang&quot;,&quot;given&quot;:&quot;Qinghui&quot;},{&quot;family&quot;:&quot;Yang&quot;,&quot;given&quot;:&quot;Junyou&quot;}],&quot;issued&quot;:{&quot;date-parts&quot;:[[&quot;2022&quot;,&quot;2&quot;,&quot;16&quot;]]},&quot;DOI&quot;:&quot;10.1021/acsami.1c22452&quot;,&quot;PMID&quot;:&quot;35119820&quot;,&quot;citation-label&quot;:&quot;15274282&quot;},{&quot;title&quot;:&quot;LiF-Modified SnO&lt;sub&gt;2&lt;/sub&gt; Electron Transport Layer Improves the Performance of Carbon-Based All-Inorganic CsPbIBr&lt;sub&gt;2&lt;/sub&gt; Perovskite Solar Cells&quot;,&quot;page&quot;:&quot;13179-13186&quot;,&quot;volume&quot;:&quot;36&quot;,&quot;issue&quot;:&quot;21&quot;,&quot;journalAbbreviation&quot;:&quot;Energy Fuels&quot;,&quot;id&quot;:&quot;15274281&quot;,&quot;type&quot;:&quot;article-journal&quot;,&quot;container-title&quot;:&quot;Energy &amp; fuels : an American Chemical Society journal&quot;,&quot;container-title-short&quot;:&quot;Energy Fuels&quot;,&quot;author&quot;:[{&quot;family&quot;:&quot;Xing&quot;,&quot;given&quot;:&quot;Yuwen&quot;},{&quot;family&quot;:&quot;Zhang&quot;,&quot;given&quot;:&quot;Haiming&quot;},{&quot;family&quot;:&quot;Yan&quot;,&quot;given&quot;:&quot;Zirui&quot;},{&quot;family&quot;:&quot;Guo&quot;,&quot;given&quot;:&quot;Yuxuan&quot;},{&quot;family&quot;:&quot;Qin&quot;,&quot;given&quot;:&quot;Wenfu&quot;},{&quot;family&quot;:&quot;Feng&quot;,&quot;given&quot;:&quot;Yanyun&quot;},{&quot;family&quot;:&quot;Liu&quot;,&quot;given&quot;:&quot;Sinan&quot;},{&quot;family&quot;:&quot;He&quot;,&quot;given&quot;:&quot;Qingchen&quot;},{&quot;family&quot;:&quot;Han&quot;,&quot;given&quot;:&quot;Siqi&quot;},{&quot;family&quot;:&quot;Zhu&quot;,&quot;given&quot;:&quot;Haina&quot;}],&quot;issued&quot;:{&quot;date-parts&quot;:[[&quot;2022&quot;,&quot;11&quot;,&quot;3&quot;]]},&quot;DOI&quot;:&quot;10.1021/acs.energyfuels.2c02797&quot;,&quot;citation-label&quot;:&quot;15274281&quot;},{&quot;title&quot;:&quot;Defect engineering of oxygen vacancies in SnO&lt;sub&gt;x&lt;/sub&gt; electron transporting layer for perovskite solar cells&quot;,&quot;page&quot;:&quot;389-397&quot;,&quot;volume&quot;:&quot;12&quot;,&quot;journalAbbreviation&quot;:&quot;Materials Today Energy&quot;,&quot;id&quot;:&quot;15274280&quot;,&quot;type&quot;:&quot;article-journal&quot;,&quot;container-title&quot;:&quot;Materials Today Energy&quot;,&quot;container-title-short&quot;:&quot;Materials Today Energy&quot;,&quot;abstract&quot;:&quot;Abstract   In this work, we present the self-passivation of tin oxide (SnO x ) electron transporting layer (ETL) induced by manipulatively filling the oxygen vacancies for perovskite solar cells (PSCs). The oxygen component of SnO x  ETL is tuned by the annealing under the oxygen (O 2 ) atmosphere to control the trap state density for high electron collection efficiency. With increasing the O 2  content when annealing, oxygen vacancies of SnO x  ETL are filled gradually, with the x of SnO x  being up to 1.84, while the crystalline structure grown better to be rutile. Furthermore, the measurement of electron transport dynamic demonstrates that the SnO x  ETL is benefit for electron collection after O 2 -annealed, and receiving high power conversion efficiency (PCE) of PSCs. The PSC based on the O 2 -annealed SnO x  ETL yields an average PCE of over 19%, much higher than 17.81% of that after N 2 -annealing. The O 2 -annealed PSC gives a champion PCE of 20.40%, with a short current density of 24.41 mAcm −2 , an open circuit voltage of 1.14 V and a fill factor of 73.37%. Therefore, the annealing is an efficient and simple way to control the quality of SnO x  ETL for the high performance PSCs.&quot;,&quot;author&quot;:[{&quot;family&quot;:&quot;Jiang&quot;,&quot;given&quot;:&quot;Ershuai&quot;},{&quot;family&quot;:&quot;Yan&quot;,&quot;given&quot;:&quot;Jin&quot;},{&quot;family&quot;:&quot;Ai&quot;,&quot;given&quot;:&quot;Yuqian&quot;},{&quot;family&quot;:&quot;Li&quot;,&quot;given&quot;:&quot;Nan&quot;},{&quot;family&quot;:&quot;Yan&quot;,&quot;given&quot;:&quot;Baojie&quot;},{&quot;family&quot;:&quot;Zeng&quot;,&quot;given&quot;:&quot;Yuheng&quot;},{&quot;family&quot;:&quot;Sheng&quot;,&quot;given&quot;:&quot;Jiang&quot;},{&quot;family&quot;:&quot;Ye&quot;,&quot;given&quot;:&quot;Jichun&quot;}],&quot;issued&quot;:{&quot;date-parts&quot;:[[&quot;2019&quot;,&quot;6&quot;]]},&quot;DOI&quot;:&quot;10.1016/j.mtener.2019.03.005&quot;,&quot;citation-label&quot;:&quot;15274280&quot;},{&quot;title&quot;:&quot;Improving the Open-Circuit Voltage of Sn-Based Perovskite Solar Cells by Band Alignment at the Electron Transport Layer/Perovskite Layer Interface.&quot;,&quot;page&quot;:&quot;27131-27139&quot;,&quot;volume&quot;:&quot;12&quot;,&quot;issue&quot;:&quot;24&quot;,&quot;journalAbbreviation&quot;:&quot;ACS Appl. Mater. Interfaces&quot;,&quot;id&quot;:&quot;15272791&quot;,&quot;type&quot;:&quot;article-journal&quot;,&quot;container-title&quot;:&quot;ACS Applied Materials &amp; Interfaces&quot;,&quot;container-title-short&quot;:&quot;ACS Appl. Mater. Interfaces&quot;,&quot;abstract&quot;:&quot;Organic-inorganic lead halide perovskites are promising materials for realization of low-cost and high-efficiency solar cells. Because of the toxicity of lead, Sn-based perovskite materials have been developed as alternatives to enable fabrication of Pb-free perovskite solar cells. However, the solar cell performance of Sn-based perovskite solar cells (Sn-PSCs) remains poor because of their large open-circuit voltage (VOC) loss. Sn-based perovskite materials have lower electron affinities than Pb-based perovskite materials, which result in larger conduction band offset (CBO) values at the interface between the Sn-based perovskite and a conventional electron transport layer (ETL) material such as TiO2. Herein, the relationship between the VOC and the CBO in these devices was studied to improve the solar cell performances of Sn-PSCs. It was found that the band offset at the ETL/perovskite layer interface affects the VOC of the Sn-PSCs significantly but does not affect that of the Pb-PSCs because the Sn-based perovskite material is a p-type semiconductor, unlike the Pb-based perovskite. It was also found that Nb2O5 has the CBO that is closest to zero for Sn-based perovskite materials, and the VOC values of Sn-PSCs that use Nb2O5 as their ETL are higher than those of Sn-PSCs using TiO2 or SnO2 ETLs. This study indicates that control of the energy alignment at the ETL/perovskite layer interface is an important factor in improving the VOC values of Sn-PSCs.&quot;,&quot;author&quot;:[{&quot;family&quot;:&quot;Yokoyama&quot;,&quot;given&quot;:&quot;Tomoyasu&quot;},{&quot;family&quot;:&quot;Nishitani&quot;,&quot;given&quot;:&quot;Yu&quot;},{&quot;family&quot;:&quot;Miyamoto&quot;,&quot;given&quot;:&quot;Yumi&quot;},{&quot;family&quot;:&quot;Kusumoto&quot;,&quot;given&quot;:&quot;Shohei&quot;},{&quot;family&quot;:&quot;Uchida&quot;,&quot;given&quot;:&quot;Ryusuke&quot;},{&quot;family&quot;:&quot;Matsui&quot;,&quot;given&quot;:&quot;Taisuke&quot;},{&quot;family&quot;:&quot;Kawano&quot;,&quot;given&quot;:&quot;Kenji&quot;},{&quot;family&quot;:&quot;Sekiguchi&quot;,&quot;given&quot;:&quot;Takashi&quot;},{&quot;family&quot;:&quot;Kaneko&quot;,&quot;given&quot;:&quot;Yukihiro&quot;}],&quot;issued&quot;:{&quot;date-parts&quot;:[[&quot;2020&quot;,&quot;6&quot;,&quot;17&quot;]]},&quot;DOI&quot;:&quot;10.1021/acsami.0c04676&quot;,&quot;PMID&quot;:&quot;32427458&quot;,&quot;citation-label&quot;:&quot;15272791&quot;},{&quot;title&quot;:&quot;Controlled growth of perovskite layers with volatile alkylammonium chlorides.&quot;,&quot;page&quot;:&quot;724-730&quot;,&quot;volume&quot;:&quot;616&quot;,&quot;issue&quot;:&quot;7958&quot;,&quot;journalAbbreviation&quot;:&quot;Nature&quot;,&quot;id&quot;:&quot;15272771&quot;,&quot;type&quot;:&quot;article-journal&quot;,&quot;container-title&quot;:&quot;Nature&quot;,&quot;container-title-short&quot;:&quot;Nature&quot;,&quot;abstract&quot;:&quot;Controlling the crystallinity and surface morphology of perovskite layers by methods such as solvent engineering1,2 and methylammonium chloride addition3-7 is an effective strategy for achieving high-efficiency perovskite solar cells. In particular, it is essential to deposit α-formamidinium lead iodide (FAPbI3) perovskite thin films with few defects due to their excellent crystallinity and large grain size. Here we report the controlled crystallization of perovskite thin films with the combination of alkylammonium chlorides (RACl) added to FAPbI3. The δ-phase to α-phase transition of FAPbI3 and the crystallization process and surface morphology of the perovskite thin films coated with RACl under various conditions were investigated through in situ grazing-incidence wide-angle X-ray diffraction and scanning electron microscopy. RACl added to the precursor solution was believed to be easily volatilized during coating and annealing owing to dissociation into RA0 and HCl with deprotonation of RA+ induced by RA⋯H+-Cl- binding to PbI2 in FAPbI3. Thus, the type and amount of RACl determined the δ-phase to α-phase transition rate, crystallinity, preferred orientation and surface morphology of the final α-FAPbI3. The resulting perovskite thin layers facilitated the fabrication of perovskite solar cells with a power-conversion efficiency of 26.08% (certified 25.73%) under standard illumination.© 2023. The Author(s), under exclusive licence to Springer Nature Limited.&quot;,&quot;author&quot;:[{&quot;family&quot;:&quot;Park&quot;,&quot;given&quot;:&quot;Jaewang&quot;},{&quot;family&quot;:&quot;Kim&quot;,&quot;given&quot;:&quot;Jongbeom&quot;},{&quot;family&quot;:&quot;Yun&quot;,&quot;given&quot;:&quot;Hyun-Sung&quot;},{&quot;family&quot;:&quot;Paik&quot;,&quot;given&quot;:&quot;Min Jae&quot;},{&quot;family&quot;:&quot;Noh&quot;,&quot;given&quot;:&quot;Eunseo&quot;},{&quot;family&quot;:&quot;Mun&quot;,&quot;given&quot;:&quot;Hyun Jung&quot;},{&quot;family&quot;:&quot;Kim&quot;,&quot;given&quot;:&quot;Min Gyu&quot;},{&quot;family&quot;:&quot;Shin&quot;,&quot;given&quot;:&quot;Tae Joo&quot;},{&quot;family&quot;:&quot;Seok&quot;,&quot;given&quot;:&quot;Sang Il&quot;}],&quot;issued&quot;:{&quot;date-parts&quot;:[[&quot;2023&quot;,&quot;4&quot;]]},&quot;DOI&quot;:&quot;10.1038/s41586-023-05825-y&quot;,&quot;PMID&quot;:&quot;36796426&quot;,&quot;citation-label&quot;:&quot;15272771&quot;},{&quot;title&quot;:&quot;Efficient electron extraction of SnO&lt;sub&gt;2&lt;/sub&gt; electron transport layer for lead halide perovskite solar cell&quot;,&quot;page&quot;:&quot;100&quot;,&quot;volume&quot;:&quot;6&quot;,&quot;issue&quot;:&quot;1&quot;,&quot;journalAbbreviation&quot;:&quot;npj Comput. Mater.&quot;,&quot;id&quot;:&quot;15259515&quot;,&quot;type&quot;:&quot;article-journal&quot;,&quot;container-title&quot;:&quot;npj Computational Materials&quot;,&quot;container-title-short&quot;:&quot;npj Comput. Mater.&quot;,&quot;abstract&quot;:&quot;SnO 2 electron transport layer (ETL) has been spotlighted with its excellent electron extraction and stability over TiO 2 ETL for perovskite solar cells (PSCs), rapidly approaching the highest power conversion efficiency. Thus, how to boost the performance of ETL is of utmost importance and of urgent need in developing more efficient PSCs. Here we elucidate the atomistic origin of efficient electron extraction and long stability of SnO 2 -based PSCs through the analysis of band alignment, carrier injection, and interfacial defects in the SnO 2 /MAPbI 3 (MA = CH 3 NH 3+ ) interface using unprecedentedly high level of first-principles calculations at the PBE0 + spin-orbit-coupling + dispersion-correction level for all possible terminations and MA directions. We find that Sn- s orbital plays a crucial role in carrier injection and defect tolerance. SnO 2 /MAPbI 3 shows favorable conduction band alignments at both MAI- and PbI 2 -terminations, which makes the solar cell performance of SnO 2 /MAPbI 3 excel that of TiO 2 /MAPbI 3 . Different electron transfer mechanisms of dipole interaction and orbital hybridization at the MAI- and PbI 2 -terminations indicate that post-transition metal ( sp valence) oxide ETLs would outperform transition metal ( d valence) oxide ETLs for PSCs.&quot;,&quot;author&quot;:[{&quot;family&quot;:&quot;Kim&quot;,&quot;given&quot;:&quot;Junu&quot;},{&quot;family&quot;:&quot;Kim&quot;,&quot;given&quot;:&quot;Kwang S.&quot;},{&quot;family&quot;:&quot;Myung&quot;,&quot;given&quot;:&quot;Chang Woo&quot;}],&quot;issued&quot;:{&quot;date-parts&quot;:[[&quot;2020&quot;,&quot;12&quot;]]},&quot;DOI&quot;:&quot;10.1038/s41524-020-00370-y&quot;,&quot;citation-label&quot;:&quot;15259515&quot;},{&quot;title&quot;:&quot;Low-temperature solution-processed SnO&lt;sub&gt;2&lt;/sub&gt; electron transport layer modified by oxygen plasma for planar perovskite solar cells.&quot;,&quot;page&quot;:&quot;4883-4890&quot;,&quot;volume&quot;:&quot;12&quot;,&quot;issue&quot;:&quot;8&quot;,&quot;journalAbbreviation&quot;:&quot;RSC Adv.&quot;,&quot;id&quot;:&quot;15259505&quot;,&quot;type&quot;:&quot;article-journal&quot;,&quot;container-title&quot;:&quot;RSC advances&quot;,&quot;container-title-short&quot;:&quot;RSC Adv.&quot;,&quot;abstract&quot;:&quot;SnO2 has attracted significant attention as an electron transport layer (ETL) because of its wide optical bandgap, electron mobility, and transparency. However, the annealing temperature of 180 °C-200 °C, as reported by several studies, for the fabrication of SnO2 ETL limits its application for flexible devices. Herein, we demonstrated that the low-temperature deposition of SnO2 ETL and further surface modification with oxygen plasma enhances its efficiency from 2.3% to 15.30%. Oxygen plasma treatment improves the wettability of the low-temperature processed SnO2 ETL that results in a larger perovskite grain size. Hence, oxygen plasma treatment effectively improves the efficiency of perovskite solar cells at a low temperature and is compatible with flexible applications.This journal is © The Royal Society of Chemistry.&quot;,&quot;author&quot;:[{&quot;family&quot;:&quot;Muthukrishnan&quot;,&quot;given&quot;:&quot;Akshaiya Padmalatha&quot;},{&quot;family&quot;:&quot;Lee&quot;,&quot;given&quot;:&quot;Junyeoung&quot;},{&quot;family&quot;:&quot;Kim&quot;,&quot;given&quot;:&quot;Jongbok&quot;},{&quot;family&quot;:&quot;Kim&quot;,&quot;given&quot;:&quot;Chang Su&quot;},{&quot;family&quot;:&quot;Jo&quot;,&quot;given&quot;:&quot;Sungjin&quot;}],&quot;issued&quot;:{&quot;date-parts&quot;:[[&quot;2022&quot;,&quot;2&quot;,&quot;3&quot;]]},&quot;DOI&quot;:&quot;10.1039/d1ra08946c&quot;,&quot;PMID&quot;:&quot;35425508&quot;,&quot;PMCID&quot;:&quot;PMC8981385&quot;,&quot;citation-label&quot;:&quot;15259505&quot;},{&quot;title&quot;:&quot;Effects of potassium treatment on SnO&lt;sub&gt;2&lt;/sub&gt; electron transport layers for improvements of perovskite solar cells&quot;,&quot;page&quot;:&quot;353-362&quot;,&quot;volume&quot;:&quot;233&quot;,&quot;journalAbbreviation&quot;:&quot;Solar Energy&quot;,&quot;id&quot;:&quot;15259498&quot;,&quot;type&quot;:&quot;article-journal&quot;,&quot;container-title&quot;:&quot;Solar Energy&quot;,&quot;container-title-short&quot;:&quot;Solar Energy&quot;,&quot;author&quot;:[{&quot;family&quot;:&quot;Kim&quot;,&quot;given&quot;:&quot;SeongYeon&quot;},{&quot;family&quot;:&quot;Zhang&quot;,&quot;given&quot;:&quot;Fei&quot;},{&quot;family&quot;:&quot;Tong&quot;,&quot;given&quot;:&quot;Jinhui&quot;},{&quot;family&quot;:&quot;Chen&quot;,&quot;given&quot;:&quot;Xihan&quot;},{&quot;family&quot;:&quot;Enkhbayar&quot;,&quot;given&quot;:&quot;Enkhjargal&quot;},{&quot;family&quot;:&quot;Zhu&quot;,&quot;given&quot;:&quot;Kai&quot;},{&quot;family&quot;:&quot;Kim&quot;,&quot;given&quot;:&quot;JunHo&quot;}],&quot;issued&quot;:{&quot;date-parts&quot;:[[&quot;2022&quot;,&quot;2&quot;]]},&quot;DOI&quot;:&quot;10.1016/j.solener.2022.01.053&quot;,&quot;citation-label&quot;:&quot;15259498&quot;},{&quot;title&quot;:&quot;Manipulating SnO&lt;sub&gt;2&lt;/sub&gt; growth for efficient electron transport in perovskite solar cells&quot;,&quot;page&quot;:&quot;2100128&quot;,&quot;volume&quot;:&quot;8&quot;,&quot;issue&quot;:&quot;10&quot;,&quot;journalAbbreviation&quot;:&quot;Adv. Mater. Interfaces&quot;,&quot;id&quot;:&quot;15259456&quot;,&quot;type&quot;:&quot;article-journal&quot;,&quot;container-title&quot;:&quot;Advanced materials interfaces&quot;,&quot;container-title-short&quot;:&quot;Adv. Mater. Interfaces&quot;,&quot;author&quot;:[{&quot;family&quot;:&quot;Qian&quot;,&quot;given&quot;:&quot;Zongyao&quot;},{&quot;family&quot;:&quot;Chen&quot;,&quot;given&quot;:&quot;Libao&quot;},{&quot;family&quot;:&quot;Wang&quot;,&quot;given&quot;:&quot;Jinpei&quot;},{&quot;family&quot;:&quot;Wang&quot;,&quot;given&quot;:&quot;Ling&quot;},{&quot;family&quot;:&quot;Xia&quot;,&quot;given&quot;:&quot;Yingdong&quot;},{&quot;family&quot;:&quot;Ran&quot;,&quot;given&quot;:&quot;Xueqin&quot;},{&quot;family&quot;:&quot;Li&quot;,&quot;given&quot;:&quot;Ping&quot;},{&quot;family&quot;:&quot;Zhong&quot;,&quot;given&quot;:&quot;Qi&quot;},{&quot;family&quot;:&quot;Song&quot;,&quot;given&quot;:&quot;Lin&quot;},{&quot;family&quot;:&quot;Müller‐Buschbaum&quot;,&quot;given&quot;:&quot;Peter&quot;},{&quot;family&quot;:&quot;Chen&quot;,&quot;given&quot;:&quot;Yonghua&quot;},{&quot;family&quot;:&quot;Zhang&quot;,&quot;given&quot;:&quot;Hui&quot;}],&quot;issued&quot;:{&quot;date-parts&quot;:[[&quot;2021&quot;,&quot;5&quot;]]},&quot;DOI&quot;:&quot;10.1002/admi.202100128&quot;,&quot;citation-label&quot;:&quot;15259456&quot;},{&quot;title&quot;:&quot;Passivation of interstitial and vacancy mediated trap-states for efficient and stable triple-cation perovskite solar cells&quot;,&quot;page&quot;:&quot;59-71&quot;,&quot;volume&quot;:&quot;383&quot;,&quot;journalAbbreviation&quot;:&quot;J. Power Sources&quot;,&quot;id&quot;:&quot;15259428&quot;,&quot;type&quot;:&quot;article-journal&quot;,&quot;container-title&quot;:&quot;Journal of power sources&quot;,&quot;container-title-short&quot;:&quot;J. Power Sources&quot;,&quot;abstract&quot;:&quot;Abstract   The current work reports the concurrent passivation of interstitial and oxygen vacancy mediated defect states in low temperature processed ZnO electron transport layer (ETL) via Ultraviolet-Ozone (UVO) treatment for fabricating highly efficient (maximum efficiency: 16.70%), triple cation based MA 0.57 FA 0.38 Rb 0.05 PbI 3  (MA: methyl ammonium, FA: formamidinium, Rb: rubidium) perovskite solar cell (PSC). Under UV exposure, ozone decomposes to free atomic oxygen and intercalates into the interstitial and oxygen vacancy induced defect sites in the ZnO lattice matrix, which contributes to suppressed trap-assisted recombination phenomena in perovskite device. UVO treatment also reduces the content of functional hydroxyl group on ZnO surface, that increases the inter-particle connectivity and grain size of perovskite film on UVO treated ZnO ETL. Owing to this, the perovskite film atop UVO treated ZnO film exhibits reduced micro-strain and dislocation density values, which contribute to the enhanced photovoltaic performance of PSC with modified ZnO ETL. The modified PSCs exhibit higher recombination resistance (R Rec ) ∼40% compared to pristine ZnO ETL based control devices. Adding to the merit, the UVO treated ZnO PSC also demonstrates superior device stability, retaining about 88% of its initial PCE in the course of a month-long, systematic degradation study.&quot;,&quot;author&quot;:[{&quot;family&quot;:&quot;Mahmud&quot;,&quot;given&quot;:&quot;Md Arafat&quot;},{&quot;family&quot;:&quot;Elumalai&quot;,&quot;given&quot;:&quot;Naveen Kumar&quot;},{&quot;family&quot;:&quot;Upama&quot;,&quot;given&quot;:&quot;Mushfika Baishakhi&quot;},{&quot;family&quot;:&quot;Wang&quot;,&quot;given&quot;:&quot;Dian&quot;},{&quot;family&quot;:&quot;Gonçales&quot;,&quot;given&quot;:&quot;Vinicius R.&quot;},{&quot;family&quot;:&quot;Wright&quot;,&quot;given&quot;:&quot;Matthew&quot;},{&quot;family&quot;:&quot;Xu&quot;,&quot;given&quot;:&quot;Cheng&quot;},{&quot;family&quot;:&quot;Haque&quot;,&quot;given&quot;:&quot;Faiazul&quot;},{&quot;family&quot;:&quot;Uddin&quot;,&quot;given&quot;:&quot;Ashraf&quot;}],&quot;issued&quot;:{&quot;date-parts&quot;:[[&quot;2018&quot;,&quot;4&quot;]]},&quot;DOI&quot;:&quot;10.1016/j.jpowsour.2018.02.030&quot;,&quot;citation-label&quot;:&quot;15259428&quot;},{&quot;title&quot;:&quot;Adsorbed carbon nanomaterials for surface and interface-engineered stable rubidium multi-cation perovskite solar cells.&quot;,&quot;page&quot;:&quot;773-790&quot;,&quot;volume&quot;:&quot;10&quot;,&quot;issue&quot;:&quot;2&quot;,&quot;journalAbbreviation&quot;:&quot;Nanoscale&quot;,&quot;id&quot;:&quot;15259425&quot;,&quot;type&quot;:&quot;article-journal&quot;,&quot;container-title&quot;:&quot;Nanoscale&quot;,&quot;container-title-short&quot;:&quot;Nanoscale&quot;,&quot;abstract&quot;:&quot;The current work reports the simultaneous enhancement in efficiency and stability of low-temperature, solution-processed triple cation based MA0.57FA0.38Rb0.05PbI3 (MA: methyl ammonium, FA: formamidinium, Rb: rubidium) perovskite solar cells (PSCs) by means of adsorbed carbon nanomaterials at the perovskite/electron transporting layer interface. The quantity and quality of the adsorbents are precisely controlled to electronically modify the ETL surface and lower the energy barrier across the interface. Carbon derivatives namely fullerene (C60) and PC71BM ([6,6]-phenyl C71 butyric acid methyl ester) are employed as adsorbents in conjunction with ZnO and together serve as a bilayer electron transporting layer (ETL). The adsorbed fullerene (C60-ZnO, abbreviated as C-ZnO) passivates the interstitial trap-sites of ZnO with interstitial intercalation of oxygen atoms in the ZnO lattice structure. C-ZnO ETL based PSCs demonstrate about a 19% higher average PCE compared to conventional ZnO ETL based devices and a nearly 9% higher average PCE than PC71BM adsorbed-ZnO (P-ZnO) ETL based PSCs. In addition, the interstitial trap-state passivation with a C-ZnO film upshifts the Fermi-level position of the C-ZnO ETL by 130 meV, with reference to the ZnO ETL, which contributes to an enhanced n-type conductivity. The photocurrent hysteresis phenomenon in C-ZnO PSCs is also substantially reduced due to mitigated charge trapping phenomena and concomitant reduction in an electrode polarization process. Another major highlight of this work is that, C-ZnO PSCs demonstrate a superior device stability retaining about 94% of its initial PCE in the course of a month-long, systematic degradation study conducted in our work. The enhanced device stability with C-ZnO PSCs is attributed to their high resistance to aging-induced recombination phenomena and a water-induced perovskite degradation process, due to a lower content of oxygen-related chemisorbed species on the C-ZnO ETL. The intricate mechanisms behind the efficiency and stability enhancement are investigated in detail and explained in the context of enhanced surface and interfacial electronic properties.&quot;,&quot;author&quot;:[{&quot;family&quot;:&quot;Mahmud&quot;,&quot;given&quot;:&quot;Md Arafat&quot;},{&quot;family&quot;:&quot;Elumalai&quot;,&quot;given&quot;:&quot;Naveen Kumar&quot;},{&quot;family&quot;:&quot;Upama&quot;,&quot;given&quot;:&quot;Mushfika Baishakhi&quot;},{&quot;family&quot;:&quot;Wang&quot;,&quot;given&quot;:&quot;Dian&quot;},{&quot;family&quot;:&quot;Zarei&quot;,&quot;given&quot;:&quot;Leila&quot;},{&quot;family&quot;:&quot;Gonçales&quot;,&quot;given&quot;:&quot;Vinicius R&quot;},{&quot;family&quot;:&quot;Wright&quot;,&quot;given&quot;:&quot;Matthew&quot;},{&quot;family&quot;:&quot;Xu&quot;,&quot;given&quot;:&quot;Cheng&quot;},{&quot;family&quot;:&quot;Haque&quot;,&quot;given&quot;:&quot;Faiazul&quot;},{&quot;family&quot;:&quot;Uddin&quot;,&quot;given&quot;:&quot;Ashraf&quot;}],&quot;issued&quot;:{&quot;date-parts&quot;:[[&quot;2018&quot;,&quot;1&quot;,&quot;3&quot;]]},&quot;DOI&quot;:&quot;10.1039/c7nr06812c&quot;,&quot;PMID&quot;:&quot;29256572&quot;,&quot;citation-label&quot;:&quot;15259425&quot;},{&quot;title&quot;:&quot;V&lt;sub&gt;OC&lt;/sub&gt; Over 1.4 V for Amorphous Tin-Oxide-Based Dopant-Free CsPbI&lt;sub&gt;2&lt;/sub&gt;Br Perovskite Solar Cells.&quot;,&quot;page&quot;:&quot;9725-9734&quot;,&quot;volume&quot;:&quot;142&quot;,&quot;issue&quot;:&quot;21&quot;,&quot;journalAbbreviation&quot;:&quot;J. Am. Chem. Soc.&quot;,&quot;id&quot;:&quot;15259418&quot;,&quot;type&quot;:&quot;article-journal&quot;,&quot;container-title&quot;:&quot;Journal of the American Chemical Society&quot;,&quot;container-title-short&quot;:&quot;J. Am. Chem. Soc.&quot;,&quot;abstract&quot;:&quot;CsPbI2Br perovskite solar cells have attracted much attention because of the rapid development in their efficiency and their great potential as a top cell of tandem solar cells. However, the VOC outputs observed so far in most cases are far from that desired for a top cell. Up to now, with various kinds of treatments, the reported champion VOC is only 1.32 V, with a VOC deficit of 0.60 V. In this work, we found that aging of the SnCl2 precursor solution for the electron-transporting layer can promote the VOC of CsPbI2Br solar cells by employing a dopant-free-polymer hole transport material (HTM) over 1.40 V and efficiency over 15.5% with high reproducibility. With the champion VOC of 1.43 V, the VOC deficit was reduced to &lt; 0.50 V, which is achieved for the first time. This simple technique of SnCl2 solution aging forms a uniform and smooth amorphous SnOx film with pure Sn4+, elevates the conduction band of SnOx, and reduces the interfacial gaps and the trap state density of the device, resulting in enhancement in average VOC from ∼1.2 V in the nonaged case to ∼1.4 V in the aged case. Furthermore, the device using an aged SnCl2 solution also exhibits a much better long-term stability than that made of the fresh solution. These achievements in dopant/additive-free CsPbI2Br solar cells can be useful for future research on CsPbI2Br and tandem solar cells.&quot;,&quot;author&quot;:[{&quot;family&quot;:&quot;Guo&quot;,&quot;given&quot;:&quot;Zhanglin&quot;},{&quot;family&quot;:&quot;Jena&quot;,&quot;given&quot;:&quot;Ajay Kumar&quot;},{&quot;family&quot;:&quot;Takei&quot;,&quot;given&quot;:&quot;Izuru&quot;},{&quot;family&quot;:&quot;Kim&quot;,&quot;given&quot;:&quot;Gyu Min&quot;},{&quot;family&quot;:&quot;Kamarudin&quot;,&quot;given&quot;:&quot;Muhammad Akmal&quot;},{&quot;family&quot;:&quot;Sanehira&quot;,&quot;given&quot;:&quot;Yoshitaka&quot;},{&quot;family&quot;:&quot;Ishii&quot;,&quot;given&quot;:&quot;Ayumi&quot;},{&quot;family&quot;:&quot;Numata&quot;,&quot;given&quot;:&quot;Youhei&quot;},{&quot;family&quot;:&quot;Hayase&quot;,&quot;given&quot;:&quot;Shuzi&quot;},{&quot;family&quot;:&quot;Miyasaka&quot;,&quot;given&quot;:&quot;Tsutomu&quot;}],&quot;issued&quot;:{&quot;date-parts&quot;:[[&quot;2020&quot;,&quot;5&quot;,&quot;27&quot;]]},&quot;DOI&quot;:&quot;10.1021/jacs.0c02227&quot;,&quot;PMID&quot;:&quot;32357007&quot;,&quot;citation-label&quot;:&quot;15259418&quot;},{&quot;title&quot;:&quot;Interlayer modification using phenylethylamine tetrafluoroborate for highly effective perovskite solar cells&quot;,&quot;page&quot;:&quot;658-666&quot;,&quot;volume&quot;:&quot;5&quot;,&quot;issue&quot;:&quot;1&quot;,&quot;journalAbbreviation&quot;:&quot;ACS Appl. Energy Mater.&quot;,&quot;id&quot;:&quot;15259415&quot;,&quot;type&quot;:&quot;article-journal&quot;,&quot;container-title&quot;:&quot;ACS Applied Energy Materials&quot;,&quot;container-title-short&quot;:&quot;ACS Appl. Energy Mater.&quot;,&quot;author&quot;:[{&quot;family&quot;:&quot;Zhu&quot;,&quot;given&quot;:&quot;Sijia&quot;},{&quot;family&quot;:&quot;Wu&quot;,&quot;given&quot;:&quot;Jihuai&quot;},{&quot;family&quot;:&quot;Sun&quot;,&quot;given&quot;:&quot;Weihai&quot;},{&quot;family&quot;:&quot;Pan&quot;,&quot;given&quot;:&quot;Weichun&quot;},{&quot;family&quot;:&quot;Cai&quot;,&quot;given&quot;:&quot;Fangfang&quot;},{&quot;family&quot;:&quot;Liu&quot;,&quot;given&quot;:&quot;Juanmei&quot;},{&quot;family&quot;:&quot;Chen&quot;,&quot;given&quot;:&quot;Liqiang&quot;},{&quot;family&quot;:&quot;Chen&quot;,&quot;given&quot;:&quot;Xia&quot;},{&quot;family&quot;:&quot;Wang&quot;,&quot;given&quot;:&quot;Chunyan&quot;},{&quot;family&quot;:&quot;Wang&quot;,&quot;given&quot;:&quot;Xiaobin&quot;}],&quot;issued&quot;:{&quot;date-parts&quot;:[[&quot;2022&quot;,&quot;1&quot;,&quot;24&quot;]]},&quot;DOI&quot;:&quot;10.1021/acsaem.1c03160&quot;,&quot;citation-label&quot;:&quot;15259415&quot;},{&quot;title&quot;:&quot;Cobalt Chloride Hexahydrate Assisted in Reducing Energy Loss in Perovskite Solar Cells with Record Open-Circuit Voltage of 1.20 V&quot;,&quot;page&quot;:&quot;2121-2128&quot;,&quot;volume&quot;:&quot;6&quot;,&quot;issue&quot;:&quot;6&quot;,&quot;journalAbbreviation&quot;:&quot;ACS Energy Lett.&quot;,&quot;id&quot;:&quot;15259304&quot;,&quot;type&quot;:&quot;article-journal&quot;,&quot;container-title&quot;:&quot;ACS Energy Letters&quot;,&quot;container-title-short&quot;:&quot;ACS Energy Lett.&quot;,&quot;author&quot;:[{&quot;family&quot;:&quot;Wang&quot;,&quot;given&quot;:&quot;Pengyang&quot;},{&quot;family&quot;:&quot;Chen&quot;,&quot;given&quot;:&quot;Bingbing&quot;},{&quot;family&quot;:&quot;Li&quot;,&quot;given&quot;:&quot;Renjie&quot;},{&quot;family&quot;:&quot;Wang&quot;,&quot;given&quot;:&quot;Sanlong&quot;},{&quot;family&quot;:&quot;Ren&quot;,&quot;given&quot;:&quot;Ningyu&quot;},{&quot;family&quot;:&quot;Li&quot;,&quot;given&quot;:&quot;Yucheng&quot;},{&quot;family&quot;:&quot;Mazumdar&quot;,&quot;given&quot;:&quot;Sayantan&quot;},{&quot;family&quot;:&quot;Shi&quot;,&quot;given&quot;:&quot;Biao&quot;},{&quot;family&quot;:&quot;Zhao&quot;,&quot;given&quot;:&quot;Ying&quot;},{&quot;family&quot;:&quot;Zhang&quot;,&quot;given&quot;:&quot;Xiaodan&quot;}],&quot;issued&quot;:{&quot;date-parts&quot;:[[&quot;2021&quot;,&quot;6&quot;,&quot;11&quot;]]},&quot;DOI&quot;:&quot;10.1021/acsenergylett.1c00443&quot;,&quot;citation-label&quot;:&quot;15259304&quot;},{&quot;title&quot;:&quot;Alkali Metal Cations Modulate the Energy Level of SnO&lt;sub&gt;2&lt;/sub&gt; via Micro-agglomerating and Anchoring for Perovskite Solar Cells.&quot;,&quot;page&quot;:&quot;36711-36720&quot;,&quot;volume&quot;:&quot;14&quot;,&quot;issue&quot;:&quot;32&quot;,&quot;journalAbbreviation&quot;:&quot;ACS Appl. Mater. Interfaces&quot;,&quot;id&quot;:&quot;15259303&quot;,&quot;type&quot;:&quot;article-journal&quot;,&quot;container-title&quot;:&quot;ACS Applied Materials &amp; Interfaces&quot;,&quot;container-title-short&quot;:&quot;ACS Appl. Mater. Interfaces&quot;,&quot;abstract&quot;:&quot;N-type tin oxide (SnO2) films are commonly used as an electron transport layer (ETL) in perovskite solar cells (PSCs). However, SnO2 films are of poor quality due to facile agglomeration under a low-temperature preparation method. In addition, energy level mismatch between the SnO2 and perovskite (PVK) layer as well as interfacial charge recombination would cause open-circuit voltage loss. In this work, alkali metal oxalates (M-Oxalate, M = Li, Na, and K) are doped into the SnO2 precursor to solve these problems. First, it is found that the hydrolyzed alkali metal cations tend to change colloid size distribution of SnO2, in which Na-Oxalate with suitable basicity leads to most uniform colloid size distribution and high-quality SnO2-Na films. Second, the electron conductivity is enhanced by slightly agglomerated SnO2-Na, which facilitates the transmission of electrons. Third, alkali metal cations increase the conduction band level of SnO2 in the sequence of K+, Na+, and Li+ to promote band alignment between ETLs and perovskite. Based on the optimized film quality and energy states of SnO2-Na, the best PSC efficiency of 20.78% is achieved with a significantly enhanced open-circuit voltage of 1.10 V. This work highlights the function of alkali metal salts on the colloid particle distribution and energy level modulation of SnO2.&quot;,&quot;author&quot;:[{&quot;family&quot;:&quot;Zhao&quot;,&quot;given&quot;:&quot;Rui&quot;},{&quot;family&quot;:&quot;Deng&quot;,&quot;given&quot;:&quot;Zhiqiang&quot;},{&quot;family&quot;:&quot;Zhang&quot;,&quot;given&quot;:&quot;Zequn&quot;},{&quot;family&quot;:&quot;Zhang&quot;,&quot;given&quot;:&quot;Jing&quot;},{&quot;family&quot;:&quot;Guo&quot;,&quot;given&quot;:&quot;Tonghui&quot;},{&quot;family&quot;:&quot;Xing&quot;,&quot;given&quot;:&quot;Yanjun&quot;},{&quot;family&quot;:&quot;Liu&quot;,&quot;given&quot;:&quot;Xiaohui&quot;},{&quot;family&quot;:&quot;Huang&quot;,&quot;given&quot;:&quot;Like&quot;},{&quot;family&quot;:&quot;Hu&quot;,&quot;given&quot;:&quot;Ziyang&quot;},{&quot;family&quot;:&quot;Zhu&quot;,&quot;given&quot;:&quot;Yuejin&quot;}],&quot;issued&quot;:{&quot;date-parts&quot;:[[&quot;2022&quot;,&quot;8&quot;,&quot;17&quot;]]},&quot;DOI&quot;:&quot;10.1021/acsami.2c09714&quot;,&quot;PMID&quot;:&quot;35938542&quot;,&quot;citation-label&quot;:&quot;15259303&quot;},{&quot;title&quot;:&quot;Best Research-Cell Efficiency Chart | Photovoltaic Research | NREL&quot;,&quot;accessed&quot;:{&quot;date-parts&quot;:[[&quot;2023&quot;,&quot;8&quot;,&quot;15&quot;]]},&quot;id&quot;:&quot;15256828&quot;,&quot;type&quot;:&quot;webpage&quot;,&quot;issued&quot;:{&quot;date-parts&quot;:[[]]},&quot;URL&quot;:&quot;https://www.nrel.gov/pv/cell-efficiency.html&quot;,&quot;citation-label&quot;:&quot;15256828&quot;},{&quot;title&quot;:&quot;Toward efficient perovskite solar cells: progress, strategies, and perspectives&quot;,&quot;page&quot;:&quot;2084-2091&quot;,&quot;volume&quot;:&quot;7&quot;,&quot;issue&quot;:&quot;6&quot;,&quot;journalAbbreviation&quot;:&quot;ACS Energy Lett.&quot;,&quot;id&quot;:&quot;15256826&quot;,&quot;type&quot;:&quot;article-journal&quot;,&quot;container-title&quot;:&quot;ACS Energy Letters&quot;,&quot;container-title-short&quot;:&quot;ACS Energy Lett.&quot;,&quot;author&quot;:[{&quot;family&quot;:&quot;Yoo&quot;,&quot;given&quot;:&quot;Jason J.&quot;},{&quot;family&quot;:&quot;Shin&quot;,&quot;given&quot;:&quot;Seong Sik&quot;},{&quot;family&quot;:&quot;Seo&quot;,&quot;given&quot;:&quot;Jangwon&quot;}],&quot;issued&quot;:{&quot;date-parts&quot;:[[&quot;2022&quot;,&quot;6&quot;,&quot;10&quot;]]},&quot;DOI&quot;:&quot;10.1021/acsenergylett.2c00592&quot;,&quot;citation-label&quot;:&quot;15256826&quot;},{&quot;title&quot;:&quot;Rubidium Fluoride Modified SnO&lt;sub&gt;2&lt;/sub&gt; for Planar n‐i‐p Perovskite Solar Cells&quot;,&quot;page&quot;:&quot;2010385&quot;,&quot;volume&quot;:&quot;31&quot;,&quot;issue&quot;:&quot;17&quot;,&quot;journalAbbreviation&quot;:&quot;Adv. Funct. Mater.&quot;,&quot;id&quot;:&quot;15879745&quot;,&quot;type&quot;:&quot;article-journal&quot;,&quot;container-title&quot;:&quot;Advanced functional materials&quot;,&quot;container-title-short&quot;:&quot;Adv. Funct. Mater.&quot;,&quot;abstract&quot;:&quot;Regulating the electron transport layer (ETL) has been an effective way to promote the power conversion efficiency (PCE) of perovskite solar cells (PSCs) as well as suppress their hysteresis. Herein, the SnO 2 ETL using a cost‐effective modification material rubidium fluoride (RbF) is modified in two methods: 1) adding RbF into SnO 2 colloidal dispersion, F and Sn have a strong interaction, confirmed via X‐ray photoelectron spectra and density functional theory results, contributing to the improved electron mobility of SnO 2 ; 2) depositing RbF at the SnO 2 /perovskite interface, Rb + cations actively escape into the interstitial sites of the perovskite lattice to inhibit ions migration and reduce non‐radiative recombination, which dedicates to the improved open‐circuit voltage ( Voc ) for the PSCs with suppressed hysteresis. In addition, double‐sided passivated PSCs, RbF on the SnO 2 surface, and p‐methoxyphenethylammonium iodide on the perovskite surface, produces an outstanding PCE of 23.38% with a Voc of 1.213 V, corresponding to an extremely small Voc deficit of 0.347 V.&quot;,&quot;author&quot;:[{&quot;family&quot;:&quot;Zhuang&quot;,&quot;given&quot;:&quot;Jing&quot;},{&quot;family&quot;:&quot;Mao&quot;,&quot;given&quot;:&quot;Peng&quot;},{&quot;family&quot;:&quot;Luan&quot;,&quot;given&quot;:&quot;Yigang&quot;},{&quot;family&quot;:&quot;Chen&quot;,&quot;given&quot;:&quot;Ningli&quot;},{&quot;family&quot;:&quot;Cao&quot;,&quot;given&quot;:&quot;Xiaofei&quot;},{&quot;family&quot;:&quot;Niu&quot;,&quot;given&quot;:&quot;Guosheng&quot;},{&quot;family&quot;:&quot;Jia&quot;,&quot;given&quot;:&quot;Feifei&quot;},{&quot;family&quot;:&quot;Wang&quot;,&quot;given&quot;:&quot;Fuyi&quot;},{&quot;family&quot;:&quot;Cao&quot;,&quot;given&quot;:&quot;Shaokui&quot;},{&quot;family&quot;:&quot;Wang&quot;,&quot;given&quot;:&quot;Jizheng&quot;}],&quot;issued&quot;:{&quot;date-parts&quot;:[[&quot;2021&quot;,&quot;4&quot;]]},&quot;DOI&quot;:&quot;10.1002/adfm.202010385&quot;,&quot;citation-label&quot;:&quot;15879745&quot;},{&quot;title&quot;:&quot;Simultaneous contact and grain‐boundary passivation in planar perovskite solar cells using SnO&lt;sub&gt;2&lt;/sub&gt;‐KCl composite electron transport layer&quot;,&quot;page&quot;:&quot;1903083&quot;,&quot;volume&quot;:&quot;10&quot;,&quot;issue&quot;:&quot;3&quot;,&quot;journalAbbreviation&quot;:&quot;Adv. Energy Mater.&quot;,&quot;id&quot;:&quot;15879805&quot;,&quot;type&quot;:&quot;article-journal&quot;,&quot;container-title&quot;:&quot;Advanced Energy Materials&quot;,&quot;container-title-short&quot;:&quot;Adv. Energy Mater.&quot;,&quot;abstract&quot;:&quot;The performance of perovskite solar cells is sensitive to detrimental defects, which are prone to accumulate at the interfaces and grain boundaries of bulk perovskite films. Defect passivation at each region will lead to reduced trap density and thus less nonradiative recombination loss. However, it is challenging to passivate defects at both the grain boundaries and the bottom charge transport layer/perovskite interface, mainly due to the solvent incompatibility and complexity in perovskite formation. Here SnO 2 ‐KCl composite electron transport layer (ETL) is utilized in planar perovskite solar cells to simultaneously passivate the defects at the ETL/perovskite interface and the grain boundaries of perovskite film. The K and Cl ions at the ETL/perovskite interface passivate the ETL/perovskite contact. Meanwhile, K ions from the ETL can diffuse through the perovskite film and passivate the grain boundaries. An enhancement of open‐circuit voltage from 1.077 to 1.137 V and a corresponding power conversion efficiency increasing from 20.2% to 22.2% are achieved for the devices using SnO 2 ‐KCl composite ETL. The composite ETL strategy reported herein provides an avenue for defect passivation to further increase the efficiency of perovskite solar cells.&quot;,&quot;author&quot;:[{&quot;family&quot;:&quot;Zhu&quot;,&quot;given&quot;:&quot;Pengchen&quot;},{&quot;family&quot;:&quot;Gu&quot;,&quot;given&quot;:&quot;Shuai&quot;},{&quot;family&quot;:&quot;Luo&quot;,&quot;given&quot;:&quot;Xin&quot;},{&quot;family&quot;:&quot;Gao&quot;,&quot;given&quot;:&quot;Yuan&quot;},{&quot;family&quot;:&quot;Li&quot;,&quot;given&quot;:&quot;Songlin&quot;},{&quot;family&quot;:&quot;Zhu&quot;,&quot;given&quot;:&quot;Jia&quot;},{&quot;family&quot;:&quot;Tan&quot;,&quot;given&quot;:&quot;Hairen&quot;}],&quot;issued&quot;:{&quot;date-parts&quot;:[[&quot;2020&quot;,&quot;1&quot;]]},&quot;DOI&quot;:&quot;10.1002/aenm.201903083&quot;,&quot;citation-label&quot;:&quot;15879805&quot;},{&quot;title&quot;:&quot;Multi-functional Strategy: Ammonium Citrate-Modified SnO&lt;sub&gt;2&lt;/sub&gt; ETL for Efficient and Stable Perovskite Solar Cells.&quot;,&quot;page&quot;:&quot;43975-43986&quot;,&quot;volume&quot;:&quot;14&quot;,&quot;issue&quot;:&quot;38&quot;,&quot;journalAbbreviation&quot;:&quot;ACS Appl. Mater. Interfaces&quot;,&quot;id&quot;:&quot;15965084&quot;,&quot;type&quot;:&quot;article-journal&quot;,&quot;container-title&quot;:&quot;ACS Applied Materials &amp; Interfaces&quot;,&quot;container-title-short&quot;:&quot;ACS Appl. Mater. Interfaces&quot;,&quot;abstract&quot;:&quot;The tin oxide (SnO2) electron transport layer (ETL) plays a crucial role in perovskite solar cells (PSCs). However, the heterogeneous dispersion of commercial SnO2 colloidal precursors is far from optimized, resulting in dissatisfied device performance with SnO2 ETL. Herein, a multifunctional modification material, ammonium citrate (TAC), is used to modify the SnO2 ETL, bringing four benefits: (1) due to the electrostatic interaction between TAC molecules and SnO2 colloidal particles, more uniformly dispersed colloidal particles are obtained; (2) the TAC molecules distributed on the surface of SnO2 provide nucleation sites for the perovskite film growth, promoting the vertical growth of the perovskite crystal; (3) TAC-doped SnO2 shows higher electron conductivity and better film quality than pristine SnO2 while offering better energy-level alignment with the perovskite layer; and (4) TAC has functional groups of C═O and N-H containing lone pair electrons, which can passivate the defects on the surface of SnO2 and perovskite films through chemical bonding and inhibit the device hysteresis. In the end, the device based on TAC-doped ETL achieved an increased power conversion efficiency (PCE) of 21.58 from 19.75% of the reference without such treatment. Meanwhile, the PSCs using the TAC-doped SnO2 as the ETL maintained 88% of their initial PCE after being stored for about 1000 h under dark conditions and controlled RH of 10-25%.&quot;,&quot;author&quot;:[{&quot;family&quot;:&quot;Zeng&quot;,&quot;given&quot;:&quot;Wenqi&quot;},{&quot;family&quot;:&quot;He&quot;,&quot;given&quot;:&quot;Xiaofeng&quot;},{&quot;family&quot;:&quot;Bian&quot;,&quot;given&quot;:&quot;Hongyu&quot;},{&quot;family&quot;:&quot;Guo&quot;,&quot;given&quot;:&quot;Pengju&quot;},{&quot;family&quot;:&quot;Wang&quot;,&quot;given&quot;:&quot;Meng&quot;},{&quot;family&quot;:&quot;Xu&quot;,&quot;given&quot;:&quot;Cunyun&quot;},{&quot;family&quot;:&quot;Xu&quot;,&quot;given&quot;:&quot;Gaobo&quot;},{&quot;family&quot;:&quot;Zhong&quot;,&quot;given&quot;:&quot;Yuanxin&quot;},{&quot;family&quot;:&quot;Lu&quot;,&quot;given&quot;:&quot;Dengcheng&quot;},{&quot;family&quot;:&quot;Sofer&quot;,&quot;given&quot;:&quot;Zdeněk&quot;},{&quot;family&quot;:&quot;Song&quot;,&quot;given&quot;:&quot;Qunliang&quot;},{&quot;family&quot;:&quot;Zhang&quot;,&quot;given&quot;:&quot;Sam&quot;}],&quot;issued&quot;:{&quot;date-parts&quot;:[[&quot;2022&quot;,&quot;9&quot;,&quot;28&quot;]]},&quot;DOI&quot;:&quot;10.1021/acsami.2c13309&quot;,&quot;PMID&quot;:&quot;36103625&quot;,&quot;citation-label&quot;:&quot;15965084&quot;},{&quot;title&quot;:&quot;Transport Layer Engineering by Hydrochloric Acid for Efficient Perovskite Solar Cells with a High Open-Circuit Voltage.&quot;,&quot;page&quot;:&quot;23208-23216&quot;,&quot;volume&quot;:&quot;15&quot;,&quot;issue&quot;:&quot;19&quot;,&quot;journalAbbreviation&quot;:&quot;ACS Appl. Mater. Interfaces&quot;,&quot;id&quot;:&quot;15965083&quot;,&quot;type&quot;:&quot;article-journal&quot;,&quot;container-title&quot;:&quot;ACS Applied Materials &amp; Interfaces&quot;,&quot;container-title-short&quot;:&quot;ACS Appl. Mater. Interfaces&quot;,&quot;abstract&quot;:&quot;A large number of defect states that exist at the interface between a perovskite film and an electron transport layer (ETL) are detrimental to the efficiency and the stability of perovskite solar cells (PSCs). It is still a challenge to simultaneously passivate the defects on both sides by a stable and low-cost ion compound. Herein, we demonstrate a simple and effective versatile strategy by introducing hydrochloric acid into SnO2 precursor solution to passivate the defects in both SnO2 and perovskite layers and simultaneously reduce the interface energy barrier, ultimately achieving a high-performance and hysteresis-free PSCs. Hydrogen ions can neutralize -OH groups on the SnO2 surface, whereas the Cl- can not only combine with Sn4+ in ETL but also suppress the Pb-I antisite defects formed at the buried interface. The reduced nonradiative recombination and the favorable energy level alignment result in a significantly increased efficiency from 20.71 to 22.06% of PSCs due to the enhancement of open-circuit voltage. In addition, the stability of the device can also be improved. This work presents a facile and promising approach for the development of highly efficient PSCs.&quot;,&quot;author&quot;:[{&quot;family&quot;:&quot;Li&quot;,&quot;given&quot;:&quot;Yanmin&quot;},{&quot;family&quot;:&quot;Meng&quot;,&quot;given&quot;:&quot;Junhua&quot;},{&quot;family&quot;:&quot;Duan&quot;,&quot;given&quot;:&quot;Ping&quot;},{&quot;family&quot;:&quot;Wu&quot;,&quot;given&quot;:&quot;Rui&quot;},{&quot;family&quot;:&quot;Shi&quot;,&quot;given&quot;:&quot;Yiming&quot;},{&quot;family&quot;:&quot;Zhang&quot;,&quot;given&quot;:&quot;Lisheng&quot;},{&quot;family&quot;:&quot;Yan&quot;,&quot;given&quot;:&quot;Chunxia&quot;},{&quot;family&quot;:&quot;Deng&quot;,&quot;given&quot;:&quot;Jinxiang&quot;},{&quot;family&quot;:&quot;Zhang&quot;,&quot;given&quot;:&quot;Xingwang&quot;}],&quot;issued&quot;:{&quot;date-parts&quot;:[[&quot;2023&quot;,&quot;5&quot;,&quot;17&quot;]]},&quot;DOI&quot;:&quot;10.1021/acsami.3c02376&quot;,&quot;PMID&quot;:&quot;37133487&quot;,&quot;citation-label&quot;:&quot;15965083&quot;},{&quot;title&quot;:&quot;Surface passivation of perovskite film for efficient solar cells&quot;,&quot;page&quot;:&quot;460-466&quot;,&quot;volume&quot;:&quot;13&quot;,&quot;issue&quot;:&quot;7&quot;,&quot;journalAbbreviation&quot;:&quot;Nat. Photonics&quot;,&quot;id&quot;:&quot;12027332&quot;,&quot;type&quot;:&quot;article-journal&quot;,&quot;container-title&quot;:&quot;Nature photonics&quot;,&quot;container-title-short&quot;:&quot;Nat. Photonics&quot;,&quot;abstract&quot;:&quot;In recent years, the power conversion efficiency of perovskite solar cells has increased to reach over 20%. Finding an effective means of defect passivation is thought to be a promising route for bringing further increases in the power conversion efficiency and the open-circuit voltage (VOC) of perovskite solar cells. Here, we report the use of an organic halide salt phenethylammonium iodide (PEAI) on HC(NH2)2–CH3NH3 mixed perovskite films for surface defect passivation. We find that PEAI can form on the perovskite surface and results in higher-efficiency cells by reducing the defects and suppressing non-radiative recombination. As a result, planar perovskite solar cells with a certificated efficiency of 23.32% (quasi-steady state) are obtained. In addition, a VOC as high as 1.18 V is achieved at the absorption threshold of 1.53 eV, which is 94.4% of the Shockley–Queisser limit VOC (1.25 V).&quot;,&quot;author&quot;:[{&quot;family&quot;:&quot;Jiang&quot;,&quot;given&quot;:&quot;Qi&quot;},{&quot;family&quot;:&quot;Zhao&quot;,&quot;given&quot;:&quot;Yang&quot;},{&quot;family&quot;:&quot;Zhang&quot;,&quot;given&quot;:&quot;Xingwang&quot;},{&quot;family&quot;:&quot;Yang&quot;,&quot;given&quot;:&quot;Xiaolei&quot;},{&quot;family&quot;:&quot;Chen&quot;,&quot;given&quot;:&quot;Yong&quot;},{&quot;family&quot;:&quot;Chu&quot;,&quot;given&quot;:&quot;Zema&quot;},{&quot;family&quot;:&quot;Ye&quot;,&quot;given&quot;:&quot;Qiufeng&quot;},{&quot;family&quot;:&quot;Li&quot;,&quot;given&quot;:&quot;Xingxing&quot;},{&quot;family&quot;:&quot;Yin&quot;,&quot;given&quot;:&quot;Zhigang&quot;},{&quot;family&quot;:&quot;You&quot;,&quot;given&quot;:&quot;Jingbi&quot;}],&quot;issued&quot;:{&quot;date-parts&quot;:[[&quot;2019&quot;,&quot;7&quot;]]},&quot;DOI&quot;:&quot;10.1038/s41566-019-0398-2&quot;,&quot;citation-label&quot;:&quot;12027332&quot;},{&quot;title&quot;:&quot;Post-treatment of perovskite film with phenylalkylammonium iodide for hysteresis-less perovskite solar cells&quot;,&quot;page&quot;:&quot;57-65&quot;,&quot;volume&quot;:&quot;179&quot;,&quot;journalAbbreviation&quot;:&quot;Solar Energy Materials and Solar Cells&quot;,&quot;id&quot;:&quot;16200878&quot;,&quot;type&quot;:&quot;article-journal&quot;,&quot;container-title&quot;:&quot;Solar Energy Materials and Solar Cells&quot;,&quot;container-title-short&quot;:&quot;Solar Energy Materials and Solar Cells&quot;,&quot;abstract&quot;:&quot;Abstract   Superb solar-to-electricity conversion property of organic-inorganic halide perovskite has recently received considerable attention. Although the power conversion efficiency (PCE) reaches over 22%, severe current-voltage hysteresis in perovskite solar cells has been issues. To solve the hysteresis, we report here on interfacial engineering via post-treatment of perovskite films with phenylalkylammonium iodide. The 145 °C-annealed FA .9 Cs .1 PbI 2.9 Br .1  perovskite films are post-treated with series of phenylalkylammonium iodides with chemical formula of (C 6 H 5 )C n H 2n (NH 3 I), where effects of concentration and solvent on photovoltaic performance and hysteresis are systematically investigated. For n = 2 phenylethylammonium iodide (PEAI), hysteresis is reduced by PEAI treatment but there is optimal concentration to minimize the hysteresis. Average PCE, estimated from reverse and forward scanned data, of 15.94% before PEAI treatment is improved to 17.62% after 4 mM PEAI treatment mainly due to increase in average FF from 0.696 to 0.751. At higher concentration of 10 mM, average PCE is declined again to 15.60% due to the large difference in FF between reverse and forward scan. Post-treatment with PEAI increases carrier life time from 500 ns (pristine) to 795 ns, which is responsible for the reduced hysteresis. Longer alkyl chain such as PEAI (n = 2) is found to be better to reduce the hysteresis than shorter one like PAI (n = 0) because of longer carrier life time, which indicates that dipole moment of phenylalkylammonium iodide is involved in time-dependent charge extraction.&quot;,&quot;author&quot;:[{&quot;family&quot;:&quot;Yoo&quot;,&quot;given&quot;:&quot;Hyun-Seok&quot;},{&quot;family&quot;:&quot;Park&quot;,&quot;given&quot;:&quot;Nam-Gyu&quot;}],&quot;issued&quot;:{&quot;date-parts&quot;:[[&quot;2018&quot;,&quot;6&quot;]]},&quot;DOI&quot;:&quot;10.1016/j.solmat.2018.02.015&quot;,&quot;citation-label&quot;:&quot;16200878&quot;},{&quot;title&quot;:&quot;Yb-doped SnO&lt;sub&gt;2&lt;/sub&gt; electron transfer layer assisting the fabrication of high-efficiency and stable perovskite solar cells in air.&quot;,&quot;page&quot;:&quot;14631-14638&quot;,&quot;volume&quot;:&quot;12&quot;,&quot;issue&quot;:&quot;23&quot;,&quot;journalAbbreviation&quot;:&quot;RSC Adv.&quot;,&quot;id&quot;:&quot;16214618&quot;,&quot;type&quot;:&quot;article-journal&quot;,&quot;container-title&quot;:&quot;RSC advances&quot;,&quot;container-title-short&quot;:&quot;RSC Adv.&quot;,&quot;abstract&quot;:&quot;To date, most preparation processes of polycrystalline perovskite films still have to be performed in a glovebox filled with inert gas, limiting the application due to their high cost and complexity. In this work, we exploit a facile processing technique for the preparation of perovskite solar cells (PSCs) under ambient conditions by the Yb3+ doping effect for SnO2 electron transfer layer. This remarkable and facile interface doping strategy promotes all-air processed planar PSCs, giving enhanced power conversion efficiency (PCE) from 15.69% to 17.31% with a decreasing hysteresis effect. Moreover, the heating and illumination stability of modified devices by virtue of defect suppression located at electron transfer layer (ETL)/perovskite interface has been effectively improved, retaining over 85% of its initial PCE after 7 h heating at 100 °C in ambient condition and 85% of its initial PCE under 7 h continuous light illumination without any encapsulation. Therefore, it is believed that this Yb-doping strategy for SnO2 ETL can provide a novel way of promoting the efficiency and stability of devices prepared in the air.This journal is © The Royal Society of Chemistry.&quot;,&quot;author&quot;:[{&quot;family&quot;:&quot;Liu&quot;,&quot;given&quot;:&quot;Dixin&quot;},{&quot;family&quot;:&quot;Zhang&quot;,&quot;given&quot;:&quot;Wenyuan&quot;},{&quot;family&quot;:&quot;Ren&quot;,&quot;given&quot;:&quot;Ziqiu&quot;},{&quot;family&quot;:&quot;Li&quot;,&quot;given&quot;:&quot;Xin&quot;}],&quot;issued&quot;:{&quot;date-parts&quot;:[[&quot;2022&quot;,&quot;5&quot;,&quot;12&quot;]]},&quot;DOI&quot;:&quot;10.1039/d2ra01297a&quot;,&quot;PMID&quot;:&quot;35702204&quot;,&quot;PMCID&quot;:&quot;PMC9108972&quot;,&quot;citation-label&quot;:&quot;16214618&quot;},{&quot;title&quot;:&quot;Combustion procedure deposited SnO&lt;sub&gt;2&lt;/sub&gt; electron transport layers for high efficient perovskite solar cells&quot;,&quot;page&quot;:&quot;156032&quot;,&quot;volume&quot;:&quot;844&quot;,&quot;journalAbbreviation&quot;:&quot;J Alloys Compd&quot;,&quot;id&quot;:&quot;16214624&quot;,&quot;type&quot;:&quot;article-journal&quot;,&quot;container-title&quot;:&quot;Journal of alloys and compounds&quot;,&quot;container-title-short&quot;:&quot;J Alloys Compd&quot;,&quot;author&quot;:[{&quot;family&quot;:&quot;Jia&quot;,&quot;given&quot;:&quot;Jinbiao&quot;},{&quot;family&quot;:&quot;Dong&quot;,&quot;given&quot;:&quot;Jia&quot;},{&quot;family&quot;:&quot;Wu&quot;,&quot;given&quot;:&quot;Jihuai&quot;},{&quot;family&quot;:&quot;Wei&quot;,&quot;given&quot;:&quot;Haoming&quot;},{&quot;family&quot;:&quot;Cao&quot;,&quot;given&quot;:&quot;Bingqiang&quot;}],&quot;issued&quot;:{&quot;date-parts&quot;:[[&quot;2020&quot;,&quot;12&quot;]]},&quot;DOI&quot;:&quot;10.1016/j.jallcom.2020.156032&quot;,&quot;citation-label&quot;:&quot;16214624&quot;},{&quot;title&quot;:&quot;SnO&lt;sub&gt;2&lt;/sub&gt;-Perovskite Interface Engineering Based on Bifacial Passivation via Multifunctional N-(2-Acetamido)-2-aminoethanesulfonic Acid toward Efficient and Stable Solar Cells.&quot;,&quot;page&quot;:&quot;9388-9399&quot;,&quot;volume&quot;:&quot;16&quot;,&quot;issue&quot;:&quot;7&quot;,&quot;journalAbbreviation&quot;:&quot;ACS Appl. Mater. Interfaces&quot;,&quot;id&quot;:&quot;16454566&quot;,&quot;type&quot;:&quot;article-journal&quot;,&quot;container-title&quot;:&quot;ACS Applied Materials &amp; Interfaces&quot;,&quot;container-title-short&quot;:&quot;ACS Appl. Mater. Interfaces&quot;,&quot;abstract&quot;:&quot;Bifacial passivation on both electron transport materials and perovskite light-absorbing layers as a straightforward technique is used for gaining efficient and stable perovskite solar cells (PSCs). To develop this strategy, organic molecules containing multiple functional groups can maximize the effect of defect suppression. Based on this, we introduce N-(2-acetamido)-2-aminoethanesulfonic acid (ACES) at the interface between tin oxide (SnO2) and perovskite. The synergistic effect of multiple functional groups in ACES, including amino, carbonyl (C═O), and sulfonic acid (S═O) groups, promotes charge extraction of SnO2 and provides an improved energy level alignment for charge transfer. Furthermore, S═O in ACES effectively passivates the defects of uncoordinated Pb2+ in perovskite films, resulting in enhanced crystallinity and decreased nonradiative recombination at the buried interface. The power conversion efficiency (PCE) of related PSCs increases from 20.21% to 22.65% with reduced J-V hysteresis after interface modification with ACES. Notably, upon being stored at a low relative humidity of 40 ± 5% over 2000 h and high relative humidity of 80 ± 5% over 1000 h, the unencapsulated ACES-modified device retains up to 90% and 80% of their initial PCE, respectively. This study deepens defect passivation engineering on the buried interface of perovskites for realizing efficient and stable solar cells.&quot;,&quot;author&quot;:[{&quot;family&quot;:&quot;Li&quot;,&quot;given&quot;:&quot;Ying&quot;},{&quot;family&quot;:&quot;Yao&quot;,&quot;given&quot;:&quot;Disheng&quot;},{&quot;family&quot;:&quot;Tang&quot;,&quot;given&quot;:&quot;Ziqi&quot;},{&quot;family&quot;:&quot;Jiang&quot;,&quot;given&quot;:&quot;Bo&quot;},{&quot;family&quot;:&quot;Li&quot;,&quot;given&quot;:&quot;Chao&quot;},{&quot;family&quot;:&quot;Gao&quot;,&quot;given&quot;:&quot;Yihua&quot;},{&quot;family&quot;:&quot;Tian&quot;,&quot;given&quot;:&quot;Nan&quot;},{&quot;family&quot;:&quot;Wang&quot;,&quot;given&quot;:&quot;Jilin&quot;},{&quot;family&quot;:&quot;Zheng&quot;,&quot;given&quot;:&quot;Guoyuan&quot;},{&quot;family&quot;:&quot;Long&quot;,&quot;given&quot;:&quot;Fei&quot;}],&quot;issued&quot;:{&quot;date-parts&quot;:[[&quot;2024&quot;,&quot;2&quot;,&quot;21&quot;]]},&quot;DOI&quot;:&quot;10.1021/acsami.3c16025&quot;,&quot;PMID&quot;:&quot;38324460&quot;,&quot;citation-label&quot;:&quot;16454566&quot;},{&quot;title&quot;:&quot;Incorporating of Lanthanides Ions into Perovskite Film for Efficient and Stable Perovskite Solar Cells.&quot;,&quot;page&quot;:&quot;e2001770&quot;,&quot;volume&quot;:&quot;16&quot;,&quot;issue&quot;:&quot;40&quot;,&quot;journalAbbreviation&quot;:&quot;Small&quot;,&quot;id&quot;:&quot;16454795&quot;,&quot;type&quot;:&quot;article-journal&quot;,&quot;container-title&quot;:&quot;Small (Germany)&quot;,&quot;container-title-short&quot;:&quot;Small&quot;,&quot;abstract&quot;:&quot;Since Yan's work, incorporation of some lanthanide elements, such as Eu and Nd, into MAPbI3 layer has been proven to be a powerful strategy on improving the permanence of the perovskite solar cells (PSCs). However, a comprehensive configuration has not been given for different lanthanide elements doping while the mechanism has not been clarified. Herein, the incorporation of various lanthanides ions (Ln3+ = Ce3+ , Eu3+ , Nd3+ , Sm3+ , or Yb3+ ) into perovskite films to largely enhance the performance of PSCs is presented. Arising from the enlarged grain size and crystallinity of perovskite film upon Ln3+ ions doping, the efficiency and stability of PSCs are significantly improved. Extraordinarily, PSCs with Ce3+ doping achieve the best performance, with a champion power conversion efficiency (PCE) of 21.67% in contrast to 18.50% for pristine PSCs, and outstanding long-term and UV irradiation stability. Such high performance of PSCs after Ce3+ doping originates from special Ce3+ /Ce4+ redox pair and the unique 4f-5d absorption in the UV region. Finally, the flexible PSCs with low-temperature preparation are explored. Considering the richer deposition of cerium element in the earth and lower price, the findings may provide new opportunities for developing low-cost, highly efficient, air/UV stable, and flexible PSCs.© 2020 Wiley-VCH GmbH.&quot;,&quot;author&quot;:[{&quot;family&quot;:&quot;Song&quot;,&quot;given&quot;:&quot;Zonglong&quot;},{&quot;family&quot;:&quot;Xu&quot;,&quot;given&quot;:&quot;Wen&quot;},{&quot;family&quot;:&quot;Wu&quot;,&quot;given&quot;:&quot;Yanjie&quot;},{&quot;family&quot;:&quot;Liu&quot;,&quot;given&quot;:&quot;Shuainan&quot;},{&quot;family&quot;:&quot;Bi&quot;,&quot;given&quot;:&quot;Wenbo&quot;},{&quot;family&quot;:&quot;Chen&quot;,&quot;given&quot;:&quot;Xinfu&quot;},{&quot;family&quot;:&quot;Song&quot;,&quot;given&quot;:&quot;Hongwei&quot;}],&quot;issued&quot;:{&quot;date-parts&quot;:[[&quot;2020&quot;,&quot;10&quot;]]},&quot;DOI&quot;:&quot;10.1002/smll.202001770&quot;,&quot;PMID&quot;:&quot;32924310&quot;,&quot;citation-label&quot;:&quot;16454795&quot;},{&quot;title&quot;:&quot;Best Research-Cell Efficiency Chart | Photovoltaic Research | NREL&quot;,&quot;accessed&quot;:{&quot;date-parts&quot;:[[&quot;2024&quot;,&quot;5&quot;,&quot;20&quot;]]},&quot;id&quot;:&quot;16473517&quot;,&quot;type&quot;:&quot;webpage&quot;,&quot;issued&quot;:{&quot;date-parts&quot;:[[]]},&quot;URL&quot;:&quot;https://www.nrel.gov/pv/cell-efficiency.html&quot;,&quot;citation-label&quot;:&quot;16473517&quot;}]"/>
    <we:property name="sciwheel-selectedStyle" value="{&quot;id&quot;:&quot;acs-applied-materials-and-interfaces&quot;,&quot;name&quot;:&quot;ACS Applied Materials &amp; Interfaces - ACS Appl. Mater. Interfaces&quot;,&quot;bibText&quot;:[{&quot;maxoffset&quot;:3,&quot;entryspacing&quot;:0,&quot;linespacing&quot;:1,&quot;second-field-align&quot;:&quot;flush&quot;,&quot;entry_ids&quot;:[[&quot;0&quot;]],&quot;bibliography_errors&quot;:[],&quot;done&quot;:false,&quot;bibstart&quot;:&quot;&lt;div class=\&quot;csl-bib-body\&quot;&gt;\n&quot;,&quot;bibend&quot;:&quot;&lt;/div&gt;&quot;},[&quot;  &lt;div class=\&quot;csl-entry\&quot;&gt;\n    &lt;div class=\&quot;csl-left-margin\&quot;&gt;(1)&lt;/div&gt;&lt;div class=\&quot;csl-right-inline\&quot;&gt;Accadia, T.; Acernese, F.; Alshourbagy, M.; Amico, P.; Antonucci, F.; Aoudia, S.; Arnaud, N.; Arnault, C.; Arun, K. G.; Astone, P.; Avino, S.; Babusci, D.; Ballardin, G.; Barone, F.; Barrand, G.; Barsotti, L.; Barsuglia, M.; Basti, A.; Bauer, T. S.; Beauville, F.; Bebronne, M.; Bejger, M.; Beker, M. G.; Bellachia, F.; Belletoile, A.; Beney, J. L.; Bernardini, M.; Bigotta, S.; Bilhaut, R.; Birindelli, S.; Bitossi, M.; Bizouard, M. A.; Blom, M.; Boccara, C.; Boget, D.; Bondu, F.; Bonelli, L.; Bonnand, R.; Boschi, V.; Bosi, L.; Bouedo, T.; Bouhou, B.; Bozzi, A.; Bracci, L.; Braccini, S.; Bradaschia, C.; Branchesi, M.; Briant, T.; Brillet, A.; Brisson, V.; Brocco, L.; Bulik, T.; Bulten, H. J.; Buskulic, D.; Buy, C.; Cagnoli, G.; Calamai, G.; Calloni, E.; Campagna, E.; Canuel, B.; Carbognani, F.; Carbone, L.; Cavalier, F.; Cavalieri, R.; Cecchi, R.; Cella, G.; Cesarini, E.; Chassande-Mottin, E.; Chatterji, S.; Chiche, R.; Chincarini, A.; Chiummo, A.; Christensen, N.; Clapson, A. C.; Cleva, F.; Coccia, E.; Cohadon, P.-F.; Colacino, C. N.; Colas, J.; Colla, A.; Colombini, M.; Conforto, G.; Corsi, A.; Cortese, S.; Cottone, F.; Coulon, J.-P.; Cuoco, E.; D’Antonio, S.; Daguin, G.; Dari, A.; Dattilo, V.; David, P. Y.; Davier, M.; Day, R.; Debreczeni, G.; Carolis, G. D.; Dehamme, M.; Fabbro, R. D.; Pozzo, W. D.; Prete, M. del; Derome, L.; Rosa, R. D.; DeSalvo, R.; Dialinas, M.; Fiore, L. D.; Lieto, A. D.; Emilio, M. D. P.; Virgilio, A. D.; Dietz, A.; Doets, M.; Dominici, P.; Dominjon, A.; Drago, M.; Drezen, C.; Dujardin, B.; Dulach, B.; Eder, C.; Eleuteri, A.; Enard, D.; Evans, M.; Fabbroni, L.; Fafone, V.; Fang, H.; Ferrante, I.; Fidecaro, F.; Fiori, I.; Flaminio, R.; Forest, D.; Forte, L. A.; Fournier, J.-D.; Fournier, L.; Franc, J.; Francois, O.; Frasca, S.; Frasconi, F.; Freise, A.; Gaddi, A.; Galimberti, M.; Gammaitoni, L.; Ganau, P.; Garnier, C.; Garufi, F.; Gáspár, M. E.; Gemme, G.; Genin, E.; Gennai, A.; Gennaro, G.; Giacobone, L.; Giazotto, A.; Giordano, G.; Giordano, L.; Girard, C.; Gouaty, R.; Grado, A.; Granata, M.; Granata, V.; Grave, X.; Greverie, C.; Groenstege, H.; Guidi, G. M.; Hamdani, S.; Hayau, J.-F.; Hebri, S.; Heidmann, A.; Heitmann, H.; Hello, P.; Hemming, G.; Hennes, E.; Hermel, R.; Heusse, P.; Holloway, L.; Huet, D.; Iannarelli, M.; Jaranowski, P.; Jehanno, D.; Journet, L.; Karkar, S.; Ketel, T.; Voet, H.; Kovalik, J.; Kowalska, I.; Kreckelbergh, S.; Krolak, A.; Lacotte, J. C.; Lagrange, B.; Penna, P. L.; Laval, M.; Marec, J. C. L.; Leroy, N.; Letendre, N.; Li, T. G. F.; Lieunard, B.; Liguori, N.; Lodygensky, O.; Lopez, B.; Lorenzini, M.; Loriette, V.; Losurdo, G.; Loupias, M.; Mackowski, J. M.; Maiani, T.; Majorana, E.; Magazzù, C.; Maksimovic, I.; Malvezzi, V.; Man, N.; Mancini, S.; Mansoux, B.; Mantovani, M.; Marchesoni, F.; Marion, F.; Marin, P.; Marque, J.; Martelli, F.; Masserot, A.; Massonnet, L.; Matone, G.; Matone, L.; Mazzoni, M.; Menzinger, F.; Michel, C.; Milano, L.; Minenkov, Y.; Mitra, S.; Mohan, M.; Montorio, J.-L.; Morand, R.; Moreau, F.; Moreau, J.; Morgado, N.; Morgia, A.; Mosca, S.; Moscatelli, V.; Mours, B.; Mugnier, P.; Mul, F.-A.; Naticchioni, L.; Neri, I.; Nocera, F.; Pacaud, E.; Pagliaroli, G.; Pai, A.; Palladino, L.; Palomba, C.; Paoletti, F.; Paoletti, R.; Paoli, A.; Pardi, S.; Parguez, G.; Parisi, M.; Pasqualetti, A.; Passaquieti, R.; Passuello, D.; Perciballi, M.; Perniola, B.; Persichetti, G.; Petit, S.; Pichot, M.; Piergiovanni, F.; Pietka, M.; Pignard, R.; Pinard, L.; Poggiani, R.; Popolizio, P.; Pradier, T.; Prato, M.; Prodi, G. A.; Punturo, M.; Puppo, P.; Qipiani, K.; Rabaste, O.; Rabeling, D. S.; Rácz, I.; Raffaelli, F.; Rapagnani, P.; Rapisarda, S.; Re, V.; Reboux, A.; Regimbau, T.; Reita, V.; Remilleux, A.; Ricci, F.; Ricciardi, I.; Richard, F.; Ripepe, M.; Robinet, F.; Rocchi, A.; Rolland, L.; Romano, R.; Rosińska, D.; Roudier, P.; Ruggi, P.; Russo, G.; Salconi, L.; Sannibale, V.; Sassolas, B.; Sentenac, D.; Solimeno, S.; Sottile, R.; Sperandio, L.; Stanga, R.; Sturani, R.; Swinkels, B.; Tacca, M.; Taddei, R.; Taffarello, L.; Tarallo, M.; Tissot, S.; Toncelli, A.; Tonelli, M.; Torre, O.; Tournefier, E.; Travasso, F.; Tremola, C.; Turri, E.; Vajente, G.; Brand, J. F. J. van den; Broeck, C. V. D.; Putten, S. van der; Vasuth, M.; Vavoulidis, M.; Vedovato, G.; Verkindt, D.; Vetrano, F.; Véziant, O.; Viceré, A.; Vinet, J.-Y.; Vilalte, S.; Vitale, S.; Vocca, H.; Ward, R. L.; Was, M.; Yamamoto, K.; Yvert, M.; Zendri, J.-P.; Zhang, Z. Virgo: A Laser Interferometer to Detect Gravitational Waves. &lt;i&gt;J. Instrum.&lt;/i&gt; &lt;b&gt;2012&lt;/b&gt;, &lt;i&gt;7&lt;/i&gt; (03), P03012–P03012. DOI: 10.1088/1748-0221/7/03/P03012.&lt;/div&gt;\n  &lt;/div&gt;\n&quot;]],&quot;citationText&quot;:&quot;&lt;sup&gt;1&lt;/sup&gt;&quot;}"/>
    <we:property name="sciwheel-styles" value="[{&quot;id&quot;:&quot;acs-applied-materials-and-interfaces&quot;,&quot;name&quot;:&quot;ACS Applied Materials &amp; Interfaces - ACS Appl. Mater. Interfaces&quot;,&quot;bibText&quot;:[{&quot;maxoffset&quot;:3,&quot;entryspacing&quot;:0,&quot;linespacing&quot;:1,&quot;second-field-align&quot;:&quot;flush&quot;,&quot;entry_ids&quot;:[[&quot;0&quot;]],&quot;bibliography_errors&quot;:[],&quot;done&quot;:false,&quot;bibstart&quot;:&quot;&lt;div class=\&quot;csl-bib-body\&quot;&gt;\n&quot;,&quot;bibend&quot;:&quot;&lt;/div&gt;&quot;},[&quot;  &lt;div class=\&quot;csl-entry\&quot;&gt;\n    &lt;div class=\&quot;csl-left-margin\&quot;&gt;(1)&lt;/div&gt;&lt;div class=\&quot;csl-right-inline\&quot;&gt;Accadia, T.; Acernese, F.; Alshourbagy, M.; Amico, P.; Antonucci, F.; Aoudia, S.; Arnaud, N.; Arnault, C.; Arun, K. G.; Astone, P.; Avino, S.; Babusci, D.; Ballardin, G.; Barone, F.; Barrand, G.; Barsotti, L.; Barsuglia, M.; Basti, A.; Bauer, T. S.; Beauville, F.; Bebronne, M.; Bejger, M.; Beker, M. G.; Bellachia, F.; Belletoile, A.; Beney, J. L.; Bernardini, M.; Bigotta, S.; Bilhaut, R.; Birindelli, S.; Bitossi, M.; Bizouard, M. A.; Blom, M.; Boccara, C.; Boget, D.; Bondu, F.; Bonelli, L.; Bonnand, R.; Boschi, V.; Bosi, L.; Bouedo, T.; Bouhou, B.; Bozzi, A.; Bracci, L.; Braccini, S.; Bradaschia, C.; Branchesi, M.; Briant, T.; Brillet, A.; Brisson, V.; Brocco, L.; Bulik, T.; Bulten, H. J.; Buskulic, D.; Buy, C.; Cagnoli, G.; Calamai, G.; Calloni, E.; Campagna, E.; Canuel, B.; Carbognani, F.; Carbone, L.; Cavalier, F.; Cavalieri, R.; Cecchi, R.; Cella, G.; Cesarini, E.; Chassande-Mottin, E.; Chatterji, S.; Chiche, R.; Chincarini, A.; Chiummo, A.; Christensen, N.; Clapson, A. C.; Cleva, F.; Coccia, E.; Cohadon, P.-F.; Colacino, C. N.; Colas, J.; Colla, A.; Colombini, M.; Conforto, G.; Corsi, A.; Cortese, S.; Cottone, F.; Coulon, J.-P.; Cuoco, E.; D’Antonio, S.; Daguin, G.; Dari, A.; Dattilo, V.; David, P. Y.; Davier, M.; Day, R.; Debreczeni, G.; Carolis, G. D.; Dehamme, M.; Fabbro, R. D.; Pozzo, W. D.; Prete, M. del; Derome, L.; Rosa, R. D.; DeSalvo, R.; Dialinas, M.; Fiore, L. D.; Lieto, A. D.; Emilio, M. D. P.; Virgilio, A. D.; Dietz, A.; Doets, M.; Dominici, P.; Dominjon, A.; Drago, M.; Drezen, C.; Dujardin, B.; Dulach, B.; Eder, C.; Eleuteri, A.; Enard, D.; Evans, M.; Fabbroni, L.; Fafone, V.; Fang, H.; Ferrante, I.; Fidecaro, F.; Fiori, I.; Flaminio, R.; Forest, D.; Forte, L. A.; Fournier, J.-D.; Fournier, L.; Franc, J.; Francois, O.; Frasca, S.; Frasconi, F.; Freise, A.; Gaddi, A.; Galimberti, M.; Gammaitoni, L.; Ganau, P.; Garnier, C.; Garufi, F.; Gáspár, M. E.; Gemme, G.; Genin, E.; Gennai, A.; Gennaro, G.; Giacobone, L.; Giazotto, A.; Giordano, G.; Giordano, L.; Girard, C.; Gouaty, R.; Grado, A.; Granata, M.; Granata, V.; Grave, X.; Greverie, C.; Groenstege, H.; Guidi, G. M.; Hamdani, S.; Hayau, J.-F.; Hebri, S.; Heidmann, A.; Heitmann, H.; Hello, P.; Hemming, G.; Hennes, E.; Hermel, R.; Heusse, P.; Holloway, L.; Huet, D.; Iannarelli, M.; Jaranowski, P.; Jehanno, D.; Journet, L.; Karkar, S.; Ketel, T.; Voet, H.; Kovalik, J.; Kowalska, I.; Kreckelbergh, S.; Krolak, A.; Lacotte, J. C.; Lagrange, B.; Penna, P. L.; Laval, M.; Marec, J. C. L.; Leroy, N.; Letendre, N.; Li, T. G. F.; Lieunard, B.; Liguori, N.; Lodygensky, O.; Lopez, B.; Lorenzini, M.; Loriette, V.; Losurdo, G.; Loupias, M.; Mackowski, J. M.; Maiani, T.; Majorana, E.; Magazzù, C.; Maksimovic, I.; Malvezzi, V.; Man, N.; Mancini, S.; Mansoux, B.; Mantovani, M.; Marchesoni, F.; Marion, F.; Marin, P.; Marque, J.; Martelli, F.; Masserot, A.; Massonnet, L.; Matone, G.; Matone, L.; Mazzoni, M.; Menzinger, F.; Michel, C.; Milano, L.; Minenkov, Y.; Mitra, S.; Mohan, M.; Montorio, J.-L.; Morand, R.; Moreau, F.; Moreau, J.; Morgado, N.; Morgia, A.; Mosca, S.; Moscatelli, V.; Mours, B.; Mugnier, P.; Mul, F.-A.; Naticchioni, L.; Neri, I.; Nocera, F.; Pacaud, E.; Pagliaroli, G.; Pai, A.; Palladino, L.; Palomba, C.; Paoletti, F.; Paoletti, R.; Paoli, A.; Pardi, S.; Parguez, G.; Parisi, M.; Pasqualetti, A.; Passaquieti, R.; Passuello, D.; Perciballi, M.; Perniola, B.; Persichetti, G.; Petit, S.; Pichot, M.; Piergiovanni, F.; Pietka, M.; Pignard, R.; Pinard, L.; Poggiani, R.; Popolizio, P.; Pradier, T.; Prato, M.; Prodi, G. A.; Punturo, M.; Puppo, P.; Qipiani, K.; Rabaste, O.; Rabeling, D. S.; Rácz, I.; Raffaelli, F.; Rapagnani, P.; Rapisarda, S.; Re, V.; Reboux, A.; Regimbau, T.; Reita, V.; Remilleux, A.; Ricci, F.; Ricciardi, I.; Richard, F.; Ripepe, M.; Robinet, F.; Rocchi, A.; Rolland, L.; Romano, R.; Rosińska, D.; Roudier, P.; Ruggi, P.; Russo, G.; Salconi, L.; Sannibale, V.; Sassolas, B.; Sentenac, D.; Solimeno, S.; Sottile, R.; Sperandio, L.; Stanga, R.; Sturani, R.; Swinkels, B.; Tacca, M.; Taddei, R.; Taffarello, L.; Tarallo, M.; Tissot, S.; Toncelli, A.; Tonelli, M.; Torre, O.; Tournefier, E.; Travasso, F.; Tremola, C.; Turri, E.; Vajente, G.; Brand, J. F. J. van den; Broeck, C. V. D.; Putten, S. van der; Vasuth, M.; Vavoulidis, M.; Vedovato, G.; Verkindt, D.; Vetrano, F.; Véziant, O.; Viceré, A.; Vinet, J.-Y.; Vilalte, S.; Vitale, S.; Vocca, H.; Ward, R. L.; Was, M.; Yamamoto, K.; Yvert, M.; Zendri, J.-P.; Zhang, Z. Virgo: A Laser Interferometer to Detect Gravitational Waves. &lt;i&gt;J. Instrum.&lt;/i&gt; &lt;b&gt;2012&lt;/b&gt;, &lt;i&gt;7&lt;/i&gt; (03), P03012–P03012. DOI: 10.1088/1748-0221/7/03/P03012.&lt;/div&gt;\n  &lt;/div&gt;\n&quot;]],&quot;citationText&quot;:&quot;&lt;sup&gt;1&lt;/sup&gt;&quot;},{&quot;id&quot;:&quot;american-medical-association&quot;,&quot;name&quot;:&quot;AMA (American Medical Association)&quot;},{&quot;id&quot;:&quot;apa 7th&quot;,&quot;name&quot;:&quot;APA (American Psychological Association) 7th Edition&quot;},{&quot;id&quot;:&quot;cell&quot;,&quot;name&quot;:&quot;Cell&quot;},{&quot;id&quot;:&quot;chicago-17th-edition&quot;,&quot;name&quot;:&quot;Chicago 17th Edition (author-date)&quot;},{&quot;id&quot;:&quot;cite-them-right-11th-edition-harvard&quot;,&quot;name&quot;:&quot;Cite Them Right 11th Edition - Harvard&quot;},{&quot;id&quot;:&quot;ieee&quot;,&quot;name&quot;:&quot;IEEE&quot;},{&quot;id&quot;:&quot;modern-language-association&quot;,&quot;name&quot;:&quot;MLA (Modern Language Association)&quot;},{&quot;id&quot;:&quot;national-library-of-medicine-grant-proposals&quot;,&quot;name&quot;:&quot;National Library of Medicine (Grant proposals with PMCID/PMID)&quot;},{&quot;id&quot;:&quot;nature&quot;,&quot;name&quot;:&quot;Nature&quot;},{&quot;id&quot;:&quot;science&quot;,&quot;name&quot;:&quot;Science&quot;},{&quot;id&quot;:&quot;vancouver&quot;,&quot;name&quot;:&quot;Vancouver&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Mog14</b:Tag>
    <b:SourceType>JournalArticle</b:SourceType>
    <b:Guid>{FCA02A2E-ACA6-4C0B-82E3-D206979E0649}</b:Guid>
    <b:Author>
      <b:Author>
        <b:NameList xmlns:msxsl="urn:schemas-microsoft-com:xslt" xmlns:b="http://schemas.openxmlformats.org/officeDocument/2006/bibliography">
          <b:Person>
            <b:Last>Mogilatenko</b:Last>
            <b:First>Anna</b:First>
            <b:Middle/>
          </b:Person>
          <b:Person>
            <b:Last>Mogilatenko</b:Last>
            <b:First>Anna</b:First>
            <b:Middle/>
          </b:Person>
          <b:Person>
            <b:Last>Kirmse</b:Last>
            <b:First>Holm</b:First>
            <b:Middle/>
          </b:Person>
          <b:Person>
            <b:Last>Bierwagen</b:Last>
            <b:First>Oliver</b:First>
            <b:Middle/>
          </b:Person>
          <b:Person>
            <b:Last>Schmidbauer</b:Last>
            <b:First>Martin</b:First>
            <b:Middle/>
          </b:Person>
          <b:Person>
            <b:Last>Tsai</b:Last>
            <b:First>Min-Ying</b:First>
            <b:Middle/>
          </b:Person>
          <b:Person>
            <b:Last>Häusler</b:Last>
            <b:First>I.</b:First>
            <b:Middle/>
          </b:Person>
          <b:Person>
            <b:Last>White</b:Last>
            <b:First>Mark</b:First>
            <b:Middle>E.</b:Middle>
          </b:Person>
          <b:Person>
            <b:Last>Speck</b:Last>
            <b:First>James</b:First>
            <b:Middle>S.</b:Middle>
          </b:Person>
        </b:NameList>
      </b:Author>
    </b:Author>
    <b:Title>Effect of heavy Ga doping on defect structure of SnO2 layers</b:Title>
    <b:JournalName>Physica Status Solidi (a)</b:JournalName>
    <b:City/>
    <b:Year>2014</b:Year>
    <b:Month/>
    <b:Day/>
    <b:Pages>87-92</b:Pages>
    <b:Publisher/>
    <b:Volume>211</b:Volume>
    <b:Issue>1</b:Issue>
    <b:ShortTitle/>
    <b:StandardNumber/>
    <b:Comments/>
    <b:Medium/>
    <b:YearAccessed>2023</b:YearAccessed>
    <b:MonthAccessed>8</b:MonthAccessed>
    <b:DayAccessed>15</b:DayAccessed>
    <b:URL>https://onlinelibrary.wiley.com/doi/abs/10.1002/pssa.201330145</b:URL>
    <b:DOI/>
    <b:RefOrder>1</b:RefOrder>
  </b:Source>
</b:Sources>
</file>

<file path=customXml/itemProps1.xml><?xml version="1.0" encoding="utf-8"?>
<ds:datastoreItem xmlns:ds="http://schemas.openxmlformats.org/officeDocument/2006/customXml" ds:itemID="{7264CDF7-6D24-4C58-83A8-1E2544AF72A2}">
  <ds:schemaRefs>
    <ds:schemaRef ds:uri="http://schemas.openxmlformats.org/officeDocument/2006/bibliography"/>
    <ds:schemaRef ds:uri="urn:schemas-microsoft-com:xslt"/>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7902</Words>
  <Characters>45046</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Shamim Ahmmed</dc:creator>
  <cp:keywords/>
  <dc:description/>
  <cp:lastModifiedBy>ISLAM Ashraful</cp:lastModifiedBy>
  <cp:revision>2</cp:revision>
  <cp:lastPrinted>2024-05-23T14:15:00Z</cp:lastPrinted>
  <dcterms:created xsi:type="dcterms:W3CDTF">2025-01-09T08:42:00Z</dcterms:created>
  <dcterms:modified xsi:type="dcterms:W3CDTF">2025-01-09T08:42:00Z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3d01638642a920888681110c088654dd3de6ebfe5d117e39ccdb51cfacab7c78</vt:lpwstr>
  </property>
</Properties>
</file>