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41FD5" w14:textId="77777777" w:rsidR="002815DD" w:rsidRDefault="00B71C13" w:rsidP="00163BCB">
      <w:pPr>
        <w:spacing w:after="0" w:line="360" w:lineRule="auto"/>
        <w:jc w:val="both"/>
        <w:rPr>
          <w:rFonts w:cs="Calibri"/>
          <w:b/>
          <w:bCs/>
          <w:sz w:val="28"/>
          <w:szCs w:val="28"/>
        </w:rPr>
      </w:pPr>
      <w:bookmarkStart w:id="0" w:name="_Hlk151636859"/>
      <w:r w:rsidRPr="005976A1">
        <w:rPr>
          <w:rFonts w:cs="Calibri"/>
          <w:b/>
          <w:bCs/>
          <w:sz w:val="28"/>
          <w:szCs w:val="28"/>
        </w:rPr>
        <w:t>I</w:t>
      </w:r>
      <w:r w:rsidR="003D5121">
        <w:rPr>
          <w:rFonts w:cs="Calibri"/>
          <w:b/>
          <w:bCs/>
          <w:sz w:val="28"/>
          <w:szCs w:val="28"/>
        </w:rPr>
        <w:t xml:space="preserve">nfluence </w:t>
      </w:r>
      <w:r w:rsidRPr="005976A1">
        <w:rPr>
          <w:rFonts w:cs="Calibri"/>
          <w:b/>
          <w:bCs/>
          <w:sz w:val="28"/>
          <w:szCs w:val="28"/>
        </w:rPr>
        <w:t xml:space="preserve"> of Selenophene A</w:t>
      </w:r>
      <w:r w:rsidR="00DC7465" w:rsidRPr="005976A1">
        <w:rPr>
          <w:rFonts w:cs="Calibri"/>
          <w:b/>
          <w:bCs/>
          <w:sz w:val="28"/>
          <w:szCs w:val="28"/>
        </w:rPr>
        <w:t xml:space="preserve">uxiliary Acceptor </w:t>
      </w:r>
      <w:r w:rsidRPr="005976A1">
        <w:rPr>
          <w:rFonts w:cs="Calibri"/>
          <w:b/>
          <w:bCs/>
          <w:sz w:val="28"/>
          <w:szCs w:val="28"/>
        </w:rPr>
        <w:t>in P</w:t>
      </w:r>
      <w:r w:rsidR="00DC7465" w:rsidRPr="005976A1">
        <w:rPr>
          <w:rFonts w:cs="Calibri"/>
          <w:b/>
          <w:bCs/>
          <w:sz w:val="28"/>
          <w:szCs w:val="28"/>
        </w:rPr>
        <w:t>orphyrin</w:t>
      </w:r>
      <w:r w:rsidRPr="005976A1">
        <w:rPr>
          <w:rFonts w:cs="Calibri"/>
          <w:b/>
          <w:bCs/>
          <w:sz w:val="28"/>
          <w:szCs w:val="28"/>
        </w:rPr>
        <w:t xml:space="preserve"> S</w:t>
      </w:r>
      <w:r w:rsidR="00DC7465" w:rsidRPr="005976A1">
        <w:rPr>
          <w:rFonts w:cs="Calibri"/>
          <w:b/>
          <w:bCs/>
          <w:sz w:val="28"/>
          <w:szCs w:val="28"/>
        </w:rPr>
        <w:t>ensitizers for</w:t>
      </w:r>
      <w:r w:rsidRPr="005976A1">
        <w:rPr>
          <w:rFonts w:cs="Calibri"/>
          <w:b/>
          <w:bCs/>
          <w:sz w:val="28"/>
          <w:szCs w:val="28"/>
        </w:rPr>
        <w:t xml:space="preserve"> High </w:t>
      </w:r>
      <w:r w:rsidR="003D5121">
        <w:rPr>
          <w:rFonts w:cs="Calibri"/>
          <w:b/>
          <w:bCs/>
          <w:sz w:val="28"/>
          <w:szCs w:val="28"/>
        </w:rPr>
        <w:t xml:space="preserve">Performance Dye Sensitized Solar Cells </w:t>
      </w:r>
      <w:bookmarkEnd w:id="0"/>
    </w:p>
    <w:p w14:paraId="2B68D530" w14:textId="3224260A" w:rsidR="00163BCB" w:rsidRPr="005976A1" w:rsidRDefault="00163BCB" w:rsidP="00163BCB">
      <w:pPr>
        <w:spacing w:after="0" w:line="360" w:lineRule="auto"/>
        <w:jc w:val="both"/>
        <w:rPr>
          <w:rFonts w:cs="Calibri"/>
          <w:bCs/>
          <w:sz w:val="24"/>
          <w:szCs w:val="24"/>
          <w:vertAlign w:val="superscript"/>
        </w:rPr>
      </w:pPr>
      <w:r w:rsidRPr="005976A1">
        <w:rPr>
          <w:rFonts w:cs="Calibri"/>
          <w:bCs/>
          <w:sz w:val="24"/>
          <w:szCs w:val="24"/>
        </w:rPr>
        <w:t>Palivela Siva gangadhar</w:t>
      </w:r>
      <w:r w:rsidRPr="005976A1">
        <w:rPr>
          <w:rFonts w:cs="Calibri"/>
          <w:bCs/>
          <w:sz w:val="24"/>
          <w:szCs w:val="24"/>
          <w:vertAlign w:val="superscript"/>
        </w:rPr>
        <w:t>†,‡</w:t>
      </w:r>
      <w:r w:rsidRPr="005976A1">
        <w:rPr>
          <w:rFonts w:cs="Calibri"/>
          <w:bCs/>
          <w:sz w:val="24"/>
          <w:szCs w:val="24"/>
        </w:rPr>
        <w:t>, Silve Das Gupta,</w:t>
      </w:r>
      <w:r w:rsidRPr="005976A1">
        <w:rPr>
          <w:rFonts w:cs="Calibri"/>
          <w:bCs/>
          <w:sz w:val="24"/>
          <w:szCs w:val="24"/>
          <w:vertAlign w:val="superscript"/>
        </w:rPr>
        <w:t>†,‡</w:t>
      </w:r>
      <w:r w:rsidRPr="005976A1">
        <w:rPr>
          <w:rFonts w:cs="Calibri"/>
          <w:bCs/>
          <w:sz w:val="24"/>
          <w:szCs w:val="24"/>
        </w:rPr>
        <w:t xml:space="preserve"> Prakriti R. Bangal,</w:t>
      </w:r>
      <w:r w:rsidRPr="005976A1">
        <w:rPr>
          <w:rFonts w:cs="Calibri"/>
          <w:bCs/>
          <w:sz w:val="24"/>
          <w:szCs w:val="24"/>
          <w:vertAlign w:val="superscript"/>
        </w:rPr>
        <w:t>*,‡,</w:t>
      </w:r>
      <w:r w:rsidRPr="005976A1">
        <w:rPr>
          <w:rFonts w:cs="Calibri"/>
          <w:sz w:val="24"/>
          <w:szCs w:val="24"/>
          <w:vertAlign w:val="superscript"/>
        </w:rPr>
        <w:t>§</w:t>
      </w:r>
      <w:r w:rsidRPr="005976A1">
        <w:rPr>
          <w:rFonts w:cs="Calibri"/>
          <w:bCs/>
          <w:sz w:val="24"/>
          <w:szCs w:val="24"/>
        </w:rPr>
        <w:t xml:space="preserve"> </w:t>
      </w:r>
      <w:bookmarkStart w:id="1" w:name="_Hlk151636886"/>
      <w:r w:rsidR="00294B7E">
        <w:rPr>
          <w:rFonts w:cs="Calibri"/>
          <w:bCs/>
          <w:sz w:val="24"/>
          <w:szCs w:val="24"/>
        </w:rPr>
        <w:t>Towhid H. Chowdhury</w:t>
      </w:r>
      <w:r w:rsidR="00294B7E" w:rsidRPr="005976A1">
        <w:rPr>
          <w:rFonts w:ascii="Times New Roman" w:eastAsia="AdvOT8608a8d1+22" w:hAnsi="Times New Roman" w:cs="Calibri"/>
          <w:sz w:val="24"/>
          <w:szCs w:val="24"/>
          <w:vertAlign w:val="superscript"/>
        </w:rPr>
        <w:t>∥</w:t>
      </w:r>
      <w:bookmarkEnd w:id="1"/>
      <w:r w:rsidR="00294B7E">
        <w:rPr>
          <w:rFonts w:cs="Calibri"/>
          <w:bCs/>
          <w:sz w:val="24"/>
          <w:szCs w:val="24"/>
        </w:rPr>
        <w:t xml:space="preserve">, </w:t>
      </w:r>
      <w:r w:rsidRPr="005976A1">
        <w:rPr>
          <w:rFonts w:cs="Calibri"/>
          <w:bCs/>
          <w:sz w:val="24"/>
          <w:szCs w:val="24"/>
        </w:rPr>
        <w:t>Ashraful Islam,</w:t>
      </w:r>
      <w:r w:rsidRPr="005976A1">
        <w:rPr>
          <w:rFonts w:eastAsia="AdvOT8608a8d1+22" w:cs="Calibri"/>
          <w:sz w:val="24"/>
          <w:szCs w:val="24"/>
          <w:vertAlign w:val="superscript"/>
        </w:rPr>
        <w:t>*</w:t>
      </w:r>
      <w:r w:rsidRPr="005976A1">
        <w:rPr>
          <w:rFonts w:ascii="Times New Roman" w:eastAsia="AdvOT8608a8d1+22" w:hAnsi="Times New Roman" w:cs="Calibri"/>
          <w:sz w:val="24"/>
          <w:szCs w:val="24"/>
          <w:vertAlign w:val="superscript"/>
        </w:rPr>
        <w:t>∥</w:t>
      </w:r>
      <w:r w:rsidRPr="005976A1">
        <w:rPr>
          <w:rFonts w:cs="Calibri"/>
          <w:bCs/>
          <w:sz w:val="24"/>
          <w:szCs w:val="24"/>
        </w:rPr>
        <w:t xml:space="preserve"> Lingamallu Giribabu</w:t>
      </w:r>
      <w:r w:rsidRPr="005976A1">
        <w:rPr>
          <w:rFonts w:cs="Calibri"/>
          <w:bCs/>
          <w:sz w:val="24"/>
          <w:szCs w:val="24"/>
          <w:vertAlign w:val="superscript"/>
        </w:rPr>
        <w:t>*,†,‡</w:t>
      </w:r>
    </w:p>
    <w:p w14:paraId="6FC7689A" w14:textId="77777777" w:rsidR="00163BCB" w:rsidRPr="005976A1" w:rsidRDefault="00163BCB" w:rsidP="00163BCB">
      <w:pPr>
        <w:spacing w:after="0" w:line="360" w:lineRule="auto"/>
        <w:jc w:val="both"/>
        <w:rPr>
          <w:rFonts w:cs="Calibri"/>
          <w:sz w:val="24"/>
          <w:szCs w:val="24"/>
          <w:lang w:val="en-GB"/>
        </w:rPr>
      </w:pPr>
      <w:r w:rsidRPr="005976A1">
        <w:rPr>
          <w:rFonts w:cs="Calibri"/>
          <w:sz w:val="24"/>
          <w:szCs w:val="24"/>
          <w:vertAlign w:val="superscript"/>
        </w:rPr>
        <w:t>†</w:t>
      </w:r>
      <w:r w:rsidRPr="005976A1">
        <w:rPr>
          <w:rFonts w:cs="Calibri"/>
          <w:noProof/>
          <w:sz w:val="24"/>
          <w:szCs w:val="24"/>
        </w:rPr>
        <w:t>Polymers &amp; Functional Materials Division</w:t>
      </w:r>
      <w:r w:rsidRPr="005976A1">
        <w:rPr>
          <w:rFonts w:cs="Calibri"/>
          <w:sz w:val="24"/>
          <w:szCs w:val="24"/>
          <w:lang w:val="en-GB"/>
        </w:rPr>
        <w:t xml:space="preserve">, </w:t>
      </w:r>
      <w:r w:rsidRPr="005976A1">
        <w:rPr>
          <w:rFonts w:cs="Calibri"/>
          <w:noProof/>
          <w:sz w:val="24"/>
          <w:szCs w:val="24"/>
        </w:rPr>
        <w:t xml:space="preserve">CSIR-Indian Institute of Chemical Technology, </w:t>
      </w:r>
      <w:r w:rsidRPr="005976A1">
        <w:rPr>
          <w:rFonts w:cs="Calibri"/>
          <w:noProof/>
          <w:sz w:val="24"/>
          <w:szCs w:val="24"/>
          <w:lang w:val="en-GB"/>
        </w:rPr>
        <w:t xml:space="preserve">Tarnaka, Hyderabad-500007, </w:t>
      </w:r>
      <w:r w:rsidRPr="005976A1">
        <w:rPr>
          <w:rFonts w:cs="Calibri"/>
          <w:sz w:val="24"/>
          <w:szCs w:val="24"/>
          <w:lang w:val="en-GB"/>
        </w:rPr>
        <w:t xml:space="preserve">India. </w:t>
      </w:r>
    </w:p>
    <w:p w14:paraId="5004D7CD" w14:textId="77777777" w:rsidR="00163BCB" w:rsidRPr="005976A1" w:rsidRDefault="00163BCB" w:rsidP="00163BCB">
      <w:pPr>
        <w:spacing w:after="0" w:line="360" w:lineRule="auto"/>
        <w:jc w:val="both"/>
        <w:rPr>
          <w:rFonts w:cs="Calibri"/>
          <w:noProof/>
          <w:sz w:val="24"/>
          <w:szCs w:val="24"/>
        </w:rPr>
      </w:pPr>
      <w:r w:rsidRPr="005976A1">
        <w:rPr>
          <w:rFonts w:cs="Calibri"/>
          <w:sz w:val="24"/>
          <w:szCs w:val="24"/>
          <w:vertAlign w:val="superscript"/>
        </w:rPr>
        <w:t>‡</w:t>
      </w:r>
      <w:r w:rsidRPr="005976A1">
        <w:rPr>
          <w:rFonts w:cs="Calibri"/>
          <w:noProof/>
          <w:sz w:val="24"/>
          <w:szCs w:val="24"/>
        </w:rPr>
        <w:t>Academy of Scientific and Innovative Research, Ghaziabad 201002, India</w:t>
      </w:r>
    </w:p>
    <w:p w14:paraId="64D7B70D" w14:textId="77777777" w:rsidR="00163BCB" w:rsidRPr="005976A1" w:rsidRDefault="00163BCB" w:rsidP="00163BCB">
      <w:pPr>
        <w:spacing w:after="0" w:line="360" w:lineRule="auto"/>
        <w:jc w:val="both"/>
        <w:rPr>
          <w:rFonts w:cs="Calibri"/>
          <w:noProof/>
          <w:sz w:val="24"/>
          <w:szCs w:val="24"/>
        </w:rPr>
      </w:pPr>
      <w:r w:rsidRPr="005976A1">
        <w:rPr>
          <w:rFonts w:cs="Calibri"/>
          <w:sz w:val="24"/>
          <w:szCs w:val="24"/>
          <w:vertAlign w:val="superscript"/>
        </w:rPr>
        <w:t>§</w:t>
      </w:r>
      <w:r w:rsidRPr="005976A1">
        <w:rPr>
          <w:rFonts w:cs="Calibri"/>
          <w:noProof/>
          <w:sz w:val="24"/>
          <w:szCs w:val="24"/>
        </w:rPr>
        <w:t>Departmentof Analytical and Structural Chemistry, CSIR-Indian Institute of Chemical Technology, Hyderabad 50000, India.</w:t>
      </w:r>
    </w:p>
    <w:p w14:paraId="429656EC" w14:textId="77777777" w:rsidR="00163BCB" w:rsidRPr="005976A1" w:rsidRDefault="00163BCB" w:rsidP="00163BCB">
      <w:pPr>
        <w:spacing w:after="0" w:line="360" w:lineRule="auto"/>
        <w:jc w:val="both"/>
        <w:rPr>
          <w:rFonts w:cs="Calibri"/>
          <w:noProof/>
          <w:sz w:val="24"/>
          <w:szCs w:val="24"/>
        </w:rPr>
      </w:pPr>
      <w:r w:rsidRPr="005976A1">
        <w:rPr>
          <w:rFonts w:ascii="Times New Roman" w:eastAsia="AdvOT8608a8d1+22" w:hAnsi="Times New Roman" w:cs="Calibri"/>
          <w:sz w:val="24"/>
          <w:szCs w:val="24"/>
          <w:vertAlign w:val="superscript"/>
        </w:rPr>
        <w:t>∥</w:t>
      </w:r>
      <w:r w:rsidRPr="005976A1">
        <w:rPr>
          <w:rFonts w:cs="Calibri"/>
          <w:noProof/>
          <w:sz w:val="24"/>
          <w:szCs w:val="24"/>
        </w:rPr>
        <w:t>Photovoltaic Materials Unit, National Institute for Materials Science, Sengen 1-2-1, Tsukuba, Ibaraki 305-0047, Japan.</w:t>
      </w:r>
    </w:p>
    <w:p w14:paraId="1C91767A" w14:textId="77777777" w:rsidR="00163BCB" w:rsidRDefault="00163BCB" w:rsidP="00163BCB">
      <w:pPr>
        <w:pBdr>
          <w:bottom w:val="single" w:sz="12" w:space="1" w:color="auto"/>
        </w:pBdr>
        <w:tabs>
          <w:tab w:val="right" w:pos="9026"/>
        </w:tabs>
        <w:spacing w:after="0" w:line="360" w:lineRule="auto"/>
        <w:jc w:val="both"/>
        <w:rPr>
          <w:rFonts w:cs="Calibri"/>
          <w:sz w:val="24"/>
          <w:szCs w:val="24"/>
        </w:rPr>
      </w:pPr>
      <w:r w:rsidRPr="005976A1">
        <w:rPr>
          <w:rFonts w:cs="Calibri"/>
          <w:sz w:val="24"/>
          <w:szCs w:val="24"/>
        </w:rPr>
        <w:t xml:space="preserve">Corresponding authors: </w:t>
      </w:r>
      <w:hyperlink r:id="rId7" w:history="1">
        <w:r w:rsidRPr="005976A1">
          <w:rPr>
            <w:rStyle w:val="Hyperlink"/>
            <w:rFonts w:cs="Calibri"/>
            <w:sz w:val="24"/>
            <w:szCs w:val="24"/>
            <w:lang w:val="en-GB"/>
          </w:rPr>
          <w:t>giribabu@iict.res.in</w:t>
        </w:r>
      </w:hyperlink>
      <w:r w:rsidRPr="005976A1">
        <w:rPr>
          <w:rFonts w:cs="Calibri"/>
          <w:sz w:val="24"/>
          <w:szCs w:val="24"/>
        </w:rPr>
        <w:t>, Phone: +91-40-27191724, Fax: +91-40-27160921.</w:t>
      </w:r>
    </w:p>
    <w:p w14:paraId="137AD886" w14:textId="039D0F19" w:rsidR="00294B7E" w:rsidRPr="005976A1" w:rsidRDefault="00294B7E" w:rsidP="00294B7E">
      <w:pPr>
        <w:pBdr>
          <w:bottom w:val="single" w:sz="12" w:space="1" w:color="auto"/>
        </w:pBdr>
        <w:tabs>
          <w:tab w:val="right" w:pos="9026"/>
        </w:tabs>
        <w:spacing w:after="0" w:line="360" w:lineRule="auto"/>
        <w:jc w:val="both"/>
        <w:rPr>
          <w:rFonts w:cs="Calibri"/>
          <w:sz w:val="24"/>
          <w:szCs w:val="24"/>
        </w:rPr>
      </w:pPr>
      <w:hyperlink r:id="rId8" w:history="1">
        <w:r w:rsidRPr="00BA15ED">
          <w:rPr>
            <w:rStyle w:val="Hyperlink"/>
            <w:rFonts w:cs="Calibri"/>
            <w:sz w:val="24"/>
            <w:szCs w:val="24"/>
          </w:rPr>
          <w:t>ISLAM.Ashraful@nims.go.jp</w:t>
        </w:r>
      </w:hyperlink>
      <w:r>
        <w:rPr>
          <w:rFonts w:cs="Calibri"/>
          <w:sz w:val="24"/>
          <w:szCs w:val="24"/>
        </w:rPr>
        <w:t xml:space="preserve">, </w:t>
      </w:r>
      <w:r w:rsidRPr="00294B7E">
        <w:rPr>
          <w:rFonts w:cs="Calibri"/>
          <w:sz w:val="24"/>
          <w:szCs w:val="24"/>
        </w:rPr>
        <w:t>P</w:t>
      </w:r>
      <w:r w:rsidR="004571A3">
        <w:rPr>
          <w:rFonts w:cs="Calibri"/>
          <w:sz w:val="24"/>
          <w:szCs w:val="24"/>
        </w:rPr>
        <w:t>hone</w:t>
      </w:r>
      <w:r w:rsidRPr="00294B7E">
        <w:rPr>
          <w:rFonts w:cs="Calibri"/>
          <w:sz w:val="24"/>
          <w:szCs w:val="24"/>
        </w:rPr>
        <w:t>: +81-298- 859 2129</w:t>
      </w:r>
      <w:r>
        <w:rPr>
          <w:rFonts w:cs="Calibri"/>
          <w:sz w:val="24"/>
          <w:szCs w:val="24"/>
        </w:rPr>
        <w:t xml:space="preserve">, </w:t>
      </w:r>
      <w:r w:rsidRPr="00294B7E">
        <w:rPr>
          <w:rFonts w:cs="Calibri"/>
          <w:sz w:val="24"/>
          <w:szCs w:val="24"/>
        </w:rPr>
        <w:t>FAX: +81-298- 859 2301</w:t>
      </w:r>
      <w:r>
        <w:rPr>
          <w:rFonts w:cs="Calibri"/>
          <w:sz w:val="24"/>
          <w:szCs w:val="24"/>
        </w:rPr>
        <w:t>.</w:t>
      </w:r>
    </w:p>
    <w:p w14:paraId="6AD15AFA" w14:textId="77777777" w:rsidR="00163BCB" w:rsidRPr="005976A1" w:rsidRDefault="00163BCB" w:rsidP="009E1B35">
      <w:pPr>
        <w:autoSpaceDE w:val="0"/>
        <w:autoSpaceDN w:val="0"/>
        <w:adjustRightInd w:val="0"/>
        <w:spacing w:after="0" w:line="360" w:lineRule="auto"/>
        <w:jc w:val="both"/>
        <w:rPr>
          <w:rFonts w:cs="Calibri"/>
          <w:b/>
          <w:sz w:val="24"/>
          <w:szCs w:val="24"/>
        </w:rPr>
      </w:pPr>
      <w:r w:rsidRPr="005976A1">
        <w:rPr>
          <w:rFonts w:cs="Calibri"/>
          <w:b/>
          <w:sz w:val="24"/>
          <w:szCs w:val="24"/>
        </w:rPr>
        <w:t>Abstract</w:t>
      </w:r>
    </w:p>
    <w:p w14:paraId="7C9C21E7" w14:textId="47F7EB0A" w:rsidR="009E1B35" w:rsidRPr="005976A1" w:rsidRDefault="008274D1" w:rsidP="008274D1">
      <w:pPr>
        <w:autoSpaceDE w:val="0"/>
        <w:autoSpaceDN w:val="0"/>
        <w:adjustRightInd w:val="0"/>
        <w:spacing w:after="0" w:line="360" w:lineRule="auto"/>
        <w:jc w:val="both"/>
        <w:rPr>
          <w:rFonts w:eastAsia="CharisSIL" w:cs="Calibri"/>
          <w:sz w:val="24"/>
          <w:szCs w:val="24"/>
        </w:rPr>
      </w:pPr>
      <w:r w:rsidRPr="008274D1">
        <w:rPr>
          <w:rFonts w:cs="Calibri"/>
          <w:sz w:val="24"/>
          <w:szCs w:val="24"/>
        </w:rPr>
        <w:t>Porphyrin-based dyes are widely used as sensitizers for dye-sensitized</w:t>
      </w:r>
      <w:r>
        <w:rPr>
          <w:rFonts w:cs="Calibri"/>
          <w:sz w:val="24"/>
          <w:szCs w:val="24"/>
        </w:rPr>
        <w:t xml:space="preserve"> </w:t>
      </w:r>
      <w:r w:rsidRPr="008274D1">
        <w:rPr>
          <w:rFonts w:cs="Calibri"/>
          <w:sz w:val="24"/>
          <w:szCs w:val="24"/>
        </w:rPr>
        <w:t>solar cells (DSSCs), but their power conversion efficiencies (PCEs) are limited mainly</w:t>
      </w:r>
      <w:r>
        <w:rPr>
          <w:rFonts w:cs="Calibri"/>
          <w:sz w:val="24"/>
          <w:szCs w:val="24"/>
        </w:rPr>
        <w:t xml:space="preserve"> </w:t>
      </w:r>
      <w:r w:rsidRPr="008274D1">
        <w:rPr>
          <w:rFonts w:cs="Calibri"/>
          <w:sz w:val="24"/>
          <w:szCs w:val="24"/>
        </w:rPr>
        <w:t>due to charge recombination and aggregation tendency. Here, we report two D−π−A</w:t>
      </w:r>
      <w:r>
        <w:rPr>
          <w:rFonts w:cs="Calibri"/>
          <w:sz w:val="24"/>
          <w:szCs w:val="24"/>
        </w:rPr>
        <w:t xml:space="preserve"> </w:t>
      </w:r>
      <w:r w:rsidRPr="008274D1">
        <w:rPr>
          <w:rFonts w:cs="Calibri"/>
          <w:sz w:val="24"/>
          <w:szCs w:val="24"/>
        </w:rPr>
        <w:t>porphyrin-based sensitizers, LG 28 and LG 29, which comprise a 3-ethynylphenothiazine</w:t>
      </w:r>
      <w:r>
        <w:rPr>
          <w:rFonts w:cs="Calibri"/>
          <w:sz w:val="24"/>
          <w:szCs w:val="24"/>
        </w:rPr>
        <w:t xml:space="preserve"> </w:t>
      </w:r>
      <w:r w:rsidRPr="008274D1">
        <w:rPr>
          <w:rFonts w:cs="Calibri"/>
          <w:sz w:val="24"/>
          <w:szCs w:val="24"/>
        </w:rPr>
        <w:t>as an electron donor, meso-substituted porphyrin as a π-spacer, and selenophene</w:t>
      </w:r>
      <w:r>
        <w:rPr>
          <w:rFonts w:cs="Calibri"/>
          <w:sz w:val="24"/>
          <w:szCs w:val="24"/>
        </w:rPr>
        <w:t xml:space="preserve"> </w:t>
      </w:r>
      <w:r w:rsidRPr="008274D1">
        <w:rPr>
          <w:rFonts w:cs="Calibri"/>
          <w:sz w:val="24"/>
          <w:szCs w:val="24"/>
        </w:rPr>
        <w:t>and cyanoacrylic acid as an auxiliary acceptor and anchoring group, respectively. When</w:t>
      </w:r>
      <w:r>
        <w:rPr>
          <w:rFonts w:cs="Calibri"/>
          <w:sz w:val="24"/>
          <w:szCs w:val="24"/>
        </w:rPr>
        <w:t xml:space="preserve"> </w:t>
      </w:r>
      <w:r w:rsidRPr="008274D1">
        <w:rPr>
          <w:rFonts w:cs="Calibri"/>
          <w:sz w:val="24"/>
          <w:szCs w:val="24"/>
        </w:rPr>
        <w:t>compared to the LG5 dye, we have replaced the thiophene (LG5) unit with 2-phenylselenophene (LG 28) and 2-(selenophenye-2yl)thiophene (LG 29) auxiliary</w:t>
      </w:r>
      <w:r>
        <w:rPr>
          <w:rFonts w:cs="Calibri"/>
          <w:sz w:val="24"/>
          <w:szCs w:val="24"/>
        </w:rPr>
        <w:t xml:space="preserve"> </w:t>
      </w:r>
      <w:r w:rsidRPr="008274D1">
        <w:rPr>
          <w:rFonts w:cs="Calibri"/>
          <w:sz w:val="24"/>
          <w:szCs w:val="24"/>
        </w:rPr>
        <w:t>acceptors. Upon successful substitution with the selenophene unit, the molar extinction</w:t>
      </w:r>
      <w:r>
        <w:rPr>
          <w:rFonts w:cs="Calibri"/>
          <w:sz w:val="24"/>
          <w:szCs w:val="24"/>
        </w:rPr>
        <w:t xml:space="preserve"> </w:t>
      </w:r>
      <w:r w:rsidRPr="008274D1">
        <w:rPr>
          <w:rFonts w:cs="Calibri"/>
          <w:sz w:val="24"/>
          <w:szCs w:val="24"/>
        </w:rPr>
        <w:t>coefficient was increased without noticeable change in absorption maxima. Density</w:t>
      </w:r>
      <w:r>
        <w:rPr>
          <w:rFonts w:cs="Calibri"/>
          <w:sz w:val="24"/>
          <w:szCs w:val="24"/>
        </w:rPr>
        <w:t xml:space="preserve"> </w:t>
      </w:r>
      <w:r w:rsidRPr="008274D1">
        <w:rPr>
          <w:rFonts w:cs="Calibri"/>
          <w:sz w:val="24"/>
          <w:szCs w:val="24"/>
        </w:rPr>
        <w:t>functional theory studies suggest that the intramolecular interactions between donor</w:t>
      </w:r>
      <w:r>
        <w:rPr>
          <w:rFonts w:cs="Calibri"/>
          <w:sz w:val="24"/>
          <w:szCs w:val="24"/>
        </w:rPr>
        <w:t xml:space="preserve"> </w:t>
      </w:r>
      <w:r w:rsidRPr="008274D1">
        <w:rPr>
          <w:rFonts w:cs="Calibri"/>
          <w:sz w:val="24"/>
          <w:szCs w:val="24"/>
        </w:rPr>
        <w:t>phenothiazine and acceptor anchoring groups in both sensitizers play a pivotal role.</w:t>
      </w:r>
      <w:r>
        <w:rPr>
          <w:rFonts w:cs="Calibri"/>
          <w:sz w:val="24"/>
          <w:szCs w:val="24"/>
        </w:rPr>
        <w:t xml:space="preserve"> </w:t>
      </w:r>
      <w:r w:rsidRPr="008274D1">
        <w:rPr>
          <w:rFonts w:cs="Calibri"/>
          <w:sz w:val="24"/>
          <w:szCs w:val="24"/>
        </w:rPr>
        <w:t>Excited state properties are found to be quenched for the sensitizers upon the formation</w:t>
      </w:r>
      <w:r>
        <w:rPr>
          <w:rFonts w:cs="Calibri"/>
          <w:sz w:val="24"/>
          <w:szCs w:val="24"/>
        </w:rPr>
        <w:t xml:space="preserve"> </w:t>
      </w:r>
      <w:r w:rsidRPr="008274D1">
        <w:rPr>
          <w:rFonts w:cs="Calibri"/>
          <w:sz w:val="24"/>
          <w:szCs w:val="24"/>
        </w:rPr>
        <w:t>of self-assembled monolayers on nanocrystalline TiO2. Finally, we have evaluated the device performances of both sensitizers in</w:t>
      </w:r>
      <w:r>
        <w:rPr>
          <w:rFonts w:cs="Calibri"/>
          <w:sz w:val="24"/>
          <w:szCs w:val="24"/>
        </w:rPr>
        <w:t xml:space="preserve"> </w:t>
      </w:r>
      <w:r w:rsidRPr="008274D1">
        <w:rPr>
          <w:rFonts w:cs="Calibri"/>
          <w:sz w:val="24"/>
          <w:szCs w:val="24"/>
        </w:rPr>
        <w:t>DSSCs using I−/I3</w:t>
      </w:r>
      <w:r>
        <w:rPr>
          <w:rFonts w:cs="Calibri"/>
          <w:sz w:val="24"/>
          <w:szCs w:val="24"/>
        </w:rPr>
        <w:t xml:space="preserve"> </w:t>
      </w:r>
      <w:r w:rsidRPr="008274D1">
        <w:rPr>
          <w:rFonts w:cs="Calibri"/>
          <w:sz w:val="24"/>
          <w:szCs w:val="24"/>
        </w:rPr>
        <w:t>− liquid redox electrolyte and device efficiency of 8.83 and 10.31% using LG 28 and LG 29-based sensitizers,</w:t>
      </w:r>
      <w:r>
        <w:rPr>
          <w:rFonts w:cs="Calibri"/>
          <w:sz w:val="24"/>
          <w:szCs w:val="24"/>
        </w:rPr>
        <w:t xml:space="preserve"> </w:t>
      </w:r>
      <w:r w:rsidRPr="008274D1">
        <w:rPr>
          <w:rFonts w:cs="Calibri"/>
          <w:sz w:val="24"/>
          <w:szCs w:val="24"/>
        </w:rPr>
        <w:t xml:space="preserve">respectively. To understand the observed photovoltaic trends, we </w:t>
      </w:r>
      <w:r w:rsidRPr="008274D1">
        <w:rPr>
          <w:rFonts w:cs="Calibri"/>
          <w:sz w:val="24"/>
          <w:szCs w:val="24"/>
        </w:rPr>
        <w:lastRenderedPageBreak/>
        <w:t>have performed ultrafast transient absorption studies on bare LG</w:t>
      </w:r>
      <w:r>
        <w:rPr>
          <w:rFonts w:cs="Calibri"/>
          <w:sz w:val="24"/>
          <w:szCs w:val="24"/>
        </w:rPr>
        <w:t xml:space="preserve"> </w:t>
      </w:r>
      <w:r w:rsidRPr="008274D1">
        <w:rPr>
          <w:rFonts w:cs="Calibri"/>
          <w:sz w:val="24"/>
          <w:szCs w:val="24"/>
        </w:rPr>
        <w:t>28 and LG 29 sensitizers in the presence of TiO2 in solution phase, respectively. The described results confirm multilevel electron</w:t>
      </w:r>
      <w:r>
        <w:rPr>
          <w:rFonts w:cs="Calibri"/>
          <w:sz w:val="24"/>
          <w:szCs w:val="24"/>
        </w:rPr>
        <w:t xml:space="preserve"> </w:t>
      </w:r>
      <w:r w:rsidRPr="008274D1">
        <w:rPr>
          <w:rFonts w:cs="Calibri"/>
          <w:sz w:val="24"/>
          <w:szCs w:val="24"/>
        </w:rPr>
        <w:t>injection from different higher excited singlet states of the LG 28 sensitizer to the TiO2 conduction band with an overall rate of</w:t>
      </w:r>
      <w:r>
        <w:rPr>
          <w:rFonts w:cs="Calibri"/>
          <w:sz w:val="24"/>
          <w:szCs w:val="24"/>
        </w:rPr>
        <w:t xml:space="preserve"> </w:t>
      </w:r>
      <w:r w:rsidRPr="008274D1">
        <w:rPr>
          <w:rFonts w:cs="Calibri"/>
          <w:sz w:val="24"/>
          <w:szCs w:val="24"/>
        </w:rPr>
        <w:t>electron injection of 3.84 × 1011 s−1, contrary to electron injection from the lowest excited state of the LG 29 sensitizer to the TiO2</w:t>
      </w:r>
      <w:r>
        <w:rPr>
          <w:rFonts w:cs="Calibri"/>
          <w:sz w:val="24"/>
          <w:szCs w:val="24"/>
        </w:rPr>
        <w:t xml:space="preserve"> </w:t>
      </w:r>
      <w:r w:rsidRPr="008274D1">
        <w:rPr>
          <w:rFonts w:cs="Calibri"/>
          <w:sz w:val="24"/>
          <w:szCs w:val="24"/>
        </w:rPr>
        <w:t>conduction band with a two-order slower rate of electron injection with a higher device efficiency than that of LG 28, and it is</w:t>
      </w:r>
      <w:r>
        <w:rPr>
          <w:rFonts w:cs="Calibri"/>
          <w:sz w:val="24"/>
          <w:szCs w:val="24"/>
        </w:rPr>
        <w:t xml:space="preserve"> </w:t>
      </w:r>
      <w:r w:rsidRPr="008274D1">
        <w:rPr>
          <w:rFonts w:cs="Calibri"/>
          <w:sz w:val="24"/>
          <w:szCs w:val="24"/>
        </w:rPr>
        <w:t>attributed to onset incident-photon-to-currents efficiency, which extends to 900 nm in LG 29 dye.</w:t>
      </w:r>
    </w:p>
    <w:p w14:paraId="0CCD8924" w14:textId="77777777" w:rsidR="00EB7735" w:rsidRPr="005976A1" w:rsidRDefault="00EB7735" w:rsidP="009E1B35">
      <w:pPr>
        <w:autoSpaceDE w:val="0"/>
        <w:autoSpaceDN w:val="0"/>
        <w:adjustRightInd w:val="0"/>
        <w:spacing w:after="0" w:line="360" w:lineRule="auto"/>
        <w:jc w:val="both"/>
        <w:rPr>
          <w:rFonts w:eastAsia="CharisSIL" w:cs="Calibri"/>
          <w:sz w:val="24"/>
          <w:szCs w:val="24"/>
        </w:rPr>
      </w:pPr>
    </w:p>
    <w:p w14:paraId="4412E50C" w14:textId="77777777" w:rsidR="00A45C9D" w:rsidRPr="005976A1" w:rsidRDefault="00163BCB" w:rsidP="00DB5025">
      <w:pPr>
        <w:spacing w:after="0" w:line="360" w:lineRule="auto"/>
        <w:jc w:val="both"/>
        <w:rPr>
          <w:rFonts w:eastAsia="CharisSIL" w:cs="Calibri"/>
          <w:sz w:val="24"/>
          <w:szCs w:val="24"/>
        </w:rPr>
      </w:pPr>
      <w:r w:rsidRPr="005976A1">
        <w:rPr>
          <w:rFonts w:eastAsia="CharisSIL" w:cs="Calibri"/>
          <w:sz w:val="24"/>
          <w:szCs w:val="24"/>
        </w:rPr>
        <w:t xml:space="preserve">Key Words: Porphyrin sensitizers, dye-sensitized solar cells, donor-π-acceptor, </w:t>
      </w:r>
      <w:r w:rsidR="00A45C9D" w:rsidRPr="005976A1">
        <w:rPr>
          <w:rFonts w:eastAsia="CharisSIL" w:cs="Calibri"/>
          <w:sz w:val="24"/>
          <w:szCs w:val="24"/>
        </w:rPr>
        <w:t xml:space="preserve">liquid redox couple, multiple electron injection, long-lived charge separated state. </w:t>
      </w:r>
    </w:p>
    <w:p w14:paraId="23E9D554" w14:textId="77777777" w:rsidR="00163BCB" w:rsidRPr="005976A1" w:rsidRDefault="00A45C9D" w:rsidP="00DB5025">
      <w:pPr>
        <w:spacing w:after="0" w:line="360" w:lineRule="auto"/>
        <w:jc w:val="both"/>
        <w:rPr>
          <w:rFonts w:eastAsia="CharisSIL" w:cs="Calibri"/>
          <w:sz w:val="24"/>
          <w:szCs w:val="24"/>
        </w:rPr>
      </w:pPr>
      <w:r w:rsidRPr="005976A1">
        <w:rPr>
          <w:rFonts w:eastAsia="CharisSIL" w:cs="Calibri"/>
          <w:sz w:val="24"/>
          <w:szCs w:val="24"/>
        </w:rPr>
        <w:t xml:space="preserve"> </w:t>
      </w:r>
    </w:p>
    <w:p w14:paraId="5CA9B46E" w14:textId="77777777" w:rsidR="00DB5025" w:rsidRPr="005976A1" w:rsidRDefault="00DB5025" w:rsidP="00DB5025">
      <w:pPr>
        <w:spacing w:after="0" w:line="360" w:lineRule="auto"/>
        <w:jc w:val="both"/>
        <w:rPr>
          <w:rFonts w:cs="Calibri"/>
          <w:b/>
          <w:sz w:val="24"/>
          <w:szCs w:val="24"/>
          <w:lang w:val="en-IN"/>
        </w:rPr>
      </w:pPr>
      <w:r w:rsidRPr="005976A1">
        <w:rPr>
          <w:rFonts w:cs="Calibri"/>
          <w:b/>
          <w:sz w:val="24"/>
          <w:szCs w:val="24"/>
          <w:lang w:val="en-IN"/>
        </w:rPr>
        <w:t>Introduction</w:t>
      </w:r>
    </w:p>
    <w:p w14:paraId="757BD3A6" w14:textId="10E080B5" w:rsidR="00080E28" w:rsidRPr="005976A1" w:rsidRDefault="00DB5025" w:rsidP="00DB5025">
      <w:pPr>
        <w:spacing w:after="0" w:line="360" w:lineRule="auto"/>
        <w:jc w:val="both"/>
        <w:rPr>
          <w:rFonts w:cs="Calibri"/>
          <w:sz w:val="24"/>
          <w:szCs w:val="24"/>
          <w:vertAlign w:val="superscript"/>
          <w:lang w:val="en-IN"/>
        </w:rPr>
      </w:pPr>
      <w:r w:rsidRPr="005976A1">
        <w:rPr>
          <w:rFonts w:cs="Calibri"/>
          <w:sz w:val="24"/>
          <w:szCs w:val="24"/>
          <w:lang w:val="en-IN"/>
        </w:rPr>
        <w:t>In the modern era, the growing consumption of fossil fuel energy sources associated with the fast development of industry and search for the low-cost alternative technologies have encouraged  researchers.</w:t>
      </w:r>
      <w:r w:rsidR="00B21739" w:rsidRPr="005976A1">
        <w:rPr>
          <w:rFonts w:cs="Calibri"/>
          <w:sz w:val="24"/>
          <w:szCs w:val="24"/>
          <w:vertAlign w:val="superscript"/>
          <w:lang w:val="en-IN"/>
        </w:rPr>
        <w:t>1</w:t>
      </w:r>
      <w:r w:rsidRPr="005976A1">
        <w:rPr>
          <w:rFonts w:cs="Calibri"/>
          <w:sz w:val="24"/>
          <w:szCs w:val="24"/>
          <w:lang w:val="en-IN"/>
        </w:rPr>
        <w:t xml:space="preserve">  In this </w:t>
      </w:r>
      <w:r w:rsidR="000C5942">
        <w:rPr>
          <w:rFonts w:cs="Calibri"/>
          <w:sz w:val="24"/>
          <w:szCs w:val="24"/>
          <w:lang w:val="en-IN"/>
        </w:rPr>
        <w:t>concern</w:t>
      </w:r>
      <w:r w:rsidRPr="005976A1">
        <w:rPr>
          <w:rFonts w:cs="Calibri"/>
          <w:sz w:val="24"/>
          <w:szCs w:val="24"/>
          <w:lang w:val="en-IN"/>
        </w:rPr>
        <w:t>e, sun light has been considered as the most feasible choice for a clean and renewable energy source.</w:t>
      </w:r>
      <w:r w:rsidR="00B21739" w:rsidRPr="005976A1">
        <w:rPr>
          <w:rFonts w:cs="Calibri"/>
          <w:sz w:val="24"/>
          <w:szCs w:val="24"/>
          <w:vertAlign w:val="superscript"/>
          <w:lang w:val="en-IN"/>
        </w:rPr>
        <w:t>2</w:t>
      </w:r>
      <w:r w:rsidRPr="005976A1">
        <w:rPr>
          <w:rFonts w:cs="Calibri"/>
          <w:sz w:val="24"/>
          <w:szCs w:val="24"/>
          <w:vertAlign w:val="superscript"/>
          <w:lang w:val="en-IN"/>
        </w:rPr>
        <w:t xml:space="preserve"> </w:t>
      </w:r>
      <w:r w:rsidRPr="005976A1">
        <w:rPr>
          <w:rFonts w:cs="Calibri"/>
          <w:sz w:val="24"/>
          <w:szCs w:val="24"/>
          <w:lang w:val="en-IN"/>
        </w:rPr>
        <w:t>Dye sensitised solar-cells (DSSCs) are a promising cost-effective and highly efficient photovoltaic-technology for utilising solar electricity among many photovoltaic technologies.</w:t>
      </w:r>
      <w:r w:rsidR="00B21739" w:rsidRPr="005976A1">
        <w:rPr>
          <w:rFonts w:cs="Calibri"/>
          <w:sz w:val="24"/>
          <w:szCs w:val="24"/>
          <w:vertAlign w:val="superscript"/>
          <w:lang w:val="en-IN"/>
        </w:rPr>
        <w:t>3</w:t>
      </w:r>
      <w:r w:rsidR="004105B9" w:rsidRPr="005976A1">
        <w:rPr>
          <w:rFonts w:cs="Calibri"/>
          <w:sz w:val="24"/>
          <w:szCs w:val="24"/>
          <w:vertAlign w:val="superscript"/>
          <w:lang w:val="en-IN"/>
        </w:rPr>
        <w:t>,4</w:t>
      </w:r>
      <w:r w:rsidRPr="005976A1">
        <w:rPr>
          <w:rFonts w:cs="Calibri"/>
          <w:sz w:val="24"/>
          <w:szCs w:val="24"/>
          <w:lang w:val="en-IN"/>
        </w:rPr>
        <w:t xml:space="preserve"> In </w:t>
      </w:r>
      <w:r w:rsidR="000C5942">
        <w:rPr>
          <w:rFonts w:cs="Calibri"/>
          <w:sz w:val="24"/>
          <w:szCs w:val="24"/>
          <w:lang w:val="en-IN"/>
        </w:rPr>
        <w:t xml:space="preserve">a </w:t>
      </w:r>
      <w:r w:rsidRPr="005976A1">
        <w:rPr>
          <w:rFonts w:cs="Calibri"/>
          <w:sz w:val="24"/>
          <w:szCs w:val="24"/>
          <w:lang w:val="en-IN"/>
        </w:rPr>
        <w:t xml:space="preserve">DSSC, sensitizers play a significant task in light-harvesting and power conversion efficiency (PCE). </w:t>
      </w:r>
      <w:r w:rsidR="004105B9" w:rsidRPr="005976A1">
        <w:rPr>
          <w:rFonts w:cs="Calibri"/>
          <w:sz w:val="24"/>
          <w:szCs w:val="24"/>
        </w:rPr>
        <w:t xml:space="preserve">Since Gratzel and co-workers </w:t>
      </w:r>
      <w:r w:rsidR="000C5942">
        <w:rPr>
          <w:rFonts w:cs="Calibri"/>
          <w:sz w:val="24"/>
          <w:szCs w:val="24"/>
        </w:rPr>
        <w:t>reported</w:t>
      </w:r>
      <w:r w:rsidR="004105B9" w:rsidRPr="005976A1">
        <w:rPr>
          <w:rFonts w:cs="Calibri"/>
          <w:sz w:val="24"/>
          <w:szCs w:val="24"/>
        </w:rPr>
        <w:t xml:space="preserve"> in 1991, ruthenium dye</w:t>
      </w:r>
      <w:r w:rsidR="000C5942">
        <w:rPr>
          <w:rFonts w:cs="Calibri"/>
          <w:sz w:val="24"/>
          <w:szCs w:val="24"/>
        </w:rPr>
        <w:t xml:space="preserve"> based DSSCs showed </w:t>
      </w:r>
      <w:r w:rsidR="004105B9" w:rsidRPr="005976A1">
        <w:rPr>
          <w:rFonts w:cs="Calibri"/>
          <w:sz w:val="24"/>
          <w:szCs w:val="24"/>
        </w:rPr>
        <w:t xml:space="preserve"> a PCE of 7.1% and later has crossed with certified </w:t>
      </w:r>
      <w:r w:rsidR="00E01CFF" w:rsidRPr="005976A1">
        <w:rPr>
          <w:rFonts w:cs="Calibri"/>
          <w:sz w:val="24"/>
          <w:szCs w:val="24"/>
        </w:rPr>
        <w:t xml:space="preserve">power conversion </w:t>
      </w:r>
      <w:r w:rsidR="004105B9" w:rsidRPr="005976A1">
        <w:rPr>
          <w:rFonts w:cs="Calibri"/>
          <w:sz w:val="24"/>
          <w:szCs w:val="24"/>
        </w:rPr>
        <w:t>efficiency</w:t>
      </w:r>
      <w:r w:rsidR="00E01CFF" w:rsidRPr="005976A1">
        <w:rPr>
          <w:rFonts w:cs="Calibri"/>
          <w:sz w:val="24"/>
          <w:szCs w:val="24"/>
        </w:rPr>
        <w:t xml:space="preserve"> (PCE)</w:t>
      </w:r>
      <w:r w:rsidR="004105B9" w:rsidRPr="005976A1">
        <w:rPr>
          <w:rFonts w:cs="Calibri"/>
          <w:sz w:val="24"/>
          <w:szCs w:val="24"/>
        </w:rPr>
        <w:t xml:space="preserve"> of 12%.</w:t>
      </w:r>
      <w:r w:rsidR="004105B9" w:rsidRPr="005976A1">
        <w:rPr>
          <w:rFonts w:cs="Calibri"/>
          <w:sz w:val="24"/>
          <w:szCs w:val="24"/>
          <w:vertAlign w:val="superscript"/>
        </w:rPr>
        <w:t xml:space="preserve">5-10 </w:t>
      </w:r>
      <w:r w:rsidRPr="005976A1">
        <w:rPr>
          <w:rFonts w:cs="Calibri"/>
          <w:sz w:val="24"/>
          <w:szCs w:val="24"/>
          <w:lang w:val="en-IN"/>
        </w:rPr>
        <w:t xml:space="preserve">Regardless of their high PCE, the main difficulties of Ru(II) poly-pyridyl complexes are </w:t>
      </w:r>
      <w:r w:rsidR="000C5942">
        <w:rPr>
          <w:rFonts w:cs="Calibri"/>
          <w:sz w:val="24"/>
          <w:szCs w:val="24"/>
          <w:lang w:val="en-IN"/>
        </w:rPr>
        <w:t xml:space="preserve">less feasible </w:t>
      </w:r>
      <w:r w:rsidRPr="005976A1">
        <w:rPr>
          <w:rFonts w:cs="Calibri"/>
          <w:sz w:val="24"/>
          <w:szCs w:val="24"/>
          <w:lang w:val="en-IN"/>
        </w:rPr>
        <w:t xml:space="preserve"> due to the less abundant nature </w:t>
      </w:r>
      <w:r w:rsidR="000C5942">
        <w:rPr>
          <w:rFonts w:cs="Calibri"/>
          <w:sz w:val="24"/>
          <w:szCs w:val="24"/>
          <w:lang w:val="en-IN"/>
        </w:rPr>
        <w:t xml:space="preserve"> of Ru </w:t>
      </w:r>
      <w:r w:rsidRPr="005976A1">
        <w:rPr>
          <w:rFonts w:cs="Calibri"/>
          <w:sz w:val="24"/>
          <w:szCs w:val="24"/>
          <w:lang w:val="en-IN"/>
        </w:rPr>
        <w:t xml:space="preserve">in the earth's crust, and </w:t>
      </w:r>
      <w:r w:rsidR="000C5942">
        <w:rPr>
          <w:rFonts w:cs="Calibri"/>
          <w:sz w:val="24"/>
          <w:szCs w:val="24"/>
          <w:lang w:val="en-IN"/>
        </w:rPr>
        <w:t xml:space="preserve">low </w:t>
      </w:r>
      <w:r w:rsidRPr="005976A1">
        <w:rPr>
          <w:rFonts w:cs="Calibri"/>
          <w:sz w:val="24"/>
          <w:szCs w:val="24"/>
          <w:lang w:val="en-IN"/>
        </w:rPr>
        <w:t xml:space="preserve"> absorption in the near-infrared(IR) region. Among a variety of sensitizers, tetrapyrrolic systems such as porphyrins are best alternatives to Ru(II) polypyridyl complexes based on their remarkable optoelectronic properties, facile structural alterations and thermal stability.</w:t>
      </w:r>
      <w:r w:rsidR="004105B9" w:rsidRPr="005976A1">
        <w:rPr>
          <w:rFonts w:cs="Calibri"/>
          <w:sz w:val="24"/>
          <w:szCs w:val="24"/>
          <w:vertAlign w:val="superscript"/>
          <w:lang w:val="en-IN"/>
        </w:rPr>
        <w:t>11,12</w:t>
      </w:r>
      <w:r w:rsidRPr="005976A1">
        <w:rPr>
          <w:rFonts w:cs="Calibri"/>
          <w:sz w:val="24"/>
          <w:szCs w:val="24"/>
          <w:vertAlign w:val="superscript"/>
          <w:lang w:val="en-IN"/>
        </w:rPr>
        <w:t xml:space="preserve"> </w:t>
      </w:r>
      <w:r w:rsidR="00881394" w:rsidRPr="005976A1">
        <w:rPr>
          <w:rFonts w:cs="Calibri"/>
          <w:sz w:val="24"/>
          <w:szCs w:val="24"/>
          <w:vertAlign w:val="superscript"/>
          <w:lang w:val="en-IN"/>
        </w:rPr>
        <w:t xml:space="preserve"> </w:t>
      </w:r>
      <w:r w:rsidR="00881394" w:rsidRPr="005976A1">
        <w:rPr>
          <w:rFonts w:eastAsia="TimesNewRoman" w:cs="Calibri"/>
          <w:sz w:val="24"/>
          <w:szCs w:val="24"/>
        </w:rPr>
        <w:t>The first porphyrin sensitizer used for the sensitization of nano-crystalline TiO</w:t>
      </w:r>
      <w:r w:rsidR="00881394" w:rsidRPr="005976A1">
        <w:rPr>
          <w:rFonts w:eastAsia="TimesNewRoman" w:cs="Calibri"/>
          <w:sz w:val="24"/>
          <w:szCs w:val="24"/>
          <w:vertAlign w:val="subscript"/>
        </w:rPr>
        <w:t>2</w:t>
      </w:r>
      <w:r w:rsidR="00881394" w:rsidRPr="005976A1">
        <w:rPr>
          <w:rFonts w:eastAsia="TimesNewRoman" w:cs="Calibri"/>
          <w:sz w:val="24"/>
          <w:szCs w:val="24"/>
        </w:rPr>
        <w:t xml:space="preserve"> was the carboxy zinc porphyrin, in which anchoring carboxyl group at </w:t>
      </w:r>
      <w:r w:rsidR="00881394" w:rsidRPr="005976A1">
        <w:rPr>
          <w:rFonts w:cs="Calibri"/>
          <w:i/>
          <w:iCs/>
          <w:sz w:val="24"/>
          <w:szCs w:val="24"/>
        </w:rPr>
        <w:t xml:space="preserve">meso </w:t>
      </w:r>
      <w:r w:rsidR="00881394" w:rsidRPr="005976A1">
        <w:rPr>
          <w:rFonts w:eastAsia="TimesNewRoman" w:cs="Calibri"/>
          <w:sz w:val="24"/>
          <w:szCs w:val="24"/>
        </w:rPr>
        <w:t>phenyl position was reported with an efficiency of 3.5%.</w:t>
      </w:r>
      <w:r w:rsidR="00881394" w:rsidRPr="005976A1">
        <w:rPr>
          <w:rFonts w:eastAsia="TimesNewRoman" w:cs="Calibri"/>
          <w:sz w:val="24"/>
          <w:szCs w:val="24"/>
          <w:vertAlign w:val="superscript"/>
        </w:rPr>
        <w:t>13</w:t>
      </w:r>
      <w:r w:rsidR="00881394" w:rsidRPr="005976A1">
        <w:rPr>
          <w:rFonts w:eastAsia="TimesNewRoman" w:cs="Calibri"/>
          <w:sz w:val="24"/>
          <w:szCs w:val="24"/>
        </w:rPr>
        <w:t xml:space="preserve"> </w:t>
      </w:r>
      <w:r w:rsidRPr="005976A1">
        <w:rPr>
          <w:rFonts w:cs="Calibri"/>
          <w:sz w:val="24"/>
          <w:szCs w:val="24"/>
          <w:lang w:val="en-IN"/>
        </w:rPr>
        <w:t xml:space="preserve">The device efficiency was enhanced to 7.1%, when the </w:t>
      </w:r>
      <w:r w:rsidRPr="005976A1">
        <w:rPr>
          <w:rFonts w:cs="Calibri"/>
          <w:sz w:val="24"/>
          <w:szCs w:val="24"/>
          <w:lang w:val="en-IN"/>
        </w:rPr>
        <w:lastRenderedPageBreak/>
        <w:t xml:space="preserve">anchoring group position changed from </w:t>
      </w:r>
      <w:r w:rsidRPr="005976A1">
        <w:rPr>
          <w:rFonts w:cs="Calibri"/>
          <w:i/>
          <w:sz w:val="24"/>
          <w:szCs w:val="24"/>
          <w:lang w:val="en-IN"/>
        </w:rPr>
        <w:t>meso</w:t>
      </w:r>
      <w:r w:rsidRPr="005976A1">
        <w:rPr>
          <w:rFonts w:cs="Calibri"/>
          <w:sz w:val="24"/>
          <w:szCs w:val="24"/>
          <w:lang w:val="en-IN"/>
        </w:rPr>
        <w:t xml:space="preserve"> phenyl to β-pyrrole position of a zinc porphyrin.</w:t>
      </w:r>
      <w:r w:rsidR="008A4F6F" w:rsidRPr="005976A1">
        <w:rPr>
          <w:rFonts w:cs="Calibri"/>
          <w:sz w:val="24"/>
          <w:szCs w:val="24"/>
          <w:vertAlign w:val="superscript"/>
          <w:lang w:val="en-IN"/>
        </w:rPr>
        <w:t>1</w:t>
      </w:r>
      <w:r w:rsidR="00881394" w:rsidRPr="005976A1">
        <w:rPr>
          <w:rFonts w:cs="Calibri"/>
          <w:sz w:val="24"/>
          <w:szCs w:val="24"/>
          <w:vertAlign w:val="superscript"/>
          <w:lang w:val="en-IN"/>
        </w:rPr>
        <w:t>4</w:t>
      </w:r>
      <w:r w:rsidRPr="005976A1">
        <w:rPr>
          <w:rFonts w:cs="Calibri"/>
          <w:sz w:val="24"/>
          <w:szCs w:val="24"/>
          <w:lang w:val="en-IN"/>
        </w:rPr>
        <w:t xml:space="preserve"> Further the device efficiency enhanced by structural alterations at the </w:t>
      </w:r>
      <w:r w:rsidRPr="005976A1">
        <w:rPr>
          <w:rFonts w:cs="Calibri"/>
          <w:i/>
          <w:sz w:val="24"/>
          <w:szCs w:val="24"/>
          <w:lang w:val="en-IN"/>
        </w:rPr>
        <w:t>meso</w:t>
      </w:r>
      <w:r w:rsidR="008A4F6F" w:rsidRPr="005976A1">
        <w:rPr>
          <w:rFonts w:cs="Calibri"/>
          <w:i/>
          <w:sz w:val="24"/>
          <w:szCs w:val="24"/>
          <w:lang w:val="en-IN"/>
        </w:rPr>
        <w:t xml:space="preserve"> </w:t>
      </w:r>
      <w:r w:rsidRPr="005976A1">
        <w:rPr>
          <w:rFonts w:cs="Calibri"/>
          <w:sz w:val="24"/>
          <w:szCs w:val="24"/>
          <w:lang w:val="en-IN"/>
        </w:rPr>
        <w:t>phenyl position of a porphyrin macrocycle by adopting donor-π-acceptor concept. In this concept, the donor is an organic molecule having absorption in UV region, porphyrin is a π-spacer having absorption in visible to near-IR region, and either thiophene acrylic acid or benzothiadiazole acrylic acid is an acceptor or anchoring group.</w:t>
      </w:r>
      <w:r w:rsidR="003A54DB" w:rsidRPr="005976A1">
        <w:rPr>
          <w:rFonts w:cs="Calibri"/>
          <w:sz w:val="24"/>
          <w:szCs w:val="24"/>
          <w:vertAlign w:val="superscript"/>
          <w:lang w:val="en-IN"/>
        </w:rPr>
        <w:t>15-</w:t>
      </w:r>
      <w:r w:rsidR="007C4798" w:rsidRPr="005976A1">
        <w:rPr>
          <w:rFonts w:cs="Calibri"/>
          <w:sz w:val="24"/>
          <w:szCs w:val="24"/>
          <w:vertAlign w:val="superscript"/>
          <w:lang w:val="en-IN"/>
        </w:rPr>
        <w:t>25</w:t>
      </w:r>
      <w:r w:rsidRPr="005976A1">
        <w:rPr>
          <w:rFonts w:cs="Calibri"/>
          <w:sz w:val="24"/>
          <w:szCs w:val="24"/>
          <w:lang w:val="en-IN"/>
        </w:rPr>
        <w:t xml:space="preserve"> By adopting D-π-A concept, the absorption of porphyrin sensitizer has extended up to near-IR region. In addition, the introduction of alkoxy groups at </w:t>
      </w:r>
      <w:r w:rsidRPr="005976A1">
        <w:rPr>
          <w:rFonts w:cs="Calibri"/>
          <w:i/>
          <w:sz w:val="24"/>
          <w:szCs w:val="24"/>
          <w:lang w:val="en-IN"/>
        </w:rPr>
        <w:t>ortho</w:t>
      </w:r>
      <w:r w:rsidRPr="005976A1">
        <w:rPr>
          <w:rFonts w:cs="Calibri"/>
          <w:sz w:val="24"/>
          <w:szCs w:val="24"/>
          <w:lang w:val="en-IN"/>
        </w:rPr>
        <w:t xml:space="preserve"> position of </w:t>
      </w:r>
      <w:r w:rsidRPr="005976A1">
        <w:rPr>
          <w:rFonts w:cs="Calibri"/>
          <w:i/>
          <w:sz w:val="24"/>
          <w:szCs w:val="24"/>
          <w:lang w:val="en-IN"/>
        </w:rPr>
        <w:t>meso</w:t>
      </w:r>
      <w:r w:rsidRPr="005976A1">
        <w:rPr>
          <w:rFonts w:cs="Calibri"/>
          <w:sz w:val="24"/>
          <w:szCs w:val="24"/>
          <w:lang w:val="en-IN"/>
        </w:rPr>
        <w:t xml:space="preserve"> phenyl ring not only enhances the solubility of porphyrin sensitizer in common organic solvents but also diminishes the recombination of porphyrin with electrons present in TiO</w:t>
      </w:r>
      <w:r w:rsidRPr="005976A1">
        <w:rPr>
          <w:rFonts w:cs="Calibri"/>
          <w:sz w:val="24"/>
          <w:szCs w:val="24"/>
          <w:vertAlign w:val="subscript"/>
          <w:lang w:val="en-IN"/>
        </w:rPr>
        <w:t>2</w:t>
      </w:r>
      <w:r w:rsidRPr="005976A1">
        <w:rPr>
          <w:rFonts w:cs="Calibri"/>
          <w:sz w:val="24"/>
          <w:szCs w:val="24"/>
          <w:lang w:val="en-IN"/>
        </w:rPr>
        <w:t xml:space="preserve"> conduction band. Gratzel and co-workers have reported a porphyrin sensitizer (SM315) having N,N’-diphenylamine as donor, porphyrin as π-spacer, benzothiadiazole (BTD) as an auxiliary acceptor and a carboxylic acid either as an acceptor or anchoring group reported a PCE of 13% using Co(II/III) redox couple.</w:t>
      </w:r>
      <w:r w:rsidR="007C4798" w:rsidRPr="005976A1">
        <w:rPr>
          <w:rFonts w:cs="Calibri"/>
          <w:sz w:val="24"/>
          <w:szCs w:val="24"/>
          <w:vertAlign w:val="superscript"/>
          <w:lang w:val="en-IN"/>
        </w:rPr>
        <w:t>24</w:t>
      </w:r>
      <w:r w:rsidRPr="005976A1">
        <w:rPr>
          <w:rFonts w:cs="Calibri"/>
          <w:sz w:val="24"/>
          <w:szCs w:val="24"/>
          <w:lang w:val="en-IN"/>
        </w:rPr>
        <w:t xml:space="preserve"> Recently, </w:t>
      </w:r>
      <w:r w:rsidR="0087035A" w:rsidRPr="005976A1">
        <w:rPr>
          <w:rFonts w:cs="Calibri"/>
          <w:sz w:val="24"/>
          <w:szCs w:val="24"/>
          <w:lang w:val="en-IN"/>
        </w:rPr>
        <w:t>Zou</w:t>
      </w:r>
      <w:r w:rsidR="007C4798" w:rsidRPr="005976A1">
        <w:rPr>
          <w:rFonts w:cs="Calibri"/>
          <w:sz w:val="24"/>
          <w:szCs w:val="24"/>
          <w:lang w:val="en-IN"/>
        </w:rPr>
        <w:t xml:space="preserve"> </w:t>
      </w:r>
      <w:r w:rsidRPr="005976A1">
        <w:rPr>
          <w:rFonts w:cs="Calibri"/>
          <w:i/>
          <w:sz w:val="24"/>
          <w:szCs w:val="24"/>
          <w:lang w:val="en-IN"/>
        </w:rPr>
        <w:t>et al</w:t>
      </w:r>
      <w:r w:rsidRPr="005976A1">
        <w:rPr>
          <w:rFonts w:cs="Calibri"/>
          <w:sz w:val="24"/>
          <w:szCs w:val="24"/>
          <w:lang w:val="en-IN"/>
        </w:rPr>
        <w:t xml:space="preserve">., have reported a series of porphyrins in which the dodecyloxy groups at </w:t>
      </w:r>
      <w:r w:rsidRPr="005976A1">
        <w:rPr>
          <w:rFonts w:cs="Calibri"/>
          <w:i/>
          <w:sz w:val="24"/>
          <w:szCs w:val="24"/>
          <w:lang w:val="en-IN"/>
        </w:rPr>
        <w:t>meso</w:t>
      </w:r>
      <w:r w:rsidRPr="005976A1">
        <w:rPr>
          <w:rFonts w:cs="Calibri"/>
          <w:sz w:val="24"/>
          <w:szCs w:val="24"/>
          <w:lang w:val="en-IN"/>
        </w:rPr>
        <w:t xml:space="preserve"> phenyl ring replaced with two diethyleneglycol (DEG) chains and double straps having tetraphenylethylene substituted phenothiazine as donor and a phenyl carboxylic acid as an anchoring group (XW73) reported with PCE of 11% using I</w:t>
      </w:r>
      <w:r w:rsidRPr="005976A1">
        <w:rPr>
          <w:rFonts w:cs="Calibri"/>
          <w:sz w:val="24"/>
          <w:szCs w:val="24"/>
          <w:vertAlign w:val="superscript"/>
          <w:lang w:val="en-IN"/>
        </w:rPr>
        <w:t>-</w:t>
      </w:r>
      <w:r w:rsidRPr="005976A1">
        <w:rPr>
          <w:rFonts w:cs="Calibri"/>
          <w:sz w:val="24"/>
          <w:szCs w:val="24"/>
          <w:lang w:val="en-IN"/>
        </w:rPr>
        <w:t>/I</w:t>
      </w:r>
      <w:r w:rsidRPr="005976A1">
        <w:rPr>
          <w:rFonts w:cs="Calibri"/>
          <w:sz w:val="24"/>
          <w:szCs w:val="24"/>
          <w:vertAlign w:val="subscript"/>
          <w:lang w:val="en-IN"/>
        </w:rPr>
        <w:t>3</w:t>
      </w:r>
      <w:r w:rsidRPr="005976A1">
        <w:rPr>
          <w:rFonts w:cs="Calibri"/>
          <w:sz w:val="24"/>
          <w:szCs w:val="24"/>
          <w:vertAlign w:val="superscript"/>
          <w:lang w:val="en-IN"/>
        </w:rPr>
        <w:t>-</w:t>
      </w:r>
      <w:r w:rsidRPr="005976A1">
        <w:rPr>
          <w:rFonts w:cs="Calibri"/>
          <w:sz w:val="24"/>
          <w:szCs w:val="24"/>
          <w:lang w:val="en-IN"/>
        </w:rPr>
        <w:t xml:space="preserve"> as redox couple. Upon co-sensitization of XW73 with an organic dye XC3, the device efficiency further </w:t>
      </w:r>
      <w:r w:rsidR="00AF6D51" w:rsidRPr="005976A1">
        <w:rPr>
          <w:rFonts w:cs="Calibri"/>
          <w:sz w:val="24"/>
          <w:szCs w:val="24"/>
          <w:lang w:val="en-IN"/>
        </w:rPr>
        <w:t>enhance</w:t>
      </w:r>
      <w:r w:rsidR="00AF6D51">
        <w:rPr>
          <w:rFonts w:cs="Calibri"/>
          <w:sz w:val="24"/>
          <w:szCs w:val="24"/>
          <w:lang w:val="en-IN"/>
        </w:rPr>
        <w:t>d</w:t>
      </w:r>
      <w:r w:rsidR="00AF6D51" w:rsidRPr="005976A1">
        <w:rPr>
          <w:rFonts w:cs="Calibri"/>
          <w:sz w:val="24"/>
          <w:szCs w:val="24"/>
          <w:lang w:val="en-IN"/>
        </w:rPr>
        <w:t xml:space="preserve"> </w:t>
      </w:r>
      <w:r w:rsidRPr="005976A1">
        <w:rPr>
          <w:rFonts w:cs="Calibri"/>
          <w:sz w:val="24"/>
          <w:szCs w:val="24"/>
          <w:lang w:val="en-IN"/>
        </w:rPr>
        <w:t>to 12.3%.</w:t>
      </w:r>
      <w:r w:rsidR="0087035A" w:rsidRPr="005976A1">
        <w:rPr>
          <w:rFonts w:cs="Calibri"/>
          <w:sz w:val="24"/>
          <w:szCs w:val="24"/>
          <w:vertAlign w:val="superscript"/>
          <w:lang w:val="en-IN"/>
        </w:rPr>
        <w:t>17</w:t>
      </w:r>
      <w:r w:rsidRPr="005976A1">
        <w:rPr>
          <w:rFonts w:cs="Calibri"/>
          <w:sz w:val="24"/>
          <w:szCs w:val="24"/>
          <w:vertAlign w:val="superscript"/>
          <w:lang w:val="en-IN"/>
        </w:rPr>
        <w:t xml:space="preserve"> </w:t>
      </w:r>
      <w:r w:rsidRPr="005976A1">
        <w:rPr>
          <w:rFonts w:cs="Calibri"/>
          <w:sz w:val="24"/>
          <w:szCs w:val="24"/>
          <w:lang w:val="en-IN"/>
        </w:rPr>
        <w:t>Our group also reported a few porphyrin sensitizers using D-π-A concept with device efficiency &gt;10% by iodide redox electrolytes.</w:t>
      </w:r>
      <w:r w:rsidRPr="005976A1">
        <w:rPr>
          <w:rFonts w:cs="Calibri"/>
          <w:sz w:val="24"/>
          <w:szCs w:val="24"/>
          <w:vertAlign w:val="superscript"/>
          <w:lang w:val="en-IN"/>
        </w:rPr>
        <w:t>1</w:t>
      </w:r>
      <w:r w:rsidR="0087035A" w:rsidRPr="005976A1">
        <w:rPr>
          <w:rFonts w:cs="Calibri"/>
          <w:sz w:val="24"/>
          <w:szCs w:val="24"/>
          <w:vertAlign w:val="superscript"/>
          <w:lang w:val="en-IN"/>
        </w:rPr>
        <w:t>8-23</w:t>
      </w:r>
      <w:r w:rsidRPr="005976A1">
        <w:rPr>
          <w:rFonts w:cs="Calibri"/>
          <w:sz w:val="24"/>
          <w:szCs w:val="24"/>
          <w:lang w:val="en-IN"/>
        </w:rPr>
        <w:t xml:space="preserve"> The porphyrin sensitizer (LG5), which composed of a phenothiazine donor, 4-ethynyl thiophene as an ancillary acceptor and anchoring group is a cyanoacrylic acid reported a PCE of 10.20%.</w:t>
      </w:r>
      <w:r w:rsidR="0087035A" w:rsidRPr="005976A1">
        <w:rPr>
          <w:rFonts w:cs="Calibri"/>
          <w:sz w:val="24"/>
          <w:szCs w:val="24"/>
          <w:vertAlign w:val="superscript"/>
          <w:lang w:val="en-IN"/>
        </w:rPr>
        <w:t>22</w:t>
      </w:r>
      <w:r w:rsidRPr="005976A1">
        <w:rPr>
          <w:rFonts w:cs="Calibri"/>
          <w:sz w:val="24"/>
          <w:szCs w:val="24"/>
          <w:lang w:val="en-IN"/>
        </w:rPr>
        <w:t xml:space="preserve"> To further enhance the optical properties of LG5 sensitizer, we re-designed by introducing either thienothiophene (LG tT) or dithienothiophene (LG DtT) as auxiliary acceptors and reported PCE of 8.25%.</w:t>
      </w:r>
      <w:r w:rsidRPr="005976A1">
        <w:rPr>
          <w:rFonts w:cs="Calibri"/>
          <w:sz w:val="24"/>
          <w:szCs w:val="24"/>
          <w:vertAlign w:val="superscript"/>
          <w:lang w:val="en-IN"/>
        </w:rPr>
        <w:t>1</w:t>
      </w:r>
      <w:r w:rsidR="0087035A" w:rsidRPr="005976A1">
        <w:rPr>
          <w:rFonts w:cs="Calibri"/>
          <w:sz w:val="24"/>
          <w:szCs w:val="24"/>
          <w:vertAlign w:val="superscript"/>
          <w:lang w:val="en-IN"/>
        </w:rPr>
        <w:t>9</w:t>
      </w:r>
      <w:r w:rsidRPr="005976A1">
        <w:rPr>
          <w:rFonts w:cs="Calibri"/>
          <w:sz w:val="24"/>
          <w:szCs w:val="24"/>
          <w:lang w:val="en-IN"/>
        </w:rPr>
        <w:t xml:space="preserve"> It is known in literature that the induction of selenophene hetero cyclic ring as an ancillary acceptor in place of thiophene </w:t>
      </w:r>
      <w:r w:rsidR="00AF6D51">
        <w:rPr>
          <w:rFonts w:cs="Calibri"/>
          <w:sz w:val="24"/>
          <w:szCs w:val="24"/>
          <w:lang w:val="en-IN"/>
        </w:rPr>
        <w:t xml:space="preserve">can enhance </w:t>
      </w:r>
      <w:r w:rsidRPr="005976A1">
        <w:rPr>
          <w:rFonts w:cs="Calibri"/>
          <w:sz w:val="24"/>
          <w:szCs w:val="24"/>
          <w:lang w:val="en-IN"/>
        </w:rPr>
        <w:t xml:space="preserve"> the molar extinction coefficient  along with red shift</w:t>
      </w:r>
      <w:r w:rsidR="00AF6D51">
        <w:rPr>
          <w:rFonts w:cs="Calibri"/>
          <w:sz w:val="24"/>
          <w:szCs w:val="24"/>
          <w:lang w:val="en-IN"/>
        </w:rPr>
        <w:t>ed</w:t>
      </w:r>
      <w:r w:rsidRPr="005976A1">
        <w:rPr>
          <w:rFonts w:cs="Calibri"/>
          <w:sz w:val="24"/>
          <w:szCs w:val="24"/>
          <w:lang w:val="en-IN"/>
        </w:rPr>
        <w:t xml:space="preserve">  absorption and </w:t>
      </w:r>
      <w:r w:rsidR="00AF6D51">
        <w:rPr>
          <w:rFonts w:cs="Calibri"/>
          <w:sz w:val="24"/>
          <w:szCs w:val="24"/>
          <w:lang w:val="en-IN"/>
        </w:rPr>
        <w:t xml:space="preserve">improves the </w:t>
      </w:r>
      <w:r w:rsidRPr="005976A1">
        <w:rPr>
          <w:rFonts w:cs="Calibri"/>
          <w:sz w:val="24"/>
          <w:szCs w:val="24"/>
          <w:lang w:val="en-IN"/>
        </w:rPr>
        <w:t xml:space="preserve"> device efficiency.</w:t>
      </w:r>
      <w:r w:rsidR="0087035A" w:rsidRPr="005976A1">
        <w:rPr>
          <w:rFonts w:cs="Calibri"/>
          <w:sz w:val="24"/>
          <w:szCs w:val="24"/>
          <w:vertAlign w:val="superscript"/>
          <w:lang w:val="en-IN"/>
        </w:rPr>
        <w:t>26</w:t>
      </w:r>
      <w:r w:rsidR="007E63C4" w:rsidRPr="005976A1">
        <w:rPr>
          <w:rFonts w:cs="Calibri"/>
          <w:sz w:val="24"/>
          <w:szCs w:val="24"/>
          <w:vertAlign w:val="superscript"/>
          <w:lang w:val="en-IN"/>
        </w:rPr>
        <w:t>,27</w:t>
      </w:r>
      <w:r w:rsidRPr="005976A1">
        <w:rPr>
          <w:rFonts w:cs="Calibri"/>
          <w:sz w:val="24"/>
          <w:szCs w:val="24"/>
          <w:lang w:val="en-IN"/>
        </w:rPr>
        <w:t xml:space="preserve"> In the present study, we re-designed LG5 sensitizer by replacing thiophene ancillary acceptor with either phenyl selenophene (</w:t>
      </w:r>
      <w:r w:rsidRPr="005976A1">
        <w:rPr>
          <w:rFonts w:cs="Calibri"/>
          <w:b/>
          <w:sz w:val="24"/>
          <w:szCs w:val="24"/>
          <w:lang w:val="en-IN"/>
        </w:rPr>
        <w:t>LG28</w:t>
      </w:r>
      <w:r w:rsidRPr="005976A1">
        <w:rPr>
          <w:rFonts w:cs="Calibri"/>
          <w:sz w:val="24"/>
          <w:szCs w:val="24"/>
          <w:lang w:val="en-IN"/>
        </w:rPr>
        <w:t>) or selenothiophene (</w:t>
      </w:r>
      <w:r w:rsidRPr="005976A1">
        <w:rPr>
          <w:rFonts w:cs="Calibri"/>
          <w:b/>
          <w:sz w:val="24"/>
          <w:szCs w:val="24"/>
          <w:lang w:val="en-IN"/>
        </w:rPr>
        <w:t>LG29</w:t>
      </w:r>
      <w:r w:rsidRPr="005976A1">
        <w:rPr>
          <w:rFonts w:cs="Calibri"/>
          <w:sz w:val="24"/>
          <w:szCs w:val="24"/>
          <w:lang w:val="en-IN"/>
        </w:rPr>
        <w:t>) and cyanoacrylic acid anchoring group in both the sensitizers (</w:t>
      </w:r>
      <w:r w:rsidR="007E63C4" w:rsidRPr="005976A1">
        <w:rPr>
          <w:rFonts w:cs="Calibri"/>
          <w:iCs/>
          <w:sz w:val="24"/>
          <w:szCs w:val="24"/>
          <w:lang w:val="en-IN"/>
        </w:rPr>
        <w:t>Chart</w:t>
      </w:r>
      <w:r w:rsidRPr="005976A1">
        <w:rPr>
          <w:rFonts w:cs="Calibri"/>
          <w:iCs/>
          <w:sz w:val="24"/>
          <w:szCs w:val="24"/>
          <w:lang w:val="en-IN"/>
        </w:rPr>
        <w:t xml:space="preserve"> 1</w:t>
      </w:r>
      <w:r w:rsidRPr="005976A1">
        <w:rPr>
          <w:rFonts w:cs="Calibri"/>
          <w:sz w:val="24"/>
          <w:szCs w:val="24"/>
          <w:lang w:val="en-IN"/>
        </w:rPr>
        <w:t xml:space="preserve">). Both the sensitizers are characterized by various spectroscopic </w:t>
      </w:r>
      <w:r w:rsidRPr="005976A1">
        <w:rPr>
          <w:rFonts w:cs="Calibri"/>
          <w:sz w:val="24"/>
          <w:szCs w:val="24"/>
          <w:lang w:val="en-IN"/>
        </w:rPr>
        <w:lastRenderedPageBreak/>
        <w:t xml:space="preserve">techniques and electrochemical methods. The newly designed sensitizers are tested in </w:t>
      </w:r>
      <w:r w:rsidR="00AF6D51">
        <w:rPr>
          <w:rFonts w:cs="Calibri"/>
          <w:sz w:val="24"/>
          <w:szCs w:val="24"/>
          <w:lang w:val="en-IN"/>
        </w:rPr>
        <w:t xml:space="preserve">DSScs and the </w:t>
      </w:r>
      <w:r w:rsidR="00AF6D51" w:rsidRPr="005976A1">
        <w:rPr>
          <w:rFonts w:eastAsia="CharisSIL" w:cs="Calibri"/>
          <w:b/>
          <w:sz w:val="24"/>
          <w:szCs w:val="24"/>
        </w:rPr>
        <w:t>LG 29</w:t>
      </w:r>
      <w:r w:rsidR="00AF6D51" w:rsidRPr="00AF6D51">
        <w:rPr>
          <w:rFonts w:eastAsia="CharisSIL" w:cs="Calibri"/>
          <w:bCs/>
          <w:sz w:val="24"/>
          <w:szCs w:val="24"/>
        </w:rPr>
        <w:t>-dye based DSSCs showed highest PCE of</w:t>
      </w:r>
      <w:r w:rsidR="00AF6D51">
        <w:rPr>
          <w:rFonts w:eastAsia="CharisSIL" w:cs="Calibri"/>
          <w:b/>
          <w:sz w:val="24"/>
          <w:szCs w:val="24"/>
        </w:rPr>
        <w:t xml:space="preserve"> </w:t>
      </w:r>
      <w:r w:rsidR="00AF6D51" w:rsidRPr="005976A1">
        <w:rPr>
          <w:rFonts w:eastAsia="CharisSIL" w:cs="Calibri"/>
          <w:sz w:val="24"/>
          <w:szCs w:val="24"/>
        </w:rPr>
        <w:t xml:space="preserve"> </w:t>
      </w:r>
      <w:r w:rsidR="00AF6D51">
        <w:rPr>
          <w:rFonts w:cs="Calibri"/>
          <w:sz w:val="24"/>
          <w:szCs w:val="24"/>
          <w:lang w:val="en-IN"/>
        </w:rPr>
        <w:t xml:space="preserve"> </w:t>
      </w:r>
      <w:r w:rsidR="00AF6D51" w:rsidRPr="005976A1">
        <w:rPr>
          <w:rFonts w:eastAsia="CharisSIL" w:cs="Calibri"/>
          <w:sz w:val="24"/>
          <w:szCs w:val="24"/>
        </w:rPr>
        <w:t>10.31%</w:t>
      </w:r>
      <w:r w:rsidR="00AF6D51">
        <w:rPr>
          <w:rFonts w:eastAsia="CharisSIL" w:cs="Calibri"/>
          <w:sz w:val="24"/>
          <w:szCs w:val="24"/>
        </w:rPr>
        <w:t xml:space="preserve"> . </w:t>
      </w:r>
      <w:r w:rsidRPr="005976A1">
        <w:rPr>
          <w:rFonts w:cs="Calibri"/>
          <w:sz w:val="24"/>
          <w:szCs w:val="24"/>
          <w:lang w:val="en-IN"/>
        </w:rPr>
        <w:t>.</w:t>
      </w:r>
    </w:p>
    <w:p w14:paraId="2A737287" w14:textId="77777777" w:rsidR="00DB5025" w:rsidRDefault="00DB5025" w:rsidP="00DB5025">
      <w:pPr>
        <w:spacing w:after="0" w:line="360" w:lineRule="auto"/>
        <w:jc w:val="both"/>
        <w:rPr>
          <w:sz w:val="24"/>
          <w:szCs w:val="24"/>
          <w:lang w:val="en-IN"/>
        </w:rPr>
      </w:pPr>
    </w:p>
    <w:p w14:paraId="29FD7C30" w14:textId="77777777" w:rsidR="00DB5025" w:rsidRDefault="00DB5025" w:rsidP="00DB5025">
      <w:pPr>
        <w:spacing w:after="0" w:line="360" w:lineRule="auto"/>
        <w:jc w:val="both"/>
      </w:pPr>
      <w:r>
        <w:object w:dxaOrig="8904" w:dyaOrig="3173" w14:anchorId="592414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4pt;height:158.25pt" o:ole="">
            <v:imagedata r:id="rId9" o:title=""/>
          </v:shape>
          <o:OLEObject Type="Embed" ProgID="ChemDraw.Document.6.0" ShapeID="_x0000_i1025" DrawAspect="Content" ObjectID="_1797953576" r:id="rId10"/>
        </w:object>
      </w:r>
    </w:p>
    <w:p w14:paraId="7C91FA6D" w14:textId="77777777" w:rsidR="00DB5025" w:rsidRPr="005976A1" w:rsidRDefault="00DB5025" w:rsidP="00DB5025">
      <w:pPr>
        <w:jc w:val="both"/>
        <w:rPr>
          <w:rFonts w:cs="Calibri"/>
          <w:b/>
          <w:sz w:val="24"/>
          <w:szCs w:val="24"/>
        </w:rPr>
      </w:pPr>
      <w:r w:rsidRPr="005976A1">
        <w:rPr>
          <w:rFonts w:cs="Calibri"/>
          <w:b/>
          <w:sz w:val="24"/>
          <w:szCs w:val="24"/>
        </w:rPr>
        <w:t>Chart 1:</w:t>
      </w:r>
      <w:r w:rsidRPr="005976A1">
        <w:rPr>
          <w:rFonts w:cs="Calibri"/>
          <w:sz w:val="24"/>
          <w:szCs w:val="24"/>
        </w:rPr>
        <w:t xml:space="preserve"> </w:t>
      </w:r>
      <w:r w:rsidRPr="005976A1">
        <w:rPr>
          <w:rFonts w:eastAsia="Times New Roman" w:cs="Calibri"/>
          <w:sz w:val="24"/>
          <w:szCs w:val="24"/>
        </w:rPr>
        <w:t>Designed molecular structures of the porphyrin sensitizers (</w:t>
      </w:r>
      <w:r w:rsidRPr="005976A1">
        <w:rPr>
          <w:rFonts w:eastAsia="Times New Roman" w:cs="Calibri"/>
          <w:b/>
          <w:bCs/>
          <w:sz w:val="24"/>
          <w:szCs w:val="24"/>
        </w:rPr>
        <w:t xml:space="preserve">LG 28 </w:t>
      </w:r>
      <w:r w:rsidRPr="005976A1">
        <w:rPr>
          <w:rFonts w:eastAsia="Times New Roman" w:cs="Calibri"/>
          <w:bCs/>
          <w:sz w:val="24"/>
          <w:szCs w:val="24"/>
        </w:rPr>
        <w:t xml:space="preserve">and </w:t>
      </w:r>
      <w:r w:rsidRPr="005976A1">
        <w:rPr>
          <w:rFonts w:eastAsia="Times New Roman" w:cs="Calibri"/>
          <w:b/>
          <w:bCs/>
          <w:sz w:val="24"/>
          <w:szCs w:val="24"/>
        </w:rPr>
        <w:t>LG 29</w:t>
      </w:r>
      <w:r w:rsidRPr="005976A1">
        <w:rPr>
          <w:rFonts w:eastAsia="Times New Roman" w:cs="Calibri"/>
          <w:sz w:val="24"/>
          <w:szCs w:val="24"/>
        </w:rPr>
        <w:t>).</w:t>
      </w:r>
    </w:p>
    <w:p w14:paraId="07412242" w14:textId="77777777" w:rsidR="00A118C4" w:rsidRDefault="00A118C4" w:rsidP="00DB5025">
      <w:pPr>
        <w:spacing w:after="0" w:line="360" w:lineRule="auto"/>
        <w:jc w:val="both"/>
        <w:rPr>
          <w:b/>
          <w:bCs/>
          <w:sz w:val="24"/>
          <w:szCs w:val="24"/>
          <w:lang w:val="en-IN"/>
        </w:rPr>
      </w:pPr>
    </w:p>
    <w:p w14:paraId="68CBFECA" w14:textId="77777777" w:rsidR="00DB5025" w:rsidRPr="005976A1" w:rsidRDefault="000358CE" w:rsidP="00DB5025">
      <w:pPr>
        <w:spacing w:after="0" w:line="360" w:lineRule="auto"/>
        <w:jc w:val="both"/>
        <w:rPr>
          <w:rFonts w:cs="Calibri"/>
          <w:b/>
          <w:bCs/>
          <w:sz w:val="24"/>
          <w:szCs w:val="24"/>
          <w:lang w:val="en-IN"/>
        </w:rPr>
      </w:pPr>
      <w:r w:rsidRPr="005976A1">
        <w:rPr>
          <w:rFonts w:cs="Calibri"/>
          <w:b/>
          <w:bCs/>
          <w:sz w:val="24"/>
          <w:szCs w:val="24"/>
          <w:lang w:val="en-IN"/>
        </w:rPr>
        <w:t>Experimental Details</w:t>
      </w:r>
    </w:p>
    <w:p w14:paraId="74FA69CA" w14:textId="77777777" w:rsidR="000358CE" w:rsidRPr="005976A1" w:rsidRDefault="000358CE" w:rsidP="00DB5025">
      <w:pPr>
        <w:spacing w:after="0" w:line="360" w:lineRule="auto"/>
        <w:jc w:val="both"/>
        <w:rPr>
          <w:rFonts w:cs="Calibri"/>
          <w:sz w:val="24"/>
          <w:szCs w:val="24"/>
        </w:rPr>
      </w:pPr>
      <w:r w:rsidRPr="005976A1">
        <w:rPr>
          <w:rFonts w:cs="Calibri"/>
          <w:sz w:val="24"/>
          <w:szCs w:val="24"/>
        </w:rPr>
        <w:t>Materials</w:t>
      </w:r>
    </w:p>
    <w:p w14:paraId="45B9657D" w14:textId="77777777" w:rsidR="000358CE" w:rsidRPr="005976A1" w:rsidRDefault="000358CE" w:rsidP="000358CE">
      <w:pPr>
        <w:spacing w:after="0" w:line="360" w:lineRule="auto"/>
        <w:jc w:val="both"/>
        <w:rPr>
          <w:rFonts w:cs="Calibri"/>
          <w:bCs/>
          <w:sz w:val="24"/>
          <w:szCs w:val="24"/>
          <w:lang w:val="en-CA"/>
        </w:rPr>
      </w:pPr>
      <w:r w:rsidRPr="005976A1">
        <w:rPr>
          <w:rFonts w:cs="Calibri"/>
          <w:sz w:val="24"/>
          <w:szCs w:val="24"/>
          <w:lang w:val="en-CA"/>
        </w:rPr>
        <w:t>The chemicals and reagents th</w:t>
      </w:r>
      <w:r w:rsidR="003D6852" w:rsidRPr="005976A1">
        <w:rPr>
          <w:rFonts w:cs="Calibri"/>
          <w:sz w:val="24"/>
          <w:szCs w:val="24"/>
          <w:lang w:val="en-CA"/>
        </w:rPr>
        <w:t>at were used in this work procu</w:t>
      </w:r>
      <w:r w:rsidRPr="005976A1">
        <w:rPr>
          <w:rFonts w:cs="Calibri"/>
          <w:sz w:val="24"/>
          <w:szCs w:val="24"/>
          <w:lang w:val="en-CA"/>
        </w:rPr>
        <w:t>red from Merck and Sigma-Aldrich and were used as such, without further purification. Analytical reagent (AR) grade solvents were used for synthesis and laboratory reagent (LR) grade solvents were used for purifications and column chromatography.</w:t>
      </w:r>
      <w:r w:rsidR="00133460" w:rsidRPr="005976A1">
        <w:rPr>
          <w:rFonts w:cs="Calibri"/>
          <w:sz w:val="24"/>
          <w:szCs w:val="24"/>
          <w:lang w:val="en-CA"/>
        </w:rPr>
        <w:t xml:space="preserve"> </w:t>
      </w:r>
      <w:r w:rsidRPr="005976A1">
        <w:rPr>
          <w:rFonts w:cs="Calibri"/>
          <w:bCs/>
          <w:sz w:val="24"/>
          <w:szCs w:val="24"/>
          <w:lang w:val="en-CA"/>
        </w:rPr>
        <w:t>All the reactions were carried out under nitrogen or argon atmosphere using dry and degassed solvents.</w:t>
      </w:r>
    </w:p>
    <w:p w14:paraId="74775708" w14:textId="77777777" w:rsidR="000358CE" w:rsidRPr="005976A1" w:rsidRDefault="000358CE" w:rsidP="00DB5025">
      <w:pPr>
        <w:spacing w:after="0" w:line="360" w:lineRule="auto"/>
        <w:jc w:val="both"/>
        <w:rPr>
          <w:rFonts w:cs="Calibri"/>
          <w:sz w:val="24"/>
          <w:szCs w:val="24"/>
        </w:rPr>
      </w:pPr>
    </w:p>
    <w:p w14:paraId="2152B9F4" w14:textId="77777777" w:rsidR="000358CE" w:rsidRPr="005976A1" w:rsidRDefault="000358CE" w:rsidP="000358CE">
      <w:pPr>
        <w:spacing w:after="0" w:line="360" w:lineRule="auto"/>
        <w:jc w:val="both"/>
        <w:rPr>
          <w:rFonts w:cs="Calibri"/>
          <w:b/>
          <w:bCs/>
          <w:sz w:val="24"/>
          <w:szCs w:val="24"/>
          <w:lang w:val="en-CA"/>
        </w:rPr>
      </w:pPr>
      <w:r w:rsidRPr="005976A1">
        <w:rPr>
          <w:rFonts w:cs="Calibri"/>
          <w:b/>
          <w:bCs/>
          <w:sz w:val="24"/>
          <w:szCs w:val="24"/>
          <w:lang w:val="en-CA"/>
        </w:rPr>
        <w:t>Synthesis</w:t>
      </w:r>
    </w:p>
    <w:p w14:paraId="7DB49CC7" w14:textId="77777777" w:rsidR="000358CE" w:rsidRPr="005976A1" w:rsidRDefault="000358CE" w:rsidP="000358CE">
      <w:pPr>
        <w:spacing w:after="0" w:line="360" w:lineRule="auto"/>
        <w:jc w:val="both"/>
        <w:rPr>
          <w:rFonts w:cs="Calibri"/>
          <w:bCs/>
          <w:sz w:val="24"/>
          <w:szCs w:val="24"/>
        </w:rPr>
      </w:pPr>
      <w:r w:rsidRPr="005976A1">
        <w:rPr>
          <w:rFonts w:cs="Calibri"/>
          <w:bCs/>
          <w:sz w:val="24"/>
          <w:szCs w:val="24"/>
          <w:lang w:val="en-CA"/>
        </w:rPr>
        <w:t xml:space="preserve">2,5-dibromoselenophene (3), 4-formylphenylboronic acid (4), and 5-formyl-2-thienylboronic acid (6) are procured from commercial sources and used as it is. </w:t>
      </w:r>
      <w:r w:rsidRPr="005976A1">
        <w:rPr>
          <w:rFonts w:cs="Calibri"/>
          <w:bCs/>
          <w:sz w:val="24"/>
          <w:szCs w:val="24"/>
        </w:rPr>
        <w:t>[3-Ethynyl-10-octyl-10H-phenothiazine - 15-(Triisopropylsilyl)ethynyl-10,20-bis(2,6-dioctoxy phenyl)-porphyrinato] Zinc(II) (8) was synthesized as per literature methods.</w:t>
      </w:r>
      <w:r w:rsidR="003D6852" w:rsidRPr="005976A1">
        <w:rPr>
          <w:rFonts w:cs="Calibri"/>
          <w:bCs/>
          <w:sz w:val="24"/>
          <w:szCs w:val="24"/>
          <w:vertAlign w:val="superscript"/>
        </w:rPr>
        <w:t>22</w:t>
      </w:r>
      <w:r w:rsidRPr="005976A1">
        <w:rPr>
          <w:rFonts w:cs="Calibri"/>
          <w:bCs/>
          <w:sz w:val="24"/>
          <w:szCs w:val="24"/>
        </w:rPr>
        <w:t xml:space="preserve"> </w:t>
      </w:r>
    </w:p>
    <w:p w14:paraId="14EF8804" w14:textId="77777777" w:rsidR="000358CE" w:rsidRPr="005976A1" w:rsidRDefault="000358CE" w:rsidP="00DB5025">
      <w:pPr>
        <w:spacing w:after="0" w:line="360" w:lineRule="auto"/>
        <w:jc w:val="both"/>
        <w:rPr>
          <w:rFonts w:cs="Calibri"/>
          <w:sz w:val="24"/>
          <w:szCs w:val="24"/>
          <w:lang w:val="en-IN"/>
        </w:rPr>
      </w:pPr>
      <w:r w:rsidRPr="005976A1">
        <w:rPr>
          <w:rFonts w:cs="Calibri"/>
          <w:b/>
          <w:sz w:val="24"/>
          <w:szCs w:val="24"/>
          <w:lang w:val="en-IN"/>
        </w:rPr>
        <w:t xml:space="preserve">Synthesis of 4-(5-bromoselenophen-2-yl)benzaldehyde (5): </w:t>
      </w:r>
      <w:r w:rsidR="00E55595" w:rsidRPr="005976A1">
        <w:rPr>
          <w:rFonts w:cs="Calibri"/>
          <w:sz w:val="24"/>
          <w:szCs w:val="24"/>
          <w:lang w:val="en-IN"/>
        </w:rPr>
        <w:t>The compound</w:t>
      </w:r>
      <w:r w:rsidRPr="005976A1">
        <w:rPr>
          <w:rFonts w:cs="Calibri"/>
          <w:sz w:val="24"/>
          <w:szCs w:val="24"/>
          <w:lang w:val="en-IN"/>
        </w:rPr>
        <w:t xml:space="preserve"> is prepared by adopting Suzuki coupling reaction between 4-formylphenylboronic acid (3) with 2,5-dibromoselenophene (4). Compound 3 (500 mg, 1.736 mmol) was dissolved in 15mL of dry toluene and 5mL of THF under an inert atmosphere. To this compound 4 (260 mg, 1.736 mmol), </w:t>
      </w:r>
      <w:r w:rsidRPr="005976A1">
        <w:rPr>
          <w:rFonts w:cs="Calibri"/>
          <w:sz w:val="24"/>
          <w:szCs w:val="24"/>
          <w:lang w:val="en-IN"/>
        </w:rPr>
        <w:lastRenderedPageBreak/>
        <w:t>Pd(dppf)</w:t>
      </w:r>
      <w:r w:rsidRPr="005976A1">
        <w:rPr>
          <w:rFonts w:cs="Calibri"/>
          <w:sz w:val="24"/>
          <w:szCs w:val="24"/>
          <w:vertAlign w:val="subscript"/>
          <w:lang w:val="en-IN"/>
        </w:rPr>
        <w:t>2</w:t>
      </w:r>
      <w:r w:rsidRPr="005976A1">
        <w:rPr>
          <w:rFonts w:cs="Calibri"/>
          <w:sz w:val="24"/>
          <w:szCs w:val="24"/>
          <w:lang w:val="en-IN"/>
        </w:rPr>
        <w:t>Cl</w:t>
      </w:r>
      <w:r w:rsidRPr="005976A1">
        <w:rPr>
          <w:rFonts w:cs="Calibri"/>
          <w:sz w:val="24"/>
          <w:szCs w:val="24"/>
          <w:vertAlign w:val="subscript"/>
          <w:lang w:val="en-IN"/>
        </w:rPr>
        <w:t>2</w:t>
      </w:r>
      <w:r w:rsidRPr="005976A1">
        <w:rPr>
          <w:rFonts w:cs="Calibri"/>
          <w:sz w:val="24"/>
          <w:szCs w:val="24"/>
          <w:lang w:val="en-IN"/>
        </w:rPr>
        <w:t xml:space="preserve"> (63 mg, 0.866 mmol) and Na</w:t>
      </w:r>
      <w:r w:rsidRPr="005976A1">
        <w:rPr>
          <w:rFonts w:cs="Calibri"/>
          <w:sz w:val="24"/>
          <w:szCs w:val="24"/>
          <w:vertAlign w:val="subscript"/>
          <w:lang w:val="en-IN"/>
        </w:rPr>
        <w:t>2</w:t>
      </w:r>
      <w:r w:rsidRPr="005976A1">
        <w:rPr>
          <w:rFonts w:cs="Calibri"/>
          <w:sz w:val="24"/>
          <w:szCs w:val="24"/>
          <w:lang w:val="en-IN"/>
        </w:rPr>
        <w:t>CO</w:t>
      </w:r>
      <w:r w:rsidRPr="005976A1">
        <w:rPr>
          <w:rFonts w:cs="Calibri"/>
          <w:sz w:val="24"/>
          <w:szCs w:val="24"/>
          <w:vertAlign w:val="subscript"/>
          <w:lang w:val="en-IN"/>
        </w:rPr>
        <w:t>3</w:t>
      </w:r>
      <w:r w:rsidRPr="005976A1">
        <w:rPr>
          <w:rFonts w:cs="Calibri"/>
          <w:sz w:val="24"/>
          <w:szCs w:val="24"/>
          <w:lang w:val="en-IN"/>
        </w:rPr>
        <w:t xml:space="preserve"> (367 mg, 3.50 mmol) was added</w:t>
      </w:r>
      <w:r w:rsidR="00FB62AB">
        <w:rPr>
          <w:rFonts w:cs="Calibri"/>
          <w:sz w:val="24"/>
          <w:szCs w:val="24"/>
          <w:lang w:val="en-IN"/>
        </w:rPr>
        <w:t>,</w:t>
      </w:r>
      <w:r w:rsidRPr="005976A1">
        <w:rPr>
          <w:rFonts w:cs="Calibri"/>
          <w:sz w:val="24"/>
          <w:szCs w:val="24"/>
          <w:lang w:val="en-IN"/>
        </w:rPr>
        <w:t xml:space="preserve"> and the resultant reaction mixture was heated at 90 </w:t>
      </w:r>
      <w:r w:rsidRPr="005976A1">
        <w:rPr>
          <w:rFonts w:cs="Calibri"/>
          <w:sz w:val="24"/>
          <w:szCs w:val="24"/>
          <w:vertAlign w:val="superscript"/>
          <w:lang w:val="en-IN"/>
        </w:rPr>
        <w:t>o</w:t>
      </w:r>
      <w:r w:rsidRPr="005976A1">
        <w:rPr>
          <w:rFonts w:cs="Calibri"/>
          <w:sz w:val="24"/>
          <w:szCs w:val="24"/>
          <w:lang w:val="en-IN"/>
        </w:rPr>
        <w:t>C for 3 hours. The reaction mixture</w:t>
      </w:r>
      <w:r w:rsidR="00FB62AB">
        <w:rPr>
          <w:rFonts w:cs="Calibri"/>
          <w:sz w:val="24"/>
          <w:szCs w:val="24"/>
          <w:lang w:val="en-IN"/>
        </w:rPr>
        <w:t xml:space="preserve"> was</w:t>
      </w:r>
      <w:r w:rsidRPr="005976A1">
        <w:rPr>
          <w:rFonts w:cs="Calibri"/>
          <w:sz w:val="24"/>
          <w:szCs w:val="24"/>
          <w:lang w:val="en-IN"/>
        </w:rPr>
        <w:t xml:space="preserve"> cooled to room temperature and exacted with ethyl acetate (100 mL). The organic phase was washed with saturated NaCl (20 mL), dried over anhydrous Na</w:t>
      </w:r>
      <w:r w:rsidRPr="005976A1">
        <w:rPr>
          <w:rFonts w:cs="Calibri"/>
          <w:sz w:val="24"/>
          <w:szCs w:val="24"/>
          <w:vertAlign w:val="subscript"/>
          <w:lang w:val="en-IN"/>
        </w:rPr>
        <w:t>2</w:t>
      </w:r>
      <w:r w:rsidRPr="005976A1">
        <w:rPr>
          <w:rFonts w:cs="Calibri"/>
          <w:sz w:val="24"/>
          <w:szCs w:val="24"/>
          <w:lang w:val="en-IN"/>
        </w:rPr>
        <w:t>SO</w:t>
      </w:r>
      <w:r w:rsidRPr="005976A1">
        <w:rPr>
          <w:rFonts w:cs="Calibri"/>
          <w:sz w:val="24"/>
          <w:szCs w:val="24"/>
          <w:vertAlign w:val="subscript"/>
          <w:lang w:val="en-IN"/>
        </w:rPr>
        <w:t>4</w:t>
      </w:r>
      <w:r w:rsidRPr="005976A1">
        <w:rPr>
          <w:rFonts w:cs="Calibri"/>
          <w:sz w:val="24"/>
          <w:szCs w:val="24"/>
          <w:lang w:val="en-IN"/>
        </w:rPr>
        <w:t xml:space="preserve">, and filtered. The filtrate was purified by silica gel column chromatography and the obtained compound </w:t>
      </w:r>
      <w:r w:rsidRPr="005976A1">
        <w:rPr>
          <w:rFonts w:cs="Calibri"/>
          <w:b/>
          <w:sz w:val="24"/>
          <w:szCs w:val="24"/>
          <w:lang w:val="en-IN"/>
        </w:rPr>
        <w:t>5</w:t>
      </w:r>
      <w:r w:rsidRPr="005976A1">
        <w:rPr>
          <w:rFonts w:cs="Calibri"/>
          <w:sz w:val="24"/>
          <w:szCs w:val="24"/>
          <w:lang w:val="en-IN"/>
        </w:rPr>
        <w:t xml:space="preserve"> as a yellow solid. </w:t>
      </w:r>
      <w:r w:rsidRPr="005976A1">
        <w:rPr>
          <w:rFonts w:cs="Calibri"/>
          <w:sz w:val="24"/>
          <w:szCs w:val="24"/>
          <w:vertAlign w:val="superscript"/>
          <w:lang w:val="en-IN"/>
        </w:rPr>
        <w:t>1</w:t>
      </w:r>
      <w:r w:rsidRPr="005976A1">
        <w:rPr>
          <w:rFonts w:cs="Calibri"/>
          <w:sz w:val="24"/>
          <w:szCs w:val="24"/>
          <w:lang w:val="en-IN"/>
        </w:rPr>
        <w:t>H NMR (400 MHz, CDCl</w:t>
      </w:r>
      <w:r w:rsidRPr="005976A1">
        <w:rPr>
          <w:rFonts w:cs="Calibri"/>
          <w:sz w:val="24"/>
          <w:szCs w:val="24"/>
          <w:vertAlign w:val="subscript"/>
          <w:lang w:val="en-IN"/>
        </w:rPr>
        <w:t>3</w:t>
      </w:r>
      <w:r w:rsidRPr="005976A1">
        <w:rPr>
          <w:rFonts w:cs="Calibri"/>
          <w:sz w:val="24"/>
          <w:szCs w:val="24"/>
          <w:lang w:val="en-IN"/>
        </w:rPr>
        <w:t xml:space="preserve">): δ 9.97 (s, 1H), 8.05 (d, </w:t>
      </w:r>
      <w:r w:rsidRPr="005976A1">
        <w:rPr>
          <w:rFonts w:cs="Calibri"/>
          <w:i/>
          <w:iCs/>
          <w:sz w:val="24"/>
          <w:szCs w:val="24"/>
          <w:lang w:val="en-IN"/>
        </w:rPr>
        <w:t>J</w:t>
      </w:r>
      <w:r w:rsidRPr="005976A1">
        <w:rPr>
          <w:rFonts w:cs="Calibri"/>
          <w:sz w:val="24"/>
          <w:szCs w:val="24"/>
          <w:lang w:val="en-IN"/>
        </w:rPr>
        <w:t xml:space="preserve"> = 5.6 Hz, 1H), 7.84 (d, </w:t>
      </w:r>
      <w:r w:rsidRPr="005976A1">
        <w:rPr>
          <w:rFonts w:cs="Calibri"/>
          <w:i/>
          <w:iCs/>
          <w:sz w:val="24"/>
          <w:szCs w:val="24"/>
          <w:lang w:val="en-IN"/>
        </w:rPr>
        <w:t>J</w:t>
      </w:r>
      <w:r w:rsidRPr="005976A1">
        <w:rPr>
          <w:rFonts w:cs="Calibri"/>
          <w:sz w:val="24"/>
          <w:szCs w:val="24"/>
          <w:lang w:val="en-IN"/>
        </w:rPr>
        <w:t xml:space="preserve"> = 8.0 Hz, 2H), 7.67 (d, </w:t>
      </w:r>
      <w:r w:rsidRPr="005976A1">
        <w:rPr>
          <w:rFonts w:cs="Calibri"/>
          <w:i/>
          <w:iCs/>
          <w:sz w:val="24"/>
          <w:szCs w:val="24"/>
          <w:lang w:val="en-IN"/>
        </w:rPr>
        <w:t>J</w:t>
      </w:r>
      <w:r w:rsidRPr="005976A1">
        <w:rPr>
          <w:rFonts w:cs="Calibri"/>
          <w:sz w:val="24"/>
          <w:szCs w:val="24"/>
          <w:lang w:val="en-IN"/>
        </w:rPr>
        <w:t xml:space="preserve"> = 8.1 Hz, 2H), 7.59 (d, </w:t>
      </w:r>
      <w:r w:rsidRPr="005976A1">
        <w:rPr>
          <w:rFonts w:cs="Calibri"/>
          <w:i/>
          <w:iCs/>
          <w:sz w:val="24"/>
          <w:szCs w:val="24"/>
          <w:lang w:val="en-IN"/>
        </w:rPr>
        <w:t>J</w:t>
      </w:r>
      <w:r w:rsidRPr="005976A1">
        <w:rPr>
          <w:rFonts w:cs="Calibri"/>
          <w:sz w:val="24"/>
          <w:szCs w:val="24"/>
          <w:lang w:val="en-IN"/>
        </w:rPr>
        <w:t xml:space="preserve"> = 7.3 Hz, 1H).</w:t>
      </w:r>
      <w:r w:rsidRPr="005976A1">
        <w:rPr>
          <w:rFonts w:cs="Calibri"/>
          <w:sz w:val="24"/>
          <w:szCs w:val="24"/>
          <w:vertAlign w:val="superscript"/>
          <w:lang w:val="en-IN"/>
        </w:rPr>
        <w:t xml:space="preserve"> 13</w:t>
      </w:r>
      <w:r w:rsidRPr="005976A1">
        <w:rPr>
          <w:rFonts w:cs="Calibri"/>
          <w:sz w:val="24"/>
          <w:szCs w:val="24"/>
          <w:lang w:val="en-IN"/>
        </w:rPr>
        <w:t>C NMR (CDCl</w:t>
      </w:r>
      <w:r w:rsidRPr="005976A1">
        <w:rPr>
          <w:rFonts w:cs="Calibri"/>
          <w:sz w:val="24"/>
          <w:szCs w:val="24"/>
          <w:vertAlign w:val="subscript"/>
          <w:lang w:val="en-IN"/>
        </w:rPr>
        <w:t>3</w:t>
      </w:r>
      <w:r w:rsidRPr="005976A1">
        <w:rPr>
          <w:rFonts w:cs="Calibri"/>
          <w:sz w:val="24"/>
          <w:szCs w:val="24"/>
          <w:lang w:val="en-IN"/>
        </w:rPr>
        <w:t>, 400 MHz):δ (ppm)= 191.48, 148.99, 142.06, 135.16, 132.42, 131.04, 130.51, 127.36, 126.57. ESI-MS (m/z) = 215.20 (calculated mass = 214.03, [M]</w:t>
      </w:r>
      <w:r w:rsidRPr="005976A1">
        <w:rPr>
          <w:rFonts w:cs="Calibri"/>
          <w:sz w:val="24"/>
          <w:szCs w:val="24"/>
          <w:vertAlign w:val="superscript"/>
          <w:lang w:val="en-IN"/>
        </w:rPr>
        <w:t>+</w:t>
      </w:r>
      <w:r w:rsidRPr="005976A1">
        <w:rPr>
          <w:rFonts w:cs="Calibri"/>
          <w:sz w:val="24"/>
          <w:szCs w:val="24"/>
          <w:lang w:val="en-IN"/>
        </w:rPr>
        <w:t>).</w:t>
      </w:r>
    </w:p>
    <w:p w14:paraId="4441AF89" w14:textId="77777777" w:rsidR="000358CE" w:rsidRPr="005976A1" w:rsidRDefault="000358CE" w:rsidP="00DB5025">
      <w:pPr>
        <w:spacing w:after="0" w:line="360" w:lineRule="auto"/>
        <w:jc w:val="both"/>
        <w:rPr>
          <w:rFonts w:cs="Calibri"/>
          <w:sz w:val="24"/>
          <w:szCs w:val="24"/>
          <w:lang w:val="en-IN"/>
        </w:rPr>
      </w:pPr>
    </w:p>
    <w:p w14:paraId="26F7E972" w14:textId="77777777" w:rsidR="000358CE" w:rsidRPr="005976A1" w:rsidRDefault="000358CE" w:rsidP="000358CE">
      <w:pPr>
        <w:spacing w:line="360" w:lineRule="auto"/>
        <w:jc w:val="both"/>
        <w:rPr>
          <w:rFonts w:cs="Calibri"/>
          <w:sz w:val="24"/>
          <w:szCs w:val="24"/>
        </w:rPr>
      </w:pPr>
      <w:r w:rsidRPr="005976A1">
        <w:rPr>
          <w:rFonts w:cs="Calibri"/>
          <w:b/>
          <w:sz w:val="24"/>
          <w:szCs w:val="24"/>
        </w:rPr>
        <w:t xml:space="preserve">Synthesis of 5-(5-bromoselenophen-2-yl)thiophene-2-carbaldehyde (7): </w:t>
      </w:r>
      <w:r w:rsidRPr="005976A1">
        <w:rPr>
          <w:rFonts w:cs="Calibri"/>
          <w:sz w:val="24"/>
          <w:szCs w:val="24"/>
        </w:rPr>
        <w:t xml:space="preserve">We have adopted similar procedure as for compound </w:t>
      </w:r>
      <w:r w:rsidRPr="005976A1">
        <w:rPr>
          <w:rFonts w:cs="Calibri"/>
          <w:b/>
          <w:sz w:val="24"/>
          <w:szCs w:val="24"/>
        </w:rPr>
        <w:t xml:space="preserve">5 </w:t>
      </w:r>
      <w:r w:rsidRPr="005976A1">
        <w:rPr>
          <w:rFonts w:cs="Calibri"/>
          <w:sz w:val="24"/>
          <w:szCs w:val="24"/>
        </w:rPr>
        <w:t xml:space="preserve">but only difference is that we have taken </w:t>
      </w:r>
      <w:r w:rsidRPr="005976A1">
        <w:rPr>
          <w:rFonts w:cs="Calibri"/>
          <w:bCs/>
          <w:sz w:val="24"/>
          <w:szCs w:val="24"/>
        </w:rPr>
        <w:t>5-formyl-2-thienylboronic acid (6) and get title compound</w:t>
      </w:r>
      <w:r w:rsidRPr="005976A1">
        <w:rPr>
          <w:rFonts w:cs="Calibri"/>
          <w:sz w:val="24"/>
          <w:szCs w:val="24"/>
        </w:rPr>
        <w:t xml:space="preserve"> as solid in yellow colour. </w:t>
      </w:r>
      <w:r w:rsidRPr="005976A1">
        <w:rPr>
          <w:rFonts w:cs="Calibri"/>
          <w:sz w:val="24"/>
          <w:szCs w:val="24"/>
          <w:vertAlign w:val="superscript"/>
        </w:rPr>
        <w:t>1</w:t>
      </w:r>
      <w:r w:rsidRPr="005976A1">
        <w:rPr>
          <w:rFonts w:cs="Calibri"/>
          <w:sz w:val="24"/>
          <w:szCs w:val="24"/>
        </w:rPr>
        <w:t>H NMR (500 MHz, CDCl</w:t>
      </w:r>
      <w:r w:rsidRPr="005976A1">
        <w:rPr>
          <w:rFonts w:cs="Calibri"/>
          <w:sz w:val="24"/>
          <w:szCs w:val="24"/>
          <w:vertAlign w:val="subscript"/>
        </w:rPr>
        <w:t>3</w:t>
      </w:r>
      <w:r w:rsidRPr="005976A1">
        <w:rPr>
          <w:rFonts w:cs="Calibri"/>
          <w:sz w:val="24"/>
          <w:szCs w:val="24"/>
        </w:rPr>
        <w:t xml:space="preserve">) δ 9.86 (s, 1H), 7.64 (d, </w:t>
      </w:r>
      <w:r w:rsidRPr="005976A1">
        <w:rPr>
          <w:rFonts w:cs="Calibri"/>
          <w:i/>
          <w:iCs/>
          <w:sz w:val="24"/>
          <w:szCs w:val="24"/>
        </w:rPr>
        <w:t>J</w:t>
      </w:r>
      <w:r w:rsidRPr="005976A1">
        <w:rPr>
          <w:rFonts w:cs="Calibri"/>
          <w:sz w:val="24"/>
          <w:szCs w:val="24"/>
        </w:rPr>
        <w:t xml:space="preserve"> = 3.9 Hz, 1H), 7.23 (d, </w:t>
      </w:r>
      <w:r w:rsidRPr="005976A1">
        <w:rPr>
          <w:rFonts w:cs="Calibri"/>
          <w:i/>
          <w:iCs/>
          <w:sz w:val="24"/>
          <w:szCs w:val="24"/>
        </w:rPr>
        <w:t>J</w:t>
      </w:r>
      <w:r w:rsidRPr="005976A1">
        <w:rPr>
          <w:rFonts w:cs="Calibri"/>
          <w:sz w:val="24"/>
          <w:szCs w:val="24"/>
        </w:rPr>
        <w:t xml:space="preserve"> = 5.8 Hz, 3H), 7.12 (d, </w:t>
      </w:r>
      <w:r w:rsidRPr="005976A1">
        <w:rPr>
          <w:rFonts w:cs="Calibri"/>
          <w:i/>
          <w:iCs/>
          <w:sz w:val="24"/>
          <w:szCs w:val="24"/>
        </w:rPr>
        <w:t>J</w:t>
      </w:r>
      <w:r w:rsidRPr="005976A1">
        <w:rPr>
          <w:rFonts w:cs="Calibri"/>
          <w:sz w:val="24"/>
          <w:szCs w:val="24"/>
        </w:rPr>
        <w:t xml:space="preserve"> = 3.9 Hz, 1H). </w:t>
      </w:r>
      <w:r w:rsidRPr="005976A1">
        <w:rPr>
          <w:rFonts w:cs="Calibri"/>
          <w:sz w:val="24"/>
          <w:szCs w:val="24"/>
          <w:vertAlign w:val="superscript"/>
        </w:rPr>
        <w:t>13</w:t>
      </w:r>
      <w:r w:rsidRPr="005976A1">
        <w:rPr>
          <w:rFonts w:cs="Calibri"/>
          <w:sz w:val="24"/>
          <w:szCs w:val="24"/>
        </w:rPr>
        <w:t xml:space="preserve">C NMR </w:t>
      </w:r>
      <w:r w:rsidRPr="005976A1">
        <w:rPr>
          <w:rFonts w:cs="Calibri"/>
          <w:color w:val="000000"/>
          <w:sz w:val="24"/>
          <w:szCs w:val="24"/>
        </w:rPr>
        <w:t>δ (ppm)= 182.50, 148.27, 142.02, 137.09, 134.33, 128.05, 124.88, 117.95.</w:t>
      </w:r>
      <w:r w:rsidRPr="005976A1">
        <w:rPr>
          <w:rFonts w:cs="Calibri"/>
          <w:sz w:val="24"/>
          <w:szCs w:val="24"/>
        </w:rPr>
        <w:t xml:space="preserve"> ESI-MS (m/z) = 338 (calculated mass = 320.06+NH</w:t>
      </w:r>
      <w:r w:rsidRPr="005976A1">
        <w:rPr>
          <w:rFonts w:cs="Calibri"/>
          <w:sz w:val="24"/>
          <w:szCs w:val="24"/>
          <w:vertAlign w:val="subscript"/>
        </w:rPr>
        <w:t>4</w:t>
      </w:r>
      <w:r w:rsidRPr="005976A1">
        <w:rPr>
          <w:rFonts w:cs="Calibri"/>
          <w:sz w:val="24"/>
          <w:szCs w:val="24"/>
          <w:vertAlign w:val="superscript"/>
        </w:rPr>
        <w:t>+</w:t>
      </w:r>
      <w:r w:rsidRPr="005976A1">
        <w:rPr>
          <w:rFonts w:cs="Calibri"/>
          <w:sz w:val="24"/>
          <w:szCs w:val="24"/>
        </w:rPr>
        <w:t>).</w:t>
      </w:r>
    </w:p>
    <w:p w14:paraId="0FC3899E" w14:textId="77777777" w:rsidR="00A118C4" w:rsidRPr="005976A1" w:rsidRDefault="00A118C4" w:rsidP="000358CE">
      <w:pPr>
        <w:spacing w:line="360" w:lineRule="auto"/>
        <w:jc w:val="both"/>
        <w:rPr>
          <w:rFonts w:cs="Calibri"/>
          <w:b/>
          <w:sz w:val="24"/>
          <w:szCs w:val="24"/>
        </w:rPr>
      </w:pPr>
    </w:p>
    <w:p w14:paraId="5B8325A6" w14:textId="77777777" w:rsidR="000358CE" w:rsidRPr="005976A1" w:rsidRDefault="000358CE" w:rsidP="00DB5025">
      <w:pPr>
        <w:spacing w:after="0" w:line="360" w:lineRule="auto"/>
        <w:jc w:val="both"/>
        <w:rPr>
          <w:rFonts w:cs="Calibri"/>
          <w:sz w:val="24"/>
          <w:szCs w:val="24"/>
          <w:lang w:val="en-IN"/>
        </w:rPr>
      </w:pPr>
      <w:r w:rsidRPr="005976A1">
        <w:rPr>
          <w:rFonts w:cs="Calibri"/>
          <w:b/>
          <w:sz w:val="24"/>
          <w:szCs w:val="24"/>
          <w:lang w:val="en-IN"/>
        </w:rPr>
        <w:t xml:space="preserve">Synthesis of 3-(4-(5-bromoselenophen-2-yl)phenyl)-2-cyanoacrylic acid (1): </w:t>
      </w:r>
      <w:r w:rsidRPr="005976A1">
        <w:rPr>
          <w:rFonts w:cs="Calibri"/>
          <w:sz w:val="24"/>
          <w:szCs w:val="24"/>
          <w:lang w:val="en-IN"/>
        </w:rPr>
        <w:t xml:space="preserve">This compound was synthesized by Knoevenagel condensation reaction. To compound </w:t>
      </w:r>
      <w:r w:rsidRPr="005976A1">
        <w:rPr>
          <w:rFonts w:cs="Calibri"/>
          <w:b/>
          <w:sz w:val="24"/>
          <w:szCs w:val="24"/>
          <w:lang w:val="en-IN"/>
        </w:rPr>
        <w:t>5</w:t>
      </w:r>
      <w:r w:rsidRPr="005976A1">
        <w:rPr>
          <w:rFonts w:cs="Calibri"/>
          <w:sz w:val="24"/>
          <w:szCs w:val="24"/>
          <w:lang w:val="en-IN"/>
        </w:rPr>
        <w:t xml:space="preserve"> (100 mg, 0.318 mmol) add </w:t>
      </w:r>
      <w:r w:rsidRPr="005976A1">
        <w:rPr>
          <w:rFonts w:cs="Calibri"/>
          <w:sz w:val="24"/>
          <w:szCs w:val="24"/>
        </w:rPr>
        <w:t>cyanoacetic acid (39 mg, 0.477 mmol) and a catalytic amount of piperidine (1mL) was dissolved in 3</w:t>
      </w:r>
      <w:r w:rsidR="00E55595" w:rsidRPr="005976A1">
        <w:rPr>
          <w:rFonts w:cs="Calibri"/>
          <w:sz w:val="24"/>
          <w:szCs w:val="24"/>
        </w:rPr>
        <w:t xml:space="preserve"> </w:t>
      </w:r>
      <w:r w:rsidRPr="005976A1">
        <w:rPr>
          <w:rFonts w:cs="Calibri"/>
          <w:sz w:val="24"/>
          <w:szCs w:val="24"/>
        </w:rPr>
        <w:t>mL of CH</w:t>
      </w:r>
      <w:r w:rsidRPr="005976A1">
        <w:rPr>
          <w:rFonts w:cs="Calibri"/>
          <w:sz w:val="24"/>
          <w:szCs w:val="24"/>
          <w:vertAlign w:val="subscript"/>
        </w:rPr>
        <w:t>3</w:t>
      </w:r>
      <w:r w:rsidRPr="005976A1">
        <w:rPr>
          <w:rFonts w:cs="Calibri"/>
          <w:sz w:val="24"/>
          <w:szCs w:val="24"/>
        </w:rPr>
        <w:t xml:space="preserve">CN. The resultant reaction mixture was refluxed for 2 h. After being cooled to room temperature, the reaction mixture was washed with 0.1 M HCl and water and extracted with distilled water dried under vacuum distillation. </w:t>
      </w:r>
      <w:r w:rsidRPr="005976A1">
        <w:rPr>
          <w:rFonts w:cs="Calibri"/>
          <w:sz w:val="24"/>
          <w:szCs w:val="24"/>
          <w:vertAlign w:val="superscript"/>
          <w:lang w:val="en-IN"/>
        </w:rPr>
        <w:t>1</w:t>
      </w:r>
      <w:r w:rsidRPr="005976A1">
        <w:rPr>
          <w:rFonts w:cs="Calibri"/>
          <w:sz w:val="24"/>
          <w:szCs w:val="24"/>
          <w:lang w:val="en-IN"/>
        </w:rPr>
        <w:t xml:space="preserve">H NMR (400 MHz, DMSO) δ 8.22 (d, </w:t>
      </w:r>
      <w:r w:rsidRPr="005976A1">
        <w:rPr>
          <w:rFonts w:cs="Calibri"/>
          <w:i/>
          <w:iCs/>
          <w:sz w:val="24"/>
          <w:szCs w:val="24"/>
          <w:lang w:val="en-IN"/>
        </w:rPr>
        <w:t>J</w:t>
      </w:r>
      <w:r w:rsidRPr="005976A1">
        <w:rPr>
          <w:rFonts w:cs="Calibri"/>
          <w:sz w:val="24"/>
          <w:szCs w:val="24"/>
          <w:lang w:val="en-IN"/>
        </w:rPr>
        <w:t xml:space="preserve"> = 4.5 Hz, 1H), 7.87 (d, </w:t>
      </w:r>
      <w:r w:rsidRPr="005976A1">
        <w:rPr>
          <w:rFonts w:cs="Calibri"/>
          <w:i/>
          <w:iCs/>
          <w:sz w:val="24"/>
          <w:szCs w:val="24"/>
          <w:lang w:val="en-IN"/>
        </w:rPr>
        <w:t>J</w:t>
      </w:r>
      <w:r w:rsidRPr="005976A1">
        <w:rPr>
          <w:rFonts w:cs="Calibri"/>
          <w:sz w:val="24"/>
          <w:szCs w:val="24"/>
          <w:lang w:val="en-IN"/>
        </w:rPr>
        <w:t xml:space="preserve"> = 3.8 Hz, 4H), 7.79 (d, </w:t>
      </w:r>
      <w:r w:rsidRPr="005976A1">
        <w:rPr>
          <w:rFonts w:cs="Calibri"/>
          <w:i/>
          <w:iCs/>
          <w:sz w:val="24"/>
          <w:szCs w:val="24"/>
          <w:lang w:val="en-IN"/>
        </w:rPr>
        <w:t>J</w:t>
      </w:r>
      <w:r w:rsidRPr="005976A1">
        <w:rPr>
          <w:rFonts w:cs="Calibri"/>
          <w:sz w:val="24"/>
          <w:szCs w:val="24"/>
          <w:lang w:val="en-IN"/>
        </w:rPr>
        <w:t xml:space="preserve"> = 3.8 Hz, 1H), 7.73 (d, </w:t>
      </w:r>
      <w:r w:rsidRPr="005976A1">
        <w:rPr>
          <w:rFonts w:cs="Calibri"/>
          <w:i/>
          <w:iCs/>
          <w:sz w:val="24"/>
          <w:szCs w:val="24"/>
          <w:lang w:val="en-IN"/>
        </w:rPr>
        <w:t>J</w:t>
      </w:r>
      <w:r w:rsidRPr="005976A1">
        <w:rPr>
          <w:rFonts w:cs="Calibri"/>
          <w:sz w:val="24"/>
          <w:szCs w:val="24"/>
          <w:lang w:val="en-IN"/>
        </w:rPr>
        <w:t xml:space="preserve"> = 8.5 Hz, 3H), 7.39 (dd, </w:t>
      </w:r>
      <w:r w:rsidRPr="005976A1">
        <w:rPr>
          <w:rFonts w:cs="Calibri"/>
          <w:i/>
          <w:iCs/>
          <w:sz w:val="24"/>
          <w:szCs w:val="24"/>
          <w:lang w:val="en-IN"/>
        </w:rPr>
        <w:t>J</w:t>
      </w:r>
      <w:r w:rsidRPr="005976A1">
        <w:rPr>
          <w:rFonts w:cs="Calibri"/>
          <w:sz w:val="24"/>
          <w:szCs w:val="24"/>
          <w:lang w:val="en-IN"/>
        </w:rPr>
        <w:t xml:space="preserve"> = 5.5, 3.8 Hz, 1H).</w:t>
      </w:r>
      <w:r w:rsidRPr="005976A1">
        <w:rPr>
          <w:rFonts w:cs="Calibri"/>
          <w:sz w:val="24"/>
          <w:szCs w:val="24"/>
          <w:vertAlign w:val="superscript"/>
          <w:lang w:val="en-IN"/>
        </w:rPr>
        <w:t xml:space="preserve"> 13</w:t>
      </w:r>
      <w:r w:rsidRPr="005976A1">
        <w:rPr>
          <w:rFonts w:cs="Calibri"/>
          <w:sz w:val="24"/>
          <w:szCs w:val="24"/>
          <w:lang w:val="en-IN"/>
        </w:rPr>
        <w:t>C NMR δ (ppm)= 162.49, 149.73, 146.10, 133.07, 131.54, 130.50, 127.38, 126.56, 123.71, 114.60, 79.95. ESI-MS (m/z) = 380 (calculated mass = 380</w:t>
      </w:r>
      <w:r w:rsidR="00E55595" w:rsidRPr="005976A1">
        <w:rPr>
          <w:rFonts w:cs="Calibri"/>
          <w:sz w:val="24"/>
          <w:szCs w:val="24"/>
          <w:lang w:val="en-IN"/>
        </w:rPr>
        <w:t>.89</w:t>
      </w:r>
      <w:r w:rsidRPr="005976A1">
        <w:rPr>
          <w:rFonts w:cs="Calibri"/>
          <w:sz w:val="24"/>
          <w:szCs w:val="24"/>
          <w:lang w:val="en-IN"/>
        </w:rPr>
        <w:t>).</w:t>
      </w:r>
    </w:p>
    <w:p w14:paraId="5148346F" w14:textId="77777777" w:rsidR="000358CE" w:rsidRPr="005976A1" w:rsidRDefault="000358CE" w:rsidP="00DB5025">
      <w:pPr>
        <w:spacing w:after="0" w:line="360" w:lineRule="auto"/>
        <w:jc w:val="both"/>
        <w:rPr>
          <w:rFonts w:cs="Calibri"/>
          <w:sz w:val="24"/>
          <w:szCs w:val="24"/>
          <w:lang w:val="en-IN"/>
        </w:rPr>
      </w:pPr>
    </w:p>
    <w:p w14:paraId="5A106C13" w14:textId="77777777" w:rsidR="000358CE" w:rsidRPr="005976A1" w:rsidRDefault="000358CE" w:rsidP="00DB5025">
      <w:pPr>
        <w:spacing w:after="0" w:line="360" w:lineRule="auto"/>
        <w:jc w:val="both"/>
        <w:rPr>
          <w:rFonts w:cs="Calibri"/>
          <w:sz w:val="24"/>
          <w:szCs w:val="24"/>
          <w:lang w:val="en-IN"/>
        </w:rPr>
      </w:pPr>
      <w:r w:rsidRPr="005976A1">
        <w:rPr>
          <w:rFonts w:cs="Calibri"/>
          <w:b/>
          <w:sz w:val="24"/>
          <w:szCs w:val="24"/>
          <w:lang w:val="en-IN"/>
        </w:rPr>
        <w:t xml:space="preserve">3-(5-(5-bromoselenophen-2-yl)thiophen-2-yl)-2-cyanoacrylic acid (2): </w:t>
      </w:r>
      <w:r w:rsidRPr="005976A1">
        <w:rPr>
          <w:rFonts w:cs="Calibri"/>
          <w:sz w:val="24"/>
          <w:szCs w:val="24"/>
          <w:lang w:val="en-IN"/>
        </w:rPr>
        <w:t xml:space="preserve">We have adopted similar procedure as for compound </w:t>
      </w:r>
      <w:r w:rsidRPr="005976A1">
        <w:rPr>
          <w:rFonts w:cs="Calibri"/>
          <w:b/>
          <w:sz w:val="24"/>
          <w:szCs w:val="24"/>
          <w:lang w:val="en-IN"/>
        </w:rPr>
        <w:t>1</w:t>
      </w:r>
      <w:r w:rsidRPr="005976A1">
        <w:rPr>
          <w:rFonts w:cs="Calibri"/>
          <w:sz w:val="24"/>
          <w:szCs w:val="24"/>
          <w:lang w:val="en-IN"/>
        </w:rPr>
        <w:t xml:space="preserve"> to prepare compound </w:t>
      </w:r>
      <w:r w:rsidRPr="005976A1">
        <w:rPr>
          <w:rFonts w:cs="Calibri"/>
          <w:b/>
          <w:bCs/>
          <w:sz w:val="24"/>
          <w:szCs w:val="24"/>
          <w:lang w:val="en-IN"/>
        </w:rPr>
        <w:t>2</w:t>
      </w:r>
      <w:r w:rsidRPr="005976A1">
        <w:rPr>
          <w:rFonts w:cs="Calibri"/>
          <w:sz w:val="24"/>
          <w:szCs w:val="24"/>
          <w:lang w:val="en-IN"/>
        </w:rPr>
        <w:t xml:space="preserve"> and obtained solid in yellow in colour. </w:t>
      </w:r>
      <w:r w:rsidRPr="005976A1">
        <w:rPr>
          <w:rFonts w:cs="Calibri"/>
          <w:sz w:val="24"/>
          <w:szCs w:val="24"/>
          <w:vertAlign w:val="superscript"/>
          <w:lang w:val="en-IN"/>
        </w:rPr>
        <w:t>1</w:t>
      </w:r>
      <w:r w:rsidRPr="005976A1">
        <w:rPr>
          <w:rFonts w:cs="Calibri"/>
          <w:sz w:val="24"/>
          <w:szCs w:val="24"/>
          <w:lang w:val="en-IN"/>
        </w:rPr>
        <w:t xml:space="preserve">H </w:t>
      </w:r>
      <w:r w:rsidRPr="005976A1">
        <w:rPr>
          <w:rFonts w:cs="Calibri"/>
          <w:sz w:val="24"/>
          <w:szCs w:val="24"/>
          <w:lang w:val="en-IN"/>
        </w:rPr>
        <w:lastRenderedPageBreak/>
        <w:t xml:space="preserve">NMR (400 MHz, DMSO) δ 8.40 (s, 1H), 7.87 (d, </w:t>
      </w:r>
      <w:r w:rsidRPr="005976A1">
        <w:rPr>
          <w:rFonts w:cs="Calibri"/>
          <w:i/>
          <w:iCs/>
          <w:sz w:val="24"/>
          <w:szCs w:val="24"/>
          <w:lang w:val="en-IN"/>
        </w:rPr>
        <w:t>J</w:t>
      </w:r>
      <w:r w:rsidRPr="005976A1">
        <w:rPr>
          <w:rFonts w:cs="Calibri"/>
          <w:sz w:val="24"/>
          <w:szCs w:val="24"/>
          <w:lang w:val="en-IN"/>
        </w:rPr>
        <w:t xml:space="preserve"> = 29.8 Hz, 1H), 7.59 (d, </w:t>
      </w:r>
      <w:r w:rsidRPr="005976A1">
        <w:rPr>
          <w:rFonts w:cs="Calibri"/>
          <w:i/>
          <w:iCs/>
          <w:sz w:val="24"/>
          <w:szCs w:val="24"/>
          <w:lang w:val="en-IN"/>
        </w:rPr>
        <w:t>J</w:t>
      </w:r>
      <w:r w:rsidRPr="005976A1">
        <w:rPr>
          <w:rFonts w:cs="Calibri"/>
          <w:sz w:val="24"/>
          <w:szCs w:val="24"/>
          <w:lang w:val="en-IN"/>
        </w:rPr>
        <w:t xml:space="preserve"> = 35.6 Hz, 2H), 7.41 (d, </w:t>
      </w:r>
      <w:r w:rsidRPr="005976A1">
        <w:rPr>
          <w:rFonts w:cs="Calibri"/>
          <w:i/>
          <w:iCs/>
          <w:sz w:val="24"/>
          <w:szCs w:val="24"/>
          <w:lang w:val="en-IN"/>
        </w:rPr>
        <w:t>J</w:t>
      </w:r>
      <w:r w:rsidRPr="005976A1">
        <w:rPr>
          <w:rFonts w:cs="Calibri"/>
          <w:sz w:val="24"/>
          <w:szCs w:val="24"/>
          <w:lang w:val="en-IN"/>
        </w:rPr>
        <w:t xml:space="preserve"> = 9.0 Hz, 3H), 7.27 (d, </w:t>
      </w:r>
      <w:r w:rsidRPr="005976A1">
        <w:rPr>
          <w:rFonts w:cs="Calibri"/>
          <w:i/>
          <w:iCs/>
          <w:sz w:val="24"/>
          <w:szCs w:val="24"/>
          <w:lang w:val="en-IN"/>
        </w:rPr>
        <w:t>J</w:t>
      </w:r>
      <w:r w:rsidRPr="005976A1">
        <w:rPr>
          <w:rFonts w:cs="Calibri"/>
          <w:sz w:val="24"/>
          <w:szCs w:val="24"/>
          <w:lang w:val="en-IN"/>
        </w:rPr>
        <w:t xml:space="preserve"> = 3.9 Hz, 2H).</w:t>
      </w:r>
      <w:r w:rsidRPr="005976A1">
        <w:rPr>
          <w:rFonts w:cs="Calibri"/>
          <w:sz w:val="24"/>
          <w:szCs w:val="24"/>
          <w:vertAlign w:val="superscript"/>
          <w:lang w:val="en-IN"/>
        </w:rPr>
        <w:t>13</w:t>
      </w:r>
      <w:r w:rsidRPr="005976A1">
        <w:rPr>
          <w:rFonts w:cs="Calibri"/>
          <w:sz w:val="24"/>
          <w:szCs w:val="24"/>
          <w:lang w:val="en-IN"/>
        </w:rPr>
        <w:t xml:space="preserve">C NMR δ (ppm)= 163.93, 154.41, 144.90, 139.61, 135.01, 130.41, 129.42, 128.34, 125.87, 117.30, 115.21, 69.88. ESI-MS (m/z) = </w:t>
      </w:r>
      <w:r w:rsidRPr="005976A1">
        <w:rPr>
          <w:rFonts w:cs="Calibri"/>
          <w:sz w:val="24"/>
          <w:szCs w:val="24"/>
          <w:highlight w:val="yellow"/>
          <w:lang w:val="en-IN"/>
        </w:rPr>
        <w:t>380</w:t>
      </w:r>
      <w:r w:rsidRPr="005976A1">
        <w:rPr>
          <w:rFonts w:cs="Calibri"/>
          <w:sz w:val="24"/>
          <w:szCs w:val="24"/>
          <w:lang w:val="en-IN"/>
        </w:rPr>
        <w:t xml:space="preserve"> (</w:t>
      </w:r>
      <w:r w:rsidR="00E55595" w:rsidRPr="005976A1">
        <w:rPr>
          <w:rFonts w:cs="Calibri"/>
          <w:sz w:val="24"/>
          <w:szCs w:val="24"/>
          <w:lang w:val="en-IN"/>
        </w:rPr>
        <w:t>calculated mass = 386.85</w:t>
      </w:r>
      <w:r w:rsidRPr="005976A1">
        <w:rPr>
          <w:rFonts w:cs="Calibri"/>
          <w:sz w:val="24"/>
          <w:szCs w:val="24"/>
          <w:lang w:val="en-IN"/>
        </w:rPr>
        <w:t>).</w:t>
      </w:r>
    </w:p>
    <w:p w14:paraId="430F085E" w14:textId="77777777" w:rsidR="000358CE" w:rsidRPr="005976A1" w:rsidRDefault="000358CE" w:rsidP="00DB5025">
      <w:pPr>
        <w:spacing w:after="0" w:line="360" w:lineRule="auto"/>
        <w:jc w:val="both"/>
        <w:rPr>
          <w:rFonts w:cs="Calibri"/>
          <w:sz w:val="24"/>
          <w:szCs w:val="24"/>
          <w:lang w:val="en-IN"/>
        </w:rPr>
      </w:pPr>
    </w:p>
    <w:p w14:paraId="32C0D478" w14:textId="77777777" w:rsidR="000358CE" w:rsidRPr="005976A1" w:rsidRDefault="000358CE" w:rsidP="00DB5025">
      <w:pPr>
        <w:spacing w:after="0" w:line="360" w:lineRule="auto"/>
        <w:jc w:val="both"/>
        <w:rPr>
          <w:rFonts w:cs="Calibri"/>
          <w:sz w:val="24"/>
          <w:szCs w:val="24"/>
          <w:lang w:val="en-IN"/>
        </w:rPr>
      </w:pPr>
      <w:r w:rsidRPr="005976A1">
        <w:rPr>
          <w:rFonts w:cs="Calibri"/>
          <w:b/>
          <w:sz w:val="24"/>
          <w:szCs w:val="24"/>
          <w:lang w:val="en-IN"/>
        </w:rPr>
        <w:t>Synthesis of LG</w:t>
      </w:r>
      <w:r w:rsidR="006C6311" w:rsidRPr="005976A1">
        <w:rPr>
          <w:rFonts w:cs="Calibri"/>
          <w:b/>
          <w:sz w:val="24"/>
          <w:szCs w:val="24"/>
          <w:lang w:val="en-IN"/>
        </w:rPr>
        <w:t xml:space="preserve"> </w:t>
      </w:r>
      <w:r w:rsidRPr="005976A1">
        <w:rPr>
          <w:rFonts w:cs="Calibri"/>
          <w:b/>
          <w:sz w:val="24"/>
          <w:szCs w:val="24"/>
          <w:lang w:val="en-IN"/>
        </w:rPr>
        <w:t xml:space="preserve">28: </w:t>
      </w:r>
      <w:r w:rsidRPr="005976A1">
        <w:rPr>
          <w:rFonts w:cs="Calibri"/>
          <w:sz w:val="24"/>
          <w:szCs w:val="24"/>
          <w:lang w:val="en-IN"/>
        </w:rPr>
        <w:t xml:space="preserve">Compound </w:t>
      </w:r>
      <w:r w:rsidRPr="005976A1">
        <w:rPr>
          <w:rFonts w:cs="Calibri"/>
          <w:b/>
          <w:bCs/>
          <w:sz w:val="24"/>
          <w:szCs w:val="24"/>
          <w:lang w:val="en-IN"/>
        </w:rPr>
        <w:t>8</w:t>
      </w:r>
      <w:r w:rsidRPr="005976A1">
        <w:rPr>
          <w:rFonts w:cs="Calibri"/>
          <w:sz w:val="24"/>
          <w:szCs w:val="24"/>
          <w:lang w:val="en-IN"/>
        </w:rPr>
        <w:t xml:space="preserve"> (250 mg, 0.192 mmol) was dissolved in a mixture of anhydrous THF (3 mL) and triethylamine (7 mL) under an inert atmosphere. To this, compound </w:t>
      </w:r>
      <w:r w:rsidRPr="005976A1">
        <w:rPr>
          <w:rFonts w:cs="Calibri"/>
          <w:b/>
          <w:sz w:val="24"/>
          <w:szCs w:val="24"/>
          <w:lang w:val="en-IN"/>
        </w:rPr>
        <w:t>1</w:t>
      </w:r>
      <w:r w:rsidRPr="005976A1">
        <w:rPr>
          <w:rFonts w:cs="Calibri"/>
          <w:sz w:val="24"/>
          <w:szCs w:val="24"/>
          <w:lang w:val="en-IN"/>
        </w:rPr>
        <w:t xml:space="preserve"> (86 mg, 0.227 mmol), Pd</w:t>
      </w:r>
      <w:r w:rsidRPr="005976A1">
        <w:rPr>
          <w:rFonts w:cs="Calibri"/>
          <w:sz w:val="24"/>
          <w:szCs w:val="24"/>
          <w:vertAlign w:val="subscript"/>
          <w:lang w:val="en-IN"/>
        </w:rPr>
        <w:t>2</w:t>
      </w:r>
      <w:r w:rsidRPr="005976A1">
        <w:rPr>
          <w:rFonts w:cs="Calibri"/>
          <w:sz w:val="24"/>
          <w:szCs w:val="24"/>
          <w:lang w:val="en-IN"/>
        </w:rPr>
        <w:t>(dba)</w:t>
      </w:r>
      <w:r w:rsidRPr="005976A1">
        <w:rPr>
          <w:rFonts w:cs="Calibri"/>
          <w:sz w:val="24"/>
          <w:szCs w:val="24"/>
          <w:vertAlign w:val="subscript"/>
          <w:lang w:val="en-IN"/>
        </w:rPr>
        <w:t>3</w:t>
      </w:r>
      <w:r w:rsidRPr="005976A1">
        <w:rPr>
          <w:rFonts w:cs="Calibri"/>
          <w:sz w:val="24"/>
          <w:szCs w:val="24"/>
          <w:lang w:val="en-IN"/>
        </w:rPr>
        <w:t xml:space="preserve"> (17.3 mg, 0.019 mmol) and AsPh</w:t>
      </w:r>
      <w:r w:rsidRPr="005976A1">
        <w:rPr>
          <w:rFonts w:cs="Calibri"/>
          <w:sz w:val="24"/>
          <w:szCs w:val="24"/>
          <w:vertAlign w:val="subscript"/>
          <w:lang w:val="en-IN"/>
        </w:rPr>
        <w:t>3</w:t>
      </w:r>
      <w:r w:rsidRPr="005976A1">
        <w:rPr>
          <w:rFonts w:cs="Calibri"/>
          <w:sz w:val="24"/>
          <w:szCs w:val="24"/>
          <w:lang w:val="en-IN"/>
        </w:rPr>
        <w:t xml:space="preserve"> (115 mg, 0.019 mmol) were added. The resultant reaction mixture was refluxed 8 hrs and cooled to room temperature. The solvent was removed and purified by silica gel column chromatography (CH</w:t>
      </w:r>
      <w:r w:rsidRPr="005976A1">
        <w:rPr>
          <w:rFonts w:cs="Calibri"/>
          <w:sz w:val="24"/>
          <w:szCs w:val="24"/>
          <w:vertAlign w:val="subscript"/>
          <w:lang w:val="en-IN"/>
        </w:rPr>
        <w:t>2</w:t>
      </w:r>
      <w:r w:rsidRPr="005976A1">
        <w:rPr>
          <w:rFonts w:cs="Calibri"/>
          <w:sz w:val="24"/>
          <w:szCs w:val="24"/>
          <w:lang w:val="en-IN"/>
        </w:rPr>
        <w:t>Cl</w:t>
      </w:r>
      <w:r w:rsidRPr="005976A1">
        <w:rPr>
          <w:rFonts w:cs="Calibri"/>
          <w:sz w:val="24"/>
          <w:szCs w:val="24"/>
          <w:vertAlign w:val="subscript"/>
          <w:lang w:val="en-IN"/>
        </w:rPr>
        <w:t>2</w:t>
      </w:r>
      <w:r w:rsidRPr="005976A1">
        <w:rPr>
          <w:rFonts w:cs="Calibri"/>
          <w:sz w:val="24"/>
          <w:szCs w:val="24"/>
          <w:lang w:val="en-IN"/>
        </w:rPr>
        <w:t xml:space="preserve">/ MeOH = 20:1, v/v), recrystallized from MeOH/ether to give the desired sensitizer </w:t>
      </w:r>
      <w:r w:rsidRPr="005976A1">
        <w:rPr>
          <w:rFonts w:cs="Calibri"/>
          <w:b/>
          <w:sz w:val="24"/>
          <w:szCs w:val="24"/>
          <w:lang w:val="en-IN"/>
        </w:rPr>
        <w:t xml:space="preserve">LG28 </w:t>
      </w:r>
      <w:r w:rsidRPr="005976A1">
        <w:rPr>
          <w:rFonts w:cs="Calibri"/>
          <w:sz w:val="24"/>
          <w:szCs w:val="24"/>
          <w:lang w:val="en-IN"/>
        </w:rPr>
        <w:t>(yield 55%) as a green solid. Anal.Calcd. For C</w:t>
      </w:r>
      <w:r w:rsidRPr="005976A1">
        <w:rPr>
          <w:rFonts w:cs="Calibri"/>
          <w:sz w:val="24"/>
          <w:szCs w:val="24"/>
          <w:vertAlign w:val="subscript"/>
          <w:lang w:val="en-IN"/>
        </w:rPr>
        <w:t>102</w:t>
      </w:r>
      <w:r w:rsidRPr="005976A1">
        <w:rPr>
          <w:rFonts w:cs="Calibri"/>
          <w:sz w:val="24"/>
          <w:szCs w:val="24"/>
          <w:lang w:val="en-IN"/>
        </w:rPr>
        <w:t>H</w:t>
      </w:r>
      <w:r w:rsidRPr="005976A1">
        <w:rPr>
          <w:rFonts w:cs="Calibri"/>
          <w:sz w:val="24"/>
          <w:szCs w:val="24"/>
          <w:vertAlign w:val="subscript"/>
          <w:lang w:val="en-IN"/>
        </w:rPr>
        <w:t>114</w:t>
      </w:r>
      <w:r w:rsidRPr="005976A1">
        <w:rPr>
          <w:rFonts w:cs="Calibri"/>
          <w:sz w:val="24"/>
          <w:szCs w:val="24"/>
          <w:lang w:val="en-IN"/>
        </w:rPr>
        <w:t>N</w:t>
      </w:r>
      <w:r w:rsidRPr="005976A1">
        <w:rPr>
          <w:rFonts w:cs="Calibri"/>
          <w:sz w:val="24"/>
          <w:szCs w:val="24"/>
          <w:vertAlign w:val="subscript"/>
          <w:lang w:val="en-IN"/>
        </w:rPr>
        <w:t>6</w:t>
      </w:r>
      <w:r w:rsidRPr="005976A1">
        <w:rPr>
          <w:rFonts w:cs="Calibri"/>
          <w:sz w:val="24"/>
          <w:szCs w:val="24"/>
          <w:lang w:val="en-IN"/>
        </w:rPr>
        <w:t>O</w:t>
      </w:r>
      <w:r w:rsidRPr="005976A1">
        <w:rPr>
          <w:rFonts w:cs="Calibri"/>
          <w:sz w:val="24"/>
          <w:szCs w:val="24"/>
          <w:vertAlign w:val="subscript"/>
          <w:lang w:val="en-IN"/>
        </w:rPr>
        <w:t>6</w:t>
      </w:r>
      <w:r w:rsidRPr="005976A1">
        <w:rPr>
          <w:rFonts w:cs="Calibri"/>
          <w:sz w:val="24"/>
          <w:szCs w:val="24"/>
          <w:lang w:val="en-IN"/>
        </w:rPr>
        <w:t>SSeZn % (1694.69): C, 72.21; H, 6.77; N, 4.95; Found: C, 73.65; H, 6.62; N, 5.35. MALDI-TOF: m/z [M-H]</w:t>
      </w:r>
      <w:r w:rsidRPr="005976A1">
        <w:rPr>
          <w:rFonts w:cs="Calibri"/>
          <w:sz w:val="24"/>
          <w:szCs w:val="24"/>
          <w:vertAlign w:val="superscript"/>
          <w:lang w:val="en-IN"/>
        </w:rPr>
        <w:t xml:space="preserve"> + </w:t>
      </w:r>
      <w:r w:rsidRPr="005976A1">
        <w:rPr>
          <w:rFonts w:cs="Calibri"/>
          <w:sz w:val="24"/>
          <w:szCs w:val="24"/>
          <w:lang w:val="en-IN"/>
        </w:rPr>
        <w:t>calcd. For C</w:t>
      </w:r>
      <w:r w:rsidRPr="005976A1">
        <w:rPr>
          <w:rFonts w:cs="Calibri"/>
          <w:sz w:val="24"/>
          <w:szCs w:val="24"/>
          <w:vertAlign w:val="subscript"/>
          <w:lang w:val="en-IN"/>
        </w:rPr>
        <w:t>102</w:t>
      </w:r>
      <w:r w:rsidRPr="005976A1">
        <w:rPr>
          <w:rFonts w:cs="Calibri"/>
          <w:sz w:val="24"/>
          <w:szCs w:val="24"/>
          <w:lang w:val="en-IN"/>
        </w:rPr>
        <w:t>H</w:t>
      </w:r>
      <w:r w:rsidRPr="005976A1">
        <w:rPr>
          <w:rFonts w:cs="Calibri"/>
          <w:sz w:val="24"/>
          <w:szCs w:val="24"/>
          <w:vertAlign w:val="subscript"/>
          <w:lang w:val="en-IN"/>
        </w:rPr>
        <w:t>114</w:t>
      </w:r>
      <w:r w:rsidRPr="005976A1">
        <w:rPr>
          <w:rFonts w:cs="Calibri"/>
          <w:sz w:val="24"/>
          <w:szCs w:val="24"/>
          <w:lang w:val="en-IN"/>
        </w:rPr>
        <w:t>N</w:t>
      </w:r>
      <w:r w:rsidRPr="005976A1">
        <w:rPr>
          <w:rFonts w:cs="Calibri"/>
          <w:sz w:val="24"/>
          <w:szCs w:val="24"/>
          <w:vertAlign w:val="subscript"/>
          <w:lang w:val="en-IN"/>
        </w:rPr>
        <w:t>6</w:t>
      </w:r>
      <w:r w:rsidRPr="005976A1">
        <w:rPr>
          <w:rFonts w:cs="Calibri"/>
          <w:sz w:val="24"/>
          <w:szCs w:val="24"/>
          <w:lang w:val="en-IN"/>
        </w:rPr>
        <w:t>O</w:t>
      </w:r>
      <w:r w:rsidRPr="005976A1">
        <w:rPr>
          <w:rFonts w:cs="Calibri"/>
          <w:sz w:val="24"/>
          <w:szCs w:val="24"/>
          <w:vertAlign w:val="subscript"/>
          <w:lang w:val="en-IN"/>
        </w:rPr>
        <w:t>6</w:t>
      </w:r>
      <w:r w:rsidRPr="005976A1">
        <w:rPr>
          <w:rFonts w:cs="Calibri"/>
          <w:sz w:val="24"/>
          <w:szCs w:val="24"/>
          <w:lang w:val="en-IN"/>
        </w:rPr>
        <w:t xml:space="preserve">SSeZn % 1694.69; found, 1695.75. </w:t>
      </w:r>
      <w:r w:rsidRPr="005976A1">
        <w:rPr>
          <w:rFonts w:cs="Calibri"/>
          <w:sz w:val="24"/>
          <w:szCs w:val="24"/>
          <w:vertAlign w:val="superscript"/>
          <w:lang w:val="en-IN"/>
        </w:rPr>
        <w:t>1</w:t>
      </w:r>
      <w:r w:rsidRPr="005976A1">
        <w:rPr>
          <w:rFonts w:cs="Calibri"/>
          <w:sz w:val="24"/>
          <w:szCs w:val="24"/>
          <w:lang w:val="en-IN"/>
        </w:rPr>
        <w:t>H NMR (400 MHz, CDCl</w:t>
      </w:r>
      <w:r w:rsidRPr="005976A1">
        <w:rPr>
          <w:rFonts w:cs="Calibri"/>
          <w:sz w:val="24"/>
          <w:szCs w:val="24"/>
          <w:vertAlign w:val="subscript"/>
          <w:lang w:val="en-IN"/>
        </w:rPr>
        <w:t>3</w:t>
      </w:r>
      <w:r w:rsidRPr="005976A1">
        <w:rPr>
          <w:rFonts w:cs="Calibri"/>
          <w:sz w:val="24"/>
          <w:szCs w:val="24"/>
          <w:lang w:val="en-IN"/>
        </w:rPr>
        <w:t>+ pyridine-d</w:t>
      </w:r>
      <w:r w:rsidRPr="005976A1">
        <w:rPr>
          <w:rFonts w:cs="Calibri"/>
          <w:sz w:val="24"/>
          <w:szCs w:val="24"/>
          <w:vertAlign w:val="subscript"/>
          <w:lang w:val="en-IN"/>
        </w:rPr>
        <w:t>5</w:t>
      </w:r>
      <w:r w:rsidRPr="005976A1">
        <w:rPr>
          <w:rFonts w:cs="Calibri"/>
          <w:sz w:val="24"/>
          <w:szCs w:val="24"/>
          <w:lang w:val="en-IN"/>
        </w:rPr>
        <w:t xml:space="preserve">) = δ 8.47 (s, 3H), 7.50 (s, 3H), 7.36 (s, 7H), 6.90 (d, </w:t>
      </w:r>
      <w:r w:rsidRPr="005976A1">
        <w:rPr>
          <w:rFonts w:cs="Calibri"/>
          <w:i/>
          <w:iCs/>
          <w:sz w:val="24"/>
          <w:szCs w:val="24"/>
          <w:lang w:val="en-IN"/>
        </w:rPr>
        <w:t>J</w:t>
      </w:r>
      <w:r w:rsidRPr="005976A1">
        <w:rPr>
          <w:rFonts w:cs="Calibri"/>
          <w:sz w:val="24"/>
          <w:szCs w:val="24"/>
          <w:lang w:val="en-IN"/>
        </w:rPr>
        <w:t xml:space="preserve"> = 12.4 Hz, 6H), 6.57 (s, 1H), 5.79 (s, 1H), 5.22 (dd, </w:t>
      </w:r>
      <w:r w:rsidRPr="005976A1">
        <w:rPr>
          <w:rFonts w:cs="Calibri"/>
          <w:i/>
          <w:iCs/>
          <w:sz w:val="24"/>
          <w:szCs w:val="24"/>
          <w:lang w:val="en-IN"/>
        </w:rPr>
        <w:t>J</w:t>
      </w:r>
      <w:r w:rsidRPr="005976A1">
        <w:rPr>
          <w:rFonts w:cs="Calibri"/>
          <w:sz w:val="24"/>
          <w:szCs w:val="24"/>
          <w:lang w:val="en-IN"/>
        </w:rPr>
        <w:t xml:space="preserve"> = 23.1, 18.6 Hz, 5H), 3.97 (dd, </w:t>
      </w:r>
      <w:r w:rsidRPr="005976A1">
        <w:rPr>
          <w:rFonts w:cs="Calibri"/>
          <w:i/>
          <w:iCs/>
          <w:sz w:val="24"/>
          <w:szCs w:val="24"/>
          <w:lang w:val="en-IN"/>
        </w:rPr>
        <w:t>J</w:t>
      </w:r>
      <w:r w:rsidRPr="005976A1">
        <w:rPr>
          <w:rFonts w:cs="Calibri"/>
          <w:sz w:val="24"/>
          <w:szCs w:val="24"/>
          <w:lang w:val="en-IN"/>
        </w:rPr>
        <w:t xml:space="preserve"> = 13.6, 6.5 Hz, 6H), 3.57 (dd, </w:t>
      </w:r>
      <w:r w:rsidRPr="005976A1">
        <w:rPr>
          <w:rFonts w:cs="Calibri"/>
          <w:i/>
          <w:iCs/>
          <w:sz w:val="24"/>
          <w:szCs w:val="24"/>
          <w:lang w:val="en-IN"/>
        </w:rPr>
        <w:t>J</w:t>
      </w:r>
      <w:r w:rsidRPr="005976A1">
        <w:rPr>
          <w:rFonts w:cs="Calibri"/>
          <w:sz w:val="24"/>
          <w:szCs w:val="24"/>
          <w:lang w:val="en-IN"/>
        </w:rPr>
        <w:t xml:space="preserve"> = 21.9, 13.7 Hz, 4H), 2.18 (ddd, </w:t>
      </w:r>
      <w:r w:rsidRPr="005976A1">
        <w:rPr>
          <w:rFonts w:cs="Calibri"/>
          <w:i/>
          <w:iCs/>
          <w:sz w:val="24"/>
          <w:szCs w:val="24"/>
          <w:lang w:val="en-IN"/>
        </w:rPr>
        <w:t>J</w:t>
      </w:r>
      <w:r w:rsidRPr="005976A1">
        <w:rPr>
          <w:rFonts w:cs="Calibri"/>
          <w:sz w:val="24"/>
          <w:szCs w:val="24"/>
          <w:lang w:val="en-IN"/>
        </w:rPr>
        <w:t xml:space="preserve"> = 30.5, 15.2, 7.7 Hz, 7H), 1.91 (dd, </w:t>
      </w:r>
      <w:r w:rsidRPr="005976A1">
        <w:rPr>
          <w:rFonts w:cs="Calibri"/>
          <w:i/>
          <w:iCs/>
          <w:sz w:val="24"/>
          <w:szCs w:val="24"/>
          <w:lang w:val="en-IN"/>
        </w:rPr>
        <w:t>J</w:t>
      </w:r>
      <w:r w:rsidRPr="005976A1">
        <w:rPr>
          <w:rFonts w:cs="Calibri"/>
          <w:sz w:val="24"/>
          <w:szCs w:val="24"/>
          <w:lang w:val="en-IN"/>
        </w:rPr>
        <w:t xml:space="preserve"> = 16.9, 11.7 Hz, 13H), 1.32 (s, 20H), 0.80 – 0.65 (m, 35H). </w:t>
      </w:r>
      <w:r w:rsidRPr="005976A1">
        <w:rPr>
          <w:rFonts w:cs="Calibri"/>
          <w:sz w:val="24"/>
          <w:szCs w:val="24"/>
          <w:vertAlign w:val="superscript"/>
          <w:lang w:val="en-IN"/>
        </w:rPr>
        <w:t>13</w:t>
      </w:r>
      <w:r w:rsidRPr="005976A1">
        <w:rPr>
          <w:rFonts w:cs="Calibri"/>
          <w:sz w:val="24"/>
          <w:szCs w:val="24"/>
          <w:lang w:val="en-IN"/>
        </w:rPr>
        <w:t>C NMR δ (ppm)= 160.01, 149.53, 149.25, 148.98, 135.49, 135.25, 125.35, 123.26, 123.01, 122.77, 105.16, 68.39, 34.23, 31.78, 31.61, 31.31, 30.25, 29.57, 29.28, 28.64, 28.56, 25.28, 22.09, 13.99, 13.82. FT–IR (neat, cm</w:t>
      </w:r>
      <w:r w:rsidRPr="005976A1">
        <w:rPr>
          <w:rFonts w:cs="Calibri"/>
          <w:sz w:val="24"/>
          <w:szCs w:val="24"/>
          <w:vertAlign w:val="superscript"/>
          <w:lang w:val="en-IN"/>
        </w:rPr>
        <w:t>-1</w:t>
      </w:r>
      <w:r w:rsidRPr="005976A1">
        <w:rPr>
          <w:rFonts w:cs="Calibri"/>
          <w:sz w:val="24"/>
          <w:szCs w:val="24"/>
          <w:lang w:val="en-IN"/>
        </w:rPr>
        <w:t>): 3445, 2981, 2966, 2867, 2690, 2361, 1994, 1742, 1638, 1457, 1178, 1083, 918.</w:t>
      </w:r>
    </w:p>
    <w:p w14:paraId="2AA3BCA9" w14:textId="77777777" w:rsidR="000358CE" w:rsidRPr="005976A1" w:rsidRDefault="000358CE" w:rsidP="00DB5025">
      <w:pPr>
        <w:spacing w:after="0" w:line="360" w:lineRule="auto"/>
        <w:jc w:val="both"/>
        <w:rPr>
          <w:rFonts w:cs="Calibri"/>
          <w:sz w:val="24"/>
          <w:szCs w:val="24"/>
          <w:lang w:val="en-IN"/>
        </w:rPr>
      </w:pPr>
    </w:p>
    <w:p w14:paraId="66897AA8" w14:textId="77777777" w:rsidR="000358CE" w:rsidRPr="005976A1" w:rsidRDefault="000358CE" w:rsidP="00DB5025">
      <w:pPr>
        <w:spacing w:after="0" w:line="360" w:lineRule="auto"/>
        <w:jc w:val="both"/>
        <w:rPr>
          <w:rFonts w:cs="Calibri"/>
          <w:sz w:val="24"/>
          <w:szCs w:val="24"/>
          <w:lang w:val="en-IN"/>
        </w:rPr>
      </w:pPr>
      <w:r w:rsidRPr="005976A1">
        <w:rPr>
          <w:rFonts w:cs="Calibri"/>
          <w:b/>
          <w:sz w:val="24"/>
          <w:szCs w:val="24"/>
          <w:lang w:val="en-IN"/>
        </w:rPr>
        <w:t>Synthesis of LG</w:t>
      </w:r>
      <w:r w:rsidR="006C6311" w:rsidRPr="005976A1">
        <w:rPr>
          <w:rFonts w:cs="Calibri"/>
          <w:b/>
          <w:sz w:val="24"/>
          <w:szCs w:val="24"/>
          <w:lang w:val="en-IN"/>
        </w:rPr>
        <w:t xml:space="preserve"> </w:t>
      </w:r>
      <w:r w:rsidRPr="005976A1">
        <w:rPr>
          <w:rFonts w:cs="Calibri"/>
          <w:b/>
          <w:sz w:val="24"/>
          <w:szCs w:val="24"/>
          <w:lang w:val="en-IN"/>
        </w:rPr>
        <w:t xml:space="preserve">29: </w:t>
      </w:r>
      <w:r w:rsidRPr="005976A1">
        <w:rPr>
          <w:rFonts w:cs="Calibri"/>
          <w:sz w:val="24"/>
          <w:szCs w:val="24"/>
          <w:lang w:val="en-IN"/>
        </w:rPr>
        <w:t xml:space="preserve">We have adopted similar synthetic procedure as for compound </w:t>
      </w:r>
      <w:r w:rsidRPr="005976A1">
        <w:rPr>
          <w:rFonts w:cs="Calibri"/>
          <w:b/>
          <w:sz w:val="24"/>
          <w:szCs w:val="24"/>
          <w:lang w:val="en-IN"/>
        </w:rPr>
        <w:t>LG28</w:t>
      </w:r>
      <w:r w:rsidRPr="005976A1">
        <w:rPr>
          <w:rFonts w:cs="Calibri"/>
          <w:sz w:val="24"/>
          <w:szCs w:val="24"/>
          <w:lang w:val="en-IN"/>
        </w:rPr>
        <w:t xml:space="preserve"> but only difference is that we have taken compound </w:t>
      </w:r>
      <w:r w:rsidRPr="005976A1">
        <w:rPr>
          <w:rFonts w:cs="Calibri"/>
          <w:b/>
          <w:sz w:val="24"/>
          <w:szCs w:val="24"/>
          <w:lang w:val="en-IN"/>
        </w:rPr>
        <w:t>2</w:t>
      </w:r>
      <w:r w:rsidRPr="005976A1">
        <w:rPr>
          <w:rFonts w:cs="Calibri"/>
          <w:sz w:val="24"/>
          <w:szCs w:val="24"/>
          <w:lang w:val="en-IN"/>
        </w:rPr>
        <w:t xml:space="preserve"> instead of compound </w:t>
      </w:r>
      <w:r w:rsidRPr="005976A1">
        <w:rPr>
          <w:rFonts w:cs="Calibri"/>
          <w:b/>
          <w:sz w:val="24"/>
          <w:szCs w:val="24"/>
          <w:lang w:val="en-IN"/>
        </w:rPr>
        <w:t>1</w:t>
      </w:r>
      <w:r w:rsidRPr="005976A1">
        <w:rPr>
          <w:rFonts w:cs="Calibri"/>
          <w:sz w:val="24"/>
          <w:szCs w:val="24"/>
          <w:lang w:val="en-IN"/>
        </w:rPr>
        <w:t xml:space="preserve">. The desired </w:t>
      </w:r>
      <w:r w:rsidRPr="005976A1">
        <w:rPr>
          <w:rFonts w:cs="Calibri"/>
          <w:b/>
          <w:sz w:val="24"/>
          <w:szCs w:val="24"/>
          <w:lang w:val="en-IN"/>
        </w:rPr>
        <w:t xml:space="preserve">LG29 </w:t>
      </w:r>
      <w:r w:rsidRPr="005976A1">
        <w:rPr>
          <w:rFonts w:cs="Calibri"/>
          <w:sz w:val="24"/>
          <w:szCs w:val="24"/>
          <w:lang w:val="en-IN"/>
        </w:rPr>
        <w:t>compound obtained as green solid and recrystallized from MeOH/ether (yield 68%). Anal.Calcd. For C</w:t>
      </w:r>
      <w:r w:rsidRPr="005976A1">
        <w:rPr>
          <w:rFonts w:cs="Calibri"/>
          <w:sz w:val="24"/>
          <w:szCs w:val="24"/>
          <w:vertAlign w:val="subscript"/>
          <w:lang w:val="en-IN"/>
        </w:rPr>
        <w:t>100</w:t>
      </w:r>
      <w:r w:rsidRPr="005976A1">
        <w:rPr>
          <w:rFonts w:cs="Calibri"/>
          <w:sz w:val="24"/>
          <w:szCs w:val="24"/>
          <w:lang w:val="en-IN"/>
        </w:rPr>
        <w:t>H</w:t>
      </w:r>
      <w:r w:rsidRPr="005976A1">
        <w:rPr>
          <w:rFonts w:cs="Calibri"/>
          <w:sz w:val="24"/>
          <w:szCs w:val="24"/>
          <w:vertAlign w:val="subscript"/>
          <w:lang w:val="en-IN"/>
        </w:rPr>
        <w:t>112</w:t>
      </w:r>
      <w:r w:rsidRPr="005976A1">
        <w:rPr>
          <w:rFonts w:cs="Calibri"/>
          <w:sz w:val="24"/>
          <w:szCs w:val="24"/>
          <w:lang w:val="en-IN"/>
        </w:rPr>
        <w:t>N</w:t>
      </w:r>
      <w:r w:rsidRPr="005976A1">
        <w:rPr>
          <w:rFonts w:cs="Calibri"/>
          <w:sz w:val="24"/>
          <w:szCs w:val="24"/>
          <w:vertAlign w:val="subscript"/>
          <w:lang w:val="en-IN"/>
        </w:rPr>
        <w:t>6</w:t>
      </w:r>
      <w:r w:rsidRPr="005976A1">
        <w:rPr>
          <w:rFonts w:cs="Calibri"/>
          <w:sz w:val="24"/>
          <w:szCs w:val="24"/>
          <w:lang w:val="en-IN"/>
        </w:rPr>
        <w:t>O</w:t>
      </w:r>
      <w:r w:rsidRPr="005976A1">
        <w:rPr>
          <w:rFonts w:cs="Calibri"/>
          <w:sz w:val="24"/>
          <w:szCs w:val="24"/>
          <w:vertAlign w:val="subscript"/>
          <w:lang w:val="en-IN"/>
        </w:rPr>
        <w:t>6</w:t>
      </w:r>
      <w:r w:rsidRPr="005976A1">
        <w:rPr>
          <w:rFonts w:cs="Calibri"/>
          <w:sz w:val="24"/>
          <w:szCs w:val="24"/>
          <w:lang w:val="en-IN"/>
        </w:rPr>
        <w:t>S</w:t>
      </w:r>
      <w:r w:rsidRPr="005976A1">
        <w:rPr>
          <w:rFonts w:cs="Calibri"/>
          <w:sz w:val="24"/>
          <w:szCs w:val="24"/>
          <w:vertAlign w:val="subscript"/>
          <w:lang w:val="en-IN"/>
        </w:rPr>
        <w:t>2</w:t>
      </w:r>
      <w:r w:rsidRPr="005976A1">
        <w:rPr>
          <w:rFonts w:cs="Calibri"/>
          <w:sz w:val="24"/>
          <w:szCs w:val="24"/>
          <w:lang w:val="en-IN"/>
        </w:rPr>
        <w:t>SeZn % (1700.65): C, 70.55; H, 6.63; N, 4.94; Found: C, 72.65; H, 6.62; N, 6.35. MALDI-TOF: m/z [M-H]</w:t>
      </w:r>
      <w:r w:rsidRPr="005976A1">
        <w:rPr>
          <w:rFonts w:cs="Calibri"/>
          <w:sz w:val="24"/>
          <w:szCs w:val="24"/>
          <w:vertAlign w:val="superscript"/>
          <w:lang w:val="en-IN"/>
        </w:rPr>
        <w:t xml:space="preserve"> + </w:t>
      </w:r>
      <w:r w:rsidRPr="005976A1">
        <w:rPr>
          <w:rFonts w:cs="Calibri"/>
          <w:sz w:val="24"/>
          <w:szCs w:val="24"/>
          <w:lang w:val="en-IN"/>
        </w:rPr>
        <w:t>calcd. For C</w:t>
      </w:r>
      <w:r w:rsidRPr="005976A1">
        <w:rPr>
          <w:rFonts w:cs="Calibri"/>
          <w:sz w:val="24"/>
          <w:szCs w:val="24"/>
          <w:vertAlign w:val="subscript"/>
          <w:lang w:val="en-IN"/>
        </w:rPr>
        <w:t>100</w:t>
      </w:r>
      <w:r w:rsidRPr="005976A1">
        <w:rPr>
          <w:rFonts w:cs="Calibri"/>
          <w:sz w:val="24"/>
          <w:szCs w:val="24"/>
          <w:lang w:val="en-IN"/>
        </w:rPr>
        <w:t>H</w:t>
      </w:r>
      <w:r w:rsidRPr="005976A1">
        <w:rPr>
          <w:rFonts w:cs="Calibri"/>
          <w:sz w:val="24"/>
          <w:szCs w:val="24"/>
          <w:vertAlign w:val="subscript"/>
          <w:lang w:val="en-IN"/>
        </w:rPr>
        <w:t>112</w:t>
      </w:r>
      <w:r w:rsidRPr="005976A1">
        <w:rPr>
          <w:rFonts w:cs="Calibri"/>
          <w:sz w:val="24"/>
          <w:szCs w:val="24"/>
          <w:lang w:val="en-IN"/>
        </w:rPr>
        <w:t>N</w:t>
      </w:r>
      <w:r w:rsidRPr="005976A1">
        <w:rPr>
          <w:rFonts w:cs="Calibri"/>
          <w:sz w:val="24"/>
          <w:szCs w:val="24"/>
          <w:vertAlign w:val="subscript"/>
          <w:lang w:val="en-IN"/>
        </w:rPr>
        <w:t>6</w:t>
      </w:r>
      <w:r w:rsidRPr="005976A1">
        <w:rPr>
          <w:rFonts w:cs="Calibri"/>
          <w:sz w:val="24"/>
          <w:szCs w:val="24"/>
          <w:lang w:val="en-IN"/>
        </w:rPr>
        <w:t>O</w:t>
      </w:r>
      <w:r w:rsidRPr="005976A1">
        <w:rPr>
          <w:rFonts w:cs="Calibri"/>
          <w:sz w:val="24"/>
          <w:szCs w:val="24"/>
          <w:vertAlign w:val="subscript"/>
          <w:lang w:val="en-IN"/>
        </w:rPr>
        <w:t>6</w:t>
      </w:r>
      <w:r w:rsidRPr="005976A1">
        <w:rPr>
          <w:rFonts w:cs="Calibri"/>
          <w:sz w:val="24"/>
          <w:szCs w:val="24"/>
          <w:lang w:val="en-IN"/>
        </w:rPr>
        <w:t>S</w:t>
      </w:r>
      <w:r w:rsidRPr="005976A1">
        <w:rPr>
          <w:rFonts w:cs="Calibri"/>
          <w:sz w:val="24"/>
          <w:szCs w:val="24"/>
          <w:vertAlign w:val="subscript"/>
          <w:lang w:val="en-IN"/>
        </w:rPr>
        <w:t>2</w:t>
      </w:r>
      <w:r w:rsidRPr="005976A1">
        <w:rPr>
          <w:rFonts w:cs="Calibri"/>
          <w:sz w:val="24"/>
          <w:szCs w:val="24"/>
          <w:lang w:val="en-IN"/>
        </w:rPr>
        <w:t xml:space="preserve">SeZn % 1700.65; found, 1701.81. </w:t>
      </w:r>
      <w:r w:rsidRPr="005976A1">
        <w:rPr>
          <w:rFonts w:cs="Calibri"/>
          <w:sz w:val="24"/>
          <w:szCs w:val="24"/>
          <w:vertAlign w:val="superscript"/>
          <w:lang w:val="en-IN"/>
        </w:rPr>
        <w:t>1</w:t>
      </w:r>
      <w:r w:rsidRPr="005976A1">
        <w:rPr>
          <w:rFonts w:cs="Calibri"/>
          <w:sz w:val="24"/>
          <w:szCs w:val="24"/>
          <w:lang w:val="en-IN"/>
        </w:rPr>
        <w:t>H NMR (500 MHz, CDCl</w:t>
      </w:r>
      <w:r w:rsidRPr="005976A1">
        <w:rPr>
          <w:rFonts w:cs="Calibri"/>
          <w:sz w:val="24"/>
          <w:szCs w:val="24"/>
          <w:vertAlign w:val="subscript"/>
          <w:lang w:val="en-IN"/>
        </w:rPr>
        <w:t>3</w:t>
      </w:r>
      <w:r w:rsidRPr="005976A1">
        <w:rPr>
          <w:rFonts w:cs="Calibri"/>
          <w:sz w:val="24"/>
          <w:szCs w:val="24"/>
          <w:lang w:val="en-IN"/>
        </w:rPr>
        <w:t>+ pyridine-d</w:t>
      </w:r>
      <w:r w:rsidRPr="005976A1">
        <w:rPr>
          <w:rFonts w:cs="Calibri"/>
          <w:sz w:val="24"/>
          <w:szCs w:val="24"/>
          <w:vertAlign w:val="subscript"/>
          <w:lang w:val="en-IN"/>
        </w:rPr>
        <w:t>5</w:t>
      </w:r>
      <w:r w:rsidRPr="005976A1">
        <w:rPr>
          <w:rFonts w:cs="Calibri"/>
          <w:sz w:val="24"/>
          <w:szCs w:val="24"/>
          <w:lang w:val="en-IN"/>
        </w:rPr>
        <w:t xml:space="preserve">) δ 9.67 – 9.43 (m, 3H), 8.82 (d, </w:t>
      </w:r>
      <w:r w:rsidRPr="005976A1">
        <w:rPr>
          <w:rFonts w:cs="Calibri"/>
          <w:i/>
          <w:iCs/>
          <w:sz w:val="24"/>
          <w:szCs w:val="24"/>
          <w:lang w:val="en-IN"/>
        </w:rPr>
        <w:t>J</w:t>
      </w:r>
      <w:r w:rsidRPr="005976A1">
        <w:rPr>
          <w:rFonts w:cs="Calibri"/>
          <w:sz w:val="24"/>
          <w:szCs w:val="24"/>
          <w:lang w:val="en-IN"/>
        </w:rPr>
        <w:t xml:space="preserve"> = 13.9 Hz, 3H), 8.59 (s, 1H), 7.82 – 7.44 (m, 8H), 7.39 (s, 4H), 7.17 (s, 1H), 6.99 (s, 4H), 5.31 (d, </w:t>
      </w:r>
      <w:r w:rsidRPr="005976A1">
        <w:rPr>
          <w:rFonts w:cs="Calibri"/>
          <w:i/>
          <w:iCs/>
          <w:sz w:val="24"/>
          <w:szCs w:val="24"/>
          <w:lang w:val="en-IN"/>
        </w:rPr>
        <w:t>J</w:t>
      </w:r>
      <w:r w:rsidRPr="005976A1">
        <w:rPr>
          <w:rFonts w:cs="Calibri"/>
          <w:sz w:val="24"/>
          <w:szCs w:val="24"/>
          <w:lang w:val="en-IN"/>
        </w:rPr>
        <w:t xml:space="preserve"> = 29.4 Hz, 2H), 3.77 (d, </w:t>
      </w:r>
      <w:r w:rsidRPr="005976A1">
        <w:rPr>
          <w:rFonts w:cs="Calibri"/>
          <w:i/>
          <w:iCs/>
          <w:sz w:val="24"/>
          <w:szCs w:val="24"/>
          <w:lang w:val="en-IN"/>
        </w:rPr>
        <w:t>J</w:t>
      </w:r>
      <w:r w:rsidRPr="005976A1">
        <w:rPr>
          <w:rFonts w:cs="Calibri"/>
          <w:sz w:val="24"/>
          <w:szCs w:val="24"/>
          <w:lang w:val="en-IN"/>
        </w:rPr>
        <w:t xml:space="preserve"> = 53.5 Hz, 10H), 2.30 (d, </w:t>
      </w:r>
      <w:r w:rsidRPr="005976A1">
        <w:rPr>
          <w:rFonts w:cs="Calibri"/>
          <w:i/>
          <w:iCs/>
          <w:sz w:val="24"/>
          <w:szCs w:val="24"/>
          <w:lang w:val="en-IN"/>
        </w:rPr>
        <w:t>J</w:t>
      </w:r>
      <w:r w:rsidRPr="005976A1">
        <w:rPr>
          <w:rFonts w:cs="Calibri"/>
          <w:sz w:val="24"/>
          <w:szCs w:val="24"/>
          <w:lang w:val="en-IN"/>
        </w:rPr>
        <w:t xml:space="preserve"> = 21.9 Hz, 1H), 2.19 (dd, </w:t>
      </w:r>
      <w:r w:rsidRPr="005976A1">
        <w:rPr>
          <w:rFonts w:cs="Calibri"/>
          <w:i/>
          <w:iCs/>
          <w:sz w:val="24"/>
          <w:szCs w:val="24"/>
          <w:lang w:val="en-IN"/>
        </w:rPr>
        <w:t>J</w:t>
      </w:r>
      <w:r w:rsidRPr="005976A1">
        <w:rPr>
          <w:rFonts w:cs="Calibri"/>
          <w:sz w:val="24"/>
          <w:szCs w:val="24"/>
          <w:lang w:val="en-IN"/>
        </w:rPr>
        <w:t xml:space="preserve"> = 24.4, 16.9 Hz, 1H), 2.06 – 1.99 (m, 2H), 1.93 (s, 2H), 1.44 (dd, </w:t>
      </w:r>
      <w:r w:rsidRPr="005976A1">
        <w:rPr>
          <w:rFonts w:cs="Calibri"/>
          <w:i/>
          <w:iCs/>
          <w:sz w:val="24"/>
          <w:szCs w:val="24"/>
          <w:lang w:val="en-IN"/>
        </w:rPr>
        <w:lastRenderedPageBreak/>
        <w:t>J</w:t>
      </w:r>
      <w:r w:rsidRPr="005976A1">
        <w:rPr>
          <w:rFonts w:cs="Calibri"/>
          <w:sz w:val="24"/>
          <w:szCs w:val="24"/>
          <w:lang w:val="en-IN"/>
        </w:rPr>
        <w:t xml:space="preserve"> = 9.3, 5.5 Hz, 4H), 1.26 (s, 20H), 1.00 – 0.82 (m, 15H), 0.79 – 0.37 (m, 30H).</w:t>
      </w:r>
      <w:r w:rsidRPr="005976A1">
        <w:rPr>
          <w:rFonts w:cs="Calibri"/>
          <w:sz w:val="24"/>
          <w:szCs w:val="24"/>
          <w:vertAlign w:val="superscript"/>
          <w:lang w:val="en-IN"/>
        </w:rPr>
        <w:t>13</w:t>
      </w:r>
      <w:r w:rsidRPr="005976A1">
        <w:rPr>
          <w:rFonts w:cs="Calibri"/>
          <w:sz w:val="24"/>
          <w:szCs w:val="24"/>
          <w:lang w:val="en-IN"/>
        </w:rPr>
        <w:t>C NMR δ (ppm)=158.62, 149.59, 149.32, 149.05, 135.56, 135.31, 135.06, 123.32, 123.07, 122.82, 104.65, 99.53, 68.33, 31.83, 31.36, 29.57, 28.67, 28.61, 25.23, 22.57, 22.28, 14.05, 13.87. FT–IR (neat, cm</w:t>
      </w:r>
      <w:r w:rsidRPr="005976A1">
        <w:rPr>
          <w:rFonts w:cs="Calibri"/>
          <w:sz w:val="24"/>
          <w:szCs w:val="24"/>
          <w:vertAlign w:val="superscript"/>
          <w:lang w:val="en-IN"/>
        </w:rPr>
        <w:t>-1</w:t>
      </w:r>
      <w:r w:rsidRPr="005976A1">
        <w:rPr>
          <w:rFonts w:cs="Calibri"/>
          <w:sz w:val="24"/>
          <w:szCs w:val="24"/>
          <w:lang w:val="en-IN"/>
        </w:rPr>
        <w:t>): 3445, 2981, 2966, 2868, 2690, 2367, 2000, 1753, 1638, 1458, 1382, 1083, 919.</w:t>
      </w:r>
    </w:p>
    <w:p w14:paraId="43336203" w14:textId="77777777" w:rsidR="00A118C4" w:rsidRPr="005976A1" w:rsidRDefault="00A118C4" w:rsidP="00DB5025">
      <w:pPr>
        <w:spacing w:after="0" w:line="360" w:lineRule="auto"/>
        <w:jc w:val="both"/>
        <w:rPr>
          <w:rFonts w:cs="Calibri"/>
          <w:sz w:val="24"/>
          <w:szCs w:val="24"/>
          <w:lang w:val="en-IN"/>
        </w:rPr>
      </w:pPr>
    </w:p>
    <w:p w14:paraId="2543E4E8" w14:textId="77777777" w:rsidR="00E25CCB" w:rsidRPr="005976A1" w:rsidRDefault="00A118C4" w:rsidP="00DB5025">
      <w:pPr>
        <w:spacing w:after="0" w:line="360" w:lineRule="auto"/>
        <w:jc w:val="both"/>
        <w:rPr>
          <w:rFonts w:cs="Calibri"/>
          <w:b/>
          <w:sz w:val="24"/>
          <w:szCs w:val="24"/>
          <w:lang w:val="en-IN"/>
        </w:rPr>
      </w:pPr>
      <w:r w:rsidRPr="005976A1">
        <w:rPr>
          <w:rFonts w:cs="Calibri"/>
          <w:b/>
          <w:sz w:val="24"/>
          <w:szCs w:val="24"/>
          <w:lang w:val="en-IN"/>
        </w:rPr>
        <w:t>Methods</w:t>
      </w:r>
      <w:r w:rsidR="00E25CCB" w:rsidRPr="005976A1">
        <w:rPr>
          <w:rFonts w:cs="Calibri"/>
          <w:b/>
          <w:sz w:val="24"/>
          <w:szCs w:val="24"/>
          <w:lang w:val="en-IN"/>
        </w:rPr>
        <w:t xml:space="preserve"> </w:t>
      </w:r>
    </w:p>
    <w:p w14:paraId="38B16DA0" w14:textId="7B9E3AAF" w:rsidR="00E25CCB" w:rsidRPr="005976A1" w:rsidRDefault="00E25CCB" w:rsidP="00DB5025">
      <w:pPr>
        <w:spacing w:after="0" w:line="360" w:lineRule="auto"/>
        <w:jc w:val="both"/>
        <w:rPr>
          <w:rFonts w:cs="Calibri"/>
          <w:sz w:val="24"/>
          <w:szCs w:val="24"/>
          <w:lang w:val="en-IN"/>
        </w:rPr>
      </w:pPr>
      <w:r w:rsidRPr="005976A1">
        <w:rPr>
          <w:rFonts w:cs="Calibri"/>
          <w:sz w:val="24"/>
          <w:szCs w:val="24"/>
          <w:lang w:val="en-IN"/>
        </w:rPr>
        <w:t xml:space="preserve">The </w:t>
      </w:r>
      <w:r w:rsidR="00415CA4" w:rsidRPr="005976A1">
        <w:rPr>
          <w:rFonts w:cs="Calibri"/>
          <w:sz w:val="24"/>
          <w:szCs w:val="24"/>
          <w:lang w:val="en-IN"/>
        </w:rPr>
        <w:t xml:space="preserve">details of instrumentation </w:t>
      </w:r>
      <w:r w:rsidRPr="005976A1">
        <w:rPr>
          <w:rFonts w:cs="Calibri"/>
          <w:sz w:val="24"/>
          <w:szCs w:val="24"/>
          <w:lang w:val="en-IN"/>
        </w:rPr>
        <w:t xml:space="preserve"> adopted for </w:t>
      </w:r>
      <w:r w:rsidR="00415CA4" w:rsidRPr="005976A1">
        <w:rPr>
          <w:rFonts w:cs="Calibri"/>
          <w:sz w:val="24"/>
          <w:szCs w:val="24"/>
          <w:lang w:val="en-IN"/>
        </w:rPr>
        <w:t xml:space="preserve">this study </w:t>
      </w:r>
      <w:r w:rsidR="007D0DBE">
        <w:rPr>
          <w:rFonts w:cs="Calibri"/>
          <w:sz w:val="24"/>
          <w:szCs w:val="24"/>
          <w:lang w:val="en-IN"/>
        </w:rPr>
        <w:t xml:space="preserve"> can be seen</w:t>
      </w:r>
      <w:r w:rsidRPr="005976A1">
        <w:rPr>
          <w:rFonts w:cs="Calibri"/>
          <w:sz w:val="24"/>
          <w:szCs w:val="24"/>
          <w:lang w:val="en-IN"/>
        </w:rPr>
        <w:t xml:space="preserve"> in supporting information. </w:t>
      </w:r>
    </w:p>
    <w:p w14:paraId="09C768B2" w14:textId="77777777" w:rsidR="000358CE" w:rsidRDefault="000358CE" w:rsidP="00DB5025">
      <w:pPr>
        <w:spacing w:after="0" w:line="360" w:lineRule="auto"/>
        <w:jc w:val="both"/>
        <w:rPr>
          <w:sz w:val="24"/>
          <w:szCs w:val="24"/>
        </w:rPr>
      </w:pPr>
    </w:p>
    <w:p w14:paraId="420838C6" w14:textId="77777777" w:rsidR="00833892" w:rsidRPr="00833892" w:rsidRDefault="00833892" w:rsidP="00833892">
      <w:pPr>
        <w:spacing w:after="0" w:line="360" w:lineRule="auto"/>
        <w:jc w:val="both"/>
        <w:rPr>
          <w:b/>
          <w:sz w:val="24"/>
          <w:szCs w:val="24"/>
          <w:lang w:val="en-CA"/>
        </w:rPr>
      </w:pPr>
      <w:r w:rsidRPr="00833892">
        <w:rPr>
          <w:b/>
          <w:sz w:val="24"/>
          <w:szCs w:val="24"/>
          <w:lang w:val="en-CA"/>
        </w:rPr>
        <w:t>Results and Discussion</w:t>
      </w:r>
    </w:p>
    <w:p w14:paraId="5076E20A" w14:textId="6E27E2E8" w:rsidR="00833892" w:rsidRPr="00833892" w:rsidRDefault="00833892" w:rsidP="00833892">
      <w:pPr>
        <w:spacing w:after="0" w:line="360" w:lineRule="auto"/>
        <w:jc w:val="both"/>
        <w:rPr>
          <w:bCs/>
          <w:sz w:val="24"/>
          <w:szCs w:val="24"/>
          <w:lang w:val="en-IN"/>
        </w:rPr>
      </w:pPr>
      <w:r w:rsidRPr="00833892">
        <w:rPr>
          <w:sz w:val="24"/>
          <w:szCs w:val="24"/>
          <w:lang w:val="en-IN"/>
        </w:rPr>
        <w:t xml:space="preserve">The synthetic scheme of starting materials and both </w:t>
      </w:r>
      <w:r w:rsidRPr="00833892">
        <w:rPr>
          <w:b/>
          <w:sz w:val="24"/>
          <w:szCs w:val="24"/>
          <w:lang w:val="en-IN"/>
        </w:rPr>
        <w:t>LG28</w:t>
      </w:r>
      <w:r w:rsidRPr="00833892">
        <w:rPr>
          <w:sz w:val="24"/>
          <w:szCs w:val="24"/>
          <w:lang w:val="en-IN"/>
        </w:rPr>
        <w:t xml:space="preserve"> and </w:t>
      </w:r>
      <w:r w:rsidRPr="00833892">
        <w:rPr>
          <w:b/>
          <w:sz w:val="24"/>
          <w:szCs w:val="24"/>
          <w:lang w:val="en-IN"/>
        </w:rPr>
        <w:t>LG29</w:t>
      </w:r>
      <w:r w:rsidRPr="00833892">
        <w:rPr>
          <w:sz w:val="24"/>
          <w:szCs w:val="24"/>
          <w:lang w:val="en-IN"/>
        </w:rPr>
        <w:t xml:space="preserve"> sensitizers were presented in Scheme 1. To evaluate the effect of selenophene heterocyclic ring as an auxiliary acceptor moiety expecting towards the high efficiency than LG5, we synthesized </w:t>
      </w:r>
      <w:r w:rsidRPr="00833892">
        <w:rPr>
          <w:b/>
          <w:sz w:val="24"/>
          <w:szCs w:val="24"/>
          <w:lang w:val="en-IN"/>
        </w:rPr>
        <w:t xml:space="preserve">LG28 </w:t>
      </w:r>
      <w:r w:rsidRPr="00833892">
        <w:rPr>
          <w:sz w:val="24"/>
          <w:szCs w:val="24"/>
          <w:lang w:val="en-IN"/>
        </w:rPr>
        <w:t xml:space="preserve">and </w:t>
      </w:r>
      <w:r w:rsidRPr="00833892">
        <w:rPr>
          <w:b/>
          <w:sz w:val="24"/>
          <w:szCs w:val="24"/>
          <w:lang w:val="en-IN"/>
        </w:rPr>
        <w:t xml:space="preserve">LG29 </w:t>
      </w:r>
      <w:r w:rsidRPr="00833892">
        <w:rPr>
          <w:sz w:val="24"/>
          <w:szCs w:val="24"/>
          <w:lang w:val="en-IN"/>
        </w:rPr>
        <w:t>dyes having phenyl-selenophene and thieno-selenophene as auxiliary acceptors, re</w:t>
      </w:r>
      <w:r w:rsidR="007D0DBE">
        <w:rPr>
          <w:sz w:val="24"/>
          <w:szCs w:val="24"/>
          <w:lang w:val="en-IN"/>
        </w:rPr>
        <w:t>s</w:t>
      </w:r>
      <w:r w:rsidRPr="00833892">
        <w:rPr>
          <w:sz w:val="24"/>
          <w:szCs w:val="24"/>
          <w:lang w:val="en-IN"/>
        </w:rPr>
        <w:t xml:space="preserve">pectively. Phenyl-selenophene acceptor </w:t>
      </w:r>
      <w:r w:rsidRPr="00833892">
        <w:rPr>
          <w:b/>
          <w:bCs/>
          <w:sz w:val="24"/>
          <w:szCs w:val="24"/>
          <w:lang w:val="en-IN"/>
        </w:rPr>
        <w:t xml:space="preserve">1 </w:t>
      </w:r>
      <w:r w:rsidRPr="00833892">
        <w:rPr>
          <w:sz w:val="24"/>
          <w:szCs w:val="24"/>
          <w:lang w:val="en-IN"/>
        </w:rPr>
        <w:t xml:space="preserve">was </w:t>
      </w:r>
      <w:r w:rsidR="007D0DBE">
        <w:rPr>
          <w:sz w:val="24"/>
          <w:szCs w:val="24"/>
          <w:lang w:val="en-IN"/>
        </w:rPr>
        <w:t>obtained</w:t>
      </w:r>
      <w:r w:rsidR="007D0DBE" w:rsidRPr="00833892">
        <w:rPr>
          <w:sz w:val="24"/>
          <w:szCs w:val="24"/>
          <w:lang w:val="en-IN"/>
        </w:rPr>
        <w:t xml:space="preserve"> </w:t>
      </w:r>
      <w:r w:rsidRPr="00833892">
        <w:rPr>
          <w:sz w:val="24"/>
          <w:szCs w:val="24"/>
          <w:lang w:val="en-IN"/>
        </w:rPr>
        <w:t xml:space="preserve">from commercially available 2,5-dibromoselenophene </w:t>
      </w:r>
      <w:r w:rsidR="00CF2055">
        <w:rPr>
          <w:sz w:val="24"/>
          <w:szCs w:val="24"/>
          <w:lang w:val="en-IN"/>
        </w:rPr>
        <w:t>(</w:t>
      </w:r>
      <w:r w:rsidRPr="00833892">
        <w:rPr>
          <w:bCs/>
          <w:sz w:val="24"/>
          <w:szCs w:val="24"/>
          <w:lang w:val="en-IN"/>
        </w:rPr>
        <w:t>3</w:t>
      </w:r>
      <w:r w:rsidR="00CF2055">
        <w:rPr>
          <w:bCs/>
          <w:sz w:val="24"/>
          <w:szCs w:val="24"/>
          <w:lang w:val="en-IN"/>
        </w:rPr>
        <w:t>)</w:t>
      </w:r>
      <w:r w:rsidRPr="00833892">
        <w:rPr>
          <w:bCs/>
          <w:sz w:val="24"/>
          <w:szCs w:val="24"/>
          <w:lang w:val="en-IN"/>
        </w:rPr>
        <w:t xml:space="preserve"> by Suzuki coupling with 4-formylphenyl-boronic acid </w:t>
      </w:r>
      <w:r w:rsidR="00CF2055">
        <w:rPr>
          <w:bCs/>
          <w:sz w:val="24"/>
          <w:szCs w:val="24"/>
          <w:lang w:val="en-IN"/>
        </w:rPr>
        <w:t>(</w:t>
      </w:r>
      <w:r w:rsidRPr="00833892">
        <w:rPr>
          <w:bCs/>
          <w:sz w:val="24"/>
          <w:szCs w:val="24"/>
          <w:lang w:val="en-IN"/>
        </w:rPr>
        <w:t>4</w:t>
      </w:r>
      <w:r w:rsidR="00CF2055">
        <w:rPr>
          <w:bCs/>
          <w:sz w:val="24"/>
          <w:szCs w:val="24"/>
          <w:lang w:val="en-IN"/>
        </w:rPr>
        <w:t>)</w:t>
      </w:r>
      <w:r w:rsidRPr="00833892">
        <w:rPr>
          <w:bCs/>
          <w:sz w:val="24"/>
          <w:szCs w:val="24"/>
          <w:lang w:val="en-IN"/>
        </w:rPr>
        <w:t xml:space="preserve"> and followed by </w:t>
      </w:r>
      <w:r w:rsidRPr="00833892">
        <w:rPr>
          <w:sz w:val="24"/>
          <w:szCs w:val="24"/>
          <w:lang w:val="en-IN"/>
        </w:rPr>
        <w:t>Knoevenagel condensation</w:t>
      </w:r>
      <w:r w:rsidRPr="00833892">
        <w:rPr>
          <w:bCs/>
          <w:sz w:val="24"/>
          <w:szCs w:val="24"/>
          <w:lang w:val="en-IN"/>
        </w:rPr>
        <w:t xml:space="preserve"> with </w:t>
      </w:r>
      <w:r w:rsidRPr="00833892">
        <w:rPr>
          <w:sz w:val="24"/>
          <w:szCs w:val="24"/>
          <w:lang w:val="en-IN"/>
        </w:rPr>
        <w:t>cyanoacetic acid</w:t>
      </w:r>
      <w:r w:rsidRPr="00833892">
        <w:rPr>
          <w:bCs/>
          <w:sz w:val="24"/>
          <w:szCs w:val="24"/>
          <w:lang w:val="en-IN"/>
        </w:rPr>
        <w:t xml:space="preserve">. Similar procedure was performed </w:t>
      </w:r>
      <w:r w:rsidR="00B869E1">
        <w:rPr>
          <w:bCs/>
          <w:sz w:val="24"/>
          <w:szCs w:val="24"/>
          <w:lang w:val="en-IN"/>
        </w:rPr>
        <w:t>for</w:t>
      </w:r>
      <w:r w:rsidR="00B869E1" w:rsidRPr="00833892">
        <w:rPr>
          <w:bCs/>
          <w:sz w:val="24"/>
          <w:szCs w:val="24"/>
          <w:lang w:val="en-IN"/>
        </w:rPr>
        <w:t xml:space="preserve"> </w:t>
      </w:r>
      <w:r w:rsidRPr="00833892">
        <w:rPr>
          <w:bCs/>
          <w:sz w:val="24"/>
          <w:szCs w:val="24"/>
          <w:lang w:val="en-IN"/>
        </w:rPr>
        <w:t xml:space="preserve">the transformation of </w:t>
      </w:r>
      <w:r w:rsidRPr="00833892">
        <w:rPr>
          <w:sz w:val="24"/>
          <w:szCs w:val="24"/>
          <w:lang w:val="en-IN"/>
        </w:rPr>
        <w:t>thieno-selenophene</w:t>
      </w:r>
      <w:r w:rsidRPr="00833892">
        <w:rPr>
          <w:bCs/>
          <w:sz w:val="24"/>
          <w:szCs w:val="24"/>
          <w:lang w:val="en-IN"/>
        </w:rPr>
        <w:t xml:space="preserve"> acceptor </w:t>
      </w:r>
      <w:r w:rsidR="00CF2055">
        <w:rPr>
          <w:bCs/>
          <w:sz w:val="24"/>
          <w:szCs w:val="24"/>
          <w:lang w:val="en-IN"/>
        </w:rPr>
        <w:t>(</w:t>
      </w:r>
      <w:r w:rsidRPr="00833892">
        <w:rPr>
          <w:bCs/>
          <w:sz w:val="24"/>
          <w:szCs w:val="24"/>
          <w:lang w:val="en-IN"/>
        </w:rPr>
        <w:t>2</w:t>
      </w:r>
      <w:r w:rsidR="00CF2055">
        <w:rPr>
          <w:bCs/>
          <w:sz w:val="24"/>
          <w:szCs w:val="24"/>
          <w:lang w:val="en-IN"/>
        </w:rPr>
        <w:t>)</w:t>
      </w:r>
      <w:r w:rsidR="009C5757">
        <w:rPr>
          <w:bCs/>
          <w:sz w:val="24"/>
          <w:szCs w:val="24"/>
          <w:lang w:val="en-IN"/>
        </w:rPr>
        <w:t xml:space="preserve"> </w:t>
      </w:r>
      <w:r w:rsidRPr="00833892">
        <w:rPr>
          <w:bCs/>
          <w:sz w:val="24"/>
          <w:szCs w:val="24"/>
          <w:lang w:val="en-IN"/>
        </w:rPr>
        <w:t xml:space="preserve">from 5-formyl, 2-thiophene boronic acid </w:t>
      </w:r>
      <w:r w:rsidR="00CF2055">
        <w:rPr>
          <w:bCs/>
          <w:sz w:val="24"/>
          <w:szCs w:val="24"/>
          <w:lang w:val="en-IN"/>
        </w:rPr>
        <w:t xml:space="preserve">(6) </w:t>
      </w:r>
      <w:r w:rsidRPr="00833892">
        <w:rPr>
          <w:bCs/>
          <w:sz w:val="24"/>
          <w:szCs w:val="24"/>
          <w:lang w:val="en-IN"/>
        </w:rPr>
        <w:t xml:space="preserve">to accomplish compound </w:t>
      </w:r>
      <w:r w:rsidRPr="00833892">
        <w:rPr>
          <w:b/>
          <w:bCs/>
          <w:sz w:val="24"/>
          <w:szCs w:val="24"/>
          <w:lang w:val="en-IN"/>
        </w:rPr>
        <w:t>7</w:t>
      </w:r>
      <w:r w:rsidRPr="00833892">
        <w:rPr>
          <w:bCs/>
          <w:sz w:val="24"/>
          <w:szCs w:val="24"/>
          <w:lang w:val="en-IN"/>
        </w:rPr>
        <w:t xml:space="preserve">. Finally, both the desired sensitizers </w:t>
      </w:r>
      <w:r w:rsidRPr="00833892">
        <w:rPr>
          <w:b/>
          <w:bCs/>
          <w:sz w:val="24"/>
          <w:szCs w:val="24"/>
          <w:lang w:val="en-IN"/>
        </w:rPr>
        <w:t>LG28</w:t>
      </w:r>
      <w:r w:rsidRPr="00833892">
        <w:rPr>
          <w:bCs/>
          <w:sz w:val="24"/>
          <w:szCs w:val="24"/>
          <w:lang w:val="en-IN"/>
        </w:rPr>
        <w:t xml:space="preserve"> and </w:t>
      </w:r>
      <w:r w:rsidRPr="00833892">
        <w:rPr>
          <w:b/>
          <w:bCs/>
          <w:sz w:val="24"/>
          <w:szCs w:val="24"/>
          <w:lang w:val="en-IN"/>
        </w:rPr>
        <w:t>LG29</w:t>
      </w:r>
      <w:r w:rsidRPr="00833892">
        <w:rPr>
          <w:bCs/>
          <w:sz w:val="24"/>
          <w:szCs w:val="24"/>
          <w:lang w:val="en-IN"/>
        </w:rPr>
        <w:t xml:space="preserve"> were </w:t>
      </w:r>
      <w:r w:rsidR="00CF2055">
        <w:rPr>
          <w:bCs/>
          <w:sz w:val="24"/>
          <w:szCs w:val="24"/>
          <w:lang w:val="en-IN"/>
        </w:rPr>
        <w:t>achieved</w:t>
      </w:r>
      <w:r w:rsidRPr="00833892">
        <w:rPr>
          <w:bCs/>
          <w:sz w:val="24"/>
          <w:szCs w:val="24"/>
          <w:lang w:val="en-IN"/>
        </w:rPr>
        <w:t xml:space="preserve"> by using Sonogashira coupling reaction between 8 with either </w:t>
      </w:r>
      <w:r w:rsidRPr="00833892">
        <w:rPr>
          <w:b/>
          <w:bCs/>
          <w:sz w:val="24"/>
          <w:szCs w:val="24"/>
          <w:lang w:val="en-IN"/>
        </w:rPr>
        <w:t>1</w:t>
      </w:r>
      <w:r w:rsidRPr="00833892">
        <w:rPr>
          <w:bCs/>
          <w:sz w:val="24"/>
          <w:szCs w:val="24"/>
          <w:lang w:val="en-IN"/>
        </w:rPr>
        <w:t xml:space="preserve"> or </w:t>
      </w:r>
      <w:r w:rsidRPr="00833892">
        <w:rPr>
          <w:b/>
          <w:bCs/>
          <w:sz w:val="24"/>
          <w:szCs w:val="24"/>
          <w:lang w:val="en-IN"/>
        </w:rPr>
        <w:t>2</w:t>
      </w:r>
      <w:r w:rsidRPr="00833892">
        <w:rPr>
          <w:bCs/>
          <w:sz w:val="24"/>
          <w:szCs w:val="24"/>
          <w:lang w:val="en-IN"/>
        </w:rPr>
        <w:t>, respectively. Both the sensitizers, all starting and intermediate compounds are high</w:t>
      </w:r>
      <w:r w:rsidR="00B869E1">
        <w:rPr>
          <w:bCs/>
          <w:sz w:val="24"/>
          <w:szCs w:val="24"/>
          <w:lang w:val="en-IN"/>
        </w:rPr>
        <w:t>ly</w:t>
      </w:r>
      <w:r w:rsidRPr="00833892">
        <w:rPr>
          <w:bCs/>
          <w:sz w:val="24"/>
          <w:szCs w:val="24"/>
          <w:lang w:val="en-IN"/>
        </w:rPr>
        <w:t xml:space="preserve"> soluble in common organic solvents and allowed to characterize by various spectroscopic techniques that include </w:t>
      </w:r>
      <w:r w:rsidRPr="00833892">
        <w:rPr>
          <w:sz w:val="24"/>
          <w:szCs w:val="24"/>
        </w:rPr>
        <w:t xml:space="preserve">elemental analysis, </w:t>
      </w:r>
      <w:r w:rsidRPr="00833892">
        <w:rPr>
          <w:sz w:val="24"/>
          <w:szCs w:val="24"/>
          <w:vertAlign w:val="superscript"/>
        </w:rPr>
        <w:t>1</w:t>
      </w:r>
      <w:r w:rsidRPr="00833892">
        <w:rPr>
          <w:sz w:val="24"/>
          <w:szCs w:val="24"/>
        </w:rPr>
        <w:t xml:space="preserve">H NMR, </w:t>
      </w:r>
      <w:r w:rsidRPr="00833892">
        <w:rPr>
          <w:sz w:val="24"/>
          <w:szCs w:val="24"/>
          <w:vertAlign w:val="superscript"/>
        </w:rPr>
        <w:t>13</w:t>
      </w:r>
      <w:r w:rsidRPr="00833892">
        <w:rPr>
          <w:sz w:val="24"/>
          <w:szCs w:val="24"/>
        </w:rPr>
        <w:t xml:space="preserve">C NMR, MALDI-TOF-MS, IR, UV−visible, and fluorescence spectroscopies as well as electrochemical methods. The elemental analysis of both </w:t>
      </w:r>
      <w:r w:rsidRPr="00833892">
        <w:rPr>
          <w:b/>
          <w:sz w:val="24"/>
          <w:szCs w:val="24"/>
        </w:rPr>
        <w:t>LG28</w:t>
      </w:r>
      <w:r w:rsidRPr="00833892">
        <w:rPr>
          <w:sz w:val="24"/>
          <w:szCs w:val="24"/>
        </w:rPr>
        <w:t xml:space="preserve"> and </w:t>
      </w:r>
      <w:r w:rsidRPr="00833892">
        <w:rPr>
          <w:b/>
          <w:sz w:val="24"/>
          <w:szCs w:val="24"/>
        </w:rPr>
        <w:t>LG29</w:t>
      </w:r>
      <w:r w:rsidRPr="00833892">
        <w:rPr>
          <w:sz w:val="24"/>
          <w:szCs w:val="24"/>
        </w:rPr>
        <w:t xml:space="preserve"> sensitizers are found to satisfactory (</w:t>
      </w:r>
      <w:r w:rsidRPr="008147BC">
        <w:rPr>
          <w:i/>
          <w:sz w:val="24"/>
          <w:szCs w:val="24"/>
        </w:rPr>
        <w:t>see</w:t>
      </w:r>
      <w:r w:rsidRPr="00833892">
        <w:rPr>
          <w:sz w:val="24"/>
          <w:szCs w:val="24"/>
        </w:rPr>
        <w:t xml:space="preserve"> experimental section). The MALDI-TOF spectrum of </w:t>
      </w:r>
      <w:r w:rsidRPr="00833892">
        <w:rPr>
          <w:b/>
          <w:sz w:val="24"/>
          <w:szCs w:val="24"/>
        </w:rPr>
        <w:t>LG28</w:t>
      </w:r>
      <w:r w:rsidRPr="00833892">
        <w:rPr>
          <w:sz w:val="24"/>
          <w:szCs w:val="24"/>
        </w:rPr>
        <w:t xml:space="preserve"> showed a peak at m/z = </w:t>
      </w:r>
      <w:r w:rsidRPr="00833892">
        <w:rPr>
          <w:sz w:val="24"/>
          <w:szCs w:val="24"/>
          <w:lang w:val="en-IN"/>
        </w:rPr>
        <w:t>1695.75</w:t>
      </w:r>
      <w:r w:rsidRPr="00833892">
        <w:rPr>
          <w:sz w:val="24"/>
          <w:szCs w:val="24"/>
        </w:rPr>
        <w:t xml:space="preserve"> (</w:t>
      </w:r>
      <w:r w:rsidRPr="00833892">
        <w:rPr>
          <w:sz w:val="24"/>
          <w:szCs w:val="24"/>
          <w:lang w:val="en-IN"/>
        </w:rPr>
        <w:t>C</w:t>
      </w:r>
      <w:r w:rsidRPr="00833892">
        <w:rPr>
          <w:sz w:val="24"/>
          <w:szCs w:val="24"/>
          <w:vertAlign w:val="subscript"/>
          <w:lang w:val="en-IN"/>
        </w:rPr>
        <w:t>102</w:t>
      </w:r>
      <w:r w:rsidRPr="00833892">
        <w:rPr>
          <w:sz w:val="24"/>
          <w:szCs w:val="24"/>
          <w:lang w:val="en-IN"/>
        </w:rPr>
        <w:t>H</w:t>
      </w:r>
      <w:r w:rsidRPr="00833892">
        <w:rPr>
          <w:sz w:val="24"/>
          <w:szCs w:val="24"/>
          <w:vertAlign w:val="subscript"/>
          <w:lang w:val="en-IN"/>
        </w:rPr>
        <w:t>114</w:t>
      </w:r>
      <w:r w:rsidRPr="00833892">
        <w:rPr>
          <w:sz w:val="24"/>
          <w:szCs w:val="24"/>
          <w:lang w:val="en-IN"/>
        </w:rPr>
        <w:t>N</w:t>
      </w:r>
      <w:r w:rsidRPr="00833892">
        <w:rPr>
          <w:sz w:val="24"/>
          <w:szCs w:val="24"/>
          <w:vertAlign w:val="subscript"/>
          <w:lang w:val="en-IN"/>
        </w:rPr>
        <w:t>6</w:t>
      </w:r>
      <w:r w:rsidRPr="00833892">
        <w:rPr>
          <w:sz w:val="24"/>
          <w:szCs w:val="24"/>
          <w:lang w:val="en-IN"/>
        </w:rPr>
        <w:t>O</w:t>
      </w:r>
      <w:r w:rsidRPr="00833892">
        <w:rPr>
          <w:sz w:val="24"/>
          <w:szCs w:val="24"/>
          <w:vertAlign w:val="subscript"/>
          <w:lang w:val="en-IN"/>
        </w:rPr>
        <w:t>6</w:t>
      </w:r>
      <w:r w:rsidRPr="00833892">
        <w:rPr>
          <w:sz w:val="24"/>
          <w:szCs w:val="24"/>
          <w:lang w:val="en-IN"/>
        </w:rPr>
        <w:t>SSeZn</w:t>
      </w:r>
      <w:r w:rsidRPr="00833892">
        <w:rPr>
          <w:sz w:val="24"/>
          <w:szCs w:val="24"/>
        </w:rPr>
        <w:t xml:space="preserve">), and </w:t>
      </w:r>
      <w:r w:rsidRPr="00833892">
        <w:rPr>
          <w:b/>
          <w:sz w:val="24"/>
          <w:szCs w:val="24"/>
        </w:rPr>
        <w:t>LG29</w:t>
      </w:r>
      <w:r w:rsidRPr="00833892">
        <w:rPr>
          <w:sz w:val="24"/>
          <w:szCs w:val="24"/>
        </w:rPr>
        <w:t xml:space="preserve"> at m/z = 1701.81 (</w:t>
      </w:r>
      <w:r w:rsidRPr="00833892">
        <w:rPr>
          <w:sz w:val="24"/>
          <w:szCs w:val="24"/>
          <w:lang w:val="en-IN"/>
        </w:rPr>
        <w:t>C</w:t>
      </w:r>
      <w:r w:rsidRPr="00833892">
        <w:rPr>
          <w:sz w:val="24"/>
          <w:szCs w:val="24"/>
          <w:vertAlign w:val="subscript"/>
          <w:lang w:val="en-IN"/>
        </w:rPr>
        <w:t>100</w:t>
      </w:r>
      <w:r w:rsidRPr="00833892">
        <w:rPr>
          <w:sz w:val="24"/>
          <w:szCs w:val="24"/>
          <w:lang w:val="en-IN"/>
        </w:rPr>
        <w:t>H</w:t>
      </w:r>
      <w:r w:rsidRPr="00833892">
        <w:rPr>
          <w:sz w:val="24"/>
          <w:szCs w:val="24"/>
          <w:vertAlign w:val="subscript"/>
          <w:lang w:val="en-IN"/>
        </w:rPr>
        <w:t>112</w:t>
      </w:r>
      <w:r w:rsidRPr="00833892">
        <w:rPr>
          <w:sz w:val="24"/>
          <w:szCs w:val="24"/>
          <w:lang w:val="en-IN"/>
        </w:rPr>
        <w:t>N</w:t>
      </w:r>
      <w:r w:rsidRPr="00833892">
        <w:rPr>
          <w:sz w:val="24"/>
          <w:szCs w:val="24"/>
          <w:vertAlign w:val="subscript"/>
          <w:lang w:val="en-IN"/>
        </w:rPr>
        <w:t>6</w:t>
      </w:r>
      <w:r w:rsidRPr="00833892">
        <w:rPr>
          <w:sz w:val="24"/>
          <w:szCs w:val="24"/>
          <w:lang w:val="en-IN"/>
        </w:rPr>
        <w:t>O</w:t>
      </w:r>
      <w:r w:rsidRPr="00833892">
        <w:rPr>
          <w:sz w:val="24"/>
          <w:szCs w:val="24"/>
          <w:vertAlign w:val="subscript"/>
          <w:lang w:val="en-IN"/>
        </w:rPr>
        <w:t>6</w:t>
      </w:r>
      <w:r w:rsidRPr="00833892">
        <w:rPr>
          <w:sz w:val="24"/>
          <w:szCs w:val="24"/>
          <w:lang w:val="en-IN"/>
        </w:rPr>
        <w:t>S</w:t>
      </w:r>
      <w:r w:rsidRPr="00833892">
        <w:rPr>
          <w:sz w:val="24"/>
          <w:szCs w:val="24"/>
          <w:vertAlign w:val="subscript"/>
          <w:lang w:val="en-IN"/>
        </w:rPr>
        <w:t>2</w:t>
      </w:r>
      <w:r w:rsidRPr="00833892">
        <w:rPr>
          <w:sz w:val="24"/>
          <w:szCs w:val="24"/>
          <w:lang w:val="en-IN"/>
        </w:rPr>
        <w:t>SeZn</w:t>
      </w:r>
      <w:r w:rsidRPr="00833892">
        <w:rPr>
          <w:sz w:val="24"/>
          <w:szCs w:val="24"/>
        </w:rPr>
        <w:t xml:space="preserve">), which was assigned to their matching molecular ion peaks. Further molecular integrity of these both sensitizers was confirmed by </w:t>
      </w:r>
      <w:r w:rsidRPr="00833892">
        <w:rPr>
          <w:sz w:val="24"/>
          <w:szCs w:val="24"/>
          <w:vertAlign w:val="superscript"/>
        </w:rPr>
        <w:t>1</w:t>
      </w:r>
      <w:r w:rsidRPr="00833892">
        <w:rPr>
          <w:sz w:val="24"/>
          <w:szCs w:val="24"/>
        </w:rPr>
        <w:t xml:space="preserve">H and </w:t>
      </w:r>
      <w:r w:rsidRPr="00833892">
        <w:rPr>
          <w:sz w:val="24"/>
          <w:szCs w:val="24"/>
          <w:vertAlign w:val="superscript"/>
        </w:rPr>
        <w:t>13</w:t>
      </w:r>
      <w:r w:rsidRPr="00833892">
        <w:rPr>
          <w:sz w:val="24"/>
          <w:szCs w:val="24"/>
        </w:rPr>
        <w:t>C NMR spectroscopy</w:t>
      </w:r>
      <w:r>
        <w:rPr>
          <w:sz w:val="24"/>
          <w:szCs w:val="24"/>
        </w:rPr>
        <w:t xml:space="preserve"> (</w:t>
      </w:r>
      <w:r w:rsidRPr="008147BC">
        <w:rPr>
          <w:i/>
          <w:sz w:val="24"/>
          <w:szCs w:val="24"/>
        </w:rPr>
        <w:t>see</w:t>
      </w:r>
      <w:r>
        <w:rPr>
          <w:sz w:val="24"/>
          <w:szCs w:val="24"/>
        </w:rPr>
        <w:t xml:space="preserve"> supporting information</w:t>
      </w:r>
      <w:r w:rsidR="0098314F">
        <w:rPr>
          <w:sz w:val="24"/>
          <w:szCs w:val="24"/>
        </w:rPr>
        <w:t xml:space="preserve"> Figure S1-S18</w:t>
      </w:r>
      <w:r>
        <w:rPr>
          <w:sz w:val="24"/>
          <w:szCs w:val="24"/>
        </w:rPr>
        <w:t>).</w:t>
      </w:r>
    </w:p>
    <w:p w14:paraId="7BCA78DD" w14:textId="77777777" w:rsidR="00833892" w:rsidRDefault="00833892" w:rsidP="00DB5025">
      <w:pPr>
        <w:spacing w:after="0" w:line="360" w:lineRule="auto"/>
        <w:jc w:val="both"/>
        <w:rPr>
          <w:sz w:val="24"/>
          <w:szCs w:val="24"/>
        </w:rPr>
      </w:pPr>
    </w:p>
    <w:p w14:paraId="218BB152" w14:textId="77777777" w:rsidR="00833892" w:rsidRDefault="00833892" w:rsidP="00833892">
      <w:pPr>
        <w:spacing w:after="0" w:line="360" w:lineRule="auto"/>
        <w:jc w:val="center"/>
      </w:pPr>
      <w:r>
        <w:object w:dxaOrig="12986" w:dyaOrig="10673" w14:anchorId="582D3F32">
          <v:shape id="_x0000_i1026" type="#_x0000_t75" style="width:446.25pt;height:390.15pt" o:ole="">
            <v:imagedata r:id="rId11" o:title=""/>
          </v:shape>
          <o:OLEObject Type="Embed" ProgID="ChemDraw.Document.6.0" ShapeID="_x0000_i1026" DrawAspect="Content" ObjectID="_1797953577" r:id="rId12"/>
        </w:object>
      </w:r>
    </w:p>
    <w:p w14:paraId="071E5429" w14:textId="77777777" w:rsidR="00833892" w:rsidRDefault="00833892" w:rsidP="00833892">
      <w:pPr>
        <w:spacing w:after="0" w:line="360" w:lineRule="auto"/>
        <w:jc w:val="both"/>
        <w:rPr>
          <w:iCs/>
          <w:sz w:val="24"/>
          <w:szCs w:val="24"/>
          <w:lang w:val="en-IN"/>
        </w:rPr>
      </w:pPr>
      <w:r>
        <w:rPr>
          <w:b/>
          <w:bCs/>
          <w:iCs/>
          <w:sz w:val="24"/>
          <w:szCs w:val="24"/>
          <w:lang w:val="fr-FR"/>
        </w:rPr>
        <w:t>Scheme</w:t>
      </w:r>
      <w:r w:rsidRPr="00833892">
        <w:rPr>
          <w:b/>
          <w:bCs/>
          <w:iCs/>
          <w:sz w:val="24"/>
          <w:szCs w:val="24"/>
          <w:lang w:val="fr-FR"/>
        </w:rPr>
        <w:t>1</w:t>
      </w:r>
      <w:r w:rsidRPr="00833892">
        <w:rPr>
          <w:b/>
          <w:iCs/>
          <w:sz w:val="24"/>
          <w:szCs w:val="24"/>
          <w:lang w:val="en-IN"/>
        </w:rPr>
        <w:t>:</w:t>
      </w:r>
      <w:r w:rsidR="009C5757">
        <w:rPr>
          <w:b/>
          <w:iCs/>
          <w:sz w:val="24"/>
          <w:szCs w:val="24"/>
          <w:lang w:val="en-IN"/>
        </w:rPr>
        <w:t xml:space="preserve"> </w:t>
      </w:r>
      <w:r w:rsidRPr="00833892">
        <w:rPr>
          <w:iCs/>
          <w:sz w:val="24"/>
          <w:szCs w:val="24"/>
          <w:lang w:val="en-IN"/>
        </w:rPr>
        <w:t>Synthetic route for compounds (</w:t>
      </w:r>
      <w:r w:rsidRPr="00833892">
        <w:rPr>
          <w:b/>
          <w:iCs/>
          <w:sz w:val="24"/>
          <w:szCs w:val="24"/>
          <w:lang w:val="en-IN"/>
        </w:rPr>
        <w:t>LG 28 and LG 29</w:t>
      </w:r>
      <w:r w:rsidRPr="00833892">
        <w:rPr>
          <w:iCs/>
          <w:sz w:val="24"/>
          <w:szCs w:val="24"/>
          <w:lang w:val="en-IN"/>
        </w:rPr>
        <w:t>).</w:t>
      </w:r>
    </w:p>
    <w:p w14:paraId="318F534E" w14:textId="77777777" w:rsidR="00833892" w:rsidRDefault="00833892" w:rsidP="00833892">
      <w:pPr>
        <w:spacing w:after="0" w:line="360" w:lineRule="auto"/>
        <w:jc w:val="both"/>
        <w:rPr>
          <w:iCs/>
          <w:sz w:val="24"/>
          <w:szCs w:val="24"/>
          <w:lang w:val="en-IN"/>
        </w:rPr>
      </w:pPr>
    </w:p>
    <w:p w14:paraId="627BA9D5" w14:textId="77777777" w:rsidR="00833892" w:rsidRPr="00E34719" w:rsidRDefault="00833892" w:rsidP="00833892">
      <w:pPr>
        <w:spacing w:after="0" w:line="360" w:lineRule="auto"/>
        <w:jc w:val="both"/>
        <w:rPr>
          <w:b/>
          <w:iCs/>
          <w:sz w:val="28"/>
          <w:szCs w:val="28"/>
          <w:lang w:val="en-IN"/>
        </w:rPr>
      </w:pPr>
      <w:r w:rsidRPr="00E34719">
        <w:rPr>
          <w:b/>
          <w:iCs/>
          <w:sz w:val="28"/>
          <w:szCs w:val="28"/>
          <w:lang w:val="en-IN"/>
        </w:rPr>
        <w:t>Optical Properties</w:t>
      </w:r>
    </w:p>
    <w:p w14:paraId="3D2F29B2" w14:textId="77777777" w:rsidR="00E67E8F" w:rsidRPr="00A118C4" w:rsidRDefault="00E67E8F" w:rsidP="00833892">
      <w:pPr>
        <w:spacing w:after="0" w:line="360" w:lineRule="auto"/>
        <w:jc w:val="both"/>
        <w:rPr>
          <w:b/>
          <w:iCs/>
          <w:color w:val="000000"/>
          <w:sz w:val="24"/>
          <w:szCs w:val="24"/>
          <w:lang w:val="en-IN"/>
        </w:rPr>
      </w:pPr>
      <w:r w:rsidRPr="00A118C4">
        <w:rPr>
          <w:b/>
          <w:iCs/>
          <w:color w:val="000000"/>
          <w:sz w:val="24"/>
          <w:szCs w:val="24"/>
          <w:lang w:val="en-IN"/>
        </w:rPr>
        <w:t>Steady state and Time resolved spectroscopic studies</w:t>
      </w:r>
    </w:p>
    <w:p w14:paraId="555F58EB" w14:textId="77777777" w:rsidR="00FA1250" w:rsidRPr="008147BC" w:rsidRDefault="00833892" w:rsidP="008147BC">
      <w:pPr>
        <w:autoSpaceDE w:val="0"/>
        <w:autoSpaceDN w:val="0"/>
        <w:adjustRightInd w:val="0"/>
        <w:spacing w:after="0" w:line="360" w:lineRule="auto"/>
        <w:jc w:val="both"/>
        <w:rPr>
          <w:rFonts w:cs="Calibri"/>
          <w:bCs/>
          <w:iCs/>
          <w:color w:val="0000FF"/>
          <w:sz w:val="24"/>
          <w:szCs w:val="24"/>
          <w:lang w:val="en-IN"/>
        </w:rPr>
      </w:pPr>
      <w:r w:rsidRPr="008147BC">
        <w:rPr>
          <w:rFonts w:cs="Calibri"/>
          <w:b/>
          <w:iCs/>
          <w:sz w:val="24"/>
          <w:szCs w:val="24"/>
          <w:lang w:val="en-IN"/>
        </w:rPr>
        <w:t xml:space="preserve">Figure 1a </w:t>
      </w:r>
      <w:r w:rsidRPr="008147BC">
        <w:rPr>
          <w:rFonts w:cs="Calibri"/>
          <w:iCs/>
          <w:sz w:val="24"/>
          <w:szCs w:val="24"/>
          <w:lang w:val="en-IN"/>
        </w:rPr>
        <w:t>demonstrates the UV-Vis optical absorption spectra of both dye</w:t>
      </w:r>
      <w:r w:rsidR="00182563" w:rsidRPr="008147BC">
        <w:rPr>
          <w:rFonts w:cs="Calibri"/>
          <w:iCs/>
          <w:sz w:val="24"/>
          <w:szCs w:val="24"/>
          <w:lang w:val="en-IN"/>
        </w:rPr>
        <w:t>s</w:t>
      </w:r>
      <w:r w:rsidR="009C5757" w:rsidRPr="008147BC">
        <w:rPr>
          <w:rFonts w:cs="Calibri"/>
          <w:iCs/>
          <w:sz w:val="24"/>
          <w:szCs w:val="24"/>
          <w:lang w:val="en-IN"/>
        </w:rPr>
        <w:t xml:space="preserve"> </w:t>
      </w:r>
      <w:r w:rsidRPr="008147BC">
        <w:rPr>
          <w:rFonts w:cs="Calibri"/>
          <w:b/>
          <w:iCs/>
          <w:sz w:val="24"/>
          <w:szCs w:val="24"/>
          <w:lang w:val="en-IN"/>
        </w:rPr>
        <w:t>LG</w:t>
      </w:r>
      <w:r w:rsidR="00E34719" w:rsidRPr="008147BC">
        <w:rPr>
          <w:rFonts w:cs="Calibri"/>
          <w:b/>
          <w:iCs/>
          <w:sz w:val="24"/>
          <w:szCs w:val="24"/>
          <w:lang w:val="en-IN"/>
        </w:rPr>
        <w:t xml:space="preserve"> </w:t>
      </w:r>
      <w:r w:rsidRPr="008147BC">
        <w:rPr>
          <w:rFonts w:cs="Calibri"/>
          <w:b/>
          <w:iCs/>
          <w:sz w:val="24"/>
          <w:szCs w:val="24"/>
          <w:lang w:val="en-IN"/>
        </w:rPr>
        <w:t xml:space="preserve">28 </w:t>
      </w:r>
      <w:r w:rsidR="009C5757" w:rsidRPr="008147BC">
        <w:rPr>
          <w:rFonts w:cs="Calibri"/>
          <w:iCs/>
          <w:sz w:val="24"/>
          <w:szCs w:val="24"/>
          <w:lang w:val="en-IN"/>
        </w:rPr>
        <w:t xml:space="preserve">and </w:t>
      </w:r>
      <w:r w:rsidRPr="008147BC">
        <w:rPr>
          <w:rFonts w:cs="Calibri"/>
          <w:b/>
          <w:iCs/>
          <w:sz w:val="24"/>
          <w:szCs w:val="24"/>
          <w:lang w:val="en-IN"/>
        </w:rPr>
        <w:t>LG</w:t>
      </w:r>
      <w:r w:rsidR="00E34719" w:rsidRPr="008147BC">
        <w:rPr>
          <w:rFonts w:cs="Calibri"/>
          <w:b/>
          <w:iCs/>
          <w:sz w:val="24"/>
          <w:szCs w:val="24"/>
          <w:lang w:val="en-IN"/>
        </w:rPr>
        <w:t xml:space="preserve"> </w:t>
      </w:r>
      <w:r w:rsidRPr="008147BC">
        <w:rPr>
          <w:rFonts w:cs="Calibri"/>
          <w:b/>
          <w:iCs/>
          <w:sz w:val="24"/>
          <w:szCs w:val="24"/>
          <w:lang w:val="en-IN"/>
        </w:rPr>
        <w:t xml:space="preserve">29 </w:t>
      </w:r>
      <w:r w:rsidRPr="008147BC">
        <w:rPr>
          <w:rFonts w:cs="Calibri"/>
          <w:iCs/>
          <w:sz w:val="24"/>
          <w:szCs w:val="24"/>
          <w:lang w:val="en-IN"/>
        </w:rPr>
        <w:t xml:space="preserve">along with </w:t>
      </w:r>
      <w:r w:rsidR="00513652" w:rsidRPr="008147BC">
        <w:rPr>
          <w:rFonts w:cs="Calibri"/>
          <w:iCs/>
          <w:sz w:val="24"/>
          <w:szCs w:val="24"/>
          <w:lang w:val="en-IN"/>
        </w:rPr>
        <w:t xml:space="preserve">pristine </w:t>
      </w:r>
      <w:r w:rsidRPr="008147BC">
        <w:rPr>
          <w:rFonts w:cs="Calibri"/>
          <w:b/>
          <w:bCs/>
          <w:iCs/>
          <w:sz w:val="24"/>
          <w:szCs w:val="24"/>
          <w:lang w:val="en-IN"/>
        </w:rPr>
        <w:t>LG</w:t>
      </w:r>
      <w:r w:rsidR="00E34719" w:rsidRPr="008147BC">
        <w:rPr>
          <w:rFonts w:cs="Calibri"/>
          <w:b/>
          <w:bCs/>
          <w:iCs/>
          <w:sz w:val="24"/>
          <w:szCs w:val="24"/>
          <w:lang w:val="en-IN"/>
        </w:rPr>
        <w:t xml:space="preserve"> </w:t>
      </w:r>
      <w:r w:rsidRPr="008147BC">
        <w:rPr>
          <w:rFonts w:cs="Calibri"/>
          <w:b/>
          <w:bCs/>
          <w:iCs/>
          <w:sz w:val="24"/>
          <w:szCs w:val="24"/>
          <w:lang w:val="en-IN"/>
        </w:rPr>
        <w:t xml:space="preserve">5 </w:t>
      </w:r>
      <w:r w:rsidRPr="008147BC">
        <w:rPr>
          <w:rFonts w:cs="Calibri"/>
          <w:iCs/>
          <w:sz w:val="24"/>
          <w:szCs w:val="24"/>
          <w:lang w:val="en-IN"/>
        </w:rPr>
        <w:t>which were recorded at room temperature (r.t) in THF solvent. The corresponding absorption maxima (λ</w:t>
      </w:r>
      <w:r w:rsidRPr="008147BC">
        <w:rPr>
          <w:rFonts w:cs="Calibri"/>
          <w:iCs/>
          <w:sz w:val="24"/>
          <w:szCs w:val="24"/>
          <w:vertAlign w:val="subscript"/>
          <w:lang w:val="en-IN"/>
        </w:rPr>
        <w:t>max</w:t>
      </w:r>
      <w:r w:rsidRPr="008147BC">
        <w:rPr>
          <w:rFonts w:cs="Calibri"/>
          <w:iCs/>
          <w:sz w:val="24"/>
          <w:szCs w:val="24"/>
          <w:lang w:val="en-IN"/>
        </w:rPr>
        <w:t xml:space="preserve">) and logarithmic molar extinction coefficient (log ε) values of </w:t>
      </w:r>
      <w:r w:rsidRPr="008147BC">
        <w:rPr>
          <w:rFonts w:cs="Calibri"/>
          <w:b/>
          <w:iCs/>
          <w:sz w:val="24"/>
          <w:szCs w:val="24"/>
          <w:lang w:val="en-IN"/>
        </w:rPr>
        <w:t>LG</w:t>
      </w:r>
      <w:r w:rsidR="00E34719" w:rsidRPr="008147BC">
        <w:rPr>
          <w:rFonts w:cs="Calibri"/>
          <w:b/>
          <w:iCs/>
          <w:sz w:val="24"/>
          <w:szCs w:val="24"/>
          <w:lang w:val="en-IN"/>
        </w:rPr>
        <w:t xml:space="preserve"> </w:t>
      </w:r>
      <w:r w:rsidRPr="008147BC">
        <w:rPr>
          <w:rFonts w:cs="Calibri"/>
          <w:b/>
          <w:iCs/>
          <w:sz w:val="24"/>
          <w:szCs w:val="24"/>
          <w:lang w:val="en-IN"/>
        </w:rPr>
        <w:t xml:space="preserve">28 </w:t>
      </w:r>
      <w:r w:rsidRPr="008147BC">
        <w:rPr>
          <w:rFonts w:cs="Calibri"/>
          <w:iCs/>
          <w:sz w:val="24"/>
          <w:szCs w:val="24"/>
          <w:lang w:val="en-IN"/>
        </w:rPr>
        <w:t xml:space="preserve">and </w:t>
      </w:r>
      <w:r w:rsidRPr="008147BC">
        <w:rPr>
          <w:rFonts w:cs="Calibri"/>
          <w:b/>
          <w:iCs/>
          <w:sz w:val="24"/>
          <w:szCs w:val="24"/>
          <w:lang w:val="en-IN"/>
        </w:rPr>
        <w:t>LG</w:t>
      </w:r>
      <w:r w:rsidR="00E34719" w:rsidRPr="008147BC">
        <w:rPr>
          <w:rFonts w:cs="Calibri"/>
          <w:b/>
          <w:iCs/>
          <w:sz w:val="24"/>
          <w:szCs w:val="24"/>
          <w:lang w:val="en-IN"/>
        </w:rPr>
        <w:t xml:space="preserve"> </w:t>
      </w:r>
      <w:r w:rsidRPr="008147BC">
        <w:rPr>
          <w:rFonts w:cs="Calibri"/>
          <w:b/>
          <w:iCs/>
          <w:sz w:val="24"/>
          <w:szCs w:val="24"/>
          <w:lang w:val="en-IN"/>
        </w:rPr>
        <w:t>29</w:t>
      </w:r>
      <w:r w:rsidRPr="008147BC">
        <w:rPr>
          <w:rFonts w:cs="Calibri"/>
          <w:iCs/>
          <w:sz w:val="24"/>
          <w:szCs w:val="24"/>
          <w:lang w:val="en-IN"/>
        </w:rPr>
        <w:t xml:space="preserve"> are summarized in </w:t>
      </w:r>
      <w:r w:rsidRPr="008147BC">
        <w:rPr>
          <w:rFonts w:cs="Calibri"/>
          <w:b/>
          <w:iCs/>
          <w:sz w:val="24"/>
          <w:szCs w:val="24"/>
          <w:lang w:val="en-IN"/>
        </w:rPr>
        <w:t>Table 1</w:t>
      </w:r>
      <w:r w:rsidRPr="008147BC">
        <w:rPr>
          <w:rFonts w:cs="Calibri"/>
          <w:iCs/>
          <w:sz w:val="24"/>
          <w:szCs w:val="24"/>
          <w:lang w:val="en-IN"/>
        </w:rPr>
        <w:t>.</w:t>
      </w:r>
      <w:r w:rsidRPr="008147BC">
        <w:rPr>
          <w:rFonts w:cs="Calibri"/>
          <w:iCs/>
          <w:color w:val="0000FF"/>
          <w:sz w:val="24"/>
          <w:szCs w:val="24"/>
          <w:lang w:val="en-IN"/>
        </w:rPr>
        <w:t xml:space="preserve"> </w:t>
      </w:r>
      <w:r w:rsidRPr="008147BC">
        <w:rPr>
          <w:rFonts w:cs="Calibri"/>
          <w:iCs/>
          <w:sz w:val="24"/>
          <w:szCs w:val="24"/>
          <w:lang w:val="en-IN"/>
        </w:rPr>
        <w:t>Both the sensitizers exhibit typical</w:t>
      </w:r>
      <w:r w:rsidR="00655298" w:rsidRPr="008147BC">
        <w:rPr>
          <w:rFonts w:cs="Calibri"/>
          <w:bCs/>
          <w:iCs/>
          <w:color w:val="0000FF"/>
          <w:sz w:val="24"/>
          <w:szCs w:val="24"/>
          <w:lang w:val="en-IN"/>
        </w:rPr>
        <w:t xml:space="preserve">  </w:t>
      </w:r>
    </w:p>
    <w:p w14:paraId="45E3259C" w14:textId="64551834" w:rsidR="00FA1250" w:rsidRPr="00CF55D9" w:rsidRDefault="006333CE" w:rsidP="00FA1250">
      <w:pPr>
        <w:spacing w:after="0" w:line="360" w:lineRule="auto"/>
        <w:jc w:val="center"/>
        <w:rPr>
          <w:color w:val="0000FF"/>
          <w:sz w:val="24"/>
          <w:szCs w:val="24"/>
        </w:rPr>
      </w:pPr>
      <w:r w:rsidRPr="00E70CEA">
        <w:rPr>
          <w:noProof/>
          <w:color w:val="0000FF"/>
          <w:sz w:val="24"/>
          <w:szCs w:val="24"/>
        </w:rPr>
        <w:lastRenderedPageBreak/>
        <w:drawing>
          <wp:inline distT="0" distB="0" distL="0" distR="0" wp14:anchorId="5ADE4917" wp14:editId="4C39E6B9">
            <wp:extent cx="5358765" cy="423735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8765" cy="4237355"/>
                    </a:xfrm>
                    <a:prstGeom prst="rect">
                      <a:avLst/>
                    </a:prstGeom>
                    <a:noFill/>
                    <a:ln>
                      <a:noFill/>
                    </a:ln>
                  </pic:spPr>
                </pic:pic>
              </a:graphicData>
            </a:graphic>
          </wp:inline>
        </w:drawing>
      </w:r>
    </w:p>
    <w:p w14:paraId="36269D47" w14:textId="77777777" w:rsidR="00FA1250" w:rsidRDefault="00FA1250" w:rsidP="00FA1250">
      <w:pPr>
        <w:spacing w:after="0" w:line="360" w:lineRule="auto"/>
        <w:jc w:val="both"/>
        <w:rPr>
          <w:sz w:val="24"/>
          <w:szCs w:val="24"/>
          <w:lang w:val="en-IN"/>
        </w:rPr>
      </w:pPr>
      <w:r w:rsidRPr="00FA1250">
        <w:rPr>
          <w:b/>
          <w:sz w:val="24"/>
          <w:szCs w:val="24"/>
          <w:lang w:val="en-IN"/>
        </w:rPr>
        <w:t xml:space="preserve">Figure 1: </w:t>
      </w:r>
      <w:r w:rsidRPr="00FA1250">
        <w:rPr>
          <w:sz w:val="24"/>
          <w:szCs w:val="24"/>
          <w:lang w:val="en-IN"/>
        </w:rPr>
        <w:t>a) Absorption spectra in THF solvent. b) Emission spectra of the dye molecules in THF solvent, c) Singlet excited lifetime of the dye molecules.</w:t>
      </w:r>
    </w:p>
    <w:p w14:paraId="026C6AD6" w14:textId="77777777" w:rsidR="00034109" w:rsidRDefault="00034109" w:rsidP="00FA1250">
      <w:pPr>
        <w:spacing w:after="0" w:line="360" w:lineRule="auto"/>
        <w:jc w:val="both"/>
        <w:rPr>
          <w:sz w:val="24"/>
          <w:szCs w:val="24"/>
          <w:lang w:val="en-IN"/>
        </w:rPr>
      </w:pPr>
    </w:p>
    <w:p w14:paraId="144B5682" w14:textId="67707C92" w:rsidR="00034109" w:rsidRPr="005976A1" w:rsidRDefault="005976A1" w:rsidP="00FA1250">
      <w:pPr>
        <w:spacing w:after="0" w:line="360" w:lineRule="auto"/>
        <w:jc w:val="both"/>
        <w:rPr>
          <w:rFonts w:cs="Calibri"/>
          <w:bCs/>
          <w:iCs/>
          <w:sz w:val="24"/>
          <w:szCs w:val="24"/>
          <w:lang w:val="en-IN"/>
        </w:rPr>
      </w:pPr>
      <w:r w:rsidRPr="005976A1">
        <w:rPr>
          <w:rFonts w:cs="Calibri"/>
          <w:iCs/>
          <w:sz w:val="24"/>
          <w:szCs w:val="24"/>
          <w:lang w:val="en-IN"/>
        </w:rPr>
        <w:t>intense Soret band at 450 nm region which arises due to the a</w:t>
      </w:r>
      <w:r w:rsidRPr="005976A1">
        <w:rPr>
          <w:rFonts w:cs="Calibri"/>
          <w:iCs/>
          <w:sz w:val="24"/>
          <w:szCs w:val="24"/>
          <w:vertAlign w:val="subscript"/>
          <w:lang w:val="en-IN"/>
        </w:rPr>
        <w:t>1u</w:t>
      </w:r>
      <w:r w:rsidRPr="005976A1">
        <w:rPr>
          <w:rFonts w:cs="Calibri"/>
          <w:iCs/>
          <w:sz w:val="24"/>
          <w:szCs w:val="24"/>
          <w:lang w:val="en-IN"/>
        </w:rPr>
        <w:t>(π)/ e</w:t>
      </w:r>
      <w:r w:rsidRPr="005976A1">
        <w:rPr>
          <w:rFonts w:cs="Calibri"/>
          <w:iCs/>
          <w:sz w:val="24"/>
          <w:szCs w:val="24"/>
          <w:vertAlign w:val="subscript"/>
          <w:lang w:val="en-IN"/>
        </w:rPr>
        <w:t>g</w:t>
      </w:r>
      <w:r w:rsidRPr="005976A1">
        <w:rPr>
          <w:rFonts w:cs="Calibri"/>
          <w:iCs/>
          <w:sz w:val="24"/>
          <w:szCs w:val="24"/>
          <w:lang w:val="en-IN"/>
        </w:rPr>
        <w:t>(π*) electronic transition and less intense Q band at 680 nm region which could be due to a</w:t>
      </w:r>
      <w:r w:rsidRPr="005976A1">
        <w:rPr>
          <w:rFonts w:cs="Calibri"/>
          <w:iCs/>
          <w:sz w:val="24"/>
          <w:szCs w:val="24"/>
          <w:vertAlign w:val="subscript"/>
          <w:lang w:val="en-IN"/>
        </w:rPr>
        <w:t>2u</w:t>
      </w:r>
      <w:r w:rsidRPr="005976A1">
        <w:rPr>
          <w:rFonts w:cs="Calibri"/>
          <w:iCs/>
          <w:sz w:val="24"/>
          <w:szCs w:val="24"/>
          <w:lang w:val="en-IN"/>
        </w:rPr>
        <w:t>(π)/e</w:t>
      </w:r>
      <w:r w:rsidRPr="005976A1">
        <w:rPr>
          <w:rFonts w:cs="Calibri"/>
          <w:iCs/>
          <w:sz w:val="24"/>
          <w:szCs w:val="24"/>
          <w:vertAlign w:val="subscript"/>
          <w:lang w:val="en-IN"/>
        </w:rPr>
        <w:t>g</w:t>
      </w:r>
      <w:r w:rsidRPr="005976A1">
        <w:rPr>
          <w:rFonts w:cs="Calibri"/>
          <w:iCs/>
          <w:sz w:val="24"/>
          <w:szCs w:val="24"/>
          <w:lang w:val="en-IN"/>
        </w:rPr>
        <w:t xml:space="preserve">(π*) electronic transition. From </w:t>
      </w:r>
      <w:r w:rsidRPr="005976A1">
        <w:rPr>
          <w:rFonts w:cs="Calibri"/>
          <w:b/>
          <w:iCs/>
          <w:sz w:val="24"/>
          <w:szCs w:val="24"/>
          <w:lang w:val="en-IN"/>
        </w:rPr>
        <w:t>Figure 1a</w:t>
      </w:r>
      <w:r w:rsidRPr="005976A1">
        <w:rPr>
          <w:rFonts w:cs="Calibri"/>
          <w:iCs/>
          <w:sz w:val="24"/>
          <w:szCs w:val="24"/>
          <w:lang w:val="en-IN"/>
        </w:rPr>
        <w:t xml:space="preserve"> and </w:t>
      </w:r>
      <w:r w:rsidRPr="005976A1">
        <w:rPr>
          <w:rFonts w:cs="Calibri"/>
          <w:b/>
          <w:iCs/>
          <w:sz w:val="24"/>
          <w:szCs w:val="24"/>
          <w:lang w:val="en-IN"/>
        </w:rPr>
        <w:t>Table 1</w:t>
      </w:r>
      <w:r w:rsidRPr="005976A1">
        <w:rPr>
          <w:rFonts w:cs="Calibri"/>
          <w:iCs/>
          <w:sz w:val="24"/>
          <w:szCs w:val="24"/>
          <w:lang w:val="en-IN"/>
        </w:rPr>
        <w:t>, it suggests that the λ</w:t>
      </w:r>
      <w:r w:rsidRPr="005976A1">
        <w:rPr>
          <w:rFonts w:cs="Calibri"/>
          <w:iCs/>
          <w:sz w:val="24"/>
          <w:szCs w:val="24"/>
          <w:vertAlign w:val="subscript"/>
          <w:lang w:val="en-IN"/>
        </w:rPr>
        <w:t xml:space="preserve">max </w:t>
      </w:r>
      <w:r w:rsidRPr="005976A1">
        <w:rPr>
          <w:rFonts w:cs="Calibri"/>
          <w:iCs/>
          <w:sz w:val="24"/>
          <w:szCs w:val="24"/>
          <w:lang w:val="en-IN"/>
        </w:rPr>
        <w:t xml:space="preserve">of both </w:t>
      </w:r>
      <w:r w:rsidRPr="005976A1">
        <w:rPr>
          <w:rFonts w:cs="Calibri"/>
          <w:b/>
          <w:iCs/>
          <w:sz w:val="24"/>
          <w:szCs w:val="24"/>
          <w:lang w:val="en-IN"/>
        </w:rPr>
        <w:t xml:space="preserve">LG 28 </w:t>
      </w:r>
      <w:r w:rsidRPr="005976A1">
        <w:rPr>
          <w:rFonts w:cs="Calibri"/>
          <w:iCs/>
          <w:sz w:val="24"/>
          <w:szCs w:val="24"/>
          <w:lang w:val="en-IN"/>
        </w:rPr>
        <w:t xml:space="preserve">and </w:t>
      </w:r>
      <w:r w:rsidRPr="005976A1">
        <w:rPr>
          <w:rFonts w:cs="Calibri"/>
          <w:b/>
          <w:iCs/>
          <w:sz w:val="24"/>
          <w:szCs w:val="24"/>
          <w:lang w:val="en-IN"/>
        </w:rPr>
        <w:t xml:space="preserve">LG 29 </w:t>
      </w:r>
      <w:r w:rsidR="00034109" w:rsidRPr="005976A1">
        <w:rPr>
          <w:rFonts w:cs="Calibri"/>
          <w:iCs/>
          <w:sz w:val="24"/>
          <w:szCs w:val="24"/>
          <w:lang w:val="en-IN"/>
        </w:rPr>
        <w:t xml:space="preserve">sensitizers are not much shifted but their log ε values are enhanced, when compared to </w:t>
      </w:r>
      <w:r w:rsidR="00034109" w:rsidRPr="005976A1">
        <w:rPr>
          <w:rFonts w:cs="Calibri"/>
          <w:bCs/>
          <w:iCs/>
          <w:sz w:val="24"/>
          <w:szCs w:val="24"/>
          <w:lang w:val="en-IN"/>
        </w:rPr>
        <w:t>LG 5</w:t>
      </w:r>
      <w:r w:rsidR="00034109" w:rsidRPr="005976A1">
        <w:rPr>
          <w:rFonts w:cs="Calibri"/>
          <w:b/>
          <w:bCs/>
          <w:iCs/>
          <w:sz w:val="24"/>
          <w:szCs w:val="24"/>
          <w:lang w:val="en-IN"/>
        </w:rPr>
        <w:t xml:space="preserve"> </w:t>
      </w:r>
      <w:r w:rsidR="00034109" w:rsidRPr="005976A1">
        <w:rPr>
          <w:rFonts w:cs="Calibri"/>
          <w:iCs/>
          <w:sz w:val="24"/>
          <w:szCs w:val="24"/>
          <w:lang w:val="en-IN"/>
        </w:rPr>
        <w:t xml:space="preserve">sensitizers and that may reflect PCE of the device. Among selenophene sensitizers, the Q band absorption maxima of </w:t>
      </w:r>
      <w:r w:rsidR="00034109" w:rsidRPr="005976A1">
        <w:rPr>
          <w:rFonts w:cs="Calibri"/>
          <w:b/>
          <w:iCs/>
          <w:sz w:val="24"/>
          <w:szCs w:val="24"/>
          <w:lang w:val="en-IN"/>
        </w:rPr>
        <w:t>LG 29</w:t>
      </w:r>
      <w:r w:rsidR="00034109" w:rsidRPr="005976A1">
        <w:rPr>
          <w:rFonts w:cs="Calibri"/>
          <w:iCs/>
          <w:sz w:val="24"/>
          <w:szCs w:val="24"/>
          <w:lang w:val="en-IN"/>
        </w:rPr>
        <w:t xml:space="preserve"> sensitizer  red-shifted by ~4 nm with enhanced molar extinction coefficient. TD-DFT calculations were adopted to analyse the theoretical absorption spectra and found that </w:t>
      </w:r>
      <w:r w:rsidR="00A10D4C">
        <w:rPr>
          <w:rFonts w:cs="Calibri"/>
          <w:iCs/>
          <w:sz w:val="24"/>
          <w:szCs w:val="24"/>
          <w:lang w:val="en-IN"/>
        </w:rPr>
        <w:t xml:space="preserve">the </w:t>
      </w:r>
      <w:r w:rsidR="00034109" w:rsidRPr="005976A1">
        <w:rPr>
          <w:rFonts w:cs="Calibri"/>
          <w:iCs/>
          <w:sz w:val="24"/>
          <w:szCs w:val="24"/>
          <w:lang w:val="en-IN"/>
        </w:rPr>
        <w:t xml:space="preserve">simulated absorption spectra of </w:t>
      </w:r>
      <w:r w:rsidR="00034109" w:rsidRPr="005976A1">
        <w:rPr>
          <w:rFonts w:cs="Calibri"/>
          <w:b/>
          <w:iCs/>
          <w:sz w:val="24"/>
          <w:szCs w:val="24"/>
          <w:lang w:val="en-IN"/>
        </w:rPr>
        <w:t xml:space="preserve">LG 28 </w:t>
      </w:r>
      <w:r w:rsidR="00034109" w:rsidRPr="005976A1">
        <w:rPr>
          <w:rFonts w:cs="Calibri"/>
          <w:iCs/>
          <w:sz w:val="24"/>
          <w:szCs w:val="24"/>
          <w:lang w:val="en-IN"/>
        </w:rPr>
        <w:t xml:space="preserve">and </w:t>
      </w:r>
      <w:r w:rsidR="00034109" w:rsidRPr="005976A1">
        <w:rPr>
          <w:rFonts w:cs="Calibri"/>
          <w:b/>
          <w:iCs/>
          <w:sz w:val="24"/>
          <w:szCs w:val="24"/>
          <w:lang w:val="en-IN"/>
        </w:rPr>
        <w:t>LG 29</w:t>
      </w:r>
      <w:r w:rsidR="00034109" w:rsidRPr="005976A1">
        <w:rPr>
          <w:rFonts w:cs="Calibri"/>
          <w:iCs/>
          <w:sz w:val="24"/>
          <w:szCs w:val="24"/>
          <w:lang w:val="en-IN"/>
        </w:rPr>
        <w:t xml:space="preserve"> dyes closely match with the experimental absorption spectra (</w:t>
      </w:r>
      <w:r w:rsidR="00034109" w:rsidRPr="005976A1">
        <w:rPr>
          <w:rFonts w:cs="Calibri"/>
          <w:i/>
          <w:iCs/>
          <w:sz w:val="24"/>
          <w:szCs w:val="24"/>
          <w:lang w:val="en-IN"/>
        </w:rPr>
        <w:t>see</w:t>
      </w:r>
      <w:r w:rsidR="00034109" w:rsidRPr="005976A1">
        <w:rPr>
          <w:rFonts w:cs="Calibri"/>
          <w:iCs/>
          <w:sz w:val="24"/>
          <w:szCs w:val="24"/>
          <w:lang w:val="en-IN"/>
        </w:rPr>
        <w:t xml:space="preserve"> supporting information Figure S19).</w:t>
      </w:r>
      <w:r w:rsidR="00034109" w:rsidRPr="005976A1">
        <w:rPr>
          <w:rFonts w:cs="Calibri"/>
          <w:iCs/>
          <w:color w:val="0000FF"/>
          <w:sz w:val="24"/>
          <w:szCs w:val="24"/>
          <w:lang w:val="en-IN"/>
        </w:rPr>
        <w:t xml:space="preserve"> </w:t>
      </w:r>
      <w:r w:rsidR="00034109" w:rsidRPr="005976A1">
        <w:rPr>
          <w:rFonts w:cs="Calibri"/>
          <w:b/>
          <w:iCs/>
          <w:sz w:val="24"/>
          <w:szCs w:val="24"/>
          <w:lang w:val="en-IN"/>
        </w:rPr>
        <w:t xml:space="preserve">Figure 1b </w:t>
      </w:r>
      <w:r w:rsidR="00034109" w:rsidRPr="005976A1">
        <w:rPr>
          <w:rFonts w:cs="Calibri"/>
          <w:iCs/>
          <w:sz w:val="24"/>
          <w:szCs w:val="24"/>
          <w:lang w:val="en-IN"/>
        </w:rPr>
        <w:t xml:space="preserve">demonstrated the emission spectra of both new sensitizers </w:t>
      </w:r>
      <w:r w:rsidR="00034109" w:rsidRPr="005976A1">
        <w:rPr>
          <w:rFonts w:cs="Calibri"/>
          <w:b/>
          <w:iCs/>
          <w:sz w:val="24"/>
          <w:szCs w:val="24"/>
          <w:lang w:val="en-IN"/>
        </w:rPr>
        <w:t xml:space="preserve">LG 28 </w:t>
      </w:r>
      <w:r w:rsidR="00034109" w:rsidRPr="005976A1">
        <w:rPr>
          <w:rFonts w:cs="Calibri"/>
          <w:iCs/>
          <w:sz w:val="24"/>
          <w:szCs w:val="24"/>
          <w:lang w:val="en-IN"/>
        </w:rPr>
        <w:t>and</w:t>
      </w:r>
      <w:r w:rsidR="00034109" w:rsidRPr="005976A1">
        <w:rPr>
          <w:rFonts w:cs="Calibri"/>
          <w:b/>
          <w:iCs/>
          <w:sz w:val="24"/>
          <w:szCs w:val="24"/>
          <w:lang w:val="en-IN"/>
        </w:rPr>
        <w:t xml:space="preserve"> LG 29 </w:t>
      </w:r>
      <w:r w:rsidR="00034109" w:rsidRPr="005976A1">
        <w:rPr>
          <w:rFonts w:cs="Calibri"/>
          <w:iCs/>
          <w:sz w:val="24"/>
          <w:szCs w:val="24"/>
          <w:lang w:val="en-IN"/>
        </w:rPr>
        <w:t xml:space="preserve">measured in THF solvent along with </w:t>
      </w:r>
      <w:r w:rsidR="00034109" w:rsidRPr="005976A1">
        <w:rPr>
          <w:rFonts w:cs="Calibri"/>
          <w:bCs/>
          <w:iCs/>
          <w:sz w:val="24"/>
          <w:szCs w:val="24"/>
          <w:lang w:val="en-IN"/>
        </w:rPr>
        <w:t>LG 5</w:t>
      </w:r>
      <w:r w:rsidR="00034109" w:rsidRPr="005976A1">
        <w:rPr>
          <w:rFonts w:cs="Calibri"/>
          <w:iCs/>
          <w:sz w:val="24"/>
          <w:szCs w:val="24"/>
          <w:lang w:val="en-IN"/>
        </w:rPr>
        <w:t xml:space="preserve"> and the corresponding emission data are shown in </w:t>
      </w:r>
      <w:r w:rsidR="00034109" w:rsidRPr="005976A1">
        <w:rPr>
          <w:rFonts w:cs="Calibri"/>
          <w:b/>
          <w:iCs/>
          <w:sz w:val="24"/>
          <w:szCs w:val="24"/>
          <w:lang w:val="en-IN"/>
        </w:rPr>
        <w:t>Table 1</w:t>
      </w:r>
      <w:r w:rsidR="00034109" w:rsidRPr="005976A1">
        <w:rPr>
          <w:rFonts w:cs="Calibri"/>
          <w:iCs/>
          <w:sz w:val="24"/>
          <w:szCs w:val="24"/>
          <w:lang w:val="en-IN"/>
        </w:rPr>
        <w:t>.</w:t>
      </w:r>
      <w:r w:rsidR="00034109" w:rsidRPr="005976A1">
        <w:rPr>
          <w:rFonts w:cs="Calibri"/>
          <w:iCs/>
          <w:color w:val="0000FF"/>
          <w:sz w:val="24"/>
          <w:szCs w:val="24"/>
          <w:lang w:val="en-IN"/>
        </w:rPr>
        <w:t xml:space="preserve"> </w:t>
      </w:r>
      <w:r w:rsidR="00034109" w:rsidRPr="005976A1">
        <w:rPr>
          <w:rFonts w:cs="Calibri"/>
          <w:iCs/>
          <w:sz w:val="24"/>
          <w:szCs w:val="24"/>
          <w:lang w:val="en-IN"/>
        </w:rPr>
        <w:t xml:space="preserve">The tendencies in emission </w:t>
      </w:r>
      <w:r w:rsidR="00034109" w:rsidRPr="005976A1">
        <w:rPr>
          <w:rFonts w:cs="Calibri"/>
          <w:iCs/>
          <w:sz w:val="24"/>
          <w:szCs w:val="24"/>
          <w:lang w:val="en-IN"/>
        </w:rPr>
        <w:lastRenderedPageBreak/>
        <w:t>intensities of newly designed porphyrin sensitizers were red</w:t>
      </w:r>
      <w:r w:rsidR="00397172">
        <w:rPr>
          <w:rFonts w:cs="Calibri"/>
          <w:iCs/>
          <w:sz w:val="24"/>
          <w:szCs w:val="24"/>
          <w:lang w:val="en-IN"/>
        </w:rPr>
        <w:t>-</w:t>
      </w:r>
      <w:r w:rsidR="00034109" w:rsidRPr="005976A1">
        <w:rPr>
          <w:rFonts w:cs="Calibri"/>
          <w:iCs/>
          <w:sz w:val="24"/>
          <w:szCs w:val="24"/>
          <w:lang w:val="en-IN"/>
        </w:rPr>
        <w:t>shifted and it is related to the propensity of their Q-band UV-Vis absorption spectra.</w:t>
      </w:r>
      <w:r w:rsidR="00034109" w:rsidRPr="005976A1">
        <w:rPr>
          <w:rFonts w:cs="Calibri"/>
          <w:iCs/>
          <w:color w:val="0000FF"/>
          <w:sz w:val="24"/>
          <w:szCs w:val="24"/>
          <w:lang w:val="en-IN"/>
        </w:rPr>
        <w:t xml:space="preserve"> </w:t>
      </w:r>
      <w:r w:rsidR="00034109" w:rsidRPr="005976A1">
        <w:rPr>
          <w:rFonts w:cs="Calibri"/>
          <w:iCs/>
          <w:sz w:val="24"/>
          <w:szCs w:val="24"/>
          <w:lang w:val="en-IN"/>
        </w:rPr>
        <w:t>This phenomenon designates more effective electronic coupling by the incorporation of the selenophene between anchoring group and porphyrin moiety.</w:t>
      </w:r>
      <w:r w:rsidR="00034109" w:rsidRPr="005976A1">
        <w:rPr>
          <w:rFonts w:cs="Calibri"/>
          <w:iCs/>
          <w:color w:val="0000FF"/>
          <w:sz w:val="24"/>
          <w:szCs w:val="24"/>
          <w:lang w:val="en-IN"/>
        </w:rPr>
        <w:t xml:space="preserve"> </w:t>
      </w:r>
      <w:r w:rsidR="00034109" w:rsidRPr="005976A1">
        <w:rPr>
          <w:rFonts w:cs="Calibri"/>
          <w:iCs/>
          <w:sz w:val="24"/>
          <w:szCs w:val="24"/>
          <w:lang w:val="en-IN"/>
        </w:rPr>
        <w:t>Thus, the optical properties of both sensitizers suggest that the presence of selenophene heterocyclic ring as an auxiliary acceptor facilitates the extended π-conjugation in newly designed sensitizers that outcomes the ground and excited state electronic properties.</w:t>
      </w:r>
      <w:r w:rsidR="00034109" w:rsidRPr="005976A1">
        <w:rPr>
          <w:rFonts w:cs="Calibri"/>
          <w:iCs/>
          <w:color w:val="0000FF"/>
          <w:sz w:val="24"/>
          <w:szCs w:val="24"/>
          <w:lang w:val="en-IN"/>
        </w:rPr>
        <w:t xml:space="preserve"> </w:t>
      </w:r>
      <w:r w:rsidR="00034109" w:rsidRPr="005976A1">
        <w:rPr>
          <w:rFonts w:cs="Calibri"/>
          <w:iCs/>
          <w:sz w:val="24"/>
          <w:szCs w:val="24"/>
          <w:lang w:val="en-IN"/>
        </w:rPr>
        <w:t>The estimated singlet state band gap energies (E</w:t>
      </w:r>
      <w:r w:rsidR="00034109" w:rsidRPr="005976A1">
        <w:rPr>
          <w:rFonts w:cs="Calibri"/>
          <w:iCs/>
          <w:sz w:val="24"/>
          <w:szCs w:val="24"/>
          <w:vertAlign w:val="subscript"/>
          <w:lang w:val="en-IN"/>
        </w:rPr>
        <w:t>0-0</w:t>
      </w:r>
      <w:r w:rsidR="00034109" w:rsidRPr="005976A1">
        <w:rPr>
          <w:rFonts w:cs="Calibri"/>
          <w:iCs/>
          <w:sz w:val="24"/>
          <w:szCs w:val="24"/>
          <w:lang w:val="en-IN"/>
        </w:rPr>
        <w:t xml:space="preserve">) (resulted from both excitation and emission spectra) of the two novel porphyrin sensitizers </w:t>
      </w:r>
      <w:r w:rsidR="00034109" w:rsidRPr="005976A1">
        <w:rPr>
          <w:rFonts w:cs="Calibri"/>
          <w:b/>
          <w:iCs/>
          <w:sz w:val="24"/>
          <w:szCs w:val="24"/>
          <w:lang w:val="en-IN"/>
        </w:rPr>
        <w:t xml:space="preserve">LG 28 </w:t>
      </w:r>
      <w:r w:rsidR="00034109" w:rsidRPr="005976A1">
        <w:rPr>
          <w:rFonts w:cs="Calibri"/>
          <w:iCs/>
          <w:sz w:val="24"/>
          <w:szCs w:val="24"/>
          <w:lang w:val="en-IN"/>
        </w:rPr>
        <w:t>and</w:t>
      </w:r>
      <w:r w:rsidR="00034109" w:rsidRPr="005976A1">
        <w:rPr>
          <w:rFonts w:cs="Calibri"/>
          <w:b/>
          <w:iCs/>
          <w:sz w:val="24"/>
          <w:szCs w:val="24"/>
          <w:lang w:val="en-IN"/>
        </w:rPr>
        <w:t xml:space="preserve"> LG 29</w:t>
      </w:r>
      <w:r w:rsidR="00034109" w:rsidRPr="005976A1">
        <w:rPr>
          <w:rFonts w:cs="Calibri"/>
          <w:iCs/>
          <w:sz w:val="24"/>
          <w:szCs w:val="24"/>
          <w:lang w:val="en-IN"/>
        </w:rPr>
        <w:t xml:space="preserve"> </w:t>
      </w:r>
      <w:r w:rsidR="00397172">
        <w:rPr>
          <w:rFonts w:cs="Calibri"/>
          <w:iCs/>
          <w:sz w:val="24"/>
          <w:szCs w:val="24"/>
          <w:lang w:val="en-IN"/>
        </w:rPr>
        <w:t>were</w:t>
      </w:r>
      <w:r w:rsidR="00034109" w:rsidRPr="005976A1">
        <w:rPr>
          <w:rFonts w:cs="Calibri"/>
          <w:iCs/>
          <w:sz w:val="24"/>
          <w:szCs w:val="24"/>
          <w:lang w:val="en-IN"/>
        </w:rPr>
        <w:t xml:space="preserve"> higher than that of the reference LG 5 </w:t>
      </w:r>
      <w:r w:rsidR="00397172">
        <w:rPr>
          <w:rFonts w:cs="Calibri"/>
          <w:iCs/>
          <w:sz w:val="24"/>
          <w:szCs w:val="24"/>
          <w:lang w:val="en-IN"/>
        </w:rPr>
        <w:t>(</w:t>
      </w:r>
      <w:r w:rsidR="00034109" w:rsidRPr="005976A1">
        <w:rPr>
          <w:rFonts w:cs="Calibri"/>
          <w:iCs/>
          <w:sz w:val="24"/>
          <w:szCs w:val="24"/>
          <w:lang w:val="en-IN"/>
        </w:rPr>
        <w:t xml:space="preserve"> </w:t>
      </w:r>
      <w:r w:rsidR="00034109" w:rsidRPr="005976A1">
        <w:rPr>
          <w:rFonts w:ascii="Cambria Math" w:hAnsi="Cambria Math" w:cs="Calibri"/>
          <w:iCs/>
          <w:sz w:val="24"/>
          <w:szCs w:val="24"/>
          <w:lang w:val="en-IN"/>
        </w:rPr>
        <w:t>∼</w:t>
      </w:r>
      <w:r w:rsidR="00034109" w:rsidRPr="005976A1">
        <w:rPr>
          <w:rFonts w:cs="Calibri"/>
          <w:iCs/>
          <w:sz w:val="24"/>
          <w:szCs w:val="24"/>
          <w:lang w:val="en-IN"/>
        </w:rPr>
        <w:t>1.82 ± 0.02eV</w:t>
      </w:r>
      <w:r w:rsidR="00397172">
        <w:rPr>
          <w:rFonts w:cs="Calibri"/>
          <w:iCs/>
          <w:sz w:val="24"/>
          <w:szCs w:val="24"/>
          <w:lang w:val="en-IN"/>
        </w:rPr>
        <w:t>)</w:t>
      </w:r>
      <w:r w:rsidR="00034109" w:rsidRPr="005976A1">
        <w:rPr>
          <w:rFonts w:cs="Calibri"/>
          <w:iCs/>
          <w:sz w:val="24"/>
          <w:szCs w:val="24"/>
          <w:lang w:val="en-IN"/>
        </w:rPr>
        <w:t>.</w:t>
      </w:r>
      <w:r w:rsidR="00034109" w:rsidRPr="005976A1">
        <w:rPr>
          <w:rFonts w:cs="Calibri"/>
          <w:iCs/>
          <w:sz w:val="24"/>
          <w:szCs w:val="24"/>
          <w:vertAlign w:val="superscript"/>
          <w:lang w:val="en-IN"/>
        </w:rPr>
        <w:t>22</w:t>
      </w:r>
      <w:r w:rsidR="00034109" w:rsidRPr="005976A1">
        <w:rPr>
          <w:rFonts w:cs="Calibri"/>
          <w:iCs/>
          <w:color w:val="0000FF"/>
          <w:sz w:val="24"/>
          <w:szCs w:val="24"/>
          <w:lang w:val="en-IN"/>
        </w:rPr>
        <w:t xml:space="preserve"> </w:t>
      </w:r>
      <w:r w:rsidR="00034109" w:rsidRPr="005976A1">
        <w:rPr>
          <w:rFonts w:cs="Calibri"/>
          <w:iCs/>
          <w:sz w:val="24"/>
          <w:szCs w:val="24"/>
          <w:lang w:val="en-IN"/>
        </w:rPr>
        <w:t>The singlet excited state lifetime of both porphyrin sensitizers were measured by employing TCSPC method and unlike LG 5</w:t>
      </w:r>
      <w:r w:rsidR="00397172">
        <w:rPr>
          <w:rFonts w:cs="Calibri"/>
          <w:iCs/>
          <w:sz w:val="24"/>
          <w:szCs w:val="24"/>
          <w:lang w:val="en-IN"/>
        </w:rPr>
        <w:t>,</w:t>
      </w:r>
      <w:r w:rsidR="00034109" w:rsidRPr="005976A1">
        <w:rPr>
          <w:rFonts w:cs="Calibri"/>
          <w:iCs/>
          <w:sz w:val="24"/>
          <w:szCs w:val="24"/>
          <w:lang w:val="en-IN"/>
        </w:rPr>
        <w:t xml:space="preserve"> they are distinctly  multiexponential (Table 1) with longest component of 1.88 and 2.42 ns respectively, which are larger than the characteristic lifetime of LG 5 measured in THF solvent (</w:t>
      </w:r>
      <w:r w:rsidR="00034109" w:rsidRPr="005976A1">
        <w:rPr>
          <w:rFonts w:cs="Calibri"/>
          <w:b/>
          <w:iCs/>
          <w:sz w:val="24"/>
          <w:szCs w:val="24"/>
          <w:lang w:val="en-IN"/>
        </w:rPr>
        <w:t>Figure 1c)</w:t>
      </w:r>
      <w:r w:rsidR="00034109" w:rsidRPr="005976A1">
        <w:rPr>
          <w:rFonts w:cs="Calibri"/>
          <w:iCs/>
          <w:sz w:val="24"/>
          <w:szCs w:val="24"/>
          <w:lang w:val="en-IN"/>
        </w:rPr>
        <w:t>.</w:t>
      </w:r>
      <w:r w:rsidR="00034109" w:rsidRPr="005976A1">
        <w:rPr>
          <w:rFonts w:cs="Calibri"/>
          <w:b/>
          <w:iCs/>
          <w:color w:val="0000FF"/>
          <w:sz w:val="24"/>
          <w:szCs w:val="24"/>
          <w:lang w:val="en-IN"/>
        </w:rPr>
        <w:t xml:space="preserve"> </w:t>
      </w:r>
      <w:r w:rsidR="00034109" w:rsidRPr="005976A1">
        <w:rPr>
          <w:rFonts w:cs="Calibri"/>
          <w:bCs/>
          <w:iCs/>
          <w:sz w:val="24"/>
          <w:szCs w:val="24"/>
          <w:lang w:val="en-IN"/>
        </w:rPr>
        <w:t>Note, in presence of TiO</w:t>
      </w:r>
      <w:r w:rsidR="00034109" w:rsidRPr="005976A1">
        <w:rPr>
          <w:rFonts w:cs="Calibri"/>
          <w:bCs/>
          <w:iCs/>
          <w:sz w:val="24"/>
          <w:szCs w:val="24"/>
          <w:vertAlign w:val="subscript"/>
          <w:lang w:val="en-IN"/>
        </w:rPr>
        <w:t>2</w:t>
      </w:r>
      <w:r w:rsidR="00034109" w:rsidRPr="005976A1">
        <w:rPr>
          <w:rFonts w:cs="Calibri"/>
          <w:bCs/>
          <w:iCs/>
          <w:sz w:val="24"/>
          <w:szCs w:val="24"/>
          <w:lang w:val="en-IN"/>
        </w:rPr>
        <w:t xml:space="preserve">, fluorescence emission intensity of </w:t>
      </w:r>
      <w:r w:rsidR="00034109" w:rsidRPr="005976A1">
        <w:rPr>
          <w:rFonts w:cs="Calibri"/>
          <w:b/>
          <w:bCs/>
          <w:iCs/>
          <w:sz w:val="24"/>
          <w:szCs w:val="24"/>
          <w:lang w:val="en-IN"/>
        </w:rPr>
        <w:t>LG 28</w:t>
      </w:r>
      <w:r w:rsidR="00034109" w:rsidRPr="005976A1">
        <w:rPr>
          <w:rFonts w:cs="Calibri"/>
          <w:bCs/>
          <w:iCs/>
          <w:sz w:val="24"/>
          <w:szCs w:val="24"/>
          <w:lang w:val="en-IN"/>
        </w:rPr>
        <w:t xml:space="preserve"> and </w:t>
      </w:r>
      <w:r w:rsidR="00034109" w:rsidRPr="005976A1">
        <w:rPr>
          <w:rFonts w:cs="Calibri"/>
          <w:b/>
          <w:bCs/>
          <w:iCs/>
          <w:sz w:val="24"/>
          <w:szCs w:val="24"/>
          <w:lang w:val="en-IN"/>
        </w:rPr>
        <w:t>LG 29</w:t>
      </w:r>
      <w:r w:rsidR="00034109" w:rsidRPr="005976A1">
        <w:rPr>
          <w:rFonts w:cs="Calibri"/>
          <w:bCs/>
          <w:iCs/>
          <w:sz w:val="24"/>
          <w:szCs w:val="24"/>
          <w:lang w:val="en-IN"/>
        </w:rPr>
        <w:t xml:space="preserve"> is too quenched to record steady state emission spectra and singlet state lifetime by TCSPC method.</w:t>
      </w:r>
    </w:p>
    <w:p w14:paraId="294266A3" w14:textId="77777777" w:rsidR="00034109" w:rsidRPr="00FA1250" w:rsidRDefault="00034109" w:rsidP="00FA1250">
      <w:pPr>
        <w:spacing w:after="0" w:line="360" w:lineRule="auto"/>
        <w:jc w:val="both"/>
        <w:rPr>
          <w:sz w:val="24"/>
          <w:szCs w:val="24"/>
          <w:lang w:val="en-IN"/>
        </w:rPr>
      </w:pPr>
    </w:p>
    <w:p w14:paraId="7368488A" w14:textId="77777777" w:rsidR="00AB31D4" w:rsidRPr="005976A1" w:rsidRDefault="00AB31D4" w:rsidP="00AB31D4">
      <w:pPr>
        <w:spacing w:after="0" w:line="360" w:lineRule="auto"/>
        <w:jc w:val="both"/>
        <w:rPr>
          <w:rFonts w:cs="Calibri"/>
          <w:sz w:val="24"/>
          <w:szCs w:val="24"/>
        </w:rPr>
      </w:pPr>
      <w:r w:rsidRPr="005976A1">
        <w:rPr>
          <w:rFonts w:cs="Calibri"/>
          <w:b/>
          <w:sz w:val="24"/>
          <w:szCs w:val="24"/>
        </w:rPr>
        <w:t xml:space="preserve">Table 1 </w:t>
      </w:r>
      <w:r w:rsidRPr="005976A1">
        <w:rPr>
          <w:rFonts w:cs="Calibri"/>
          <w:sz w:val="24"/>
          <w:szCs w:val="24"/>
        </w:rPr>
        <w:t>Photophysical properties of porphyrin sensitizers.</w:t>
      </w:r>
    </w:p>
    <w:tbl>
      <w:tblPr>
        <w:tblW w:w="10065" w:type="dxa"/>
        <w:tblInd w:w="-31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35"/>
        <w:gridCol w:w="1276"/>
        <w:gridCol w:w="1134"/>
        <w:gridCol w:w="1134"/>
        <w:gridCol w:w="992"/>
        <w:gridCol w:w="851"/>
        <w:gridCol w:w="1272"/>
        <w:gridCol w:w="665"/>
        <w:gridCol w:w="793"/>
        <w:gridCol w:w="813"/>
      </w:tblGrid>
      <w:tr w:rsidR="00AB31D4" w:rsidRPr="005976A1" w14:paraId="7CF61E16" w14:textId="77777777" w:rsidTr="00E074DC">
        <w:tc>
          <w:tcPr>
            <w:tcW w:w="1135" w:type="dxa"/>
            <w:vMerge w:val="restart"/>
            <w:tcBorders>
              <w:top w:val="single" w:sz="12" w:space="0" w:color="auto"/>
            </w:tcBorders>
            <w:shd w:val="clear" w:color="auto" w:fill="auto"/>
          </w:tcPr>
          <w:p w14:paraId="02B3C15C" w14:textId="77777777" w:rsidR="00AB31D4" w:rsidRPr="005976A1" w:rsidRDefault="00AB31D4" w:rsidP="00E074DC">
            <w:pPr>
              <w:spacing w:after="0" w:line="240" w:lineRule="auto"/>
              <w:jc w:val="both"/>
              <w:rPr>
                <w:rFonts w:cs="Calibri"/>
                <w:b/>
                <w:bCs/>
                <w:sz w:val="24"/>
                <w:szCs w:val="24"/>
                <w:lang w:val="en-GB"/>
              </w:rPr>
            </w:pPr>
          </w:p>
        </w:tc>
        <w:tc>
          <w:tcPr>
            <w:tcW w:w="2410" w:type="dxa"/>
            <w:gridSpan w:val="2"/>
            <w:vMerge w:val="restart"/>
            <w:tcBorders>
              <w:top w:val="single" w:sz="12" w:space="0" w:color="auto"/>
            </w:tcBorders>
            <w:shd w:val="clear" w:color="auto" w:fill="auto"/>
          </w:tcPr>
          <w:p w14:paraId="450D9733" w14:textId="77777777" w:rsidR="00AB31D4" w:rsidRPr="005976A1" w:rsidRDefault="00AB31D4" w:rsidP="00E074DC">
            <w:pPr>
              <w:spacing w:after="0" w:line="240" w:lineRule="auto"/>
              <w:jc w:val="center"/>
              <w:rPr>
                <w:rFonts w:cs="Calibri"/>
                <w:b/>
                <w:bCs/>
                <w:sz w:val="24"/>
                <w:szCs w:val="24"/>
                <w:lang w:val="en-GB"/>
              </w:rPr>
            </w:pPr>
            <w:r w:rsidRPr="005976A1">
              <w:rPr>
                <w:rFonts w:cs="Calibri"/>
                <w:b/>
                <w:bCs/>
                <w:sz w:val="24"/>
                <w:szCs w:val="24"/>
                <w:lang w:val="en-GB"/>
              </w:rPr>
              <w:t>Steady state spectroscopic parameters</w:t>
            </w:r>
          </w:p>
        </w:tc>
        <w:tc>
          <w:tcPr>
            <w:tcW w:w="4249" w:type="dxa"/>
            <w:gridSpan w:val="4"/>
            <w:tcBorders>
              <w:top w:val="single" w:sz="12" w:space="0" w:color="auto"/>
            </w:tcBorders>
            <w:shd w:val="clear" w:color="auto" w:fill="auto"/>
          </w:tcPr>
          <w:p w14:paraId="356E62E3" w14:textId="77777777" w:rsidR="00AB31D4" w:rsidRPr="005976A1" w:rsidRDefault="00AB31D4" w:rsidP="00E074DC">
            <w:pPr>
              <w:spacing w:after="0" w:line="240" w:lineRule="auto"/>
              <w:jc w:val="center"/>
              <w:rPr>
                <w:rFonts w:cs="Calibri"/>
                <w:b/>
                <w:bCs/>
                <w:sz w:val="24"/>
                <w:szCs w:val="24"/>
                <w:lang w:val="en-GB"/>
              </w:rPr>
            </w:pPr>
            <w:r w:rsidRPr="005976A1">
              <w:rPr>
                <w:rFonts w:cs="Calibri"/>
                <w:b/>
                <w:bCs/>
                <w:sz w:val="24"/>
                <w:szCs w:val="24"/>
                <w:lang w:val="en-GB"/>
              </w:rPr>
              <w:t>Time resolved fluorescence studies</w:t>
            </w:r>
          </w:p>
        </w:tc>
        <w:tc>
          <w:tcPr>
            <w:tcW w:w="2271" w:type="dxa"/>
            <w:gridSpan w:val="3"/>
            <w:vMerge w:val="restart"/>
            <w:tcBorders>
              <w:top w:val="single" w:sz="12" w:space="0" w:color="auto"/>
            </w:tcBorders>
            <w:shd w:val="clear" w:color="auto" w:fill="auto"/>
          </w:tcPr>
          <w:p w14:paraId="66D46366" w14:textId="77777777" w:rsidR="00AB31D4" w:rsidRPr="005976A1" w:rsidRDefault="00AB31D4" w:rsidP="00E074DC">
            <w:pPr>
              <w:spacing w:after="0" w:line="240" w:lineRule="auto"/>
              <w:jc w:val="both"/>
              <w:rPr>
                <w:rFonts w:cs="Calibri"/>
                <w:b/>
                <w:bCs/>
                <w:i/>
                <w:sz w:val="24"/>
                <w:szCs w:val="24"/>
                <w:lang w:val="en-GB"/>
              </w:rPr>
            </w:pPr>
          </w:p>
        </w:tc>
      </w:tr>
      <w:tr w:rsidR="00AB31D4" w:rsidRPr="005976A1" w14:paraId="3EAA56FF" w14:textId="77777777" w:rsidTr="00E074DC">
        <w:tc>
          <w:tcPr>
            <w:tcW w:w="1135" w:type="dxa"/>
            <w:vMerge/>
            <w:tcBorders>
              <w:bottom w:val="single" w:sz="12" w:space="0" w:color="auto"/>
            </w:tcBorders>
            <w:shd w:val="clear" w:color="auto" w:fill="auto"/>
          </w:tcPr>
          <w:p w14:paraId="08ED30A0" w14:textId="77777777" w:rsidR="00AB31D4" w:rsidRPr="005976A1" w:rsidRDefault="00AB31D4" w:rsidP="00E074DC">
            <w:pPr>
              <w:spacing w:after="0" w:line="240" w:lineRule="auto"/>
              <w:jc w:val="both"/>
              <w:rPr>
                <w:rFonts w:cs="Calibri"/>
                <w:b/>
                <w:bCs/>
                <w:sz w:val="24"/>
                <w:szCs w:val="24"/>
                <w:lang w:val="en-GB"/>
              </w:rPr>
            </w:pPr>
          </w:p>
        </w:tc>
        <w:tc>
          <w:tcPr>
            <w:tcW w:w="2410" w:type="dxa"/>
            <w:gridSpan w:val="2"/>
            <w:vMerge/>
            <w:tcBorders>
              <w:bottom w:val="single" w:sz="12" w:space="0" w:color="auto"/>
            </w:tcBorders>
            <w:shd w:val="clear" w:color="auto" w:fill="auto"/>
          </w:tcPr>
          <w:p w14:paraId="0E6F1CB4" w14:textId="77777777" w:rsidR="00AB31D4" w:rsidRPr="005976A1" w:rsidRDefault="00AB31D4" w:rsidP="00E074DC">
            <w:pPr>
              <w:spacing w:after="0" w:line="240" w:lineRule="auto"/>
              <w:jc w:val="center"/>
              <w:rPr>
                <w:rFonts w:cs="Calibri"/>
                <w:b/>
                <w:bCs/>
                <w:sz w:val="24"/>
                <w:szCs w:val="24"/>
                <w:lang w:val="en-GB"/>
              </w:rPr>
            </w:pPr>
          </w:p>
        </w:tc>
        <w:tc>
          <w:tcPr>
            <w:tcW w:w="2977" w:type="dxa"/>
            <w:gridSpan w:val="3"/>
            <w:tcBorders>
              <w:bottom w:val="single" w:sz="12" w:space="0" w:color="auto"/>
            </w:tcBorders>
            <w:shd w:val="clear" w:color="auto" w:fill="auto"/>
          </w:tcPr>
          <w:p w14:paraId="57ACF02B" w14:textId="77777777" w:rsidR="00AB31D4" w:rsidRPr="005976A1" w:rsidRDefault="00AB31D4" w:rsidP="00686F60">
            <w:pPr>
              <w:spacing w:after="0" w:line="240" w:lineRule="auto"/>
              <w:jc w:val="center"/>
              <w:rPr>
                <w:rFonts w:cs="Calibri"/>
                <w:b/>
                <w:bCs/>
                <w:sz w:val="24"/>
                <w:szCs w:val="24"/>
                <w:lang w:val="en-GB"/>
              </w:rPr>
            </w:pPr>
            <w:r w:rsidRPr="005976A1">
              <w:rPr>
                <w:rFonts w:cs="Calibri"/>
                <w:b/>
                <w:bCs/>
                <w:sz w:val="24"/>
                <w:szCs w:val="24"/>
                <w:lang w:val="en-GB"/>
              </w:rPr>
              <w:t>Fluorescence Upconversion studies</w:t>
            </w:r>
          </w:p>
        </w:tc>
        <w:tc>
          <w:tcPr>
            <w:tcW w:w="1272" w:type="dxa"/>
            <w:tcBorders>
              <w:bottom w:val="single" w:sz="12" w:space="0" w:color="auto"/>
            </w:tcBorders>
            <w:shd w:val="clear" w:color="auto" w:fill="auto"/>
          </w:tcPr>
          <w:p w14:paraId="2086861A" w14:textId="77777777" w:rsidR="00AB31D4" w:rsidRPr="005976A1" w:rsidRDefault="00AB31D4" w:rsidP="00E074DC">
            <w:pPr>
              <w:spacing w:after="0" w:line="240" w:lineRule="auto"/>
              <w:jc w:val="both"/>
              <w:rPr>
                <w:rFonts w:cs="Calibri"/>
                <w:b/>
                <w:bCs/>
                <w:sz w:val="24"/>
                <w:szCs w:val="24"/>
                <w:lang w:val="en-GB"/>
              </w:rPr>
            </w:pPr>
            <w:r w:rsidRPr="005976A1">
              <w:rPr>
                <w:rFonts w:cs="Calibri"/>
                <w:b/>
                <w:bCs/>
                <w:sz w:val="24"/>
                <w:szCs w:val="24"/>
                <w:lang w:val="en-GB"/>
              </w:rPr>
              <w:t>TCSPC</w:t>
            </w:r>
          </w:p>
        </w:tc>
        <w:tc>
          <w:tcPr>
            <w:tcW w:w="2271" w:type="dxa"/>
            <w:gridSpan w:val="3"/>
            <w:vMerge/>
            <w:tcBorders>
              <w:bottom w:val="single" w:sz="12" w:space="0" w:color="auto"/>
            </w:tcBorders>
            <w:shd w:val="clear" w:color="auto" w:fill="auto"/>
          </w:tcPr>
          <w:p w14:paraId="63D35D2C" w14:textId="77777777" w:rsidR="00AB31D4" w:rsidRPr="005976A1" w:rsidRDefault="00AB31D4" w:rsidP="00E074DC">
            <w:pPr>
              <w:spacing w:after="0" w:line="240" w:lineRule="auto"/>
              <w:jc w:val="both"/>
              <w:rPr>
                <w:rFonts w:cs="Calibri"/>
                <w:b/>
                <w:bCs/>
                <w:i/>
                <w:sz w:val="24"/>
                <w:szCs w:val="24"/>
                <w:lang w:val="en-GB"/>
              </w:rPr>
            </w:pPr>
          </w:p>
        </w:tc>
      </w:tr>
      <w:tr w:rsidR="00AB31D4" w:rsidRPr="005976A1" w14:paraId="2120E7D1" w14:textId="77777777" w:rsidTr="00E074DC">
        <w:trPr>
          <w:cantSplit/>
          <w:trHeight w:val="1134"/>
        </w:trPr>
        <w:tc>
          <w:tcPr>
            <w:tcW w:w="1135" w:type="dxa"/>
            <w:tcBorders>
              <w:top w:val="single" w:sz="12" w:space="0" w:color="auto"/>
              <w:bottom w:val="single" w:sz="12" w:space="0" w:color="auto"/>
            </w:tcBorders>
            <w:shd w:val="clear" w:color="auto" w:fill="auto"/>
          </w:tcPr>
          <w:p w14:paraId="27D851B3" w14:textId="77777777" w:rsidR="00AB31D4" w:rsidRPr="005976A1" w:rsidRDefault="00AB31D4" w:rsidP="00E074DC">
            <w:pPr>
              <w:spacing w:after="0" w:line="240" w:lineRule="auto"/>
              <w:jc w:val="center"/>
              <w:rPr>
                <w:rFonts w:cs="Calibri"/>
                <w:sz w:val="24"/>
                <w:szCs w:val="24"/>
                <w:lang w:val="en-GB"/>
              </w:rPr>
            </w:pPr>
            <w:r w:rsidRPr="005976A1">
              <w:rPr>
                <w:rFonts w:cs="Calibri"/>
                <w:b/>
                <w:bCs/>
                <w:sz w:val="24"/>
                <w:szCs w:val="24"/>
                <w:lang w:val="en-GB"/>
              </w:rPr>
              <w:t>Dyes</w:t>
            </w:r>
          </w:p>
        </w:tc>
        <w:tc>
          <w:tcPr>
            <w:tcW w:w="1276" w:type="dxa"/>
            <w:tcBorders>
              <w:top w:val="single" w:sz="12" w:space="0" w:color="auto"/>
              <w:bottom w:val="single" w:sz="12" w:space="0" w:color="auto"/>
            </w:tcBorders>
            <w:shd w:val="clear" w:color="auto" w:fill="auto"/>
          </w:tcPr>
          <w:p w14:paraId="30C30A6F" w14:textId="77777777" w:rsidR="00AB31D4" w:rsidRPr="005976A1" w:rsidRDefault="00AB31D4" w:rsidP="00E074DC">
            <w:pPr>
              <w:spacing w:after="0" w:line="240" w:lineRule="auto"/>
              <w:jc w:val="center"/>
              <w:rPr>
                <w:rFonts w:cs="Calibri"/>
                <w:b/>
                <w:bCs/>
                <w:lang w:val="en-GB"/>
              </w:rPr>
            </w:pPr>
            <w:r w:rsidRPr="005976A1">
              <w:rPr>
                <w:rFonts w:cs="Calibri"/>
                <w:b/>
                <w:bCs/>
                <w:lang w:val="en-GB"/>
              </w:rPr>
              <w:t>Absorption λ</w:t>
            </w:r>
            <w:r w:rsidRPr="005976A1">
              <w:rPr>
                <w:rFonts w:cs="Calibri"/>
                <w:b/>
                <w:bCs/>
                <w:vertAlign w:val="subscript"/>
                <w:lang w:val="en-GB"/>
              </w:rPr>
              <w:t>max</w:t>
            </w:r>
            <w:r w:rsidRPr="005976A1">
              <w:rPr>
                <w:rFonts w:cs="Calibri"/>
                <w:b/>
                <w:bCs/>
                <w:lang w:val="en-GB"/>
              </w:rPr>
              <w:t xml:space="preserve"> nm</w:t>
            </w:r>
          </w:p>
          <w:p w14:paraId="457405F6" w14:textId="77777777" w:rsidR="00AB31D4" w:rsidRPr="005976A1" w:rsidRDefault="00AB31D4" w:rsidP="00E074DC">
            <w:pPr>
              <w:spacing w:after="0" w:line="240" w:lineRule="auto"/>
              <w:jc w:val="center"/>
              <w:rPr>
                <w:rFonts w:cs="Calibri"/>
                <w:lang w:val="en-GB"/>
              </w:rPr>
            </w:pPr>
            <w:r w:rsidRPr="005976A1">
              <w:rPr>
                <w:rFonts w:cs="Calibri"/>
                <w:b/>
                <w:bCs/>
                <w:lang w:val="en-GB"/>
              </w:rPr>
              <w:t>(log ɛ, M</w:t>
            </w:r>
            <w:r w:rsidRPr="005976A1">
              <w:rPr>
                <w:rFonts w:cs="Calibri"/>
                <w:b/>
                <w:bCs/>
                <w:vertAlign w:val="superscript"/>
                <w:lang w:val="en-GB"/>
              </w:rPr>
              <w:t>−1</w:t>
            </w:r>
            <w:r w:rsidRPr="005976A1">
              <w:rPr>
                <w:rFonts w:cs="Calibri"/>
                <w:b/>
                <w:bCs/>
                <w:lang w:val="en-GB"/>
              </w:rPr>
              <w:t>cm</w:t>
            </w:r>
            <w:r w:rsidRPr="005976A1">
              <w:rPr>
                <w:rFonts w:cs="Calibri"/>
                <w:b/>
                <w:bCs/>
                <w:vertAlign w:val="superscript"/>
                <w:lang w:val="en-GB"/>
              </w:rPr>
              <w:t>−1</w:t>
            </w:r>
            <w:r w:rsidRPr="005976A1">
              <w:rPr>
                <w:rFonts w:cs="Calibri"/>
                <w:b/>
                <w:bCs/>
                <w:lang w:val="en-GB"/>
              </w:rPr>
              <w:t>)</w:t>
            </w:r>
            <w:r w:rsidRPr="005976A1">
              <w:rPr>
                <w:rFonts w:cs="Calibri"/>
                <w:b/>
                <w:bCs/>
                <w:vertAlign w:val="superscript"/>
                <w:lang w:val="en-GB"/>
              </w:rPr>
              <w:t>a</w:t>
            </w:r>
          </w:p>
        </w:tc>
        <w:tc>
          <w:tcPr>
            <w:tcW w:w="1134" w:type="dxa"/>
            <w:tcBorders>
              <w:top w:val="single" w:sz="12" w:space="0" w:color="auto"/>
              <w:bottom w:val="single" w:sz="12" w:space="0" w:color="auto"/>
            </w:tcBorders>
            <w:shd w:val="clear" w:color="auto" w:fill="auto"/>
          </w:tcPr>
          <w:p w14:paraId="0F158CB5" w14:textId="77777777" w:rsidR="00AB31D4" w:rsidRPr="005976A1" w:rsidRDefault="00AB31D4" w:rsidP="00E074DC">
            <w:pPr>
              <w:spacing w:after="0" w:line="240" w:lineRule="auto"/>
              <w:jc w:val="center"/>
              <w:rPr>
                <w:rFonts w:cs="Calibri"/>
                <w:b/>
                <w:bCs/>
                <w:lang w:val="en-GB"/>
              </w:rPr>
            </w:pPr>
            <w:r w:rsidRPr="005976A1">
              <w:rPr>
                <w:rFonts w:cs="Calibri"/>
                <w:b/>
                <w:bCs/>
                <w:lang w:val="en-GB"/>
              </w:rPr>
              <w:t>Emission</w:t>
            </w:r>
          </w:p>
          <w:p w14:paraId="48C3A32A" w14:textId="77777777" w:rsidR="00AB31D4" w:rsidRPr="005976A1" w:rsidRDefault="00AB31D4" w:rsidP="00E074DC">
            <w:pPr>
              <w:spacing w:after="0" w:line="240" w:lineRule="auto"/>
              <w:jc w:val="center"/>
              <w:rPr>
                <w:rFonts w:cs="Calibri"/>
                <w:b/>
                <w:bCs/>
                <w:lang w:val="en-GB"/>
              </w:rPr>
            </w:pPr>
            <w:r w:rsidRPr="005976A1">
              <w:rPr>
                <w:rFonts w:cs="Calibri"/>
                <w:b/>
                <w:bCs/>
                <w:lang w:val="en-GB"/>
              </w:rPr>
              <w:t>λ</w:t>
            </w:r>
            <w:r w:rsidRPr="005976A1">
              <w:rPr>
                <w:rFonts w:cs="Calibri"/>
                <w:b/>
                <w:bCs/>
                <w:vertAlign w:val="subscript"/>
                <w:lang w:val="en-GB"/>
              </w:rPr>
              <w:t>max</w:t>
            </w:r>
            <w:r w:rsidRPr="005976A1">
              <w:rPr>
                <w:rFonts w:cs="Calibri"/>
                <w:b/>
                <w:bCs/>
                <w:lang w:val="en-GB"/>
              </w:rPr>
              <w:t>nm</w:t>
            </w:r>
            <w:r w:rsidRPr="005976A1">
              <w:rPr>
                <w:rFonts w:cs="Calibri"/>
                <w:b/>
                <w:bCs/>
                <w:vertAlign w:val="superscript"/>
                <w:lang w:val="en-GB"/>
              </w:rPr>
              <w:t>b</w:t>
            </w:r>
            <w:r w:rsidRPr="005976A1">
              <w:rPr>
                <w:rFonts w:cs="Calibri"/>
                <w:b/>
                <w:bCs/>
                <w:lang w:val="en-GB"/>
              </w:rPr>
              <w:t>,</w:t>
            </w:r>
          </w:p>
          <w:p w14:paraId="145770EE" w14:textId="77777777" w:rsidR="00AB31D4" w:rsidRPr="005976A1" w:rsidRDefault="00AB31D4" w:rsidP="00E074DC">
            <w:pPr>
              <w:spacing w:after="0" w:line="240" w:lineRule="auto"/>
              <w:jc w:val="center"/>
              <w:rPr>
                <w:rFonts w:cs="Calibri"/>
                <w:lang w:val="en-GB"/>
              </w:rPr>
            </w:pPr>
            <w:r w:rsidRPr="005976A1">
              <w:rPr>
                <w:rFonts w:cs="Calibri"/>
                <w:b/>
                <w:bCs/>
                <w:lang w:val="en-GB"/>
              </w:rPr>
              <w:t>(Ф)</w:t>
            </w:r>
            <w:r w:rsidRPr="005976A1">
              <w:rPr>
                <w:rFonts w:cs="Calibri"/>
                <w:b/>
                <w:bCs/>
                <w:vertAlign w:val="superscript"/>
                <w:lang w:val="en-GB"/>
              </w:rPr>
              <w:t>c</w:t>
            </w:r>
          </w:p>
        </w:tc>
        <w:tc>
          <w:tcPr>
            <w:tcW w:w="1134" w:type="dxa"/>
            <w:tcBorders>
              <w:top w:val="single" w:sz="12" w:space="0" w:color="auto"/>
              <w:bottom w:val="single" w:sz="12" w:space="0" w:color="auto"/>
            </w:tcBorders>
            <w:shd w:val="clear" w:color="auto" w:fill="auto"/>
          </w:tcPr>
          <w:p w14:paraId="799418CC" w14:textId="77777777" w:rsidR="00AB31D4" w:rsidRPr="005976A1" w:rsidRDefault="00AB31D4" w:rsidP="00E074DC">
            <w:pPr>
              <w:spacing w:after="0" w:line="240" w:lineRule="auto"/>
              <w:jc w:val="center"/>
              <w:rPr>
                <w:rFonts w:cs="Calibri"/>
                <w:b/>
                <w:bCs/>
                <w:vertAlign w:val="superscript"/>
                <w:lang w:val="en-GB"/>
              </w:rPr>
            </w:pPr>
            <w:r w:rsidRPr="005976A1">
              <w:rPr>
                <w:rFonts w:cs="Calibri"/>
                <w:b/>
                <w:bCs/>
                <w:lang w:val="en-GB"/>
              </w:rPr>
              <w:t>1</w:t>
            </w:r>
            <w:r w:rsidRPr="005976A1">
              <w:rPr>
                <w:rFonts w:cs="Calibri"/>
                <w:b/>
                <w:bCs/>
                <w:vertAlign w:val="superscript"/>
                <w:lang w:val="en-GB"/>
              </w:rPr>
              <w:t>st</w:t>
            </w:r>
          </w:p>
          <w:p w14:paraId="41884F1B" w14:textId="77777777" w:rsidR="00AB31D4" w:rsidRPr="005976A1" w:rsidRDefault="00AB31D4" w:rsidP="00E074DC">
            <w:pPr>
              <w:spacing w:after="0" w:line="240" w:lineRule="auto"/>
              <w:jc w:val="center"/>
              <w:rPr>
                <w:rFonts w:cs="Calibri"/>
                <w:b/>
                <w:bCs/>
                <w:lang w:val="en-GB"/>
              </w:rPr>
            </w:pPr>
            <w:r w:rsidRPr="005976A1">
              <w:rPr>
                <w:rFonts w:cs="Calibri"/>
                <w:b/>
                <w:bCs/>
                <w:lang w:val="en-GB"/>
              </w:rPr>
              <w:t>Comp.</w:t>
            </w:r>
          </w:p>
          <w:p w14:paraId="254FA889" w14:textId="77777777" w:rsidR="00AB31D4" w:rsidRPr="005976A1" w:rsidRDefault="00AB31D4" w:rsidP="00E074DC">
            <w:pPr>
              <w:spacing w:after="0" w:line="240" w:lineRule="auto"/>
              <w:jc w:val="center"/>
              <w:rPr>
                <w:rFonts w:cs="Calibri"/>
                <w:b/>
                <w:bCs/>
                <w:lang w:val="en-GB"/>
              </w:rPr>
            </w:pPr>
            <w:r w:rsidRPr="005976A1">
              <w:rPr>
                <w:rFonts w:cs="Calibri"/>
                <w:b/>
                <w:bCs/>
                <w:lang w:val="en-GB"/>
              </w:rPr>
              <w:t>τ</w:t>
            </w:r>
            <w:r w:rsidRPr="005976A1">
              <w:rPr>
                <w:rFonts w:cs="Calibri"/>
                <w:b/>
                <w:bCs/>
                <w:vertAlign w:val="subscript"/>
                <w:lang w:val="en-GB"/>
              </w:rPr>
              <w:t>1</w:t>
            </w:r>
            <w:r w:rsidRPr="005976A1">
              <w:rPr>
                <w:rFonts w:cs="Calibri"/>
                <w:b/>
                <w:bCs/>
                <w:lang w:val="en-GB"/>
              </w:rPr>
              <w:t>ps</w:t>
            </w:r>
          </w:p>
          <w:p w14:paraId="7C014E8E" w14:textId="77777777" w:rsidR="00AB31D4" w:rsidRPr="005976A1" w:rsidRDefault="00AB31D4" w:rsidP="00E074DC">
            <w:pPr>
              <w:spacing w:after="0" w:line="240" w:lineRule="auto"/>
              <w:jc w:val="center"/>
              <w:rPr>
                <w:rFonts w:cs="Calibri"/>
                <w:b/>
                <w:bCs/>
                <w:lang w:val="en-GB"/>
              </w:rPr>
            </w:pPr>
            <w:r w:rsidRPr="005976A1">
              <w:rPr>
                <w:rFonts w:cs="Calibri"/>
                <w:b/>
                <w:bCs/>
                <w:lang w:val="en-GB"/>
              </w:rPr>
              <w:t>(a</w:t>
            </w:r>
            <w:r w:rsidRPr="005976A1">
              <w:rPr>
                <w:rFonts w:cs="Calibri"/>
                <w:b/>
                <w:bCs/>
                <w:vertAlign w:val="subscript"/>
                <w:lang w:val="en-GB"/>
              </w:rPr>
              <w:t>1</w:t>
            </w:r>
            <w:r w:rsidRPr="005976A1">
              <w:rPr>
                <w:rFonts w:cs="Calibri"/>
                <w:b/>
                <w:bCs/>
                <w:lang w:val="en-GB"/>
              </w:rPr>
              <w:t>%)</w:t>
            </w:r>
          </w:p>
        </w:tc>
        <w:tc>
          <w:tcPr>
            <w:tcW w:w="992" w:type="dxa"/>
            <w:tcBorders>
              <w:top w:val="single" w:sz="12" w:space="0" w:color="auto"/>
              <w:bottom w:val="single" w:sz="12" w:space="0" w:color="auto"/>
            </w:tcBorders>
            <w:shd w:val="clear" w:color="auto" w:fill="auto"/>
          </w:tcPr>
          <w:p w14:paraId="592FA607" w14:textId="77777777" w:rsidR="00AB31D4" w:rsidRPr="005976A1" w:rsidRDefault="00AB31D4" w:rsidP="00E074DC">
            <w:pPr>
              <w:spacing w:after="0" w:line="240" w:lineRule="auto"/>
              <w:jc w:val="center"/>
              <w:rPr>
                <w:rFonts w:cs="Calibri"/>
                <w:b/>
                <w:bCs/>
                <w:lang w:val="en-GB"/>
              </w:rPr>
            </w:pPr>
            <w:r w:rsidRPr="005976A1">
              <w:rPr>
                <w:rFonts w:cs="Calibri"/>
                <w:b/>
                <w:bCs/>
                <w:lang w:val="en-GB"/>
              </w:rPr>
              <w:t>2</w:t>
            </w:r>
            <w:r w:rsidRPr="005976A1">
              <w:rPr>
                <w:rFonts w:cs="Calibri"/>
                <w:b/>
                <w:bCs/>
                <w:vertAlign w:val="superscript"/>
                <w:lang w:val="en-GB"/>
              </w:rPr>
              <w:t>nd</w:t>
            </w:r>
          </w:p>
          <w:p w14:paraId="140151E8" w14:textId="77777777" w:rsidR="00AB31D4" w:rsidRPr="005976A1" w:rsidRDefault="00AB31D4" w:rsidP="00E074DC">
            <w:pPr>
              <w:spacing w:after="0" w:line="240" w:lineRule="auto"/>
              <w:jc w:val="center"/>
              <w:rPr>
                <w:rFonts w:cs="Calibri"/>
                <w:b/>
                <w:bCs/>
                <w:lang w:val="en-GB"/>
              </w:rPr>
            </w:pPr>
            <w:r w:rsidRPr="005976A1">
              <w:rPr>
                <w:rFonts w:cs="Calibri"/>
                <w:b/>
                <w:bCs/>
                <w:lang w:val="en-GB"/>
              </w:rPr>
              <w:t>Comp.</w:t>
            </w:r>
          </w:p>
          <w:p w14:paraId="11AFF252" w14:textId="77777777" w:rsidR="00AB31D4" w:rsidRPr="005976A1" w:rsidRDefault="00AB31D4" w:rsidP="00E074DC">
            <w:pPr>
              <w:spacing w:after="0" w:line="240" w:lineRule="auto"/>
              <w:jc w:val="center"/>
              <w:rPr>
                <w:rFonts w:cs="Calibri"/>
                <w:b/>
                <w:bCs/>
                <w:lang w:val="en-GB"/>
              </w:rPr>
            </w:pPr>
            <w:r w:rsidRPr="005976A1">
              <w:rPr>
                <w:rFonts w:cs="Calibri"/>
                <w:b/>
                <w:bCs/>
                <w:lang w:val="en-GB"/>
              </w:rPr>
              <w:t>τ</w:t>
            </w:r>
            <w:r w:rsidRPr="005976A1">
              <w:rPr>
                <w:rFonts w:cs="Calibri"/>
                <w:b/>
                <w:bCs/>
                <w:vertAlign w:val="subscript"/>
                <w:lang w:val="en-GB"/>
              </w:rPr>
              <w:t xml:space="preserve">2 </w:t>
            </w:r>
            <w:r w:rsidRPr="005976A1">
              <w:rPr>
                <w:rFonts w:cs="Calibri"/>
                <w:b/>
                <w:bCs/>
                <w:lang w:val="en-GB"/>
              </w:rPr>
              <w:t>ps</w:t>
            </w:r>
          </w:p>
          <w:p w14:paraId="25F000BE" w14:textId="77777777" w:rsidR="00AB31D4" w:rsidRPr="005976A1" w:rsidRDefault="00AB31D4" w:rsidP="00E074DC">
            <w:pPr>
              <w:spacing w:after="0" w:line="240" w:lineRule="auto"/>
              <w:jc w:val="center"/>
              <w:rPr>
                <w:rFonts w:cs="Calibri"/>
                <w:b/>
                <w:bCs/>
                <w:lang w:val="en-GB"/>
              </w:rPr>
            </w:pPr>
            <w:r w:rsidRPr="005976A1">
              <w:rPr>
                <w:rFonts w:cs="Calibri"/>
                <w:b/>
                <w:bCs/>
                <w:lang w:val="en-GB"/>
              </w:rPr>
              <w:t>(a</w:t>
            </w:r>
            <w:r w:rsidRPr="005976A1">
              <w:rPr>
                <w:rFonts w:cs="Calibri"/>
                <w:b/>
                <w:bCs/>
                <w:vertAlign w:val="subscript"/>
                <w:lang w:val="en-GB"/>
              </w:rPr>
              <w:t>2</w:t>
            </w:r>
            <w:r w:rsidRPr="005976A1">
              <w:rPr>
                <w:rFonts w:cs="Calibri"/>
                <w:b/>
                <w:bCs/>
                <w:lang w:val="en-GB"/>
              </w:rPr>
              <w:t>%)</w:t>
            </w:r>
          </w:p>
        </w:tc>
        <w:tc>
          <w:tcPr>
            <w:tcW w:w="851" w:type="dxa"/>
            <w:tcBorders>
              <w:top w:val="single" w:sz="12" w:space="0" w:color="auto"/>
              <w:bottom w:val="single" w:sz="12" w:space="0" w:color="auto"/>
            </w:tcBorders>
            <w:shd w:val="clear" w:color="auto" w:fill="auto"/>
          </w:tcPr>
          <w:p w14:paraId="03594168" w14:textId="77777777" w:rsidR="00AB31D4" w:rsidRPr="005976A1" w:rsidRDefault="00AB31D4" w:rsidP="00E074DC">
            <w:pPr>
              <w:spacing w:after="0" w:line="240" w:lineRule="auto"/>
              <w:jc w:val="center"/>
              <w:rPr>
                <w:rFonts w:cs="Calibri"/>
                <w:b/>
                <w:bCs/>
                <w:lang w:val="en-GB"/>
              </w:rPr>
            </w:pPr>
            <w:r w:rsidRPr="005976A1">
              <w:rPr>
                <w:rFonts w:cs="Calibri"/>
                <w:b/>
                <w:bCs/>
                <w:lang w:val="en-GB"/>
              </w:rPr>
              <w:t>3</w:t>
            </w:r>
            <w:r w:rsidRPr="005976A1">
              <w:rPr>
                <w:rFonts w:cs="Calibri"/>
                <w:b/>
                <w:bCs/>
                <w:vertAlign w:val="superscript"/>
                <w:lang w:val="en-GB"/>
              </w:rPr>
              <w:t>rd</w:t>
            </w:r>
            <w:r w:rsidRPr="005976A1">
              <w:rPr>
                <w:rFonts w:cs="Calibri"/>
                <w:b/>
                <w:bCs/>
                <w:lang w:val="en-GB"/>
              </w:rPr>
              <w:t xml:space="preserve"> Comp.</w:t>
            </w:r>
          </w:p>
          <w:p w14:paraId="122EF818" w14:textId="77777777" w:rsidR="00AB31D4" w:rsidRPr="005976A1" w:rsidRDefault="00AB31D4" w:rsidP="00E074DC">
            <w:pPr>
              <w:spacing w:after="0" w:line="240" w:lineRule="auto"/>
              <w:jc w:val="center"/>
              <w:rPr>
                <w:rFonts w:cs="Calibri"/>
                <w:b/>
                <w:bCs/>
                <w:lang w:val="en-GB"/>
              </w:rPr>
            </w:pPr>
            <w:r w:rsidRPr="005976A1">
              <w:rPr>
                <w:rFonts w:cs="Calibri"/>
                <w:b/>
                <w:bCs/>
                <w:lang w:val="en-GB"/>
              </w:rPr>
              <w:t>τ</w:t>
            </w:r>
            <w:r w:rsidRPr="005976A1">
              <w:rPr>
                <w:rFonts w:cs="Calibri"/>
                <w:b/>
                <w:bCs/>
                <w:vertAlign w:val="subscript"/>
                <w:lang w:val="en-GB"/>
              </w:rPr>
              <w:t xml:space="preserve">3 </w:t>
            </w:r>
            <w:r w:rsidRPr="005976A1">
              <w:rPr>
                <w:rFonts w:cs="Calibri"/>
                <w:b/>
                <w:bCs/>
                <w:lang w:val="en-GB"/>
              </w:rPr>
              <w:t>ns</w:t>
            </w:r>
          </w:p>
          <w:p w14:paraId="2EF064DF" w14:textId="77777777" w:rsidR="00AB31D4" w:rsidRPr="005976A1" w:rsidRDefault="00AB31D4" w:rsidP="00E074DC">
            <w:pPr>
              <w:spacing w:after="0" w:line="240" w:lineRule="auto"/>
              <w:jc w:val="center"/>
              <w:rPr>
                <w:rFonts w:cs="Calibri"/>
                <w:b/>
                <w:bCs/>
                <w:lang w:val="en-GB"/>
              </w:rPr>
            </w:pPr>
            <w:r w:rsidRPr="005976A1">
              <w:rPr>
                <w:rFonts w:cs="Calibri"/>
                <w:b/>
                <w:bCs/>
                <w:lang w:val="en-GB"/>
              </w:rPr>
              <w:t>(a</w:t>
            </w:r>
            <w:r w:rsidRPr="005976A1">
              <w:rPr>
                <w:rFonts w:cs="Calibri"/>
                <w:b/>
                <w:bCs/>
                <w:vertAlign w:val="subscript"/>
                <w:lang w:val="en-GB"/>
              </w:rPr>
              <w:t>3</w:t>
            </w:r>
            <w:r w:rsidRPr="005976A1">
              <w:rPr>
                <w:rFonts w:cs="Calibri"/>
                <w:b/>
                <w:bCs/>
                <w:lang w:val="en-GB"/>
              </w:rPr>
              <w:t>%)</w:t>
            </w:r>
          </w:p>
        </w:tc>
        <w:tc>
          <w:tcPr>
            <w:tcW w:w="1272" w:type="dxa"/>
            <w:tcBorders>
              <w:top w:val="single" w:sz="12" w:space="0" w:color="auto"/>
              <w:bottom w:val="single" w:sz="12" w:space="0" w:color="auto"/>
            </w:tcBorders>
            <w:shd w:val="clear" w:color="auto" w:fill="auto"/>
          </w:tcPr>
          <w:p w14:paraId="575A82AC" w14:textId="77777777" w:rsidR="00AB31D4" w:rsidRPr="005976A1" w:rsidRDefault="00AB31D4" w:rsidP="00E074DC">
            <w:pPr>
              <w:spacing w:after="0" w:line="240" w:lineRule="auto"/>
              <w:jc w:val="center"/>
              <w:rPr>
                <w:rFonts w:cs="Calibri"/>
                <w:lang w:val="en-GB"/>
              </w:rPr>
            </w:pPr>
            <w:r w:rsidRPr="005976A1">
              <w:rPr>
                <w:rFonts w:cs="Calibri"/>
                <w:b/>
                <w:bCs/>
                <w:lang w:val="en-GB"/>
              </w:rPr>
              <w:t>τ,</w:t>
            </w:r>
            <w:r w:rsidRPr="005976A1">
              <w:rPr>
                <w:rFonts w:cs="Calibri"/>
                <w:b/>
                <w:bCs/>
                <w:vertAlign w:val="superscript"/>
                <w:lang w:val="en-GB"/>
              </w:rPr>
              <w:t>d</w:t>
            </w:r>
            <w:r w:rsidRPr="005976A1">
              <w:rPr>
                <w:rFonts w:cs="Calibri"/>
                <w:b/>
                <w:bCs/>
                <w:lang w:val="en-GB"/>
              </w:rPr>
              <w:t>ns (A%)</w:t>
            </w:r>
          </w:p>
        </w:tc>
        <w:tc>
          <w:tcPr>
            <w:tcW w:w="665" w:type="dxa"/>
            <w:tcBorders>
              <w:top w:val="single" w:sz="12" w:space="0" w:color="auto"/>
              <w:bottom w:val="single" w:sz="12" w:space="0" w:color="auto"/>
            </w:tcBorders>
            <w:shd w:val="clear" w:color="auto" w:fill="auto"/>
          </w:tcPr>
          <w:p w14:paraId="4653DB26" w14:textId="77777777" w:rsidR="00AB31D4" w:rsidRPr="005976A1" w:rsidRDefault="00AB31D4" w:rsidP="00E074DC">
            <w:pPr>
              <w:spacing w:after="0" w:line="240" w:lineRule="auto"/>
              <w:jc w:val="center"/>
              <w:rPr>
                <w:rFonts w:cs="Calibri"/>
                <w:lang w:val="en-GB"/>
              </w:rPr>
            </w:pPr>
            <w:r w:rsidRPr="005976A1">
              <w:rPr>
                <w:rFonts w:cs="Calibri"/>
                <w:b/>
                <w:bCs/>
                <w:i/>
                <w:lang w:val="en-GB"/>
              </w:rPr>
              <w:t>E</w:t>
            </w:r>
            <w:r w:rsidRPr="005976A1">
              <w:rPr>
                <w:rFonts w:cs="Calibri"/>
                <w:b/>
                <w:bCs/>
                <w:vertAlign w:val="subscript"/>
                <w:lang w:val="en-GB"/>
              </w:rPr>
              <w:t xml:space="preserve">0−0 </w:t>
            </w:r>
            <w:r w:rsidRPr="005976A1">
              <w:rPr>
                <w:rFonts w:cs="Calibri"/>
                <w:b/>
                <w:bCs/>
                <w:lang w:val="en-GB"/>
              </w:rPr>
              <w:t>(eV)</w:t>
            </w:r>
            <w:r w:rsidRPr="005976A1">
              <w:rPr>
                <w:rFonts w:cs="Calibri"/>
                <w:b/>
                <w:bCs/>
                <w:vertAlign w:val="superscript"/>
                <w:lang w:val="en-GB"/>
              </w:rPr>
              <w:t>e</w:t>
            </w:r>
          </w:p>
        </w:tc>
        <w:tc>
          <w:tcPr>
            <w:tcW w:w="793" w:type="dxa"/>
            <w:tcBorders>
              <w:top w:val="single" w:sz="12" w:space="0" w:color="auto"/>
              <w:bottom w:val="single" w:sz="12" w:space="0" w:color="auto"/>
            </w:tcBorders>
            <w:shd w:val="clear" w:color="auto" w:fill="auto"/>
          </w:tcPr>
          <w:p w14:paraId="1A0B1267" w14:textId="77777777" w:rsidR="00AB31D4" w:rsidRPr="005976A1" w:rsidRDefault="00AB31D4" w:rsidP="00E074DC">
            <w:pPr>
              <w:spacing w:after="0" w:line="240" w:lineRule="auto"/>
              <w:jc w:val="center"/>
              <w:rPr>
                <w:rFonts w:cs="Calibri"/>
                <w:b/>
                <w:bCs/>
                <w:lang w:val="en-GB"/>
              </w:rPr>
            </w:pPr>
            <w:r w:rsidRPr="005976A1">
              <w:rPr>
                <w:rFonts w:cs="Calibri"/>
                <w:b/>
                <w:bCs/>
                <w:i/>
                <w:lang w:val="en-GB"/>
              </w:rPr>
              <w:t>E</w:t>
            </w:r>
            <w:r w:rsidRPr="005976A1">
              <w:rPr>
                <w:rFonts w:cs="Calibri"/>
                <w:b/>
                <w:bCs/>
                <w:vertAlign w:val="subscript"/>
                <w:lang w:val="en-GB"/>
              </w:rPr>
              <w:t>1/2</w:t>
            </w:r>
            <w:r w:rsidRPr="005976A1">
              <w:rPr>
                <w:rFonts w:cs="Calibri"/>
                <w:b/>
                <w:bCs/>
                <w:lang w:val="en-GB"/>
              </w:rPr>
              <w:t>(V)</w:t>
            </w:r>
          </w:p>
          <w:p w14:paraId="35CDCBD7" w14:textId="77777777" w:rsidR="00AB31D4" w:rsidRPr="005976A1" w:rsidRDefault="00AB31D4" w:rsidP="00E074DC">
            <w:pPr>
              <w:spacing w:after="0" w:line="240" w:lineRule="auto"/>
              <w:jc w:val="center"/>
              <w:rPr>
                <w:rFonts w:cs="Calibri"/>
                <w:b/>
                <w:bCs/>
                <w:vertAlign w:val="superscript"/>
                <w:lang w:val="en-GB"/>
              </w:rPr>
            </w:pPr>
            <w:r w:rsidRPr="005976A1">
              <w:rPr>
                <w:rFonts w:cs="Calibri"/>
                <w:b/>
                <w:bCs/>
                <w:lang w:val="en-GB"/>
              </w:rPr>
              <w:t>vs. NHE</w:t>
            </w:r>
            <w:r w:rsidRPr="005976A1">
              <w:rPr>
                <w:rFonts w:cs="Calibri"/>
                <w:b/>
                <w:bCs/>
                <w:vertAlign w:val="superscript"/>
                <w:lang w:val="en-GB"/>
              </w:rPr>
              <w:t>f</w:t>
            </w:r>
          </w:p>
        </w:tc>
        <w:tc>
          <w:tcPr>
            <w:tcW w:w="813" w:type="dxa"/>
            <w:tcBorders>
              <w:top w:val="single" w:sz="12" w:space="0" w:color="auto"/>
              <w:bottom w:val="single" w:sz="12" w:space="0" w:color="auto"/>
            </w:tcBorders>
            <w:shd w:val="clear" w:color="auto" w:fill="auto"/>
          </w:tcPr>
          <w:p w14:paraId="3311C974" w14:textId="77777777" w:rsidR="00AB31D4" w:rsidRPr="005976A1" w:rsidRDefault="00AB31D4" w:rsidP="00E074DC">
            <w:pPr>
              <w:spacing w:after="0" w:line="240" w:lineRule="auto"/>
              <w:jc w:val="center"/>
              <w:rPr>
                <w:rFonts w:cs="Calibri"/>
                <w:b/>
                <w:bCs/>
                <w:i/>
                <w:vertAlign w:val="subscript"/>
                <w:lang w:val="en-GB"/>
              </w:rPr>
            </w:pPr>
            <w:r w:rsidRPr="005976A1">
              <w:rPr>
                <w:rFonts w:cs="Calibri"/>
                <w:b/>
                <w:bCs/>
                <w:i/>
                <w:lang w:val="en-GB"/>
              </w:rPr>
              <w:t>E</w:t>
            </w:r>
            <w:r w:rsidRPr="005976A1">
              <w:rPr>
                <w:rFonts w:cs="Calibri"/>
                <w:b/>
                <w:bCs/>
                <w:i/>
                <w:vertAlign w:val="subscript"/>
                <w:lang w:val="en-GB"/>
              </w:rPr>
              <w:t>oxd</w:t>
            </w:r>
          </w:p>
          <w:p w14:paraId="4C6A3285" w14:textId="77777777" w:rsidR="00AB31D4" w:rsidRPr="005976A1" w:rsidRDefault="00AB31D4" w:rsidP="00E074DC">
            <w:pPr>
              <w:spacing w:after="0" w:line="240" w:lineRule="auto"/>
              <w:jc w:val="center"/>
              <w:rPr>
                <w:rFonts w:cs="Calibri"/>
                <w:lang w:val="en-GB"/>
              </w:rPr>
            </w:pPr>
            <w:r w:rsidRPr="005976A1">
              <w:rPr>
                <w:rFonts w:cs="Calibri"/>
                <w:b/>
                <w:bCs/>
                <w:i/>
                <w:vertAlign w:val="superscript"/>
                <w:lang w:val="en-GB"/>
              </w:rPr>
              <w:t>*</w:t>
            </w:r>
            <w:r w:rsidRPr="005976A1">
              <w:rPr>
                <w:rFonts w:cs="Calibri"/>
                <w:b/>
                <w:bCs/>
                <w:i/>
                <w:lang w:val="en-GB"/>
              </w:rPr>
              <w:t>(V)</w:t>
            </w:r>
          </w:p>
        </w:tc>
      </w:tr>
      <w:tr w:rsidR="00AB31D4" w:rsidRPr="005976A1" w14:paraId="3C484A27" w14:textId="77777777" w:rsidTr="00E074DC">
        <w:trPr>
          <w:trHeight w:val="737"/>
        </w:trPr>
        <w:tc>
          <w:tcPr>
            <w:tcW w:w="1135" w:type="dxa"/>
            <w:tcBorders>
              <w:top w:val="single" w:sz="12" w:space="0" w:color="auto"/>
              <w:bottom w:val="nil"/>
            </w:tcBorders>
            <w:shd w:val="clear" w:color="auto" w:fill="auto"/>
          </w:tcPr>
          <w:p w14:paraId="066A0C0E"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LG5</w:t>
            </w:r>
          </w:p>
        </w:tc>
        <w:tc>
          <w:tcPr>
            <w:tcW w:w="1276" w:type="dxa"/>
            <w:tcBorders>
              <w:top w:val="single" w:sz="12" w:space="0" w:color="auto"/>
              <w:bottom w:val="nil"/>
            </w:tcBorders>
            <w:shd w:val="clear" w:color="auto" w:fill="auto"/>
          </w:tcPr>
          <w:p w14:paraId="2D5D215F"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467 (5.20)</w:t>
            </w:r>
          </w:p>
          <w:p w14:paraId="68D5FA66"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687 (4.85)</w:t>
            </w:r>
          </w:p>
        </w:tc>
        <w:tc>
          <w:tcPr>
            <w:tcW w:w="1134" w:type="dxa"/>
            <w:tcBorders>
              <w:top w:val="single" w:sz="12" w:space="0" w:color="auto"/>
              <w:bottom w:val="nil"/>
            </w:tcBorders>
            <w:shd w:val="clear" w:color="auto" w:fill="auto"/>
          </w:tcPr>
          <w:p w14:paraId="73F4006E"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688</w:t>
            </w:r>
          </w:p>
          <w:p w14:paraId="72C172F2"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(0.27)</w:t>
            </w:r>
          </w:p>
        </w:tc>
        <w:tc>
          <w:tcPr>
            <w:tcW w:w="1134" w:type="dxa"/>
            <w:tcBorders>
              <w:top w:val="single" w:sz="12" w:space="0" w:color="auto"/>
              <w:bottom w:val="nil"/>
            </w:tcBorders>
            <w:shd w:val="clear" w:color="auto" w:fill="auto"/>
          </w:tcPr>
          <w:p w14:paraId="026398D7"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w:t>
            </w:r>
          </w:p>
        </w:tc>
        <w:tc>
          <w:tcPr>
            <w:tcW w:w="992" w:type="dxa"/>
            <w:tcBorders>
              <w:top w:val="single" w:sz="12" w:space="0" w:color="auto"/>
              <w:bottom w:val="nil"/>
            </w:tcBorders>
            <w:shd w:val="clear" w:color="auto" w:fill="auto"/>
          </w:tcPr>
          <w:p w14:paraId="41EB2B60"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w:t>
            </w:r>
          </w:p>
        </w:tc>
        <w:tc>
          <w:tcPr>
            <w:tcW w:w="851" w:type="dxa"/>
            <w:tcBorders>
              <w:top w:val="single" w:sz="12" w:space="0" w:color="auto"/>
              <w:bottom w:val="nil"/>
            </w:tcBorders>
            <w:shd w:val="clear" w:color="auto" w:fill="auto"/>
          </w:tcPr>
          <w:p w14:paraId="75EBCF5A"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w:t>
            </w:r>
          </w:p>
        </w:tc>
        <w:tc>
          <w:tcPr>
            <w:tcW w:w="1272" w:type="dxa"/>
            <w:tcBorders>
              <w:top w:val="single" w:sz="12" w:space="0" w:color="auto"/>
              <w:bottom w:val="nil"/>
            </w:tcBorders>
            <w:shd w:val="clear" w:color="auto" w:fill="auto"/>
          </w:tcPr>
          <w:p w14:paraId="727E997E"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1.64 ,(66)</w:t>
            </w:r>
          </w:p>
          <w:p w14:paraId="7DD362E4"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1.75 (34)</w:t>
            </w:r>
          </w:p>
        </w:tc>
        <w:tc>
          <w:tcPr>
            <w:tcW w:w="665" w:type="dxa"/>
            <w:tcBorders>
              <w:top w:val="single" w:sz="12" w:space="0" w:color="auto"/>
              <w:bottom w:val="nil"/>
            </w:tcBorders>
            <w:shd w:val="clear" w:color="auto" w:fill="auto"/>
          </w:tcPr>
          <w:p w14:paraId="3185C93A"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1.80</w:t>
            </w:r>
          </w:p>
        </w:tc>
        <w:tc>
          <w:tcPr>
            <w:tcW w:w="793" w:type="dxa"/>
            <w:tcBorders>
              <w:top w:val="single" w:sz="12" w:space="0" w:color="auto"/>
              <w:bottom w:val="nil"/>
            </w:tcBorders>
            <w:shd w:val="clear" w:color="auto" w:fill="auto"/>
          </w:tcPr>
          <w:p w14:paraId="74858E68"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1.06</w:t>
            </w:r>
          </w:p>
        </w:tc>
        <w:tc>
          <w:tcPr>
            <w:tcW w:w="813" w:type="dxa"/>
            <w:tcBorders>
              <w:top w:val="single" w:sz="12" w:space="0" w:color="auto"/>
              <w:bottom w:val="nil"/>
            </w:tcBorders>
            <w:shd w:val="clear" w:color="auto" w:fill="auto"/>
          </w:tcPr>
          <w:p w14:paraId="42B531E7"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-0.98</w:t>
            </w:r>
          </w:p>
        </w:tc>
      </w:tr>
      <w:tr w:rsidR="00AB31D4" w:rsidRPr="005976A1" w14:paraId="6CF76B65" w14:textId="77777777" w:rsidTr="00E074DC">
        <w:trPr>
          <w:trHeight w:val="737"/>
        </w:trPr>
        <w:tc>
          <w:tcPr>
            <w:tcW w:w="1135" w:type="dxa"/>
            <w:tcBorders>
              <w:top w:val="nil"/>
              <w:bottom w:val="nil"/>
            </w:tcBorders>
            <w:shd w:val="clear" w:color="auto" w:fill="auto"/>
          </w:tcPr>
          <w:p w14:paraId="3C518ED6" w14:textId="77777777" w:rsidR="00AB31D4" w:rsidRPr="005976A1" w:rsidRDefault="00AB31D4" w:rsidP="00E074DC">
            <w:pPr>
              <w:spacing w:after="0" w:line="240" w:lineRule="auto"/>
              <w:jc w:val="center"/>
              <w:rPr>
                <w:rFonts w:cs="Calibri"/>
                <w:b/>
                <w:sz w:val="24"/>
                <w:szCs w:val="24"/>
                <w:lang w:val="en-GB"/>
              </w:rPr>
            </w:pPr>
            <w:r w:rsidRPr="005976A1">
              <w:rPr>
                <w:rFonts w:cs="Calibri"/>
                <w:b/>
                <w:sz w:val="24"/>
                <w:szCs w:val="24"/>
                <w:lang w:val="en-GB"/>
              </w:rPr>
              <w:t>LG 28</w:t>
            </w:r>
          </w:p>
        </w:tc>
        <w:tc>
          <w:tcPr>
            <w:tcW w:w="1276" w:type="dxa"/>
            <w:tcBorders>
              <w:top w:val="nil"/>
              <w:bottom w:val="nil"/>
            </w:tcBorders>
            <w:shd w:val="clear" w:color="auto" w:fill="auto"/>
          </w:tcPr>
          <w:p w14:paraId="1FE18B53" w14:textId="77777777" w:rsidR="00AB31D4" w:rsidRPr="005976A1" w:rsidRDefault="00AB31D4" w:rsidP="00E074DC">
            <w:pPr>
              <w:spacing w:after="0" w:line="240" w:lineRule="auto"/>
              <w:jc w:val="center"/>
              <w:rPr>
                <w:rFonts w:cs="Calibri"/>
                <w:sz w:val="24"/>
                <w:szCs w:val="24"/>
                <w:lang w:val="en-IN"/>
              </w:rPr>
            </w:pPr>
            <w:r w:rsidRPr="005976A1">
              <w:rPr>
                <w:rFonts w:cs="Calibri"/>
                <w:sz w:val="24"/>
                <w:szCs w:val="24"/>
                <w:lang w:val="en-IN"/>
              </w:rPr>
              <w:t>464 (5.90)</w:t>
            </w:r>
          </w:p>
          <w:p w14:paraId="2AAAB1FD" w14:textId="77777777" w:rsidR="00AB31D4" w:rsidRPr="005976A1" w:rsidRDefault="00AB31D4" w:rsidP="00E074DC">
            <w:pPr>
              <w:spacing w:after="0" w:line="240" w:lineRule="auto"/>
              <w:jc w:val="center"/>
              <w:rPr>
                <w:rFonts w:cs="Calibri"/>
                <w:sz w:val="24"/>
                <w:szCs w:val="24"/>
                <w:lang w:val="en-IN"/>
              </w:rPr>
            </w:pPr>
            <w:r w:rsidRPr="005976A1">
              <w:rPr>
                <w:rFonts w:cs="Calibri"/>
                <w:sz w:val="24"/>
                <w:szCs w:val="24"/>
                <w:lang w:val="en-IN"/>
              </w:rPr>
              <w:t>678 (5.34)</w:t>
            </w:r>
          </w:p>
        </w:tc>
        <w:tc>
          <w:tcPr>
            <w:tcW w:w="1134" w:type="dxa"/>
            <w:tcBorders>
              <w:top w:val="nil"/>
              <w:bottom w:val="nil"/>
            </w:tcBorders>
            <w:shd w:val="clear" w:color="auto" w:fill="auto"/>
          </w:tcPr>
          <w:p w14:paraId="717B11A5" w14:textId="77777777" w:rsidR="00AB31D4" w:rsidRPr="005976A1" w:rsidRDefault="00AB31D4" w:rsidP="00E074DC">
            <w:pPr>
              <w:spacing w:after="0" w:line="240" w:lineRule="auto"/>
              <w:jc w:val="center"/>
              <w:rPr>
                <w:rFonts w:cs="Calibri"/>
                <w:sz w:val="24"/>
                <w:szCs w:val="24"/>
                <w:lang w:val="en-IN"/>
              </w:rPr>
            </w:pPr>
            <w:r w:rsidRPr="005976A1">
              <w:rPr>
                <w:rFonts w:cs="Calibri"/>
                <w:sz w:val="24"/>
                <w:szCs w:val="24"/>
                <w:lang w:val="en-IN"/>
              </w:rPr>
              <w:t>707</w:t>
            </w:r>
          </w:p>
          <w:p w14:paraId="1960E5DF" w14:textId="77777777" w:rsidR="00AB31D4" w:rsidRPr="005976A1" w:rsidRDefault="00D41ED0" w:rsidP="00E074DC">
            <w:pPr>
              <w:spacing w:after="0" w:line="240" w:lineRule="auto"/>
              <w:jc w:val="center"/>
              <w:rPr>
                <w:rFonts w:cs="Calibri"/>
                <w:sz w:val="24"/>
                <w:szCs w:val="24"/>
                <w:lang w:val="en-IN"/>
              </w:rPr>
            </w:pPr>
            <w:r w:rsidRPr="005976A1">
              <w:rPr>
                <w:rFonts w:cs="Calibri"/>
                <w:bCs/>
                <w:sz w:val="24"/>
                <w:szCs w:val="24"/>
                <w:lang w:val="en-IN"/>
              </w:rPr>
              <w:t>(0.26</w:t>
            </w:r>
            <w:r w:rsidR="00AB31D4" w:rsidRPr="005976A1">
              <w:rPr>
                <w:rFonts w:cs="Calibri"/>
                <w:bCs/>
                <w:sz w:val="24"/>
                <w:szCs w:val="24"/>
                <w:lang w:val="en-IN"/>
              </w:rPr>
              <w:t>)</w:t>
            </w:r>
          </w:p>
        </w:tc>
        <w:tc>
          <w:tcPr>
            <w:tcW w:w="1134" w:type="dxa"/>
            <w:tcBorders>
              <w:top w:val="nil"/>
              <w:bottom w:val="nil"/>
            </w:tcBorders>
            <w:shd w:val="clear" w:color="auto" w:fill="auto"/>
          </w:tcPr>
          <w:p w14:paraId="355F6A76"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5.9± 0.7</w:t>
            </w:r>
          </w:p>
          <w:p w14:paraId="28841187"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(-100)</w:t>
            </w:r>
          </w:p>
        </w:tc>
        <w:tc>
          <w:tcPr>
            <w:tcW w:w="992" w:type="dxa"/>
            <w:tcBorders>
              <w:top w:val="nil"/>
              <w:bottom w:val="nil"/>
            </w:tcBorders>
            <w:shd w:val="clear" w:color="auto" w:fill="auto"/>
          </w:tcPr>
          <w:p w14:paraId="6DA127A8"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225±17</w:t>
            </w:r>
          </w:p>
          <w:p w14:paraId="5A7B3A09"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(84)</w:t>
            </w:r>
          </w:p>
        </w:tc>
        <w:tc>
          <w:tcPr>
            <w:tcW w:w="851" w:type="dxa"/>
            <w:tcBorders>
              <w:top w:val="nil"/>
              <w:bottom w:val="nil"/>
            </w:tcBorders>
            <w:shd w:val="clear" w:color="auto" w:fill="auto"/>
          </w:tcPr>
          <w:p w14:paraId="446E5B96"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sym w:font="Symbol" w:char="F040"/>
            </w:r>
            <w:r w:rsidRPr="005976A1">
              <w:rPr>
                <w:rFonts w:cs="Calibri"/>
                <w:bCs/>
                <w:sz w:val="24"/>
                <w:szCs w:val="24"/>
                <w:lang w:val="en-IN"/>
              </w:rPr>
              <w:t>1.9</w:t>
            </w:r>
          </w:p>
          <w:p w14:paraId="58BC6E0B"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(16)</w:t>
            </w:r>
          </w:p>
        </w:tc>
        <w:tc>
          <w:tcPr>
            <w:tcW w:w="1272" w:type="dxa"/>
            <w:tcBorders>
              <w:top w:val="nil"/>
              <w:bottom w:val="nil"/>
            </w:tcBorders>
            <w:shd w:val="clear" w:color="auto" w:fill="auto"/>
          </w:tcPr>
          <w:p w14:paraId="4FD6930E"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1.88 (60)</w:t>
            </w:r>
          </w:p>
          <w:p w14:paraId="75D471F9" w14:textId="77777777" w:rsidR="00AB31D4" w:rsidRPr="005976A1" w:rsidRDefault="00AB31D4" w:rsidP="00E074DC">
            <w:pPr>
              <w:spacing w:after="0" w:line="240" w:lineRule="auto"/>
              <w:jc w:val="center"/>
              <w:rPr>
                <w:rFonts w:cs="Calibri"/>
                <w:b/>
                <w:bCs/>
                <w:sz w:val="24"/>
                <w:szCs w:val="24"/>
                <w:lang w:val="en-IN"/>
              </w:rPr>
            </w:pPr>
            <w:r w:rsidRPr="005976A1">
              <w:rPr>
                <w:rFonts w:cs="Calibri"/>
                <w:sz w:val="24"/>
                <w:szCs w:val="24"/>
                <w:lang w:val="en-GB"/>
              </w:rPr>
              <w:t>0.50 (40)</w:t>
            </w:r>
          </w:p>
        </w:tc>
        <w:tc>
          <w:tcPr>
            <w:tcW w:w="665" w:type="dxa"/>
            <w:tcBorders>
              <w:top w:val="nil"/>
              <w:bottom w:val="nil"/>
            </w:tcBorders>
            <w:shd w:val="clear" w:color="auto" w:fill="auto"/>
          </w:tcPr>
          <w:p w14:paraId="72256141"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1.84</w:t>
            </w:r>
          </w:p>
        </w:tc>
        <w:tc>
          <w:tcPr>
            <w:tcW w:w="793" w:type="dxa"/>
            <w:tcBorders>
              <w:top w:val="nil"/>
              <w:bottom w:val="nil"/>
            </w:tcBorders>
            <w:shd w:val="clear" w:color="auto" w:fill="auto"/>
          </w:tcPr>
          <w:p w14:paraId="1F10E7F0"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1.06</w:t>
            </w:r>
          </w:p>
        </w:tc>
        <w:tc>
          <w:tcPr>
            <w:tcW w:w="813" w:type="dxa"/>
            <w:tcBorders>
              <w:top w:val="nil"/>
              <w:bottom w:val="nil"/>
            </w:tcBorders>
            <w:shd w:val="clear" w:color="auto" w:fill="auto"/>
          </w:tcPr>
          <w:p w14:paraId="669E9643"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-1.02</w:t>
            </w:r>
          </w:p>
        </w:tc>
      </w:tr>
      <w:tr w:rsidR="00AB31D4" w:rsidRPr="005976A1" w14:paraId="3790FB43" w14:textId="77777777" w:rsidTr="00E074DC">
        <w:trPr>
          <w:trHeight w:val="737"/>
        </w:trPr>
        <w:tc>
          <w:tcPr>
            <w:tcW w:w="1135" w:type="dxa"/>
            <w:tcBorders>
              <w:top w:val="nil"/>
              <w:bottom w:val="nil"/>
            </w:tcBorders>
            <w:shd w:val="clear" w:color="auto" w:fill="auto"/>
          </w:tcPr>
          <w:p w14:paraId="6ADFE079" w14:textId="77777777" w:rsidR="00AB31D4" w:rsidRPr="005976A1" w:rsidRDefault="00AB31D4" w:rsidP="00E074DC">
            <w:pPr>
              <w:spacing w:after="0" w:line="240" w:lineRule="auto"/>
              <w:jc w:val="center"/>
              <w:rPr>
                <w:rFonts w:cs="Calibri"/>
                <w:b/>
                <w:sz w:val="24"/>
                <w:szCs w:val="24"/>
                <w:lang w:val="en-GB"/>
              </w:rPr>
            </w:pPr>
            <w:r w:rsidRPr="005976A1">
              <w:rPr>
                <w:rFonts w:cs="Calibri"/>
                <w:b/>
                <w:sz w:val="24"/>
                <w:szCs w:val="24"/>
                <w:lang w:val="en-GB"/>
              </w:rPr>
              <w:t>LG 28+TiO</w:t>
            </w:r>
            <w:r w:rsidRPr="005976A1">
              <w:rPr>
                <w:rFonts w:cs="Calibri"/>
                <w:b/>
                <w:sz w:val="24"/>
                <w:szCs w:val="24"/>
                <w:vertAlign w:val="subscript"/>
                <w:lang w:val="en-GB"/>
              </w:rPr>
              <w:t>2</w:t>
            </w:r>
          </w:p>
        </w:tc>
        <w:tc>
          <w:tcPr>
            <w:tcW w:w="1276" w:type="dxa"/>
            <w:tcBorders>
              <w:top w:val="nil"/>
              <w:bottom w:val="nil"/>
            </w:tcBorders>
            <w:shd w:val="clear" w:color="auto" w:fill="auto"/>
          </w:tcPr>
          <w:p w14:paraId="29B3799F" w14:textId="77777777" w:rsidR="00AB31D4" w:rsidRPr="005976A1" w:rsidRDefault="00AB31D4" w:rsidP="00E074DC">
            <w:pPr>
              <w:spacing w:after="0" w:line="240" w:lineRule="auto"/>
              <w:jc w:val="center"/>
              <w:rPr>
                <w:rFonts w:cs="Calibri"/>
                <w:sz w:val="24"/>
                <w:szCs w:val="24"/>
                <w:lang w:val="en-IN"/>
              </w:rPr>
            </w:pPr>
            <w:r w:rsidRPr="005976A1">
              <w:rPr>
                <w:rFonts w:cs="Calibri"/>
                <w:sz w:val="24"/>
                <w:szCs w:val="24"/>
                <w:lang w:val="en-IN"/>
              </w:rPr>
              <w:t>461</w:t>
            </w:r>
          </w:p>
          <w:p w14:paraId="654D7F62" w14:textId="77777777" w:rsidR="00AB31D4" w:rsidRPr="005976A1" w:rsidRDefault="00AB31D4" w:rsidP="00E074DC">
            <w:pPr>
              <w:spacing w:after="0" w:line="240" w:lineRule="auto"/>
              <w:jc w:val="center"/>
              <w:rPr>
                <w:rFonts w:cs="Calibri"/>
                <w:sz w:val="24"/>
                <w:szCs w:val="24"/>
                <w:lang w:val="en-IN"/>
              </w:rPr>
            </w:pPr>
            <w:r w:rsidRPr="005976A1">
              <w:rPr>
                <w:rFonts w:cs="Calibri"/>
                <w:sz w:val="24"/>
                <w:szCs w:val="24"/>
                <w:lang w:val="en-IN"/>
              </w:rPr>
              <w:t>673</w:t>
            </w:r>
          </w:p>
        </w:tc>
        <w:tc>
          <w:tcPr>
            <w:tcW w:w="1134" w:type="dxa"/>
            <w:tcBorders>
              <w:top w:val="nil"/>
              <w:bottom w:val="nil"/>
            </w:tcBorders>
            <w:shd w:val="clear" w:color="auto" w:fill="auto"/>
          </w:tcPr>
          <w:p w14:paraId="691CBC66" w14:textId="77777777" w:rsidR="00AB31D4" w:rsidRPr="005976A1" w:rsidRDefault="00AB31D4" w:rsidP="00E074DC">
            <w:pPr>
              <w:spacing w:after="0" w:line="240" w:lineRule="auto"/>
              <w:jc w:val="center"/>
              <w:rPr>
                <w:rFonts w:cs="Calibri"/>
                <w:sz w:val="24"/>
                <w:szCs w:val="24"/>
                <w:lang w:val="en-IN"/>
              </w:rPr>
            </w:pPr>
            <w:r w:rsidRPr="005976A1">
              <w:rPr>
                <w:rFonts w:cs="Calibri"/>
                <w:sz w:val="24"/>
                <w:szCs w:val="24"/>
                <w:lang w:val="en-IN"/>
              </w:rPr>
              <w:t>------</w:t>
            </w:r>
          </w:p>
        </w:tc>
        <w:tc>
          <w:tcPr>
            <w:tcW w:w="1134" w:type="dxa"/>
            <w:tcBorders>
              <w:top w:val="nil"/>
              <w:bottom w:val="nil"/>
            </w:tcBorders>
            <w:shd w:val="clear" w:color="auto" w:fill="auto"/>
          </w:tcPr>
          <w:p w14:paraId="0E74812E"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0.6 ±0.07</w:t>
            </w:r>
          </w:p>
          <w:p w14:paraId="268C794F"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(-100)</w:t>
            </w:r>
          </w:p>
        </w:tc>
        <w:tc>
          <w:tcPr>
            <w:tcW w:w="992" w:type="dxa"/>
            <w:tcBorders>
              <w:top w:val="nil"/>
              <w:bottom w:val="nil"/>
            </w:tcBorders>
            <w:shd w:val="clear" w:color="auto" w:fill="auto"/>
          </w:tcPr>
          <w:p w14:paraId="76169CFE"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23±3</w:t>
            </w:r>
          </w:p>
          <w:p w14:paraId="5C91BF8C"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(50)</w:t>
            </w:r>
          </w:p>
        </w:tc>
        <w:tc>
          <w:tcPr>
            <w:tcW w:w="851" w:type="dxa"/>
            <w:tcBorders>
              <w:top w:val="nil"/>
              <w:bottom w:val="nil"/>
            </w:tcBorders>
            <w:shd w:val="clear" w:color="auto" w:fill="auto"/>
          </w:tcPr>
          <w:p w14:paraId="5E6E40B0"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sym w:font="Symbol" w:char="F040"/>
            </w:r>
            <w:r w:rsidRPr="005976A1">
              <w:rPr>
                <w:rFonts w:cs="Calibri"/>
                <w:bCs/>
                <w:sz w:val="24"/>
                <w:szCs w:val="24"/>
                <w:lang w:val="en-IN"/>
              </w:rPr>
              <w:t>0.5</w:t>
            </w:r>
          </w:p>
          <w:p w14:paraId="46B4902E"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(50)</w:t>
            </w:r>
          </w:p>
        </w:tc>
        <w:tc>
          <w:tcPr>
            <w:tcW w:w="1272" w:type="dxa"/>
            <w:tcBorders>
              <w:top w:val="nil"/>
              <w:bottom w:val="nil"/>
            </w:tcBorders>
            <w:shd w:val="clear" w:color="auto" w:fill="auto"/>
          </w:tcPr>
          <w:p w14:paraId="180C124D"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w:t>
            </w:r>
          </w:p>
        </w:tc>
        <w:tc>
          <w:tcPr>
            <w:tcW w:w="665" w:type="dxa"/>
            <w:tcBorders>
              <w:top w:val="nil"/>
              <w:bottom w:val="nil"/>
            </w:tcBorders>
            <w:shd w:val="clear" w:color="auto" w:fill="auto"/>
          </w:tcPr>
          <w:p w14:paraId="2226C26E" w14:textId="77777777" w:rsidR="00AB31D4" w:rsidRPr="005976A1" w:rsidRDefault="00AB31D4" w:rsidP="00E074DC">
            <w:pPr>
              <w:spacing w:after="0" w:line="240" w:lineRule="auto"/>
              <w:jc w:val="center"/>
              <w:rPr>
                <w:rFonts w:cs="Calibri"/>
                <w:sz w:val="24"/>
                <w:szCs w:val="24"/>
                <w:lang w:val="en-GB"/>
              </w:rPr>
            </w:pPr>
            <w:r w:rsidRPr="005976A1">
              <w:rPr>
                <w:rFonts w:cs="Calibri"/>
                <w:bCs/>
                <w:sz w:val="24"/>
                <w:szCs w:val="24"/>
                <w:lang w:val="en-IN"/>
              </w:rPr>
              <w:t>------</w:t>
            </w:r>
          </w:p>
        </w:tc>
        <w:tc>
          <w:tcPr>
            <w:tcW w:w="793" w:type="dxa"/>
            <w:tcBorders>
              <w:top w:val="nil"/>
              <w:bottom w:val="nil"/>
            </w:tcBorders>
            <w:shd w:val="clear" w:color="auto" w:fill="auto"/>
          </w:tcPr>
          <w:p w14:paraId="43FDC11D" w14:textId="77777777" w:rsidR="00AB31D4" w:rsidRPr="005976A1" w:rsidRDefault="00AB31D4" w:rsidP="00E074DC">
            <w:pPr>
              <w:spacing w:after="0" w:line="240" w:lineRule="auto"/>
              <w:jc w:val="center"/>
              <w:rPr>
                <w:rFonts w:cs="Calibri"/>
                <w:sz w:val="24"/>
                <w:szCs w:val="24"/>
                <w:lang w:val="en-GB"/>
              </w:rPr>
            </w:pPr>
            <w:r w:rsidRPr="005976A1">
              <w:rPr>
                <w:rFonts w:cs="Calibri"/>
                <w:bCs/>
                <w:sz w:val="24"/>
                <w:szCs w:val="24"/>
                <w:lang w:val="en-IN"/>
              </w:rPr>
              <w:t>------</w:t>
            </w:r>
          </w:p>
        </w:tc>
        <w:tc>
          <w:tcPr>
            <w:tcW w:w="813" w:type="dxa"/>
            <w:tcBorders>
              <w:top w:val="nil"/>
              <w:bottom w:val="nil"/>
            </w:tcBorders>
            <w:shd w:val="clear" w:color="auto" w:fill="auto"/>
          </w:tcPr>
          <w:p w14:paraId="78E6567D" w14:textId="77777777" w:rsidR="00AB31D4" w:rsidRPr="005976A1" w:rsidRDefault="00AB31D4" w:rsidP="00E074DC">
            <w:pPr>
              <w:spacing w:after="0" w:line="240" w:lineRule="auto"/>
              <w:jc w:val="center"/>
              <w:rPr>
                <w:rFonts w:cs="Calibri"/>
                <w:sz w:val="24"/>
                <w:szCs w:val="24"/>
                <w:lang w:val="en-GB"/>
              </w:rPr>
            </w:pPr>
            <w:r w:rsidRPr="005976A1">
              <w:rPr>
                <w:rFonts w:cs="Calibri"/>
                <w:bCs/>
                <w:sz w:val="24"/>
                <w:szCs w:val="24"/>
                <w:lang w:val="en-IN"/>
              </w:rPr>
              <w:t>------</w:t>
            </w:r>
          </w:p>
        </w:tc>
      </w:tr>
      <w:tr w:rsidR="00AB31D4" w:rsidRPr="005976A1" w14:paraId="2A299363" w14:textId="77777777" w:rsidTr="00E074DC">
        <w:trPr>
          <w:trHeight w:val="737"/>
        </w:trPr>
        <w:tc>
          <w:tcPr>
            <w:tcW w:w="1135" w:type="dxa"/>
            <w:tcBorders>
              <w:top w:val="nil"/>
              <w:bottom w:val="nil"/>
            </w:tcBorders>
            <w:shd w:val="clear" w:color="auto" w:fill="auto"/>
          </w:tcPr>
          <w:p w14:paraId="50040AF0" w14:textId="77777777" w:rsidR="00AB31D4" w:rsidRPr="005976A1" w:rsidRDefault="00AB31D4" w:rsidP="00E074DC">
            <w:pPr>
              <w:spacing w:after="0" w:line="240" w:lineRule="auto"/>
              <w:jc w:val="center"/>
              <w:rPr>
                <w:rFonts w:cs="Calibri"/>
                <w:b/>
                <w:sz w:val="24"/>
                <w:szCs w:val="24"/>
                <w:lang w:val="en-GB"/>
              </w:rPr>
            </w:pPr>
            <w:r w:rsidRPr="005976A1">
              <w:rPr>
                <w:rFonts w:cs="Calibri"/>
                <w:b/>
                <w:sz w:val="24"/>
                <w:szCs w:val="24"/>
                <w:lang w:val="en-GB"/>
              </w:rPr>
              <w:t>LG 29</w:t>
            </w:r>
          </w:p>
        </w:tc>
        <w:tc>
          <w:tcPr>
            <w:tcW w:w="1276" w:type="dxa"/>
            <w:tcBorders>
              <w:top w:val="nil"/>
              <w:bottom w:val="nil"/>
            </w:tcBorders>
            <w:shd w:val="clear" w:color="auto" w:fill="auto"/>
          </w:tcPr>
          <w:p w14:paraId="46246B9C" w14:textId="77777777" w:rsidR="00AB31D4" w:rsidRPr="005976A1" w:rsidRDefault="00AB31D4" w:rsidP="00E074DC">
            <w:pPr>
              <w:spacing w:after="0" w:line="240" w:lineRule="auto"/>
              <w:jc w:val="center"/>
              <w:rPr>
                <w:rFonts w:cs="Calibri"/>
                <w:sz w:val="24"/>
                <w:szCs w:val="24"/>
                <w:lang w:val="en-IN"/>
              </w:rPr>
            </w:pPr>
            <w:r w:rsidRPr="005976A1">
              <w:rPr>
                <w:rFonts w:cs="Calibri"/>
                <w:sz w:val="24"/>
                <w:szCs w:val="24"/>
                <w:lang w:val="en-IN"/>
              </w:rPr>
              <w:t>464 (6.00)</w:t>
            </w:r>
          </w:p>
          <w:p w14:paraId="7E411204" w14:textId="77777777" w:rsidR="00AB31D4" w:rsidRPr="005976A1" w:rsidRDefault="00AB31D4" w:rsidP="00E074DC">
            <w:pPr>
              <w:spacing w:after="0" w:line="240" w:lineRule="auto"/>
              <w:jc w:val="center"/>
              <w:rPr>
                <w:rFonts w:cs="Calibri"/>
                <w:sz w:val="24"/>
                <w:szCs w:val="24"/>
                <w:lang w:val="en-IN"/>
              </w:rPr>
            </w:pPr>
            <w:r w:rsidRPr="005976A1">
              <w:rPr>
                <w:rFonts w:cs="Calibri"/>
                <w:sz w:val="24"/>
                <w:szCs w:val="24"/>
                <w:lang w:val="en-IN"/>
              </w:rPr>
              <w:t>683 (5.60)</w:t>
            </w:r>
          </w:p>
        </w:tc>
        <w:tc>
          <w:tcPr>
            <w:tcW w:w="1134" w:type="dxa"/>
            <w:tcBorders>
              <w:top w:val="nil"/>
              <w:bottom w:val="nil"/>
            </w:tcBorders>
            <w:shd w:val="clear" w:color="auto" w:fill="auto"/>
          </w:tcPr>
          <w:p w14:paraId="215D1532" w14:textId="77777777" w:rsidR="00AB31D4" w:rsidRPr="005976A1" w:rsidRDefault="00AB31D4" w:rsidP="00E074DC">
            <w:pPr>
              <w:spacing w:after="0" w:line="240" w:lineRule="auto"/>
              <w:jc w:val="center"/>
              <w:rPr>
                <w:rFonts w:cs="Calibri"/>
                <w:sz w:val="24"/>
                <w:szCs w:val="24"/>
                <w:lang w:val="en-IN"/>
              </w:rPr>
            </w:pPr>
            <w:r w:rsidRPr="005976A1">
              <w:rPr>
                <w:rFonts w:cs="Calibri"/>
                <w:sz w:val="24"/>
                <w:szCs w:val="24"/>
                <w:lang w:val="en-IN"/>
              </w:rPr>
              <w:t>693</w:t>
            </w:r>
          </w:p>
          <w:p w14:paraId="0B02EED1" w14:textId="77777777" w:rsidR="00AB31D4" w:rsidRPr="005976A1" w:rsidRDefault="00D41ED0" w:rsidP="00E074DC">
            <w:pPr>
              <w:spacing w:after="0" w:line="240" w:lineRule="auto"/>
              <w:jc w:val="center"/>
              <w:rPr>
                <w:rFonts w:cs="Calibri"/>
                <w:sz w:val="24"/>
                <w:szCs w:val="24"/>
                <w:lang w:val="en-IN"/>
              </w:rPr>
            </w:pPr>
            <w:r w:rsidRPr="005976A1">
              <w:rPr>
                <w:rFonts w:cs="Calibri"/>
                <w:bCs/>
                <w:sz w:val="24"/>
                <w:szCs w:val="24"/>
                <w:lang w:val="en-IN"/>
              </w:rPr>
              <w:t>(0.27</w:t>
            </w:r>
            <w:r w:rsidR="00AB31D4" w:rsidRPr="005976A1">
              <w:rPr>
                <w:rFonts w:cs="Calibri"/>
                <w:bCs/>
                <w:sz w:val="24"/>
                <w:szCs w:val="24"/>
                <w:lang w:val="en-IN"/>
              </w:rPr>
              <w:t>)</w:t>
            </w:r>
          </w:p>
        </w:tc>
        <w:tc>
          <w:tcPr>
            <w:tcW w:w="1134" w:type="dxa"/>
            <w:tcBorders>
              <w:top w:val="nil"/>
              <w:bottom w:val="nil"/>
            </w:tcBorders>
            <w:shd w:val="clear" w:color="auto" w:fill="auto"/>
          </w:tcPr>
          <w:p w14:paraId="0A907EA1"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0.6±0.03</w:t>
            </w:r>
          </w:p>
          <w:p w14:paraId="64568A87"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(-100)</w:t>
            </w:r>
          </w:p>
        </w:tc>
        <w:tc>
          <w:tcPr>
            <w:tcW w:w="992" w:type="dxa"/>
            <w:tcBorders>
              <w:top w:val="nil"/>
              <w:bottom w:val="nil"/>
            </w:tcBorders>
            <w:shd w:val="clear" w:color="auto" w:fill="auto"/>
          </w:tcPr>
          <w:p w14:paraId="670D450B"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95±5</w:t>
            </w:r>
          </w:p>
          <w:p w14:paraId="031E9556"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(95)</w:t>
            </w:r>
          </w:p>
        </w:tc>
        <w:tc>
          <w:tcPr>
            <w:tcW w:w="851" w:type="dxa"/>
            <w:tcBorders>
              <w:top w:val="nil"/>
              <w:bottom w:val="nil"/>
            </w:tcBorders>
            <w:shd w:val="clear" w:color="auto" w:fill="auto"/>
          </w:tcPr>
          <w:p w14:paraId="4753ABA8"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sym w:font="Symbol" w:char="F040"/>
            </w:r>
            <w:r w:rsidRPr="005976A1">
              <w:rPr>
                <w:rFonts w:cs="Calibri"/>
                <w:bCs/>
                <w:sz w:val="24"/>
                <w:szCs w:val="24"/>
                <w:lang w:val="en-IN"/>
              </w:rPr>
              <w:t>3.0</w:t>
            </w:r>
          </w:p>
          <w:p w14:paraId="6FED1456"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(5)</w:t>
            </w:r>
          </w:p>
        </w:tc>
        <w:tc>
          <w:tcPr>
            <w:tcW w:w="1272" w:type="dxa"/>
            <w:tcBorders>
              <w:top w:val="nil"/>
              <w:bottom w:val="nil"/>
            </w:tcBorders>
            <w:shd w:val="clear" w:color="auto" w:fill="auto"/>
          </w:tcPr>
          <w:p w14:paraId="753222F2"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2.42 (26)</w:t>
            </w:r>
          </w:p>
          <w:p w14:paraId="1F7399EC"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0.20 (24)</w:t>
            </w:r>
          </w:p>
          <w:p w14:paraId="30E4BDE4" w14:textId="77777777" w:rsidR="00AB31D4" w:rsidRPr="005976A1" w:rsidRDefault="00AB31D4" w:rsidP="00E074DC">
            <w:pPr>
              <w:spacing w:after="0" w:line="240" w:lineRule="auto"/>
              <w:jc w:val="center"/>
              <w:rPr>
                <w:rFonts w:cs="Calibri"/>
                <w:b/>
                <w:bCs/>
                <w:sz w:val="24"/>
                <w:szCs w:val="24"/>
                <w:lang w:val="en-IN"/>
              </w:rPr>
            </w:pPr>
            <w:r w:rsidRPr="005976A1">
              <w:rPr>
                <w:rFonts w:cs="Calibri"/>
                <w:sz w:val="24"/>
                <w:szCs w:val="24"/>
                <w:lang w:val="en-GB"/>
              </w:rPr>
              <w:t>0.40 (50)</w:t>
            </w:r>
          </w:p>
        </w:tc>
        <w:tc>
          <w:tcPr>
            <w:tcW w:w="665" w:type="dxa"/>
            <w:tcBorders>
              <w:top w:val="nil"/>
              <w:bottom w:val="nil"/>
            </w:tcBorders>
            <w:shd w:val="clear" w:color="auto" w:fill="auto"/>
          </w:tcPr>
          <w:p w14:paraId="52558E6C"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1.82</w:t>
            </w:r>
          </w:p>
        </w:tc>
        <w:tc>
          <w:tcPr>
            <w:tcW w:w="793" w:type="dxa"/>
            <w:tcBorders>
              <w:top w:val="nil"/>
              <w:bottom w:val="nil"/>
            </w:tcBorders>
            <w:shd w:val="clear" w:color="auto" w:fill="auto"/>
          </w:tcPr>
          <w:p w14:paraId="3745A0B9"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1.08</w:t>
            </w:r>
          </w:p>
        </w:tc>
        <w:tc>
          <w:tcPr>
            <w:tcW w:w="813" w:type="dxa"/>
            <w:tcBorders>
              <w:top w:val="nil"/>
              <w:bottom w:val="nil"/>
            </w:tcBorders>
            <w:shd w:val="clear" w:color="auto" w:fill="auto"/>
          </w:tcPr>
          <w:p w14:paraId="0533AABC" w14:textId="77777777" w:rsidR="00AB31D4" w:rsidRPr="005976A1" w:rsidRDefault="00AB31D4" w:rsidP="00E074DC">
            <w:pPr>
              <w:spacing w:after="0" w:line="240" w:lineRule="auto"/>
              <w:jc w:val="center"/>
              <w:rPr>
                <w:rFonts w:cs="Calibri"/>
                <w:sz w:val="24"/>
                <w:szCs w:val="24"/>
                <w:lang w:val="en-GB"/>
              </w:rPr>
            </w:pPr>
            <w:r w:rsidRPr="005976A1">
              <w:rPr>
                <w:rFonts w:cs="Calibri"/>
                <w:sz w:val="24"/>
                <w:szCs w:val="24"/>
                <w:lang w:val="en-GB"/>
              </w:rPr>
              <w:t>-0.98</w:t>
            </w:r>
          </w:p>
        </w:tc>
      </w:tr>
      <w:tr w:rsidR="00AB31D4" w:rsidRPr="005976A1" w14:paraId="51679C22" w14:textId="77777777" w:rsidTr="00E074DC">
        <w:trPr>
          <w:trHeight w:val="737"/>
        </w:trPr>
        <w:tc>
          <w:tcPr>
            <w:tcW w:w="1135" w:type="dxa"/>
            <w:tcBorders>
              <w:top w:val="nil"/>
              <w:bottom w:val="single" w:sz="12" w:space="0" w:color="auto"/>
            </w:tcBorders>
            <w:shd w:val="clear" w:color="auto" w:fill="auto"/>
          </w:tcPr>
          <w:p w14:paraId="1808136F" w14:textId="77777777" w:rsidR="00AB31D4" w:rsidRPr="005976A1" w:rsidRDefault="00AB31D4" w:rsidP="00E074DC">
            <w:pPr>
              <w:spacing w:after="0" w:line="240" w:lineRule="auto"/>
              <w:jc w:val="center"/>
              <w:rPr>
                <w:rFonts w:cs="Calibri"/>
                <w:b/>
                <w:sz w:val="24"/>
                <w:szCs w:val="24"/>
                <w:lang w:val="en-GB"/>
              </w:rPr>
            </w:pPr>
            <w:r w:rsidRPr="005976A1">
              <w:rPr>
                <w:rFonts w:cs="Calibri"/>
                <w:b/>
                <w:sz w:val="24"/>
                <w:szCs w:val="24"/>
                <w:lang w:val="en-GB"/>
              </w:rPr>
              <w:lastRenderedPageBreak/>
              <w:t>LG 29+TiO</w:t>
            </w:r>
            <w:r w:rsidRPr="005976A1">
              <w:rPr>
                <w:rFonts w:cs="Calibri"/>
                <w:b/>
                <w:sz w:val="24"/>
                <w:szCs w:val="24"/>
                <w:vertAlign w:val="subscript"/>
                <w:lang w:val="en-GB"/>
              </w:rPr>
              <w:t>2</w:t>
            </w:r>
          </w:p>
        </w:tc>
        <w:tc>
          <w:tcPr>
            <w:tcW w:w="1276" w:type="dxa"/>
            <w:tcBorders>
              <w:top w:val="nil"/>
              <w:bottom w:val="single" w:sz="12" w:space="0" w:color="auto"/>
            </w:tcBorders>
            <w:shd w:val="clear" w:color="auto" w:fill="auto"/>
          </w:tcPr>
          <w:p w14:paraId="08DE5455" w14:textId="77777777" w:rsidR="00AB31D4" w:rsidRPr="005976A1" w:rsidRDefault="00AB31D4" w:rsidP="00E074DC">
            <w:pPr>
              <w:spacing w:after="0" w:line="240" w:lineRule="auto"/>
              <w:jc w:val="center"/>
              <w:rPr>
                <w:rFonts w:cs="Calibri"/>
                <w:sz w:val="24"/>
                <w:szCs w:val="24"/>
                <w:lang w:val="en-IN"/>
              </w:rPr>
            </w:pPr>
            <w:r w:rsidRPr="005976A1">
              <w:rPr>
                <w:rFonts w:cs="Calibri"/>
                <w:bCs/>
                <w:sz w:val="24"/>
                <w:szCs w:val="24"/>
                <w:lang w:val="en-IN"/>
              </w:rPr>
              <w:t>------</w:t>
            </w:r>
          </w:p>
        </w:tc>
        <w:tc>
          <w:tcPr>
            <w:tcW w:w="1134" w:type="dxa"/>
            <w:tcBorders>
              <w:top w:val="nil"/>
              <w:bottom w:val="single" w:sz="12" w:space="0" w:color="auto"/>
            </w:tcBorders>
            <w:shd w:val="clear" w:color="auto" w:fill="auto"/>
          </w:tcPr>
          <w:p w14:paraId="5455ED89" w14:textId="77777777" w:rsidR="00AB31D4" w:rsidRPr="005976A1" w:rsidRDefault="00AB31D4" w:rsidP="00E074DC">
            <w:pPr>
              <w:spacing w:after="0" w:line="240" w:lineRule="auto"/>
              <w:jc w:val="center"/>
              <w:rPr>
                <w:rFonts w:cs="Calibri"/>
                <w:sz w:val="24"/>
                <w:szCs w:val="24"/>
                <w:lang w:val="en-IN"/>
              </w:rPr>
            </w:pPr>
            <w:r w:rsidRPr="005976A1">
              <w:rPr>
                <w:rFonts w:cs="Calibri"/>
                <w:bCs/>
                <w:sz w:val="24"/>
                <w:szCs w:val="24"/>
                <w:lang w:val="en-IN"/>
              </w:rPr>
              <w:t>------</w:t>
            </w:r>
          </w:p>
        </w:tc>
        <w:tc>
          <w:tcPr>
            <w:tcW w:w="1134" w:type="dxa"/>
            <w:tcBorders>
              <w:top w:val="nil"/>
              <w:bottom w:val="single" w:sz="12" w:space="0" w:color="auto"/>
            </w:tcBorders>
            <w:shd w:val="clear" w:color="auto" w:fill="auto"/>
          </w:tcPr>
          <w:p w14:paraId="7F86847F"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0.2 ±0.03</w:t>
            </w:r>
          </w:p>
          <w:p w14:paraId="6695F345"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(-100)</w:t>
            </w:r>
          </w:p>
        </w:tc>
        <w:tc>
          <w:tcPr>
            <w:tcW w:w="992" w:type="dxa"/>
            <w:tcBorders>
              <w:top w:val="nil"/>
              <w:bottom w:val="single" w:sz="12" w:space="0" w:color="auto"/>
            </w:tcBorders>
            <w:shd w:val="clear" w:color="auto" w:fill="auto"/>
          </w:tcPr>
          <w:p w14:paraId="21A29714"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75±5</w:t>
            </w:r>
          </w:p>
          <w:p w14:paraId="758A9B27"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(95)</w:t>
            </w:r>
          </w:p>
        </w:tc>
        <w:tc>
          <w:tcPr>
            <w:tcW w:w="851" w:type="dxa"/>
            <w:tcBorders>
              <w:top w:val="nil"/>
              <w:bottom w:val="single" w:sz="12" w:space="0" w:color="auto"/>
            </w:tcBorders>
            <w:shd w:val="clear" w:color="auto" w:fill="auto"/>
          </w:tcPr>
          <w:p w14:paraId="616F0C8B"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sym w:font="Symbol" w:char="F040"/>
            </w:r>
            <w:r w:rsidRPr="005976A1">
              <w:rPr>
                <w:rFonts w:cs="Calibri"/>
                <w:bCs/>
                <w:sz w:val="24"/>
                <w:szCs w:val="24"/>
                <w:lang w:val="en-IN"/>
              </w:rPr>
              <w:t>1.5</w:t>
            </w:r>
          </w:p>
          <w:p w14:paraId="7C41278E"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(5)</w:t>
            </w:r>
          </w:p>
        </w:tc>
        <w:tc>
          <w:tcPr>
            <w:tcW w:w="1272" w:type="dxa"/>
            <w:tcBorders>
              <w:top w:val="nil"/>
              <w:bottom w:val="single" w:sz="12" w:space="0" w:color="auto"/>
            </w:tcBorders>
            <w:shd w:val="clear" w:color="auto" w:fill="auto"/>
          </w:tcPr>
          <w:p w14:paraId="6A97647A" w14:textId="77777777" w:rsidR="00AB31D4" w:rsidRPr="005976A1" w:rsidRDefault="00AB31D4" w:rsidP="00E074DC">
            <w:pPr>
              <w:spacing w:after="0" w:line="240" w:lineRule="auto"/>
              <w:jc w:val="center"/>
              <w:rPr>
                <w:rFonts w:cs="Calibri"/>
                <w:bCs/>
                <w:sz w:val="24"/>
                <w:szCs w:val="24"/>
                <w:lang w:val="en-IN"/>
              </w:rPr>
            </w:pPr>
            <w:r w:rsidRPr="005976A1">
              <w:rPr>
                <w:rFonts w:cs="Calibri"/>
                <w:bCs/>
                <w:sz w:val="24"/>
                <w:szCs w:val="24"/>
                <w:lang w:val="en-IN"/>
              </w:rPr>
              <w:t>--------</w:t>
            </w:r>
          </w:p>
        </w:tc>
        <w:tc>
          <w:tcPr>
            <w:tcW w:w="665" w:type="dxa"/>
            <w:tcBorders>
              <w:top w:val="nil"/>
              <w:bottom w:val="single" w:sz="12" w:space="0" w:color="auto"/>
            </w:tcBorders>
            <w:shd w:val="clear" w:color="auto" w:fill="auto"/>
          </w:tcPr>
          <w:p w14:paraId="4CF679C1" w14:textId="77777777" w:rsidR="00AB31D4" w:rsidRPr="005976A1" w:rsidRDefault="00AB31D4" w:rsidP="00E074DC">
            <w:pPr>
              <w:spacing w:after="0" w:line="240" w:lineRule="auto"/>
              <w:jc w:val="center"/>
              <w:rPr>
                <w:rFonts w:cs="Calibri"/>
                <w:sz w:val="24"/>
                <w:szCs w:val="24"/>
                <w:lang w:val="en-GB"/>
              </w:rPr>
            </w:pPr>
            <w:r w:rsidRPr="005976A1">
              <w:rPr>
                <w:rFonts w:cs="Calibri"/>
                <w:bCs/>
                <w:sz w:val="24"/>
                <w:szCs w:val="24"/>
                <w:lang w:val="en-IN"/>
              </w:rPr>
              <w:t>------</w:t>
            </w:r>
          </w:p>
        </w:tc>
        <w:tc>
          <w:tcPr>
            <w:tcW w:w="793" w:type="dxa"/>
            <w:tcBorders>
              <w:top w:val="nil"/>
              <w:bottom w:val="single" w:sz="12" w:space="0" w:color="auto"/>
            </w:tcBorders>
            <w:shd w:val="clear" w:color="auto" w:fill="auto"/>
          </w:tcPr>
          <w:p w14:paraId="26A9CE5C" w14:textId="77777777" w:rsidR="00AB31D4" w:rsidRPr="005976A1" w:rsidRDefault="00AB31D4" w:rsidP="00E074DC">
            <w:pPr>
              <w:spacing w:after="0" w:line="240" w:lineRule="auto"/>
              <w:jc w:val="center"/>
              <w:rPr>
                <w:rFonts w:cs="Calibri"/>
                <w:sz w:val="24"/>
                <w:szCs w:val="24"/>
                <w:lang w:val="en-GB"/>
              </w:rPr>
            </w:pPr>
            <w:r w:rsidRPr="005976A1">
              <w:rPr>
                <w:rFonts w:cs="Calibri"/>
                <w:bCs/>
                <w:sz w:val="24"/>
                <w:szCs w:val="24"/>
                <w:lang w:val="en-IN"/>
              </w:rPr>
              <w:t>------</w:t>
            </w:r>
          </w:p>
        </w:tc>
        <w:tc>
          <w:tcPr>
            <w:tcW w:w="813" w:type="dxa"/>
            <w:tcBorders>
              <w:top w:val="nil"/>
              <w:bottom w:val="single" w:sz="12" w:space="0" w:color="auto"/>
            </w:tcBorders>
            <w:shd w:val="clear" w:color="auto" w:fill="auto"/>
          </w:tcPr>
          <w:p w14:paraId="5B5E72D1" w14:textId="77777777" w:rsidR="00AB31D4" w:rsidRPr="005976A1" w:rsidRDefault="00AB31D4" w:rsidP="00E074DC">
            <w:pPr>
              <w:spacing w:after="0" w:line="240" w:lineRule="auto"/>
              <w:jc w:val="center"/>
              <w:rPr>
                <w:rFonts w:cs="Calibri"/>
                <w:sz w:val="24"/>
                <w:szCs w:val="24"/>
                <w:lang w:val="en-GB"/>
              </w:rPr>
            </w:pPr>
            <w:r w:rsidRPr="005976A1">
              <w:rPr>
                <w:rFonts w:cs="Calibri"/>
                <w:bCs/>
                <w:sz w:val="24"/>
                <w:szCs w:val="24"/>
                <w:lang w:val="en-IN"/>
              </w:rPr>
              <w:t>------</w:t>
            </w:r>
          </w:p>
        </w:tc>
      </w:tr>
    </w:tbl>
    <w:p w14:paraId="0EDDA6E3" w14:textId="77777777" w:rsidR="00AB31D4" w:rsidRPr="005976A1" w:rsidRDefault="00AB31D4" w:rsidP="00AB31D4">
      <w:pPr>
        <w:spacing w:after="0" w:line="240" w:lineRule="auto"/>
        <w:jc w:val="both"/>
        <w:rPr>
          <w:rFonts w:cs="Calibri"/>
          <w:sz w:val="24"/>
          <w:szCs w:val="24"/>
          <w:lang w:val="en-IN"/>
        </w:rPr>
      </w:pPr>
      <w:r w:rsidRPr="005976A1">
        <w:rPr>
          <w:rFonts w:cs="Calibri"/>
          <w:sz w:val="24"/>
          <w:szCs w:val="24"/>
          <w:vertAlign w:val="superscript"/>
          <w:lang w:val="en-IN"/>
        </w:rPr>
        <w:t>a</w:t>
      </w:r>
      <w:r w:rsidRPr="005976A1">
        <w:rPr>
          <w:rFonts w:cs="Calibri"/>
          <w:sz w:val="24"/>
          <w:szCs w:val="24"/>
          <w:lang w:val="en-IN"/>
        </w:rPr>
        <w:t>Solvent: THF, error limits: λ</w:t>
      </w:r>
      <w:r w:rsidRPr="005976A1">
        <w:rPr>
          <w:rFonts w:cs="Calibri"/>
          <w:sz w:val="24"/>
          <w:szCs w:val="24"/>
          <w:vertAlign w:val="subscript"/>
          <w:lang w:val="en-IN"/>
        </w:rPr>
        <w:t>max</w:t>
      </w:r>
      <w:r w:rsidRPr="005976A1">
        <w:rPr>
          <w:rFonts w:cs="Calibri"/>
          <w:sz w:val="24"/>
          <w:szCs w:val="24"/>
          <w:lang w:val="en-IN"/>
        </w:rPr>
        <w:t xml:space="preserve">, ±1 nm, ε± 10%. </w:t>
      </w:r>
      <w:r w:rsidRPr="005976A1">
        <w:rPr>
          <w:rFonts w:cs="Calibri"/>
          <w:sz w:val="24"/>
          <w:szCs w:val="24"/>
          <w:vertAlign w:val="superscript"/>
          <w:lang w:val="en-IN"/>
        </w:rPr>
        <w:t>b</w:t>
      </w:r>
      <w:r w:rsidRPr="005976A1">
        <w:rPr>
          <w:rFonts w:cs="Calibri"/>
          <w:sz w:val="24"/>
          <w:szCs w:val="24"/>
          <w:lang w:val="en-IN"/>
        </w:rPr>
        <w:t>Error limits: λ</w:t>
      </w:r>
      <w:r w:rsidRPr="005976A1">
        <w:rPr>
          <w:rFonts w:cs="Calibri"/>
          <w:sz w:val="24"/>
          <w:szCs w:val="24"/>
          <w:vertAlign w:val="subscript"/>
          <w:lang w:val="en-IN"/>
        </w:rPr>
        <w:t>em</w:t>
      </w:r>
      <w:r w:rsidRPr="005976A1">
        <w:rPr>
          <w:rFonts w:cs="Calibri"/>
          <w:sz w:val="24"/>
          <w:szCs w:val="24"/>
          <w:lang w:val="en-IN"/>
        </w:rPr>
        <w:t xml:space="preserve">, ±1 nm. </w:t>
      </w:r>
      <w:r w:rsidRPr="005976A1">
        <w:rPr>
          <w:rFonts w:cs="Calibri"/>
          <w:sz w:val="24"/>
          <w:szCs w:val="24"/>
          <w:vertAlign w:val="superscript"/>
          <w:lang w:val="en-IN"/>
        </w:rPr>
        <w:t>c</w:t>
      </w:r>
      <w:r w:rsidRPr="005976A1">
        <w:rPr>
          <w:rFonts w:cs="Calibri"/>
          <w:bCs/>
          <w:sz w:val="24"/>
          <w:szCs w:val="24"/>
          <w:lang w:val="en-GB"/>
        </w:rPr>
        <w:t>Ф</w:t>
      </w:r>
      <w:r w:rsidRPr="005976A1">
        <w:rPr>
          <w:rFonts w:cs="Calibri"/>
          <w:sz w:val="24"/>
          <w:szCs w:val="24"/>
          <w:lang w:val="en-IN"/>
        </w:rPr>
        <w:t xml:space="preserve">, ± 0.01%. </w:t>
      </w:r>
      <w:r w:rsidRPr="005976A1">
        <w:rPr>
          <w:rFonts w:cs="Calibri"/>
          <w:sz w:val="24"/>
          <w:szCs w:val="24"/>
          <w:vertAlign w:val="superscript"/>
          <w:lang w:val="en-IN"/>
        </w:rPr>
        <w:t>d</w:t>
      </w:r>
      <w:r w:rsidRPr="005976A1">
        <w:rPr>
          <w:rFonts w:cs="Calibri"/>
          <w:sz w:val="24"/>
          <w:szCs w:val="24"/>
          <w:lang w:val="en-IN"/>
        </w:rPr>
        <w:t xml:space="preserve">Error limits τ ≈ 10%. </w:t>
      </w:r>
      <w:r w:rsidRPr="005976A1">
        <w:rPr>
          <w:rFonts w:cs="Calibri"/>
          <w:sz w:val="24"/>
          <w:szCs w:val="24"/>
          <w:vertAlign w:val="superscript"/>
          <w:lang w:val="en-IN"/>
        </w:rPr>
        <w:t>e</w:t>
      </w:r>
      <w:r w:rsidRPr="005976A1">
        <w:rPr>
          <w:rFonts w:cs="Calibri"/>
          <w:sz w:val="24"/>
          <w:szCs w:val="24"/>
          <w:lang w:val="en-IN"/>
        </w:rPr>
        <w:t>E</w:t>
      </w:r>
      <w:r w:rsidRPr="005976A1">
        <w:rPr>
          <w:rFonts w:cs="Calibri"/>
          <w:sz w:val="24"/>
          <w:szCs w:val="24"/>
          <w:vertAlign w:val="subscript"/>
          <w:lang w:val="en-IN"/>
        </w:rPr>
        <w:t>0−0</w:t>
      </w:r>
      <w:r w:rsidRPr="005976A1">
        <w:rPr>
          <w:rFonts w:cs="Calibri"/>
          <w:sz w:val="24"/>
          <w:szCs w:val="24"/>
          <w:lang w:val="en-IN"/>
        </w:rPr>
        <w:t xml:space="preserve"> was measured from spectral intersection between absorption and emission spectra’s, as depicted in Figure 1. </w:t>
      </w:r>
      <w:r w:rsidRPr="005976A1">
        <w:rPr>
          <w:rFonts w:cs="Calibri"/>
          <w:sz w:val="24"/>
          <w:szCs w:val="24"/>
          <w:vertAlign w:val="superscript"/>
          <w:lang w:val="en-IN"/>
        </w:rPr>
        <w:t>f</w:t>
      </w:r>
      <w:r w:rsidRPr="005976A1">
        <w:rPr>
          <w:rFonts w:cs="Calibri"/>
          <w:sz w:val="24"/>
          <w:szCs w:val="24"/>
          <w:lang w:val="en-IN"/>
        </w:rPr>
        <w:t>Solvent: THF, error limits: E</w:t>
      </w:r>
      <w:r w:rsidRPr="005976A1">
        <w:rPr>
          <w:rFonts w:cs="Calibri"/>
          <w:sz w:val="24"/>
          <w:szCs w:val="24"/>
          <w:vertAlign w:val="subscript"/>
          <w:lang w:val="en-IN"/>
        </w:rPr>
        <w:t>OX</w:t>
      </w:r>
      <w:r w:rsidRPr="005976A1">
        <w:rPr>
          <w:rFonts w:cs="Calibri"/>
          <w:sz w:val="24"/>
          <w:szCs w:val="24"/>
          <w:lang w:val="en-IN"/>
        </w:rPr>
        <w:t xml:space="preserve"> ± 0.03 V, 0.1 M TBAP. </w:t>
      </w:r>
      <w:r w:rsidRPr="005976A1">
        <w:rPr>
          <w:rFonts w:cs="Calibri"/>
          <w:sz w:val="24"/>
          <w:szCs w:val="24"/>
          <w:vertAlign w:val="superscript"/>
          <w:lang w:val="en-IN"/>
        </w:rPr>
        <w:t>g</w:t>
      </w:r>
      <w:r w:rsidRPr="005976A1">
        <w:rPr>
          <w:rFonts w:cs="Calibri"/>
          <w:sz w:val="24"/>
          <w:szCs w:val="24"/>
          <w:lang w:val="en-IN"/>
        </w:rPr>
        <w:t>E*</w:t>
      </w:r>
      <w:r w:rsidRPr="005976A1">
        <w:rPr>
          <w:rFonts w:cs="Calibri"/>
          <w:sz w:val="24"/>
          <w:szCs w:val="24"/>
          <w:vertAlign w:val="subscript"/>
          <w:lang w:val="en-IN"/>
        </w:rPr>
        <w:t>OX</w:t>
      </w:r>
      <w:r w:rsidRPr="005976A1">
        <w:rPr>
          <w:rFonts w:cs="Calibri"/>
          <w:sz w:val="24"/>
          <w:szCs w:val="24"/>
          <w:lang w:val="en-IN"/>
        </w:rPr>
        <w:t xml:space="preserve"> was calculated as E</w:t>
      </w:r>
      <w:r w:rsidRPr="005976A1">
        <w:rPr>
          <w:rFonts w:cs="Calibri"/>
          <w:sz w:val="24"/>
          <w:szCs w:val="24"/>
          <w:vertAlign w:val="subscript"/>
          <w:lang w:val="en-IN"/>
        </w:rPr>
        <w:t>OX</w:t>
      </w:r>
      <w:r w:rsidRPr="005976A1">
        <w:rPr>
          <w:rFonts w:cs="Calibri"/>
          <w:sz w:val="24"/>
          <w:szCs w:val="24"/>
          <w:lang w:val="en-IN"/>
        </w:rPr>
        <w:t xml:space="preserve"> − E</w:t>
      </w:r>
      <w:r w:rsidRPr="005976A1">
        <w:rPr>
          <w:rFonts w:cs="Calibri"/>
          <w:sz w:val="24"/>
          <w:szCs w:val="24"/>
          <w:vertAlign w:val="subscript"/>
          <w:lang w:val="en-IN"/>
        </w:rPr>
        <w:t>0−0</w:t>
      </w:r>
      <w:r w:rsidRPr="005976A1">
        <w:rPr>
          <w:rFonts w:cs="Calibri"/>
          <w:sz w:val="24"/>
          <w:szCs w:val="24"/>
          <w:lang w:val="en-IN"/>
        </w:rPr>
        <w:t>.</w:t>
      </w:r>
    </w:p>
    <w:p w14:paraId="68580078" w14:textId="77777777" w:rsidR="00FA1250" w:rsidRDefault="00FA1250" w:rsidP="007C7AD9">
      <w:pPr>
        <w:autoSpaceDE w:val="0"/>
        <w:autoSpaceDN w:val="0"/>
        <w:adjustRightInd w:val="0"/>
        <w:spacing w:after="0" w:line="480" w:lineRule="auto"/>
        <w:jc w:val="both"/>
        <w:rPr>
          <w:bCs/>
          <w:iCs/>
          <w:color w:val="0000FF"/>
          <w:sz w:val="24"/>
          <w:szCs w:val="24"/>
          <w:lang w:val="en-IN"/>
        </w:rPr>
      </w:pPr>
    </w:p>
    <w:p w14:paraId="1316E9AB" w14:textId="77777777" w:rsidR="00FA1250" w:rsidRPr="00FA1250" w:rsidRDefault="00FA1250" w:rsidP="007C7AD9">
      <w:pPr>
        <w:autoSpaceDE w:val="0"/>
        <w:autoSpaceDN w:val="0"/>
        <w:adjustRightInd w:val="0"/>
        <w:spacing w:after="0" w:line="480" w:lineRule="auto"/>
        <w:jc w:val="both"/>
        <w:rPr>
          <w:b/>
          <w:bCs/>
          <w:iCs/>
          <w:sz w:val="24"/>
          <w:szCs w:val="24"/>
          <w:lang w:val="en-IN"/>
        </w:rPr>
      </w:pPr>
      <w:r w:rsidRPr="00FA1250">
        <w:rPr>
          <w:b/>
          <w:bCs/>
          <w:iCs/>
          <w:sz w:val="24"/>
          <w:szCs w:val="24"/>
          <w:lang w:val="en-IN"/>
        </w:rPr>
        <w:t>Upconversion Studies</w:t>
      </w:r>
    </w:p>
    <w:p w14:paraId="710EF213" w14:textId="171C43D8" w:rsidR="00833892" w:rsidRPr="00034109" w:rsidRDefault="00655298" w:rsidP="00034109">
      <w:pPr>
        <w:autoSpaceDE w:val="0"/>
        <w:autoSpaceDN w:val="0"/>
        <w:adjustRightInd w:val="0"/>
        <w:spacing w:after="0" w:line="360" w:lineRule="auto"/>
        <w:jc w:val="both"/>
        <w:rPr>
          <w:bCs/>
          <w:iCs/>
          <w:color w:val="0000FF"/>
          <w:sz w:val="24"/>
          <w:szCs w:val="24"/>
          <w:lang w:val="en-IN"/>
        </w:rPr>
      </w:pPr>
      <w:r w:rsidRPr="007E48F1">
        <w:rPr>
          <w:bCs/>
          <w:iCs/>
          <w:sz w:val="24"/>
          <w:szCs w:val="24"/>
          <w:lang w:val="en-IN"/>
        </w:rPr>
        <w:t xml:space="preserve"> </w:t>
      </w:r>
      <w:r w:rsidR="00397172">
        <w:rPr>
          <w:bCs/>
          <w:iCs/>
          <w:sz w:val="24"/>
          <w:szCs w:val="24"/>
          <w:lang w:val="en-IN"/>
        </w:rPr>
        <w:t>T</w:t>
      </w:r>
      <w:r w:rsidRPr="007E48F1">
        <w:rPr>
          <w:bCs/>
          <w:iCs/>
          <w:sz w:val="24"/>
          <w:szCs w:val="24"/>
          <w:lang w:val="en-IN"/>
        </w:rPr>
        <w:t>o</w:t>
      </w:r>
      <w:r w:rsidR="00DA13F4" w:rsidRPr="007E48F1">
        <w:rPr>
          <w:bCs/>
          <w:iCs/>
          <w:sz w:val="24"/>
          <w:szCs w:val="24"/>
          <w:lang w:val="en-IN"/>
        </w:rPr>
        <w:t xml:space="preserve"> </w:t>
      </w:r>
      <w:r w:rsidRPr="007E48F1">
        <w:rPr>
          <w:bCs/>
          <w:iCs/>
          <w:sz w:val="24"/>
          <w:szCs w:val="24"/>
          <w:lang w:val="en-IN"/>
        </w:rPr>
        <w:t xml:space="preserve">explore detail relaxation dynamics of </w:t>
      </w:r>
      <w:r w:rsidRPr="007E48F1">
        <w:rPr>
          <w:b/>
          <w:iCs/>
          <w:sz w:val="24"/>
          <w:szCs w:val="24"/>
          <w:lang w:val="en-IN"/>
        </w:rPr>
        <w:t>LG</w:t>
      </w:r>
      <w:r w:rsidR="008D5900" w:rsidRPr="007E48F1">
        <w:rPr>
          <w:b/>
          <w:iCs/>
          <w:sz w:val="24"/>
          <w:szCs w:val="24"/>
          <w:lang w:val="en-IN"/>
        </w:rPr>
        <w:t xml:space="preserve"> </w:t>
      </w:r>
      <w:r w:rsidRPr="007E48F1">
        <w:rPr>
          <w:b/>
          <w:iCs/>
          <w:sz w:val="24"/>
          <w:szCs w:val="24"/>
          <w:lang w:val="en-IN"/>
        </w:rPr>
        <w:t>28</w:t>
      </w:r>
      <w:r w:rsidRPr="007E48F1">
        <w:rPr>
          <w:bCs/>
          <w:iCs/>
          <w:sz w:val="24"/>
          <w:szCs w:val="24"/>
          <w:lang w:val="en-IN"/>
        </w:rPr>
        <w:t xml:space="preserve"> and </w:t>
      </w:r>
      <w:r w:rsidRPr="007E48F1">
        <w:rPr>
          <w:b/>
          <w:bCs/>
          <w:iCs/>
          <w:sz w:val="24"/>
          <w:szCs w:val="24"/>
          <w:lang w:val="en-IN"/>
        </w:rPr>
        <w:t>LG</w:t>
      </w:r>
      <w:r w:rsidR="008D5900" w:rsidRPr="007E48F1">
        <w:rPr>
          <w:b/>
          <w:bCs/>
          <w:iCs/>
          <w:sz w:val="24"/>
          <w:szCs w:val="24"/>
          <w:lang w:val="en-IN"/>
        </w:rPr>
        <w:t xml:space="preserve"> </w:t>
      </w:r>
      <w:r w:rsidRPr="007E48F1">
        <w:rPr>
          <w:b/>
          <w:bCs/>
          <w:iCs/>
          <w:sz w:val="24"/>
          <w:szCs w:val="24"/>
          <w:lang w:val="en-IN"/>
        </w:rPr>
        <w:t>29</w:t>
      </w:r>
      <w:r w:rsidRPr="007E48F1">
        <w:rPr>
          <w:bCs/>
          <w:iCs/>
          <w:sz w:val="24"/>
          <w:szCs w:val="24"/>
          <w:lang w:val="en-IN"/>
        </w:rPr>
        <w:t xml:space="preserve"> in absence and presence of TiO</w:t>
      </w:r>
      <w:r w:rsidRPr="007E48F1">
        <w:rPr>
          <w:bCs/>
          <w:iCs/>
          <w:sz w:val="24"/>
          <w:szCs w:val="24"/>
          <w:vertAlign w:val="subscript"/>
          <w:lang w:val="en-IN"/>
        </w:rPr>
        <w:t>2</w:t>
      </w:r>
      <w:r w:rsidRPr="007E48F1">
        <w:rPr>
          <w:bCs/>
          <w:iCs/>
          <w:sz w:val="24"/>
          <w:szCs w:val="24"/>
          <w:lang w:val="en-IN"/>
        </w:rPr>
        <w:t xml:space="preserve"> in sub-nanosecond time domain</w:t>
      </w:r>
      <w:r w:rsidR="00397172">
        <w:rPr>
          <w:bCs/>
          <w:iCs/>
          <w:sz w:val="24"/>
          <w:szCs w:val="24"/>
          <w:lang w:val="en-IN"/>
        </w:rPr>
        <w:t>,</w:t>
      </w:r>
      <w:r w:rsidRPr="007E48F1">
        <w:rPr>
          <w:bCs/>
          <w:iCs/>
          <w:sz w:val="24"/>
          <w:szCs w:val="24"/>
          <w:lang w:val="en-IN"/>
        </w:rPr>
        <w:t xml:space="preserve"> we performed fluorescence upconversion studies of </w:t>
      </w:r>
      <w:r w:rsidRPr="007E48F1">
        <w:rPr>
          <w:b/>
          <w:iCs/>
          <w:sz w:val="24"/>
          <w:szCs w:val="24"/>
          <w:lang w:val="en-IN"/>
        </w:rPr>
        <w:t>LG</w:t>
      </w:r>
      <w:r w:rsidR="008D5900" w:rsidRPr="007E48F1">
        <w:rPr>
          <w:b/>
          <w:iCs/>
          <w:sz w:val="24"/>
          <w:szCs w:val="24"/>
          <w:lang w:val="en-IN"/>
        </w:rPr>
        <w:t xml:space="preserve"> </w:t>
      </w:r>
      <w:r w:rsidRPr="007E48F1">
        <w:rPr>
          <w:b/>
          <w:iCs/>
          <w:sz w:val="24"/>
          <w:szCs w:val="24"/>
          <w:lang w:val="en-IN"/>
        </w:rPr>
        <w:t>28</w:t>
      </w:r>
      <w:r w:rsidRPr="007E48F1">
        <w:rPr>
          <w:bCs/>
          <w:iCs/>
          <w:sz w:val="24"/>
          <w:szCs w:val="24"/>
          <w:lang w:val="en-IN"/>
        </w:rPr>
        <w:t xml:space="preserve"> and </w:t>
      </w:r>
      <w:r w:rsidRPr="007E48F1">
        <w:rPr>
          <w:b/>
          <w:iCs/>
          <w:sz w:val="24"/>
          <w:szCs w:val="24"/>
          <w:lang w:val="en-IN"/>
        </w:rPr>
        <w:t>LG</w:t>
      </w:r>
      <w:r w:rsidR="008D5900" w:rsidRPr="007E48F1">
        <w:rPr>
          <w:b/>
          <w:iCs/>
          <w:sz w:val="24"/>
          <w:szCs w:val="24"/>
          <w:lang w:val="en-IN"/>
        </w:rPr>
        <w:t xml:space="preserve"> </w:t>
      </w:r>
      <w:r w:rsidRPr="007E48F1">
        <w:rPr>
          <w:b/>
          <w:iCs/>
          <w:sz w:val="24"/>
          <w:szCs w:val="24"/>
          <w:lang w:val="en-IN"/>
        </w:rPr>
        <w:t>29</w:t>
      </w:r>
      <w:r w:rsidRPr="007E48F1">
        <w:rPr>
          <w:bCs/>
          <w:iCs/>
          <w:sz w:val="24"/>
          <w:szCs w:val="24"/>
          <w:lang w:val="en-IN"/>
        </w:rPr>
        <w:t xml:space="preserve"> in THF solvent. Figure 2 shows the decay profiles of fluorescence upconversion signals of </w:t>
      </w:r>
      <w:r w:rsidRPr="007E48F1">
        <w:rPr>
          <w:b/>
          <w:iCs/>
          <w:sz w:val="24"/>
          <w:szCs w:val="24"/>
          <w:lang w:val="en-IN"/>
        </w:rPr>
        <w:t>LG</w:t>
      </w:r>
      <w:r w:rsidR="008D5900" w:rsidRPr="007E48F1">
        <w:rPr>
          <w:b/>
          <w:iCs/>
          <w:sz w:val="24"/>
          <w:szCs w:val="24"/>
          <w:lang w:val="en-IN"/>
        </w:rPr>
        <w:t xml:space="preserve"> </w:t>
      </w:r>
      <w:r w:rsidRPr="007E48F1">
        <w:rPr>
          <w:b/>
          <w:iCs/>
          <w:sz w:val="24"/>
          <w:szCs w:val="24"/>
          <w:lang w:val="en-IN"/>
        </w:rPr>
        <w:t>28</w:t>
      </w:r>
      <w:r w:rsidRPr="007E48F1">
        <w:rPr>
          <w:bCs/>
          <w:iCs/>
          <w:sz w:val="24"/>
          <w:szCs w:val="24"/>
          <w:lang w:val="en-IN"/>
        </w:rPr>
        <w:t xml:space="preserve"> and </w:t>
      </w:r>
      <w:r w:rsidRPr="007E48F1">
        <w:rPr>
          <w:b/>
          <w:iCs/>
          <w:sz w:val="24"/>
          <w:szCs w:val="24"/>
          <w:lang w:val="en-IN"/>
        </w:rPr>
        <w:t>LG</w:t>
      </w:r>
      <w:r w:rsidR="008D5900" w:rsidRPr="007E48F1">
        <w:rPr>
          <w:b/>
          <w:iCs/>
          <w:sz w:val="24"/>
          <w:szCs w:val="24"/>
          <w:lang w:val="en-IN"/>
        </w:rPr>
        <w:t xml:space="preserve"> </w:t>
      </w:r>
      <w:r w:rsidRPr="007E48F1">
        <w:rPr>
          <w:b/>
          <w:iCs/>
          <w:sz w:val="24"/>
          <w:szCs w:val="24"/>
          <w:lang w:val="en-IN"/>
        </w:rPr>
        <w:t>29</w:t>
      </w:r>
      <w:r w:rsidRPr="007E48F1">
        <w:rPr>
          <w:bCs/>
          <w:iCs/>
          <w:sz w:val="24"/>
          <w:szCs w:val="24"/>
          <w:lang w:val="en-IN"/>
        </w:rPr>
        <w:t xml:space="preserve"> along with TiO</w:t>
      </w:r>
      <w:r w:rsidRPr="007E48F1">
        <w:rPr>
          <w:bCs/>
          <w:iCs/>
          <w:sz w:val="24"/>
          <w:szCs w:val="24"/>
          <w:vertAlign w:val="subscript"/>
          <w:lang w:val="en-IN"/>
        </w:rPr>
        <w:t>2</w:t>
      </w:r>
      <w:r w:rsidRPr="007E48F1">
        <w:rPr>
          <w:bCs/>
          <w:iCs/>
          <w:sz w:val="24"/>
          <w:szCs w:val="24"/>
          <w:lang w:val="en-IN"/>
        </w:rPr>
        <w:t xml:space="preserve"> in THF solution upon 400 nm excitation.</w:t>
      </w:r>
      <w:r w:rsidRPr="007E48F1">
        <w:rPr>
          <w:bCs/>
          <w:iCs/>
          <w:color w:val="0000FF"/>
          <w:sz w:val="24"/>
          <w:szCs w:val="24"/>
          <w:lang w:val="en-IN"/>
        </w:rPr>
        <w:t xml:space="preserve"> </w:t>
      </w:r>
      <w:r w:rsidR="00CD134E" w:rsidRPr="007E48F1">
        <w:rPr>
          <w:bCs/>
          <w:iCs/>
          <w:sz w:val="24"/>
          <w:szCs w:val="24"/>
          <w:lang w:val="en-IN"/>
        </w:rPr>
        <w:t>Both the sensitizers show three components time profile, one rise component and followed by two decay components.</w:t>
      </w:r>
      <w:r w:rsidR="00CD134E" w:rsidRPr="007E48F1">
        <w:rPr>
          <w:bCs/>
          <w:iCs/>
          <w:color w:val="0000FF"/>
          <w:sz w:val="24"/>
          <w:szCs w:val="24"/>
          <w:lang w:val="en-IN"/>
        </w:rPr>
        <w:t xml:space="preserve"> </w:t>
      </w:r>
      <w:r w:rsidR="00CD134E" w:rsidRPr="007E48F1">
        <w:rPr>
          <w:b/>
          <w:iCs/>
          <w:sz w:val="24"/>
          <w:szCs w:val="24"/>
          <w:lang w:val="en-IN"/>
        </w:rPr>
        <w:t>LG</w:t>
      </w:r>
      <w:r w:rsidR="008D5900" w:rsidRPr="007E48F1">
        <w:rPr>
          <w:b/>
          <w:iCs/>
          <w:sz w:val="24"/>
          <w:szCs w:val="24"/>
          <w:lang w:val="en-IN"/>
        </w:rPr>
        <w:t xml:space="preserve"> </w:t>
      </w:r>
      <w:r w:rsidR="00CD134E" w:rsidRPr="007E48F1">
        <w:rPr>
          <w:b/>
          <w:iCs/>
          <w:sz w:val="24"/>
          <w:szCs w:val="24"/>
          <w:lang w:val="en-IN"/>
        </w:rPr>
        <w:t>28</w:t>
      </w:r>
      <w:r w:rsidR="00CD134E" w:rsidRPr="007E48F1">
        <w:rPr>
          <w:bCs/>
          <w:iCs/>
          <w:sz w:val="24"/>
          <w:szCs w:val="24"/>
          <w:lang w:val="en-IN"/>
        </w:rPr>
        <w:t xml:space="preserve"> shows rise component of 6 ps characteristic time with two decay components of 225 and 1880 ps lifetime</w:t>
      </w:r>
      <w:r w:rsidR="00397172">
        <w:rPr>
          <w:bCs/>
          <w:iCs/>
          <w:sz w:val="24"/>
          <w:szCs w:val="24"/>
          <w:lang w:val="en-IN"/>
        </w:rPr>
        <w:t>.</w:t>
      </w:r>
      <w:r w:rsidR="00CD134E" w:rsidRPr="007E48F1">
        <w:rPr>
          <w:bCs/>
          <w:iCs/>
          <w:sz w:val="24"/>
          <w:szCs w:val="24"/>
          <w:lang w:val="en-IN"/>
        </w:rPr>
        <w:t xml:space="preserve"> </w:t>
      </w:r>
      <w:r w:rsidR="00397172">
        <w:rPr>
          <w:bCs/>
          <w:iCs/>
          <w:sz w:val="24"/>
          <w:szCs w:val="24"/>
          <w:lang w:val="en-IN"/>
        </w:rPr>
        <w:t>W</w:t>
      </w:r>
      <w:r w:rsidR="00CD134E" w:rsidRPr="007E48F1">
        <w:rPr>
          <w:bCs/>
          <w:iCs/>
          <w:sz w:val="24"/>
          <w:szCs w:val="24"/>
          <w:lang w:val="en-IN"/>
        </w:rPr>
        <w:t>hereas</w:t>
      </w:r>
      <w:r w:rsidR="00397172">
        <w:rPr>
          <w:bCs/>
          <w:iCs/>
          <w:sz w:val="24"/>
          <w:szCs w:val="24"/>
          <w:lang w:val="en-IN"/>
        </w:rPr>
        <w:t>,</w:t>
      </w:r>
      <w:r w:rsidR="00CD134E" w:rsidRPr="007E48F1">
        <w:rPr>
          <w:bCs/>
          <w:iCs/>
          <w:sz w:val="24"/>
          <w:szCs w:val="24"/>
          <w:lang w:val="en-IN"/>
        </w:rPr>
        <w:t xml:space="preserve"> </w:t>
      </w:r>
      <w:r w:rsidR="0003168D" w:rsidRPr="007E48F1">
        <w:rPr>
          <w:b/>
          <w:iCs/>
          <w:sz w:val="24"/>
          <w:szCs w:val="24"/>
          <w:lang w:val="en-IN"/>
        </w:rPr>
        <w:t>LG</w:t>
      </w:r>
      <w:r w:rsidR="008D5900" w:rsidRPr="007E48F1">
        <w:rPr>
          <w:b/>
          <w:iCs/>
          <w:sz w:val="24"/>
          <w:szCs w:val="24"/>
          <w:lang w:val="en-IN"/>
        </w:rPr>
        <w:t xml:space="preserve"> </w:t>
      </w:r>
      <w:r w:rsidR="0003168D" w:rsidRPr="007E48F1">
        <w:rPr>
          <w:b/>
          <w:iCs/>
          <w:sz w:val="24"/>
          <w:szCs w:val="24"/>
          <w:lang w:val="en-IN"/>
        </w:rPr>
        <w:t xml:space="preserve">29 </w:t>
      </w:r>
      <w:r w:rsidR="0003168D" w:rsidRPr="007E48F1">
        <w:rPr>
          <w:bCs/>
          <w:iCs/>
          <w:sz w:val="24"/>
          <w:szCs w:val="24"/>
          <w:lang w:val="en-IN"/>
        </w:rPr>
        <w:t xml:space="preserve">shows </w:t>
      </w:r>
      <w:r w:rsidR="00C85360" w:rsidRPr="007E48F1">
        <w:rPr>
          <w:bCs/>
          <w:iCs/>
          <w:sz w:val="24"/>
          <w:szCs w:val="24"/>
          <w:lang w:val="en-IN"/>
        </w:rPr>
        <w:t xml:space="preserve">relatively shorter </w:t>
      </w:r>
      <w:r w:rsidR="0003168D" w:rsidRPr="007E48F1">
        <w:rPr>
          <w:bCs/>
          <w:iCs/>
          <w:sz w:val="24"/>
          <w:szCs w:val="24"/>
          <w:lang w:val="en-IN"/>
        </w:rPr>
        <w:t>rise component of 0.6 ps</w:t>
      </w:r>
      <w:r w:rsidR="00B62778" w:rsidRPr="007E48F1">
        <w:rPr>
          <w:bCs/>
          <w:iCs/>
          <w:sz w:val="24"/>
          <w:szCs w:val="24"/>
          <w:lang w:val="en-IN"/>
        </w:rPr>
        <w:t xml:space="preserve"> </w:t>
      </w:r>
      <w:r w:rsidR="00C85360" w:rsidRPr="007E48F1">
        <w:rPr>
          <w:bCs/>
          <w:iCs/>
          <w:sz w:val="24"/>
          <w:szCs w:val="24"/>
          <w:lang w:val="en-IN"/>
        </w:rPr>
        <w:t>with two decay components of 95 and 3000 ps respectively. Since both sensitizers are excited at the Soret band and fluorescence decays are measured at the peak of Q band emission</w:t>
      </w:r>
      <w:r w:rsidR="005D059C" w:rsidRPr="007E48F1">
        <w:rPr>
          <w:bCs/>
          <w:iCs/>
          <w:sz w:val="24"/>
          <w:szCs w:val="24"/>
          <w:lang w:val="en-IN"/>
        </w:rPr>
        <w:t xml:space="preserve"> and </w:t>
      </w:r>
      <w:r w:rsidR="00C85360" w:rsidRPr="007E48F1">
        <w:rPr>
          <w:bCs/>
          <w:iCs/>
          <w:sz w:val="24"/>
          <w:szCs w:val="24"/>
          <w:lang w:val="en-IN"/>
        </w:rPr>
        <w:t xml:space="preserve">rise components </w:t>
      </w:r>
      <w:r w:rsidR="005D059C" w:rsidRPr="007E48F1">
        <w:rPr>
          <w:bCs/>
          <w:iCs/>
          <w:sz w:val="24"/>
          <w:szCs w:val="24"/>
          <w:lang w:val="en-IN"/>
        </w:rPr>
        <w:t>are very</w:t>
      </w:r>
      <w:r w:rsidR="00C85360" w:rsidRPr="007E48F1">
        <w:rPr>
          <w:bCs/>
          <w:iCs/>
          <w:sz w:val="24"/>
          <w:szCs w:val="24"/>
          <w:lang w:val="en-IN"/>
        </w:rPr>
        <w:t xml:space="preserve"> close to </w:t>
      </w:r>
      <w:r w:rsidR="005D059C" w:rsidRPr="007E48F1">
        <w:rPr>
          <w:bCs/>
          <w:iCs/>
          <w:sz w:val="24"/>
          <w:szCs w:val="24"/>
          <w:lang w:val="en-IN"/>
        </w:rPr>
        <w:t>reported lifetime of</w:t>
      </w:r>
      <w:r w:rsidR="00C85360" w:rsidRPr="007E48F1">
        <w:rPr>
          <w:rFonts w:cs="Calibri"/>
          <w:sz w:val="24"/>
          <w:szCs w:val="24"/>
          <w:lang w:val="en-IN" w:eastAsia="en-IN" w:bidi="hi-IN"/>
        </w:rPr>
        <w:t xml:space="preserve"> S</w:t>
      </w:r>
      <w:r w:rsidR="00C85360" w:rsidRPr="007E48F1">
        <w:rPr>
          <w:rFonts w:cs="Calibri"/>
          <w:sz w:val="24"/>
          <w:szCs w:val="24"/>
          <w:vertAlign w:val="subscript"/>
          <w:lang w:val="en-IN" w:eastAsia="en-IN" w:bidi="hi-IN"/>
        </w:rPr>
        <w:t>2</w:t>
      </w:r>
      <w:r w:rsidR="00B62778" w:rsidRPr="007E48F1">
        <w:rPr>
          <w:rFonts w:cs="Calibri"/>
          <w:sz w:val="24"/>
          <w:szCs w:val="24"/>
          <w:vertAlign w:val="subscript"/>
          <w:lang w:val="en-IN" w:eastAsia="en-IN" w:bidi="hi-IN"/>
        </w:rPr>
        <w:t xml:space="preserve"> </w:t>
      </w:r>
      <w:r w:rsidR="005D059C" w:rsidRPr="007E48F1">
        <w:rPr>
          <w:rFonts w:cs="Calibri"/>
          <w:sz w:val="24"/>
          <w:szCs w:val="24"/>
          <w:lang w:val="en-IN" w:eastAsia="en-IN" w:bidi="hi-IN"/>
        </w:rPr>
        <w:t>state of Zn-TPP</w:t>
      </w:r>
      <w:r w:rsidR="005D059C" w:rsidRPr="007E48F1">
        <w:rPr>
          <w:rFonts w:cs="Calibri"/>
          <w:color w:val="0000FF"/>
          <w:sz w:val="24"/>
          <w:szCs w:val="24"/>
          <w:lang w:val="en-IN" w:eastAsia="en-IN" w:bidi="hi-IN"/>
        </w:rPr>
        <w:t xml:space="preserve"> </w:t>
      </w:r>
      <w:r w:rsidR="00AF141E" w:rsidRPr="00AF141E">
        <w:rPr>
          <w:rFonts w:cs="Calibri"/>
          <w:sz w:val="24"/>
          <w:szCs w:val="24"/>
          <w:vertAlign w:val="superscript"/>
          <w:lang w:val="en-IN" w:eastAsia="en-IN" w:bidi="hi-IN"/>
        </w:rPr>
        <w:t>28</w:t>
      </w:r>
      <w:r w:rsidR="005D059C" w:rsidRPr="00AF141E">
        <w:rPr>
          <w:rFonts w:cs="Calibri"/>
          <w:sz w:val="24"/>
          <w:szCs w:val="24"/>
          <w:lang w:val="en-IN" w:eastAsia="en-IN" w:bidi="hi-IN"/>
        </w:rPr>
        <w:t>,</w:t>
      </w:r>
      <w:r w:rsidR="005D059C" w:rsidRPr="007E48F1">
        <w:rPr>
          <w:rFonts w:cs="Calibri"/>
          <w:color w:val="0000FF"/>
          <w:sz w:val="24"/>
          <w:szCs w:val="24"/>
          <w:lang w:val="en-IN" w:eastAsia="en-IN" w:bidi="hi-IN"/>
        </w:rPr>
        <w:t xml:space="preserve"> </w:t>
      </w:r>
      <w:r w:rsidR="005D059C" w:rsidRPr="007E48F1">
        <w:rPr>
          <w:rFonts w:cs="Calibri"/>
          <w:sz w:val="24"/>
          <w:szCs w:val="24"/>
          <w:lang w:val="en-IN" w:eastAsia="en-IN" w:bidi="hi-IN"/>
        </w:rPr>
        <w:t xml:space="preserve">they are </w:t>
      </w:r>
      <w:r w:rsidR="005D059C" w:rsidRPr="007E48F1">
        <w:rPr>
          <w:bCs/>
          <w:iCs/>
          <w:sz w:val="24"/>
          <w:szCs w:val="24"/>
          <w:lang w:val="en-IN"/>
        </w:rPr>
        <w:t>assigned to the internal conversion time from S</w:t>
      </w:r>
      <w:r w:rsidR="005D059C" w:rsidRPr="007E48F1">
        <w:rPr>
          <w:bCs/>
          <w:iCs/>
          <w:sz w:val="24"/>
          <w:szCs w:val="24"/>
          <w:vertAlign w:val="subscript"/>
          <w:lang w:val="en-IN"/>
        </w:rPr>
        <w:t>2</w:t>
      </w:r>
      <w:r w:rsidR="005D059C" w:rsidRPr="007E48F1">
        <w:rPr>
          <w:bCs/>
          <w:iCs/>
          <w:sz w:val="24"/>
          <w:szCs w:val="24"/>
          <w:lang w:val="en-IN"/>
        </w:rPr>
        <w:t xml:space="preserve"> state to S</w:t>
      </w:r>
      <w:r w:rsidR="005D059C" w:rsidRPr="007E48F1">
        <w:rPr>
          <w:bCs/>
          <w:iCs/>
          <w:sz w:val="24"/>
          <w:szCs w:val="24"/>
          <w:vertAlign w:val="subscript"/>
          <w:lang w:val="en-IN"/>
        </w:rPr>
        <w:t>1</w:t>
      </w:r>
      <w:r w:rsidR="005D059C" w:rsidRPr="007E48F1">
        <w:rPr>
          <w:bCs/>
          <w:iCs/>
          <w:sz w:val="24"/>
          <w:szCs w:val="24"/>
          <w:lang w:val="en-IN"/>
        </w:rPr>
        <w:t xml:space="preserve"> state.</w:t>
      </w:r>
      <w:r w:rsidR="005D059C" w:rsidRPr="007E48F1">
        <w:rPr>
          <w:bCs/>
          <w:iCs/>
          <w:color w:val="0000FF"/>
          <w:sz w:val="24"/>
          <w:szCs w:val="24"/>
          <w:lang w:val="en-IN"/>
        </w:rPr>
        <w:t xml:space="preserve"> </w:t>
      </w:r>
      <w:r w:rsidR="005D059C" w:rsidRPr="007E48F1">
        <w:rPr>
          <w:bCs/>
          <w:iCs/>
          <w:sz w:val="24"/>
          <w:szCs w:val="24"/>
          <w:lang w:val="en-IN"/>
        </w:rPr>
        <w:t>The slower</w:t>
      </w:r>
      <w:r w:rsidR="00B62778" w:rsidRPr="007E48F1">
        <w:rPr>
          <w:bCs/>
          <w:iCs/>
          <w:sz w:val="24"/>
          <w:szCs w:val="24"/>
          <w:lang w:val="en-IN"/>
        </w:rPr>
        <w:t xml:space="preserve"> </w:t>
      </w:r>
      <w:r w:rsidR="005D059C" w:rsidRPr="007E48F1">
        <w:rPr>
          <w:bCs/>
          <w:iCs/>
          <w:sz w:val="24"/>
          <w:szCs w:val="24"/>
          <w:lang w:val="en-IN"/>
        </w:rPr>
        <w:t xml:space="preserve">decay components </w:t>
      </w:r>
      <w:r w:rsidR="00134234" w:rsidRPr="007E48F1">
        <w:rPr>
          <w:bCs/>
          <w:iCs/>
          <w:sz w:val="24"/>
          <w:szCs w:val="24"/>
          <w:lang w:val="en-IN"/>
        </w:rPr>
        <w:t xml:space="preserve">are found to be very similar to the lifetime of </w:t>
      </w:r>
      <w:r w:rsidR="0043006A" w:rsidRPr="007E48F1">
        <w:rPr>
          <w:bCs/>
          <w:iCs/>
          <w:sz w:val="24"/>
          <w:szCs w:val="24"/>
          <w:lang w:val="en-IN"/>
        </w:rPr>
        <w:t xml:space="preserve">relaxed </w:t>
      </w:r>
      <w:r w:rsidR="00134234" w:rsidRPr="007E48F1">
        <w:rPr>
          <w:bCs/>
          <w:iCs/>
          <w:sz w:val="24"/>
          <w:szCs w:val="24"/>
          <w:lang w:val="en-IN"/>
        </w:rPr>
        <w:t xml:space="preserve">singlet state of </w:t>
      </w:r>
      <w:r w:rsidR="00134234" w:rsidRPr="007E48F1">
        <w:rPr>
          <w:b/>
          <w:iCs/>
          <w:sz w:val="24"/>
          <w:szCs w:val="24"/>
          <w:lang w:val="en-IN"/>
        </w:rPr>
        <w:t>LG</w:t>
      </w:r>
      <w:r w:rsidR="008D5900" w:rsidRPr="007E48F1">
        <w:rPr>
          <w:b/>
          <w:iCs/>
          <w:sz w:val="24"/>
          <w:szCs w:val="24"/>
          <w:lang w:val="en-IN"/>
        </w:rPr>
        <w:t xml:space="preserve"> </w:t>
      </w:r>
      <w:r w:rsidR="00134234" w:rsidRPr="007E48F1">
        <w:rPr>
          <w:b/>
          <w:iCs/>
          <w:sz w:val="24"/>
          <w:szCs w:val="24"/>
          <w:lang w:val="en-IN"/>
        </w:rPr>
        <w:t>28</w:t>
      </w:r>
      <w:r w:rsidR="00134234" w:rsidRPr="007E48F1">
        <w:rPr>
          <w:bCs/>
          <w:iCs/>
          <w:sz w:val="24"/>
          <w:szCs w:val="24"/>
          <w:lang w:val="en-IN"/>
        </w:rPr>
        <w:t xml:space="preserve"> (1.9 ns) and </w:t>
      </w:r>
      <w:r w:rsidR="00134234" w:rsidRPr="007E48F1">
        <w:rPr>
          <w:b/>
          <w:iCs/>
          <w:sz w:val="24"/>
          <w:szCs w:val="24"/>
          <w:lang w:val="en-IN"/>
        </w:rPr>
        <w:t>LG</w:t>
      </w:r>
      <w:r w:rsidR="008D5900" w:rsidRPr="007E48F1">
        <w:rPr>
          <w:b/>
          <w:iCs/>
          <w:sz w:val="24"/>
          <w:szCs w:val="24"/>
          <w:lang w:val="en-IN"/>
        </w:rPr>
        <w:t xml:space="preserve"> </w:t>
      </w:r>
      <w:r w:rsidR="00134234" w:rsidRPr="007E48F1">
        <w:rPr>
          <w:b/>
          <w:iCs/>
          <w:sz w:val="24"/>
          <w:szCs w:val="24"/>
          <w:lang w:val="en-IN"/>
        </w:rPr>
        <w:t>29</w:t>
      </w:r>
      <w:r w:rsidR="00134234" w:rsidRPr="007E48F1">
        <w:rPr>
          <w:bCs/>
          <w:iCs/>
          <w:sz w:val="24"/>
          <w:szCs w:val="24"/>
          <w:lang w:val="en-IN"/>
        </w:rPr>
        <w:t xml:space="preserve"> (3.0 ns) measured by TCSPC. </w:t>
      </w:r>
      <w:r w:rsidR="00397172">
        <w:rPr>
          <w:bCs/>
          <w:iCs/>
          <w:sz w:val="24"/>
          <w:szCs w:val="24"/>
          <w:lang w:val="en-IN"/>
        </w:rPr>
        <w:t>It must be noted that</w:t>
      </w:r>
      <w:r w:rsidR="00134234" w:rsidRPr="007E48F1">
        <w:rPr>
          <w:bCs/>
          <w:iCs/>
          <w:sz w:val="24"/>
          <w:szCs w:val="24"/>
          <w:lang w:val="en-IN"/>
        </w:rPr>
        <w:t xml:space="preserve">, </w:t>
      </w:r>
      <w:r w:rsidR="00F91A02" w:rsidRPr="007E48F1">
        <w:rPr>
          <w:bCs/>
          <w:iCs/>
          <w:sz w:val="24"/>
          <w:szCs w:val="24"/>
          <w:lang w:val="en-IN"/>
        </w:rPr>
        <w:t xml:space="preserve">the third or slower component was constraint of fit </w:t>
      </w:r>
      <w:r w:rsidR="00134234" w:rsidRPr="007E48F1">
        <w:rPr>
          <w:bCs/>
          <w:iCs/>
          <w:sz w:val="24"/>
          <w:szCs w:val="24"/>
          <w:lang w:val="en-IN"/>
        </w:rPr>
        <w:t xml:space="preserve">in three component fitting of fluorescence upconversion signal in 2.5 ns </w:t>
      </w:r>
      <w:r w:rsidR="00F91A02" w:rsidRPr="007E48F1">
        <w:rPr>
          <w:bCs/>
          <w:iCs/>
          <w:sz w:val="24"/>
          <w:szCs w:val="24"/>
          <w:lang w:val="en-IN"/>
        </w:rPr>
        <w:t xml:space="preserve">detection </w:t>
      </w:r>
      <w:r w:rsidR="00134234" w:rsidRPr="007E48F1">
        <w:rPr>
          <w:bCs/>
          <w:iCs/>
          <w:sz w:val="24"/>
          <w:szCs w:val="24"/>
          <w:lang w:val="en-IN"/>
        </w:rPr>
        <w:t xml:space="preserve">time </w:t>
      </w:r>
      <w:r w:rsidR="00F91A02" w:rsidRPr="007E48F1">
        <w:rPr>
          <w:bCs/>
          <w:iCs/>
          <w:sz w:val="24"/>
          <w:szCs w:val="24"/>
          <w:lang w:val="en-IN"/>
        </w:rPr>
        <w:t>window.</w:t>
      </w:r>
      <w:r w:rsidR="00F91A02" w:rsidRPr="007E48F1">
        <w:rPr>
          <w:bCs/>
          <w:iCs/>
          <w:color w:val="0000FF"/>
          <w:sz w:val="24"/>
          <w:szCs w:val="24"/>
          <w:lang w:val="en-IN"/>
        </w:rPr>
        <w:t xml:space="preserve"> </w:t>
      </w:r>
      <w:r w:rsidR="00F91A02" w:rsidRPr="007E48F1">
        <w:rPr>
          <w:bCs/>
          <w:iCs/>
          <w:sz w:val="24"/>
          <w:szCs w:val="24"/>
          <w:lang w:val="en-IN"/>
        </w:rPr>
        <w:t xml:space="preserve">The second decay component </w:t>
      </w:r>
      <w:r w:rsidR="005E5844">
        <w:rPr>
          <w:bCs/>
          <w:iCs/>
          <w:sz w:val="24"/>
          <w:szCs w:val="24"/>
          <w:lang w:val="en-IN"/>
        </w:rPr>
        <w:t xml:space="preserve">was recorded with </w:t>
      </w:r>
      <w:r w:rsidR="00F91A02" w:rsidRPr="007E48F1">
        <w:rPr>
          <w:bCs/>
          <w:iCs/>
          <w:sz w:val="24"/>
          <w:szCs w:val="24"/>
          <w:lang w:val="en-IN"/>
        </w:rPr>
        <w:t xml:space="preserve"> 225 and 95 ps</w:t>
      </w:r>
      <w:r w:rsidR="00B62778" w:rsidRPr="007E48F1">
        <w:rPr>
          <w:bCs/>
          <w:iCs/>
          <w:sz w:val="24"/>
          <w:szCs w:val="24"/>
          <w:lang w:val="en-IN"/>
        </w:rPr>
        <w:t xml:space="preserve"> </w:t>
      </w:r>
      <w:r w:rsidR="0010740A" w:rsidRPr="007E48F1">
        <w:rPr>
          <w:bCs/>
          <w:iCs/>
          <w:sz w:val="24"/>
          <w:szCs w:val="24"/>
          <w:lang w:val="en-IN"/>
        </w:rPr>
        <w:t xml:space="preserve">for </w:t>
      </w:r>
      <w:r w:rsidR="0010740A" w:rsidRPr="007E48F1">
        <w:rPr>
          <w:b/>
          <w:iCs/>
          <w:sz w:val="24"/>
          <w:szCs w:val="24"/>
          <w:lang w:val="en-IN"/>
        </w:rPr>
        <w:t>LG</w:t>
      </w:r>
      <w:r w:rsidR="008D5900" w:rsidRPr="007E48F1">
        <w:rPr>
          <w:b/>
          <w:iCs/>
          <w:sz w:val="24"/>
          <w:szCs w:val="24"/>
          <w:lang w:val="en-IN"/>
        </w:rPr>
        <w:t xml:space="preserve"> </w:t>
      </w:r>
      <w:r w:rsidR="0010740A" w:rsidRPr="007E48F1">
        <w:rPr>
          <w:b/>
          <w:iCs/>
          <w:sz w:val="24"/>
          <w:szCs w:val="24"/>
          <w:lang w:val="en-IN"/>
        </w:rPr>
        <w:t>28</w:t>
      </w:r>
      <w:r w:rsidR="0010740A" w:rsidRPr="007E48F1">
        <w:rPr>
          <w:bCs/>
          <w:iCs/>
          <w:sz w:val="24"/>
          <w:szCs w:val="24"/>
          <w:lang w:val="en-IN"/>
        </w:rPr>
        <w:t xml:space="preserve"> and </w:t>
      </w:r>
      <w:r w:rsidR="0010740A" w:rsidRPr="007E48F1">
        <w:rPr>
          <w:b/>
          <w:iCs/>
          <w:sz w:val="24"/>
          <w:szCs w:val="24"/>
          <w:lang w:val="en-IN"/>
        </w:rPr>
        <w:t>LG</w:t>
      </w:r>
      <w:r w:rsidR="008D5900" w:rsidRPr="007E48F1">
        <w:rPr>
          <w:b/>
          <w:iCs/>
          <w:sz w:val="24"/>
          <w:szCs w:val="24"/>
          <w:lang w:val="en-IN"/>
        </w:rPr>
        <w:t xml:space="preserve"> </w:t>
      </w:r>
      <w:r w:rsidR="0010740A" w:rsidRPr="007E48F1">
        <w:rPr>
          <w:b/>
          <w:iCs/>
          <w:sz w:val="24"/>
          <w:szCs w:val="24"/>
          <w:lang w:val="en-IN"/>
        </w:rPr>
        <w:t xml:space="preserve">29 </w:t>
      </w:r>
      <w:r w:rsidR="0010740A" w:rsidRPr="007E48F1">
        <w:rPr>
          <w:bCs/>
          <w:iCs/>
          <w:sz w:val="24"/>
          <w:szCs w:val="24"/>
          <w:lang w:val="en-IN"/>
        </w:rPr>
        <w:t>respectively.</w:t>
      </w:r>
      <w:r w:rsidR="0010740A" w:rsidRPr="007E48F1">
        <w:rPr>
          <w:bCs/>
          <w:iCs/>
          <w:color w:val="0000FF"/>
          <w:sz w:val="24"/>
          <w:szCs w:val="24"/>
          <w:lang w:val="en-IN"/>
        </w:rPr>
        <w:t xml:space="preserve"> </w:t>
      </w:r>
      <w:r w:rsidR="0010740A" w:rsidRPr="007E48F1">
        <w:rPr>
          <w:bCs/>
          <w:iCs/>
          <w:sz w:val="24"/>
          <w:szCs w:val="24"/>
          <w:lang w:val="en-IN"/>
        </w:rPr>
        <w:t xml:space="preserve">Existence of </w:t>
      </w:r>
      <w:r w:rsidR="0043006A" w:rsidRPr="007E48F1">
        <w:rPr>
          <w:bCs/>
          <w:iCs/>
          <w:sz w:val="24"/>
          <w:szCs w:val="24"/>
          <w:lang w:val="en-IN"/>
        </w:rPr>
        <w:t>such</w:t>
      </w:r>
      <w:r w:rsidR="0010740A" w:rsidRPr="007E48F1">
        <w:rPr>
          <w:bCs/>
          <w:iCs/>
          <w:sz w:val="24"/>
          <w:szCs w:val="24"/>
          <w:lang w:val="en-IN"/>
        </w:rPr>
        <w:t xml:space="preserve"> component in parent Zn-TPP is not reported.</w:t>
      </w:r>
      <w:r w:rsidR="0010740A" w:rsidRPr="007E48F1">
        <w:rPr>
          <w:bCs/>
          <w:iCs/>
          <w:color w:val="0000FF"/>
          <w:sz w:val="24"/>
          <w:szCs w:val="24"/>
          <w:lang w:val="en-IN"/>
        </w:rPr>
        <w:t xml:space="preserve"> </w:t>
      </w:r>
      <w:r w:rsidR="0010740A" w:rsidRPr="007E48F1">
        <w:rPr>
          <w:bCs/>
          <w:iCs/>
          <w:sz w:val="24"/>
          <w:szCs w:val="24"/>
          <w:lang w:val="en-IN"/>
        </w:rPr>
        <w:t xml:space="preserve">Therefore, this </w:t>
      </w:r>
      <w:r w:rsidR="0043006A" w:rsidRPr="007E48F1">
        <w:rPr>
          <w:bCs/>
          <w:iCs/>
          <w:sz w:val="24"/>
          <w:szCs w:val="24"/>
          <w:lang w:val="en-IN"/>
        </w:rPr>
        <w:t xml:space="preserve">intermediate </w:t>
      </w:r>
      <w:r w:rsidR="0010740A" w:rsidRPr="007E48F1">
        <w:rPr>
          <w:bCs/>
          <w:iCs/>
          <w:sz w:val="24"/>
          <w:szCs w:val="24"/>
          <w:lang w:val="en-IN"/>
        </w:rPr>
        <w:t>component can be assigned to be conformationally unrelaxed S</w:t>
      </w:r>
      <w:r w:rsidR="0010740A" w:rsidRPr="007E48F1">
        <w:rPr>
          <w:bCs/>
          <w:iCs/>
          <w:sz w:val="24"/>
          <w:szCs w:val="24"/>
          <w:vertAlign w:val="subscript"/>
          <w:lang w:val="en-IN"/>
        </w:rPr>
        <w:t>1</w:t>
      </w:r>
      <w:r w:rsidR="0010740A" w:rsidRPr="007E48F1">
        <w:rPr>
          <w:bCs/>
          <w:iCs/>
          <w:sz w:val="24"/>
          <w:szCs w:val="24"/>
          <w:lang w:val="en-IN"/>
        </w:rPr>
        <w:t xml:space="preserve"> state</w:t>
      </w:r>
      <w:r w:rsidR="0043006A" w:rsidRPr="007E48F1">
        <w:rPr>
          <w:bCs/>
          <w:iCs/>
          <w:sz w:val="24"/>
          <w:szCs w:val="24"/>
          <w:lang w:val="en-IN"/>
        </w:rPr>
        <w:t xml:space="preserve"> which appears due to substitution </w:t>
      </w:r>
      <w:r w:rsidR="00292746" w:rsidRPr="007E48F1">
        <w:rPr>
          <w:bCs/>
          <w:iCs/>
          <w:sz w:val="24"/>
          <w:szCs w:val="24"/>
          <w:lang w:val="en-IN"/>
        </w:rPr>
        <w:t>of phenothiazine</w:t>
      </w:r>
      <w:r w:rsidR="0043006A" w:rsidRPr="007E48F1">
        <w:rPr>
          <w:sz w:val="24"/>
          <w:szCs w:val="24"/>
          <w:lang w:val="en-IN"/>
        </w:rPr>
        <w:t xml:space="preserve"> and </w:t>
      </w:r>
      <w:r w:rsidR="00292746" w:rsidRPr="007E48F1">
        <w:rPr>
          <w:sz w:val="24"/>
          <w:szCs w:val="24"/>
          <w:lang w:val="en-IN"/>
        </w:rPr>
        <w:t>thiol/</w:t>
      </w:r>
      <w:r w:rsidR="0043006A" w:rsidRPr="007E48F1">
        <w:rPr>
          <w:iCs/>
          <w:sz w:val="24"/>
          <w:szCs w:val="24"/>
          <w:lang w:val="en-IN"/>
        </w:rPr>
        <w:t xml:space="preserve">selenophene heterocyclic </w:t>
      </w:r>
      <w:r w:rsidR="0043006A" w:rsidRPr="007E48F1">
        <w:rPr>
          <w:sz w:val="24"/>
          <w:szCs w:val="24"/>
          <w:lang w:val="en-IN"/>
        </w:rPr>
        <w:t>ring in meso 5 and 15 position of ZnTPP</w:t>
      </w:r>
      <w:r w:rsidR="00B62778" w:rsidRPr="007E48F1">
        <w:rPr>
          <w:sz w:val="24"/>
          <w:szCs w:val="24"/>
          <w:lang w:val="en-IN"/>
        </w:rPr>
        <w:t xml:space="preserve"> </w:t>
      </w:r>
      <w:r w:rsidR="00292746" w:rsidRPr="007E48F1">
        <w:rPr>
          <w:bCs/>
          <w:iCs/>
          <w:sz w:val="24"/>
          <w:szCs w:val="24"/>
          <w:lang w:val="en-IN"/>
        </w:rPr>
        <w:t xml:space="preserve">in </w:t>
      </w:r>
      <w:r w:rsidR="00292746" w:rsidRPr="007E48F1">
        <w:rPr>
          <w:b/>
          <w:iCs/>
          <w:sz w:val="24"/>
          <w:szCs w:val="24"/>
          <w:lang w:val="en-IN"/>
        </w:rPr>
        <w:t>LG</w:t>
      </w:r>
      <w:r w:rsidR="008D5900" w:rsidRPr="007E48F1">
        <w:rPr>
          <w:b/>
          <w:iCs/>
          <w:sz w:val="24"/>
          <w:szCs w:val="24"/>
          <w:lang w:val="en-IN"/>
        </w:rPr>
        <w:t xml:space="preserve"> </w:t>
      </w:r>
      <w:r w:rsidR="00292746" w:rsidRPr="007E48F1">
        <w:rPr>
          <w:b/>
          <w:iCs/>
          <w:sz w:val="24"/>
          <w:szCs w:val="24"/>
          <w:lang w:val="en-IN"/>
        </w:rPr>
        <w:t>28</w:t>
      </w:r>
      <w:r w:rsidR="00292746" w:rsidRPr="007E48F1">
        <w:rPr>
          <w:bCs/>
          <w:iCs/>
          <w:sz w:val="24"/>
          <w:szCs w:val="24"/>
          <w:lang w:val="en-IN"/>
        </w:rPr>
        <w:t xml:space="preserve"> and </w:t>
      </w:r>
      <w:r w:rsidR="00292746" w:rsidRPr="007E48F1">
        <w:rPr>
          <w:b/>
          <w:iCs/>
          <w:sz w:val="24"/>
          <w:szCs w:val="24"/>
          <w:lang w:val="en-IN"/>
        </w:rPr>
        <w:t>LG</w:t>
      </w:r>
      <w:r w:rsidR="008D5900" w:rsidRPr="007E48F1">
        <w:rPr>
          <w:b/>
          <w:iCs/>
          <w:sz w:val="24"/>
          <w:szCs w:val="24"/>
          <w:lang w:val="en-IN"/>
        </w:rPr>
        <w:t xml:space="preserve"> </w:t>
      </w:r>
      <w:r w:rsidR="00292746" w:rsidRPr="007E48F1">
        <w:rPr>
          <w:b/>
          <w:iCs/>
          <w:sz w:val="24"/>
          <w:szCs w:val="24"/>
          <w:lang w:val="en-IN"/>
        </w:rPr>
        <w:t>29</w:t>
      </w:r>
      <w:r w:rsidR="001F6B98" w:rsidRPr="007E48F1">
        <w:rPr>
          <w:sz w:val="24"/>
          <w:szCs w:val="24"/>
          <w:lang w:val="en-IN"/>
        </w:rPr>
        <w:t xml:space="preserve"> respectively and for brevity we assign this state as S</w:t>
      </w:r>
      <w:r w:rsidR="001F6B98" w:rsidRPr="007E48F1">
        <w:rPr>
          <w:sz w:val="24"/>
          <w:szCs w:val="24"/>
          <w:vertAlign w:val="subscript"/>
          <w:lang w:val="en-IN"/>
        </w:rPr>
        <w:t>1</w:t>
      </w:r>
      <w:r w:rsidR="001F6B98" w:rsidRPr="007E48F1">
        <w:rPr>
          <w:sz w:val="24"/>
          <w:szCs w:val="24"/>
          <w:vertAlign w:val="superscript"/>
          <w:lang w:val="en-IN"/>
        </w:rPr>
        <w:t>*</w:t>
      </w:r>
      <w:r w:rsidR="001F6B98" w:rsidRPr="007E48F1">
        <w:rPr>
          <w:sz w:val="24"/>
          <w:szCs w:val="24"/>
          <w:lang w:val="en-IN"/>
        </w:rPr>
        <w:t xml:space="preserve"> state. </w:t>
      </w:r>
      <w:r w:rsidR="00292746" w:rsidRPr="007E48F1">
        <w:rPr>
          <w:sz w:val="24"/>
          <w:szCs w:val="24"/>
          <w:lang w:val="en-IN"/>
        </w:rPr>
        <w:t>However, upon addition of TiO</w:t>
      </w:r>
      <w:r w:rsidR="00292746" w:rsidRPr="007E48F1">
        <w:rPr>
          <w:sz w:val="24"/>
          <w:szCs w:val="24"/>
          <w:vertAlign w:val="subscript"/>
          <w:lang w:val="en-IN"/>
        </w:rPr>
        <w:t>2</w:t>
      </w:r>
      <w:r w:rsidR="00B62778" w:rsidRPr="007E48F1">
        <w:rPr>
          <w:sz w:val="24"/>
          <w:szCs w:val="24"/>
          <w:vertAlign w:val="subscript"/>
          <w:lang w:val="en-IN"/>
        </w:rPr>
        <w:t xml:space="preserve"> </w:t>
      </w:r>
      <w:r w:rsidR="00292746" w:rsidRPr="007E48F1">
        <w:rPr>
          <w:bCs/>
          <w:iCs/>
          <w:sz w:val="24"/>
          <w:szCs w:val="24"/>
          <w:lang w:val="en-IN"/>
        </w:rPr>
        <w:t xml:space="preserve">in the THF solution of </w:t>
      </w:r>
      <w:r w:rsidR="00292746" w:rsidRPr="007E48F1">
        <w:rPr>
          <w:b/>
          <w:iCs/>
          <w:sz w:val="24"/>
          <w:szCs w:val="24"/>
          <w:lang w:val="en-IN"/>
        </w:rPr>
        <w:t>LG</w:t>
      </w:r>
      <w:r w:rsidR="008D5900" w:rsidRPr="007E48F1">
        <w:rPr>
          <w:b/>
          <w:iCs/>
          <w:sz w:val="24"/>
          <w:szCs w:val="24"/>
          <w:lang w:val="en-IN"/>
        </w:rPr>
        <w:t xml:space="preserve"> </w:t>
      </w:r>
      <w:r w:rsidR="00292746" w:rsidRPr="007E48F1">
        <w:rPr>
          <w:b/>
          <w:iCs/>
          <w:sz w:val="24"/>
          <w:szCs w:val="24"/>
          <w:lang w:val="en-IN"/>
        </w:rPr>
        <w:t>28</w:t>
      </w:r>
      <w:r w:rsidR="00292746" w:rsidRPr="007E48F1">
        <w:rPr>
          <w:bCs/>
          <w:iCs/>
          <w:sz w:val="24"/>
          <w:szCs w:val="24"/>
          <w:lang w:val="en-IN"/>
        </w:rPr>
        <w:t xml:space="preserve"> and </w:t>
      </w:r>
      <w:r w:rsidR="00292746" w:rsidRPr="007E48F1">
        <w:rPr>
          <w:b/>
          <w:iCs/>
          <w:sz w:val="24"/>
          <w:szCs w:val="24"/>
          <w:lang w:val="en-IN"/>
        </w:rPr>
        <w:t>LG</w:t>
      </w:r>
      <w:r w:rsidR="008D5900" w:rsidRPr="007E48F1">
        <w:rPr>
          <w:b/>
          <w:iCs/>
          <w:sz w:val="24"/>
          <w:szCs w:val="24"/>
          <w:lang w:val="en-IN"/>
        </w:rPr>
        <w:t xml:space="preserve"> </w:t>
      </w:r>
      <w:r w:rsidR="00292746" w:rsidRPr="007E48F1">
        <w:rPr>
          <w:b/>
          <w:iCs/>
          <w:sz w:val="24"/>
          <w:szCs w:val="24"/>
          <w:lang w:val="en-IN"/>
        </w:rPr>
        <w:t>29</w:t>
      </w:r>
      <w:r w:rsidR="00292746" w:rsidRPr="007E48F1">
        <w:rPr>
          <w:bCs/>
          <w:iCs/>
          <w:sz w:val="24"/>
          <w:szCs w:val="24"/>
          <w:lang w:val="en-IN"/>
        </w:rPr>
        <w:t>, self-assemble layer of respective sensitizer are formed and it is substantiated by systematic blue-shift of all major absorption peaks by 3-4 nm f</w:t>
      </w:r>
      <w:r w:rsidR="002207F5" w:rsidRPr="007E48F1">
        <w:rPr>
          <w:bCs/>
          <w:iCs/>
          <w:sz w:val="24"/>
          <w:szCs w:val="24"/>
          <w:lang w:val="en-IN"/>
        </w:rPr>
        <w:t>o</w:t>
      </w:r>
      <w:r w:rsidR="00292746" w:rsidRPr="007E48F1">
        <w:rPr>
          <w:bCs/>
          <w:iCs/>
          <w:sz w:val="24"/>
          <w:szCs w:val="24"/>
          <w:lang w:val="en-IN"/>
        </w:rPr>
        <w:t>l</w:t>
      </w:r>
      <w:r w:rsidR="002207F5" w:rsidRPr="007E48F1">
        <w:rPr>
          <w:bCs/>
          <w:iCs/>
          <w:sz w:val="24"/>
          <w:szCs w:val="24"/>
          <w:lang w:val="en-IN"/>
        </w:rPr>
        <w:t>l</w:t>
      </w:r>
      <w:r w:rsidR="00292746" w:rsidRPr="007E48F1">
        <w:rPr>
          <w:bCs/>
          <w:iCs/>
          <w:sz w:val="24"/>
          <w:szCs w:val="24"/>
          <w:lang w:val="en-IN"/>
        </w:rPr>
        <w:t>owed by nearly complete quenching of fluorescence</w:t>
      </w:r>
      <w:r w:rsidR="007C7AD9" w:rsidRPr="007E48F1">
        <w:rPr>
          <w:bCs/>
          <w:iCs/>
          <w:color w:val="0000FF"/>
          <w:sz w:val="24"/>
          <w:szCs w:val="24"/>
          <w:lang w:val="en-IN"/>
        </w:rPr>
        <w:t xml:space="preserve">  </w:t>
      </w:r>
    </w:p>
    <w:p w14:paraId="6569C281" w14:textId="77777777" w:rsidR="00833892" w:rsidRPr="00CF55D9" w:rsidRDefault="00833892" w:rsidP="00833892">
      <w:pPr>
        <w:spacing w:after="0" w:line="360" w:lineRule="auto"/>
        <w:jc w:val="both"/>
        <w:rPr>
          <w:color w:val="0000FF"/>
          <w:sz w:val="24"/>
          <w:szCs w:val="24"/>
        </w:rPr>
      </w:pPr>
    </w:p>
    <w:p w14:paraId="2557B598" w14:textId="3B2E7EC5" w:rsidR="00CB3BBF" w:rsidRPr="00CF55D9" w:rsidRDefault="006333CE" w:rsidP="00CD7E83">
      <w:pPr>
        <w:spacing w:after="0" w:line="360" w:lineRule="auto"/>
        <w:jc w:val="center"/>
        <w:rPr>
          <w:color w:val="0000FF"/>
          <w:sz w:val="24"/>
          <w:szCs w:val="24"/>
          <w:lang w:val="en-IN"/>
        </w:rPr>
      </w:pPr>
      <w:commentRangeStart w:id="2"/>
      <w:r w:rsidRPr="00E70CEA">
        <w:rPr>
          <w:noProof/>
          <w:color w:val="0000FF"/>
          <w:sz w:val="24"/>
          <w:szCs w:val="24"/>
        </w:rPr>
        <w:drawing>
          <wp:inline distT="0" distB="0" distL="0" distR="0" wp14:anchorId="1CA6CEB9" wp14:editId="5E1A8A0A">
            <wp:extent cx="4343400" cy="6730365"/>
            <wp:effectExtent l="0" t="0" r="0"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3400" cy="6730365"/>
                    </a:xfrm>
                    <a:prstGeom prst="rect">
                      <a:avLst/>
                    </a:prstGeom>
                    <a:noFill/>
                    <a:ln>
                      <a:noFill/>
                    </a:ln>
                  </pic:spPr>
                </pic:pic>
              </a:graphicData>
            </a:graphic>
          </wp:inline>
        </w:drawing>
      </w:r>
      <w:commentRangeEnd w:id="2"/>
      <w:r w:rsidR="00120E4E">
        <w:rPr>
          <w:rStyle w:val="CommentReference"/>
        </w:rPr>
        <w:commentReference w:id="2"/>
      </w:r>
    </w:p>
    <w:p w14:paraId="30DE3CD2" w14:textId="326360B4" w:rsidR="007662F4" w:rsidRDefault="00655298" w:rsidP="007662F4">
      <w:pPr>
        <w:spacing w:after="0" w:line="360" w:lineRule="auto"/>
        <w:jc w:val="both"/>
        <w:rPr>
          <w:sz w:val="24"/>
          <w:szCs w:val="24"/>
          <w:lang w:val="en-IN"/>
        </w:rPr>
      </w:pPr>
      <w:r w:rsidRPr="00CD7E83">
        <w:rPr>
          <w:b/>
          <w:sz w:val="24"/>
          <w:szCs w:val="24"/>
          <w:lang w:val="en-IN"/>
        </w:rPr>
        <w:t>Figure 2.</w:t>
      </w:r>
      <w:r w:rsidR="00C81C94" w:rsidRPr="00CD7E83">
        <w:rPr>
          <w:sz w:val="24"/>
          <w:szCs w:val="24"/>
          <w:lang w:val="en-IN"/>
        </w:rPr>
        <w:t xml:space="preserve"> Fluorescence upconverted signal of (A) </w:t>
      </w:r>
      <w:r w:rsidR="00C81C94" w:rsidRPr="00CD7E83">
        <w:rPr>
          <w:b/>
          <w:sz w:val="24"/>
          <w:szCs w:val="24"/>
          <w:lang w:val="en-IN"/>
        </w:rPr>
        <w:t>LG</w:t>
      </w:r>
      <w:r w:rsidR="009052FB">
        <w:rPr>
          <w:b/>
          <w:sz w:val="24"/>
          <w:szCs w:val="24"/>
          <w:lang w:val="en-IN"/>
        </w:rPr>
        <w:t xml:space="preserve"> </w:t>
      </w:r>
      <w:r w:rsidR="00C81C94" w:rsidRPr="00CD7E83">
        <w:rPr>
          <w:b/>
          <w:sz w:val="24"/>
          <w:szCs w:val="24"/>
          <w:lang w:val="en-IN"/>
        </w:rPr>
        <w:t>28</w:t>
      </w:r>
      <w:r w:rsidR="00C81C94" w:rsidRPr="00CD7E83">
        <w:rPr>
          <w:sz w:val="24"/>
          <w:szCs w:val="24"/>
          <w:lang w:val="en-IN"/>
        </w:rPr>
        <w:t xml:space="preserve"> (blue color) and </w:t>
      </w:r>
      <w:r w:rsidR="00C81C94" w:rsidRPr="00CD7E83">
        <w:rPr>
          <w:b/>
          <w:sz w:val="24"/>
          <w:szCs w:val="24"/>
          <w:lang w:val="en-IN"/>
        </w:rPr>
        <w:t>LG</w:t>
      </w:r>
      <w:r w:rsidR="009052FB">
        <w:rPr>
          <w:b/>
          <w:sz w:val="24"/>
          <w:szCs w:val="24"/>
          <w:lang w:val="en-IN"/>
        </w:rPr>
        <w:t xml:space="preserve"> </w:t>
      </w:r>
      <w:r w:rsidR="00C81C94" w:rsidRPr="00CD7E83">
        <w:rPr>
          <w:b/>
          <w:sz w:val="24"/>
          <w:szCs w:val="24"/>
          <w:lang w:val="en-IN"/>
        </w:rPr>
        <w:t>28</w:t>
      </w:r>
      <w:r w:rsidR="00C81C94" w:rsidRPr="00CD7E83">
        <w:rPr>
          <w:sz w:val="24"/>
          <w:szCs w:val="24"/>
          <w:lang w:val="en-IN"/>
        </w:rPr>
        <w:t>+TiO</w:t>
      </w:r>
      <w:r w:rsidR="00C81C94" w:rsidRPr="00CD7E83">
        <w:rPr>
          <w:sz w:val="24"/>
          <w:szCs w:val="24"/>
          <w:vertAlign w:val="subscript"/>
          <w:lang w:val="en-IN"/>
        </w:rPr>
        <w:t>2 ,</w:t>
      </w:r>
      <w:r w:rsidR="00C81C94" w:rsidRPr="00CD7E83">
        <w:rPr>
          <w:sz w:val="24"/>
          <w:szCs w:val="24"/>
          <w:lang w:val="en-IN"/>
        </w:rPr>
        <w:t xml:space="preserve">(B) </w:t>
      </w:r>
      <w:r w:rsidR="00C81C94" w:rsidRPr="00CD7E83">
        <w:rPr>
          <w:b/>
          <w:sz w:val="24"/>
          <w:szCs w:val="24"/>
          <w:lang w:val="en-IN"/>
        </w:rPr>
        <w:t>LG</w:t>
      </w:r>
      <w:r w:rsidR="009052FB">
        <w:rPr>
          <w:b/>
          <w:sz w:val="24"/>
          <w:szCs w:val="24"/>
          <w:lang w:val="en-IN"/>
        </w:rPr>
        <w:t xml:space="preserve"> </w:t>
      </w:r>
      <w:r w:rsidR="00C81C94" w:rsidRPr="00CD7E83">
        <w:rPr>
          <w:b/>
          <w:sz w:val="24"/>
          <w:szCs w:val="24"/>
          <w:lang w:val="en-IN"/>
        </w:rPr>
        <w:t>29</w:t>
      </w:r>
      <w:r w:rsidR="00C81C94" w:rsidRPr="00CD7E83">
        <w:rPr>
          <w:sz w:val="24"/>
          <w:szCs w:val="24"/>
          <w:lang w:val="en-IN"/>
        </w:rPr>
        <w:t xml:space="preserve"> (blue color) and </w:t>
      </w:r>
      <w:r w:rsidR="00C81C94" w:rsidRPr="00CD7E83">
        <w:rPr>
          <w:b/>
          <w:sz w:val="24"/>
          <w:szCs w:val="24"/>
          <w:lang w:val="en-IN"/>
        </w:rPr>
        <w:t>LG</w:t>
      </w:r>
      <w:r w:rsidR="009052FB">
        <w:rPr>
          <w:b/>
          <w:sz w:val="24"/>
          <w:szCs w:val="24"/>
          <w:lang w:val="en-IN"/>
        </w:rPr>
        <w:t xml:space="preserve"> </w:t>
      </w:r>
      <w:r w:rsidR="00C81C94" w:rsidRPr="00CD7E83">
        <w:rPr>
          <w:b/>
          <w:sz w:val="24"/>
          <w:szCs w:val="24"/>
          <w:lang w:val="en-IN"/>
        </w:rPr>
        <w:t>29</w:t>
      </w:r>
      <w:r w:rsidR="00C81C94" w:rsidRPr="00CD7E83">
        <w:rPr>
          <w:sz w:val="24"/>
          <w:szCs w:val="24"/>
          <w:lang w:val="en-IN"/>
        </w:rPr>
        <w:t>+TiO</w:t>
      </w:r>
      <w:r w:rsidR="00C81C94" w:rsidRPr="00CD7E83">
        <w:rPr>
          <w:sz w:val="24"/>
          <w:szCs w:val="24"/>
          <w:vertAlign w:val="subscript"/>
          <w:lang w:val="en-IN"/>
        </w:rPr>
        <w:t>2</w:t>
      </w:r>
      <w:r w:rsidR="00C81C94" w:rsidRPr="00CD7E83">
        <w:rPr>
          <w:sz w:val="24"/>
          <w:szCs w:val="24"/>
          <w:lang w:val="en-IN"/>
        </w:rPr>
        <w:t xml:space="preserve"> monitored at the peak of S</w:t>
      </w:r>
      <w:r w:rsidR="00C81C94" w:rsidRPr="00CD7E83">
        <w:rPr>
          <w:sz w:val="24"/>
          <w:szCs w:val="24"/>
          <w:vertAlign w:val="subscript"/>
          <w:lang w:val="en-IN"/>
        </w:rPr>
        <w:t>1</w:t>
      </w:r>
      <w:r w:rsidR="00C81C94" w:rsidRPr="00CD7E83">
        <w:rPr>
          <w:sz w:val="24"/>
          <w:szCs w:val="24"/>
          <w:lang w:val="en-IN"/>
        </w:rPr>
        <w:t xml:space="preserve"> emission </w:t>
      </w:r>
      <w:r w:rsidR="006643EA" w:rsidRPr="00CD7E83">
        <w:rPr>
          <w:sz w:val="24"/>
          <w:szCs w:val="24"/>
          <w:lang w:val="en-IN"/>
        </w:rPr>
        <w:t xml:space="preserve">upon 400 nm excitation </w:t>
      </w:r>
      <w:r w:rsidR="00C81C94" w:rsidRPr="00CD7E83">
        <w:rPr>
          <w:sz w:val="24"/>
          <w:szCs w:val="24"/>
          <w:lang w:val="en-IN"/>
        </w:rPr>
        <w:t xml:space="preserve">in THF solution. </w:t>
      </w:r>
      <w:r w:rsidR="006643EA" w:rsidRPr="00CD7E83">
        <w:rPr>
          <w:sz w:val="24"/>
          <w:szCs w:val="24"/>
          <w:lang w:val="en-IN"/>
        </w:rPr>
        <w:t>Inset (i) in (A) and (i) and (ii) in (B) are enlarge</w:t>
      </w:r>
      <w:r w:rsidR="00D215C1">
        <w:rPr>
          <w:sz w:val="24"/>
          <w:szCs w:val="24"/>
          <w:lang w:val="en-IN"/>
        </w:rPr>
        <w:t>d</w:t>
      </w:r>
      <w:r w:rsidR="006643EA" w:rsidRPr="00CD7E83">
        <w:rPr>
          <w:sz w:val="24"/>
          <w:szCs w:val="24"/>
          <w:lang w:val="en-IN"/>
        </w:rPr>
        <w:t xml:space="preserve"> view in 100 and 10 ps time domains. Scribbling lines are experimental data and smooth line is the multiexponential fit. </w:t>
      </w:r>
    </w:p>
    <w:p w14:paraId="58D00B65" w14:textId="2981ABD0" w:rsidR="00CD7E83" w:rsidRDefault="005976A1" w:rsidP="007662F4">
      <w:pPr>
        <w:spacing w:after="0" w:line="360" w:lineRule="auto"/>
        <w:jc w:val="both"/>
        <w:rPr>
          <w:bCs/>
          <w:iCs/>
          <w:sz w:val="24"/>
          <w:szCs w:val="24"/>
          <w:lang w:val="en-IN"/>
        </w:rPr>
      </w:pPr>
      <w:r w:rsidRPr="007E48F1">
        <w:rPr>
          <w:bCs/>
          <w:iCs/>
          <w:sz w:val="24"/>
          <w:szCs w:val="24"/>
          <w:lang w:val="en-IN"/>
        </w:rPr>
        <w:lastRenderedPageBreak/>
        <w:t>emission of these two sensitizers.</w:t>
      </w:r>
      <w:r w:rsidRPr="007E48F1">
        <w:rPr>
          <w:bCs/>
          <w:iCs/>
          <w:color w:val="0000FF"/>
          <w:sz w:val="24"/>
          <w:szCs w:val="24"/>
          <w:lang w:val="en-IN"/>
        </w:rPr>
        <w:t xml:space="preserve"> </w:t>
      </w:r>
      <w:r w:rsidRPr="007E48F1">
        <w:rPr>
          <w:bCs/>
          <w:iCs/>
          <w:sz w:val="24"/>
          <w:szCs w:val="24"/>
          <w:lang w:val="en-IN"/>
        </w:rPr>
        <w:t xml:space="preserve">To understand the nature of fluorescence quenching we performed fluorescence upconversion studies of </w:t>
      </w:r>
      <w:r w:rsidRPr="007E48F1">
        <w:rPr>
          <w:b/>
          <w:iCs/>
          <w:sz w:val="24"/>
          <w:szCs w:val="24"/>
          <w:lang w:val="en-IN"/>
        </w:rPr>
        <w:t>LG 28</w:t>
      </w:r>
      <w:r w:rsidRPr="007E48F1">
        <w:rPr>
          <w:bCs/>
          <w:iCs/>
          <w:sz w:val="24"/>
          <w:szCs w:val="24"/>
          <w:lang w:val="en-IN"/>
        </w:rPr>
        <w:t xml:space="preserve"> and </w:t>
      </w:r>
      <w:r w:rsidRPr="007E48F1">
        <w:rPr>
          <w:b/>
          <w:iCs/>
          <w:sz w:val="24"/>
          <w:szCs w:val="24"/>
          <w:lang w:val="en-IN"/>
        </w:rPr>
        <w:t>LG 29</w:t>
      </w:r>
      <w:r w:rsidRPr="007E48F1">
        <w:rPr>
          <w:bCs/>
          <w:iCs/>
          <w:sz w:val="24"/>
          <w:szCs w:val="24"/>
          <w:lang w:val="en-IN"/>
        </w:rPr>
        <w:t xml:space="preserve"> in presence of TiO</w:t>
      </w:r>
      <w:r w:rsidRPr="007E48F1">
        <w:rPr>
          <w:bCs/>
          <w:iCs/>
          <w:sz w:val="24"/>
          <w:szCs w:val="24"/>
          <w:vertAlign w:val="subscript"/>
          <w:lang w:val="en-IN"/>
        </w:rPr>
        <w:t>2</w:t>
      </w:r>
      <w:r w:rsidRPr="007E48F1">
        <w:rPr>
          <w:bCs/>
          <w:iCs/>
          <w:sz w:val="24"/>
          <w:szCs w:val="24"/>
          <w:lang w:val="en-IN"/>
        </w:rPr>
        <w:t>.</w:t>
      </w:r>
      <w:r w:rsidRPr="007E48F1">
        <w:rPr>
          <w:bCs/>
          <w:iCs/>
          <w:color w:val="0000FF"/>
          <w:sz w:val="24"/>
          <w:szCs w:val="24"/>
          <w:lang w:val="en-IN"/>
        </w:rPr>
        <w:t xml:space="preserve"> </w:t>
      </w:r>
      <w:r w:rsidRPr="007E48F1">
        <w:rPr>
          <w:bCs/>
          <w:iCs/>
          <w:sz w:val="24"/>
          <w:szCs w:val="24"/>
          <w:lang w:val="en-IN"/>
        </w:rPr>
        <w:t>Comparative fluorescence upconversion signal time profiles are shown in Figure 2.</w:t>
      </w:r>
      <w:r w:rsidRPr="007E48F1">
        <w:rPr>
          <w:bCs/>
          <w:iCs/>
          <w:color w:val="0000FF"/>
          <w:sz w:val="24"/>
          <w:szCs w:val="24"/>
          <w:lang w:val="en-IN"/>
        </w:rPr>
        <w:t xml:space="preserve">  </w:t>
      </w:r>
      <w:r w:rsidRPr="007E48F1">
        <w:rPr>
          <w:bCs/>
          <w:iCs/>
          <w:sz w:val="24"/>
          <w:szCs w:val="24"/>
          <w:lang w:val="en-IN"/>
        </w:rPr>
        <w:t>The</w:t>
      </w:r>
      <w:r>
        <w:rPr>
          <w:bCs/>
          <w:iCs/>
          <w:sz w:val="24"/>
          <w:szCs w:val="24"/>
          <w:lang w:val="en-IN"/>
        </w:rPr>
        <w:t xml:space="preserve"> </w:t>
      </w:r>
      <w:r w:rsidR="00034109" w:rsidRPr="007E48F1">
        <w:rPr>
          <w:bCs/>
          <w:iCs/>
          <w:sz w:val="24"/>
          <w:szCs w:val="24"/>
          <w:lang w:val="en-IN"/>
        </w:rPr>
        <w:t xml:space="preserve">characteristic time constant for all three components for both the sensitizers quenched </w:t>
      </w:r>
      <w:r w:rsidR="005E5844">
        <w:rPr>
          <w:bCs/>
          <w:iCs/>
          <w:sz w:val="24"/>
          <w:szCs w:val="24"/>
          <w:lang w:val="en-IN"/>
        </w:rPr>
        <w:t xml:space="preserve">in </w:t>
      </w:r>
      <w:r w:rsidR="00034109" w:rsidRPr="007E48F1">
        <w:rPr>
          <w:bCs/>
          <w:iCs/>
          <w:sz w:val="24"/>
          <w:szCs w:val="24"/>
          <w:lang w:val="en-IN"/>
        </w:rPr>
        <w:t>respect to their corresponding characteristic time constants observed in absence of TiO</w:t>
      </w:r>
      <w:r w:rsidR="00034109" w:rsidRPr="007E48F1">
        <w:rPr>
          <w:bCs/>
          <w:iCs/>
          <w:sz w:val="24"/>
          <w:szCs w:val="24"/>
          <w:vertAlign w:val="subscript"/>
          <w:lang w:val="en-IN"/>
        </w:rPr>
        <w:t>2</w:t>
      </w:r>
      <w:r w:rsidR="00034109" w:rsidRPr="007E48F1">
        <w:rPr>
          <w:bCs/>
          <w:iCs/>
          <w:sz w:val="24"/>
          <w:szCs w:val="24"/>
          <w:lang w:val="en-IN"/>
        </w:rPr>
        <w:t>.</w:t>
      </w:r>
      <w:r w:rsidR="00034109" w:rsidRPr="007E48F1">
        <w:rPr>
          <w:bCs/>
          <w:iCs/>
          <w:color w:val="0000FF"/>
          <w:sz w:val="24"/>
          <w:szCs w:val="24"/>
          <w:lang w:val="en-IN"/>
        </w:rPr>
        <w:t xml:space="preserve"> </w:t>
      </w:r>
      <w:r w:rsidR="00034109" w:rsidRPr="007E48F1">
        <w:rPr>
          <w:bCs/>
          <w:iCs/>
          <w:sz w:val="24"/>
          <w:szCs w:val="24"/>
          <w:lang w:val="en-IN"/>
        </w:rPr>
        <w:t>This quenching of time constants clearly suggests that it is a dynamic process which is related with the electron injection from sensitizers to TiO</w:t>
      </w:r>
      <w:r w:rsidR="00034109" w:rsidRPr="007E48F1">
        <w:rPr>
          <w:bCs/>
          <w:iCs/>
          <w:sz w:val="24"/>
          <w:szCs w:val="24"/>
          <w:vertAlign w:val="subscript"/>
          <w:lang w:val="en-IN"/>
        </w:rPr>
        <w:t>2</w:t>
      </w:r>
      <w:r w:rsidR="00034109" w:rsidRPr="007E48F1">
        <w:rPr>
          <w:bCs/>
          <w:iCs/>
          <w:sz w:val="24"/>
          <w:szCs w:val="24"/>
          <w:lang w:val="en-IN"/>
        </w:rPr>
        <w:t xml:space="preserve"> conduction band. Note, for </w:t>
      </w:r>
      <w:r w:rsidR="00034109" w:rsidRPr="007E48F1">
        <w:rPr>
          <w:b/>
          <w:iCs/>
          <w:sz w:val="24"/>
          <w:szCs w:val="24"/>
          <w:lang w:val="en-IN"/>
        </w:rPr>
        <w:t>LG 28</w:t>
      </w:r>
      <w:r w:rsidR="00034109" w:rsidRPr="007E48F1">
        <w:rPr>
          <w:bCs/>
          <w:iCs/>
          <w:sz w:val="24"/>
          <w:szCs w:val="24"/>
          <w:lang w:val="en-IN"/>
        </w:rPr>
        <w:t xml:space="preserve"> extent of quenching is more pronounced from higher excited state whereas quenching of time constant observed to be prominent from relaxed S</w:t>
      </w:r>
      <w:r w:rsidR="00034109" w:rsidRPr="007E48F1">
        <w:rPr>
          <w:bCs/>
          <w:iCs/>
          <w:sz w:val="24"/>
          <w:szCs w:val="24"/>
          <w:vertAlign w:val="subscript"/>
          <w:lang w:val="en-IN"/>
        </w:rPr>
        <w:t>1</w:t>
      </w:r>
      <w:r w:rsidR="00034109" w:rsidRPr="007E48F1">
        <w:rPr>
          <w:bCs/>
          <w:iCs/>
          <w:sz w:val="24"/>
          <w:szCs w:val="24"/>
          <w:lang w:val="en-IN"/>
        </w:rPr>
        <w:t xml:space="preserve"> state for </w:t>
      </w:r>
      <w:r w:rsidR="00034109" w:rsidRPr="007E48F1">
        <w:rPr>
          <w:b/>
          <w:iCs/>
          <w:sz w:val="24"/>
          <w:szCs w:val="24"/>
          <w:lang w:val="en-IN"/>
        </w:rPr>
        <w:t>LG 29</w:t>
      </w:r>
      <w:r w:rsidR="00034109" w:rsidRPr="007E48F1">
        <w:rPr>
          <w:bCs/>
          <w:iCs/>
          <w:sz w:val="24"/>
          <w:szCs w:val="24"/>
          <w:lang w:val="en-IN"/>
        </w:rPr>
        <w:t xml:space="preserve">. Therefore, electron ejection process from </w:t>
      </w:r>
      <w:r w:rsidR="00034109" w:rsidRPr="007E48F1">
        <w:rPr>
          <w:b/>
          <w:iCs/>
          <w:sz w:val="24"/>
          <w:szCs w:val="24"/>
          <w:lang w:val="en-IN"/>
        </w:rPr>
        <w:t>LG28</w:t>
      </w:r>
      <w:r w:rsidR="00034109" w:rsidRPr="007E48F1">
        <w:rPr>
          <w:bCs/>
          <w:iCs/>
          <w:sz w:val="24"/>
          <w:szCs w:val="24"/>
          <w:lang w:val="en-IN"/>
        </w:rPr>
        <w:t xml:space="preserve"> to TiO</w:t>
      </w:r>
      <w:r w:rsidR="00034109" w:rsidRPr="007E48F1">
        <w:rPr>
          <w:bCs/>
          <w:iCs/>
          <w:sz w:val="24"/>
          <w:szCs w:val="24"/>
          <w:vertAlign w:val="subscript"/>
          <w:lang w:val="en-IN"/>
        </w:rPr>
        <w:t>2</w:t>
      </w:r>
      <w:r w:rsidR="00034109" w:rsidRPr="007E48F1">
        <w:rPr>
          <w:bCs/>
          <w:iCs/>
          <w:sz w:val="24"/>
          <w:szCs w:val="24"/>
          <w:lang w:val="en-IN"/>
        </w:rPr>
        <w:t xml:space="preserve"> competes with relaxation dynamics of higher excited state of </w:t>
      </w:r>
      <w:r w:rsidR="00034109" w:rsidRPr="007E48F1">
        <w:rPr>
          <w:b/>
          <w:iCs/>
          <w:sz w:val="24"/>
          <w:szCs w:val="24"/>
          <w:lang w:val="en-IN"/>
        </w:rPr>
        <w:t>LG 28</w:t>
      </w:r>
      <w:r w:rsidR="00034109" w:rsidRPr="007E48F1">
        <w:rPr>
          <w:bCs/>
          <w:iCs/>
          <w:sz w:val="24"/>
          <w:szCs w:val="24"/>
          <w:lang w:val="en-IN"/>
        </w:rPr>
        <w:t xml:space="preserve"> and electron ejection process from </w:t>
      </w:r>
      <w:r w:rsidR="00034109" w:rsidRPr="007E48F1">
        <w:rPr>
          <w:b/>
          <w:iCs/>
          <w:sz w:val="24"/>
          <w:szCs w:val="24"/>
          <w:lang w:val="en-IN"/>
        </w:rPr>
        <w:t>LG 29</w:t>
      </w:r>
      <w:r w:rsidR="00034109" w:rsidRPr="007E48F1">
        <w:rPr>
          <w:bCs/>
          <w:iCs/>
          <w:sz w:val="24"/>
          <w:szCs w:val="24"/>
          <w:lang w:val="en-IN"/>
        </w:rPr>
        <w:t xml:space="preserve"> to TiO</w:t>
      </w:r>
      <w:r w:rsidR="00034109" w:rsidRPr="007E48F1">
        <w:rPr>
          <w:bCs/>
          <w:iCs/>
          <w:sz w:val="24"/>
          <w:szCs w:val="24"/>
          <w:vertAlign w:val="subscript"/>
          <w:lang w:val="en-IN"/>
        </w:rPr>
        <w:t>2</w:t>
      </w:r>
      <w:r w:rsidR="00034109" w:rsidRPr="007E48F1">
        <w:rPr>
          <w:bCs/>
          <w:iCs/>
          <w:sz w:val="24"/>
          <w:szCs w:val="24"/>
          <w:lang w:val="en-IN"/>
        </w:rPr>
        <w:t xml:space="preserve"> competes with relaxation dynamics of lower excited state.</w:t>
      </w:r>
      <w:r w:rsidR="00034109" w:rsidRPr="007E48F1">
        <w:rPr>
          <w:bCs/>
          <w:iCs/>
          <w:color w:val="0000FF"/>
          <w:sz w:val="24"/>
          <w:szCs w:val="24"/>
          <w:lang w:val="en-IN"/>
        </w:rPr>
        <w:t xml:space="preserve"> </w:t>
      </w:r>
      <w:r w:rsidR="00034109" w:rsidRPr="007E48F1">
        <w:rPr>
          <w:bCs/>
          <w:iCs/>
          <w:sz w:val="24"/>
          <w:szCs w:val="24"/>
          <w:lang w:val="en-IN"/>
        </w:rPr>
        <w:t xml:space="preserve">These observations lead to conclude that electron injection rate is higher in case of </w:t>
      </w:r>
      <w:r w:rsidR="00034109" w:rsidRPr="007E48F1">
        <w:rPr>
          <w:b/>
          <w:iCs/>
          <w:sz w:val="24"/>
          <w:szCs w:val="24"/>
          <w:lang w:val="en-IN"/>
        </w:rPr>
        <w:t>LG 28</w:t>
      </w:r>
      <w:r w:rsidR="00034109" w:rsidRPr="007E48F1">
        <w:rPr>
          <w:bCs/>
          <w:iCs/>
          <w:sz w:val="24"/>
          <w:szCs w:val="24"/>
          <w:lang w:val="en-IN"/>
        </w:rPr>
        <w:t xml:space="preserve"> over </w:t>
      </w:r>
      <w:r w:rsidR="00034109" w:rsidRPr="007E48F1">
        <w:rPr>
          <w:b/>
          <w:iCs/>
          <w:sz w:val="24"/>
          <w:szCs w:val="24"/>
          <w:lang w:val="en-IN"/>
        </w:rPr>
        <w:t>LG 29</w:t>
      </w:r>
      <w:r w:rsidR="00034109" w:rsidRPr="007E48F1">
        <w:rPr>
          <w:bCs/>
          <w:iCs/>
          <w:sz w:val="24"/>
          <w:szCs w:val="24"/>
          <w:lang w:val="en-IN"/>
        </w:rPr>
        <w:t>.</w:t>
      </w:r>
    </w:p>
    <w:p w14:paraId="405209FE" w14:textId="77777777" w:rsidR="00034109" w:rsidRDefault="00034109" w:rsidP="007662F4">
      <w:pPr>
        <w:spacing w:after="0" w:line="360" w:lineRule="auto"/>
        <w:jc w:val="both"/>
        <w:rPr>
          <w:sz w:val="24"/>
          <w:szCs w:val="24"/>
          <w:lang w:val="en-IN"/>
        </w:rPr>
      </w:pPr>
    </w:p>
    <w:p w14:paraId="2656291F" w14:textId="77777777" w:rsidR="00CD7E83" w:rsidRPr="007662F4" w:rsidRDefault="00CD7E83" w:rsidP="00CD7E83">
      <w:pPr>
        <w:spacing w:after="0" w:line="360" w:lineRule="auto"/>
        <w:jc w:val="both"/>
        <w:rPr>
          <w:b/>
          <w:bCs/>
          <w:iCs/>
          <w:sz w:val="24"/>
          <w:szCs w:val="24"/>
          <w:lang w:val="en-IN"/>
        </w:rPr>
      </w:pPr>
      <w:r w:rsidRPr="007662F4">
        <w:rPr>
          <w:b/>
          <w:bCs/>
          <w:iCs/>
          <w:sz w:val="24"/>
          <w:szCs w:val="24"/>
          <w:lang w:val="en-IN"/>
        </w:rPr>
        <w:t>Electrochemical Properties</w:t>
      </w:r>
    </w:p>
    <w:p w14:paraId="5274478D" w14:textId="2F06D514" w:rsidR="00CD7E83" w:rsidRDefault="00CD7E83" w:rsidP="00CD7E83">
      <w:pPr>
        <w:spacing w:after="0" w:line="360" w:lineRule="auto"/>
        <w:jc w:val="both"/>
        <w:rPr>
          <w:sz w:val="24"/>
          <w:szCs w:val="24"/>
          <w:lang w:val="en-IN"/>
        </w:rPr>
      </w:pPr>
      <w:r w:rsidRPr="007662F4">
        <w:rPr>
          <w:sz w:val="24"/>
          <w:szCs w:val="24"/>
        </w:rPr>
        <w:t>With a view to evaluate the HOMO</w:t>
      </w:r>
      <w:r>
        <w:rPr>
          <w:sz w:val="24"/>
          <w:szCs w:val="24"/>
        </w:rPr>
        <w:t>-</w:t>
      </w:r>
      <w:r w:rsidRPr="007662F4">
        <w:rPr>
          <w:sz w:val="24"/>
          <w:szCs w:val="24"/>
        </w:rPr>
        <w:t xml:space="preserve">LUMO levels of newly designed selenophene auxiliary acceptor based porphyrin sensitizers, we have performed electrochemical properties of both sensitizers using cyclic voltammetry technique in THF solvent using 0.1 mM TBAP as a supporting electrolyte. </w:t>
      </w:r>
      <w:r w:rsidRPr="007662F4">
        <w:rPr>
          <w:b/>
          <w:sz w:val="24"/>
          <w:szCs w:val="24"/>
          <w:lang w:val="en-IN"/>
        </w:rPr>
        <w:t xml:space="preserve">Figure </w:t>
      </w:r>
      <w:r>
        <w:rPr>
          <w:b/>
          <w:bCs/>
          <w:iCs/>
          <w:sz w:val="24"/>
          <w:szCs w:val="24"/>
          <w:lang w:val="en-IN"/>
        </w:rPr>
        <w:t>3</w:t>
      </w:r>
      <w:r>
        <w:rPr>
          <w:b/>
          <w:sz w:val="24"/>
          <w:szCs w:val="24"/>
          <w:lang w:val="en-IN"/>
        </w:rPr>
        <w:t xml:space="preserve">a </w:t>
      </w:r>
      <w:r w:rsidRPr="007662F4">
        <w:rPr>
          <w:sz w:val="24"/>
          <w:szCs w:val="24"/>
        </w:rPr>
        <w:t xml:space="preserve">demonstrates the oxidation reactions of both the sensitizers along with LG5 dye and respective redox data presented in </w:t>
      </w:r>
      <w:r w:rsidRPr="007662F4">
        <w:rPr>
          <w:b/>
          <w:sz w:val="24"/>
          <w:szCs w:val="24"/>
          <w:lang w:val="en-IN"/>
        </w:rPr>
        <w:t>Table 1</w:t>
      </w:r>
      <w:r w:rsidRPr="007662F4">
        <w:rPr>
          <w:sz w:val="24"/>
          <w:szCs w:val="24"/>
        </w:rPr>
        <w:t xml:space="preserve">. </w:t>
      </w:r>
      <w:r w:rsidRPr="007662F4">
        <w:rPr>
          <w:sz w:val="24"/>
          <w:szCs w:val="24"/>
          <w:lang w:val="en-IN"/>
        </w:rPr>
        <w:t>Both the sensitizers (</w:t>
      </w:r>
      <w:r w:rsidRPr="007662F4">
        <w:rPr>
          <w:b/>
          <w:sz w:val="24"/>
          <w:szCs w:val="24"/>
          <w:lang w:val="en-IN"/>
        </w:rPr>
        <w:t>LG</w:t>
      </w:r>
      <w:r w:rsidR="008F41FD">
        <w:rPr>
          <w:b/>
          <w:sz w:val="24"/>
          <w:szCs w:val="24"/>
          <w:lang w:val="en-IN"/>
        </w:rPr>
        <w:t xml:space="preserve"> </w:t>
      </w:r>
      <w:r w:rsidRPr="007662F4">
        <w:rPr>
          <w:b/>
          <w:sz w:val="24"/>
          <w:szCs w:val="24"/>
          <w:lang w:val="en-IN"/>
        </w:rPr>
        <w:t xml:space="preserve">28 </w:t>
      </w:r>
      <w:r w:rsidRPr="007662F4">
        <w:rPr>
          <w:sz w:val="24"/>
          <w:szCs w:val="24"/>
          <w:lang w:val="en-IN"/>
        </w:rPr>
        <w:t xml:space="preserve">and </w:t>
      </w:r>
      <w:r w:rsidRPr="007662F4">
        <w:rPr>
          <w:b/>
          <w:sz w:val="24"/>
          <w:szCs w:val="24"/>
          <w:lang w:val="en-IN"/>
        </w:rPr>
        <w:t>LG</w:t>
      </w:r>
      <w:r w:rsidR="008F41FD">
        <w:rPr>
          <w:b/>
          <w:sz w:val="24"/>
          <w:szCs w:val="24"/>
          <w:lang w:val="en-IN"/>
        </w:rPr>
        <w:t xml:space="preserve"> </w:t>
      </w:r>
      <w:r w:rsidRPr="007662F4">
        <w:rPr>
          <w:b/>
          <w:sz w:val="24"/>
          <w:szCs w:val="24"/>
          <w:lang w:val="en-IN"/>
        </w:rPr>
        <w:t>29</w:t>
      </w:r>
      <w:r w:rsidRPr="007662F4">
        <w:rPr>
          <w:sz w:val="24"/>
          <w:szCs w:val="24"/>
          <w:lang w:val="en-IN"/>
        </w:rPr>
        <w:t xml:space="preserve">) exhibit two reversible oxidations shown in </w:t>
      </w:r>
      <w:r w:rsidRPr="007662F4">
        <w:rPr>
          <w:b/>
          <w:sz w:val="24"/>
          <w:szCs w:val="24"/>
          <w:lang w:val="en-IN"/>
        </w:rPr>
        <w:t xml:space="preserve">Figure </w:t>
      </w:r>
      <w:r>
        <w:rPr>
          <w:b/>
          <w:bCs/>
          <w:iCs/>
          <w:sz w:val="24"/>
          <w:szCs w:val="24"/>
          <w:lang w:val="en-IN"/>
        </w:rPr>
        <w:t>3</w:t>
      </w:r>
      <w:r>
        <w:rPr>
          <w:b/>
          <w:sz w:val="24"/>
          <w:szCs w:val="24"/>
          <w:lang w:val="en-IN"/>
        </w:rPr>
        <w:t>a</w:t>
      </w:r>
      <w:r w:rsidRPr="007662F4">
        <w:rPr>
          <w:b/>
          <w:sz w:val="24"/>
          <w:szCs w:val="24"/>
          <w:lang w:val="en-IN"/>
        </w:rPr>
        <w:t xml:space="preserve"> </w:t>
      </w:r>
      <w:r w:rsidRPr="007662F4">
        <w:rPr>
          <w:sz w:val="24"/>
          <w:szCs w:val="24"/>
          <w:lang w:val="en-IN"/>
        </w:rPr>
        <w:t xml:space="preserve">and one quasi-reversible reduction processes presented in </w:t>
      </w:r>
      <w:r w:rsidRPr="007662F4">
        <w:rPr>
          <w:b/>
          <w:sz w:val="24"/>
          <w:szCs w:val="24"/>
          <w:lang w:val="en-IN"/>
        </w:rPr>
        <w:t xml:space="preserve">Figure </w:t>
      </w:r>
      <w:r>
        <w:rPr>
          <w:b/>
          <w:bCs/>
          <w:iCs/>
          <w:sz w:val="24"/>
          <w:szCs w:val="24"/>
          <w:lang w:val="en-IN"/>
        </w:rPr>
        <w:t>3</w:t>
      </w:r>
      <w:r w:rsidRPr="007662F4">
        <w:rPr>
          <w:b/>
          <w:sz w:val="24"/>
          <w:szCs w:val="24"/>
          <w:lang w:val="en-IN"/>
        </w:rPr>
        <w:t>b</w:t>
      </w:r>
      <w:r w:rsidRPr="007662F4">
        <w:rPr>
          <w:sz w:val="24"/>
          <w:szCs w:val="24"/>
          <w:lang w:val="en-IN"/>
        </w:rPr>
        <w:t>. The  HOMO energy levels corresponding to the ground state oxidation potentials of the two sensitizers are 0.82 and 0.84 V (vs. SCE), respectively and which is situated below the redox potential of the iodide/tri-iodide redox couple (0.4 V vs. NHE). It indicates that dye regeneration is feasible in both the sensitizers. The respective LUMO (excited state oxidation potential) of both the porphyrin sensitizers was calculated by using the formula, (E*</w:t>
      </w:r>
      <w:r w:rsidRPr="007662F4">
        <w:rPr>
          <w:sz w:val="24"/>
          <w:szCs w:val="24"/>
          <w:vertAlign w:val="subscript"/>
          <w:lang w:val="en-IN"/>
        </w:rPr>
        <w:t>OX</w:t>
      </w:r>
      <w:r w:rsidRPr="007662F4">
        <w:rPr>
          <w:sz w:val="24"/>
          <w:szCs w:val="24"/>
          <w:lang w:val="en-IN"/>
        </w:rPr>
        <w:t xml:space="preserve"> = E</w:t>
      </w:r>
      <w:r w:rsidRPr="007662F4">
        <w:rPr>
          <w:sz w:val="24"/>
          <w:szCs w:val="24"/>
          <w:vertAlign w:val="subscript"/>
          <w:lang w:val="en-IN"/>
        </w:rPr>
        <w:t>OX</w:t>
      </w:r>
      <w:r w:rsidRPr="007662F4">
        <w:rPr>
          <w:sz w:val="24"/>
          <w:szCs w:val="24"/>
          <w:lang w:val="en-IN"/>
        </w:rPr>
        <w:t xml:space="preserve"> − E</w:t>
      </w:r>
      <w:r w:rsidRPr="007662F4">
        <w:rPr>
          <w:sz w:val="24"/>
          <w:szCs w:val="24"/>
          <w:vertAlign w:val="subscript"/>
          <w:lang w:val="en-IN"/>
        </w:rPr>
        <w:t>0−0</w:t>
      </w:r>
      <w:r w:rsidRPr="007662F4">
        <w:rPr>
          <w:sz w:val="24"/>
          <w:szCs w:val="24"/>
          <w:lang w:val="en-IN"/>
        </w:rPr>
        <w:t>), and lie above the edge of TiO</w:t>
      </w:r>
      <w:r w:rsidRPr="007662F4">
        <w:rPr>
          <w:sz w:val="24"/>
          <w:szCs w:val="24"/>
          <w:vertAlign w:val="subscript"/>
          <w:lang w:val="en-IN"/>
        </w:rPr>
        <w:t>2</w:t>
      </w:r>
      <w:r w:rsidRPr="007662F4">
        <w:rPr>
          <w:sz w:val="24"/>
          <w:szCs w:val="24"/>
          <w:lang w:val="en-IN"/>
        </w:rPr>
        <w:t xml:space="preserve"> conduction band (0.5 V vs. NHE). </w:t>
      </w:r>
      <w:r w:rsidR="00D215C1">
        <w:rPr>
          <w:sz w:val="24"/>
          <w:szCs w:val="24"/>
          <w:lang w:val="en-IN"/>
        </w:rPr>
        <w:t>This</w:t>
      </w:r>
      <w:r w:rsidRPr="007662F4">
        <w:rPr>
          <w:sz w:val="24"/>
          <w:szCs w:val="24"/>
          <w:lang w:val="en-IN"/>
        </w:rPr>
        <w:t xml:space="preserve"> suggests that the sufficient electron injection driving force from the excited states of dyes to the TiO</w:t>
      </w:r>
      <w:r w:rsidRPr="007662F4">
        <w:rPr>
          <w:sz w:val="24"/>
          <w:szCs w:val="24"/>
          <w:vertAlign w:val="subscript"/>
          <w:lang w:val="en-IN"/>
        </w:rPr>
        <w:t xml:space="preserve">2 </w:t>
      </w:r>
      <w:r w:rsidRPr="007662F4">
        <w:rPr>
          <w:sz w:val="24"/>
          <w:szCs w:val="24"/>
          <w:lang w:val="en-IN"/>
        </w:rPr>
        <w:t xml:space="preserve">conduction band. The π-conjugation extension from LG5 to </w:t>
      </w:r>
      <w:r w:rsidRPr="007662F4">
        <w:rPr>
          <w:b/>
          <w:bCs/>
          <w:sz w:val="24"/>
          <w:szCs w:val="24"/>
          <w:lang w:val="en-IN"/>
        </w:rPr>
        <w:t xml:space="preserve">LG29 </w:t>
      </w:r>
      <w:r w:rsidRPr="007662F4">
        <w:rPr>
          <w:sz w:val="24"/>
          <w:szCs w:val="24"/>
          <w:lang w:val="en-IN"/>
        </w:rPr>
        <w:t>sensitizer</w:t>
      </w:r>
      <w:r w:rsidR="00D215C1">
        <w:rPr>
          <w:sz w:val="24"/>
          <w:szCs w:val="24"/>
          <w:lang w:val="en-IN"/>
        </w:rPr>
        <w:t xml:space="preserve">did </w:t>
      </w:r>
      <w:r w:rsidRPr="007662F4">
        <w:rPr>
          <w:sz w:val="24"/>
          <w:szCs w:val="24"/>
          <w:lang w:val="en-IN"/>
        </w:rPr>
        <w:t xml:space="preserve"> not show much effect on the redox potentials. The energy level diagram of present sensitizers in comparison with </w:t>
      </w:r>
      <w:r w:rsidRPr="007662F4">
        <w:rPr>
          <w:sz w:val="24"/>
          <w:szCs w:val="24"/>
          <w:lang w:val="en-IN"/>
        </w:rPr>
        <w:lastRenderedPageBreak/>
        <w:t xml:space="preserve">LG5 sensitizer was demonstrated in </w:t>
      </w:r>
      <w:r w:rsidRPr="007662F4">
        <w:rPr>
          <w:b/>
          <w:sz w:val="24"/>
          <w:szCs w:val="24"/>
          <w:lang w:val="en-IN"/>
        </w:rPr>
        <w:t>Figure</w:t>
      </w:r>
      <w:r>
        <w:rPr>
          <w:b/>
          <w:bCs/>
          <w:iCs/>
          <w:sz w:val="24"/>
          <w:szCs w:val="24"/>
          <w:lang w:val="en-IN"/>
        </w:rPr>
        <w:t xml:space="preserve"> 3</w:t>
      </w:r>
      <w:r w:rsidRPr="007662F4">
        <w:rPr>
          <w:b/>
          <w:sz w:val="24"/>
          <w:szCs w:val="24"/>
          <w:lang w:val="en-IN"/>
        </w:rPr>
        <w:t>c</w:t>
      </w:r>
      <w:r w:rsidRPr="007662F4">
        <w:rPr>
          <w:sz w:val="24"/>
          <w:szCs w:val="24"/>
          <w:lang w:val="en-IN"/>
        </w:rPr>
        <w:t xml:space="preserve"> and suggests that the electron injection and dye oxidation is feasible.</w:t>
      </w:r>
    </w:p>
    <w:p w14:paraId="51E9DC64" w14:textId="23B0DE78" w:rsidR="00CD7E83" w:rsidRDefault="006333CE" w:rsidP="00CD7E83">
      <w:pPr>
        <w:spacing w:after="0" w:line="360" w:lineRule="auto"/>
        <w:jc w:val="center"/>
        <w:rPr>
          <w:sz w:val="24"/>
          <w:szCs w:val="24"/>
        </w:rPr>
      </w:pPr>
      <w:r w:rsidRPr="00E70CEA">
        <w:rPr>
          <w:noProof/>
          <w:sz w:val="24"/>
          <w:szCs w:val="24"/>
        </w:rPr>
        <w:drawing>
          <wp:inline distT="0" distB="0" distL="0" distR="0" wp14:anchorId="4655611B" wp14:editId="2F8E6A4B">
            <wp:extent cx="5146040" cy="39020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46040" cy="3902075"/>
                    </a:xfrm>
                    <a:prstGeom prst="rect">
                      <a:avLst/>
                    </a:prstGeom>
                    <a:noFill/>
                    <a:ln>
                      <a:noFill/>
                    </a:ln>
                  </pic:spPr>
                </pic:pic>
              </a:graphicData>
            </a:graphic>
          </wp:inline>
        </w:drawing>
      </w:r>
    </w:p>
    <w:p w14:paraId="13B8BEF3" w14:textId="34292AAC" w:rsidR="00CD7E83" w:rsidRPr="005976A1" w:rsidRDefault="00CD7E83" w:rsidP="00CD7E83">
      <w:pPr>
        <w:spacing w:line="360" w:lineRule="auto"/>
        <w:jc w:val="both"/>
        <w:rPr>
          <w:rFonts w:eastAsia="Times New Roman" w:cs="Calibri"/>
          <w:i/>
          <w:iCs/>
          <w:noProof/>
          <w:sz w:val="24"/>
          <w:szCs w:val="24"/>
          <w:lang w:val="en-CA" w:eastAsia="fr-FR"/>
        </w:rPr>
      </w:pPr>
      <w:r w:rsidRPr="005976A1">
        <w:rPr>
          <w:rFonts w:eastAsia="Times New Roman" w:cs="Calibri"/>
          <w:b/>
          <w:noProof/>
          <w:sz w:val="24"/>
          <w:szCs w:val="24"/>
          <w:lang w:val="de-DE" w:eastAsia="fr-FR"/>
        </w:rPr>
        <w:t xml:space="preserve">Figure </w:t>
      </w:r>
      <w:r w:rsidR="00D215C1">
        <w:rPr>
          <w:rFonts w:eastAsia="Times New Roman" w:cs="Calibri"/>
          <w:b/>
          <w:noProof/>
          <w:sz w:val="24"/>
          <w:szCs w:val="24"/>
          <w:lang w:val="de-DE" w:eastAsia="fr-FR"/>
        </w:rPr>
        <w:t>3</w:t>
      </w:r>
      <w:r w:rsidRPr="005976A1">
        <w:rPr>
          <w:rFonts w:eastAsia="Times New Roman" w:cs="Calibri"/>
          <w:b/>
          <w:iCs/>
          <w:noProof/>
          <w:sz w:val="24"/>
          <w:szCs w:val="24"/>
          <w:lang w:val="de-DE" w:eastAsia="fr-FR"/>
        </w:rPr>
        <w:t xml:space="preserve">: </w:t>
      </w:r>
      <w:r w:rsidRPr="005976A1">
        <w:rPr>
          <w:rFonts w:eastAsia="Times New Roman" w:cs="Calibri"/>
          <w:iCs/>
          <w:noProof/>
          <w:sz w:val="24"/>
          <w:szCs w:val="24"/>
          <w:lang w:val="de-DE" w:eastAsia="fr-FR"/>
        </w:rPr>
        <w:t xml:space="preserve">Cyclic voltammograms of </w:t>
      </w:r>
      <w:r w:rsidRPr="005976A1">
        <w:rPr>
          <w:rFonts w:cs="Calibri"/>
          <w:b/>
          <w:bCs/>
          <w:sz w:val="24"/>
          <w:szCs w:val="24"/>
        </w:rPr>
        <w:t xml:space="preserve">LG 28 </w:t>
      </w:r>
      <w:r w:rsidRPr="005976A1">
        <w:rPr>
          <w:rFonts w:eastAsia="CharisSIL" w:cs="Calibri"/>
          <w:sz w:val="24"/>
          <w:szCs w:val="24"/>
        </w:rPr>
        <w:t xml:space="preserve">and </w:t>
      </w:r>
      <w:r w:rsidRPr="005976A1">
        <w:rPr>
          <w:rFonts w:cs="Calibri"/>
          <w:b/>
          <w:bCs/>
          <w:sz w:val="24"/>
          <w:szCs w:val="24"/>
        </w:rPr>
        <w:t xml:space="preserve">LG 29 </w:t>
      </w:r>
      <w:r w:rsidR="002177EC" w:rsidRPr="005976A1">
        <w:rPr>
          <w:rFonts w:eastAsia="Times New Roman" w:cs="Calibri"/>
          <w:iCs/>
          <w:noProof/>
          <w:sz w:val="24"/>
          <w:szCs w:val="24"/>
          <w:lang w:val="de-DE" w:eastAsia="fr-FR"/>
        </w:rPr>
        <w:t>dyes in THF a. oxidation, b.</w:t>
      </w:r>
      <w:r w:rsidRPr="005976A1">
        <w:rPr>
          <w:rFonts w:eastAsia="Times New Roman" w:cs="Calibri"/>
          <w:iCs/>
          <w:noProof/>
          <w:sz w:val="24"/>
          <w:szCs w:val="24"/>
          <w:lang w:val="de-DE" w:eastAsia="fr-FR"/>
        </w:rPr>
        <w:t xml:space="preserve"> reduction (scan rate: 100 mVs</w:t>
      </w:r>
      <w:r w:rsidRPr="005976A1">
        <w:rPr>
          <w:rFonts w:eastAsia="Times New Roman" w:cs="Calibri"/>
          <w:iCs/>
          <w:noProof/>
          <w:sz w:val="24"/>
          <w:szCs w:val="24"/>
          <w:vertAlign w:val="superscript"/>
          <w:lang w:val="de-DE" w:eastAsia="fr-FR"/>
        </w:rPr>
        <w:t>-1</w:t>
      </w:r>
      <w:r w:rsidR="002177EC" w:rsidRPr="005976A1">
        <w:rPr>
          <w:rFonts w:eastAsia="Times New Roman" w:cs="Calibri"/>
          <w:iCs/>
          <w:noProof/>
          <w:sz w:val="24"/>
          <w:szCs w:val="24"/>
          <w:lang w:val="de-DE" w:eastAsia="fr-FR"/>
        </w:rPr>
        <w:t xml:space="preserve">); c. </w:t>
      </w:r>
      <w:r w:rsidRPr="005976A1">
        <w:rPr>
          <w:rFonts w:eastAsia="Times New Roman" w:cs="Calibri"/>
          <w:iCs/>
          <w:noProof/>
          <w:sz w:val="24"/>
          <w:szCs w:val="24"/>
          <w:lang w:val="en-CA" w:eastAsia="fr-FR"/>
        </w:rPr>
        <w:t xml:space="preserve">Energy-levels of </w:t>
      </w:r>
      <w:r w:rsidRPr="005976A1">
        <w:rPr>
          <w:rFonts w:cs="Calibri"/>
          <w:b/>
          <w:bCs/>
          <w:sz w:val="24"/>
          <w:szCs w:val="24"/>
        </w:rPr>
        <w:t>LG 28</w:t>
      </w:r>
      <w:r w:rsidRPr="005976A1">
        <w:rPr>
          <w:rFonts w:eastAsia="CharisSIL" w:cs="Calibri"/>
          <w:sz w:val="24"/>
          <w:szCs w:val="24"/>
        </w:rPr>
        <w:t xml:space="preserve">, </w:t>
      </w:r>
      <w:r w:rsidRPr="005976A1">
        <w:rPr>
          <w:rFonts w:cs="Calibri"/>
          <w:b/>
          <w:bCs/>
          <w:sz w:val="24"/>
          <w:szCs w:val="24"/>
        </w:rPr>
        <w:t xml:space="preserve">LG 29 </w:t>
      </w:r>
      <w:r w:rsidRPr="005976A1">
        <w:rPr>
          <w:rFonts w:eastAsia="Times New Roman" w:cs="Calibri"/>
          <w:iCs/>
          <w:noProof/>
          <w:sz w:val="24"/>
          <w:szCs w:val="24"/>
          <w:lang w:val="en-CA" w:eastAsia="fr-FR"/>
        </w:rPr>
        <w:t xml:space="preserve">porphyrins (comparison with previously reported </w:t>
      </w:r>
      <w:r w:rsidRPr="005976A1">
        <w:rPr>
          <w:rFonts w:eastAsia="Times New Roman" w:cs="Calibri"/>
          <w:bCs/>
          <w:iCs/>
          <w:noProof/>
          <w:sz w:val="24"/>
          <w:szCs w:val="24"/>
          <w:lang w:val="en-CA" w:eastAsia="fr-FR"/>
        </w:rPr>
        <w:t>LG5</w:t>
      </w:r>
      <w:r w:rsidRPr="005976A1">
        <w:rPr>
          <w:rFonts w:eastAsia="Times New Roman" w:cs="Calibri"/>
          <w:iCs/>
          <w:noProof/>
          <w:sz w:val="24"/>
          <w:szCs w:val="24"/>
          <w:lang w:val="en-CA" w:eastAsia="fr-FR"/>
        </w:rPr>
        <w:t xml:space="preserve"> dye), TiO</w:t>
      </w:r>
      <w:r w:rsidRPr="005976A1">
        <w:rPr>
          <w:rFonts w:eastAsia="Times New Roman" w:cs="Calibri"/>
          <w:iCs/>
          <w:noProof/>
          <w:sz w:val="24"/>
          <w:szCs w:val="24"/>
          <w:vertAlign w:val="subscript"/>
          <w:lang w:val="en-CA" w:eastAsia="fr-FR"/>
        </w:rPr>
        <w:t>2</w:t>
      </w:r>
      <w:r w:rsidR="005976A1" w:rsidRPr="005976A1">
        <w:rPr>
          <w:rFonts w:eastAsia="Times New Roman" w:cs="Calibri"/>
          <w:iCs/>
          <w:noProof/>
          <w:sz w:val="24"/>
          <w:szCs w:val="24"/>
          <w:vertAlign w:val="subscript"/>
          <w:lang w:val="en-CA" w:eastAsia="fr-FR"/>
        </w:rPr>
        <w:t xml:space="preserve"> </w:t>
      </w:r>
      <w:r w:rsidRPr="005976A1">
        <w:rPr>
          <w:rFonts w:eastAsia="Times New Roman" w:cs="Calibri"/>
          <w:iCs/>
          <w:noProof/>
          <w:sz w:val="24"/>
          <w:szCs w:val="24"/>
          <w:lang w:val="en-CA" w:eastAsia="fr-FR"/>
        </w:rPr>
        <w:t>and electrolyte.</w:t>
      </w:r>
    </w:p>
    <w:p w14:paraId="318222DB" w14:textId="6C640510" w:rsidR="00CD7E83" w:rsidRDefault="002177EC" w:rsidP="007662F4">
      <w:pPr>
        <w:spacing w:after="0" w:line="360" w:lineRule="auto"/>
        <w:jc w:val="both"/>
        <w:rPr>
          <w:sz w:val="24"/>
          <w:szCs w:val="24"/>
          <w:lang w:val="en-IN"/>
        </w:rPr>
      </w:pPr>
      <w:r>
        <w:rPr>
          <w:sz w:val="24"/>
          <w:szCs w:val="24"/>
        </w:rPr>
        <w:tab/>
      </w:r>
      <w:r w:rsidRPr="008B3461">
        <w:rPr>
          <w:sz w:val="24"/>
          <w:szCs w:val="24"/>
          <w:lang w:val="en-IN"/>
        </w:rPr>
        <w:t xml:space="preserve">In </w:t>
      </w:r>
      <w:r w:rsidR="00D215C1">
        <w:rPr>
          <w:sz w:val="24"/>
          <w:szCs w:val="24"/>
          <w:lang w:val="en-IN"/>
        </w:rPr>
        <w:t xml:space="preserve">a </w:t>
      </w:r>
      <w:r w:rsidRPr="008B3461">
        <w:rPr>
          <w:sz w:val="24"/>
          <w:szCs w:val="24"/>
          <w:lang w:val="en-IN"/>
        </w:rPr>
        <w:t>DSSC, the sensitizer gets oxidized when a photon absorb</w:t>
      </w:r>
      <w:r w:rsidR="00D215C1">
        <w:rPr>
          <w:sz w:val="24"/>
          <w:szCs w:val="24"/>
          <w:lang w:val="en-IN"/>
        </w:rPr>
        <w:t>s</w:t>
      </w:r>
      <w:r w:rsidRPr="008B3461">
        <w:rPr>
          <w:sz w:val="24"/>
          <w:szCs w:val="24"/>
          <w:lang w:val="en-IN"/>
        </w:rPr>
        <w:t xml:space="preserve"> the electron get excited and injects into TiO</w:t>
      </w:r>
      <w:r w:rsidRPr="008B3461">
        <w:rPr>
          <w:sz w:val="24"/>
          <w:szCs w:val="24"/>
          <w:vertAlign w:val="subscript"/>
          <w:lang w:val="en-IN"/>
        </w:rPr>
        <w:t>2</w:t>
      </w:r>
      <w:r w:rsidRPr="008B3461">
        <w:rPr>
          <w:sz w:val="24"/>
          <w:szCs w:val="24"/>
          <w:lang w:val="en-IN"/>
        </w:rPr>
        <w:t xml:space="preserve"> conduction band on an ultra-rapid time scale. The redox species are highly reactive and it is very essential to understand the stability of these species in devices. The redox species of Ru(II) polypyridyl complexes are highly unstable due to the presence of labile –NCS ligands.</w:t>
      </w:r>
      <w:r w:rsidR="00E70B2E">
        <w:rPr>
          <w:sz w:val="24"/>
          <w:szCs w:val="24"/>
          <w:vertAlign w:val="superscript"/>
          <w:lang w:val="en-IN"/>
        </w:rPr>
        <w:t>29</w:t>
      </w:r>
      <w:r w:rsidRPr="008B3461">
        <w:rPr>
          <w:sz w:val="24"/>
          <w:szCs w:val="24"/>
          <w:lang w:val="en-IN"/>
        </w:rPr>
        <w:t xml:space="preserve"> This is one of the reasons that searching alternative sensitizers have intensified for the last couple of decades. For this </w:t>
      </w:r>
      <w:r w:rsidR="00DD2B13">
        <w:rPr>
          <w:sz w:val="24"/>
          <w:szCs w:val="24"/>
          <w:lang w:val="en-IN"/>
        </w:rPr>
        <w:t>motivation</w:t>
      </w:r>
      <w:r w:rsidRPr="008B3461">
        <w:rPr>
          <w:sz w:val="24"/>
          <w:szCs w:val="24"/>
          <w:lang w:val="en-IN"/>
        </w:rPr>
        <w:t xml:space="preserve">, we have executed </w:t>
      </w:r>
      <w:r w:rsidRPr="008B3461">
        <w:rPr>
          <w:i/>
          <w:sz w:val="24"/>
          <w:szCs w:val="24"/>
          <w:lang w:val="en-IN"/>
        </w:rPr>
        <w:t>in</w:t>
      </w:r>
      <w:r w:rsidRPr="008B3461">
        <w:rPr>
          <w:sz w:val="24"/>
          <w:szCs w:val="24"/>
          <w:lang w:val="en-IN"/>
        </w:rPr>
        <w:t>-</w:t>
      </w:r>
      <w:r w:rsidRPr="008B3461">
        <w:rPr>
          <w:i/>
          <w:sz w:val="24"/>
          <w:szCs w:val="24"/>
          <w:lang w:val="en-IN"/>
        </w:rPr>
        <w:t>situ</w:t>
      </w:r>
      <w:r>
        <w:rPr>
          <w:i/>
          <w:sz w:val="24"/>
          <w:szCs w:val="24"/>
          <w:lang w:val="en-IN"/>
        </w:rPr>
        <w:t xml:space="preserve"> </w:t>
      </w:r>
      <w:r w:rsidRPr="008B3461">
        <w:rPr>
          <w:sz w:val="24"/>
          <w:szCs w:val="24"/>
          <w:lang w:val="en-IN"/>
        </w:rPr>
        <w:t>spectro</w:t>
      </w:r>
      <w:r w:rsidR="00CA746A">
        <w:rPr>
          <w:sz w:val="24"/>
          <w:szCs w:val="24"/>
          <w:lang w:val="en-IN"/>
        </w:rPr>
        <w:t>-</w:t>
      </w:r>
      <w:r w:rsidRPr="008B3461">
        <w:rPr>
          <w:sz w:val="24"/>
          <w:szCs w:val="24"/>
          <w:lang w:val="en-IN"/>
        </w:rPr>
        <w:t xml:space="preserve">electrochemical studies of both newly synthesized sensitizers. </w:t>
      </w:r>
      <w:r w:rsidRPr="008B3461">
        <w:rPr>
          <w:b/>
          <w:sz w:val="24"/>
          <w:szCs w:val="24"/>
          <w:lang w:val="en-IN"/>
        </w:rPr>
        <w:t xml:space="preserve">Figure </w:t>
      </w:r>
      <w:r>
        <w:rPr>
          <w:b/>
          <w:bCs/>
          <w:iCs/>
          <w:sz w:val="24"/>
          <w:szCs w:val="24"/>
          <w:lang w:val="en-IN"/>
        </w:rPr>
        <w:t>4a</w:t>
      </w:r>
      <w:r w:rsidRPr="008B3461">
        <w:rPr>
          <w:b/>
          <w:bCs/>
          <w:iCs/>
          <w:sz w:val="24"/>
          <w:szCs w:val="24"/>
          <w:lang w:val="en-IN"/>
        </w:rPr>
        <w:t xml:space="preserve"> </w:t>
      </w:r>
      <w:r w:rsidRPr="008B3461">
        <w:rPr>
          <w:sz w:val="24"/>
          <w:szCs w:val="24"/>
        </w:rPr>
        <w:t>exemplifie</w:t>
      </w:r>
      <w:r w:rsidR="00D215C1">
        <w:rPr>
          <w:sz w:val="24"/>
          <w:szCs w:val="24"/>
        </w:rPr>
        <w:t>s</w:t>
      </w:r>
      <w:r w:rsidRPr="008B3461">
        <w:rPr>
          <w:sz w:val="24"/>
          <w:szCs w:val="24"/>
        </w:rPr>
        <w:t xml:space="preserve"> the </w:t>
      </w:r>
      <w:r w:rsidRPr="008B3461">
        <w:rPr>
          <w:i/>
          <w:iCs/>
          <w:sz w:val="24"/>
          <w:szCs w:val="24"/>
        </w:rPr>
        <w:t xml:space="preserve">in-situ </w:t>
      </w:r>
      <w:r w:rsidRPr="008B3461">
        <w:rPr>
          <w:sz w:val="24"/>
          <w:szCs w:val="24"/>
        </w:rPr>
        <w:t xml:space="preserve">spectral changes of </w:t>
      </w:r>
      <w:r w:rsidRPr="008B3461">
        <w:rPr>
          <w:b/>
          <w:bCs/>
          <w:sz w:val="24"/>
          <w:szCs w:val="24"/>
        </w:rPr>
        <w:t>LG</w:t>
      </w:r>
      <w:r>
        <w:rPr>
          <w:b/>
          <w:bCs/>
          <w:sz w:val="24"/>
          <w:szCs w:val="24"/>
        </w:rPr>
        <w:t xml:space="preserve"> </w:t>
      </w:r>
      <w:r w:rsidRPr="008B3461">
        <w:rPr>
          <w:b/>
          <w:bCs/>
          <w:sz w:val="24"/>
          <w:szCs w:val="24"/>
        </w:rPr>
        <w:t xml:space="preserve">28 </w:t>
      </w:r>
      <w:r w:rsidRPr="008B3461">
        <w:rPr>
          <w:sz w:val="24"/>
          <w:szCs w:val="24"/>
        </w:rPr>
        <w:t xml:space="preserve">sensitizer at an applied oxidation potentialof +0.88 V vs. SCE. </w:t>
      </w:r>
      <w:r w:rsidRPr="008B3461">
        <w:rPr>
          <w:sz w:val="24"/>
          <w:szCs w:val="24"/>
          <w:lang w:val="en-IN"/>
        </w:rPr>
        <w:t xml:space="preserve">During the course of controlled potential oxidation, the intensity of Q band at 678 nm was reduced </w:t>
      </w:r>
      <w:r w:rsidR="00CA746A">
        <w:rPr>
          <w:sz w:val="24"/>
          <w:szCs w:val="24"/>
          <w:lang w:val="en-IN"/>
        </w:rPr>
        <w:t xml:space="preserve">to </w:t>
      </w:r>
      <w:r w:rsidRPr="008B3461">
        <w:rPr>
          <w:sz w:val="24"/>
          <w:szCs w:val="24"/>
          <w:lang w:val="en-IN"/>
        </w:rPr>
        <w:t>a considerable blue shift and the development of new band at 562 nm</w:t>
      </w:r>
      <w:r w:rsidR="00CA746A">
        <w:rPr>
          <w:sz w:val="24"/>
          <w:szCs w:val="24"/>
          <w:lang w:val="en-IN"/>
        </w:rPr>
        <w:t xml:space="preserve"> was observed</w:t>
      </w:r>
      <w:r w:rsidRPr="008B3461">
        <w:rPr>
          <w:sz w:val="24"/>
          <w:szCs w:val="24"/>
          <w:lang w:val="en-IN"/>
        </w:rPr>
        <w:t xml:space="preserve">. In contrast, the intensity </w:t>
      </w:r>
      <w:r w:rsidRPr="008B3461">
        <w:rPr>
          <w:sz w:val="24"/>
          <w:szCs w:val="24"/>
          <w:lang w:val="en-IN"/>
        </w:rPr>
        <w:lastRenderedPageBreak/>
        <w:t>of Soret band also reduced with the formation of a new band at 453 nm. During this process, isosbestic points were clearly perceived at 446 nm, 547 nm, and 625 nm. This effect obviously indicates that the oxidation gave a single product and creating the porphyrin cation radical. While the oxidation was perceived to be alterable th</w:t>
      </w:r>
      <w:r>
        <w:rPr>
          <w:sz w:val="24"/>
          <w:szCs w:val="24"/>
          <w:lang w:val="en-IN"/>
        </w:rPr>
        <w:t>roughout the cyclic voltammetry</w:t>
      </w:r>
      <w:r w:rsidR="00CA746A">
        <w:rPr>
          <w:sz w:val="24"/>
          <w:szCs w:val="24"/>
          <w:lang w:val="en-IN"/>
        </w:rPr>
        <w:t>,</w:t>
      </w:r>
      <w:r>
        <w:rPr>
          <w:sz w:val="24"/>
          <w:szCs w:val="24"/>
          <w:lang w:val="en-IN"/>
        </w:rPr>
        <w:t xml:space="preserve"> t</w:t>
      </w:r>
      <w:r w:rsidRPr="008B3461">
        <w:rPr>
          <w:sz w:val="24"/>
          <w:szCs w:val="24"/>
          <w:lang w:val="en-IN"/>
        </w:rPr>
        <w:t xml:space="preserve">he produced porphyrin cation radical at +0.88 V cannot be completely convalesced to its neutral form when the applied oxidation potential altered to 0.15 V. This may be owed to the partial degradation of </w:t>
      </w:r>
      <w:r w:rsidRPr="008B3461">
        <w:rPr>
          <w:b/>
          <w:bCs/>
          <w:sz w:val="24"/>
          <w:szCs w:val="24"/>
          <w:lang w:val="en-IN"/>
        </w:rPr>
        <w:t>LG</w:t>
      </w:r>
      <w:r>
        <w:rPr>
          <w:b/>
          <w:bCs/>
          <w:sz w:val="24"/>
          <w:szCs w:val="24"/>
          <w:lang w:val="en-IN"/>
        </w:rPr>
        <w:t xml:space="preserve"> </w:t>
      </w:r>
      <w:r w:rsidRPr="008B3461">
        <w:rPr>
          <w:b/>
          <w:bCs/>
          <w:sz w:val="24"/>
          <w:szCs w:val="24"/>
          <w:lang w:val="en-IN"/>
        </w:rPr>
        <w:t xml:space="preserve">28 </w:t>
      </w:r>
      <w:r w:rsidR="00DD2B13">
        <w:rPr>
          <w:sz w:val="24"/>
          <w:szCs w:val="24"/>
          <w:lang w:val="en-IN"/>
        </w:rPr>
        <w:t>during continuous time</w:t>
      </w:r>
      <w:r w:rsidRPr="008B3461">
        <w:rPr>
          <w:sz w:val="24"/>
          <w:szCs w:val="24"/>
          <w:lang w:val="en-IN"/>
        </w:rPr>
        <w:t>-scale of the spectro</w:t>
      </w:r>
      <w:r w:rsidR="00CA746A">
        <w:rPr>
          <w:sz w:val="24"/>
          <w:szCs w:val="24"/>
          <w:lang w:val="en-IN"/>
        </w:rPr>
        <w:t>-</w:t>
      </w:r>
      <w:r w:rsidRPr="008B3461">
        <w:rPr>
          <w:sz w:val="24"/>
          <w:szCs w:val="24"/>
          <w:lang w:val="en-IN"/>
        </w:rPr>
        <w:t>electrochemical study, which is similar to LG5.</w:t>
      </w:r>
      <w:r w:rsidR="00DD2B13" w:rsidRPr="00DD2B13">
        <w:rPr>
          <w:sz w:val="24"/>
          <w:szCs w:val="24"/>
          <w:vertAlign w:val="superscript"/>
          <w:lang w:val="en-IN"/>
        </w:rPr>
        <w:t>22</w:t>
      </w:r>
      <w:r w:rsidRPr="008B3461">
        <w:rPr>
          <w:sz w:val="24"/>
          <w:szCs w:val="24"/>
          <w:lang w:val="en-IN"/>
        </w:rPr>
        <w:t xml:space="preserve"> </w:t>
      </w:r>
      <w:r>
        <w:rPr>
          <w:sz w:val="24"/>
          <w:szCs w:val="24"/>
          <w:lang w:val="en-IN"/>
        </w:rPr>
        <w:t xml:space="preserve">Similar spectral changes were also observed </w:t>
      </w:r>
      <w:r w:rsidR="00CA746A">
        <w:rPr>
          <w:sz w:val="24"/>
          <w:szCs w:val="24"/>
          <w:lang w:val="en-IN"/>
        </w:rPr>
        <w:t xml:space="preserve">for  the </w:t>
      </w:r>
      <w:r>
        <w:rPr>
          <w:sz w:val="24"/>
          <w:szCs w:val="24"/>
          <w:lang w:val="en-IN"/>
        </w:rPr>
        <w:t xml:space="preserve"> </w:t>
      </w:r>
      <w:r w:rsidRPr="008B3461">
        <w:rPr>
          <w:b/>
          <w:sz w:val="24"/>
          <w:szCs w:val="24"/>
          <w:lang w:val="en-IN"/>
        </w:rPr>
        <w:t>LG</w:t>
      </w:r>
      <w:r>
        <w:rPr>
          <w:b/>
          <w:sz w:val="24"/>
          <w:szCs w:val="24"/>
          <w:lang w:val="en-IN"/>
        </w:rPr>
        <w:t xml:space="preserve"> </w:t>
      </w:r>
      <w:r w:rsidRPr="008B3461">
        <w:rPr>
          <w:b/>
          <w:sz w:val="24"/>
          <w:szCs w:val="24"/>
          <w:lang w:val="en-IN"/>
        </w:rPr>
        <w:t>29</w:t>
      </w:r>
      <w:r>
        <w:rPr>
          <w:sz w:val="24"/>
          <w:szCs w:val="24"/>
          <w:lang w:val="en-IN"/>
        </w:rPr>
        <w:t xml:space="preserve"> sensitizer (Figure 4b).</w:t>
      </w:r>
    </w:p>
    <w:p w14:paraId="687FF656" w14:textId="785E8EA2" w:rsidR="002177EC" w:rsidRDefault="006333CE" w:rsidP="002177EC">
      <w:pPr>
        <w:spacing w:after="0" w:line="360" w:lineRule="auto"/>
        <w:jc w:val="center"/>
        <w:rPr>
          <w:sz w:val="24"/>
          <w:szCs w:val="24"/>
        </w:rPr>
      </w:pPr>
      <w:r w:rsidRPr="00E70CEA">
        <w:rPr>
          <w:noProof/>
          <w:szCs w:val="24"/>
        </w:rPr>
        <w:drawing>
          <wp:inline distT="0" distB="0" distL="0" distR="0" wp14:anchorId="547B10BD" wp14:editId="24053F6A">
            <wp:extent cx="5050155" cy="195643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50155" cy="1956435"/>
                    </a:xfrm>
                    <a:prstGeom prst="rect">
                      <a:avLst/>
                    </a:prstGeom>
                    <a:noFill/>
                    <a:ln>
                      <a:noFill/>
                    </a:ln>
                  </pic:spPr>
                </pic:pic>
              </a:graphicData>
            </a:graphic>
          </wp:inline>
        </w:drawing>
      </w:r>
    </w:p>
    <w:p w14:paraId="101A25B9" w14:textId="77777777" w:rsidR="002177EC" w:rsidRPr="00141341" w:rsidRDefault="002177EC" w:rsidP="002177EC">
      <w:pPr>
        <w:spacing w:line="360" w:lineRule="auto"/>
        <w:jc w:val="both"/>
        <w:rPr>
          <w:rFonts w:ascii="Times New Roman" w:eastAsia="Times New Roman" w:hAnsi="Times New Roman"/>
          <w:i/>
          <w:sz w:val="24"/>
          <w:szCs w:val="24"/>
        </w:rPr>
      </w:pPr>
      <w:r>
        <w:rPr>
          <w:rFonts w:ascii="Times New Roman" w:eastAsia="Times New Roman" w:hAnsi="Times New Roman"/>
          <w:b/>
          <w:noProof/>
          <w:sz w:val="24"/>
          <w:szCs w:val="24"/>
          <w:lang w:val="de-DE" w:eastAsia="fr-FR"/>
        </w:rPr>
        <w:t>Figure 4</w:t>
      </w:r>
      <w:r w:rsidRPr="002177EC">
        <w:rPr>
          <w:rFonts w:ascii="Times New Roman" w:eastAsia="Times New Roman" w:hAnsi="Times New Roman"/>
          <w:b/>
          <w:iCs/>
          <w:noProof/>
          <w:sz w:val="24"/>
          <w:szCs w:val="24"/>
          <w:lang w:val="de-DE" w:eastAsia="fr-FR"/>
        </w:rPr>
        <w:t>:</w:t>
      </w:r>
      <w:r w:rsidRPr="00141341">
        <w:rPr>
          <w:rFonts w:ascii="Times New Roman" w:eastAsia="Times New Roman" w:hAnsi="Times New Roman"/>
          <w:b/>
          <w:i/>
          <w:iCs/>
          <w:noProof/>
          <w:sz w:val="24"/>
          <w:szCs w:val="24"/>
          <w:lang w:val="de-DE" w:eastAsia="fr-FR"/>
        </w:rPr>
        <w:t xml:space="preserve"> </w:t>
      </w:r>
      <w:r w:rsidRPr="006A5829">
        <w:rPr>
          <w:rFonts w:ascii="Times New Roman" w:eastAsia="Times New Roman" w:hAnsi="Times New Roman"/>
          <w:iCs/>
          <w:sz w:val="24"/>
          <w:szCs w:val="24"/>
        </w:rPr>
        <w:t xml:space="preserve">Oxidative OTTLE studies of </w:t>
      </w:r>
      <w:r w:rsidRPr="006A5829">
        <w:rPr>
          <w:rFonts w:ascii="Times New Roman" w:eastAsia="Times New Roman" w:hAnsi="Times New Roman"/>
          <w:b/>
          <w:bCs/>
          <w:iCs/>
          <w:sz w:val="24"/>
          <w:szCs w:val="24"/>
        </w:rPr>
        <w:t>LG</w:t>
      </w:r>
      <w:r w:rsidR="00DF497F">
        <w:rPr>
          <w:rFonts w:ascii="Times New Roman" w:eastAsia="Times New Roman" w:hAnsi="Times New Roman"/>
          <w:b/>
          <w:bCs/>
          <w:iCs/>
          <w:sz w:val="24"/>
          <w:szCs w:val="24"/>
        </w:rPr>
        <w:t xml:space="preserve"> </w:t>
      </w:r>
      <w:r w:rsidRPr="006A5829">
        <w:rPr>
          <w:rFonts w:ascii="Times New Roman" w:eastAsia="Times New Roman" w:hAnsi="Times New Roman"/>
          <w:b/>
          <w:bCs/>
          <w:iCs/>
          <w:sz w:val="24"/>
          <w:szCs w:val="24"/>
        </w:rPr>
        <w:t>28</w:t>
      </w:r>
      <w:r w:rsidR="00DF497F">
        <w:rPr>
          <w:rFonts w:ascii="Times New Roman" w:eastAsia="Times New Roman" w:hAnsi="Times New Roman"/>
          <w:b/>
          <w:bCs/>
          <w:iCs/>
          <w:sz w:val="24"/>
          <w:szCs w:val="24"/>
        </w:rPr>
        <w:t xml:space="preserve"> </w:t>
      </w:r>
      <w:r>
        <w:rPr>
          <w:rFonts w:ascii="Times New Roman" w:eastAsia="Times New Roman" w:hAnsi="Times New Roman"/>
          <w:iCs/>
          <w:sz w:val="24"/>
          <w:szCs w:val="24"/>
        </w:rPr>
        <w:t>sensitizer</w:t>
      </w:r>
      <w:r w:rsidRPr="006A5829">
        <w:rPr>
          <w:rFonts w:ascii="Times New Roman" w:eastAsia="Times New Roman" w:hAnsi="Times New Roman"/>
          <w:iCs/>
          <w:sz w:val="24"/>
          <w:szCs w:val="24"/>
        </w:rPr>
        <w:t xml:space="preserve"> in 0.3M TBAP/THF with an applied potential of </w:t>
      </w:r>
      <w:r w:rsidRPr="008B3461">
        <w:rPr>
          <w:rFonts w:ascii="Times New Roman" w:eastAsia="Times New Roman" w:hAnsi="Times New Roman"/>
          <w:iCs/>
          <w:sz w:val="24"/>
          <w:szCs w:val="24"/>
        </w:rPr>
        <w:t>+0.88V</w:t>
      </w:r>
      <w:r w:rsidRPr="006A5829">
        <w:rPr>
          <w:rFonts w:ascii="Times New Roman" w:eastAsia="Times New Roman" w:hAnsi="Times New Roman"/>
          <w:iCs/>
          <w:sz w:val="24"/>
          <w:szCs w:val="24"/>
        </w:rPr>
        <w:t xml:space="preserve"> (vs. SCE/</w:t>
      </w:r>
      <w:r>
        <w:rPr>
          <w:rFonts w:ascii="Times New Roman" w:eastAsia="Times New Roman" w:hAnsi="Times New Roman"/>
          <w:iCs/>
          <w:sz w:val="24"/>
          <w:szCs w:val="24"/>
        </w:rPr>
        <w:t>:</w:t>
      </w:r>
      <w:r w:rsidRPr="006A5829">
        <w:rPr>
          <w:rFonts w:ascii="Times New Roman" w:eastAsia="Times New Roman" w:hAnsi="Times New Roman"/>
          <w:iCs/>
          <w:sz w:val="24"/>
          <w:szCs w:val="24"/>
        </w:rPr>
        <w:t>KCl).</w:t>
      </w:r>
    </w:p>
    <w:p w14:paraId="5625F3EF" w14:textId="77777777" w:rsidR="00A220C7" w:rsidRPr="00035B9C" w:rsidRDefault="00A220C7" w:rsidP="00A220C7">
      <w:pPr>
        <w:spacing w:after="0" w:line="360" w:lineRule="auto"/>
        <w:jc w:val="both"/>
        <w:rPr>
          <w:b/>
          <w:sz w:val="24"/>
          <w:szCs w:val="24"/>
        </w:rPr>
      </w:pPr>
      <w:r w:rsidRPr="00035B9C">
        <w:rPr>
          <w:b/>
          <w:sz w:val="24"/>
          <w:szCs w:val="24"/>
        </w:rPr>
        <w:t>Quantum Mechanical Studies:</w:t>
      </w:r>
    </w:p>
    <w:p w14:paraId="090C0DD7" w14:textId="54232076" w:rsidR="002177EC" w:rsidRDefault="00A220C7" w:rsidP="00A220C7">
      <w:pPr>
        <w:spacing w:after="0" w:line="360" w:lineRule="auto"/>
        <w:jc w:val="both"/>
        <w:rPr>
          <w:rFonts w:cs="Calibri"/>
          <w:sz w:val="24"/>
          <w:szCs w:val="24"/>
        </w:rPr>
      </w:pPr>
      <w:r w:rsidRPr="00E42665">
        <w:rPr>
          <w:sz w:val="24"/>
          <w:szCs w:val="24"/>
        </w:rPr>
        <w:t xml:space="preserve">To comprehend the theoretical information such as optical, electronic, and structural properties of the novel sensitizers </w:t>
      </w:r>
      <w:r w:rsidRPr="00E42665">
        <w:rPr>
          <w:b/>
          <w:bCs/>
          <w:sz w:val="24"/>
          <w:szCs w:val="24"/>
        </w:rPr>
        <w:t xml:space="preserve">LG 28 </w:t>
      </w:r>
      <w:r w:rsidRPr="00E42665">
        <w:rPr>
          <w:bCs/>
          <w:sz w:val="24"/>
          <w:szCs w:val="24"/>
        </w:rPr>
        <w:t>and</w:t>
      </w:r>
      <w:r w:rsidRPr="00E42665">
        <w:rPr>
          <w:b/>
          <w:bCs/>
          <w:sz w:val="24"/>
          <w:szCs w:val="24"/>
        </w:rPr>
        <w:t xml:space="preserve"> LG 29</w:t>
      </w:r>
      <w:r w:rsidRPr="00E42665">
        <w:rPr>
          <w:sz w:val="24"/>
          <w:szCs w:val="24"/>
        </w:rPr>
        <w:t>, DFT and TD-DFT calculations were executed with the Gaussian 09 software with the functional basis set of B3LYP/6-31G(d,p) method.</w:t>
      </w:r>
      <w:r w:rsidR="00D04959">
        <w:rPr>
          <w:sz w:val="24"/>
          <w:szCs w:val="24"/>
          <w:vertAlign w:val="superscript"/>
        </w:rPr>
        <w:t>30-32</w:t>
      </w:r>
      <w:r w:rsidRPr="00E42665">
        <w:rPr>
          <w:sz w:val="24"/>
          <w:szCs w:val="24"/>
          <w:vertAlign w:val="superscript"/>
        </w:rPr>
        <w:t xml:space="preserve"> </w:t>
      </w:r>
      <w:r w:rsidRPr="00E42665">
        <w:rPr>
          <w:b/>
          <w:iCs/>
          <w:sz w:val="24"/>
          <w:szCs w:val="24"/>
          <w:lang w:val="de-DE"/>
        </w:rPr>
        <w:t xml:space="preserve">Figure </w:t>
      </w:r>
      <w:r>
        <w:rPr>
          <w:b/>
          <w:iCs/>
          <w:sz w:val="24"/>
          <w:szCs w:val="24"/>
          <w:lang w:val="de-DE"/>
        </w:rPr>
        <w:t>5a</w:t>
      </w:r>
      <w:r w:rsidRPr="00E42665">
        <w:rPr>
          <w:sz w:val="24"/>
          <w:szCs w:val="24"/>
        </w:rPr>
        <w:t xml:space="preserve"> elucidates </w:t>
      </w:r>
      <w:r>
        <w:rPr>
          <w:sz w:val="24"/>
          <w:szCs w:val="24"/>
        </w:rPr>
        <w:t xml:space="preserve">the optimized structures of </w:t>
      </w:r>
      <w:r w:rsidRPr="00E42665">
        <w:rPr>
          <w:b/>
          <w:bCs/>
          <w:sz w:val="24"/>
          <w:szCs w:val="24"/>
        </w:rPr>
        <w:t xml:space="preserve">LG 28 </w:t>
      </w:r>
      <w:r w:rsidRPr="00E42665">
        <w:rPr>
          <w:bCs/>
          <w:sz w:val="24"/>
          <w:szCs w:val="24"/>
        </w:rPr>
        <w:t>and</w:t>
      </w:r>
      <w:r w:rsidRPr="00E42665">
        <w:rPr>
          <w:b/>
          <w:bCs/>
          <w:sz w:val="24"/>
          <w:szCs w:val="24"/>
        </w:rPr>
        <w:t xml:space="preserve"> LG 29</w:t>
      </w:r>
      <w:r>
        <w:rPr>
          <w:b/>
          <w:bCs/>
          <w:sz w:val="24"/>
          <w:szCs w:val="24"/>
        </w:rPr>
        <w:t xml:space="preserve"> </w:t>
      </w:r>
      <w:r w:rsidRPr="00E42665">
        <w:rPr>
          <w:sz w:val="24"/>
          <w:szCs w:val="24"/>
        </w:rPr>
        <w:t>sensitizers in</w:t>
      </w:r>
      <w:r w:rsidRPr="00E42665">
        <w:rPr>
          <w:bCs/>
          <w:sz w:val="24"/>
          <w:szCs w:val="24"/>
          <w:lang w:val="de-DE"/>
        </w:rPr>
        <w:t xml:space="preserve"> ground state</w:t>
      </w:r>
      <w:r w:rsidRPr="00E42665">
        <w:rPr>
          <w:sz w:val="24"/>
          <w:szCs w:val="24"/>
        </w:rPr>
        <w:t xml:space="preserve">; it comprises the donor phenothiazine and selenophene auxiliary acceptor groups separating the </w:t>
      </w:r>
      <w:r w:rsidRPr="00E42665">
        <w:rPr>
          <w:bCs/>
          <w:sz w:val="24"/>
          <w:szCs w:val="24"/>
          <w:lang w:val="de-DE"/>
        </w:rPr>
        <w:t xml:space="preserve">ethynyl bridged </w:t>
      </w:r>
      <w:r w:rsidRPr="00E42665">
        <w:rPr>
          <w:sz w:val="24"/>
          <w:szCs w:val="24"/>
        </w:rPr>
        <w:t xml:space="preserve">porphyrin macrocycle. </w:t>
      </w:r>
      <w:r w:rsidRPr="00E42665">
        <w:rPr>
          <w:bCs/>
          <w:sz w:val="24"/>
          <w:szCs w:val="24"/>
          <w:lang w:val="de-DE"/>
        </w:rPr>
        <w:t xml:space="preserve">With respect to the phenothiazine donor, </w:t>
      </w:r>
      <w:r w:rsidRPr="00E42665">
        <w:rPr>
          <w:sz w:val="24"/>
          <w:szCs w:val="24"/>
        </w:rPr>
        <w:t xml:space="preserve">the </w:t>
      </w:r>
      <w:r w:rsidRPr="00E42665">
        <w:rPr>
          <w:bCs/>
          <w:sz w:val="24"/>
          <w:szCs w:val="24"/>
          <w:lang w:val="de-DE"/>
        </w:rPr>
        <w:t xml:space="preserve">two dyes  are </w:t>
      </w:r>
      <w:r w:rsidR="00CA746A">
        <w:rPr>
          <w:bCs/>
          <w:sz w:val="24"/>
          <w:szCs w:val="24"/>
          <w:lang w:val="de-DE"/>
        </w:rPr>
        <w:t>displayed</w:t>
      </w:r>
      <w:r w:rsidRPr="00E42665">
        <w:rPr>
          <w:bCs/>
          <w:sz w:val="24"/>
          <w:szCs w:val="24"/>
          <w:lang w:val="de-DE"/>
        </w:rPr>
        <w:t xml:space="preserve"> non planar bahaviour and it reduces the aggregation both </w:t>
      </w:r>
      <w:r>
        <w:rPr>
          <w:bCs/>
          <w:sz w:val="24"/>
          <w:szCs w:val="24"/>
          <w:lang w:val="de-DE"/>
        </w:rPr>
        <w:t xml:space="preserve">in </w:t>
      </w:r>
      <w:r w:rsidRPr="00E42665">
        <w:rPr>
          <w:bCs/>
          <w:sz w:val="24"/>
          <w:szCs w:val="24"/>
          <w:lang w:val="de-DE"/>
        </w:rPr>
        <w:t>solvent as well as on the TiO</w:t>
      </w:r>
      <w:r w:rsidRPr="00E42665">
        <w:rPr>
          <w:bCs/>
          <w:sz w:val="24"/>
          <w:szCs w:val="24"/>
          <w:vertAlign w:val="subscript"/>
          <w:lang w:val="de-DE"/>
        </w:rPr>
        <w:t>2</w:t>
      </w:r>
      <w:r w:rsidRPr="00E42665">
        <w:rPr>
          <w:bCs/>
          <w:sz w:val="24"/>
          <w:szCs w:val="24"/>
          <w:lang w:val="de-DE"/>
        </w:rPr>
        <w:t xml:space="preserve"> conduction surface.</w:t>
      </w:r>
      <w:r>
        <w:rPr>
          <w:bCs/>
          <w:sz w:val="24"/>
          <w:szCs w:val="24"/>
          <w:lang w:val="de-DE"/>
        </w:rPr>
        <w:t xml:space="preserve"> </w:t>
      </w:r>
      <w:r>
        <w:rPr>
          <w:b/>
          <w:bCs/>
          <w:iCs/>
          <w:sz w:val="24"/>
          <w:szCs w:val="24"/>
          <w:lang w:val="de-DE"/>
        </w:rPr>
        <w:t xml:space="preserve">Figure 5b </w:t>
      </w:r>
      <w:r w:rsidRPr="007644A3">
        <w:rPr>
          <w:bCs/>
          <w:sz w:val="24"/>
          <w:szCs w:val="24"/>
        </w:rPr>
        <w:t xml:space="preserve">displays the electron density distribution of </w:t>
      </w:r>
      <w:r w:rsidRPr="007644A3">
        <w:rPr>
          <w:b/>
          <w:bCs/>
          <w:sz w:val="24"/>
          <w:szCs w:val="24"/>
        </w:rPr>
        <w:t xml:space="preserve">LG 28 </w:t>
      </w:r>
      <w:r w:rsidRPr="007644A3">
        <w:rPr>
          <w:bCs/>
          <w:sz w:val="24"/>
          <w:szCs w:val="24"/>
        </w:rPr>
        <w:t>and</w:t>
      </w:r>
      <w:r w:rsidRPr="007644A3">
        <w:rPr>
          <w:b/>
          <w:bCs/>
          <w:sz w:val="24"/>
          <w:szCs w:val="24"/>
        </w:rPr>
        <w:t xml:space="preserve"> LG 29 </w:t>
      </w:r>
      <w:r w:rsidRPr="007644A3">
        <w:rPr>
          <w:bCs/>
          <w:sz w:val="24"/>
          <w:szCs w:val="24"/>
        </w:rPr>
        <w:t xml:space="preserve">dyes. The frontier molecular orbitals (FMOs) of sensitizers suggest that the HOMO is </w:t>
      </w:r>
    </w:p>
    <w:p w14:paraId="2E7BA7CE" w14:textId="7BEFCA10" w:rsidR="00A220C7" w:rsidRDefault="006333CE" w:rsidP="00A220C7">
      <w:pPr>
        <w:spacing w:after="0" w:line="360" w:lineRule="auto"/>
        <w:jc w:val="center"/>
        <w:rPr>
          <w:bCs/>
          <w:sz w:val="24"/>
          <w:szCs w:val="24"/>
        </w:rPr>
      </w:pPr>
      <w:r w:rsidRPr="00493CBB">
        <w:rPr>
          <w:noProof/>
        </w:rPr>
        <w:lastRenderedPageBreak/>
        <w:drawing>
          <wp:inline distT="0" distB="0" distL="0" distR="0" wp14:anchorId="103E0AE3" wp14:editId="22D26169">
            <wp:extent cx="4582795" cy="4231640"/>
            <wp:effectExtent l="0" t="0" r="0"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2795" cy="4231640"/>
                    </a:xfrm>
                    <a:prstGeom prst="rect">
                      <a:avLst/>
                    </a:prstGeom>
                    <a:noFill/>
                    <a:ln>
                      <a:noFill/>
                    </a:ln>
                  </pic:spPr>
                </pic:pic>
              </a:graphicData>
            </a:graphic>
          </wp:inline>
        </w:drawing>
      </w:r>
    </w:p>
    <w:p w14:paraId="58E1543D" w14:textId="77777777" w:rsidR="00A220C7" w:rsidRDefault="00A220C7" w:rsidP="00A220C7">
      <w:pPr>
        <w:spacing w:after="0" w:line="360" w:lineRule="auto"/>
        <w:jc w:val="both"/>
        <w:rPr>
          <w:bCs/>
          <w:sz w:val="24"/>
          <w:szCs w:val="24"/>
        </w:rPr>
      </w:pPr>
      <w:r w:rsidRPr="00A220C7">
        <w:rPr>
          <w:b/>
          <w:bCs/>
          <w:sz w:val="24"/>
          <w:szCs w:val="24"/>
        </w:rPr>
        <w:t>Figure 5:</w:t>
      </w:r>
      <w:r>
        <w:rPr>
          <w:bCs/>
          <w:sz w:val="24"/>
          <w:szCs w:val="24"/>
        </w:rPr>
        <w:t xml:space="preserve"> </w:t>
      </w:r>
      <w:r w:rsidRPr="000F136B">
        <w:rPr>
          <w:bCs/>
          <w:sz w:val="24"/>
          <w:szCs w:val="24"/>
        </w:rPr>
        <w:t>T</w:t>
      </w:r>
      <w:r>
        <w:rPr>
          <w:bCs/>
          <w:sz w:val="24"/>
          <w:szCs w:val="24"/>
        </w:rPr>
        <w:t>he B3LYP/6-31G(d,p)-calculated a. optimized structures, b.</w:t>
      </w:r>
      <w:r w:rsidRPr="000F136B">
        <w:rPr>
          <w:bCs/>
          <w:sz w:val="24"/>
          <w:szCs w:val="24"/>
        </w:rPr>
        <w:t xml:space="preserve"> frontier</w:t>
      </w:r>
      <w:r>
        <w:rPr>
          <w:bCs/>
          <w:sz w:val="24"/>
          <w:szCs w:val="24"/>
        </w:rPr>
        <w:t xml:space="preserve"> HOMOs and frontier LUMOs, and c.</w:t>
      </w:r>
      <w:r w:rsidRPr="000F136B">
        <w:rPr>
          <w:bCs/>
          <w:sz w:val="24"/>
          <w:szCs w:val="24"/>
        </w:rPr>
        <w:t xml:space="preserve"> electrostatic maps of </w:t>
      </w:r>
      <w:r>
        <w:rPr>
          <w:b/>
          <w:bCs/>
          <w:sz w:val="24"/>
          <w:szCs w:val="24"/>
        </w:rPr>
        <w:t xml:space="preserve">LG </w:t>
      </w:r>
      <w:r w:rsidRPr="000F136B">
        <w:rPr>
          <w:b/>
          <w:bCs/>
          <w:sz w:val="24"/>
          <w:szCs w:val="24"/>
        </w:rPr>
        <w:t>28</w:t>
      </w:r>
      <w:r>
        <w:rPr>
          <w:bCs/>
          <w:sz w:val="24"/>
          <w:szCs w:val="24"/>
        </w:rPr>
        <w:t xml:space="preserve"> and </w:t>
      </w:r>
      <w:r>
        <w:rPr>
          <w:b/>
          <w:bCs/>
          <w:sz w:val="24"/>
          <w:szCs w:val="24"/>
        </w:rPr>
        <w:t xml:space="preserve">LG </w:t>
      </w:r>
      <w:r w:rsidRPr="000F136B">
        <w:rPr>
          <w:b/>
          <w:bCs/>
          <w:sz w:val="24"/>
          <w:szCs w:val="24"/>
        </w:rPr>
        <w:t>29</w:t>
      </w:r>
      <w:r>
        <w:rPr>
          <w:bCs/>
          <w:sz w:val="24"/>
          <w:szCs w:val="24"/>
        </w:rPr>
        <w:t xml:space="preserve"> dyes.</w:t>
      </w:r>
    </w:p>
    <w:p w14:paraId="57699029" w14:textId="77777777" w:rsidR="00A220C7" w:rsidRDefault="00A220C7" w:rsidP="00A220C7">
      <w:pPr>
        <w:spacing w:after="0" w:line="360" w:lineRule="auto"/>
        <w:jc w:val="both"/>
        <w:rPr>
          <w:bCs/>
          <w:sz w:val="24"/>
          <w:szCs w:val="24"/>
        </w:rPr>
      </w:pPr>
    </w:p>
    <w:p w14:paraId="07CC533C" w14:textId="77777777" w:rsidR="00A220C7" w:rsidRPr="007644A3" w:rsidRDefault="00A220C7" w:rsidP="00A220C7">
      <w:pPr>
        <w:spacing w:after="0" w:line="360" w:lineRule="auto"/>
        <w:jc w:val="both"/>
        <w:rPr>
          <w:bCs/>
          <w:sz w:val="24"/>
          <w:szCs w:val="24"/>
          <w:lang w:val="de-DE"/>
        </w:rPr>
      </w:pPr>
      <w:r>
        <w:rPr>
          <w:b/>
          <w:bCs/>
          <w:sz w:val="24"/>
          <w:szCs w:val="24"/>
        </w:rPr>
        <w:t xml:space="preserve">Table 2 </w:t>
      </w:r>
      <w:r>
        <w:rPr>
          <w:bCs/>
          <w:sz w:val="24"/>
          <w:szCs w:val="24"/>
        </w:rPr>
        <w:t>R</w:t>
      </w:r>
      <w:r w:rsidRPr="007644A3">
        <w:rPr>
          <w:bCs/>
          <w:sz w:val="24"/>
          <w:szCs w:val="24"/>
        </w:rPr>
        <w:t xml:space="preserve">epresents the calculated </w:t>
      </w:r>
      <w:r w:rsidRPr="007644A3">
        <w:rPr>
          <w:bCs/>
          <w:sz w:val="24"/>
          <w:szCs w:val="24"/>
          <w:lang w:val="de-DE"/>
        </w:rPr>
        <w:t>HOMO, LUMO, band gap energy values and dipole moment values in Debye units.</w:t>
      </w:r>
    </w:p>
    <w:tbl>
      <w:tblPr>
        <w:tblW w:w="674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78"/>
        <w:gridCol w:w="1601"/>
        <w:gridCol w:w="1518"/>
        <w:gridCol w:w="1285"/>
        <w:gridCol w:w="1267"/>
      </w:tblGrid>
      <w:tr w:rsidR="00A220C7" w:rsidRPr="00141341" w14:paraId="7F4881DE" w14:textId="77777777" w:rsidTr="00E074DC">
        <w:trPr>
          <w:trHeight w:val="518"/>
          <w:jc w:val="center"/>
        </w:trPr>
        <w:tc>
          <w:tcPr>
            <w:tcW w:w="1078" w:type="dxa"/>
            <w:tcBorders>
              <w:top w:val="single" w:sz="12" w:space="0" w:color="auto"/>
              <w:bottom w:val="single" w:sz="12" w:space="0" w:color="auto"/>
            </w:tcBorders>
            <w:vAlign w:val="center"/>
          </w:tcPr>
          <w:p w14:paraId="44A1CC36" w14:textId="77777777" w:rsidR="00A220C7" w:rsidRPr="00141341" w:rsidRDefault="00A220C7" w:rsidP="00E074DC">
            <w:pPr>
              <w:pBdr>
                <w:top w:val="single" w:sz="4" w:space="4" w:color="FFFFFF"/>
                <w:left w:val="single" w:sz="4" w:space="4" w:color="FFFFFF"/>
                <w:bottom w:val="single" w:sz="4" w:space="4" w:color="FFFFFF"/>
                <w:right w:val="single" w:sz="4" w:space="4" w:color="FFFFFF"/>
              </w:pBdr>
              <w:spacing w:line="360" w:lineRule="auto"/>
              <w:jc w:val="center"/>
              <w:rPr>
                <w:rFonts w:ascii="Times New Roman" w:eastAsia="MS Mincho" w:hAnsi="Times New Roman"/>
                <w:b/>
                <w:noProof/>
                <w:sz w:val="24"/>
                <w:szCs w:val="24"/>
                <w:lang w:val="en-GB" w:eastAsia="ja-JP"/>
              </w:rPr>
            </w:pPr>
            <w:r w:rsidRPr="00141341">
              <w:rPr>
                <w:rFonts w:ascii="Times New Roman" w:eastAsia="MS Mincho" w:hAnsi="Times New Roman"/>
                <w:b/>
                <w:sz w:val="24"/>
                <w:szCs w:val="24"/>
                <w:lang w:val="en-GB" w:eastAsia="ja-JP"/>
              </w:rPr>
              <w:t>Dye</w:t>
            </w:r>
          </w:p>
        </w:tc>
        <w:tc>
          <w:tcPr>
            <w:tcW w:w="1601" w:type="dxa"/>
            <w:tcBorders>
              <w:top w:val="single" w:sz="12" w:space="0" w:color="auto"/>
              <w:bottom w:val="single" w:sz="12" w:space="0" w:color="auto"/>
            </w:tcBorders>
            <w:vAlign w:val="center"/>
          </w:tcPr>
          <w:p w14:paraId="0E23FBED" w14:textId="77777777" w:rsidR="00A220C7" w:rsidRPr="00141341" w:rsidRDefault="00A220C7" w:rsidP="00E074DC">
            <w:pPr>
              <w:pBdr>
                <w:top w:val="single" w:sz="4" w:space="4" w:color="FFFFFF"/>
                <w:left w:val="single" w:sz="4" w:space="4" w:color="FFFFFF"/>
                <w:bottom w:val="single" w:sz="4" w:space="4" w:color="FFFFFF"/>
                <w:right w:val="single" w:sz="4" w:space="4" w:color="FFFFFF"/>
              </w:pBdr>
              <w:spacing w:line="360" w:lineRule="auto"/>
              <w:jc w:val="center"/>
              <w:rPr>
                <w:rFonts w:ascii="Times New Roman" w:eastAsia="MS Mincho" w:hAnsi="Times New Roman"/>
                <w:b/>
                <w:noProof/>
                <w:sz w:val="24"/>
                <w:szCs w:val="24"/>
                <w:lang w:val="en-GB" w:eastAsia="ja-JP"/>
              </w:rPr>
            </w:pPr>
            <w:r>
              <w:rPr>
                <w:rFonts w:ascii="Times New Roman" w:eastAsia="MS Mincho" w:hAnsi="Times New Roman"/>
                <w:b/>
                <w:noProof/>
                <w:sz w:val="24"/>
                <w:szCs w:val="24"/>
                <w:vertAlign w:val="superscript"/>
                <w:lang w:val="en-GB" w:eastAsia="ja-JP"/>
              </w:rPr>
              <w:t>a</w:t>
            </w:r>
            <w:r w:rsidRPr="00141341">
              <w:rPr>
                <w:rFonts w:ascii="Times New Roman" w:eastAsia="MS Mincho" w:hAnsi="Times New Roman"/>
                <w:b/>
                <w:noProof/>
                <w:sz w:val="24"/>
                <w:szCs w:val="24"/>
                <w:lang w:val="en-GB" w:eastAsia="ja-JP"/>
              </w:rPr>
              <w:t>HOMO (H),</w:t>
            </w:r>
          </w:p>
        </w:tc>
        <w:tc>
          <w:tcPr>
            <w:tcW w:w="1518" w:type="dxa"/>
            <w:tcBorders>
              <w:top w:val="single" w:sz="12" w:space="0" w:color="auto"/>
              <w:bottom w:val="single" w:sz="12" w:space="0" w:color="auto"/>
            </w:tcBorders>
            <w:vAlign w:val="center"/>
          </w:tcPr>
          <w:p w14:paraId="15847171" w14:textId="77777777" w:rsidR="00A220C7" w:rsidRPr="00141341" w:rsidRDefault="00A220C7" w:rsidP="00E074DC">
            <w:pPr>
              <w:pBdr>
                <w:top w:val="single" w:sz="4" w:space="4" w:color="FFFFFF"/>
                <w:left w:val="single" w:sz="4" w:space="4" w:color="FFFFFF"/>
                <w:bottom w:val="single" w:sz="4" w:space="4" w:color="FFFFFF"/>
                <w:right w:val="single" w:sz="4" w:space="4" w:color="FFFFFF"/>
              </w:pBdr>
              <w:spacing w:line="360" w:lineRule="auto"/>
              <w:jc w:val="center"/>
              <w:rPr>
                <w:rFonts w:ascii="Times New Roman" w:eastAsia="MS Mincho" w:hAnsi="Times New Roman"/>
                <w:b/>
                <w:noProof/>
                <w:sz w:val="24"/>
                <w:szCs w:val="24"/>
                <w:lang w:val="en-GB" w:eastAsia="ja-JP"/>
              </w:rPr>
            </w:pPr>
            <w:r>
              <w:rPr>
                <w:rFonts w:ascii="Times New Roman" w:eastAsia="MS Mincho" w:hAnsi="Times New Roman"/>
                <w:b/>
                <w:noProof/>
                <w:sz w:val="24"/>
                <w:szCs w:val="24"/>
                <w:vertAlign w:val="superscript"/>
                <w:lang w:val="en-GB" w:eastAsia="ja-JP"/>
              </w:rPr>
              <w:t>a</w:t>
            </w:r>
            <w:r w:rsidRPr="00141341">
              <w:rPr>
                <w:rFonts w:ascii="Times New Roman" w:eastAsia="MS Mincho" w:hAnsi="Times New Roman"/>
                <w:b/>
                <w:noProof/>
                <w:sz w:val="24"/>
                <w:szCs w:val="24"/>
                <w:lang w:val="en-GB" w:eastAsia="ja-JP"/>
              </w:rPr>
              <w:t>LUMO (L)</w:t>
            </w:r>
          </w:p>
        </w:tc>
        <w:tc>
          <w:tcPr>
            <w:tcW w:w="1285" w:type="dxa"/>
            <w:tcBorders>
              <w:top w:val="single" w:sz="12" w:space="0" w:color="auto"/>
              <w:bottom w:val="single" w:sz="12" w:space="0" w:color="auto"/>
            </w:tcBorders>
            <w:vAlign w:val="center"/>
          </w:tcPr>
          <w:p w14:paraId="1500B453" w14:textId="77777777" w:rsidR="00A220C7" w:rsidRPr="00141341" w:rsidRDefault="00A220C7" w:rsidP="00E074DC">
            <w:pPr>
              <w:pBdr>
                <w:top w:val="single" w:sz="4" w:space="4" w:color="FFFFFF"/>
                <w:left w:val="single" w:sz="4" w:space="4" w:color="FFFFFF"/>
                <w:bottom w:val="single" w:sz="4" w:space="4" w:color="FFFFFF"/>
                <w:right w:val="single" w:sz="4" w:space="4" w:color="FFFFFF"/>
              </w:pBdr>
              <w:spacing w:line="360" w:lineRule="auto"/>
              <w:jc w:val="center"/>
              <w:rPr>
                <w:rFonts w:ascii="Times New Roman" w:eastAsia="MS Mincho" w:hAnsi="Times New Roman"/>
                <w:b/>
                <w:noProof/>
                <w:sz w:val="24"/>
                <w:szCs w:val="24"/>
                <w:lang w:val="en-GB" w:eastAsia="ja-JP"/>
              </w:rPr>
            </w:pPr>
            <w:r>
              <w:rPr>
                <w:rFonts w:ascii="Times New Roman" w:eastAsia="MS Mincho" w:hAnsi="Times New Roman"/>
                <w:b/>
                <w:noProof/>
                <w:sz w:val="24"/>
                <w:szCs w:val="24"/>
                <w:vertAlign w:val="superscript"/>
                <w:lang w:val="en-GB" w:eastAsia="ja-JP"/>
              </w:rPr>
              <w:t>a</w:t>
            </w:r>
            <w:r w:rsidRPr="00141341">
              <w:rPr>
                <w:rFonts w:ascii="Times New Roman" w:eastAsia="MS Mincho" w:hAnsi="Times New Roman"/>
                <w:b/>
                <w:noProof/>
                <w:sz w:val="24"/>
                <w:szCs w:val="24"/>
                <w:lang w:val="en-GB" w:eastAsia="ja-JP"/>
              </w:rPr>
              <w:t>H-L gap</w:t>
            </w:r>
          </w:p>
        </w:tc>
        <w:tc>
          <w:tcPr>
            <w:tcW w:w="1267" w:type="dxa"/>
            <w:tcBorders>
              <w:top w:val="single" w:sz="12" w:space="0" w:color="auto"/>
              <w:bottom w:val="single" w:sz="12" w:space="0" w:color="auto"/>
            </w:tcBorders>
            <w:vAlign w:val="center"/>
          </w:tcPr>
          <w:p w14:paraId="57129770" w14:textId="77777777" w:rsidR="00A220C7" w:rsidRPr="00141341" w:rsidRDefault="00A220C7" w:rsidP="00E074DC">
            <w:pPr>
              <w:pBdr>
                <w:top w:val="single" w:sz="4" w:space="4" w:color="FFFFFF"/>
                <w:left w:val="single" w:sz="4" w:space="4" w:color="FFFFFF"/>
                <w:bottom w:val="single" w:sz="4" w:space="4" w:color="FFFFFF"/>
                <w:right w:val="single" w:sz="4" w:space="4" w:color="FFFFFF"/>
              </w:pBdr>
              <w:spacing w:line="360" w:lineRule="auto"/>
              <w:jc w:val="center"/>
              <w:rPr>
                <w:rFonts w:ascii="Times New Roman" w:eastAsia="MS Mincho" w:hAnsi="Times New Roman"/>
                <w:b/>
                <w:noProof/>
                <w:sz w:val="24"/>
                <w:szCs w:val="24"/>
                <w:lang w:val="en-GB" w:eastAsia="ja-JP"/>
              </w:rPr>
            </w:pPr>
            <w:r>
              <w:rPr>
                <w:rFonts w:ascii="Times New Roman" w:eastAsia="MS Mincho" w:hAnsi="Times New Roman"/>
                <w:b/>
                <w:noProof/>
                <w:sz w:val="24"/>
                <w:szCs w:val="24"/>
                <w:vertAlign w:val="superscript"/>
                <w:lang w:val="en-GB" w:eastAsia="ja-JP"/>
              </w:rPr>
              <w:t>b</w:t>
            </w:r>
            <w:r w:rsidRPr="00141341">
              <w:rPr>
                <w:rFonts w:ascii="Symbol" w:eastAsia="MS Mincho" w:hAnsi="Symbol"/>
                <w:b/>
                <w:noProof/>
                <w:sz w:val="20"/>
                <w:szCs w:val="20"/>
                <w:lang w:val="en-GB" w:eastAsia="ja-JP"/>
              </w:rPr>
              <w:t></w:t>
            </w:r>
          </w:p>
        </w:tc>
      </w:tr>
      <w:tr w:rsidR="00A220C7" w:rsidRPr="00141341" w14:paraId="2DBE6343" w14:textId="77777777" w:rsidTr="00E074DC">
        <w:trPr>
          <w:trHeight w:val="567"/>
          <w:jc w:val="center"/>
        </w:trPr>
        <w:tc>
          <w:tcPr>
            <w:tcW w:w="1078" w:type="dxa"/>
            <w:tcBorders>
              <w:top w:val="single" w:sz="12" w:space="0" w:color="auto"/>
              <w:bottom w:val="nil"/>
            </w:tcBorders>
            <w:vAlign w:val="center"/>
          </w:tcPr>
          <w:p w14:paraId="1BAB2E37" w14:textId="77777777" w:rsidR="00A220C7" w:rsidRPr="000F136B" w:rsidRDefault="00A220C7" w:rsidP="00E074DC">
            <w:pPr>
              <w:spacing w:line="360" w:lineRule="auto"/>
              <w:jc w:val="center"/>
              <w:rPr>
                <w:rFonts w:ascii="Times New Roman" w:eastAsia="Times New Roman" w:hAnsi="Times New Roman"/>
                <w:sz w:val="24"/>
                <w:szCs w:val="24"/>
                <w:lang w:val="en-CA"/>
              </w:rPr>
            </w:pPr>
            <w:r w:rsidRPr="000F136B">
              <w:rPr>
                <w:rFonts w:ascii="Times New Roman" w:eastAsia="Times New Roman" w:hAnsi="Times New Roman"/>
                <w:bCs/>
                <w:sz w:val="24"/>
                <w:szCs w:val="24"/>
                <w:lang w:val="en-GB"/>
              </w:rPr>
              <w:t>LG 5</w:t>
            </w:r>
            <w:r w:rsidRPr="00116457">
              <w:rPr>
                <w:rFonts w:ascii="Times New Roman" w:eastAsia="Times New Roman" w:hAnsi="Times New Roman"/>
                <w:bCs/>
                <w:sz w:val="24"/>
                <w:szCs w:val="24"/>
                <w:vertAlign w:val="superscript"/>
                <w:lang w:val="en-GB"/>
              </w:rPr>
              <w:t>c</w:t>
            </w:r>
          </w:p>
        </w:tc>
        <w:tc>
          <w:tcPr>
            <w:tcW w:w="1601" w:type="dxa"/>
            <w:tcBorders>
              <w:top w:val="single" w:sz="12" w:space="0" w:color="auto"/>
              <w:bottom w:val="nil"/>
            </w:tcBorders>
            <w:vAlign w:val="center"/>
          </w:tcPr>
          <w:p w14:paraId="1118C488" w14:textId="77777777" w:rsidR="00A220C7" w:rsidRPr="00141341" w:rsidRDefault="00A220C7" w:rsidP="00E074DC">
            <w:pPr>
              <w:spacing w:line="360" w:lineRule="auto"/>
              <w:rPr>
                <w:rFonts w:ascii="Times New Roman" w:eastAsia="Times New Roman" w:hAnsi="Times New Roman"/>
                <w:sz w:val="24"/>
                <w:szCs w:val="24"/>
                <w:lang w:val="en-CA"/>
              </w:rPr>
            </w:pPr>
            <w:r>
              <w:rPr>
                <w:rFonts w:ascii="Times New Roman" w:eastAsia="Times New Roman" w:hAnsi="Times New Roman"/>
                <w:bCs/>
                <w:sz w:val="24"/>
                <w:szCs w:val="24"/>
                <w:lang w:val="en-CA"/>
              </w:rPr>
              <w:t>-4.734</w:t>
            </w:r>
          </w:p>
        </w:tc>
        <w:tc>
          <w:tcPr>
            <w:tcW w:w="1518" w:type="dxa"/>
            <w:tcBorders>
              <w:top w:val="single" w:sz="12" w:space="0" w:color="auto"/>
              <w:bottom w:val="nil"/>
            </w:tcBorders>
            <w:vAlign w:val="center"/>
          </w:tcPr>
          <w:p w14:paraId="7E3852FE" w14:textId="77777777" w:rsidR="00A220C7" w:rsidRPr="00141341" w:rsidRDefault="00A220C7" w:rsidP="00E074DC">
            <w:pPr>
              <w:spacing w:line="360" w:lineRule="auto"/>
              <w:rPr>
                <w:rFonts w:ascii="Times New Roman" w:eastAsia="Times New Roman" w:hAnsi="Times New Roman"/>
                <w:sz w:val="24"/>
                <w:szCs w:val="24"/>
                <w:lang w:val="en-CA"/>
              </w:rPr>
            </w:pPr>
            <w:r>
              <w:rPr>
                <w:rFonts w:ascii="Times New Roman" w:eastAsia="Times New Roman" w:hAnsi="Times New Roman"/>
                <w:bCs/>
                <w:sz w:val="24"/>
                <w:szCs w:val="24"/>
                <w:lang w:val="en-CA"/>
              </w:rPr>
              <w:t>-2.821</w:t>
            </w:r>
          </w:p>
        </w:tc>
        <w:tc>
          <w:tcPr>
            <w:tcW w:w="1285" w:type="dxa"/>
            <w:tcBorders>
              <w:top w:val="single" w:sz="12" w:space="0" w:color="auto"/>
              <w:bottom w:val="nil"/>
            </w:tcBorders>
            <w:vAlign w:val="center"/>
          </w:tcPr>
          <w:p w14:paraId="51D4E650" w14:textId="77777777" w:rsidR="00A220C7" w:rsidRPr="00141341" w:rsidRDefault="00A220C7" w:rsidP="00E074DC">
            <w:pPr>
              <w:spacing w:line="360" w:lineRule="auto"/>
              <w:jc w:val="center"/>
              <w:rPr>
                <w:rFonts w:ascii="Times New Roman" w:eastAsia="Times New Roman" w:hAnsi="Times New Roman"/>
                <w:sz w:val="24"/>
                <w:szCs w:val="24"/>
                <w:lang w:val="en-CA"/>
              </w:rPr>
            </w:pPr>
            <w:r>
              <w:rPr>
                <w:rFonts w:ascii="Times New Roman" w:eastAsia="Times New Roman" w:hAnsi="Times New Roman"/>
                <w:bCs/>
                <w:sz w:val="24"/>
                <w:szCs w:val="24"/>
                <w:lang w:val="en-CA"/>
              </w:rPr>
              <w:t xml:space="preserve">1.91 </w:t>
            </w:r>
          </w:p>
        </w:tc>
        <w:tc>
          <w:tcPr>
            <w:tcW w:w="1267" w:type="dxa"/>
            <w:tcBorders>
              <w:top w:val="single" w:sz="12" w:space="0" w:color="auto"/>
              <w:bottom w:val="nil"/>
            </w:tcBorders>
            <w:vAlign w:val="center"/>
          </w:tcPr>
          <w:p w14:paraId="6F9477A2" w14:textId="77777777" w:rsidR="00A220C7" w:rsidRPr="00141341" w:rsidRDefault="00A220C7" w:rsidP="00E074DC">
            <w:pPr>
              <w:spacing w:line="360" w:lineRule="auto"/>
              <w:jc w:val="center"/>
              <w:rPr>
                <w:rFonts w:ascii="Times New Roman" w:eastAsia="Times New Roman" w:hAnsi="Times New Roman"/>
                <w:sz w:val="24"/>
                <w:szCs w:val="24"/>
                <w:lang w:val="en-CA"/>
              </w:rPr>
            </w:pPr>
            <w:r>
              <w:rPr>
                <w:rFonts w:ascii="Times New Roman" w:eastAsia="Times New Roman" w:hAnsi="Times New Roman"/>
                <w:bCs/>
                <w:sz w:val="24"/>
                <w:szCs w:val="24"/>
                <w:lang w:val="en-CA"/>
              </w:rPr>
              <w:t>15.341</w:t>
            </w:r>
          </w:p>
        </w:tc>
      </w:tr>
      <w:tr w:rsidR="00A220C7" w:rsidRPr="00141341" w14:paraId="12A73C8A" w14:textId="77777777" w:rsidTr="00E074DC">
        <w:trPr>
          <w:trHeight w:val="567"/>
          <w:jc w:val="center"/>
        </w:trPr>
        <w:tc>
          <w:tcPr>
            <w:tcW w:w="1078" w:type="dxa"/>
            <w:tcBorders>
              <w:top w:val="nil"/>
              <w:bottom w:val="nil"/>
            </w:tcBorders>
            <w:vAlign w:val="center"/>
          </w:tcPr>
          <w:p w14:paraId="7BF2B9E8" w14:textId="77777777" w:rsidR="00A220C7" w:rsidRPr="00141341" w:rsidRDefault="00A220C7" w:rsidP="00E074DC">
            <w:pPr>
              <w:spacing w:line="360" w:lineRule="auto"/>
              <w:jc w:val="center"/>
              <w:rPr>
                <w:rFonts w:ascii="Times New Roman" w:eastAsia="Times New Roman" w:hAnsi="Times New Roman"/>
                <w:sz w:val="24"/>
                <w:szCs w:val="24"/>
                <w:lang w:val="en-CA"/>
              </w:rPr>
            </w:pPr>
            <w:r>
              <w:rPr>
                <w:rFonts w:ascii="Times New Roman" w:eastAsia="Times New Roman" w:hAnsi="Times New Roman"/>
                <w:b/>
                <w:bCs/>
                <w:sz w:val="24"/>
                <w:szCs w:val="24"/>
                <w:lang w:val="en-GB"/>
              </w:rPr>
              <w:t>LG 28</w:t>
            </w:r>
          </w:p>
        </w:tc>
        <w:tc>
          <w:tcPr>
            <w:tcW w:w="1601" w:type="dxa"/>
            <w:tcBorders>
              <w:top w:val="nil"/>
              <w:bottom w:val="nil"/>
            </w:tcBorders>
            <w:vAlign w:val="center"/>
          </w:tcPr>
          <w:p w14:paraId="29D2FECE" w14:textId="77777777" w:rsidR="00A220C7" w:rsidRPr="00141341" w:rsidRDefault="00A220C7" w:rsidP="00E074DC">
            <w:pPr>
              <w:spacing w:line="360" w:lineRule="auto"/>
              <w:rPr>
                <w:rFonts w:ascii="Times New Roman" w:eastAsia="Times New Roman" w:hAnsi="Times New Roman"/>
                <w:sz w:val="24"/>
                <w:szCs w:val="24"/>
                <w:lang w:val="en-CA"/>
              </w:rPr>
            </w:pPr>
            <w:r>
              <w:rPr>
                <w:rFonts w:ascii="Times New Roman" w:eastAsia="Times New Roman" w:hAnsi="Times New Roman"/>
                <w:bCs/>
                <w:sz w:val="24"/>
                <w:szCs w:val="24"/>
                <w:lang w:val="en-CA"/>
              </w:rPr>
              <w:t>-4.607</w:t>
            </w:r>
          </w:p>
        </w:tc>
        <w:tc>
          <w:tcPr>
            <w:tcW w:w="1518" w:type="dxa"/>
            <w:tcBorders>
              <w:top w:val="nil"/>
              <w:bottom w:val="nil"/>
            </w:tcBorders>
            <w:vAlign w:val="center"/>
          </w:tcPr>
          <w:p w14:paraId="1E85F2B0" w14:textId="77777777" w:rsidR="00A220C7" w:rsidRPr="00141341" w:rsidRDefault="00A220C7" w:rsidP="00E074DC">
            <w:pPr>
              <w:spacing w:line="360" w:lineRule="auto"/>
              <w:rPr>
                <w:rFonts w:ascii="Times New Roman" w:eastAsia="Times New Roman" w:hAnsi="Times New Roman"/>
                <w:sz w:val="24"/>
                <w:szCs w:val="24"/>
                <w:lang w:val="en-CA"/>
              </w:rPr>
            </w:pPr>
            <w:r>
              <w:rPr>
                <w:rFonts w:ascii="Times New Roman" w:eastAsia="Times New Roman" w:hAnsi="Times New Roman"/>
                <w:bCs/>
                <w:sz w:val="24"/>
                <w:szCs w:val="24"/>
                <w:lang w:val="en-CA"/>
              </w:rPr>
              <w:t>-2.733</w:t>
            </w:r>
          </w:p>
        </w:tc>
        <w:tc>
          <w:tcPr>
            <w:tcW w:w="1285" w:type="dxa"/>
            <w:tcBorders>
              <w:top w:val="nil"/>
              <w:bottom w:val="nil"/>
            </w:tcBorders>
            <w:vAlign w:val="center"/>
          </w:tcPr>
          <w:p w14:paraId="13BC1937" w14:textId="77777777" w:rsidR="00A220C7" w:rsidRPr="00141341" w:rsidRDefault="00A220C7" w:rsidP="00E074DC">
            <w:pPr>
              <w:spacing w:line="360" w:lineRule="auto"/>
              <w:jc w:val="center"/>
              <w:rPr>
                <w:rFonts w:ascii="Times New Roman" w:eastAsia="Times New Roman" w:hAnsi="Times New Roman"/>
                <w:sz w:val="24"/>
                <w:szCs w:val="24"/>
                <w:lang w:val="en-CA"/>
              </w:rPr>
            </w:pPr>
            <w:r>
              <w:rPr>
                <w:rFonts w:ascii="Times New Roman" w:eastAsia="Times New Roman" w:hAnsi="Times New Roman"/>
                <w:bCs/>
                <w:sz w:val="24"/>
                <w:szCs w:val="24"/>
                <w:lang w:val="en-CA"/>
              </w:rPr>
              <w:t>1.88</w:t>
            </w:r>
          </w:p>
        </w:tc>
        <w:tc>
          <w:tcPr>
            <w:tcW w:w="1267" w:type="dxa"/>
            <w:tcBorders>
              <w:top w:val="nil"/>
              <w:bottom w:val="nil"/>
            </w:tcBorders>
            <w:vAlign w:val="center"/>
          </w:tcPr>
          <w:p w14:paraId="32200D33" w14:textId="77777777" w:rsidR="00A220C7" w:rsidRPr="00141341" w:rsidRDefault="00A220C7" w:rsidP="00E074DC">
            <w:pPr>
              <w:spacing w:line="360" w:lineRule="auto"/>
              <w:jc w:val="center"/>
              <w:rPr>
                <w:rFonts w:ascii="Times New Roman" w:eastAsia="Times New Roman" w:hAnsi="Times New Roman"/>
                <w:sz w:val="24"/>
                <w:szCs w:val="24"/>
                <w:lang w:val="en-CA"/>
              </w:rPr>
            </w:pPr>
            <w:r>
              <w:rPr>
                <w:rFonts w:ascii="Times New Roman" w:eastAsia="Times New Roman" w:hAnsi="Times New Roman"/>
                <w:bCs/>
                <w:sz w:val="24"/>
                <w:szCs w:val="24"/>
                <w:lang w:val="en-CA"/>
              </w:rPr>
              <w:t>12.081</w:t>
            </w:r>
          </w:p>
        </w:tc>
      </w:tr>
      <w:tr w:rsidR="00A220C7" w:rsidRPr="00141341" w14:paraId="33919B15" w14:textId="77777777" w:rsidTr="00E074DC">
        <w:trPr>
          <w:trHeight w:val="357"/>
          <w:jc w:val="center"/>
        </w:trPr>
        <w:tc>
          <w:tcPr>
            <w:tcW w:w="1078" w:type="dxa"/>
            <w:tcBorders>
              <w:top w:val="nil"/>
              <w:bottom w:val="single" w:sz="12" w:space="0" w:color="auto"/>
            </w:tcBorders>
            <w:vAlign w:val="center"/>
          </w:tcPr>
          <w:p w14:paraId="34CA39E6" w14:textId="77777777" w:rsidR="00A220C7" w:rsidRPr="00141341" w:rsidRDefault="00A220C7" w:rsidP="00E074DC">
            <w:pPr>
              <w:spacing w:line="360" w:lineRule="auto"/>
              <w:rPr>
                <w:rFonts w:ascii="Times New Roman" w:eastAsia="Times New Roman" w:hAnsi="Times New Roman"/>
                <w:sz w:val="24"/>
                <w:szCs w:val="24"/>
                <w:lang w:val="en-CA"/>
              </w:rPr>
            </w:pPr>
            <w:r>
              <w:rPr>
                <w:rFonts w:ascii="Times New Roman" w:eastAsia="Times New Roman" w:hAnsi="Times New Roman"/>
                <w:b/>
                <w:bCs/>
                <w:sz w:val="24"/>
                <w:szCs w:val="24"/>
                <w:lang w:val="en-GB"/>
              </w:rPr>
              <w:t xml:space="preserve"> LG 29</w:t>
            </w:r>
          </w:p>
        </w:tc>
        <w:tc>
          <w:tcPr>
            <w:tcW w:w="1601" w:type="dxa"/>
            <w:tcBorders>
              <w:top w:val="nil"/>
              <w:bottom w:val="single" w:sz="12" w:space="0" w:color="auto"/>
            </w:tcBorders>
            <w:vAlign w:val="center"/>
          </w:tcPr>
          <w:p w14:paraId="4D1BF622" w14:textId="77777777" w:rsidR="00A220C7" w:rsidRPr="00141341" w:rsidRDefault="00A220C7" w:rsidP="00E074DC">
            <w:pPr>
              <w:spacing w:line="360" w:lineRule="auto"/>
              <w:rPr>
                <w:rFonts w:ascii="Times New Roman" w:eastAsia="Times New Roman" w:hAnsi="Times New Roman"/>
                <w:sz w:val="24"/>
                <w:szCs w:val="24"/>
                <w:lang w:val="en-CA"/>
              </w:rPr>
            </w:pPr>
            <w:r>
              <w:rPr>
                <w:rFonts w:ascii="Times New Roman" w:eastAsia="Times New Roman" w:hAnsi="Times New Roman"/>
                <w:bCs/>
                <w:sz w:val="24"/>
                <w:szCs w:val="24"/>
                <w:lang w:val="en-CA"/>
              </w:rPr>
              <w:t>-4.625</w:t>
            </w:r>
          </w:p>
        </w:tc>
        <w:tc>
          <w:tcPr>
            <w:tcW w:w="1518" w:type="dxa"/>
            <w:tcBorders>
              <w:top w:val="nil"/>
              <w:bottom w:val="single" w:sz="12" w:space="0" w:color="auto"/>
            </w:tcBorders>
            <w:vAlign w:val="center"/>
          </w:tcPr>
          <w:p w14:paraId="44BE5E6D" w14:textId="77777777" w:rsidR="00A220C7" w:rsidRPr="00141341" w:rsidRDefault="00A220C7" w:rsidP="00E074DC">
            <w:pPr>
              <w:spacing w:line="360" w:lineRule="auto"/>
              <w:rPr>
                <w:rFonts w:ascii="Times New Roman" w:eastAsia="Times New Roman" w:hAnsi="Times New Roman"/>
                <w:bCs/>
                <w:sz w:val="24"/>
                <w:szCs w:val="24"/>
                <w:lang w:val="en-CA"/>
              </w:rPr>
            </w:pPr>
            <w:r>
              <w:rPr>
                <w:rFonts w:ascii="Times New Roman" w:eastAsia="Times New Roman" w:hAnsi="Times New Roman"/>
                <w:bCs/>
                <w:sz w:val="24"/>
                <w:szCs w:val="24"/>
                <w:lang w:val="en-CA"/>
              </w:rPr>
              <w:t>-2.808</w:t>
            </w:r>
          </w:p>
        </w:tc>
        <w:tc>
          <w:tcPr>
            <w:tcW w:w="1285" w:type="dxa"/>
            <w:tcBorders>
              <w:top w:val="nil"/>
              <w:bottom w:val="single" w:sz="12" w:space="0" w:color="auto"/>
            </w:tcBorders>
            <w:vAlign w:val="center"/>
          </w:tcPr>
          <w:p w14:paraId="563960E6" w14:textId="77777777" w:rsidR="00A220C7" w:rsidRPr="00141341" w:rsidRDefault="00A220C7" w:rsidP="00E074DC">
            <w:pPr>
              <w:spacing w:line="360" w:lineRule="auto"/>
              <w:jc w:val="center"/>
              <w:rPr>
                <w:rFonts w:ascii="Times New Roman" w:eastAsia="Times New Roman" w:hAnsi="Times New Roman"/>
                <w:sz w:val="24"/>
                <w:szCs w:val="24"/>
                <w:lang w:val="en-CA"/>
              </w:rPr>
            </w:pPr>
            <w:r>
              <w:rPr>
                <w:rFonts w:ascii="Times New Roman" w:eastAsia="Times New Roman" w:hAnsi="Times New Roman"/>
                <w:bCs/>
                <w:sz w:val="24"/>
                <w:szCs w:val="24"/>
                <w:lang w:val="en-CA"/>
              </w:rPr>
              <w:t>1.84</w:t>
            </w:r>
          </w:p>
        </w:tc>
        <w:tc>
          <w:tcPr>
            <w:tcW w:w="1267" w:type="dxa"/>
            <w:tcBorders>
              <w:top w:val="nil"/>
              <w:bottom w:val="single" w:sz="12" w:space="0" w:color="auto"/>
            </w:tcBorders>
            <w:vAlign w:val="center"/>
          </w:tcPr>
          <w:p w14:paraId="72474792" w14:textId="77777777" w:rsidR="00A220C7" w:rsidRPr="00141341" w:rsidRDefault="00A220C7" w:rsidP="00E074DC">
            <w:pPr>
              <w:spacing w:line="360" w:lineRule="auto"/>
              <w:jc w:val="center"/>
              <w:rPr>
                <w:rFonts w:ascii="Times New Roman" w:eastAsia="Times New Roman" w:hAnsi="Times New Roman"/>
                <w:sz w:val="24"/>
                <w:szCs w:val="24"/>
                <w:lang w:val="en-CA"/>
              </w:rPr>
            </w:pPr>
            <w:r>
              <w:rPr>
                <w:rFonts w:ascii="Times New Roman" w:eastAsia="Times New Roman" w:hAnsi="Times New Roman"/>
                <w:bCs/>
                <w:sz w:val="24"/>
                <w:szCs w:val="24"/>
                <w:lang w:val="en-CA"/>
              </w:rPr>
              <w:t>11.774</w:t>
            </w:r>
          </w:p>
        </w:tc>
      </w:tr>
    </w:tbl>
    <w:p w14:paraId="73F755F5" w14:textId="77777777" w:rsidR="00A220C7" w:rsidRPr="00E42665" w:rsidRDefault="00A220C7" w:rsidP="00A220C7">
      <w:pPr>
        <w:spacing w:after="0" w:line="360" w:lineRule="auto"/>
        <w:jc w:val="both"/>
        <w:rPr>
          <w:bCs/>
          <w:sz w:val="24"/>
          <w:szCs w:val="24"/>
          <w:lang w:val="de-DE"/>
        </w:rPr>
      </w:pPr>
      <w:r>
        <w:rPr>
          <w:rFonts w:ascii="Times New Roman" w:hAnsi="Times New Roman"/>
          <w:sz w:val="24"/>
          <w:szCs w:val="24"/>
          <w:vertAlign w:val="superscript"/>
        </w:rPr>
        <w:t>a</w:t>
      </w:r>
      <w:r w:rsidRPr="00AD616A">
        <w:rPr>
          <w:rFonts w:ascii="Times New Roman" w:hAnsi="Times New Roman"/>
          <w:sz w:val="24"/>
          <w:szCs w:val="24"/>
        </w:rPr>
        <w:t xml:space="preserve">values in eV, </w:t>
      </w:r>
      <w:r>
        <w:rPr>
          <w:rFonts w:ascii="Times New Roman" w:hAnsi="Times New Roman"/>
          <w:sz w:val="24"/>
          <w:szCs w:val="24"/>
          <w:vertAlign w:val="superscript"/>
        </w:rPr>
        <w:t>b</w:t>
      </w:r>
      <w:r>
        <w:rPr>
          <w:rFonts w:ascii="Times New Roman" w:hAnsi="Times New Roman"/>
          <w:sz w:val="24"/>
          <w:szCs w:val="24"/>
        </w:rPr>
        <w:t xml:space="preserve">values in debye units. </w:t>
      </w:r>
      <w:r w:rsidRPr="00116457">
        <w:rPr>
          <w:rFonts w:ascii="Times New Roman" w:hAnsi="Times New Roman"/>
          <w:sz w:val="24"/>
          <w:szCs w:val="24"/>
          <w:vertAlign w:val="superscript"/>
        </w:rPr>
        <w:t>C</w:t>
      </w:r>
      <w:r>
        <w:rPr>
          <w:rFonts w:ascii="Times New Roman" w:hAnsi="Times New Roman"/>
          <w:sz w:val="24"/>
          <w:szCs w:val="24"/>
        </w:rPr>
        <w:t>Reference</w:t>
      </w:r>
    </w:p>
    <w:p w14:paraId="72A99655" w14:textId="77777777" w:rsidR="00A220C7" w:rsidRDefault="00A220C7" w:rsidP="00A220C7">
      <w:pPr>
        <w:spacing w:after="0" w:line="360" w:lineRule="auto"/>
        <w:jc w:val="both"/>
        <w:rPr>
          <w:sz w:val="24"/>
          <w:szCs w:val="24"/>
        </w:rPr>
      </w:pPr>
    </w:p>
    <w:p w14:paraId="6EF91E4E" w14:textId="7CFB938F" w:rsidR="00A220C7" w:rsidRDefault="005976A1" w:rsidP="00A220C7">
      <w:pPr>
        <w:spacing w:after="0" w:line="360" w:lineRule="auto"/>
        <w:jc w:val="both"/>
        <w:rPr>
          <w:rFonts w:cs="Calibri"/>
          <w:sz w:val="24"/>
          <w:szCs w:val="24"/>
        </w:rPr>
      </w:pPr>
      <w:r w:rsidRPr="007644A3">
        <w:rPr>
          <w:bCs/>
          <w:sz w:val="24"/>
          <w:szCs w:val="24"/>
        </w:rPr>
        <w:lastRenderedPageBreak/>
        <w:t>present on the phenothiazine donor moiety and partially spread on both porphyrin as well as selenophene rings, while LUMO is delocalized over anchoring group and slightly distributed on porphyrin ring</w:t>
      </w:r>
      <w:r w:rsidR="00CA746A">
        <w:rPr>
          <w:bCs/>
          <w:sz w:val="24"/>
          <w:szCs w:val="24"/>
        </w:rPr>
        <w:t>. This</w:t>
      </w:r>
      <w:r w:rsidRPr="007644A3">
        <w:rPr>
          <w:bCs/>
          <w:sz w:val="24"/>
          <w:szCs w:val="24"/>
        </w:rPr>
        <w:t xml:space="preserve"> is suitable for capable charge separation between donor to anchoring group and </w:t>
      </w:r>
      <w:r w:rsidR="00034109" w:rsidRPr="007644A3">
        <w:rPr>
          <w:bCs/>
          <w:sz w:val="24"/>
          <w:szCs w:val="24"/>
        </w:rPr>
        <w:t>the electrons in the excited state of sensitizer is effectively injected into TiO</w:t>
      </w:r>
      <w:r w:rsidR="00034109" w:rsidRPr="007644A3">
        <w:rPr>
          <w:bCs/>
          <w:sz w:val="24"/>
          <w:szCs w:val="24"/>
          <w:vertAlign w:val="subscript"/>
        </w:rPr>
        <w:t>2</w:t>
      </w:r>
      <w:r w:rsidR="00034109" w:rsidRPr="007644A3">
        <w:rPr>
          <w:bCs/>
          <w:sz w:val="24"/>
          <w:szCs w:val="24"/>
        </w:rPr>
        <w:t xml:space="preserve"> conduction band </w:t>
      </w:r>
      <w:r w:rsidR="00034109" w:rsidRPr="007644A3">
        <w:rPr>
          <w:bCs/>
          <w:i/>
          <w:iCs/>
          <w:sz w:val="24"/>
          <w:szCs w:val="24"/>
        </w:rPr>
        <w:t xml:space="preserve">via </w:t>
      </w:r>
      <w:r w:rsidR="00034109" w:rsidRPr="007644A3">
        <w:rPr>
          <w:bCs/>
          <w:sz w:val="24"/>
          <w:szCs w:val="24"/>
        </w:rPr>
        <w:t>the cyanoacrylic acid anchoring group.</w:t>
      </w:r>
      <w:r w:rsidR="00034109" w:rsidRPr="007644A3">
        <w:rPr>
          <w:bCs/>
          <w:sz w:val="24"/>
          <w:szCs w:val="24"/>
          <w:lang w:val="de-DE"/>
        </w:rPr>
        <w:t xml:space="preserve"> The electron density of HOMO-1 exists both donor and porphyrin macrocycle while LUMO+1 is on porphyrin ring and auxiliary groups. In case of HOMO-2 and LUMO+2, the electron density present on porphyrin ring only. </w:t>
      </w:r>
      <w:r w:rsidR="00CA746A">
        <w:rPr>
          <w:bCs/>
          <w:sz w:val="24"/>
          <w:szCs w:val="24"/>
        </w:rPr>
        <w:t xml:space="preserve">Hence, </w:t>
      </w:r>
      <w:r w:rsidR="00034109" w:rsidRPr="007644A3">
        <w:rPr>
          <w:bCs/>
          <w:sz w:val="24"/>
          <w:szCs w:val="24"/>
        </w:rPr>
        <w:t xml:space="preserve">the calculated </w:t>
      </w:r>
      <w:r w:rsidR="00034109" w:rsidRPr="00CB282F">
        <w:rPr>
          <w:rFonts w:cs="Calibri"/>
          <w:bCs/>
          <w:sz w:val="24"/>
          <w:szCs w:val="24"/>
        </w:rPr>
        <w:t xml:space="preserve">HOMO-LUMO band gap from theoretical calculations of </w:t>
      </w:r>
      <w:r w:rsidR="00034109" w:rsidRPr="00CB282F">
        <w:rPr>
          <w:rFonts w:cs="Calibri"/>
          <w:b/>
          <w:bCs/>
          <w:sz w:val="24"/>
          <w:szCs w:val="24"/>
        </w:rPr>
        <w:t>LG 28</w:t>
      </w:r>
      <w:r w:rsidR="00034109" w:rsidRPr="00CB282F">
        <w:rPr>
          <w:rFonts w:cs="Calibri"/>
          <w:bCs/>
          <w:sz w:val="24"/>
          <w:szCs w:val="24"/>
        </w:rPr>
        <w:t xml:space="preserve"> and </w:t>
      </w:r>
      <w:r w:rsidR="00034109" w:rsidRPr="00CB282F">
        <w:rPr>
          <w:rFonts w:cs="Calibri"/>
          <w:b/>
          <w:bCs/>
          <w:sz w:val="24"/>
          <w:szCs w:val="24"/>
        </w:rPr>
        <w:t>LG 29</w:t>
      </w:r>
      <w:r w:rsidR="00034109" w:rsidRPr="00CB282F">
        <w:rPr>
          <w:rFonts w:cs="Calibri"/>
          <w:bCs/>
          <w:sz w:val="24"/>
          <w:szCs w:val="24"/>
        </w:rPr>
        <w:t xml:space="preserve"> are 2.54 eV and 2.58 eV respectively, which might  effect </w:t>
      </w:r>
      <w:r w:rsidR="00CA746A">
        <w:rPr>
          <w:rFonts w:cs="Calibri"/>
          <w:bCs/>
          <w:sz w:val="24"/>
          <w:szCs w:val="24"/>
        </w:rPr>
        <w:t>the DSSCs performances</w:t>
      </w:r>
      <w:r w:rsidR="00034109" w:rsidRPr="00CB282F">
        <w:rPr>
          <w:rFonts w:cs="Calibri"/>
          <w:bCs/>
          <w:sz w:val="24"/>
          <w:szCs w:val="24"/>
        </w:rPr>
        <w:t>.</w:t>
      </w:r>
      <w:r w:rsidR="00034109">
        <w:rPr>
          <w:rFonts w:cs="Calibri"/>
          <w:bCs/>
          <w:sz w:val="24"/>
          <w:szCs w:val="24"/>
        </w:rPr>
        <w:t xml:space="preserve"> </w:t>
      </w:r>
      <w:r w:rsidR="00034109" w:rsidRPr="00CB282F">
        <w:rPr>
          <w:rFonts w:cs="Calibri"/>
          <w:bCs/>
          <w:sz w:val="24"/>
          <w:szCs w:val="24"/>
        </w:rPr>
        <w:t xml:space="preserve">Further, we have performed single-point TD-DFT studies of both porphyrin dyes by CPCM methodology with the </w:t>
      </w:r>
      <w:r w:rsidR="00034109" w:rsidRPr="00CB282F">
        <w:rPr>
          <w:rFonts w:cs="Calibri"/>
          <w:sz w:val="24"/>
          <w:szCs w:val="24"/>
        </w:rPr>
        <w:t>CAMB3LYP functional with tetrahydro</w:t>
      </w:r>
      <w:r w:rsidR="00034109">
        <w:rPr>
          <w:rFonts w:cs="Calibri"/>
          <w:sz w:val="24"/>
          <w:szCs w:val="24"/>
        </w:rPr>
        <w:t>furan</w:t>
      </w:r>
      <w:r w:rsidR="00034109" w:rsidRPr="00CB282F">
        <w:rPr>
          <w:rFonts w:cs="Calibri"/>
          <w:sz w:val="24"/>
          <w:szCs w:val="24"/>
        </w:rPr>
        <w:t xml:space="preserve"> as a solvent.</w:t>
      </w:r>
      <w:r w:rsidR="00034109">
        <w:rPr>
          <w:rFonts w:cs="Calibri"/>
          <w:sz w:val="24"/>
          <w:szCs w:val="24"/>
        </w:rPr>
        <w:t xml:space="preserve"> </w:t>
      </w:r>
      <w:r w:rsidR="00034109" w:rsidRPr="00CB282F">
        <w:rPr>
          <w:bCs/>
          <w:sz w:val="24"/>
          <w:szCs w:val="24"/>
        </w:rPr>
        <w:t xml:space="preserve">The </w:t>
      </w:r>
      <w:r w:rsidR="00034109">
        <w:rPr>
          <w:bCs/>
          <w:sz w:val="24"/>
          <w:szCs w:val="24"/>
        </w:rPr>
        <w:t>acquired</w:t>
      </w:r>
      <w:r w:rsidR="00034109" w:rsidRPr="00CB282F">
        <w:rPr>
          <w:bCs/>
          <w:sz w:val="24"/>
          <w:szCs w:val="24"/>
        </w:rPr>
        <w:t xml:space="preserve"> values </w:t>
      </w:r>
      <w:r w:rsidR="00761E26" w:rsidRPr="00CB282F">
        <w:rPr>
          <w:bCs/>
          <w:sz w:val="24"/>
          <w:szCs w:val="24"/>
        </w:rPr>
        <w:t>agree</w:t>
      </w:r>
      <w:r w:rsidR="00034109" w:rsidRPr="00CB282F">
        <w:rPr>
          <w:bCs/>
          <w:sz w:val="24"/>
          <w:szCs w:val="24"/>
        </w:rPr>
        <w:t xml:space="preserve"> with the</w:t>
      </w:r>
      <w:r w:rsidR="00034109">
        <w:rPr>
          <w:bCs/>
          <w:sz w:val="24"/>
          <w:szCs w:val="24"/>
        </w:rPr>
        <w:t xml:space="preserve"> experimental values. </w:t>
      </w:r>
      <w:r w:rsidR="00034109" w:rsidRPr="00CB282F">
        <w:rPr>
          <w:bCs/>
          <w:sz w:val="24"/>
          <w:szCs w:val="24"/>
        </w:rPr>
        <w:t>The calculated vertical excitation</w:t>
      </w:r>
      <w:r w:rsidR="00034109">
        <w:rPr>
          <w:bCs/>
          <w:sz w:val="24"/>
          <w:szCs w:val="24"/>
        </w:rPr>
        <w:t xml:space="preserve"> </w:t>
      </w:r>
      <w:r w:rsidR="00034109" w:rsidRPr="00CB282F">
        <w:rPr>
          <w:bCs/>
          <w:sz w:val="24"/>
          <w:szCs w:val="24"/>
        </w:rPr>
        <w:t>energies for the singlet excited states together with the</w:t>
      </w:r>
      <w:r w:rsidR="00034109">
        <w:rPr>
          <w:bCs/>
          <w:sz w:val="24"/>
          <w:szCs w:val="24"/>
        </w:rPr>
        <w:t xml:space="preserve"> </w:t>
      </w:r>
      <w:r w:rsidR="00034109" w:rsidRPr="00CB282F">
        <w:rPr>
          <w:bCs/>
          <w:sz w:val="24"/>
          <w:szCs w:val="24"/>
        </w:rPr>
        <w:t>calculated oscillator strengths are listed in Table S1.</w:t>
      </w:r>
      <w:r w:rsidR="00034109">
        <w:rPr>
          <w:bCs/>
          <w:sz w:val="24"/>
          <w:szCs w:val="24"/>
        </w:rPr>
        <w:t xml:space="preserve"> The electrostatic potential (ESP) maps of both the sensitizers were demonstrated in Figure 5c </w:t>
      </w:r>
      <w:r w:rsidR="00034109" w:rsidRPr="00CB282F">
        <w:rPr>
          <w:bCs/>
          <w:sz w:val="24"/>
          <w:szCs w:val="24"/>
        </w:rPr>
        <w:t>in which the positive electrostatic potential was at</w:t>
      </w:r>
      <w:r w:rsidR="00034109">
        <w:rPr>
          <w:bCs/>
          <w:sz w:val="24"/>
          <w:szCs w:val="24"/>
        </w:rPr>
        <w:t xml:space="preserve"> </w:t>
      </w:r>
      <w:r w:rsidR="00034109" w:rsidRPr="00CB282F">
        <w:rPr>
          <w:bCs/>
          <w:sz w:val="24"/>
          <w:szCs w:val="24"/>
        </w:rPr>
        <w:t xml:space="preserve">the donor </w:t>
      </w:r>
      <w:r w:rsidR="00034109">
        <w:rPr>
          <w:bCs/>
          <w:sz w:val="24"/>
          <w:szCs w:val="24"/>
        </w:rPr>
        <w:t>phenothiazine</w:t>
      </w:r>
      <w:r w:rsidR="00034109" w:rsidRPr="00CB282F">
        <w:rPr>
          <w:bCs/>
          <w:sz w:val="24"/>
          <w:szCs w:val="24"/>
        </w:rPr>
        <w:t>, while the negative potential</w:t>
      </w:r>
      <w:r w:rsidR="00034109">
        <w:rPr>
          <w:bCs/>
          <w:sz w:val="24"/>
          <w:szCs w:val="24"/>
        </w:rPr>
        <w:t xml:space="preserve"> </w:t>
      </w:r>
      <w:r w:rsidR="00034109" w:rsidRPr="00CB282F">
        <w:rPr>
          <w:bCs/>
          <w:sz w:val="24"/>
          <w:szCs w:val="24"/>
        </w:rPr>
        <w:t>was concentrated at the anchoring cyanoacrylic acid group.</w:t>
      </w:r>
      <w:r w:rsidR="00034109">
        <w:rPr>
          <w:bCs/>
          <w:sz w:val="24"/>
          <w:szCs w:val="24"/>
        </w:rPr>
        <w:t xml:space="preserve"> The theoretical values of the diploe moments of </w:t>
      </w:r>
      <w:r w:rsidR="00034109">
        <w:rPr>
          <w:b/>
          <w:bCs/>
          <w:sz w:val="24"/>
          <w:szCs w:val="24"/>
        </w:rPr>
        <w:t xml:space="preserve">LG </w:t>
      </w:r>
      <w:r w:rsidR="00034109" w:rsidRPr="006B0A83">
        <w:rPr>
          <w:b/>
          <w:bCs/>
          <w:sz w:val="24"/>
          <w:szCs w:val="24"/>
        </w:rPr>
        <w:t>28</w:t>
      </w:r>
      <w:r w:rsidR="00034109">
        <w:rPr>
          <w:bCs/>
          <w:sz w:val="24"/>
          <w:szCs w:val="24"/>
        </w:rPr>
        <w:t xml:space="preserve"> and </w:t>
      </w:r>
      <w:r w:rsidR="00034109">
        <w:rPr>
          <w:b/>
          <w:bCs/>
          <w:sz w:val="24"/>
          <w:szCs w:val="24"/>
        </w:rPr>
        <w:t xml:space="preserve">LG </w:t>
      </w:r>
      <w:r w:rsidR="00034109" w:rsidRPr="006B0A83">
        <w:rPr>
          <w:b/>
          <w:bCs/>
          <w:sz w:val="24"/>
          <w:szCs w:val="24"/>
        </w:rPr>
        <w:t>29</w:t>
      </w:r>
      <w:r w:rsidR="00034109">
        <w:rPr>
          <w:bCs/>
          <w:sz w:val="24"/>
          <w:szCs w:val="24"/>
        </w:rPr>
        <w:t xml:space="preserve"> dyes were estimated to be 12.081 and 11.774, respectively. The diploe moment </w:t>
      </w:r>
      <w:r w:rsidR="00761E26">
        <w:rPr>
          <w:bCs/>
          <w:sz w:val="24"/>
          <w:szCs w:val="24"/>
        </w:rPr>
        <w:t xml:space="preserve">did </w:t>
      </w:r>
      <w:r w:rsidR="00034109">
        <w:rPr>
          <w:bCs/>
          <w:sz w:val="24"/>
          <w:szCs w:val="24"/>
        </w:rPr>
        <w:t xml:space="preserve"> not</w:t>
      </w:r>
      <w:r w:rsidR="00761E26">
        <w:rPr>
          <w:bCs/>
          <w:sz w:val="24"/>
          <w:szCs w:val="24"/>
        </w:rPr>
        <w:t xml:space="preserve"> have</w:t>
      </w:r>
      <w:r w:rsidR="00034109">
        <w:rPr>
          <w:bCs/>
          <w:sz w:val="24"/>
          <w:szCs w:val="24"/>
        </w:rPr>
        <w:t xml:space="preserve"> much effect on the shift of conduction band edge of TiO</w:t>
      </w:r>
      <w:r w:rsidR="00034109" w:rsidRPr="00A220C7">
        <w:rPr>
          <w:bCs/>
          <w:sz w:val="24"/>
          <w:szCs w:val="24"/>
          <w:vertAlign w:val="subscript"/>
        </w:rPr>
        <w:t>2</w:t>
      </w:r>
      <w:r w:rsidR="00034109">
        <w:rPr>
          <w:bCs/>
          <w:sz w:val="24"/>
          <w:szCs w:val="24"/>
        </w:rPr>
        <w:t xml:space="preserve"> in either of the</w:t>
      </w:r>
      <w:r w:rsidR="00761E26">
        <w:rPr>
          <w:bCs/>
          <w:sz w:val="24"/>
          <w:szCs w:val="24"/>
        </w:rPr>
        <w:t xml:space="preserve"> two</w:t>
      </w:r>
      <w:r w:rsidR="00034109">
        <w:rPr>
          <w:bCs/>
          <w:sz w:val="24"/>
          <w:szCs w:val="24"/>
        </w:rPr>
        <w:t xml:space="preserve"> sensitizers.</w:t>
      </w:r>
      <w:r w:rsidR="00034109" w:rsidRPr="00D5007F">
        <w:rPr>
          <w:bCs/>
          <w:sz w:val="24"/>
          <w:szCs w:val="24"/>
          <w:vertAlign w:val="superscript"/>
        </w:rPr>
        <w:t>33</w:t>
      </w:r>
      <w:r w:rsidR="00034109">
        <w:rPr>
          <w:bCs/>
          <w:sz w:val="24"/>
          <w:szCs w:val="24"/>
        </w:rPr>
        <w:t xml:space="preserve"> The dihedral angle between phenyl group and anchoring cyanoacrylic acid was estimated to be 13.09</w:t>
      </w:r>
      <w:r w:rsidR="00034109" w:rsidRPr="008F2B8D">
        <w:rPr>
          <w:rFonts w:cs="Calibri"/>
          <w:sz w:val="24"/>
          <w:szCs w:val="24"/>
        </w:rPr>
        <w:t>°</w:t>
      </w:r>
      <w:r w:rsidR="00034109">
        <w:rPr>
          <w:rFonts w:cs="Calibri"/>
          <w:sz w:val="24"/>
          <w:szCs w:val="24"/>
        </w:rPr>
        <w:t xml:space="preserve"> in </w:t>
      </w:r>
      <w:r w:rsidR="00034109">
        <w:rPr>
          <w:rFonts w:cs="Calibri"/>
          <w:b/>
          <w:sz w:val="24"/>
          <w:szCs w:val="24"/>
        </w:rPr>
        <w:t xml:space="preserve">LG </w:t>
      </w:r>
      <w:r w:rsidR="00034109" w:rsidRPr="008F2B8D">
        <w:rPr>
          <w:rFonts w:cs="Calibri"/>
          <w:b/>
          <w:sz w:val="24"/>
          <w:szCs w:val="24"/>
        </w:rPr>
        <w:t>28</w:t>
      </w:r>
      <w:r w:rsidR="00034109">
        <w:rPr>
          <w:rFonts w:cs="Calibri"/>
          <w:sz w:val="24"/>
          <w:szCs w:val="24"/>
        </w:rPr>
        <w:t xml:space="preserve"> sensitizer while in case of </w:t>
      </w:r>
      <w:r w:rsidR="00034109">
        <w:rPr>
          <w:rFonts w:cs="Calibri"/>
          <w:b/>
          <w:sz w:val="24"/>
          <w:szCs w:val="24"/>
        </w:rPr>
        <w:t xml:space="preserve">LG </w:t>
      </w:r>
      <w:r w:rsidR="00034109" w:rsidRPr="008F2B8D">
        <w:rPr>
          <w:rFonts w:cs="Calibri"/>
          <w:b/>
          <w:sz w:val="24"/>
          <w:szCs w:val="24"/>
        </w:rPr>
        <w:t>29</w:t>
      </w:r>
      <w:r w:rsidR="00034109">
        <w:rPr>
          <w:rFonts w:cs="Calibri"/>
          <w:sz w:val="24"/>
          <w:szCs w:val="24"/>
        </w:rPr>
        <w:t xml:space="preserve"> dye, the dihedral angle between thiophne auxiliary acceptor and anchoring cyanoacrylic acid was found to be 1.07</w:t>
      </w:r>
      <w:r w:rsidR="00034109" w:rsidRPr="008F2B8D">
        <w:rPr>
          <w:rFonts w:cs="Calibri"/>
          <w:sz w:val="24"/>
          <w:szCs w:val="24"/>
        </w:rPr>
        <w:t>°</w:t>
      </w:r>
      <w:r w:rsidR="00034109">
        <w:rPr>
          <w:rFonts w:cs="Calibri"/>
          <w:sz w:val="24"/>
          <w:szCs w:val="24"/>
        </w:rPr>
        <w:t xml:space="preserve">. This means that the sensitizer </w:t>
      </w:r>
      <w:r w:rsidR="00034109">
        <w:rPr>
          <w:rFonts w:cs="Calibri"/>
          <w:b/>
          <w:sz w:val="24"/>
          <w:szCs w:val="24"/>
        </w:rPr>
        <w:t xml:space="preserve">LG </w:t>
      </w:r>
      <w:r w:rsidR="00034109" w:rsidRPr="008F2B8D">
        <w:rPr>
          <w:rFonts w:cs="Calibri"/>
          <w:b/>
          <w:sz w:val="24"/>
          <w:szCs w:val="24"/>
        </w:rPr>
        <w:t>28</w:t>
      </w:r>
      <w:r w:rsidR="00034109">
        <w:rPr>
          <w:rFonts w:cs="Calibri"/>
          <w:sz w:val="24"/>
          <w:szCs w:val="24"/>
        </w:rPr>
        <w:t xml:space="preserve"> slightly twisted while </w:t>
      </w:r>
      <w:r w:rsidR="00034109">
        <w:rPr>
          <w:rFonts w:cs="Calibri"/>
          <w:b/>
          <w:sz w:val="24"/>
          <w:szCs w:val="24"/>
        </w:rPr>
        <w:t xml:space="preserve">LG </w:t>
      </w:r>
      <w:r w:rsidR="00034109" w:rsidRPr="008F2B8D">
        <w:rPr>
          <w:rFonts w:cs="Calibri"/>
          <w:b/>
          <w:sz w:val="24"/>
          <w:szCs w:val="24"/>
        </w:rPr>
        <w:t>29</w:t>
      </w:r>
      <w:r w:rsidR="00034109">
        <w:rPr>
          <w:rFonts w:cs="Calibri"/>
          <w:sz w:val="24"/>
          <w:szCs w:val="24"/>
        </w:rPr>
        <w:t xml:space="preserve"> sensitizer is planar at anchoring group allowed efficient charge injection into TiO</w:t>
      </w:r>
      <w:r w:rsidR="00034109" w:rsidRPr="008F2B8D">
        <w:rPr>
          <w:rFonts w:cs="Calibri"/>
          <w:sz w:val="24"/>
          <w:szCs w:val="24"/>
          <w:vertAlign w:val="subscript"/>
        </w:rPr>
        <w:t>2</w:t>
      </w:r>
      <w:r w:rsidR="00034109">
        <w:rPr>
          <w:rFonts w:cs="Calibri"/>
          <w:sz w:val="24"/>
          <w:szCs w:val="24"/>
        </w:rPr>
        <w:t xml:space="preserve"> conduction band and it will </w:t>
      </w:r>
      <w:r w:rsidR="00761E26">
        <w:rPr>
          <w:rFonts w:cs="Calibri"/>
          <w:sz w:val="24"/>
          <w:szCs w:val="24"/>
        </w:rPr>
        <w:t>affect</w:t>
      </w:r>
      <w:r w:rsidR="00034109">
        <w:rPr>
          <w:rFonts w:cs="Calibri"/>
          <w:sz w:val="24"/>
          <w:szCs w:val="24"/>
        </w:rPr>
        <w:t xml:space="preserve"> on efficiency of the </w:t>
      </w:r>
      <w:r w:rsidR="00761E26">
        <w:rPr>
          <w:rFonts w:cs="Calibri"/>
          <w:sz w:val="24"/>
          <w:szCs w:val="24"/>
        </w:rPr>
        <w:t>DSSCs</w:t>
      </w:r>
      <w:r w:rsidR="00034109">
        <w:rPr>
          <w:rFonts w:cs="Calibri"/>
          <w:sz w:val="24"/>
          <w:szCs w:val="24"/>
        </w:rPr>
        <w:t>.</w:t>
      </w:r>
    </w:p>
    <w:p w14:paraId="660C9809" w14:textId="77777777" w:rsidR="00034109" w:rsidRPr="00CD7E83" w:rsidRDefault="00034109" w:rsidP="00A220C7">
      <w:pPr>
        <w:spacing w:after="0" w:line="360" w:lineRule="auto"/>
        <w:jc w:val="both"/>
        <w:rPr>
          <w:sz w:val="24"/>
          <w:szCs w:val="24"/>
        </w:rPr>
      </w:pPr>
    </w:p>
    <w:p w14:paraId="0C317B4C" w14:textId="77777777" w:rsidR="00E074DC" w:rsidRPr="005976A1" w:rsidRDefault="00E074DC" w:rsidP="00E074DC">
      <w:pPr>
        <w:spacing w:after="0" w:line="360" w:lineRule="auto"/>
        <w:jc w:val="both"/>
        <w:rPr>
          <w:rFonts w:cs="Calibri"/>
          <w:b/>
          <w:sz w:val="24"/>
          <w:szCs w:val="24"/>
        </w:rPr>
      </w:pPr>
      <w:r w:rsidRPr="005976A1">
        <w:rPr>
          <w:rFonts w:cs="Calibri"/>
          <w:b/>
          <w:sz w:val="24"/>
          <w:szCs w:val="24"/>
        </w:rPr>
        <w:t>Photovoltaic Performance</w:t>
      </w:r>
    </w:p>
    <w:p w14:paraId="6153C6E8" w14:textId="45E95D9B" w:rsidR="00E074DC" w:rsidRPr="005976A1" w:rsidRDefault="00E074DC" w:rsidP="00E074DC">
      <w:pPr>
        <w:spacing w:after="0" w:line="360" w:lineRule="auto"/>
        <w:jc w:val="both"/>
        <w:rPr>
          <w:rFonts w:cs="Calibri"/>
          <w:sz w:val="24"/>
          <w:szCs w:val="24"/>
        </w:rPr>
      </w:pPr>
      <w:r w:rsidRPr="005976A1">
        <w:rPr>
          <w:rFonts w:cs="Calibri"/>
          <w:sz w:val="24"/>
          <w:szCs w:val="24"/>
        </w:rPr>
        <w:t xml:space="preserve">Due to the favorable optoelectronic properties of the </w:t>
      </w:r>
      <w:r w:rsidRPr="005976A1">
        <w:rPr>
          <w:rFonts w:cs="Calibri"/>
          <w:b/>
          <w:sz w:val="24"/>
          <w:szCs w:val="24"/>
        </w:rPr>
        <w:t>LG 28</w:t>
      </w:r>
      <w:r w:rsidRPr="005976A1">
        <w:rPr>
          <w:rFonts w:cs="Calibri"/>
          <w:sz w:val="24"/>
          <w:szCs w:val="24"/>
        </w:rPr>
        <w:t xml:space="preserve"> and </w:t>
      </w:r>
      <w:r w:rsidRPr="005976A1">
        <w:rPr>
          <w:rFonts w:cs="Calibri"/>
          <w:b/>
          <w:sz w:val="24"/>
          <w:szCs w:val="24"/>
        </w:rPr>
        <w:t>LG 29</w:t>
      </w:r>
      <w:r w:rsidRPr="005976A1">
        <w:rPr>
          <w:rFonts w:cs="Calibri"/>
          <w:sz w:val="24"/>
          <w:szCs w:val="24"/>
        </w:rPr>
        <w:t xml:space="preserve"> dyes, the photovoltaic properties i.e., IPCE and photocurrent-voltage (</w:t>
      </w:r>
      <w:r w:rsidRPr="005976A1">
        <w:rPr>
          <w:rFonts w:cs="Calibri"/>
          <w:i/>
          <w:sz w:val="24"/>
          <w:szCs w:val="24"/>
        </w:rPr>
        <w:t>J</w:t>
      </w:r>
      <w:r w:rsidRPr="005976A1">
        <w:rPr>
          <w:rFonts w:cs="Calibri"/>
          <w:sz w:val="24"/>
          <w:szCs w:val="24"/>
        </w:rPr>
        <w:t>-</w:t>
      </w:r>
      <w:r w:rsidRPr="005976A1">
        <w:rPr>
          <w:rFonts w:cs="Calibri"/>
          <w:i/>
          <w:sz w:val="24"/>
          <w:szCs w:val="24"/>
        </w:rPr>
        <w:t>V</w:t>
      </w:r>
      <w:r w:rsidRPr="005976A1">
        <w:rPr>
          <w:rFonts w:cs="Calibri"/>
          <w:sz w:val="24"/>
          <w:szCs w:val="24"/>
        </w:rPr>
        <w:t>) characteristics, were performed and compared to LG 5 sensitizer using 8 μm thick mesoporousTiO</w:t>
      </w:r>
      <w:r w:rsidRPr="005976A1">
        <w:rPr>
          <w:rFonts w:cs="Calibri"/>
          <w:sz w:val="24"/>
          <w:szCs w:val="24"/>
          <w:vertAlign w:val="subscript"/>
        </w:rPr>
        <w:t xml:space="preserve">2 </w:t>
      </w:r>
      <w:r w:rsidRPr="005976A1">
        <w:rPr>
          <w:rFonts w:cs="Calibri"/>
          <w:sz w:val="24"/>
          <w:szCs w:val="24"/>
        </w:rPr>
        <w:t xml:space="preserve">films and an acetonitrile- based </w:t>
      </w:r>
      <w:r w:rsidRPr="005976A1">
        <w:rPr>
          <w:rFonts w:cs="Calibri"/>
          <w:sz w:val="24"/>
          <w:szCs w:val="24"/>
        </w:rPr>
        <w:lastRenderedPageBreak/>
        <w:t>electrolyte composed of 0.6M 1,2-dimethyl-3-propylimidazolium iodide (DMPII), 0.05 MI</w:t>
      </w:r>
      <w:r w:rsidRPr="005976A1">
        <w:rPr>
          <w:rFonts w:cs="Calibri"/>
          <w:sz w:val="24"/>
          <w:szCs w:val="24"/>
          <w:vertAlign w:val="subscript"/>
        </w:rPr>
        <w:t>2</w:t>
      </w:r>
      <w:r w:rsidRPr="005976A1">
        <w:rPr>
          <w:rFonts w:cs="Calibri"/>
          <w:sz w:val="24"/>
          <w:szCs w:val="24"/>
        </w:rPr>
        <w:t>, 0.1 M LiI, and 0.1 M 4-tert-buylpyridine (TBP). The detailed fabrication method was described in our earlier studies.</w:t>
      </w:r>
      <w:r w:rsidR="00012387" w:rsidRPr="005976A1">
        <w:rPr>
          <w:rFonts w:cs="Calibri"/>
          <w:sz w:val="24"/>
          <w:szCs w:val="24"/>
          <w:vertAlign w:val="superscript"/>
        </w:rPr>
        <w:t>22</w:t>
      </w:r>
      <w:r w:rsidRPr="005976A1">
        <w:rPr>
          <w:rFonts w:cs="Calibri"/>
          <w:sz w:val="24"/>
          <w:szCs w:val="24"/>
        </w:rPr>
        <w:t xml:space="preserve"> The</w:t>
      </w:r>
      <w:r w:rsidR="00761E26">
        <w:rPr>
          <w:rFonts w:cs="Calibri"/>
          <w:sz w:val="24"/>
          <w:szCs w:val="24"/>
        </w:rPr>
        <w:t xml:space="preserve"> J-V  curves</w:t>
      </w:r>
      <w:r w:rsidRPr="005976A1">
        <w:rPr>
          <w:rFonts w:cs="Calibri"/>
          <w:sz w:val="24"/>
          <w:szCs w:val="24"/>
        </w:rPr>
        <w:t xml:space="preserve"> of </w:t>
      </w:r>
      <w:r w:rsidRPr="005976A1">
        <w:rPr>
          <w:rFonts w:cs="Calibri"/>
          <w:b/>
          <w:sz w:val="24"/>
          <w:szCs w:val="24"/>
        </w:rPr>
        <w:t>LG 28</w:t>
      </w:r>
      <w:r w:rsidRPr="005976A1">
        <w:rPr>
          <w:rFonts w:cs="Calibri"/>
          <w:sz w:val="24"/>
          <w:szCs w:val="24"/>
        </w:rPr>
        <w:t xml:space="preserve"> and </w:t>
      </w:r>
      <w:r w:rsidRPr="005976A1">
        <w:rPr>
          <w:rFonts w:cs="Calibri"/>
          <w:b/>
          <w:sz w:val="24"/>
          <w:szCs w:val="24"/>
        </w:rPr>
        <w:t>LG 29</w:t>
      </w:r>
      <w:r w:rsidRPr="005976A1">
        <w:rPr>
          <w:rFonts w:cs="Calibri"/>
          <w:sz w:val="24"/>
          <w:szCs w:val="24"/>
        </w:rPr>
        <w:t xml:space="preserve"> sensitizers along with LG 5 </w:t>
      </w:r>
      <w:r w:rsidR="00012387" w:rsidRPr="005976A1">
        <w:rPr>
          <w:rFonts w:cs="Calibri"/>
          <w:sz w:val="24"/>
          <w:szCs w:val="24"/>
        </w:rPr>
        <w:t xml:space="preserve">are showed </w:t>
      </w:r>
      <w:r w:rsidRPr="005976A1">
        <w:rPr>
          <w:rFonts w:cs="Calibri"/>
          <w:sz w:val="24"/>
          <w:szCs w:val="24"/>
        </w:rPr>
        <w:t>in Figure 6a.</w:t>
      </w:r>
      <w:r w:rsidR="00761E26">
        <w:rPr>
          <w:rFonts w:cs="Calibri"/>
          <w:sz w:val="24"/>
          <w:szCs w:val="24"/>
        </w:rPr>
        <w:t xml:space="preserve"> </w:t>
      </w:r>
      <w:r w:rsidR="00761E26" w:rsidRPr="005976A1">
        <w:rPr>
          <w:rFonts w:cs="Calibri"/>
          <w:sz w:val="24"/>
          <w:szCs w:val="24"/>
        </w:rPr>
        <w:t xml:space="preserve">The respective photovoltaic parameters are summarized in Table 3. </w:t>
      </w:r>
      <w:r w:rsidR="00EB6A56">
        <w:rPr>
          <w:rFonts w:cs="Calibri"/>
          <w:sz w:val="24"/>
          <w:szCs w:val="24"/>
        </w:rPr>
        <w:t xml:space="preserve"> </w:t>
      </w:r>
      <w:r w:rsidR="00EB6A56" w:rsidRPr="005976A1">
        <w:rPr>
          <w:rFonts w:cs="Calibri"/>
          <w:b/>
          <w:sz w:val="24"/>
          <w:szCs w:val="24"/>
        </w:rPr>
        <w:t>LG 29</w:t>
      </w:r>
      <w:r w:rsidR="00EB6A56" w:rsidRPr="005976A1">
        <w:rPr>
          <w:rFonts w:cs="Calibri"/>
          <w:sz w:val="24"/>
          <w:szCs w:val="24"/>
        </w:rPr>
        <w:t xml:space="preserve"> based </w:t>
      </w:r>
      <w:r w:rsidR="00EB6A56">
        <w:rPr>
          <w:rFonts w:cs="Calibri"/>
          <w:sz w:val="24"/>
          <w:szCs w:val="24"/>
        </w:rPr>
        <w:t>DSSC</w:t>
      </w:r>
      <w:r w:rsidR="00EB6A56" w:rsidRPr="005976A1">
        <w:rPr>
          <w:rFonts w:cs="Calibri"/>
          <w:sz w:val="24"/>
          <w:szCs w:val="24"/>
        </w:rPr>
        <w:t xml:space="preserve"> showed an open circuit voltage (</w:t>
      </w:r>
      <w:r w:rsidR="00EB6A56" w:rsidRPr="005976A1">
        <w:rPr>
          <w:rFonts w:cs="Calibri"/>
          <w:i/>
          <w:iCs/>
          <w:sz w:val="24"/>
          <w:szCs w:val="24"/>
        </w:rPr>
        <w:t>V</w:t>
      </w:r>
      <w:r w:rsidR="00EB6A56" w:rsidRPr="00EB6A56">
        <w:rPr>
          <w:rFonts w:cs="Calibri"/>
          <w:i/>
          <w:iCs/>
          <w:sz w:val="20"/>
          <w:szCs w:val="20"/>
          <w:vertAlign w:val="subscript"/>
        </w:rPr>
        <w:t>OC</w:t>
      </w:r>
      <w:r w:rsidR="00EB6A56" w:rsidRPr="005976A1">
        <w:rPr>
          <w:rFonts w:cs="Calibri"/>
          <w:sz w:val="24"/>
          <w:szCs w:val="24"/>
        </w:rPr>
        <w:t>) of 0.70 V, short circuit currentdensity (</w:t>
      </w:r>
      <w:r w:rsidR="00EB6A56" w:rsidRPr="005976A1">
        <w:rPr>
          <w:rFonts w:cs="Calibri"/>
          <w:i/>
          <w:iCs/>
          <w:sz w:val="24"/>
          <w:szCs w:val="24"/>
        </w:rPr>
        <w:t>J</w:t>
      </w:r>
      <w:r w:rsidR="00EB6A56" w:rsidRPr="00EB6A56">
        <w:rPr>
          <w:rFonts w:cs="Calibri"/>
          <w:i/>
          <w:iCs/>
          <w:sz w:val="24"/>
          <w:szCs w:val="24"/>
          <w:vertAlign w:val="subscript"/>
        </w:rPr>
        <w:t>SC</w:t>
      </w:r>
      <w:r w:rsidR="00EB6A56" w:rsidRPr="005976A1">
        <w:rPr>
          <w:rFonts w:cs="Calibri"/>
          <w:sz w:val="24"/>
          <w:szCs w:val="24"/>
        </w:rPr>
        <w:t>) of 20.50 mA cm</w:t>
      </w:r>
      <w:r w:rsidR="00EB6A56" w:rsidRPr="005976A1">
        <w:rPr>
          <w:rFonts w:cs="Calibri"/>
          <w:sz w:val="24"/>
          <w:szCs w:val="24"/>
          <w:vertAlign w:val="superscript"/>
        </w:rPr>
        <w:t>-2</w:t>
      </w:r>
      <w:r w:rsidR="00EB6A56" w:rsidRPr="005976A1">
        <w:rPr>
          <w:rFonts w:cs="Calibri"/>
          <w:sz w:val="24"/>
          <w:szCs w:val="24"/>
        </w:rPr>
        <w:t xml:space="preserve">, fill factor (FF) of 71.7% </w:t>
      </w:r>
      <w:r w:rsidR="00EB6A56">
        <w:rPr>
          <w:rFonts w:cs="Calibri"/>
          <w:sz w:val="24"/>
          <w:szCs w:val="24"/>
        </w:rPr>
        <w:t xml:space="preserve">leading to a </w:t>
      </w:r>
      <w:r w:rsidR="00EB6A56" w:rsidRPr="005976A1">
        <w:rPr>
          <w:rFonts w:cs="Calibri"/>
          <w:sz w:val="24"/>
          <w:szCs w:val="24"/>
        </w:rPr>
        <w:t>PCE</w:t>
      </w:r>
      <w:r w:rsidR="00EB6A56">
        <w:rPr>
          <w:rFonts w:cs="Calibri"/>
          <w:sz w:val="24"/>
          <w:szCs w:val="24"/>
        </w:rPr>
        <w:t xml:space="preserve"> of</w:t>
      </w:r>
      <w:r w:rsidR="00EB6A56" w:rsidRPr="005976A1">
        <w:rPr>
          <w:rFonts w:cs="Calibri"/>
          <w:sz w:val="24"/>
          <w:szCs w:val="24"/>
        </w:rPr>
        <w:t xml:space="preserve"> 10.31%, whereas </w:t>
      </w:r>
      <w:r w:rsidR="00EB6A56" w:rsidRPr="005976A1">
        <w:rPr>
          <w:rFonts w:cs="Calibri"/>
          <w:b/>
          <w:sz w:val="24"/>
          <w:szCs w:val="24"/>
        </w:rPr>
        <w:t>LG 28</w:t>
      </w:r>
      <w:r w:rsidR="00EB6A56" w:rsidRPr="005976A1">
        <w:rPr>
          <w:rFonts w:cs="Calibri"/>
          <w:sz w:val="24"/>
          <w:szCs w:val="24"/>
        </w:rPr>
        <w:t xml:space="preserve"> based </w:t>
      </w:r>
      <w:r w:rsidR="00EB6A56">
        <w:rPr>
          <w:rFonts w:cs="Calibri"/>
          <w:sz w:val="24"/>
          <w:szCs w:val="24"/>
        </w:rPr>
        <w:t>DSSC</w:t>
      </w:r>
      <w:r w:rsidR="00EB6A56" w:rsidRPr="005976A1">
        <w:rPr>
          <w:rFonts w:cs="Calibri"/>
          <w:sz w:val="24"/>
          <w:szCs w:val="24"/>
        </w:rPr>
        <w:t xml:space="preserve"> </w:t>
      </w:r>
      <w:r w:rsidR="00EB6A56">
        <w:rPr>
          <w:rFonts w:cs="Calibri"/>
          <w:sz w:val="24"/>
          <w:szCs w:val="24"/>
        </w:rPr>
        <w:t xml:space="preserve">showed </w:t>
      </w:r>
      <w:r w:rsidR="00EB6A56" w:rsidRPr="005976A1">
        <w:rPr>
          <w:rFonts w:cs="Calibri"/>
          <w:sz w:val="24"/>
          <w:szCs w:val="24"/>
        </w:rPr>
        <w:t xml:space="preserve"> </w:t>
      </w:r>
      <w:r w:rsidR="00EB6A56" w:rsidRPr="005976A1">
        <w:rPr>
          <w:rFonts w:cs="Calibri"/>
          <w:i/>
          <w:iCs/>
          <w:sz w:val="24"/>
          <w:szCs w:val="24"/>
        </w:rPr>
        <w:t>V</w:t>
      </w:r>
      <w:r w:rsidR="00EB6A56" w:rsidRPr="00EB6A56">
        <w:rPr>
          <w:rFonts w:cs="Calibri"/>
          <w:i/>
          <w:iCs/>
          <w:sz w:val="24"/>
          <w:szCs w:val="24"/>
          <w:vertAlign w:val="subscript"/>
        </w:rPr>
        <w:t>OC</w:t>
      </w:r>
      <w:r w:rsidR="00EB6A56" w:rsidRPr="005976A1">
        <w:rPr>
          <w:rFonts w:cs="Calibri"/>
          <w:i/>
          <w:iCs/>
          <w:sz w:val="24"/>
          <w:szCs w:val="24"/>
        </w:rPr>
        <w:t xml:space="preserve"> </w:t>
      </w:r>
      <w:r w:rsidR="00EB6A56" w:rsidRPr="005976A1">
        <w:rPr>
          <w:rFonts w:cs="Calibri"/>
          <w:iCs/>
          <w:sz w:val="24"/>
          <w:szCs w:val="24"/>
        </w:rPr>
        <w:t xml:space="preserve">of 0.71, </w:t>
      </w:r>
      <w:r w:rsidR="00EB6A56" w:rsidRPr="005976A1">
        <w:rPr>
          <w:rFonts w:cs="Calibri"/>
          <w:i/>
          <w:iCs/>
          <w:sz w:val="24"/>
          <w:szCs w:val="24"/>
        </w:rPr>
        <w:t>J</w:t>
      </w:r>
      <w:r w:rsidR="00EB6A56" w:rsidRPr="00EB6A56">
        <w:rPr>
          <w:rFonts w:cs="Calibri"/>
          <w:i/>
          <w:iCs/>
          <w:sz w:val="24"/>
          <w:szCs w:val="24"/>
          <w:vertAlign w:val="subscript"/>
        </w:rPr>
        <w:t>SC</w:t>
      </w:r>
      <w:r w:rsidR="00EB6A56" w:rsidRPr="005976A1">
        <w:rPr>
          <w:rFonts w:cs="Calibri"/>
          <w:sz w:val="24"/>
          <w:szCs w:val="24"/>
        </w:rPr>
        <w:t xml:space="preserve"> </w:t>
      </w:r>
      <w:r w:rsidR="00EB6A56" w:rsidRPr="005976A1">
        <w:rPr>
          <w:rFonts w:cs="Calibri"/>
          <w:i/>
          <w:iCs/>
          <w:sz w:val="24"/>
          <w:szCs w:val="24"/>
        </w:rPr>
        <w:t xml:space="preserve"> </w:t>
      </w:r>
      <w:r w:rsidR="00EB6A56" w:rsidRPr="005976A1">
        <w:rPr>
          <w:rFonts w:cs="Calibri"/>
          <w:iCs/>
          <w:sz w:val="24"/>
          <w:szCs w:val="24"/>
        </w:rPr>
        <w:t xml:space="preserve">of 17.64 </w:t>
      </w:r>
      <w:r w:rsidR="00EB6A56" w:rsidRPr="005976A1">
        <w:rPr>
          <w:rFonts w:cs="Calibri"/>
          <w:sz w:val="24"/>
          <w:szCs w:val="24"/>
        </w:rPr>
        <w:t>mA cm</w:t>
      </w:r>
      <w:r w:rsidR="00EB6A56" w:rsidRPr="005976A1">
        <w:rPr>
          <w:rFonts w:cs="Calibri"/>
          <w:sz w:val="24"/>
          <w:szCs w:val="24"/>
          <w:vertAlign w:val="superscript"/>
        </w:rPr>
        <w:t>-2</w:t>
      </w:r>
      <w:r w:rsidR="00EB6A56" w:rsidRPr="005976A1">
        <w:rPr>
          <w:rFonts w:cs="Calibri"/>
          <w:sz w:val="24"/>
          <w:szCs w:val="24"/>
        </w:rPr>
        <w:t xml:space="preserve">, </w:t>
      </w:r>
      <w:r w:rsidR="00EB6A56" w:rsidRPr="005976A1">
        <w:rPr>
          <w:rFonts w:cs="Calibri"/>
          <w:iCs/>
          <w:sz w:val="24"/>
          <w:szCs w:val="24"/>
        </w:rPr>
        <w:t xml:space="preserve">FF of 71% leading to a PCE of 8.83%. On the other hand, under similar test cell conditions, the sensitizer LG 5 displayed PCE of 10.20%. </w:t>
      </w:r>
      <w:r w:rsidRPr="005976A1">
        <w:rPr>
          <w:rFonts w:cs="Calibri"/>
          <w:sz w:val="24"/>
          <w:szCs w:val="24"/>
        </w:rPr>
        <w:t>The IPCE spectra of both sensitizers showed two maxima at ~500 nm and ~700 nm attributed to the Soret band and Q-band absorption and similar spectra</w:t>
      </w:r>
      <w:r w:rsidR="00012387" w:rsidRPr="005976A1">
        <w:rPr>
          <w:rFonts w:cs="Calibri"/>
          <w:sz w:val="24"/>
          <w:szCs w:val="24"/>
        </w:rPr>
        <w:t>l</w:t>
      </w:r>
      <w:r w:rsidRPr="005976A1">
        <w:rPr>
          <w:rFonts w:cs="Calibri"/>
          <w:sz w:val="24"/>
          <w:szCs w:val="24"/>
        </w:rPr>
        <w:t xml:space="preserve"> features were also observed </w:t>
      </w:r>
      <w:r w:rsidR="00761E26">
        <w:rPr>
          <w:rFonts w:cs="Calibri"/>
          <w:sz w:val="24"/>
          <w:szCs w:val="24"/>
        </w:rPr>
        <w:t xml:space="preserve">for </w:t>
      </w:r>
      <w:r w:rsidRPr="005976A1">
        <w:rPr>
          <w:rFonts w:cs="Calibri"/>
          <w:sz w:val="24"/>
          <w:szCs w:val="24"/>
        </w:rPr>
        <w:t>f LG 5 dye</w:t>
      </w:r>
      <w:r w:rsidR="00761E26">
        <w:rPr>
          <w:rFonts w:cs="Calibri"/>
          <w:sz w:val="24"/>
          <w:szCs w:val="24"/>
        </w:rPr>
        <w:t xml:space="preserve"> based DSSC</w:t>
      </w:r>
      <w:r w:rsidRPr="005976A1">
        <w:rPr>
          <w:rFonts w:cs="Calibri"/>
          <w:sz w:val="24"/>
          <w:szCs w:val="24"/>
        </w:rPr>
        <w:t xml:space="preserve">. We observed an IPCE of 85% and 82% </w:t>
      </w:r>
      <w:r w:rsidR="00761E26">
        <w:rPr>
          <w:rFonts w:cs="Calibri"/>
          <w:sz w:val="24"/>
          <w:szCs w:val="24"/>
        </w:rPr>
        <w:t xml:space="preserve">for </w:t>
      </w:r>
      <w:r w:rsidRPr="005976A1">
        <w:rPr>
          <w:rFonts w:cs="Calibri"/>
          <w:sz w:val="24"/>
          <w:szCs w:val="24"/>
        </w:rPr>
        <w:t xml:space="preserve"> </w:t>
      </w:r>
      <w:r w:rsidRPr="005976A1">
        <w:rPr>
          <w:rFonts w:cs="Calibri"/>
          <w:b/>
          <w:sz w:val="24"/>
          <w:szCs w:val="24"/>
        </w:rPr>
        <w:t>LG 29</w:t>
      </w:r>
      <w:r w:rsidRPr="005976A1">
        <w:rPr>
          <w:rFonts w:cs="Calibri"/>
          <w:sz w:val="24"/>
          <w:szCs w:val="24"/>
        </w:rPr>
        <w:t xml:space="preserve"> and </w:t>
      </w:r>
      <w:r w:rsidRPr="005976A1">
        <w:rPr>
          <w:rFonts w:cs="Calibri"/>
          <w:b/>
          <w:sz w:val="24"/>
          <w:szCs w:val="24"/>
        </w:rPr>
        <w:t xml:space="preserve">LG 28 </w:t>
      </w:r>
      <w:r w:rsidRPr="005976A1">
        <w:rPr>
          <w:rFonts w:cs="Calibri"/>
          <w:sz w:val="24"/>
          <w:szCs w:val="24"/>
        </w:rPr>
        <w:t xml:space="preserve">dyes, respectively under similar test cell conditions. On the other hand, we have observed an IPCE of 85% </w:t>
      </w:r>
      <w:r w:rsidR="00761E26">
        <w:rPr>
          <w:rFonts w:cs="Calibri"/>
          <w:sz w:val="24"/>
          <w:szCs w:val="24"/>
        </w:rPr>
        <w:t xml:space="preserve"> for </w:t>
      </w:r>
      <w:r w:rsidRPr="005976A1">
        <w:rPr>
          <w:rFonts w:cs="Calibri"/>
          <w:sz w:val="24"/>
          <w:szCs w:val="24"/>
        </w:rPr>
        <w:t xml:space="preserve"> LG 5 dye. The onset of IPCE extends up to 900 nm in case of </w:t>
      </w:r>
      <w:r w:rsidRPr="005976A1">
        <w:rPr>
          <w:rFonts w:cs="Calibri"/>
          <w:b/>
          <w:sz w:val="24"/>
          <w:szCs w:val="24"/>
        </w:rPr>
        <w:t>LG 29</w:t>
      </w:r>
      <w:r w:rsidRPr="005976A1">
        <w:rPr>
          <w:rFonts w:cs="Calibri"/>
          <w:sz w:val="24"/>
          <w:szCs w:val="24"/>
        </w:rPr>
        <w:t xml:space="preserve"> and LG 5 dyes whereas onset extends up to 850 nm only in </w:t>
      </w:r>
      <w:r w:rsidRPr="005976A1">
        <w:rPr>
          <w:rFonts w:cs="Calibri"/>
          <w:b/>
          <w:sz w:val="24"/>
          <w:szCs w:val="24"/>
        </w:rPr>
        <w:t>LG 28</w:t>
      </w:r>
      <w:r w:rsidRPr="005976A1">
        <w:rPr>
          <w:rFonts w:cs="Calibri"/>
          <w:sz w:val="24"/>
          <w:szCs w:val="24"/>
        </w:rPr>
        <w:t xml:space="preserve"> dye that may affect </w:t>
      </w:r>
      <w:r w:rsidR="00761E26">
        <w:rPr>
          <w:rFonts w:cs="Calibri"/>
          <w:sz w:val="24"/>
          <w:szCs w:val="24"/>
        </w:rPr>
        <w:t xml:space="preserve">the </w:t>
      </w:r>
      <w:r w:rsidRPr="005976A1">
        <w:rPr>
          <w:rFonts w:cs="Calibri"/>
          <w:sz w:val="24"/>
          <w:szCs w:val="24"/>
        </w:rPr>
        <w:t xml:space="preserve"> PCE of the </w:t>
      </w:r>
      <w:r w:rsidR="00761E26">
        <w:rPr>
          <w:rFonts w:cs="Calibri"/>
          <w:sz w:val="24"/>
          <w:szCs w:val="24"/>
        </w:rPr>
        <w:t>respective DSSC</w:t>
      </w:r>
      <w:r w:rsidR="00EB6A56">
        <w:rPr>
          <w:rFonts w:cs="Calibri"/>
          <w:sz w:val="24"/>
          <w:szCs w:val="24"/>
        </w:rPr>
        <w:t xml:space="preserve">. </w:t>
      </w:r>
      <w:r w:rsidRPr="005976A1">
        <w:rPr>
          <w:rFonts w:cs="Calibri"/>
          <w:sz w:val="24"/>
          <w:szCs w:val="24"/>
        </w:rPr>
        <w:t xml:space="preserve"> From Figure 6b and Table 3 it </w:t>
      </w:r>
      <w:r w:rsidR="00EB6A56">
        <w:rPr>
          <w:rFonts w:cs="Calibri"/>
          <w:sz w:val="24"/>
          <w:szCs w:val="24"/>
        </w:rPr>
        <w:t xml:space="preserve">can be seen that </w:t>
      </w:r>
      <w:r w:rsidRPr="005976A1">
        <w:rPr>
          <w:rFonts w:cs="Calibri"/>
          <w:sz w:val="24"/>
          <w:szCs w:val="24"/>
        </w:rPr>
        <w:t xml:space="preserve"> </w:t>
      </w:r>
      <w:r w:rsidR="00EB6A56">
        <w:rPr>
          <w:rFonts w:cs="Calibri"/>
          <w:iCs/>
          <w:sz w:val="24"/>
          <w:szCs w:val="24"/>
        </w:rPr>
        <w:t>t</w:t>
      </w:r>
      <w:r w:rsidRPr="005976A1">
        <w:rPr>
          <w:rFonts w:cs="Calibri"/>
          <w:iCs/>
          <w:sz w:val="24"/>
          <w:szCs w:val="24"/>
        </w:rPr>
        <w:t xml:space="preserve">he high efficiency of </w:t>
      </w:r>
      <w:r w:rsidRPr="005976A1">
        <w:rPr>
          <w:rFonts w:cs="Calibri"/>
          <w:b/>
          <w:iCs/>
          <w:sz w:val="24"/>
          <w:szCs w:val="24"/>
        </w:rPr>
        <w:t>LG</w:t>
      </w:r>
      <w:r w:rsidR="009703B6" w:rsidRPr="005976A1">
        <w:rPr>
          <w:rFonts w:cs="Calibri"/>
          <w:b/>
          <w:iCs/>
          <w:sz w:val="24"/>
          <w:szCs w:val="24"/>
        </w:rPr>
        <w:t xml:space="preserve"> </w:t>
      </w:r>
      <w:r w:rsidRPr="005976A1">
        <w:rPr>
          <w:rFonts w:cs="Calibri"/>
          <w:b/>
          <w:iCs/>
          <w:sz w:val="24"/>
          <w:szCs w:val="24"/>
        </w:rPr>
        <w:t>29</w:t>
      </w:r>
      <w:r w:rsidRPr="005976A1">
        <w:rPr>
          <w:rFonts w:cs="Calibri"/>
          <w:iCs/>
          <w:sz w:val="24"/>
          <w:szCs w:val="24"/>
        </w:rPr>
        <w:t xml:space="preserve"> and LG 5 </w:t>
      </w:r>
      <w:r w:rsidR="00EB6A56">
        <w:rPr>
          <w:rFonts w:cs="Calibri"/>
          <w:iCs/>
          <w:sz w:val="24"/>
          <w:szCs w:val="24"/>
        </w:rPr>
        <w:t xml:space="preserve"> based DSSCs </w:t>
      </w:r>
      <w:r w:rsidRPr="005976A1">
        <w:rPr>
          <w:rFonts w:cs="Calibri"/>
          <w:iCs/>
          <w:sz w:val="24"/>
          <w:szCs w:val="24"/>
        </w:rPr>
        <w:t xml:space="preserve"> onset of IPCE extends up to 900 nm whereas </w:t>
      </w:r>
      <w:r w:rsidR="00EB6A56">
        <w:rPr>
          <w:rFonts w:cs="Calibri"/>
          <w:iCs/>
          <w:sz w:val="24"/>
          <w:szCs w:val="24"/>
        </w:rPr>
        <w:t xml:space="preserve">for </w:t>
      </w:r>
      <w:r w:rsidRPr="005976A1">
        <w:rPr>
          <w:rFonts w:cs="Calibri"/>
          <w:b/>
          <w:iCs/>
          <w:sz w:val="24"/>
          <w:szCs w:val="24"/>
        </w:rPr>
        <w:t>LG 28</w:t>
      </w:r>
      <w:r w:rsidRPr="005976A1">
        <w:rPr>
          <w:rFonts w:cs="Calibri"/>
          <w:iCs/>
          <w:sz w:val="24"/>
          <w:szCs w:val="24"/>
        </w:rPr>
        <w:t xml:space="preserve"> </w:t>
      </w:r>
      <w:r w:rsidR="00EB6A56">
        <w:rPr>
          <w:rFonts w:cs="Calibri"/>
          <w:iCs/>
          <w:sz w:val="24"/>
          <w:szCs w:val="24"/>
        </w:rPr>
        <w:t xml:space="preserve">based DSSCs, </w:t>
      </w:r>
      <w:r w:rsidRPr="005976A1">
        <w:rPr>
          <w:rFonts w:cs="Calibri"/>
          <w:iCs/>
          <w:sz w:val="24"/>
          <w:szCs w:val="24"/>
        </w:rPr>
        <w:t xml:space="preserve">it extends up to 850 nm where more photons absorbed as a result </w:t>
      </w:r>
      <w:r w:rsidR="00EB6A56" w:rsidRPr="005976A1">
        <w:rPr>
          <w:rFonts w:cs="Calibri"/>
          <w:i/>
          <w:iCs/>
          <w:sz w:val="24"/>
          <w:szCs w:val="24"/>
        </w:rPr>
        <w:t>J</w:t>
      </w:r>
      <w:r w:rsidR="00EB6A56" w:rsidRPr="00EB6A56">
        <w:rPr>
          <w:rFonts w:cs="Calibri"/>
          <w:i/>
          <w:iCs/>
          <w:sz w:val="24"/>
          <w:szCs w:val="24"/>
          <w:vertAlign w:val="subscript"/>
        </w:rPr>
        <w:t>SC</w:t>
      </w:r>
      <w:r w:rsidRPr="005976A1">
        <w:rPr>
          <w:rFonts w:cs="Calibri"/>
          <w:i/>
          <w:iCs/>
          <w:sz w:val="24"/>
          <w:szCs w:val="24"/>
        </w:rPr>
        <w:t xml:space="preserve"> </w:t>
      </w:r>
      <w:r w:rsidR="00EB6A56">
        <w:rPr>
          <w:rFonts w:cs="Calibri"/>
          <w:sz w:val="24"/>
          <w:szCs w:val="24"/>
        </w:rPr>
        <w:t xml:space="preserve">over </w:t>
      </w:r>
      <w:r w:rsidRPr="005976A1">
        <w:rPr>
          <w:rFonts w:cs="Calibri"/>
          <w:iCs/>
          <w:sz w:val="24"/>
          <w:szCs w:val="24"/>
        </w:rPr>
        <w:t xml:space="preserve"> 20 mA cm</w:t>
      </w:r>
      <w:r w:rsidRPr="005976A1">
        <w:rPr>
          <w:rFonts w:cs="Calibri"/>
          <w:iCs/>
          <w:sz w:val="24"/>
          <w:szCs w:val="24"/>
          <w:vertAlign w:val="superscript"/>
        </w:rPr>
        <w:t>-2</w:t>
      </w:r>
      <w:r w:rsidRPr="005976A1">
        <w:rPr>
          <w:rFonts w:cs="Calibri"/>
          <w:iCs/>
          <w:sz w:val="24"/>
          <w:szCs w:val="24"/>
        </w:rPr>
        <w:t xml:space="preserve">. In addition to this, </w:t>
      </w:r>
      <w:r w:rsidR="00EB6A56" w:rsidRPr="005976A1">
        <w:rPr>
          <w:rFonts w:cs="Calibri"/>
          <w:iCs/>
          <w:sz w:val="24"/>
          <w:szCs w:val="24"/>
        </w:rPr>
        <w:t>the</w:t>
      </w:r>
      <w:r w:rsidRPr="005976A1">
        <w:rPr>
          <w:rFonts w:cs="Calibri"/>
          <w:iCs/>
          <w:sz w:val="24"/>
          <w:szCs w:val="24"/>
        </w:rPr>
        <w:t xml:space="preserve"> planar structure of </w:t>
      </w:r>
      <w:r w:rsidRPr="005976A1">
        <w:rPr>
          <w:rFonts w:cs="Calibri"/>
          <w:b/>
          <w:iCs/>
          <w:sz w:val="24"/>
          <w:szCs w:val="24"/>
        </w:rPr>
        <w:t>LG 29</w:t>
      </w:r>
      <w:r w:rsidRPr="005976A1">
        <w:rPr>
          <w:rFonts w:cs="Calibri"/>
          <w:iCs/>
          <w:sz w:val="24"/>
          <w:szCs w:val="24"/>
        </w:rPr>
        <w:t xml:space="preserve"> allowed to adsorb more dye compared to </w:t>
      </w:r>
      <w:r w:rsidRPr="005976A1">
        <w:rPr>
          <w:rFonts w:cs="Calibri"/>
          <w:b/>
          <w:iCs/>
          <w:sz w:val="24"/>
          <w:szCs w:val="24"/>
        </w:rPr>
        <w:t>LG 28</w:t>
      </w:r>
      <w:r w:rsidRPr="005976A1">
        <w:rPr>
          <w:rFonts w:cs="Calibri"/>
          <w:iCs/>
          <w:sz w:val="24"/>
          <w:szCs w:val="24"/>
        </w:rPr>
        <w:t xml:space="preserve"> due to low dihedral angle.   </w:t>
      </w:r>
    </w:p>
    <w:p w14:paraId="6602AA3D" w14:textId="6D835E8A" w:rsidR="00E074DC" w:rsidRDefault="00E074DC" w:rsidP="00E074DC">
      <w:pPr>
        <w:spacing w:after="0" w:line="360" w:lineRule="auto"/>
        <w:jc w:val="both"/>
        <w:rPr>
          <w:rFonts w:ascii="Times New Roman" w:eastAsia="Times New Roman" w:hAnsi="Times New Roman"/>
          <w:sz w:val="24"/>
          <w:szCs w:val="24"/>
        </w:rPr>
      </w:pPr>
      <w:r w:rsidRPr="005976A1">
        <w:rPr>
          <w:rFonts w:cs="Calibri"/>
          <w:sz w:val="24"/>
          <w:szCs w:val="24"/>
        </w:rPr>
        <w:tab/>
        <w:t>In addition, the influence of TBP concentration in liquid redox electrolyte on device efficiency was investigated. It is well known in the literature that as the concentration of TBP increases in the redox couple, the conduction band edge of TiO</w:t>
      </w:r>
      <w:r w:rsidRPr="005976A1">
        <w:rPr>
          <w:rFonts w:cs="Calibri"/>
          <w:sz w:val="24"/>
          <w:szCs w:val="24"/>
          <w:vertAlign w:val="subscript"/>
        </w:rPr>
        <w:t>2</w:t>
      </w:r>
      <w:r w:rsidRPr="005976A1">
        <w:rPr>
          <w:rFonts w:cs="Calibri"/>
          <w:sz w:val="24"/>
          <w:szCs w:val="24"/>
        </w:rPr>
        <w:t xml:space="preserve"> shifts, increasing </w:t>
      </w:r>
      <w:r w:rsidRPr="005976A1">
        <w:rPr>
          <w:rFonts w:cs="Calibri"/>
          <w:i/>
          <w:sz w:val="24"/>
          <w:szCs w:val="24"/>
        </w:rPr>
        <w:t>V</w:t>
      </w:r>
      <w:r w:rsidRPr="005976A1">
        <w:rPr>
          <w:rFonts w:cs="Calibri"/>
          <w:i/>
          <w:sz w:val="24"/>
          <w:szCs w:val="24"/>
          <w:vertAlign w:val="subscript"/>
        </w:rPr>
        <w:t>OC</w:t>
      </w:r>
      <w:r w:rsidRPr="005976A1">
        <w:rPr>
          <w:rFonts w:cs="Calibri"/>
          <w:sz w:val="24"/>
          <w:szCs w:val="24"/>
        </w:rPr>
        <w:t>.</w:t>
      </w:r>
      <w:r w:rsidR="009703B6" w:rsidRPr="005976A1">
        <w:rPr>
          <w:rFonts w:cs="Calibri"/>
          <w:sz w:val="24"/>
          <w:szCs w:val="24"/>
          <w:vertAlign w:val="superscript"/>
        </w:rPr>
        <w:t>34</w:t>
      </w:r>
      <w:r w:rsidRPr="005976A1">
        <w:rPr>
          <w:rFonts w:cs="Calibri"/>
          <w:sz w:val="24"/>
          <w:szCs w:val="24"/>
        </w:rPr>
        <w:t xml:space="preserve"> Figure S</w:t>
      </w:r>
      <w:r w:rsidR="00AE0540" w:rsidRPr="005976A1">
        <w:rPr>
          <w:rFonts w:cs="Calibri"/>
          <w:sz w:val="24"/>
          <w:szCs w:val="24"/>
        </w:rPr>
        <w:t>20</w:t>
      </w:r>
      <w:r w:rsidRPr="005976A1">
        <w:rPr>
          <w:rFonts w:cs="Calibri"/>
          <w:sz w:val="24"/>
          <w:szCs w:val="24"/>
        </w:rPr>
        <w:t xml:space="preserve"> demonstrates the IPCE spectra of </w:t>
      </w:r>
      <w:r w:rsidR="00EB6A56">
        <w:rPr>
          <w:rFonts w:cs="Calibri"/>
          <w:sz w:val="24"/>
          <w:szCs w:val="24"/>
        </w:rPr>
        <w:t xml:space="preserve"> the </w:t>
      </w:r>
      <w:r w:rsidRPr="005976A1">
        <w:rPr>
          <w:rFonts w:cs="Calibri"/>
          <w:sz w:val="24"/>
          <w:szCs w:val="24"/>
        </w:rPr>
        <w:t xml:space="preserve"> sensitizers using 0.1, 0.3 and 0.5 M concentration of TBP and the resultant data </w:t>
      </w:r>
      <w:r w:rsidR="00EB6A56">
        <w:rPr>
          <w:rFonts w:cs="Calibri"/>
          <w:sz w:val="24"/>
          <w:szCs w:val="24"/>
        </w:rPr>
        <w:t xml:space="preserve">is  summarized </w:t>
      </w:r>
      <w:r w:rsidRPr="005976A1">
        <w:rPr>
          <w:rFonts w:cs="Calibri"/>
          <w:sz w:val="24"/>
          <w:szCs w:val="24"/>
        </w:rPr>
        <w:t xml:space="preserve"> in Table 3. From Table 3, </w:t>
      </w:r>
      <w:r w:rsidR="00EB6A56">
        <w:rPr>
          <w:rFonts w:cs="Calibri"/>
          <w:sz w:val="24"/>
          <w:szCs w:val="24"/>
        </w:rPr>
        <w:t xml:space="preserve">it can be observed that </w:t>
      </w:r>
      <w:r w:rsidRPr="005976A1">
        <w:rPr>
          <w:rFonts w:cs="Calibri"/>
          <w:sz w:val="24"/>
          <w:szCs w:val="24"/>
        </w:rPr>
        <w:t xml:space="preserve"> the IPCE decreases in </w:t>
      </w:r>
      <w:r w:rsidR="009703B6" w:rsidRPr="005976A1">
        <w:rPr>
          <w:rFonts w:cs="Calibri"/>
          <w:sz w:val="24"/>
          <w:szCs w:val="24"/>
        </w:rPr>
        <w:t>both</w:t>
      </w:r>
      <w:r w:rsidRPr="005976A1">
        <w:rPr>
          <w:rFonts w:cs="Calibri"/>
          <w:sz w:val="24"/>
          <w:szCs w:val="24"/>
        </w:rPr>
        <w:t xml:space="preserve"> sensitizers as the concentration of TBP increases. Similar negative effect of TBP is also observed in the </w:t>
      </w:r>
      <w:r w:rsidRPr="005976A1">
        <w:rPr>
          <w:rFonts w:cs="Calibri"/>
          <w:i/>
          <w:sz w:val="24"/>
          <w:szCs w:val="24"/>
        </w:rPr>
        <w:t>J</w:t>
      </w:r>
      <w:r w:rsidRPr="005976A1">
        <w:rPr>
          <w:rFonts w:cs="Calibri"/>
          <w:sz w:val="24"/>
          <w:szCs w:val="24"/>
        </w:rPr>
        <w:t>-</w:t>
      </w:r>
      <w:r w:rsidRPr="005976A1">
        <w:rPr>
          <w:rFonts w:cs="Calibri"/>
          <w:i/>
          <w:sz w:val="24"/>
          <w:szCs w:val="24"/>
        </w:rPr>
        <w:t>V</w:t>
      </w:r>
      <w:r w:rsidRPr="005976A1">
        <w:rPr>
          <w:rFonts w:cs="Calibri"/>
          <w:sz w:val="24"/>
          <w:szCs w:val="24"/>
        </w:rPr>
        <w:t xml:space="preserve"> curves of both sensitizers (Figure</w:t>
      </w:r>
      <w:r w:rsidR="00AE0540" w:rsidRPr="005976A1">
        <w:rPr>
          <w:rFonts w:cs="Calibri"/>
          <w:sz w:val="24"/>
          <w:szCs w:val="24"/>
        </w:rPr>
        <w:t xml:space="preserve"> </w:t>
      </w:r>
      <w:r w:rsidRPr="005976A1">
        <w:rPr>
          <w:rFonts w:eastAsia="Times New Roman" w:cs="Calibri"/>
          <w:sz w:val="24"/>
          <w:szCs w:val="24"/>
        </w:rPr>
        <w:t>S</w:t>
      </w:r>
      <w:r w:rsidR="00AE0540" w:rsidRPr="005976A1">
        <w:rPr>
          <w:rFonts w:eastAsia="Times New Roman" w:cs="Calibri"/>
          <w:sz w:val="24"/>
          <w:szCs w:val="24"/>
        </w:rPr>
        <w:t>21</w:t>
      </w:r>
      <w:r w:rsidRPr="005976A1">
        <w:rPr>
          <w:rFonts w:eastAsia="Times New Roman" w:cs="Calibri"/>
          <w:sz w:val="24"/>
          <w:szCs w:val="24"/>
        </w:rPr>
        <w:t>) .</w:t>
      </w:r>
      <w:r w:rsidRPr="005976A1">
        <w:rPr>
          <w:rFonts w:cs="Calibri"/>
          <w:i/>
          <w:sz w:val="24"/>
          <w:szCs w:val="24"/>
        </w:rPr>
        <w:t>V</w:t>
      </w:r>
      <w:r w:rsidRPr="005976A1">
        <w:rPr>
          <w:rFonts w:cs="Calibri"/>
          <w:i/>
          <w:sz w:val="24"/>
          <w:szCs w:val="24"/>
          <w:vertAlign w:val="subscript"/>
        </w:rPr>
        <w:t>OC</w:t>
      </w:r>
      <w:r w:rsidRPr="005976A1">
        <w:rPr>
          <w:rFonts w:eastAsia="Times New Roman" w:cs="Calibri"/>
          <w:sz w:val="24"/>
          <w:szCs w:val="24"/>
        </w:rPr>
        <w:t xml:space="preserve"> increased marginally while </w:t>
      </w:r>
      <w:r w:rsidRPr="005976A1">
        <w:rPr>
          <w:rFonts w:cs="Calibri"/>
          <w:i/>
          <w:sz w:val="24"/>
          <w:szCs w:val="24"/>
        </w:rPr>
        <w:t>J</w:t>
      </w:r>
      <w:r w:rsidRPr="005976A1">
        <w:rPr>
          <w:rFonts w:cs="Calibri"/>
          <w:i/>
          <w:sz w:val="24"/>
          <w:szCs w:val="24"/>
          <w:vertAlign w:val="subscript"/>
        </w:rPr>
        <w:t>SC</w:t>
      </w:r>
      <w:r w:rsidRPr="005976A1">
        <w:rPr>
          <w:rFonts w:eastAsia="Times New Roman" w:cs="Calibri"/>
          <w:sz w:val="24"/>
          <w:szCs w:val="24"/>
        </w:rPr>
        <w:t xml:space="preserve"> decreased dramatically </w:t>
      </w:r>
      <w:r w:rsidR="00EB6A56">
        <w:rPr>
          <w:rFonts w:eastAsia="Times New Roman" w:cs="Calibri"/>
          <w:sz w:val="24"/>
          <w:szCs w:val="24"/>
        </w:rPr>
        <w:t xml:space="preserve"> with increased </w:t>
      </w:r>
      <w:r w:rsidRPr="005976A1">
        <w:rPr>
          <w:rFonts w:eastAsia="Times New Roman" w:cs="Calibri"/>
          <w:sz w:val="24"/>
          <w:szCs w:val="24"/>
        </w:rPr>
        <w:t>TBP</w:t>
      </w:r>
      <w:r w:rsidRPr="00156E44">
        <w:rPr>
          <w:rFonts w:ascii="Times New Roman" w:eastAsia="Times New Roman" w:hAnsi="Times New Roman"/>
          <w:sz w:val="24"/>
          <w:szCs w:val="24"/>
        </w:rPr>
        <w:t xml:space="preserve"> </w:t>
      </w:r>
    </w:p>
    <w:p w14:paraId="0F49DEF3" w14:textId="77777777" w:rsidR="00FD6AAA" w:rsidRDefault="00FD6AAA" w:rsidP="00E074DC">
      <w:pPr>
        <w:spacing w:after="0" w:line="360" w:lineRule="auto"/>
        <w:jc w:val="both"/>
        <w:rPr>
          <w:rFonts w:ascii="Times New Roman" w:eastAsia="Times New Roman" w:hAnsi="Times New Roman"/>
          <w:sz w:val="24"/>
          <w:szCs w:val="24"/>
        </w:rPr>
      </w:pPr>
    </w:p>
    <w:p w14:paraId="1FFABC43" w14:textId="7EFCB66E" w:rsidR="00FD6AAA" w:rsidRDefault="006333CE" w:rsidP="00FD6AAA">
      <w:pPr>
        <w:spacing w:after="0" w:line="360" w:lineRule="auto"/>
        <w:jc w:val="center"/>
        <w:rPr>
          <w:rFonts w:ascii="Times New Roman" w:eastAsia="Times New Roman" w:hAnsi="Times New Roman"/>
          <w:sz w:val="24"/>
          <w:szCs w:val="24"/>
        </w:rPr>
      </w:pPr>
      <w:r w:rsidRPr="00FD6AAA">
        <w:rPr>
          <w:rFonts w:ascii="Times New Roman" w:eastAsia="Times New Roman" w:hAnsi="Times New Roman"/>
          <w:noProof/>
          <w:sz w:val="24"/>
          <w:szCs w:val="24"/>
        </w:rPr>
        <w:lastRenderedPageBreak/>
        <w:drawing>
          <wp:inline distT="0" distB="0" distL="0" distR="0" wp14:anchorId="37347358" wp14:editId="25BA813D">
            <wp:extent cx="4768850" cy="196151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l="1945"/>
                    <a:stretch>
                      <a:fillRect/>
                    </a:stretch>
                  </pic:blipFill>
                  <pic:spPr bwMode="auto">
                    <a:xfrm>
                      <a:off x="0" y="0"/>
                      <a:ext cx="4768850" cy="1961515"/>
                    </a:xfrm>
                    <a:prstGeom prst="rect">
                      <a:avLst/>
                    </a:prstGeom>
                    <a:noFill/>
                    <a:ln>
                      <a:noFill/>
                    </a:ln>
                  </pic:spPr>
                </pic:pic>
              </a:graphicData>
            </a:graphic>
          </wp:inline>
        </w:drawing>
      </w:r>
    </w:p>
    <w:p w14:paraId="711521B7" w14:textId="63CECCEA" w:rsidR="00FD6AAA" w:rsidRPr="00415CBD" w:rsidRDefault="00FD6AAA" w:rsidP="00FD6AAA">
      <w:pPr>
        <w:jc w:val="both"/>
        <w:rPr>
          <w:rFonts w:ascii="Times New Roman" w:eastAsia="Times New Roman" w:hAnsi="Times New Roman"/>
          <w:iCs/>
          <w:sz w:val="24"/>
          <w:szCs w:val="24"/>
        </w:rPr>
      </w:pPr>
      <w:r w:rsidRPr="009703B6">
        <w:rPr>
          <w:rFonts w:ascii="Times New Roman" w:eastAsia="Times New Roman" w:hAnsi="Times New Roman"/>
          <w:b/>
          <w:sz w:val="24"/>
          <w:szCs w:val="24"/>
        </w:rPr>
        <w:t>Figure 6:</w:t>
      </w:r>
      <w:r>
        <w:rPr>
          <w:rFonts w:ascii="Times New Roman" w:eastAsia="Times New Roman" w:hAnsi="Times New Roman"/>
          <w:sz w:val="24"/>
          <w:szCs w:val="24"/>
        </w:rPr>
        <w:t xml:space="preserve"> </w:t>
      </w:r>
      <w:r>
        <w:rPr>
          <w:rFonts w:ascii="Times New Roman" w:eastAsia="Times New Roman" w:hAnsi="Times New Roman"/>
          <w:iCs/>
          <w:sz w:val="24"/>
          <w:szCs w:val="24"/>
        </w:rPr>
        <w:t>a. current–voltage curves and b.</w:t>
      </w:r>
      <w:r w:rsidRPr="00415CBD">
        <w:rPr>
          <w:rFonts w:ascii="Times New Roman" w:eastAsia="Times New Roman" w:hAnsi="Times New Roman"/>
          <w:iCs/>
          <w:sz w:val="24"/>
          <w:szCs w:val="24"/>
        </w:rPr>
        <w:t xml:space="preserve"> </w:t>
      </w:r>
      <w:r w:rsidR="00F12DA1">
        <w:rPr>
          <w:rFonts w:ascii="Times New Roman" w:eastAsia="Times New Roman" w:hAnsi="Times New Roman"/>
          <w:iCs/>
          <w:sz w:val="24"/>
          <w:szCs w:val="24"/>
        </w:rPr>
        <w:t xml:space="preserve">IPCE </w:t>
      </w:r>
      <w:r w:rsidRPr="00415CBD">
        <w:rPr>
          <w:rFonts w:ascii="Times New Roman" w:eastAsia="Times New Roman" w:hAnsi="Times New Roman"/>
          <w:iCs/>
          <w:sz w:val="24"/>
          <w:szCs w:val="24"/>
        </w:rPr>
        <w:t xml:space="preserve"> spectra of </w:t>
      </w:r>
      <w:r>
        <w:rPr>
          <w:rFonts w:ascii="Times New Roman" w:hAnsi="Times New Roman"/>
          <w:iCs/>
          <w:sz w:val="24"/>
          <w:szCs w:val="24"/>
        </w:rPr>
        <w:t xml:space="preserve">LG </w:t>
      </w:r>
      <w:r w:rsidRPr="00CB4D1A">
        <w:rPr>
          <w:rFonts w:ascii="Times New Roman" w:hAnsi="Times New Roman"/>
          <w:iCs/>
          <w:sz w:val="24"/>
          <w:szCs w:val="24"/>
        </w:rPr>
        <w:t>5</w:t>
      </w:r>
      <w:r w:rsidRPr="00415CBD">
        <w:rPr>
          <w:rFonts w:ascii="Times New Roman" w:hAnsi="Times New Roman"/>
          <w:iCs/>
          <w:sz w:val="24"/>
          <w:szCs w:val="24"/>
        </w:rPr>
        <w:t xml:space="preserve">, </w:t>
      </w:r>
      <w:r>
        <w:rPr>
          <w:rFonts w:ascii="Times New Roman" w:hAnsi="Times New Roman"/>
          <w:b/>
          <w:iCs/>
          <w:sz w:val="24"/>
          <w:szCs w:val="24"/>
        </w:rPr>
        <w:t xml:space="preserve">LG </w:t>
      </w:r>
      <w:r w:rsidRPr="00415CBD">
        <w:rPr>
          <w:rFonts w:ascii="Times New Roman" w:hAnsi="Times New Roman"/>
          <w:b/>
          <w:iCs/>
          <w:sz w:val="24"/>
          <w:szCs w:val="24"/>
        </w:rPr>
        <w:t>28</w:t>
      </w:r>
      <w:r w:rsidRPr="00415CBD">
        <w:rPr>
          <w:rFonts w:ascii="Times New Roman" w:hAnsi="Times New Roman"/>
          <w:iCs/>
          <w:sz w:val="24"/>
          <w:szCs w:val="24"/>
        </w:rPr>
        <w:t xml:space="preserve"> and </w:t>
      </w:r>
      <w:r>
        <w:rPr>
          <w:rFonts w:ascii="Times New Roman" w:hAnsi="Times New Roman"/>
          <w:b/>
          <w:iCs/>
          <w:sz w:val="24"/>
          <w:szCs w:val="24"/>
        </w:rPr>
        <w:t xml:space="preserve">LG </w:t>
      </w:r>
      <w:r w:rsidRPr="00415CBD">
        <w:rPr>
          <w:rFonts w:ascii="Times New Roman" w:hAnsi="Times New Roman"/>
          <w:b/>
          <w:iCs/>
          <w:sz w:val="24"/>
          <w:szCs w:val="24"/>
        </w:rPr>
        <w:t xml:space="preserve">29 </w:t>
      </w:r>
      <w:r>
        <w:rPr>
          <w:rFonts w:ascii="Times New Roman" w:eastAsia="Times New Roman" w:hAnsi="Times New Roman"/>
          <w:iCs/>
          <w:sz w:val="24"/>
          <w:szCs w:val="24"/>
        </w:rPr>
        <w:t>sensitizers based DSSCs</w:t>
      </w:r>
      <w:r w:rsidRPr="00415CBD">
        <w:rPr>
          <w:rFonts w:ascii="Times New Roman" w:eastAsia="Times New Roman" w:hAnsi="Times New Roman"/>
          <w:iCs/>
          <w:sz w:val="24"/>
          <w:szCs w:val="24"/>
        </w:rPr>
        <w:t>.</w:t>
      </w:r>
      <w:r>
        <w:rPr>
          <w:rFonts w:ascii="Times New Roman" w:eastAsia="Times New Roman" w:hAnsi="Times New Roman"/>
          <w:iCs/>
          <w:sz w:val="24"/>
          <w:szCs w:val="24"/>
        </w:rPr>
        <w:t xml:space="preserve"> </w:t>
      </w:r>
      <w:r w:rsidRPr="00415CBD">
        <w:rPr>
          <w:rFonts w:ascii="Times New Roman" w:eastAsia="Times New Roman" w:hAnsi="Times New Roman"/>
          <w:iCs/>
          <w:sz w:val="24"/>
          <w:szCs w:val="24"/>
        </w:rPr>
        <w:t>TBP concentration 0.1 M.</w:t>
      </w:r>
    </w:p>
    <w:p w14:paraId="52BB5F58" w14:textId="77777777" w:rsidR="00D41ED0" w:rsidRDefault="00D41ED0" w:rsidP="00E074DC">
      <w:pPr>
        <w:spacing w:after="0" w:line="360" w:lineRule="auto"/>
        <w:jc w:val="both"/>
        <w:rPr>
          <w:rFonts w:ascii="Times New Roman" w:eastAsia="Times New Roman" w:hAnsi="Times New Roman"/>
          <w:sz w:val="24"/>
          <w:szCs w:val="24"/>
        </w:rPr>
      </w:pPr>
    </w:p>
    <w:p w14:paraId="7945822A" w14:textId="77777777" w:rsidR="00D41ED0" w:rsidRPr="00BD4E07" w:rsidRDefault="00D41ED0" w:rsidP="00D41ED0">
      <w:pPr>
        <w:spacing w:line="360" w:lineRule="auto"/>
        <w:jc w:val="both"/>
        <w:rPr>
          <w:rFonts w:ascii="Times New Roman" w:eastAsia="Times New Roman" w:hAnsi="Times New Roman"/>
          <w:sz w:val="24"/>
          <w:szCs w:val="24"/>
          <w:highlight w:val="yellow"/>
        </w:rPr>
      </w:pPr>
      <w:r w:rsidRPr="009D0EA5">
        <w:rPr>
          <w:rFonts w:ascii="Times New Roman" w:eastAsia="Times New Roman" w:hAnsi="Times New Roman"/>
          <w:b/>
          <w:sz w:val="24"/>
          <w:szCs w:val="24"/>
        </w:rPr>
        <w:t xml:space="preserve">Table </w:t>
      </w:r>
      <w:r>
        <w:rPr>
          <w:rFonts w:ascii="Times New Roman" w:eastAsia="Times New Roman" w:hAnsi="Times New Roman"/>
          <w:b/>
          <w:sz w:val="24"/>
          <w:szCs w:val="24"/>
        </w:rPr>
        <w:t xml:space="preserve">3 </w:t>
      </w:r>
      <w:r w:rsidRPr="009D0EA5">
        <w:rPr>
          <w:rFonts w:ascii="Times New Roman" w:eastAsia="Times New Roman" w:hAnsi="Times New Roman"/>
          <w:sz w:val="24"/>
          <w:szCs w:val="24"/>
        </w:rPr>
        <w:t>Photovoltaic performance parameters of porphyrin sensitizers</w:t>
      </w:r>
      <w:r>
        <w:rPr>
          <w:rFonts w:ascii="Times New Roman" w:eastAsia="Times New Roman" w:hAnsi="Times New Roman"/>
          <w:sz w:val="24"/>
          <w:szCs w:val="24"/>
        </w:rPr>
        <w:t>.</w:t>
      </w:r>
    </w:p>
    <w:tbl>
      <w:tblPr>
        <w:tblW w:w="0" w:type="auto"/>
        <w:tblBorders>
          <w:top w:val="single" w:sz="12" w:space="0" w:color="auto"/>
          <w:bottom w:val="single" w:sz="12" w:space="0" w:color="auto"/>
        </w:tblBorders>
        <w:tblLook w:val="04A0" w:firstRow="1" w:lastRow="0" w:firstColumn="1" w:lastColumn="0" w:noHBand="0" w:noVBand="1"/>
      </w:tblPr>
      <w:tblGrid>
        <w:gridCol w:w="1320"/>
        <w:gridCol w:w="1320"/>
        <w:gridCol w:w="1579"/>
        <w:gridCol w:w="1276"/>
        <w:gridCol w:w="1105"/>
        <w:gridCol w:w="1321"/>
        <w:gridCol w:w="1321"/>
      </w:tblGrid>
      <w:tr w:rsidR="00D41ED0" w:rsidRPr="009D0EA5" w14:paraId="501B5C9A" w14:textId="77777777" w:rsidTr="003B6EBC">
        <w:tc>
          <w:tcPr>
            <w:tcW w:w="1320" w:type="dxa"/>
            <w:tcBorders>
              <w:top w:val="single" w:sz="12" w:space="0" w:color="auto"/>
              <w:left w:val="nil"/>
              <w:bottom w:val="single" w:sz="12" w:space="0" w:color="auto"/>
              <w:right w:val="nil"/>
            </w:tcBorders>
            <w:hideMark/>
          </w:tcPr>
          <w:p w14:paraId="7A9F853B" w14:textId="77777777" w:rsidR="00D41ED0" w:rsidRPr="009D0EA5" w:rsidRDefault="00D41ED0" w:rsidP="003B6EBC">
            <w:pPr>
              <w:spacing w:line="360" w:lineRule="auto"/>
              <w:jc w:val="center"/>
              <w:rPr>
                <w:rFonts w:ascii="Times New Roman" w:eastAsia="MS Mincho" w:hAnsi="Times New Roman"/>
                <w:b/>
                <w:noProof/>
                <w:sz w:val="24"/>
                <w:szCs w:val="24"/>
              </w:rPr>
            </w:pPr>
            <w:r w:rsidRPr="009D0EA5">
              <w:rPr>
                <w:rFonts w:ascii="Times New Roman" w:eastAsia="MS Mincho" w:hAnsi="Times New Roman"/>
                <w:b/>
                <w:noProof/>
                <w:sz w:val="24"/>
                <w:szCs w:val="24"/>
              </w:rPr>
              <w:t>Sensitizer</w:t>
            </w:r>
          </w:p>
        </w:tc>
        <w:tc>
          <w:tcPr>
            <w:tcW w:w="1320" w:type="dxa"/>
            <w:tcBorders>
              <w:top w:val="single" w:sz="12" w:space="0" w:color="auto"/>
              <w:left w:val="nil"/>
              <w:bottom w:val="single" w:sz="12" w:space="0" w:color="auto"/>
              <w:right w:val="nil"/>
            </w:tcBorders>
            <w:hideMark/>
          </w:tcPr>
          <w:p w14:paraId="54C731ED" w14:textId="77777777" w:rsidR="00D41ED0" w:rsidRPr="009D0EA5" w:rsidRDefault="00D41ED0" w:rsidP="003B6EBC">
            <w:pPr>
              <w:spacing w:line="360" w:lineRule="auto"/>
              <w:jc w:val="center"/>
              <w:rPr>
                <w:rFonts w:ascii="Times New Roman" w:eastAsia="MS Mincho" w:hAnsi="Times New Roman"/>
                <w:b/>
                <w:noProof/>
                <w:sz w:val="24"/>
                <w:szCs w:val="24"/>
              </w:rPr>
            </w:pPr>
            <w:r w:rsidRPr="009D0EA5">
              <w:rPr>
                <w:rFonts w:ascii="Times New Roman" w:eastAsia="MS Mincho" w:hAnsi="Times New Roman"/>
                <w:b/>
                <w:noProof/>
                <w:sz w:val="24"/>
                <w:szCs w:val="24"/>
              </w:rPr>
              <w:t>TBP</w:t>
            </w:r>
          </w:p>
          <w:p w14:paraId="78D336EC" w14:textId="77777777" w:rsidR="00D41ED0" w:rsidRPr="009D0EA5" w:rsidRDefault="00D41ED0" w:rsidP="003B6EBC">
            <w:pPr>
              <w:spacing w:line="360" w:lineRule="auto"/>
              <w:jc w:val="center"/>
              <w:rPr>
                <w:rFonts w:ascii="Times New Roman" w:eastAsia="MS Mincho" w:hAnsi="Times New Roman"/>
                <w:b/>
                <w:noProof/>
                <w:sz w:val="24"/>
                <w:szCs w:val="24"/>
              </w:rPr>
            </w:pPr>
            <w:r w:rsidRPr="009D0EA5">
              <w:rPr>
                <w:rFonts w:ascii="Times New Roman" w:eastAsia="MS Mincho" w:hAnsi="Times New Roman"/>
                <w:b/>
                <w:noProof/>
                <w:sz w:val="24"/>
                <w:szCs w:val="24"/>
              </w:rPr>
              <w:t>(mM)</w:t>
            </w:r>
          </w:p>
        </w:tc>
        <w:tc>
          <w:tcPr>
            <w:tcW w:w="1579" w:type="dxa"/>
            <w:tcBorders>
              <w:top w:val="single" w:sz="12" w:space="0" w:color="auto"/>
              <w:left w:val="nil"/>
              <w:bottom w:val="single" w:sz="12" w:space="0" w:color="auto"/>
              <w:right w:val="nil"/>
            </w:tcBorders>
            <w:hideMark/>
          </w:tcPr>
          <w:p w14:paraId="59EEF62A" w14:textId="77777777" w:rsidR="00D41ED0" w:rsidRPr="009D0EA5" w:rsidRDefault="00D41ED0" w:rsidP="003B6EBC">
            <w:pPr>
              <w:spacing w:line="360" w:lineRule="auto"/>
              <w:jc w:val="center"/>
              <w:rPr>
                <w:rFonts w:ascii="Times New Roman" w:eastAsia="MS Mincho" w:hAnsi="Times New Roman"/>
                <w:b/>
                <w:noProof/>
                <w:sz w:val="24"/>
                <w:szCs w:val="24"/>
              </w:rPr>
            </w:pPr>
            <w:r w:rsidRPr="009D0EA5">
              <w:rPr>
                <w:rFonts w:ascii="Times New Roman" w:eastAsia="MS Mincho" w:hAnsi="Times New Roman"/>
                <w:b/>
                <w:noProof/>
                <w:sz w:val="24"/>
                <w:szCs w:val="24"/>
              </w:rPr>
              <w:t>IPCE (%)</w:t>
            </w:r>
            <w:r w:rsidRPr="009D0EA5">
              <w:rPr>
                <w:rFonts w:ascii="Times New Roman" w:eastAsia="MS Mincho" w:hAnsi="Times New Roman"/>
                <w:b/>
                <w:noProof/>
                <w:sz w:val="24"/>
                <w:szCs w:val="24"/>
                <w:vertAlign w:val="superscript"/>
              </w:rPr>
              <w:t>a</w:t>
            </w:r>
          </w:p>
        </w:tc>
        <w:tc>
          <w:tcPr>
            <w:tcW w:w="1276" w:type="dxa"/>
            <w:tcBorders>
              <w:top w:val="single" w:sz="12" w:space="0" w:color="auto"/>
              <w:left w:val="nil"/>
              <w:bottom w:val="single" w:sz="12" w:space="0" w:color="auto"/>
              <w:right w:val="nil"/>
            </w:tcBorders>
            <w:hideMark/>
          </w:tcPr>
          <w:p w14:paraId="3F66A1F8" w14:textId="77777777" w:rsidR="00D41ED0" w:rsidRPr="005C3DF3" w:rsidRDefault="00D41ED0" w:rsidP="003B6EBC">
            <w:pPr>
              <w:spacing w:line="360" w:lineRule="auto"/>
              <w:jc w:val="center"/>
              <w:rPr>
                <w:rFonts w:ascii="Times New Roman" w:eastAsia="MS Mincho" w:hAnsi="Times New Roman"/>
                <w:b/>
                <w:noProof/>
                <w:sz w:val="24"/>
                <w:szCs w:val="24"/>
              </w:rPr>
            </w:pPr>
            <w:r w:rsidRPr="005C3DF3">
              <w:rPr>
                <w:rFonts w:ascii="Times New Roman" w:hAnsi="Times New Roman"/>
                <w:b/>
                <w:i/>
                <w:sz w:val="24"/>
                <w:szCs w:val="24"/>
              </w:rPr>
              <w:t>J</w:t>
            </w:r>
            <w:r w:rsidRPr="005C3DF3">
              <w:rPr>
                <w:rFonts w:ascii="Times New Roman" w:hAnsi="Times New Roman"/>
                <w:b/>
                <w:i/>
                <w:sz w:val="24"/>
                <w:szCs w:val="24"/>
                <w:vertAlign w:val="subscript"/>
              </w:rPr>
              <w:t>SC</w:t>
            </w:r>
            <w:r w:rsidRPr="005C3DF3">
              <w:rPr>
                <w:rFonts w:ascii="Times New Roman" w:eastAsia="MS Mincho" w:hAnsi="Times New Roman"/>
                <w:b/>
                <w:noProof/>
                <w:sz w:val="24"/>
                <w:szCs w:val="24"/>
              </w:rPr>
              <w:t xml:space="preserve"> mA/cm</w:t>
            </w:r>
            <w:r w:rsidRPr="005C3DF3">
              <w:rPr>
                <w:rFonts w:ascii="Times New Roman" w:eastAsia="MS Mincho" w:hAnsi="Times New Roman"/>
                <w:b/>
                <w:noProof/>
                <w:sz w:val="24"/>
                <w:szCs w:val="24"/>
                <w:vertAlign w:val="superscript"/>
              </w:rPr>
              <w:t>2 a</w:t>
            </w:r>
          </w:p>
        </w:tc>
        <w:tc>
          <w:tcPr>
            <w:tcW w:w="1105" w:type="dxa"/>
            <w:tcBorders>
              <w:top w:val="single" w:sz="12" w:space="0" w:color="auto"/>
              <w:left w:val="nil"/>
              <w:bottom w:val="single" w:sz="12" w:space="0" w:color="auto"/>
              <w:right w:val="nil"/>
            </w:tcBorders>
            <w:hideMark/>
          </w:tcPr>
          <w:p w14:paraId="5F607278" w14:textId="77777777" w:rsidR="00D41ED0" w:rsidRPr="005C3DF3" w:rsidRDefault="00D41ED0" w:rsidP="003B6EBC">
            <w:pPr>
              <w:spacing w:line="360" w:lineRule="auto"/>
              <w:jc w:val="center"/>
              <w:rPr>
                <w:rFonts w:ascii="Times New Roman" w:eastAsia="MS Mincho" w:hAnsi="Times New Roman"/>
                <w:b/>
                <w:noProof/>
                <w:sz w:val="24"/>
                <w:szCs w:val="24"/>
              </w:rPr>
            </w:pPr>
            <w:r w:rsidRPr="005C3DF3">
              <w:rPr>
                <w:rFonts w:ascii="Times New Roman" w:hAnsi="Times New Roman"/>
                <w:b/>
                <w:i/>
                <w:sz w:val="24"/>
                <w:szCs w:val="24"/>
              </w:rPr>
              <w:t>V</w:t>
            </w:r>
            <w:r w:rsidRPr="005C3DF3">
              <w:rPr>
                <w:rFonts w:ascii="Times New Roman" w:hAnsi="Times New Roman"/>
                <w:b/>
                <w:i/>
                <w:sz w:val="24"/>
                <w:szCs w:val="24"/>
                <w:vertAlign w:val="subscript"/>
              </w:rPr>
              <w:t>OC</w:t>
            </w:r>
          </w:p>
          <w:p w14:paraId="12145B76" w14:textId="77777777" w:rsidR="00D41ED0" w:rsidRPr="005C3DF3" w:rsidRDefault="00D41ED0" w:rsidP="003B6EBC">
            <w:pPr>
              <w:spacing w:line="360" w:lineRule="auto"/>
              <w:jc w:val="center"/>
              <w:rPr>
                <w:rFonts w:ascii="Times New Roman" w:eastAsia="MS Mincho" w:hAnsi="Times New Roman"/>
                <w:b/>
                <w:noProof/>
                <w:sz w:val="24"/>
                <w:szCs w:val="24"/>
              </w:rPr>
            </w:pPr>
            <w:r w:rsidRPr="005C3DF3">
              <w:rPr>
                <w:rFonts w:ascii="Times New Roman" w:eastAsia="MS Mincho" w:hAnsi="Times New Roman"/>
                <w:b/>
                <w:noProof/>
                <w:sz w:val="24"/>
                <w:szCs w:val="24"/>
              </w:rPr>
              <w:t>(V)</w:t>
            </w:r>
            <w:r w:rsidRPr="005C3DF3">
              <w:rPr>
                <w:rFonts w:ascii="Times New Roman" w:eastAsia="MS Mincho" w:hAnsi="Times New Roman"/>
                <w:b/>
                <w:noProof/>
                <w:sz w:val="24"/>
                <w:szCs w:val="24"/>
                <w:vertAlign w:val="superscript"/>
              </w:rPr>
              <w:t xml:space="preserve"> a</w:t>
            </w:r>
          </w:p>
        </w:tc>
        <w:tc>
          <w:tcPr>
            <w:tcW w:w="1321" w:type="dxa"/>
            <w:tcBorders>
              <w:top w:val="single" w:sz="12" w:space="0" w:color="auto"/>
              <w:left w:val="nil"/>
              <w:bottom w:val="single" w:sz="12" w:space="0" w:color="auto"/>
              <w:right w:val="nil"/>
            </w:tcBorders>
            <w:hideMark/>
          </w:tcPr>
          <w:p w14:paraId="320566A1" w14:textId="77777777" w:rsidR="00D41ED0" w:rsidRPr="009D0EA5" w:rsidRDefault="00D41ED0" w:rsidP="003B6EBC">
            <w:pPr>
              <w:spacing w:line="360" w:lineRule="auto"/>
              <w:jc w:val="center"/>
              <w:rPr>
                <w:rFonts w:ascii="Times New Roman" w:eastAsia="MS Mincho" w:hAnsi="Times New Roman"/>
                <w:b/>
                <w:noProof/>
                <w:sz w:val="24"/>
                <w:szCs w:val="24"/>
              </w:rPr>
            </w:pPr>
            <w:r w:rsidRPr="009D0EA5">
              <w:rPr>
                <w:rFonts w:ascii="Times New Roman" w:eastAsia="MS Mincho" w:hAnsi="Times New Roman"/>
                <w:b/>
                <w:noProof/>
                <w:sz w:val="24"/>
                <w:szCs w:val="24"/>
              </w:rPr>
              <w:t>FF</w:t>
            </w:r>
            <w:r w:rsidRPr="009D0EA5">
              <w:rPr>
                <w:rFonts w:ascii="Times New Roman" w:eastAsia="MS Mincho" w:hAnsi="Times New Roman"/>
                <w:b/>
                <w:noProof/>
                <w:sz w:val="24"/>
                <w:szCs w:val="24"/>
                <w:vertAlign w:val="superscript"/>
              </w:rPr>
              <w:t>a</w:t>
            </w:r>
          </w:p>
        </w:tc>
        <w:tc>
          <w:tcPr>
            <w:tcW w:w="1321" w:type="dxa"/>
            <w:tcBorders>
              <w:top w:val="single" w:sz="12" w:space="0" w:color="auto"/>
              <w:left w:val="nil"/>
              <w:bottom w:val="single" w:sz="12" w:space="0" w:color="auto"/>
              <w:right w:val="nil"/>
            </w:tcBorders>
            <w:hideMark/>
          </w:tcPr>
          <w:p w14:paraId="143F0123" w14:textId="77777777" w:rsidR="00D41ED0" w:rsidRPr="009D0EA5" w:rsidRDefault="00D41ED0" w:rsidP="003B6EBC">
            <w:pPr>
              <w:spacing w:line="360" w:lineRule="auto"/>
              <w:jc w:val="center"/>
              <w:rPr>
                <w:rFonts w:ascii="Times New Roman" w:eastAsia="MS Mincho" w:hAnsi="Times New Roman"/>
                <w:b/>
                <w:noProof/>
                <w:sz w:val="24"/>
                <w:szCs w:val="24"/>
              </w:rPr>
            </w:pPr>
            <w:r w:rsidRPr="009D0EA5">
              <w:rPr>
                <w:rFonts w:ascii="Times New Roman" w:eastAsia="MS Mincho" w:hAnsi="Times New Roman"/>
                <w:b/>
                <w:sz w:val="24"/>
                <w:szCs w:val="24"/>
                <w:lang w:val="de-DE" w:eastAsia="ja-JP"/>
              </w:rPr>
              <w:t>η</w:t>
            </w:r>
            <w:r w:rsidRPr="009D0EA5">
              <w:rPr>
                <w:rFonts w:ascii="Times New Roman" w:eastAsia="MS Mincho" w:hAnsi="Times New Roman"/>
                <w:b/>
                <w:noProof/>
                <w:sz w:val="24"/>
                <w:szCs w:val="24"/>
              </w:rPr>
              <w:t>(%)</w:t>
            </w:r>
          </w:p>
        </w:tc>
      </w:tr>
      <w:tr w:rsidR="00D41ED0" w:rsidRPr="009D0EA5" w14:paraId="0A5F2D31" w14:textId="77777777" w:rsidTr="003B6EBC">
        <w:tc>
          <w:tcPr>
            <w:tcW w:w="1320" w:type="dxa"/>
            <w:tcBorders>
              <w:top w:val="single" w:sz="12" w:space="0" w:color="auto"/>
              <w:left w:val="nil"/>
              <w:bottom w:val="nil"/>
              <w:right w:val="nil"/>
            </w:tcBorders>
            <w:hideMark/>
          </w:tcPr>
          <w:p w14:paraId="44BC6553" w14:textId="77777777" w:rsidR="00D41ED0" w:rsidRPr="00BD4E07" w:rsidRDefault="00D41ED0" w:rsidP="003B6EBC">
            <w:pPr>
              <w:spacing w:line="360" w:lineRule="auto"/>
              <w:jc w:val="center"/>
              <w:rPr>
                <w:rFonts w:ascii="Times New Roman" w:eastAsia="MS Mincho" w:hAnsi="Times New Roman"/>
                <w:noProof/>
                <w:sz w:val="24"/>
                <w:szCs w:val="24"/>
              </w:rPr>
            </w:pPr>
            <w:r w:rsidRPr="00BD4E07">
              <w:rPr>
                <w:rFonts w:ascii="Times New Roman" w:eastAsia="MS Mincho" w:hAnsi="Times New Roman"/>
                <w:noProof/>
                <w:sz w:val="24"/>
                <w:szCs w:val="24"/>
              </w:rPr>
              <w:t>LG-5</w:t>
            </w:r>
          </w:p>
        </w:tc>
        <w:tc>
          <w:tcPr>
            <w:tcW w:w="1320" w:type="dxa"/>
            <w:tcBorders>
              <w:top w:val="single" w:sz="12" w:space="0" w:color="auto"/>
              <w:left w:val="nil"/>
              <w:bottom w:val="nil"/>
              <w:right w:val="nil"/>
            </w:tcBorders>
            <w:hideMark/>
          </w:tcPr>
          <w:p w14:paraId="0A87F1C7"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0.10</w:t>
            </w:r>
          </w:p>
          <w:p w14:paraId="1C5323DB"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0.30</w:t>
            </w:r>
          </w:p>
          <w:p w14:paraId="3C9343C1"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0.50</w:t>
            </w:r>
          </w:p>
        </w:tc>
        <w:tc>
          <w:tcPr>
            <w:tcW w:w="1579" w:type="dxa"/>
            <w:tcBorders>
              <w:top w:val="single" w:sz="12" w:space="0" w:color="auto"/>
              <w:left w:val="nil"/>
              <w:bottom w:val="nil"/>
              <w:right w:val="nil"/>
            </w:tcBorders>
            <w:hideMark/>
          </w:tcPr>
          <w:p w14:paraId="789B099E"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85</w:t>
            </w:r>
          </w:p>
          <w:p w14:paraId="6ECCEFAD"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76</w:t>
            </w:r>
          </w:p>
          <w:p w14:paraId="4713B4A9"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57</w:t>
            </w:r>
          </w:p>
        </w:tc>
        <w:tc>
          <w:tcPr>
            <w:tcW w:w="1276" w:type="dxa"/>
            <w:tcBorders>
              <w:top w:val="single" w:sz="12" w:space="0" w:color="auto"/>
              <w:left w:val="nil"/>
              <w:bottom w:val="nil"/>
              <w:right w:val="nil"/>
            </w:tcBorders>
            <w:hideMark/>
          </w:tcPr>
          <w:p w14:paraId="5A069820"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21.01</w:t>
            </w:r>
          </w:p>
          <w:p w14:paraId="4A06F092"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18.49</w:t>
            </w:r>
          </w:p>
          <w:p w14:paraId="0747EEEE"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13.17</w:t>
            </w:r>
          </w:p>
        </w:tc>
        <w:tc>
          <w:tcPr>
            <w:tcW w:w="1105" w:type="dxa"/>
            <w:tcBorders>
              <w:top w:val="single" w:sz="12" w:space="0" w:color="auto"/>
              <w:left w:val="nil"/>
              <w:bottom w:val="nil"/>
              <w:right w:val="nil"/>
            </w:tcBorders>
            <w:hideMark/>
          </w:tcPr>
          <w:p w14:paraId="6DA5C46D"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0.685</w:t>
            </w:r>
          </w:p>
          <w:p w14:paraId="0B6D6AA2"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0.714</w:t>
            </w:r>
          </w:p>
          <w:p w14:paraId="7FA08504"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0.722</w:t>
            </w:r>
          </w:p>
        </w:tc>
        <w:tc>
          <w:tcPr>
            <w:tcW w:w="1321" w:type="dxa"/>
            <w:tcBorders>
              <w:top w:val="single" w:sz="12" w:space="0" w:color="auto"/>
              <w:left w:val="nil"/>
              <w:bottom w:val="nil"/>
              <w:right w:val="nil"/>
            </w:tcBorders>
            <w:hideMark/>
          </w:tcPr>
          <w:p w14:paraId="4C1BE52F"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0.709</w:t>
            </w:r>
          </w:p>
          <w:p w14:paraId="65342A4B"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0.718</w:t>
            </w:r>
          </w:p>
          <w:p w14:paraId="1D476081"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0.725</w:t>
            </w:r>
          </w:p>
        </w:tc>
        <w:tc>
          <w:tcPr>
            <w:tcW w:w="1321" w:type="dxa"/>
            <w:tcBorders>
              <w:top w:val="single" w:sz="12" w:space="0" w:color="auto"/>
              <w:left w:val="nil"/>
              <w:bottom w:val="nil"/>
              <w:right w:val="nil"/>
            </w:tcBorders>
          </w:tcPr>
          <w:p w14:paraId="564E05DC"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10.20</w:t>
            </w:r>
          </w:p>
          <w:p w14:paraId="0A43B054"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9.48</w:t>
            </w:r>
          </w:p>
          <w:p w14:paraId="61D02D1A"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6.89</w:t>
            </w:r>
          </w:p>
        </w:tc>
      </w:tr>
      <w:tr w:rsidR="00D41ED0" w:rsidRPr="009D0EA5" w14:paraId="4D0EA30E" w14:textId="77777777" w:rsidTr="003B6EBC">
        <w:tc>
          <w:tcPr>
            <w:tcW w:w="1320" w:type="dxa"/>
            <w:tcBorders>
              <w:top w:val="nil"/>
              <w:left w:val="nil"/>
              <w:bottom w:val="nil"/>
              <w:right w:val="nil"/>
            </w:tcBorders>
            <w:hideMark/>
          </w:tcPr>
          <w:p w14:paraId="0055761D" w14:textId="77777777" w:rsidR="00D41ED0" w:rsidRPr="009D0EA5" w:rsidRDefault="00D41ED0" w:rsidP="003B6EBC">
            <w:pPr>
              <w:spacing w:line="360" w:lineRule="auto"/>
              <w:jc w:val="center"/>
              <w:rPr>
                <w:rFonts w:ascii="Times New Roman" w:eastAsia="Times New Roman" w:hAnsi="Times New Roman"/>
                <w:b/>
                <w:sz w:val="24"/>
                <w:szCs w:val="24"/>
              </w:rPr>
            </w:pPr>
            <w:r w:rsidRPr="009D0EA5">
              <w:rPr>
                <w:rFonts w:ascii="Times New Roman" w:eastAsia="Times New Roman" w:hAnsi="Times New Roman"/>
                <w:b/>
                <w:noProof/>
                <w:sz w:val="24"/>
                <w:szCs w:val="24"/>
              </w:rPr>
              <w:t>LG</w:t>
            </w:r>
            <w:r w:rsidR="0095709B">
              <w:rPr>
                <w:rFonts w:ascii="Times New Roman" w:eastAsia="Times New Roman" w:hAnsi="Times New Roman"/>
                <w:b/>
                <w:noProof/>
                <w:sz w:val="24"/>
                <w:szCs w:val="24"/>
              </w:rPr>
              <w:t xml:space="preserve"> </w:t>
            </w:r>
            <w:r w:rsidRPr="009D0EA5">
              <w:rPr>
                <w:rFonts w:ascii="Times New Roman" w:eastAsia="Times New Roman" w:hAnsi="Times New Roman"/>
                <w:b/>
                <w:noProof/>
                <w:sz w:val="24"/>
                <w:szCs w:val="24"/>
              </w:rPr>
              <w:t>28</w:t>
            </w:r>
          </w:p>
        </w:tc>
        <w:tc>
          <w:tcPr>
            <w:tcW w:w="1320" w:type="dxa"/>
            <w:tcBorders>
              <w:top w:val="nil"/>
              <w:left w:val="nil"/>
              <w:bottom w:val="nil"/>
              <w:right w:val="nil"/>
            </w:tcBorders>
            <w:hideMark/>
          </w:tcPr>
          <w:p w14:paraId="69A0EAAF"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0.10</w:t>
            </w:r>
          </w:p>
          <w:p w14:paraId="5D582599"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0.30</w:t>
            </w:r>
          </w:p>
          <w:p w14:paraId="19A747A2"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0.50</w:t>
            </w:r>
          </w:p>
        </w:tc>
        <w:tc>
          <w:tcPr>
            <w:tcW w:w="1579" w:type="dxa"/>
            <w:tcBorders>
              <w:top w:val="nil"/>
              <w:left w:val="nil"/>
              <w:bottom w:val="nil"/>
              <w:right w:val="nil"/>
            </w:tcBorders>
            <w:hideMark/>
          </w:tcPr>
          <w:p w14:paraId="4173DEA7"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82</w:t>
            </w:r>
          </w:p>
          <w:p w14:paraId="15318D7A"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70</w:t>
            </w:r>
          </w:p>
          <w:p w14:paraId="290D4EDF" w14:textId="77777777" w:rsidR="00D41ED0" w:rsidRPr="009D0EA5" w:rsidRDefault="00D41ED0" w:rsidP="003B6EBC">
            <w:pPr>
              <w:spacing w:line="360" w:lineRule="auto"/>
              <w:jc w:val="center"/>
              <w:rPr>
                <w:rFonts w:ascii="Times New Roman" w:eastAsia="MS Mincho" w:hAnsi="Times New Roman"/>
                <w:noProof/>
                <w:sz w:val="24"/>
                <w:szCs w:val="24"/>
                <w:highlight w:val="yellow"/>
              </w:rPr>
            </w:pPr>
            <w:r w:rsidRPr="009D0EA5">
              <w:rPr>
                <w:rFonts w:ascii="Times New Roman" w:eastAsia="MS Mincho" w:hAnsi="Times New Roman"/>
                <w:noProof/>
                <w:sz w:val="24"/>
                <w:szCs w:val="24"/>
              </w:rPr>
              <w:t>55</w:t>
            </w:r>
          </w:p>
        </w:tc>
        <w:tc>
          <w:tcPr>
            <w:tcW w:w="1276" w:type="dxa"/>
            <w:tcBorders>
              <w:top w:val="nil"/>
              <w:left w:val="nil"/>
              <w:bottom w:val="nil"/>
              <w:right w:val="nil"/>
            </w:tcBorders>
            <w:hideMark/>
          </w:tcPr>
          <w:p w14:paraId="7E979AC6"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17.64</w:t>
            </w:r>
          </w:p>
          <w:p w14:paraId="19198F00"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15.10</w:t>
            </w:r>
          </w:p>
          <w:p w14:paraId="048FAA3A"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10.09</w:t>
            </w:r>
          </w:p>
        </w:tc>
        <w:tc>
          <w:tcPr>
            <w:tcW w:w="1105" w:type="dxa"/>
            <w:tcBorders>
              <w:top w:val="nil"/>
              <w:left w:val="nil"/>
              <w:bottom w:val="nil"/>
              <w:right w:val="nil"/>
            </w:tcBorders>
            <w:hideMark/>
          </w:tcPr>
          <w:p w14:paraId="16822187"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0.706</w:t>
            </w:r>
          </w:p>
          <w:p w14:paraId="194D0333"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0.711</w:t>
            </w:r>
          </w:p>
          <w:p w14:paraId="3A80761F"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0.725</w:t>
            </w:r>
          </w:p>
        </w:tc>
        <w:tc>
          <w:tcPr>
            <w:tcW w:w="1321" w:type="dxa"/>
            <w:tcBorders>
              <w:top w:val="nil"/>
              <w:left w:val="nil"/>
              <w:bottom w:val="nil"/>
              <w:right w:val="nil"/>
            </w:tcBorders>
            <w:hideMark/>
          </w:tcPr>
          <w:p w14:paraId="6D405EBF"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0.710</w:t>
            </w:r>
          </w:p>
          <w:p w14:paraId="597FBD45"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0.719</w:t>
            </w:r>
          </w:p>
          <w:p w14:paraId="148CF1E3"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0.723</w:t>
            </w:r>
          </w:p>
        </w:tc>
        <w:tc>
          <w:tcPr>
            <w:tcW w:w="1321" w:type="dxa"/>
            <w:tcBorders>
              <w:top w:val="nil"/>
              <w:left w:val="nil"/>
              <w:bottom w:val="nil"/>
              <w:right w:val="nil"/>
            </w:tcBorders>
          </w:tcPr>
          <w:p w14:paraId="7E284191"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8.83</w:t>
            </w:r>
          </w:p>
          <w:p w14:paraId="6968490A"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7.73</w:t>
            </w:r>
          </w:p>
          <w:p w14:paraId="60C6FE17"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5.29</w:t>
            </w:r>
          </w:p>
        </w:tc>
      </w:tr>
      <w:tr w:rsidR="00D41ED0" w:rsidRPr="009D0EA5" w14:paraId="370F60C4" w14:textId="77777777" w:rsidTr="003B6EBC">
        <w:tc>
          <w:tcPr>
            <w:tcW w:w="1320" w:type="dxa"/>
            <w:tcBorders>
              <w:top w:val="nil"/>
              <w:left w:val="nil"/>
              <w:bottom w:val="single" w:sz="12" w:space="0" w:color="auto"/>
              <w:right w:val="nil"/>
            </w:tcBorders>
            <w:hideMark/>
          </w:tcPr>
          <w:p w14:paraId="45921CBD" w14:textId="77777777" w:rsidR="00D41ED0" w:rsidRPr="009D0EA5" w:rsidRDefault="00D41ED0" w:rsidP="003B6EBC">
            <w:pPr>
              <w:spacing w:line="360" w:lineRule="auto"/>
              <w:jc w:val="center"/>
              <w:rPr>
                <w:rFonts w:ascii="Times New Roman" w:eastAsia="Times New Roman" w:hAnsi="Times New Roman"/>
                <w:b/>
                <w:sz w:val="24"/>
                <w:szCs w:val="24"/>
              </w:rPr>
            </w:pPr>
            <w:r w:rsidRPr="009D0EA5">
              <w:rPr>
                <w:rFonts w:ascii="Times New Roman" w:eastAsia="Times New Roman" w:hAnsi="Times New Roman"/>
                <w:b/>
                <w:noProof/>
                <w:sz w:val="24"/>
                <w:szCs w:val="24"/>
              </w:rPr>
              <w:t>LG</w:t>
            </w:r>
            <w:r w:rsidR="0095709B">
              <w:rPr>
                <w:rFonts w:ascii="Times New Roman" w:eastAsia="Times New Roman" w:hAnsi="Times New Roman"/>
                <w:b/>
                <w:noProof/>
                <w:sz w:val="24"/>
                <w:szCs w:val="24"/>
              </w:rPr>
              <w:t xml:space="preserve"> </w:t>
            </w:r>
            <w:r w:rsidRPr="009D0EA5">
              <w:rPr>
                <w:rFonts w:ascii="Times New Roman" w:eastAsia="Times New Roman" w:hAnsi="Times New Roman"/>
                <w:b/>
                <w:noProof/>
                <w:sz w:val="24"/>
                <w:szCs w:val="24"/>
              </w:rPr>
              <w:t>29</w:t>
            </w:r>
          </w:p>
        </w:tc>
        <w:tc>
          <w:tcPr>
            <w:tcW w:w="1320" w:type="dxa"/>
            <w:tcBorders>
              <w:top w:val="nil"/>
              <w:left w:val="nil"/>
              <w:bottom w:val="single" w:sz="12" w:space="0" w:color="auto"/>
              <w:right w:val="nil"/>
            </w:tcBorders>
            <w:hideMark/>
          </w:tcPr>
          <w:p w14:paraId="11655189"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0.10</w:t>
            </w:r>
          </w:p>
          <w:p w14:paraId="76F5A432"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0.30</w:t>
            </w:r>
          </w:p>
          <w:p w14:paraId="48A9118B"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0.50</w:t>
            </w:r>
          </w:p>
        </w:tc>
        <w:tc>
          <w:tcPr>
            <w:tcW w:w="1579" w:type="dxa"/>
            <w:tcBorders>
              <w:top w:val="nil"/>
              <w:left w:val="nil"/>
              <w:bottom w:val="single" w:sz="12" w:space="0" w:color="auto"/>
              <w:right w:val="nil"/>
            </w:tcBorders>
            <w:hideMark/>
          </w:tcPr>
          <w:p w14:paraId="1912D33F"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85</w:t>
            </w:r>
          </w:p>
          <w:p w14:paraId="023ED1E3"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75</w:t>
            </w:r>
          </w:p>
          <w:p w14:paraId="3F069535" w14:textId="77777777" w:rsidR="00D41ED0" w:rsidRPr="009D0EA5" w:rsidRDefault="00D41ED0" w:rsidP="003B6EBC">
            <w:pPr>
              <w:spacing w:line="360" w:lineRule="auto"/>
              <w:jc w:val="center"/>
              <w:rPr>
                <w:rFonts w:ascii="Times New Roman" w:eastAsia="MS Mincho" w:hAnsi="Times New Roman"/>
                <w:noProof/>
                <w:sz w:val="24"/>
                <w:szCs w:val="24"/>
                <w:highlight w:val="yellow"/>
              </w:rPr>
            </w:pPr>
            <w:r w:rsidRPr="009D0EA5">
              <w:rPr>
                <w:rFonts w:ascii="Times New Roman" w:eastAsia="MS Mincho" w:hAnsi="Times New Roman"/>
                <w:noProof/>
                <w:sz w:val="24"/>
                <w:szCs w:val="24"/>
              </w:rPr>
              <w:t>62</w:t>
            </w:r>
          </w:p>
        </w:tc>
        <w:tc>
          <w:tcPr>
            <w:tcW w:w="1276" w:type="dxa"/>
            <w:tcBorders>
              <w:top w:val="nil"/>
              <w:left w:val="nil"/>
              <w:bottom w:val="single" w:sz="12" w:space="0" w:color="auto"/>
              <w:right w:val="nil"/>
            </w:tcBorders>
            <w:hideMark/>
          </w:tcPr>
          <w:p w14:paraId="7A96DE61"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20.50</w:t>
            </w:r>
          </w:p>
          <w:p w14:paraId="08DE3510"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17.51</w:t>
            </w:r>
          </w:p>
          <w:p w14:paraId="4FA66A2C"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14.31</w:t>
            </w:r>
          </w:p>
        </w:tc>
        <w:tc>
          <w:tcPr>
            <w:tcW w:w="1105" w:type="dxa"/>
            <w:tcBorders>
              <w:top w:val="nil"/>
              <w:left w:val="nil"/>
              <w:bottom w:val="single" w:sz="12" w:space="0" w:color="auto"/>
              <w:right w:val="nil"/>
            </w:tcBorders>
            <w:hideMark/>
          </w:tcPr>
          <w:p w14:paraId="3E43FF23"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0.701</w:t>
            </w:r>
          </w:p>
          <w:p w14:paraId="519FC3CC"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0.716</w:t>
            </w:r>
          </w:p>
          <w:p w14:paraId="79273A07"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0.727</w:t>
            </w:r>
          </w:p>
        </w:tc>
        <w:tc>
          <w:tcPr>
            <w:tcW w:w="1321" w:type="dxa"/>
            <w:tcBorders>
              <w:top w:val="nil"/>
              <w:left w:val="nil"/>
              <w:bottom w:val="single" w:sz="12" w:space="0" w:color="auto"/>
              <w:right w:val="nil"/>
            </w:tcBorders>
            <w:hideMark/>
          </w:tcPr>
          <w:p w14:paraId="70EA2556"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0.717</w:t>
            </w:r>
          </w:p>
          <w:p w14:paraId="61A74BC0"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0.715</w:t>
            </w:r>
          </w:p>
          <w:p w14:paraId="6A11FA29"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0.729</w:t>
            </w:r>
          </w:p>
        </w:tc>
        <w:tc>
          <w:tcPr>
            <w:tcW w:w="1321" w:type="dxa"/>
            <w:tcBorders>
              <w:top w:val="nil"/>
              <w:left w:val="nil"/>
              <w:bottom w:val="single" w:sz="12" w:space="0" w:color="auto"/>
              <w:right w:val="nil"/>
            </w:tcBorders>
          </w:tcPr>
          <w:p w14:paraId="4EB6E8EF"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10.31</w:t>
            </w:r>
          </w:p>
          <w:p w14:paraId="5A130432"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8.96</w:t>
            </w:r>
          </w:p>
          <w:p w14:paraId="2694D72B" w14:textId="77777777" w:rsidR="00D41ED0" w:rsidRPr="009D0EA5" w:rsidRDefault="00D41ED0" w:rsidP="003B6EBC">
            <w:pPr>
              <w:spacing w:line="360" w:lineRule="auto"/>
              <w:jc w:val="center"/>
              <w:rPr>
                <w:rFonts w:ascii="Times New Roman" w:eastAsia="MS Mincho" w:hAnsi="Times New Roman"/>
                <w:noProof/>
                <w:sz w:val="24"/>
                <w:szCs w:val="24"/>
              </w:rPr>
            </w:pPr>
            <w:r w:rsidRPr="009D0EA5">
              <w:rPr>
                <w:rFonts w:ascii="Times New Roman" w:eastAsia="MS Mincho" w:hAnsi="Times New Roman"/>
                <w:noProof/>
                <w:sz w:val="24"/>
                <w:szCs w:val="24"/>
              </w:rPr>
              <w:t>7.58</w:t>
            </w:r>
          </w:p>
        </w:tc>
      </w:tr>
    </w:tbl>
    <w:p w14:paraId="6400185E" w14:textId="77777777" w:rsidR="00D41ED0" w:rsidRDefault="00D41ED0" w:rsidP="00D41ED0">
      <w:pPr>
        <w:spacing w:line="360" w:lineRule="auto"/>
        <w:rPr>
          <w:rFonts w:ascii="Times New Roman" w:eastAsia="Times New Roman" w:hAnsi="Times New Roman"/>
          <w:sz w:val="24"/>
          <w:szCs w:val="24"/>
        </w:rPr>
      </w:pPr>
      <w:r w:rsidRPr="00DD56A2">
        <w:rPr>
          <w:rFonts w:ascii="Times New Roman" w:eastAsia="Times New Roman" w:hAnsi="Times New Roman"/>
          <w:sz w:val="24"/>
          <w:szCs w:val="24"/>
          <w:vertAlign w:val="superscript"/>
        </w:rPr>
        <w:t>a</w:t>
      </w:r>
      <w:r w:rsidRPr="00DD56A2">
        <w:rPr>
          <w:rFonts w:ascii="Times New Roman" w:eastAsia="Times New Roman" w:hAnsi="Times New Roman"/>
          <w:sz w:val="24"/>
          <w:szCs w:val="24"/>
        </w:rPr>
        <w:t xml:space="preserve">Error limits: </w:t>
      </w:r>
      <w:r w:rsidRPr="00E520BD">
        <w:rPr>
          <w:rFonts w:ascii="Times New Roman" w:hAnsi="Times New Roman"/>
          <w:i/>
          <w:sz w:val="24"/>
          <w:szCs w:val="24"/>
        </w:rPr>
        <w:t>J</w:t>
      </w:r>
      <w:r w:rsidRPr="00E520BD">
        <w:rPr>
          <w:rFonts w:ascii="Times New Roman" w:hAnsi="Times New Roman"/>
          <w:i/>
          <w:sz w:val="24"/>
          <w:szCs w:val="24"/>
          <w:vertAlign w:val="subscript"/>
        </w:rPr>
        <w:t>SC</w:t>
      </w:r>
      <w:r w:rsidRPr="00DD56A2">
        <w:rPr>
          <w:rFonts w:ascii="Times New Roman" w:eastAsia="Times New Roman" w:hAnsi="Times New Roman"/>
          <w:sz w:val="24"/>
          <w:szCs w:val="24"/>
        </w:rPr>
        <w:sym w:font="Symbol" w:char="F0B1"/>
      </w:r>
      <w:r w:rsidRPr="00DD56A2">
        <w:rPr>
          <w:rFonts w:ascii="Times New Roman" w:eastAsia="Times New Roman" w:hAnsi="Times New Roman"/>
          <w:sz w:val="24"/>
          <w:szCs w:val="24"/>
        </w:rPr>
        <w:t>0.20 mA/cm</w:t>
      </w:r>
      <w:r w:rsidRPr="00DD56A2">
        <w:rPr>
          <w:rFonts w:ascii="Times New Roman" w:eastAsia="Times New Roman" w:hAnsi="Times New Roman"/>
          <w:sz w:val="24"/>
          <w:szCs w:val="24"/>
          <w:vertAlign w:val="superscript"/>
        </w:rPr>
        <w:t>2</w:t>
      </w:r>
      <w:r w:rsidRPr="00DD56A2">
        <w:rPr>
          <w:rFonts w:ascii="Times New Roman" w:eastAsia="Times New Roman" w:hAnsi="Times New Roman"/>
          <w:sz w:val="24"/>
          <w:szCs w:val="24"/>
        </w:rPr>
        <w:t xml:space="preserve">, </w:t>
      </w:r>
      <w:r w:rsidRPr="00E520BD">
        <w:rPr>
          <w:rFonts w:ascii="Times New Roman" w:hAnsi="Times New Roman"/>
          <w:i/>
          <w:sz w:val="24"/>
          <w:szCs w:val="24"/>
        </w:rPr>
        <w:t>V</w:t>
      </w:r>
      <w:r w:rsidRPr="00E520BD">
        <w:rPr>
          <w:rFonts w:ascii="Times New Roman" w:hAnsi="Times New Roman"/>
          <w:i/>
          <w:sz w:val="24"/>
          <w:szCs w:val="24"/>
          <w:vertAlign w:val="subscript"/>
        </w:rPr>
        <w:t>OC</w:t>
      </w:r>
      <w:r w:rsidRPr="00DD56A2">
        <w:rPr>
          <w:rFonts w:ascii="Times New Roman" w:eastAsia="Times New Roman" w:hAnsi="Times New Roman"/>
          <w:sz w:val="24"/>
          <w:szCs w:val="24"/>
        </w:rPr>
        <w:t xml:space="preserve"> = </w:t>
      </w:r>
      <w:r w:rsidRPr="00DD56A2">
        <w:rPr>
          <w:rFonts w:ascii="Times New Roman" w:eastAsia="Times New Roman" w:hAnsi="Times New Roman"/>
          <w:sz w:val="24"/>
          <w:szCs w:val="24"/>
        </w:rPr>
        <w:sym w:font="Symbol" w:char="F0B1"/>
      </w:r>
      <w:r w:rsidRPr="00DD56A2">
        <w:rPr>
          <w:rFonts w:ascii="Times New Roman" w:eastAsia="Times New Roman" w:hAnsi="Times New Roman"/>
          <w:sz w:val="24"/>
          <w:szCs w:val="24"/>
        </w:rPr>
        <w:t xml:space="preserve"> 0.30 mV, FF =  </w:t>
      </w:r>
      <w:r w:rsidRPr="00DD56A2">
        <w:rPr>
          <w:rFonts w:ascii="Times New Roman" w:eastAsia="Times New Roman" w:hAnsi="Times New Roman"/>
          <w:sz w:val="24"/>
          <w:szCs w:val="24"/>
        </w:rPr>
        <w:sym w:font="Symbol" w:char="F0B1"/>
      </w:r>
      <w:r w:rsidRPr="00DD56A2">
        <w:rPr>
          <w:rFonts w:ascii="Times New Roman" w:eastAsia="Times New Roman" w:hAnsi="Times New Roman"/>
          <w:sz w:val="24"/>
          <w:szCs w:val="24"/>
        </w:rPr>
        <w:t xml:space="preserve">0.03. </w:t>
      </w:r>
    </w:p>
    <w:p w14:paraId="72B3ADD4" w14:textId="0F9825B8" w:rsidR="005976A1" w:rsidRDefault="005976A1" w:rsidP="007662F4">
      <w:pPr>
        <w:spacing w:after="0" w:line="360" w:lineRule="auto"/>
        <w:jc w:val="both"/>
        <w:rPr>
          <w:rFonts w:eastAsia="Times New Roman" w:cs="Calibri"/>
          <w:sz w:val="24"/>
          <w:szCs w:val="24"/>
        </w:rPr>
      </w:pPr>
      <w:r w:rsidRPr="005976A1">
        <w:rPr>
          <w:rFonts w:eastAsia="Times New Roman" w:cs="Calibri"/>
          <w:sz w:val="24"/>
          <w:szCs w:val="24"/>
        </w:rPr>
        <w:lastRenderedPageBreak/>
        <w:t>concentrations from 0.1 M to 0.5 M in both sensitizers. As a result, the current porphyrin sensitizer's optimum TBP concentration is 0.1M.</w:t>
      </w:r>
    </w:p>
    <w:p w14:paraId="72209C7E" w14:textId="77777777" w:rsidR="005976A1" w:rsidRDefault="005976A1" w:rsidP="007662F4">
      <w:pPr>
        <w:spacing w:after="0" w:line="360" w:lineRule="auto"/>
        <w:jc w:val="both"/>
        <w:rPr>
          <w:b/>
          <w:bCs/>
          <w:sz w:val="24"/>
          <w:szCs w:val="24"/>
        </w:rPr>
      </w:pPr>
    </w:p>
    <w:p w14:paraId="68207EFD" w14:textId="77777777" w:rsidR="007662F4" w:rsidRPr="0095709B" w:rsidRDefault="00E67E8F" w:rsidP="007662F4">
      <w:pPr>
        <w:spacing w:after="0" w:line="360" w:lineRule="auto"/>
        <w:jc w:val="both"/>
        <w:rPr>
          <w:b/>
          <w:bCs/>
          <w:sz w:val="24"/>
          <w:szCs w:val="24"/>
        </w:rPr>
      </w:pPr>
      <w:r w:rsidRPr="0095709B">
        <w:rPr>
          <w:b/>
          <w:bCs/>
          <w:sz w:val="24"/>
          <w:szCs w:val="24"/>
        </w:rPr>
        <w:t>Femtosecond transient absorption studies</w:t>
      </w:r>
    </w:p>
    <w:p w14:paraId="41B49B6F" w14:textId="3733555B" w:rsidR="00F23FFB" w:rsidRDefault="00E67E8F" w:rsidP="009703B6">
      <w:pPr>
        <w:autoSpaceDE w:val="0"/>
        <w:autoSpaceDN w:val="0"/>
        <w:adjustRightInd w:val="0"/>
        <w:spacing w:after="0" w:line="360" w:lineRule="auto"/>
        <w:jc w:val="both"/>
        <w:rPr>
          <w:rFonts w:cs="Calibri"/>
          <w:sz w:val="24"/>
          <w:szCs w:val="24"/>
          <w:lang w:val="en-IN" w:eastAsia="en-IN" w:bidi="hi-IN"/>
        </w:rPr>
      </w:pPr>
      <w:r w:rsidRPr="009703B6">
        <w:rPr>
          <w:sz w:val="24"/>
          <w:szCs w:val="24"/>
        </w:rPr>
        <w:t>To have better understanding about electron injection process and rate of electron injection from sensitizer to TiO</w:t>
      </w:r>
      <w:r w:rsidRPr="009703B6">
        <w:rPr>
          <w:sz w:val="24"/>
          <w:szCs w:val="24"/>
          <w:vertAlign w:val="subscript"/>
        </w:rPr>
        <w:t>2</w:t>
      </w:r>
      <w:r w:rsidR="00F12DA1">
        <w:rPr>
          <w:sz w:val="24"/>
          <w:szCs w:val="24"/>
          <w:vertAlign w:val="subscript"/>
        </w:rPr>
        <w:t>,</w:t>
      </w:r>
      <w:r w:rsidRPr="009703B6">
        <w:rPr>
          <w:sz w:val="24"/>
          <w:szCs w:val="24"/>
        </w:rPr>
        <w:t xml:space="preserve"> we have performed systematic femtosecond transient absorption studies for both </w:t>
      </w:r>
      <w:r w:rsidRPr="009703B6">
        <w:rPr>
          <w:b/>
          <w:bCs/>
          <w:sz w:val="24"/>
          <w:szCs w:val="24"/>
        </w:rPr>
        <w:t>LG</w:t>
      </w:r>
      <w:r w:rsidR="00CD5AD1" w:rsidRPr="009703B6">
        <w:rPr>
          <w:b/>
          <w:bCs/>
          <w:sz w:val="24"/>
          <w:szCs w:val="24"/>
        </w:rPr>
        <w:t xml:space="preserve"> </w:t>
      </w:r>
      <w:r w:rsidRPr="009703B6">
        <w:rPr>
          <w:b/>
          <w:bCs/>
          <w:sz w:val="24"/>
          <w:szCs w:val="24"/>
        </w:rPr>
        <w:t>28</w:t>
      </w:r>
      <w:r w:rsidRPr="009703B6">
        <w:rPr>
          <w:sz w:val="24"/>
          <w:szCs w:val="24"/>
        </w:rPr>
        <w:t xml:space="preserve"> and </w:t>
      </w:r>
      <w:r w:rsidRPr="009703B6">
        <w:rPr>
          <w:b/>
          <w:bCs/>
          <w:sz w:val="24"/>
          <w:szCs w:val="24"/>
        </w:rPr>
        <w:t>LG</w:t>
      </w:r>
      <w:r w:rsidR="00CD5AD1" w:rsidRPr="009703B6">
        <w:rPr>
          <w:b/>
          <w:bCs/>
          <w:sz w:val="24"/>
          <w:szCs w:val="24"/>
        </w:rPr>
        <w:t xml:space="preserve"> </w:t>
      </w:r>
      <w:r w:rsidRPr="009703B6">
        <w:rPr>
          <w:b/>
          <w:bCs/>
          <w:sz w:val="24"/>
          <w:szCs w:val="24"/>
        </w:rPr>
        <w:t>29</w:t>
      </w:r>
      <w:r w:rsidR="00F12DA1">
        <w:rPr>
          <w:b/>
          <w:bCs/>
          <w:sz w:val="24"/>
          <w:szCs w:val="24"/>
        </w:rPr>
        <w:t xml:space="preserve"> </w:t>
      </w:r>
      <w:r w:rsidRPr="009703B6">
        <w:rPr>
          <w:sz w:val="24"/>
          <w:szCs w:val="24"/>
        </w:rPr>
        <w:t xml:space="preserve"> </w:t>
      </w:r>
      <w:r w:rsidR="00F12DA1">
        <w:rPr>
          <w:sz w:val="24"/>
          <w:szCs w:val="24"/>
        </w:rPr>
        <w:t xml:space="preserve">dyes </w:t>
      </w:r>
      <w:r w:rsidRPr="009703B6">
        <w:rPr>
          <w:sz w:val="24"/>
          <w:szCs w:val="24"/>
        </w:rPr>
        <w:t>in THF solution in absence and in presence of TiO</w:t>
      </w:r>
      <w:r w:rsidRPr="009703B6">
        <w:rPr>
          <w:sz w:val="24"/>
          <w:szCs w:val="24"/>
          <w:vertAlign w:val="subscript"/>
        </w:rPr>
        <w:t>2</w:t>
      </w:r>
      <w:r w:rsidR="00E70CEA" w:rsidRPr="009703B6">
        <w:rPr>
          <w:sz w:val="24"/>
          <w:szCs w:val="24"/>
          <w:vertAlign w:val="subscript"/>
        </w:rPr>
        <w:t xml:space="preserve"> </w:t>
      </w:r>
      <w:r w:rsidR="00702F72" w:rsidRPr="009703B6">
        <w:rPr>
          <w:sz w:val="24"/>
          <w:szCs w:val="24"/>
        </w:rPr>
        <w:t>upon 400 nm excitation. Figu</w:t>
      </w:r>
      <w:r w:rsidR="007C47D9" w:rsidRPr="009703B6">
        <w:rPr>
          <w:sz w:val="24"/>
          <w:szCs w:val="24"/>
        </w:rPr>
        <w:t xml:space="preserve">re </w:t>
      </w:r>
      <w:r w:rsidR="00CD5AD1" w:rsidRPr="009703B6">
        <w:rPr>
          <w:sz w:val="24"/>
          <w:szCs w:val="24"/>
        </w:rPr>
        <w:t>7</w:t>
      </w:r>
      <w:r w:rsidR="007C47D9" w:rsidRPr="009703B6">
        <w:rPr>
          <w:sz w:val="24"/>
          <w:szCs w:val="24"/>
        </w:rPr>
        <w:t xml:space="preserve"> shows the pictorial summary of transient absorption studies of </w:t>
      </w:r>
      <w:r w:rsidR="007C47D9" w:rsidRPr="009703B6">
        <w:rPr>
          <w:b/>
          <w:bCs/>
          <w:sz w:val="24"/>
          <w:szCs w:val="24"/>
        </w:rPr>
        <w:t>LG</w:t>
      </w:r>
      <w:r w:rsidR="00CD5AD1" w:rsidRPr="009703B6">
        <w:rPr>
          <w:b/>
          <w:bCs/>
          <w:sz w:val="24"/>
          <w:szCs w:val="24"/>
        </w:rPr>
        <w:t xml:space="preserve"> </w:t>
      </w:r>
      <w:r w:rsidR="007C47D9" w:rsidRPr="009703B6">
        <w:rPr>
          <w:b/>
          <w:bCs/>
          <w:sz w:val="24"/>
          <w:szCs w:val="24"/>
        </w:rPr>
        <w:t>28</w:t>
      </w:r>
      <w:r w:rsidR="007C47D9" w:rsidRPr="009703B6">
        <w:rPr>
          <w:sz w:val="24"/>
          <w:szCs w:val="24"/>
        </w:rPr>
        <w:t xml:space="preserve"> and </w:t>
      </w:r>
      <w:r w:rsidR="007C47D9" w:rsidRPr="009703B6">
        <w:rPr>
          <w:b/>
          <w:bCs/>
          <w:sz w:val="24"/>
          <w:szCs w:val="24"/>
        </w:rPr>
        <w:t>LG</w:t>
      </w:r>
      <w:r w:rsidR="00CD5AD1" w:rsidRPr="009703B6">
        <w:rPr>
          <w:b/>
          <w:bCs/>
          <w:sz w:val="24"/>
          <w:szCs w:val="24"/>
        </w:rPr>
        <w:t xml:space="preserve"> </w:t>
      </w:r>
      <w:r w:rsidR="007C47D9" w:rsidRPr="009703B6">
        <w:rPr>
          <w:b/>
          <w:bCs/>
          <w:sz w:val="24"/>
          <w:szCs w:val="24"/>
        </w:rPr>
        <w:t>28+TiO</w:t>
      </w:r>
      <w:r w:rsidR="007C47D9" w:rsidRPr="009703B6">
        <w:rPr>
          <w:sz w:val="24"/>
          <w:szCs w:val="24"/>
          <w:vertAlign w:val="subscript"/>
        </w:rPr>
        <w:t>2</w:t>
      </w:r>
      <w:r w:rsidR="007C47D9" w:rsidRPr="009703B6">
        <w:rPr>
          <w:sz w:val="24"/>
          <w:szCs w:val="24"/>
        </w:rPr>
        <w:t xml:space="preserve"> in THF solution which include </w:t>
      </w:r>
      <w:r w:rsidR="007C47D9" w:rsidRPr="009703B6">
        <w:rPr>
          <w:sz w:val="24"/>
          <w:szCs w:val="24"/>
        </w:rPr>
        <w:sym w:font="Symbol" w:char="F044"/>
      </w:r>
      <w:r w:rsidR="007C47D9" w:rsidRPr="009703B6">
        <w:rPr>
          <w:sz w:val="24"/>
          <w:szCs w:val="24"/>
        </w:rPr>
        <w:t xml:space="preserve">OD heat map, </w:t>
      </w:r>
      <w:r w:rsidR="007C47D9" w:rsidRPr="009703B6">
        <w:rPr>
          <w:sz w:val="24"/>
          <w:szCs w:val="24"/>
        </w:rPr>
        <w:sym w:font="Symbol" w:char="F044"/>
      </w:r>
      <w:r w:rsidR="007C47D9" w:rsidRPr="009703B6">
        <w:rPr>
          <w:sz w:val="24"/>
          <w:szCs w:val="24"/>
        </w:rPr>
        <w:t>OD time profile</w:t>
      </w:r>
      <w:r w:rsidR="00CE1BA1" w:rsidRPr="009703B6">
        <w:rPr>
          <w:sz w:val="24"/>
          <w:szCs w:val="24"/>
        </w:rPr>
        <w:t>s (in 3.5 ns time window)</w:t>
      </w:r>
      <w:r w:rsidR="007C47D9" w:rsidRPr="009703B6">
        <w:rPr>
          <w:sz w:val="24"/>
          <w:szCs w:val="24"/>
        </w:rPr>
        <w:t xml:space="preserve"> at different probe wavelength and </w:t>
      </w:r>
      <w:r w:rsidR="007C47D9" w:rsidRPr="009703B6">
        <w:rPr>
          <w:sz w:val="24"/>
          <w:szCs w:val="24"/>
        </w:rPr>
        <w:sym w:font="Symbol" w:char="F044"/>
      </w:r>
      <w:r w:rsidR="007C47D9" w:rsidRPr="009703B6">
        <w:rPr>
          <w:sz w:val="24"/>
          <w:szCs w:val="24"/>
        </w:rPr>
        <w:t>OD wavelength profile</w:t>
      </w:r>
      <w:r w:rsidR="00CE1BA1" w:rsidRPr="009703B6">
        <w:rPr>
          <w:sz w:val="24"/>
          <w:szCs w:val="24"/>
        </w:rPr>
        <w:t>s</w:t>
      </w:r>
      <w:r w:rsidR="007C47D9" w:rsidRPr="009703B6">
        <w:rPr>
          <w:sz w:val="24"/>
          <w:szCs w:val="24"/>
        </w:rPr>
        <w:t xml:space="preserve"> or transient absorption spectra at different selective delay time</w:t>
      </w:r>
      <w:r w:rsidR="006F0D9B" w:rsidRPr="009703B6">
        <w:rPr>
          <w:sz w:val="24"/>
          <w:szCs w:val="24"/>
        </w:rPr>
        <w:t>s</w:t>
      </w:r>
      <w:r w:rsidR="00CE1BA1" w:rsidRPr="009703B6">
        <w:rPr>
          <w:sz w:val="24"/>
          <w:szCs w:val="24"/>
        </w:rPr>
        <w:t xml:space="preserve"> in 420-750 nm spectral window</w:t>
      </w:r>
      <w:r w:rsidR="007C47D9" w:rsidRPr="009703B6">
        <w:rPr>
          <w:sz w:val="24"/>
          <w:szCs w:val="24"/>
        </w:rPr>
        <w:t>.</w:t>
      </w:r>
      <w:r w:rsidR="00E70CEA" w:rsidRPr="009703B6">
        <w:rPr>
          <w:color w:val="0000FF"/>
          <w:sz w:val="24"/>
          <w:szCs w:val="24"/>
        </w:rPr>
        <w:t xml:space="preserve"> </w:t>
      </w:r>
      <w:r w:rsidR="0091258F" w:rsidRPr="009703B6">
        <w:rPr>
          <w:sz w:val="24"/>
          <w:szCs w:val="24"/>
        </w:rPr>
        <w:t xml:space="preserve">For both the cases transient absorption spectra appear to be typical transient </w:t>
      </w:r>
      <w:r w:rsidR="00CE1BA1" w:rsidRPr="009703B6">
        <w:rPr>
          <w:sz w:val="24"/>
          <w:szCs w:val="24"/>
        </w:rPr>
        <w:t xml:space="preserve">absorption </w:t>
      </w:r>
      <w:r w:rsidR="0091258F" w:rsidRPr="009703B6">
        <w:rPr>
          <w:sz w:val="24"/>
          <w:szCs w:val="24"/>
        </w:rPr>
        <w:t>spectra of tetra phenyl porphyrin (TPP) or ZnTPP.</w:t>
      </w:r>
      <w:r w:rsidR="00253D34" w:rsidRPr="00253D34">
        <w:rPr>
          <w:sz w:val="24"/>
          <w:szCs w:val="24"/>
          <w:vertAlign w:val="superscript"/>
        </w:rPr>
        <w:t>35,36</w:t>
      </w:r>
      <w:r w:rsidR="0091258F" w:rsidRPr="009703B6">
        <w:rPr>
          <w:color w:val="0000FF"/>
          <w:sz w:val="24"/>
          <w:szCs w:val="24"/>
        </w:rPr>
        <w:t xml:space="preserve"> </w:t>
      </w:r>
      <w:r w:rsidR="0091258F" w:rsidRPr="009703B6">
        <w:rPr>
          <w:sz w:val="24"/>
          <w:szCs w:val="24"/>
        </w:rPr>
        <w:t>Apparently,</w:t>
      </w:r>
      <w:r w:rsidR="00C201CE" w:rsidRPr="009703B6">
        <w:rPr>
          <w:sz w:val="24"/>
          <w:szCs w:val="24"/>
        </w:rPr>
        <w:t xml:space="preserve"> not much difference is observed in overall aspects of transient spectra obtained for </w:t>
      </w:r>
      <w:r w:rsidR="00C201CE" w:rsidRPr="009703B6">
        <w:rPr>
          <w:b/>
          <w:bCs/>
          <w:sz w:val="24"/>
          <w:szCs w:val="24"/>
        </w:rPr>
        <w:t>LG</w:t>
      </w:r>
      <w:r w:rsidR="00BA1067" w:rsidRPr="009703B6">
        <w:rPr>
          <w:b/>
          <w:bCs/>
          <w:sz w:val="24"/>
          <w:szCs w:val="24"/>
        </w:rPr>
        <w:t xml:space="preserve"> </w:t>
      </w:r>
      <w:r w:rsidR="00C201CE" w:rsidRPr="009703B6">
        <w:rPr>
          <w:b/>
          <w:bCs/>
          <w:sz w:val="24"/>
          <w:szCs w:val="24"/>
        </w:rPr>
        <w:t>28</w:t>
      </w:r>
      <w:r w:rsidR="00C201CE" w:rsidRPr="009703B6">
        <w:rPr>
          <w:sz w:val="24"/>
          <w:szCs w:val="24"/>
        </w:rPr>
        <w:t xml:space="preserve"> and </w:t>
      </w:r>
      <w:r w:rsidR="00C201CE" w:rsidRPr="009703B6">
        <w:rPr>
          <w:b/>
          <w:bCs/>
          <w:sz w:val="24"/>
          <w:szCs w:val="24"/>
        </w:rPr>
        <w:t>LG</w:t>
      </w:r>
      <w:r w:rsidR="00BA1067" w:rsidRPr="009703B6">
        <w:rPr>
          <w:b/>
          <w:bCs/>
          <w:sz w:val="24"/>
          <w:szCs w:val="24"/>
        </w:rPr>
        <w:t xml:space="preserve"> </w:t>
      </w:r>
      <w:r w:rsidR="00417860">
        <w:rPr>
          <w:b/>
          <w:bCs/>
          <w:sz w:val="24"/>
          <w:szCs w:val="24"/>
        </w:rPr>
        <w:t>28+</w:t>
      </w:r>
      <w:r w:rsidR="00C201CE" w:rsidRPr="009703B6">
        <w:rPr>
          <w:b/>
          <w:bCs/>
          <w:sz w:val="24"/>
          <w:szCs w:val="24"/>
        </w:rPr>
        <w:t>TiO</w:t>
      </w:r>
      <w:r w:rsidR="00C201CE" w:rsidRPr="009703B6">
        <w:rPr>
          <w:b/>
          <w:bCs/>
          <w:sz w:val="24"/>
          <w:szCs w:val="24"/>
          <w:vertAlign w:val="subscript"/>
        </w:rPr>
        <w:t>2</w:t>
      </w:r>
      <w:r w:rsidR="00C201CE" w:rsidRPr="009703B6">
        <w:rPr>
          <w:sz w:val="24"/>
          <w:szCs w:val="24"/>
        </w:rPr>
        <w:t xml:space="preserve"> solution except long lived spectra for </w:t>
      </w:r>
      <w:r w:rsidR="00C201CE" w:rsidRPr="009703B6">
        <w:rPr>
          <w:b/>
          <w:bCs/>
          <w:sz w:val="24"/>
          <w:szCs w:val="24"/>
        </w:rPr>
        <w:t>LG</w:t>
      </w:r>
      <w:r w:rsidR="00BA1067" w:rsidRPr="009703B6">
        <w:rPr>
          <w:b/>
          <w:bCs/>
          <w:sz w:val="24"/>
          <w:szCs w:val="24"/>
        </w:rPr>
        <w:t xml:space="preserve"> </w:t>
      </w:r>
      <w:r w:rsidR="00C201CE" w:rsidRPr="009703B6">
        <w:rPr>
          <w:b/>
          <w:bCs/>
          <w:sz w:val="24"/>
          <w:szCs w:val="24"/>
        </w:rPr>
        <w:t xml:space="preserve">28 </w:t>
      </w:r>
      <w:r w:rsidR="00C201CE" w:rsidRPr="009703B6">
        <w:rPr>
          <w:sz w:val="24"/>
          <w:szCs w:val="24"/>
        </w:rPr>
        <w:t xml:space="preserve">solution. However, careful observation revealed that in case of </w:t>
      </w:r>
      <w:r w:rsidR="00C201CE" w:rsidRPr="009703B6">
        <w:rPr>
          <w:b/>
          <w:bCs/>
          <w:sz w:val="24"/>
          <w:szCs w:val="24"/>
        </w:rPr>
        <w:t>LG</w:t>
      </w:r>
      <w:r w:rsidR="00BA1067" w:rsidRPr="009703B6">
        <w:rPr>
          <w:b/>
          <w:bCs/>
          <w:sz w:val="24"/>
          <w:szCs w:val="24"/>
        </w:rPr>
        <w:t xml:space="preserve"> </w:t>
      </w:r>
      <w:r w:rsidR="00F8317F" w:rsidRPr="00F12DA1">
        <w:rPr>
          <w:b/>
          <w:bCs/>
          <w:sz w:val="24"/>
          <w:szCs w:val="24"/>
        </w:rPr>
        <w:t>28+ TiO</w:t>
      </w:r>
      <w:r w:rsidR="00F8317F" w:rsidRPr="00F12DA1">
        <w:rPr>
          <w:b/>
          <w:bCs/>
          <w:sz w:val="24"/>
          <w:szCs w:val="24"/>
          <w:vertAlign w:val="subscript"/>
        </w:rPr>
        <w:t>2</w:t>
      </w:r>
      <w:r w:rsidR="00F8317F" w:rsidRPr="00F8317F">
        <w:rPr>
          <w:bCs/>
          <w:sz w:val="24"/>
          <w:szCs w:val="24"/>
          <w:vertAlign w:val="subscript"/>
        </w:rPr>
        <w:t xml:space="preserve"> </w:t>
      </w:r>
      <w:r w:rsidR="00F8317F" w:rsidRPr="009703B6">
        <w:rPr>
          <w:bCs/>
          <w:sz w:val="24"/>
          <w:szCs w:val="24"/>
        </w:rPr>
        <w:t>solutions</w:t>
      </w:r>
      <w:r w:rsidR="00C201CE" w:rsidRPr="009703B6">
        <w:rPr>
          <w:sz w:val="24"/>
          <w:szCs w:val="24"/>
        </w:rPr>
        <w:t xml:space="preserve">, </w:t>
      </w:r>
      <w:r w:rsidR="0091258F" w:rsidRPr="009703B6">
        <w:rPr>
          <w:sz w:val="24"/>
          <w:szCs w:val="24"/>
        </w:rPr>
        <w:t xml:space="preserve">negative signals corresponding to ground state absorption </w:t>
      </w:r>
      <w:r w:rsidR="00C201CE" w:rsidRPr="009703B6">
        <w:rPr>
          <w:sz w:val="24"/>
          <w:szCs w:val="24"/>
        </w:rPr>
        <w:t xml:space="preserve">become narrower than that observed in case of </w:t>
      </w:r>
      <w:r w:rsidR="00C201CE" w:rsidRPr="009703B6">
        <w:rPr>
          <w:b/>
          <w:bCs/>
          <w:sz w:val="24"/>
          <w:szCs w:val="24"/>
        </w:rPr>
        <w:t>LG</w:t>
      </w:r>
      <w:r w:rsidR="00BA1067" w:rsidRPr="009703B6">
        <w:rPr>
          <w:b/>
          <w:bCs/>
          <w:sz w:val="24"/>
          <w:szCs w:val="24"/>
        </w:rPr>
        <w:t xml:space="preserve"> </w:t>
      </w:r>
      <w:r w:rsidR="00C201CE" w:rsidRPr="009703B6">
        <w:rPr>
          <w:b/>
          <w:bCs/>
          <w:sz w:val="24"/>
          <w:szCs w:val="24"/>
        </w:rPr>
        <w:t>28</w:t>
      </w:r>
      <w:r w:rsidR="00C201CE" w:rsidRPr="009703B6">
        <w:rPr>
          <w:sz w:val="24"/>
          <w:szCs w:val="24"/>
        </w:rPr>
        <w:t xml:space="preserve"> only. This observation clearly suggest</w:t>
      </w:r>
      <w:r w:rsidR="00D55A4D" w:rsidRPr="009703B6">
        <w:rPr>
          <w:sz w:val="24"/>
          <w:szCs w:val="24"/>
        </w:rPr>
        <w:t xml:space="preserve">s the disappearance of stimulated emission signal of </w:t>
      </w:r>
      <w:r w:rsidR="00D55A4D" w:rsidRPr="009703B6">
        <w:rPr>
          <w:b/>
          <w:bCs/>
          <w:sz w:val="24"/>
          <w:szCs w:val="24"/>
        </w:rPr>
        <w:t>LG</w:t>
      </w:r>
      <w:r w:rsidR="00BA1067" w:rsidRPr="009703B6">
        <w:rPr>
          <w:b/>
          <w:bCs/>
          <w:sz w:val="24"/>
          <w:szCs w:val="24"/>
        </w:rPr>
        <w:t xml:space="preserve"> </w:t>
      </w:r>
      <w:r w:rsidR="00D55A4D" w:rsidRPr="009703B6">
        <w:rPr>
          <w:b/>
          <w:bCs/>
          <w:sz w:val="24"/>
          <w:szCs w:val="24"/>
        </w:rPr>
        <w:t>28+Ti</w:t>
      </w:r>
      <w:r w:rsidR="006F0D9B" w:rsidRPr="009703B6">
        <w:rPr>
          <w:b/>
          <w:bCs/>
          <w:sz w:val="24"/>
          <w:szCs w:val="24"/>
        </w:rPr>
        <w:t>O</w:t>
      </w:r>
      <w:r w:rsidR="00D55A4D" w:rsidRPr="009703B6">
        <w:rPr>
          <w:b/>
          <w:bCs/>
          <w:sz w:val="24"/>
          <w:szCs w:val="24"/>
          <w:vertAlign w:val="subscript"/>
        </w:rPr>
        <w:t>2</w:t>
      </w:r>
      <w:r w:rsidR="00D55A4D" w:rsidRPr="009703B6">
        <w:rPr>
          <w:sz w:val="24"/>
          <w:szCs w:val="24"/>
        </w:rPr>
        <w:t xml:space="preserve"> and it can be correlated to electron ejection from excited </w:t>
      </w:r>
      <w:r w:rsidR="00D55A4D" w:rsidRPr="009703B6">
        <w:rPr>
          <w:b/>
          <w:bCs/>
          <w:sz w:val="24"/>
          <w:szCs w:val="24"/>
        </w:rPr>
        <w:t>LG</w:t>
      </w:r>
      <w:r w:rsidR="00BA1067" w:rsidRPr="009703B6">
        <w:rPr>
          <w:b/>
          <w:bCs/>
          <w:sz w:val="24"/>
          <w:szCs w:val="24"/>
        </w:rPr>
        <w:t xml:space="preserve"> </w:t>
      </w:r>
      <w:r w:rsidR="00D55A4D" w:rsidRPr="009703B6">
        <w:rPr>
          <w:b/>
          <w:bCs/>
          <w:sz w:val="24"/>
          <w:szCs w:val="24"/>
        </w:rPr>
        <w:t>28</w:t>
      </w:r>
      <w:r w:rsidR="00D55A4D" w:rsidRPr="009703B6">
        <w:rPr>
          <w:sz w:val="24"/>
          <w:szCs w:val="24"/>
        </w:rPr>
        <w:t xml:space="preserve"> to TiO</w:t>
      </w:r>
      <w:r w:rsidR="00D55A4D" w:rsidRPr="009703B6">
        <w:rPr>
          <w:sz w:val="24"/>
          <w:szCs w:val="24"/>
          <w:vertAlign w:val="subscript"/>
        </w:rPr>
        <w:t>2</w:t>
      </w:r>
      <w:r w:rsidR="00D55A4D" w:rsidRPr="009703B6">
        <w:rPr>
          <w:sz w:val="24"/>
          <w:szCs w:val="24"/>
        </w:rPr>
        <w:t xml:space="preserve">. </w:t>
      </w:r>
      <w:r w:rsidR="0091258F" w:rsidRPr="009703B6">
        <w:rPr>
          <w:sz w:val="24"/>
          <w:szCs w:val="24"/>
        </w:rPr>
        <w:t>Due to electron injection from excited singlet state</w:t>
      </w:r>
      <w:r w:rsidR="00CE1BA1" w:rsidRPr="009703B6">
        <w:rPr>
          <w:sz w:val="24"/>
          <w:szCs w:val="24"/>
        </w:rPr>
        <w:t xml:space="preserve"> to TiO</w:t>
      </w:r>
      <w:r w:rsidR="00CE1BA1" w:rsidRPr="009703B6">
        <w:rPr>
          <w:sz w:val="24"/>
          <w:szCs w:val="24"/>
          <w:vertAlign w:val="subscript"/>
        </w:rPr>
        <w:t>2</w:t>
      </w:r>
      <w:r w:rsidR="00E70CEA" w:rsidRPr="009703B6">
        <w:rPr>
          <w:sz w:val="24"/>
          <w:szCs w:val="24"/>
          <w:vertAlign w:val="subscript"/>
        </w:rPr>
        <w:t xml:space="preserve"> </w:t>
      </w:r>
      <w:r w:rsidR="00BA1067" w:rsidRPr="009703B6">
        <w:rPr>
          <w:sz w:val="24"/>
          <w:szCs w:val="24"/>
        </w:rPr>
        <w:t>conduction band</w:t>
      </w:r>
      <w:r w:rsidR="00BA1067" w:rsidRPr="009703B6">
        <w:rPr>
          <w:sz w:val="24"/>
          <w:szCs w:val="24"/>
          <w:vertAlign w:val="subscript"/>
        </w:rPr>
        <w:t xml:space="preserve"> </w:t>
      </w:r>
      <w:r w:rsidR="0091258F" w:rsidRPr="009703B6">
        <w:rPr>
          <w:sz w:val="24"/>
          <w:szCs w:val="24"/>
        </w:rPr>
        <w:t>population of triplet</w:t>
      </w:r>
      <w:r w:rsidR="00CE1BA1" w:rsidRPr="009703B6">
        <w:rPr>
          <w:sz w:val="24"/>
          <w:szCs w:val="24"/>
        </w:rPr>
        <w:t xml:space="preserve"> state</w:t>
      </w:r>
      <w:r w:rsidR="0091258F" w:rsidRPr="009703B6">
        <w:rPr>
          <w:sz w:val="24"/>
          <w:szCs w:val="24"/>
        </w:rPr>
        <w:t xml:space="preserve"> is </w:t>
      </w:r>
      <w:r w:rsidR="00CE1BA1" w:rsidRPr="009703B6">
        <w:rPr>
          <w:sz w:val="24"/>
          <w:szCs w:val="24"/>
        </w:rPr>
        <w:t>prohibited resulting</w:t>
      </w:r>
      <w:r w:rsidR="00E70CEA" w:rsidRPr="009703B6">
        <w:rPr>
          <w:sz w:val="24"/>
          <w:szCs w:val="24"/>
        </w:rPr>
        <w:t xml:space="preserve"> </w:t>
      </w:r>
      <w:r w:rsidR="00CE1BA1" w:rsidRPr="009703B6">
        <w:rPr>
          <w:sz w:val="24"/>
          <w:szCs w:val="24"/>
        </w:rPr>
        <w:t>shortening of s</w:t>
      </w:r>
      <w:r w:rsidR="000664AC" w:rsidRPr="009703B6">
        <w:rPr>
          <w:sz w:val="24"/>
          <w:szCs w:val="24"/>
        </w:rPr>
        <w:t>pectral lifetime. It is worthy to mention here</w:t>
      </w:r>
      <w:r w:rsidR="000664AC" w:rsidRPr="009703B6">
        <w:rPr>
          <w:color w:val="0000FF"/>
          <w:sz w:val="24"/>
          <w:szCs w:val="24"/>
        </w:rPr>
        <w:t xml:space="preserve"> </w:t>
      </w:r>
      <w:r w:rsidR="000664AC" w:rsidRPr="009703B6">
        <w:rPr>
          <w:sz w:val="24"/>
          <w:szCs w:val="24"/>
        </w:rPr>
        <w:t>that transient absorption spectra pertaining lowest triplet and singlet states of TPP or ZnTPP are quite si</w:t>
      </w:r>
      <w:r w:rsidR="00270D7F" w:rsidRPr="009703B6">
        <w:rPr>
          <w:sz w:val="24"/>
          <w:szCs w:val="24"/>
        </w:rPr>
        <w:t>milar but triplet state of TPP/Z</w:t>
      </w:r>
      <w:r w:rsidR="000664AC" w:rsidRPr="009703B6">
        <w:rPr>
          <w:sz w:val="24"/>
          <w:szCs w:val="24"/>
        </w:rPr>
        <w:t>nTPP has very long lifetime of few microsecond and this cannot be accesse</w:t>
      </w:r>
      <w:r w:rsidR="008C0FDA" w:rsidRPr="009703B6">
        <w:rPr>
          <w:sz w:val="24"/>
          <w:szCs w:val="24"/>
        </w:rPr>
        <w:t>d</w:t>
      </w:r>
      <w:r w:rsidR="000664AC" w:rsidRPr="009703B6">
        <w:rPr>
          <w:sz w:val="24"/>
          <w:szCs w:val="24"/>
        </w:rPr>
        <w:t xml:space="preserve"> exactly in 3.5 ns time domain.</w:t>
      </w:r>
      <w:r w:rsidR="000664AC" w:rsidRPr="009703B6">
        <w:rPr>
          <w:color w:val="0000FF"/>
          <w:sz w:val="24"/>
          <w:szCs w:val="24"/>
        </w:rPr>
        <w:t xml:space="preserve"> </w:t>
      </w:r>
      <w:r w:rsidR="008C0FDA" w:rsidRPr="009703B6">
        <w:rPr>
          <w:sz w:val="24"/>
          <w:szCs w:val="24"/>
        </w:rPr>
        <w:t xml:space="preserve">However, time profiles of transient signals at different probe wavelengths for </w:t>
      </w:r>
      <w:r w:rsidR="008C0FDA" w:rsidRPr="009703B6">
        <w:rPr>
          <w:b/>
          <w:bCs/>
          <w:sz w:val="24"/>
          <w:szCs w:val="24"/>
        </w:rPr>
        <w:t>LG</w:t>
      </w:r>
      <w:r w:rsidR="00BA1067" w:rsidRPr="009703B6">
        <w:rPr>
          <w:b/>
          <w:bCs/>
          <w:sz w:val="24"/>
          <w:szCs w:val="24"/>
        </w:rPr>
        <w:t xml:space="preserve"> </w:t>
      </w:r>
      <w:r w:rsidR="008C0FDA" w:rsidRPr="009703B6">
        <w:rPr>
          <w:b/>
          <w:bCs/>
          <w:sz w:val="24"/>
          <w:szCs w:val="24"/>
        </w:rPr>
        <w:t>28</w:t>
      </w:r>
      <w:r w:rsidR="00DF0560">
        <w:rPr>
          <w:sz w:val="24"/>
          <w:szCs w:val="24"/>
        </w:rPr>
        <w:t>+</w:t>
      </w:r>
      <w:r w:rsidR="008C0FDA" w:rsidRPr="009703B6">
        <w:rPr>
          <w:sz w:val="24"/>
          <w:szCs w:val="24"/>
        </w:rPr>
        <w:t>TiO</w:t>
      </w:r>
      <w:r w:rsidR="008C0FDA" w:rsidRPr="009703B6">
        <w:rPr>
          <w:sz w:val="24"/>
          <w:szCs w:val="24"/>
          <w:vertAlign w:val="subscript"/>
        </w:rPr>
        <w:t>2</w:t>
      </w:r>
      <w:r w:rsidR="008C0FDA" w:rsidRPr="009703B6">
        <w:rPr>
          <w:sz w:val="24"/>
          <w:szCs w:val="24"/>
        </w:rPr>
        <w:t xml:space="preserve"> are different over its </w:t>
      </w:r>
      <w:r w:rsidR="008C0FDA" w:rsidRPr="009703B6">
        <w:rPr>
          <w:b/>
          <w:bCs/>
          <w:sz w:val="24"/>
          <w:szCs w:val="24"/>
        </w:rPr>
        <w:t>LG</w:t>
      </w:r>
      <w:r w:rsidR="00BA1067" w:rsidRPr="009703B6">
        <w:rPr>
          <w:b/>
          <w:bCs/>
          <w:sz w:val="24"/>
          <w:szCs w:val="24"/>
        </w:rPr>
        <w:t xml:space="preserve"> </w:t>
      </w:r>
      <w:r w:rsidR="008C0FDA" w:rsidRPr="009703B6">
        <w:rPr>
          <w:b/>
          <w:bCs/>
          <w:sz w:val="24"/>
          <w:szCs w:val="24"/>
        </w:rPr>
        <w:t xml:space="preserve">28 </w:t>
      </w:r>
      <w:r w:rsidR="008C0FDA" w:rsidRPr="009703B6">
        <w:rPr>
          <w:sz w:val="24"/>
          <w:szCs w:val="24"/>
        </w:rPr>
        <w:t>counterpart (Figure</w:t>
      </w:r>
      <w:r w:rsidR="00270D7F" w:rsidRPr="009703B6">
        <w:rPr>
          <w:sz w:val="24"/>
          <w:szCs w:val="24"/>
        </w:rPr>
        <w:t xml:space="preserve"> </w:t>
      </w:r>
      <w:r w:rsidR="00BA1067" w:rsidRPr="009703B6">
        <w:rPr>
          <w:sz w:val="24"/>
          <w:szCs w:val="24"/>
        </w:rPr>
        <w:t>7</w:t>
      </w:r>
      <w:r w:rsidR="008C0FDA" w:rsidRPr="009703B6">
        <w:rPr>
          <w:sz w:val="24"/>
          <w:szCs w:val="24"/>
        </w:rPr>
        <w:t>).</w:t>
      </w:r>
      <w:r w:rsidR="008C0FDA" w:rsidRPr="009703B6">
        <w:rPr>
          <w:color w:val="0000FF"/>
          <w:sz w:val="24"/>
          <w:szCs w:val="24"/>
        </w:rPr>
        <w:t xml:space="preserve"> </w:t>
      </w:r>
      <w:r w:rsidR="008C0FDA" w:rsidRPr="009703B6">
        <w:rPr>
          <w:sz w:val="24"/>
          <w:szCs w:val="24"/>
        </w:rPr>
        <w:t xml:space="preserve">A comparative analysis was attempted to fit time profiles of transient signals at different wavelengths for </w:t>
      </w:r>
      <w:r w:rsidR="008C0FDA" w:rsidRPr="009703B6">
        <w:rPr>
          <w:b/>
          <w:bCs/>
          <w:sz w:val="24"/>
          <w:szCs w:val="24"/>
        </w:rPr>
        <w:t>LG</w:t>
      </w:r>
      <w:r w:rsidR="00BA1067" w:rsidRPr="009703B6">
        <w:rPr>
          <w:b/>
          <w:bCs/>
          <w:sz w:val="24"/>
          <w:szCs w:val="24"/>
        </w:rPr>
        <w:t xml:space="preserve"> </w:t>
      </w:r>
      <w:r w:rsidR="008C0FDA" w:rsidRPr="009703B6">
        <w:rPr>
          <w:b/>
          <w:bCs/>
          <w:sz w:val="24"/>
          <w:szCs w:val="24"/>
        </w:rPr>
        <w:t>28</w:t>
      </w:r>
      <w:r w:rsidR="008C0FDA" w:rsidRPr="009703B6">
        <w:rPr>
          <w:sz w:val="24"/>
          <w:szCs w:val="24"/>
        </w:rPr>
        <w:t xml:space="preserve"> and </w:t>
      </w:r>
      <w:r w:rsidR="008C0FDA" w:rsidRPr="009703B6">
        <w:rPr>
          <w:b/>
          <w:bCs/>
          <w:sz w:val="24"/>
          <w:szCs w:val="24"/>
        </w:rPr>
        <w:t>LG</w:t>
      </w:r>
      <w:r w:rsidR="00BA1067" w:rsidRPr="009703B6">
        <w:rPr>
          <w:b/>
          <w:bCs/>
          <w:sz w:val="24"/>
          <w:szCs w:val="24"/>
        </w:rPr>
        <w:t xml:space="preserve"> </w:t>
      </w:r>
      <w:r w:rsidR="008C0FDA" w:rsidRPr="009703B6">
        <w:rPr>
          <w:b/>
          <w:bCs/>
          <w:sz w:val="24"/>
          <w:szCs w:val="24"/>
        </w:rPr>
        <w:t>28+</w:t>
      </w:r>
      <w:r w:rsidR="008C0FDA" w:rsidRPr="009703B6">
        <w:rPr>
          <w:sz w:val="24"/>
          <w:szCs w:val="24"/>
        </w:rPr>
        <w:t>TiO</w:t>
      </w:r>
      <w:r w:rsidR="008C0FDA" w:rsidRPr="009703B6">
        <w:rPr>
          <w:sz w:val="24"/>
          <w:szCs w:val="24"/>
          <w:vertAlign w:val="subscript"/>
        </w:rPr>
        <w:t>2</w:t>
      </w:r>
      <w:r w:rsidR="008C0FDA" w:rsidRPr="009703B6">
        <w:rPr>
          <w:sz w:val="24"/>
          <w:szCs w:val="24"/>
        </w:rPr>
        <w:t xml:space="preserve"> cases</w:t>
      </w:r>
      <w:r w:rsidR="00D06B14" w:rsidRPr="009703B6">
        <w:rPr>
          <w:sz w:val="24"/>
          <w:szCs w:val="24"/>
        </w:rPr>
        <w:t xml:space="preserve"> which is shown in Figure</w:t>
      </w:r>
      <w:r w:rsidR="00E70CEA" w:rsidRPr="009703B6">
        <w:rPr>
          <w:sz w:val="24"/>
          <w:szCs w:val="24"/>
        </w:rPr>
        <w:t xml:space="preserve"> </w:t>
      </w:r>
      <w:r w:rsidR="00FD74ED">
        <w:rPr>
          <w:sz w:val="24"/>
          <w:szCs w:val="24"/>
        </w:rPr>
        <w:t>S22</w:t>
      </w:r>
      <w:r w:rsidR="008C0FDA" w:rsidRPr="009703B6">
        <w:rPr>
          <w:sz w:val="24"/>
          <w:szCs w:val="24"/>
        </w:rPr>
        <w:t xml:space="preserve">. </w:t>
      </w:r>
      <w:r w:rsidR="00402684" w:rsidRPr="009703B6">
        <w:rPr>
          <w:rFonts w:cs="Calibri"/>
          <w:sz w:val="24"/>
          <w:szCs w:val="24"/>
          <w:lang w:val="en-IN" w:eastAsia="en-IN" w:bidi="hi-IN"/>
        </w:rPr>
        <w:t xml:space="preserve">Three to four lifetimes are unambiguous, because three lifetimes </w:t>
      </w:r>
      <w:r w:rsidR="00D06B14" w:rsidRPr="009703B6">
        <w:rPr>
          <w:rFonts w:cs="Calibri"/>
          <w:sz w:val="24"/>
          <w:szCs w:val="24"/>
          <w:lang w:val="en-IN" w:eastAsia="en-IN" w:bidi="hi-IN"/>
        </w:rPr>
        <w:t>were</w:t>
      </w:r>
      <w:r w:rsidR="00402684" w:rsidRPr="009703B6">
        <w:rPr>
          <w:rFonts w:cs="Calibri"/>
          <w:sz w:val="24"/>
          <w:szCs w:val="24"/>
          <w:lang w:val="en-IN" w:eastAsia="en-IN" w:bidi="hi-IN"/>
        </w:rPr>
        <w:t xml:space="preserve"> clearly seen in the fluorescence upconversion</w:t>
      </w:r>
      <w:r w:rsidR="00E70CEA" w:rsidRPr="009703B6">
        <w:rPr>
          <w:rFonts w:cs="Calibri"/>
          <w:sz w:val="24"/>
          <w:szCs w:val="24"/>
          <w:lang w:val="en-IN" w:eastAsia="en-IN" w:bidi="hi-IN"/>
        </w:rPr>
        <w:t xml:space="preserve"> </w:t>
      </w:r>
      <w:r w:rsidR="00CC09B5" w:rsidRPr="009703B6">
        <w:rPr>
          <w:rFonts w:cs="Calibri"/>
          <w:sz w:val="24"/>
          <w:szCs w:val="24"/>
          <w:lang w:val="en-IN" w:eastAsia="en-IN" w:bidi="hi-IN"/>
        </w:rPr>
        <w:t>signal at</w:t>
      </w:r>
      <w:r w:rsidR="00402684" w:rsidRPr="009703B6">
        <w:rPr>
          <w:rFonts w:cs="Calibri"/>
          <w:sz w:val="24"/>
          <w:szCs w:val="24"/>
          <w:lang w:val="en-IN" w:eastAsia="en-IN" w:bidi="hi-IN"/>
        </w:rPr>
        <w:t xml:space="preserve"> 675 nm</w:t>
      </w:r>
      <w:r w:rsidR="00CC09B5" w:rsidRPr="009703B6">
        <w:rPr>
          <w:rFonts w:cs="Calibri"/>
          <w:sz w:val="24"/>
          <w:szCs w:val="24"/>
          <w:lang w:val="en-IN" w:eastAsia="en-IN" w:bidi="hi-IN"/>
        </w:rPr>
        <w:t xml:space="preserve"> and </w:t>
      </w:r>
      <w:r w:rsidR="00D06B14" w:rsidRPr="009703B6">
        <w:rPr>
          <w:rFonts w:cs="Calibri"/>
          <w:sz w:val="24"/>
          <w:szCs w:val="24"/>
          <w:lang w:val="en-IN" w:eastAsia="en-IN" w:bidi="hi-IN"/>
        </w:rPr>
        <w:t xml:space="preserve">an extra </w:t>
      </w:r>
      <w:r w:rsidR="00CC09B5" w:rsidRPr="009703B6">
        <w:rPr>
          <w:rFonts w:cs="Calibri"/>
          <w:sz w:val="24"/>
          <w:szCs w:val="24"/>
          <w:lang w:val="en-IN" w:eastAsia="en-IN" w:bidi="hi-IN"/>
        </w:rPr>
        <w:t>contribution of T</w:t>
      </w:r>
      <w:r w:rsidR="00CC09B5" w:rsidRPr="009703B6">
        <w:rPr>
          <w:rFonts w:cs="Calibri"/>
          <w:sz w:val="24"/>
          <w:szCs w:val="24"/>
          <w:vertAlign w:val="subscript"/>
          <w:lang w:val="en-IN" w:eastAsia="en-IN" w:bidi="hi-IN"/>
        </w:rPr>
        <w:t>1</w:t>
      </w:r>
      <w:r w:rsidR="00CC09B5" w:rsidRPr="009703B6">
        <w:rPr>
          <w:rFonts w:cs="Calibri"/>
          <w:sz w:val="24"/>
          <w:szCs w:val="24"/>
          <w:lang w:val="en-IN" w:eastAsia="en-IN" w:bidi="hi-IN"/>
        </w:rPr>
        <w:sym w:font="Symbol" w:char="F0AE"/>
      </w:r>
      <w:r w:rsidR="00CC09B5" w:rsidRPr="009703B6">
        <w:rPr>
          <w:rFonts w:cs="Calibri"/>
          <w:sz w:val="24"/>
          <w:szCs w:val="24"/>
          <w:lang w:val="en-IN" w:eastAsia="en-IN" w:bidi="hi-IN"/>
        </w:rPr>
        <w:t>T</w:t>
      </w:r>
      <w:r w:rsidR="00CC09B5" w:rsidRPr="009703B6">
        <w:rPr>
          <w:rFonts w:cs="Calibri"/>
          <w:sz w:val="24"/>
          <w:szCs w:val="24"/>
          <w:vertAlign w:val="subscript"/>
          <w:lang w:val="en-IN" w:eastAsia="en-IN" w:bidi="hi-IN"/>
        </w:rPr>
        <w:t>n</w:t>
      </w:r>
      <w:r w:rsidR="00CC09B5" w:rsidRPr="009703B6">
        <w:rPr>
          <w:rFonts w:cs="Calibri"/>
          <w:sz w:val="24"/>
          <w:szCs w:val="24"/>
          <w:lang w:val="en-IN" w:eastAsia="en-IN" w:bidi="hi-IN"/>
        </w:rPr>
        <w:t xml:space="preserve"> transition in transient absorption cannot be excluded in nanosecond time domain. </w:t>
      </w:r>
      <w:r w:rsidR="00402684" w:rsidRPr="009703B6">
        <w:rPr>
          <w:sz w:val="24"/>
          <w:szCs w:val="24"/>
        </w:rPr>
        <w:t xml:space="preserve">Note, porphyrin based sensitizer have wide range of </w:t>
      </w:r>
      <w:r w:rsidR="00402684" w:rsidRPr="009703B6">
        <w:rPr>
          <w:sz w:val="24"/>
          <w:szCs w:val="24"/>
        </w:rPr>
        <w:lastRenderedPageBreak/>
        <w:t>ground state absorption starting from 400 nm to above 750 nm.</w:t>
      </w:r>
      <w:r w:rsidR="00402684" w:rsidRPr="009703B6">
        <w:rPr>
          <w:color w:val="0000FF"/>
          <w:sz w:val="24"/>
          <w:szCs w:val="24"/>
        </w:rPr>
        <w:t xml:space="preserve"> </w:t>
      </w:r>
      <w:r w:rsidR="00402684" w:rsidRPr="009703B6">
        <w:rPr>
          <w:sz w:val="24"/>
          <w:szCs w:val="24"/>
        </w:rPr>
        <w:t>Therefore, m</w:t>
      </w:r>
      <w:r w:rsidR="006A5B7D" w:rsidRPr="009703B6">
        <w:rPr>
          <w:rFonts w:cs="Calibri"/>
          <w:sz w:val="24"/>
          <w:szCs w:val="24"/>
          <w:lang w:val="en-IN" w:eastAsia="en-IN" w:bidi="hi-IN"/>
        </w:rPr>
        <w:t>ultiexponential fit</w:t>
      </w:r>
      <w:r w:rsidR="0092575D" w:rsidRPr="009703B6">
        <w:rPr>
          <w:rFonts w:cs="Calibri"/>
          <w:sz w:val="24"/>
          <w:szCs w:val="24"/>
          <w:lang w:val="en-IN" w:eastAsia="en-IN" w:bidi="hi-IN"/>
        </w:rPr>
        <w:t xml:space="preserve">s </w:t>
      </w:r>
      <w:r w:rsidR="006A5B7D" w:rsidRPr="009703B6">
        <w:rPr>
          <w:rFonts w:cs="Calibri"/>
          <w:sz w:val="24"/>
          <w:szCs w:val="24"/>
          <w:lang w:val="en-IN" w:eastAsia="en-IN" w:bidi="hi-IN"/>
        </w:rPr>
        <w:t>of individual transient time profile permit only broad limits  located on component amplitudes and lifetimes</w:t>
      </w:r>
      <w:r w:rsidR="009B5ABC" w:rsidRPr="009703B6">
        <w:rPr>
          <w:rFonts w:cs="Calibri"/>
          <w:sz w:val="24"/>
          <w:szCs w:val="24"/>
          <w:lang w:val="en-IN" w:eastAsia="en-IN" w:bidi="hi-IN"/>
        </w:rPr>
        <w:t xml:space="preserve"> as transient absorption signals of porphyrin based sensitizer</w:t>
      </w:r>
      <w:r w:rsidR="00402684" w:rsidRPr="009703B6">
        <w:rPr>
          <w:rFonts w:cs="Calibri"/>
          <w:sz w:val="24"/>
          <w:szCs w:val="24"/>
          <w:lang w:val="en-IN" w:eastAsia="en-IN" w:bidi="hi-IN"/>
        </w:rPr>
        <w:t>s</w:t>
      </w:r>
      <w:r w:rsidR="009B5ABC" w:rsidRPr="009703B6">
        <w:rPr>
          <w:rFonts w:cs="Calibri"/>
          <w:sz w:val="24"/>
          <w:szCs w:val="24"/>
          <w:lang w:val="en-IN" w:eastAsia="en-IN" w:bidi="hi-IN"/>
        </w:rPr>
        <w:t xml:space="preserve"> interplay of multiple signatures</w:t>
      </w:r>
      <w:r w:rsidR="00402684" w:rsidRPr="009703B6">
        <w:rPr>
          <w:rFonts w:cs="Calibri"/>
          <w:sz w:val="24"/>
          <w:szCs w:val="24"/>
          <w:lang w:val="en-IN" w:eastAsia="en-IN" w:bidi="hi-IN"/>
        </w:rPr>
        <w:t xml:space="preserve"> in detection wavelength window</w:t>
      </w:r>
      <w:r w:rsidR="009B5ABC" w:rsidRPr="009703B6">
        <w:rPr>
          <w:rFonts w:cs="Calibri"/>
          <w:sz w:val="24"/>
          <w:szCs w:val="24"/>
          <w:lang w:val="en-IN" w:eastAsia="en-IN" w:bidi="hi-IN"/>
        </w:rPr>
        <w:t>, such as ground state bleaching, stimulated emission, excited state absorption from singlet to singlet and triplet to triplet and absorption due to intermediate species if any</w:t>
      </w:r>
      <w:r w:rsidR="00402684" w:rsidRPr="009703B6">
        <w:rPr>
          <w:rFonts w:cs="Calibri"/>
          <w:sz w:val="24"/>
          <w:szCs w:val="24"/>
          <w:lang w:val="en-IN" w:eastAsia="en-IN" w:bidi="hi-IN"/>
        </w:rPr>
        <w:t>.</w:t>
      </w:r>
      <w:r w:rsidR="00270D7F" w:rsidRPr="009703B6">
        <w:rPr>
          <w:rFonts w:cs="Calibri"/>
          <w:sz w:val="24"/>
          <w:szCs w:val="24"/>
          <w:lang w:val="en-IN" w:eastAsia="en-IN" w:bidi="hi-IN"/>
        </w:rPr>
        <w:t xml:space="preserve"> </w:t>
      </w:r>
      <w:r w:rsidR="00F7438F" w:rsidRPr="009703B6">
        <w:rPr>
          <w:rFonts w:cs="Calibri"/>
          <w:sz w:val="24"/>
          <w:szCs w:val="24"/>
          <w:lang w:val="en-IN" w:eastAsia="en-IN" w:bidi="hi-IN"/>
        </w:rPr>
        <w:t>Therefore, we adopted global fitting of full transient data matrix based on singular value decomposition using R-TIMP package interfaced with Glotaran</w:t>
      </w:r>
      <w:r w:rsidR="00253D34" w:rsidRPr="00253D34">
        <w:rPr>
          <w:rFonts w:cs="Calibri"/>
          <w:sz w:val="24"/>
          <w:szCs w:val="24"/>
          <w:vertAlign w:val="superscript"/>
          <w:lang w:val="en-IN" w:eastAsia="en-IN" w:bidi="hi-IN"/>
        </w:rPr>
        <w:t>37</w:t>
      </w:r>
      <w:r w:rsidR="00270D7F" w:rsidRPr="009703B6">
        <w:rPr>
          <w:rFonts w:cs="Calibri"/>
          <w:color w:val="FF0000"/>
          <w:sz w:val="24"/>
          <w:szCs w:val="24"/>
          <w:vertAlign w:val="superscript"/>
          <w:lang w:val="en-IN" w:eastAsia="en-IN" w:bidi="hi-IN"/>
        </w:rPr>
        <w:t xml:space="preserve"> </w:t>
      </w:r>
      <w:r w:rsidR="00F7438F" w:rsidRPr="009703B6">
        <w:rPr>
          <w:rFonts w:cs="Calibri"/>
          <w:sz w:val="24"/>
          <w:szCs w:val="24"/>
          <w:lang w:val="en-IN" w:eastAsia="en-IN" w:bidi="hi-IN"/>
        </w:rPr>
        <w:t xml:space="preserve">with four components. This global analysis yields both </w:t>
      </w:r>
      <w:r w:rsidR="00C7777A" w:rsidRPr="009703B6">
        <w:rPr>
          <w:rFonts w:cs="Calibri"/>
          <w:sz w:val="24"/>
          <w:szCs w:val="24"/>
          <w:lang w:val="en-IN" w:eastAsia="en-IN" w:bidi="hi-IN"/>
        </w:rPr>
        <w:t>evolutions</w:t>
      </w:r>
      <w:r w:rsidR="00F7438F" w:rsidRPr="009703B6">
        <w:rPr>
          <w:rFonts w:cs="Calibri"/>
          <w:sz w:val="24"/>
          <w:szCs w:val="24"/>
          <w:lang w:val="en-IN" w:eastAsia="en-IN" w:bidi="hi-IN"/>
        </w:rPr>
        <w:t xml:space="preserve"> associated difference spectra</w:t>
      </w:r>
      <w:r w:rsidR="00CF55D9" w:rsidRPr="009703B6">
        <w:rPr>
          <w:rFonts w:cs="Calibri"/>
          <w:sz w:val="24"/>
          <w:szCs w:val="24"/>
          <w:lang w:val="en-IN" w:eastAsia="en-IN" w:bidi="hi-IN"/>
        </w:rPr>
        <w:t xml:space="preserve"> (EADS)</w:t>
      </w:r>
      <w:r w:rsidR="00F7438F" w:rsidRPr="009703B6">
        <w:rPr>
          <w:rFonts w:cs="Calibri"/>
          <w:sz w:val="24"/>
          <w:szCs w:val="24"/>
          <w:lang w:val="en-IN" w:eastAsia="en-IN" w:bidi="hi-IN"/>
        </w:rPr>
        <w:t xml:space="preserve"> and decay associated difference spectra </w:t>
      </w:r>
      <w:r w:rsidR="00CF55D9" w:rsidRPr="009703B6">
        <w:rPr>
          <w:rFonts w:cs="Calibri"/>
          <w:sz w:val="24"/>
          <w:szCs w:val="24"/>
          <w:lang w:val="en-IN" w:eastAsia="en-IN" w:bidi="hi-IN"/>
        </w:rPr>
        <w:t xml:space="preserve">(DADS) </w:t>
      </w:r>
      <w:r w:rsidR="00F7438F" w:rsidRPr="009703B6">
        <w:rPr>
          <w:rFonts w:cs="Calibri"/>
          <w:sz w:val="24"/>
          <w:szCs w:val="24"/>
          <w:lang w:val="en-IN" w:eastAsia="en-IN" w:bidi="hi-IN"/>
        </w:rPr>
        <w:t>identifying the characteristic spectral signature</w:t>
      </w:r>
      <w:r w:rsidR="00B935D4" w:rsidRPr="009703B6">
        <w:rPr>
          <w:rFonts w:cs="Calibri"/>
          <w:sz w:val="24"/>
          <w:szCs w:val="24"/>
          <w:lang w:val="en-IN" w:eastAsia="en-IN" w:bidi="hi-IN"/>
        </w:rPr>
        <w:t xml:space="preserve"> of each state. </w:t>
      </w:r>
      <w:r w:rsidR="00CF55D9" w:rsidRPr="009703B6">
        <w:rPr>
          <w:rFonts w:cs="Calibri"/>
          <w:sz w:val="24"/>
          <w:szCs w:val="24"/>
          <w:lang w:val="en-IN" w:eastAsia="en-IN" w:bidi="hi-IN"/>
        </w:rPr>
        <w:t xml:space="preserve">Figure </w:t>
      </w:r>
      <w:r w:rsidR="00BA1067" w:rsidRPr="009703B6">
        <w:rPr>
          <w:rFonts w:cs="Calibri"/>
          <w:sz w:val="24"/>
          <w:szCs w:val="24"/>
          <w:lang w:val="en-IN" w:eastAsia="en-IN" w:bidi="hi-IN"/>
        </w:rPr>
        <w:t>8</w:t>
      </w:r>
      <w:r w:rsidR="00632754" w:rsidRPr="009703B6">
        <w:rPr>
          <w:rFonts w:cs="Calibri"/>
          <w:sz w:val="24"/>
          <w:szCs w:val="24"/>
          <w:lang w:val="en-IN" w:eastAsia="en-IN" w:bidi="hi-IN"/>
        </w:rPr>
        <w:t xml:space="preserve"> (lower panel)</w:t>
      </w:r>
      <w:r w:rsidR="00CF55D9" w:rsidRPr="009703B6">
        <w:rPr>
          <w:rFonts w:cs="Calibri"/>
          <w:sz w:val="24"/>
          <w:szCs w:val="24"/>
          <w:lang w:val="en-IN" w:eastAsia="en-IN" w:bidi="hi-IN"/>
        </w:rPr>
        <w:t xml:space="preserve"> shows the summary of global analysis of transient data for both </w:t>
      </w:r>
      <w:r w:rsidR="00CF55D9" w:rsidRPr="009703B6">
        <w:rPr>
          <w:rFonts w:cs="Calibri"/>
          <w:b/>
          <w:bCs/>
          <w:sz w:val="24"/>
          <w:szCs w:val="24"/>
          <w:lang w:val="en-IN" w:eastAsia="en-IN" w:bidi="hi-IN"/>
        </w:rPr>
        <w:t>LG</w:t>
      </w:r>
      <w:r w:rsidR="00BA1067" w:rsidRPr="009703B6">
        <w:rPr>
          <w:rFonts w:cs="Calibri"/>
          <w:b/>
          <w:bCs/>
          <w:sz w:val="24"/>
          <w:szCs w:val="24"/>
          <w:lang w:val="en-IN" w:eastAsia="en-IN" w:bidi="hi-IN"/>
        </w:rPr>
        <w:t xml:space="preserve"> </w:t>
      </w:r>
      <w:r w:rsidR="00CF55D9" w:rsidRPr="009703B6">
        <w:rPr>
          <w:rFonts w:cs="Calibri"/>
          <w:b/>
          <w:bCs/>
          <w:sz w:val="24"/>
          <w:szCs w:val="24"/>
          <w:lang w:val="en-IN" w:eastAsia="en-IN" w:bidi="hi-IN"/>
        </w:rPr>
        <w:t>28</w:t>
      </w:r>
      <w:r w:rsidR="00CF55D9" w:rsidRPr="009703B6">
        <w:rPr>
          <w:rFonts w:cs="Calibri"/>
          <w:sz w:val="24"/>
          <w:szCs w:val="24"/>
          <w:lang w:val="en-IN" w:eastAsia="en-IN" w:bidi="hi-IN"/>
        </w:rPr>
        <w:t xml:space="preserve"> and </w:t>
      </w:r>
      <w:r w:rsidR="00CF55D9" w:rsidRPr="009703B6">
        <w:rPr>
          <w:rFonts w:cs="Calibri"/>
          <w:b/>
          <w:bCs/>
          <w:sz w:val="24"/>
          <w:szCs w:val="24"/>
          <w:lang w:val="en-IN" w:eastAsia="en-IN" w:bidi="hi-IN"/>
        </w:rPr>
        <w:t>LG</w:t>
      </w:r>
      <w:r w:rsidR="00BA1067" w:rsidRPr="009703B6">
        <w:rPr>
          <w:rFonts w:cs="Calibri"/>
          <w:b/>
          <w:bCs/>
          <w:sz w:val="24"/>
          <w:szCs w:val="24"/>
          <w:lang w:val="en-IN" w:eastAsia="en-IN" w:bidi="hi-IN"/>
        </w:rPr>
        <w:t xml:space="preserve"> </w:t>
      </w:r>
      <w:r w:rsidR="00CF55D9" w:rsidRPr="009703B6">
        <w:rPr>
          <w:rFonts w:cs="Calibri"/>
          <w:b/>
          <w:bCs/>
          <w:sz w:val="24"/>
          <w:szCs w:val="24"/>
          <w:lang w:val="en-IN" w:eastAsia="en-IN" w:bidi="hi-IN"/>
        </w:rPr>
        <w:t>28+TiO</w:t>
      </w:r>
      <w:r w:rsidR="00CF55D9" w:rsidRPr="009703B6">
        <w:rPr>
          <w:rFonts w:cs="Calibri"/>
          <w:b/>
          <w:bCs/>
          <w:sz w:val="24"/>
          <w:szCs w:val="24"/>
          <w:vertAlign w:val="subscript"/>
          <w:lang w:val="en-IN" w:eastAsia="en-IN" w:bidi="hi-IN"/>
        </w:rPr>
        <w:t>2</w:t>
      </w:r>
      <w:r w:rsidR="00613B77" w:rsidRPr="009703B6">
        <w:rPr>
          <w:rFonts w:cs="Calibri"/>
          <w:sz w:val="24"/>
          <w:szCs w:val="24"/>
          <w:lang w:val="en-IN" w:eastAsia="en-IN" w:bidi="hi-IN"/>
        </w:rPr>
        <w:t xml:space="preserve"> wi</w:t>
      </w:r>
      <w:r w:rsidR="006966A8" w:rsidRPr="009703B6">
        <w:rPr>
          <w:rFonts w:cs="Calibri"/>
          <w:sz w:val="24"/>
          <w:szCs w:val="24"/>
          <w:lang w:val="en-IN" w:eastAsia="en-IN" w:bidi="hi-IN"/>
        </w:rPr>
        <w:t>th</w:t>
      </w:r>
      <w:r w:rsidR="00613B77" w:rsidRPr="009703B6">
        <w:rPr>
          <w:rFonts w:cs="Calibri"/>
          <w:sz w:val="24"/>
          <w:szCs w:val="24"/>
          <w:lang w:val="en-IN" w:eastAsia="en-IN" w:bidi="hi-IN"/>
        </w:rPr>
        <w:t xml:space="preserve"> EADSs, DAD</w:t>
      </w:r>
      <w:r w:rsidR="0092575D" w:rsidRPr="009703B6">
        <w:rPr>
          <w:rFonts w:cs="Calibri"/>
          <w:sz w:val="24"/>
          <w:szCs w:val="24"/>
          <w:lang w:val="en-IN" w:eastAsia="en-IN" w:bidi="hi-IN"/>
        </w:rPr>
        <w:t>S</w:t>
      </w:r>
      <w:r w:rsidR="00613B77" w:rsidRPr="009703B6">
        <w:rPr>
          <w:rFonts w:cs="Calibri"/>
          <w:sz w:val="24"/>
          <w:szCs w:val="24"/>
          <w:lang w:val="en-IN" w:eastAsia="en-IN" w:bidi="hi-IN"/>
        </w:rPr>
        <w:t>s and population profile of EADSs</w:t>
      </w:r>
      <w:r w:rsidR="006966A8" w:rsidRPr="009703B6">
        <w:rPr>
          <w:rFonts w:cs="Calibri"/>
          <w:sz w:val="24"/>
          <w:szCs w:val="24"/>
          <w:lang w:val="en-IN" w:eastAsia="en-IN" w:bidi="hi-IN"/>
        </w:rPr>
        <w:t xml:space="preserve"> and </w:t>
      </w:r>
      <w:r w:rsidR="00EE1FEC" w:rsidRPr="009703B6">
        <w:rPr>
          <w:rFonts w:cs="Calibri"/>
          <w:sz w:val="24"/>
          <w:szCs w:val="24"/>
          <w:lang w:val="en-IN" w:eastAsia="en-IN" w:bidi="hi-IN"/>
        </w:rPr>
        <w:t>respective lifetime values are listed in Table</w:t>
      </w:r>
      <w:r w:rsidR="00BA1067" w:rsidRPr="009703B6">
        <w:rPr>
          <w:rFonts w:cs="Calibri"/>
          <w:sz w:val="24"/>
          <w:szCs w:val="24"/>
          <w:lang w:val="en-IN" w:eastAsia="en-IN" w:bidi="hi-IN"/>
        </w:rPr>
        <w:t xml:space="preserve"> 4</w:t>
      </w:r>
      <w:r w:rsidR="00EE1FEC" w:rsidRPr="009703B6">
        <w:rPr>
          <w:rFonts w:cs="Calibri"/>
          <w:sz w:val="24"/>
          <w:szCs w:val="24"/>
          <w:lang w:val="en-IN" w:eastAsia="en-IN" w:bidi="hi-IN"/>
        </w:rPr>
        <w:t>.</w:t>
      </w:r>
      <w:r w:rsidR="00C43332" w:rsidRPr="009703B6">
        <w:rPr>
          <w:rFonts w:cs="Calibri"/>
          <w:color w:val="0000FF"/>
          <w:sz w:val="24"/>
          <w:szCs w:val="24"/>
          <w:lang w:val="en-IN" w:eastAsia="en-IN" w:bidi="hi-IN"/>
        </w:rPr>
        <w:t xml:space="preserve"> </w:t>
      </w:r>
      <w:r w:rsidR="00F23FFB" w:rsidRPr="009703B6">
        <w:rPr>
          <w:rFonts w:cs="Calibri"/>
          <w:sz w:val="24"/>
          <w:szCs w:val="24"/>
          <w:lang w:val="en-IN" w:eastAsia="en-IN" w:bidi="hi-IN"/>
        </w:rPr>
        <w:t xml:space="preserve">For </w:t>
      </w:r>
      <w:r w:rsidR="00F23FFB" w:rsidRPr="009703B6">
        <w:rPr>
          <w:rFonts w:cs="Calibri"/>
          <w:b/>
          <w:bCs/>
          <w:sz w:val="24"/>
          <w:szCs w:val="24"/>
          <w:lang w:val="en-IN" w:eastAsia="en-IN" w:bidi="hi-IN"/>
        </w:rPr>
        <w:t>LG</w:t>
      </w:r>
      <w:r w:rsidR="00BA1067" w:rsidRPr="009703B6">
        <w:rPr>
          <w:rFonts w:cs="Calibri"/>
          <w:b/>
          <w:bCs/>
          <w:sz w:val="24"/>
          <w:szCs w:val="24"/>
          <w:lang w:val="en-IN" w:eastAsia="en-IN" w:bidi="hi-IN"/>
        </w:rPr>
        <w:t xml:space="preserve"> </w:t>
      </w:r>
      <w:r w:rsidR="00F23FFB" w:rsidRPr="009703B6">
        <w:rPr>
          <w:rFonts w:cs="Calibri"/>
          <w:b/>
          <w:bCs/>
          <w:sz w:val="24"/>
          <w:szCs w:val="24"/>
          <w:lang w:val="en-IN" w:eastAsia="en-IN" w:bidi="hi-IN"/>
        </w:rPr>
        <w:t>28</w:t>
      </w:r>
      <w:r w:rsidR="00F23FFB" w:rsidRPr="009703B6">
        <w:rPr>
          <w:rFonts w:cs="Calibri"/>
          <w:sz w:val="24"/>
          <w:szCs w:val="24"/>
          <w:lang w:val="en-IN" w:eastAsia="en-IN" w:bidi="hi-IN"/>
        </w:rPr>
        <w:t xml:space="preserve">, lifetimes of first three components are </w:t>
      </w:r>
      <w:r w:rsidR="00F7438F" w:rsidRPr="009703B6">
        <w:rPr>
          <w:rFonts w:cs="Calibri"/>
          <w:sz w:val="24"/>
          <w:szCs w:val="24"/>
          <w:lang w:val="en-IN" w:eastAsia="en-IN" w:bidi="hi-IN"/>
        </w:rPr>
        <w:t>of</w:t>
      </w:r>
      <w:r w:rsidR="00F23FFB" w:rsidRPr="009703B6">
        <w:rPr>
          <w:rFonts w:cs="Calibri"/>
          <w:sz w:val="24"/>
          <w:szCs w:val="24"/>
          <w:lang w:val="en-IN" w:eastAsia="en-IN" w:bidi="hi-IN"/>
        </w:rPr>
        <w:t xml:space="preserve"> very similar to that observed in fluorescence upconversion studies and 4</w:t>
      </w:r>
      <w:r w:rsidR="00F23FFB" w:rsidRPr="009703B6">
        <w:rPr>
          <w:rFonts w:cs="Calibri"/>
          <w:sz w:val="24"/>
          <w:szCs w:val="24"/>
          <w:vertAlign w:val="superscript"/>
          <w:lang w:val="en-IN" w:eastAsia="en-IN" w:bidi="hi-IN"/>
        </w:rPr>
        <w:t>th</w:t>
      </w:r>
      <w:r w:rsidR="00F23FFB" w:rsidRPr="009703B6">
        <w:rPr>
          <w:rFonts w:cs="Calibri"/>
          <w:sz w:val="24"/>
          <w:szCs w:val="24"/>
          <w:lang w:val="en-IN" w:eastAsia="en-IN" w:bidi="hi-IN"/>
        </w:rPr>
        <w:t xml:space="preserve"> component which appears to be very long-lived</w:t>
      </w:r>
      <w:r w:rsidR="00C43332" w:rsidRPr="009703B6">
        <w:rPr>
          <w:rFonts w:cs="Calibri"/>
          <w:sz w:val="24"/>
          <w:szCs w:val="24"/>
          <w:lang w:val="en-IN" w:eastAsia="en-IN" w:bidi="hi-IN"/>
        </w:rPr>
        <w:t xml:space="preserve"> </w:t>
      </w:r>
      <w:r w:rsidR="00F23FFB" w:rsidRPr="009703B6">
        <w:rPr>
          <w:rFonts w:cs="Calibri"/>
          <w:sz w:val="24"/>
          <w:szCs w:val="24"/>
          <w:lang w:val="en-IN" w:eastAsia="en-IN" w:bidi="hi-IN"/>
        </w:rPr>
        <w:t xml:space="preserve">(≥ nanosecond), which may either decay or rise with the 1.9 ns third component lifetime to another much longer-lived plateau and cannot be precisely estimated from 2-3 ns time window data. </w:t>
      </w:r>
      <w:r w:rsidR="00DD3715" w:rsidRPr="009703B6">
        <w:rPr>
          <w:rFonts w:cs="Calibri"/>
          <w:sz w:val="24"/>
          <w:szCs w:val="24"/>
          <w:lang w:val="en-IN" w:eastAsia="en-IN" w:bidi="hi-IN"/>
        </w:rPr>
        <w:t>The EADS</w:t>
      </w:r>
      <w:r w:rsidR="00DD3715" w:rsidRPr="009703B6">
        <w:rPr>
          <w:rFonts w:cs="Calibri"/>
          <w:sz w:val="24"/>
          <w:szCs w:val="24"/>
          <w:vertAlign w:val="subscript"/>
          <w:lang w:val="en-IN" w:eastAsia="en-IN" w:bidi="hi-IN"/>
        </w:rPr>
        <w:t>1</w:t>
      </w:r>
      <w:r w:rsidR="00DD3715" w:rsidRPr="009703B6">
        <w:rPr>
          <w:rFonts w:cs="Calibri"/>
          <w:sz w:val="24"/>
          <w:szCs w:val="24"/>
          <w:lang w:val="en-IN" w:eastAsia="en-IN" w:bidi="hi-IN"/>
        </w:rPr>
        <w:t xml:space="preserve"> corresponds to S</w:t>
      </w:r>
      <w:r w:rsidR="00DD3715" w:rsidRPr="009703B6">
        <w:rPr>
          <w:rFonts w:cs="Calibri"/>
          <w:sz w:val="24"/>
          <w:szCs w:val="24"/>
          <w:vertAlign w:val="subscript"/>
          <w:lang w:val="en-IN" w:eastAsia="en-IN" w:bidi="hi-IN"/>
        </w:rPr>
        <w:t>2</w:t>
      </w:r>
      <w:r w:rsidR="00DD3715" w:rsidRPr="009703B6">
        <w:rPr>
          <w:rFonts w:cs="Calibri"/>
          <w:sz w:val="24"/>
          <w:szCs w:val="24"/>
          <w:lang w:val="en-IN" w:eastAsia="en-IN" w:bidi="hi-IN"/>
        </w:rPr>
        <w:t xml:space="preserve"> state of </w:t>
      </w:r>
      <w:r w:rsidR="00DD3715" w:rsidRPr="009703B6">
        <w:rPr>
          <w:rFonts w:cs="Calibri"/>
          <w:b/>
          <w:bCs/>
          <w:sz w:val="24"/>
          <w:szCs w:val="24"/>
          <w:lang w:val="en-IN" w:eastAsia="en-IN" w:bidi="hi-IN"/>
        </w:rPr>
        <w:t>LG</w:t>
      </w:r>
      <w:r w:rsidR="0095709B" w:rsidRPr="009703B6">
        <w:rPr>
          <w:rFonts w:cs="Calibri"/>
          <w:b/>
          <w:bCs/>
          <w:sz w:val="24"/>
          <w:szCs w:val="24"/>
          <w:lang w:val="en-IN" w:eastAsia="en-IN" w:bidi="hi-IN"/>
        </w:rPr>
        <w:t xml:space="preserve"> </w:t>
      </w:r>
      <w:r w:rsidR="00DD3715" w:rsidRPr="009703B6">
        <w:rPr>
          <w:rFonts w:cs="Calibri"/>
          <w:b/>
          <w:bCs/>
          <w:sz w:val="24"/>
          <w:szCs w:val="24"/>
          <w:lang w:val="en-IN" w:eastAsia="en-IN" w:bidi="hi-IN"/>
        </w:rPr>
        <w:t>28</w:t>
      </w:r>
      <w:r w:rsidR="00DD3715" w:rsidRPr="009703B6">
        <w:rPr>
          <w:rFonts w:cs="Calibri"/>
          <w:sz w:val="24"/>
          <w:szCs w:val="24"/>
          <w:lang w:val="en-IN" w:eastAsia="en-IN" w:bidi="hi-IN"/>
        </w:rPr>
        <w:t xml:space="preserve"> which has lifetime of 6 ps, the EADS</w:t>
      </w:r>
      <w:r w:rsidR="00DD3715" w:rsidRPr="009703B6">
        <w:rPr>
          <w:rFonts w:cs="Calibri"/>
          <w:sz w:val="24"/>
          <w:szCs w:val="24"/>
          <w:vertAlign w:val="subscript"/>
          <w:lang w:val="en-IN" w:eastAsia="en-IN" w:bidi="hi-IN"/>
        </w:rPr>
        <w:t>2</w:t>
      </w:r>
      <w:r w:rsidR="00DD3715" w:rsidRPr="009703B6">
        <w:rPr>
          <w:rFonts w:cs="Calibri"/>
          <w:sz w:val="24"/>
          <w:szCs w:val="24"/>
          <w:lang w:val="en-IN" w:eastAsia="en-IN" w:bidi="hi-IN"/>
        </w:rPr>
        <w:t xml:space="preserve"> indicates the intermediate </w:t>
      </w:r>
      <w:r w:rsidR="0092575D" w:rsidRPr="009703B6">
        <w:rPr>
          <w:rFonts w:cs="Calibri"/>
          <w:sz w:val="24"/>
          <w:szCs w:val="24"/>
          <w:lang w:val="en-IN" w:eastAsia="en-IN" w:bidi="hi-IN"/>
        </w:rPr>
        <w:t>S</w:t>
      </w:r>
      <w:r w:rsidR="0092575D" w:rsidRPr="009703B6">
        <w:rPr>
          <w:rFonts w:cs="Calibri"/>
          <w:sz w:val="24"/>
          <w:szCs w:val="24"/>
          <w:vertAlign w:val="subscript"/>
          <w:lang w:val="en-IN" w:eastAsia="en-IN" w:bidi="hi-IN"/>
        </w:rPr>
        <w:t>1</w:t>
      </w:r>
      <w:r w:rsidR="0092575D" w:rsidRPr="009703B6">
        <w:rPr>
          <w:rFonts w:cs="Calibri"/>
          <w:sz w:val="24"/>
          <w:szCs w:val="24"/>
          <w:vertAlign w:val="superscript"/>
          <w:lang w:val="en-IN" w:eastAsia="en-IN" w:bidi="hi-IN"/>
        </w:rPr>
        <w:t>*</w:t>
      </w:r>
      <w:r w:rsidR="00C43332" w:rsidRPr="009703B6">
        <w:rPr>
          <w:rFonts w:cs="Calibri"/>
          <w:sz w:val="24"/>
          <w:szCs w:val="24"/>
          <w:vertAlign w:val="superscript"/>
          <w:lang w:val="en-IN" w:eastAsia="en-IN" w:bidi="hi-IN"/>
        </w:rPr>
        <w:t xml:space="preserve"> </w:t>
      </w:r>
      <w:r w:rsidR="00DD3715" w:rsidRPr="009703B6">
        <w:rPr>
          <w:rFonts w:cs="Calibri"/>
          <w:sz w:val="24"/>
          <w:szCs w:val="24"/>
          <w:lang w:val="en-IN" w:eastAsia="en-IN" w:bidi="hi-IN"/>
        </w:rPr>
        <w:t>state with lifetime around 255 ps, the EADS</w:t>
      </w:r>
      <w:r w:rsidR="00DD3715" w:rsidRPr="009703B6">
        <w:rPr>
          <w:rFonts w:cs="Calibri"/>
          <w:sz w:val="24"/>
          <w:szCs w:val="24"/>
          <w:vertAlign w:val="subscript"/>
          <w:lang w:val="en-IN" w:eastAsia="en-IN" w:bidi="hi-IN"/>
        </w:rPr>
        <w:t>3</w:t>
      </w:r>
      <w:r w:rsidR="00DD3715" w:rsidRPr="009703B6">
        <w:rPr>
          <w:rFonts w:cs="Calibri"/>
          <w:sz w:val="24"/>
          <w:szCs w:val="24"/>
          <w:lang w:val="en-IN" w:eastAsia="en-IN" w:bidi="hi-IN"/>
        </w:rPr>
        <w:t xml:space="preserve"> represents the S</w:t>
      </w:r>
      <w:r w:rsidR="00DD3715" w:rsidRPr="009703B6">
        <w:rPr>
          <w:rFonts w:cs="Calibri"/>
          <w:sz w:val="24"/>
          <w:szCs w:val="24"/>
          <w:vertAlign w:val="subscript"/>
          <w:lang w:val="en-IN" w:eastAsia="en-IN" w:bidi="hi-IN"/>
        </w:rPr>
        <w:t xml:space="preserve">1 </w:t>
      </w:r>
      <w:r w:rsidR="00DD3715" w:rsidRPr="009703B6">
        <w:rPr>
          <w:rFonts w:cs="Calibri"/>
          <w:sz w:val="24"/>
          <w:szCs w:val="24"/>
          <w:lang w:val="en-IN" w:eastAsia="en-IN" w:bidi="hi-IN"/>
        </w:rPr>
        <w:t>which has lifetime of 1.9 ns</w:t>
      </w:r>
      <w:r w:rsidR="00CB2FFB" w:rsidRPr="009703B6">
        <w:rPr>
          <w:rFonts w:cs="Calibri"/>
          <w:sz w:val="24"/>
          <w:szCs w:val="24"/>
          <w:lang w:val="en-IN" w:eastAsia="en-IN" w:bidi="hi-IN"/>
        </w:rPr>
        <w:t xml:space="preserve"> and finally EADS</w:t>
      </w:r>
      <w:r w:rsidR="00CB2FFB" w:rsidRPr="009703B6">
        <w:rPr>
          <w:rFonts w:cs="Calibri"/>
          <w:sz w:val="24"/>
          <w:szCs w:val="24"/>
          <w:vertAlign w:val="subscript"/>
          <w:lang w:val="en-IN" w:eastAsia="en-IN" w:bidi="hi-IN"/>
        </w:rPr>
        <w:t>4</w:t>
      </w:r>
      <w:r w:rsidR="00CB2FFB" w:rsidRPr="009703B6">
        <w:rPr>
          <w:rFonts w:cs="Calibri"/>
          <w:sz w:val="24"/>
          <w:szCs w:val="24"/>
          <w:lang w:val="en-IN" w:eastAsia="en-IN" w:bidi="hi-IN"/>
        </w:rPr>
        <w:t xml:space="preserve"> signifies T</w:t>
      </w:r>
      <w:r w:rsidR="00CB2FFB" w:rsidRPr="009703B6">
        <w:rPr>
          <w:rFonts w:cs="Calibri"/>
          <w:sz w:val="24"/>
          <w:szCs w:val="24"/>
          <w:vertAlign w:val="subscript"/>
          <w:lang w:val="en-IN" w:eastAsia="en-IN" w:bidi="hi-IN"/>
        </w:rPr>
        <w:t>1</w:t>
      </w:r>
      <w:r w:rsidR="00CB2FFB" w:rsidRPr="009703B6">
        <w:rPr>
          <w:rFonts w:cs="Calibri"/>
          <w:sz w:val="24"/>
          <w:szCs w:val="24"/>
          <w:lang w:val="en-IN" w:eastAsia="en-IN" w:bidi="hi-IN"/>
        </w:rPr>
        <w:t xml:space="preserve"> state which has lifetime </w:t>
      </w:r>
      <w:r w:rsidR="00B9500D" w:rsidRPr="009703B6">
        <w:rPr>
          <w:rFonts w:cs="Calibri"/>
          <w:sz w:val="24"/>
          <w:szCs w:val="24"/>
          <w:lang w:val="en-IN" w:eastAsia="en-IN" w:bidi="hi-IN"/>
        </w:rPr>
        <w:t>greater than 1</w:t>
      </w:r>
      <w:r w:rsidR="0074120F" w:rsidRPr="009703B6">
        <w:rPr>
          <w:rFonts w:cs="Calibri"/>
          <w:sz w:val="24"/>
          <w:szCs w:val="24"/>
          <w:lang w:val="en-IN" w:eastAsia="en-IN" w:bidi="hi-IN"/>
        </w:rPr>
        <w:t>0</w:t>
      </w:r>
      <w:r w:rsidR="00B9500D" w:rsidRPr="009703B6">
        <w:rPr>
          <w:rFonts w:cs="Calibri"/>
          <w:sz w:val="24"/>
          <w:szCs w:val="24"/>
          <w:lang w:val="en-IN" w:eastAsia="en-IN" w:bidi="hi-IN"/>
        </w:rPr>
        <w:t xml:space="preserve"> ns </w:t>
      </w:r>
      <w:r w:rsidR="00613B77" w:rsidRPr="009703B6">
        <w:rPr>
          <w:rFonts w:cs="Calibri"/>
          <w:sz w:val="24"/>
          <w:szCs w:val="24"/>
          <w:lang w:val="en-IN" w:eastAsia="en-IN" w:bidi="hi-IN"/>
        </w:rPr>
        <w:t xml:space="preserve">and it cannot be estimated precisely from 3 ns time window data. In fact, triplet state </w:t>
      </w:r>
      <w:r w:rsidR="00B9500D" w:rsidRPr="009703B6">
        <w:rPr>
          <w:rFonts w:cs="Calibri"/>
          <w:sz w:val="24"/>
          <w:szCs w:val="24"/>
          <w:lang w:val="en-IN" w:eastAsia="en-IN" w:bidi="hi-IN"/>
        </w:rPr>
        <w:t>lifetime of ZnTPP</w:t>
      </w:r>
      <w:r w:rsidR="00C43332" w:rsidRPr="009703B6">
        <w:rPr>
          <w:rFonts w:cs="Calibri"/>
          <w:sz w:val="24"/>
          <w:szCs w:val="24"/>
          <w:lang w:val="en-IN" w:eastAsia="en-IN" w:bidi="hi-IN"/>
        </w:rPr>
        <w:t xml:space="preserve"> </w:t>
      </w:r>
      <w:r w:rsidR="00613B77" w:rsidRPr="009703B6">
        <w:rPr>
          <w:rFonts w:cs="Calibri"/>
          <w:sz w:val="24"/>
          <w:szCs w:val="24"/>
          <w:lang w:val="en-IN" w:eastAsia="en-IN" w:bidi="hi-IN"/>
        </w:rPr>
        <w:t xml:space="preserve">is </w:t>
      </w:r>
      <w:r w:rsidR="00B9500D" w:rsidRPr="009703B6">
        <w:rPr>
          <w:rFonts w:cs="Calibri"/>
          <w:sz w:val="24"/>
          <w:szCs w:val="24"/>
          <w:lang w:val="en-IN" w:eastAsia="en-IN" w:bidi="hi-IN"/>
        </w:rPr>
        <w:t>reported to be in milli second order elsewhere.</w:t>
      </w:r>
      <w:r w:rsidR="003268B6" w:rsidRPr="003268B6">
        <w:rPr>
          <w:rFonts w:cs="Calibri"/>
          <w:sz w:val="24"/>
          <w:szCs w:val="24"/>
          <w:vertAlign w:val="superscript"/>
          <w:lang w:val="en-IN" w:eastAsia="en-IN" w:bidi="hi-IN"/>
        </w:rPr>
        <w:t>37</w:t>
      </w:r>
      <w:r w:rsidR="00C43332" w:rsidRPr="009703B6">
        <w:rPr>
          <w:rFonts w:cs="Calibri"/>
          <w:color w:val="FF0000"/>
          <w:sz w:val="24"/>
          <w:szCs w:val="24"/>
          <w:vertAlign w:val="superscript"/>
          <w:lang w:val="en-IN" w:eastAsia="en-IN" w:bidi="hi-IN"/>
        </w:rPr>
        <w:t xml:space="preserve"> </w:t>
      </w:r>
      <w:r w:rsidR="00C81C94" w:rsidRPr="009703B6">
        <w:rPr>
          <w:rFonts w:cs="Calibri"/>
          <w:sz w:val="24"/>
          <w:szCs w:val="24"/>
          <w:lang w:val="en-IN" w:eastAsia="en-IN" w:bidi="hi-IN"/>
        </w:rPr>
        <w:t>However</w:t>
      </w:r>
      <w:r w:rsidR="00613B77" w:rsidRPr="009703B6">
        <w:rPr>
          <w:rFonts w:cs="Calibri"/>
          <w:sz w:val="24"/>
          <w:szCs w:val="24"/>
          <w:lang w:val="en-IN" w:eastAsia="en-IN" w:bidi="hi-IN"/>
        </w:rPr>
        <w:t xml:space="preserve">, all EADSs look nearly alike leaving </w:t>
      </w:r>
      <w:r w:rsidR="00C81C94" w:rsidRPr="009703B6">
        <w:rPr>
          <w:rFonts w:cs="Calibri"/>
          <w:sz w:val="24"/>
          <w:szCs w:val="24"/>
          <w:lang w:val="en-IN" w:eastAsia="en-IN" w:bidi="hi-IN"/>
        </w:rPr>
        <w:t>little blue</w:t>
      </w:r>
      <w:r w:rsidR="00613B77" w:rsidRPr="009703B6">
        <w:rPr>
          <w:rFonts w:cs="Calibri"/>
          <w:sz w:val="24"/>
          <w:szCs w:val="24"/>
          <w:lang w:val="en-IN" w:eastAsia="en-IN" w:bidi="hi-IN"/>
        </w:rPr>
        <w:t xml:space="preserve"> shift of negative signals corresponding to S</w:t>
      </w:r>
      <w:r w:rsidR="00613B77" w:rsidRPr="009703B6">
        <w:rPr>
          <w:rFonts w:cs="Calibri"/>
          <w:sz w:val="24"/>
          <w:szCs w:val="24"/>
          <w:vertAlign w:val="subscript"/>
          <w:lang w:val="en-IN" w:eastAsia="en-IN" w:bidi="hi-IN"/>
        </w:rPr>
        <w:t>1</w:t>
      </w:r>
      <w:r w:rsidR="00613B77" w:rsidRPr="009703B6">
        <w:rPr>
          <w:rFonts w:cs="Calibri"/>
          <w:sz w:val="24"/>
          <w:szCs w:val="24"/>
          <w:lang w:val="en-IN" w:eastAsia="en-IN" w:bidi="hi-IN"/>
        </w:rPr>
        <w:t xml:space="preserve"> state ground state absorption and fluorescence emission at around 670 nm region but corresponding DADSs are much different </w:t>
      </w:r>
      <w:r w:rsidR="0092575D" w:rsidRPr="009703B6">
        <w:rPr>
          <w:rFonts w:cs="Calibri"/>
          <w:sz w:val="24"/>
          <w:szCs w:val="24"/>
          <w:lang w:val="en-IN" w:eastAsia="en-IN" w:bidi="hi-IN"/>
        </w:rPr>
        <w:t xml:space="preserve">for each other </w:t>
      </w:r>
      <w:r w:rsidR="00613B77" w:rsidRPr="009703B6">
        <w:rPr>
          <w:rFonts w:cs="Calibri"/>
          <w:sz w:val="24"/>
          <w:szCs w:val="24"/>
          <w:lang w:val="en-IN" w:eastAsia="en-IN" w:bidi="hi-IN"/>
        </w:rPr>
        <w:t xml:space="preserve">reflecting </w:t>
      </w:r>
      <w:r w:rsidR="00C81C94" w:rsidRPr="009703B6">
        <w:rPr>
          <w:rFonts w:cs="Calibri"/>
          <w:sz w:val="24"/>
          <w:szCs w:val="24"/>
          <w:lang w:val="en-IN" w:eastAsia="en-IN" w:bidi="hi-IN"/>
        </w:rPr>
        <w:t xml:space="preserve">wavelength dependent </w:t>
      </w:r>
      <w:r w:rsidR="00613B77" w:rsidRPr="009703B6">
        <w:rPr>
          <w:rFonts w:cs="Calibri"/>
          <w:sz w:val="24"/>
          <w:szCs w:val="24"/>
          <w:lang w:val="en-IN" w:eastAsia="en-IN" w:bidi="hi-IN"/>
        </w:rPr>
        <w:t xml:space="preserve">growth and rise of </w:t>
      </w:r>
      <w:r w:rsidR="00C81C94" w:rsidRPr="009703B6">
        <w:rPr>
          <w:rFonts w:cs="Calibri"/>
          <w:sz w:val="24"/>
          <w:szCs w:val="24"/>
          <w:lang w:val="en-IN" w:eastAsia="en-IN" w:bidi="hi-IN"/>
        </w:rPr>
        <w:t xml:space="preserve">subsequent EADSs. Figure </w:t>
      </w:r>
      <w:r w:rsidR="0095709B" w:rsidRPr="009703B6">
        <w:rPr>
          <w:rFonts w:cs="Calibri"/>
          <w:sz w:val="24"/>
          <w:szCs w:val="24"/>
          <w:lang w:val="en-IN" w:eastAsia="en-IN" w:bidi="hi-IN"/>
        </w:rPr>
        <w:t>8</w:t>
      </w:r>
      <w:r w:rsidR="00632754" w:rsidRPr="009703B6">
        <w:rPr>
          <w:rFonts w:cs="Calibri"/>
          <w:sz w:val="24"/>
          <w:szCs w:val="24"/>
          <w:lang w:val="en-IN" w:eastAsia="en-IN" w:bidi="hi-IN"/>
        </w:rPr>
        <w:t xml:space="preserve"> (upper panel) shows the global analysis results for </w:t>
      </w:r>
      <w:r w:rsidR="00632754" w:rsidRPr="009703B6">
        <w:rPr>
          <w:rFonts w:cs="Calibri"/>
          <w:b/>
          <w:bCs/>
          <w:sz w:val="24"/>
          <w:szCs w:val="24"/>
          <w:lang w:val="en-IN" w:eastAsia="en-IN" w:bidi="hi-IN"/>
        </w:rPr>
        <w:t>LG</w:t>
      </w:r>
      <w:r w:rsidR="0095709B" w:rsidRPr="009703B6">
        <w:rPr>
          <w:rFonts w:cs="Calibri"/>
          <w:b/>
          <w:bCs/>
          <w:sz w:val="24"/>
          <w:szCs w:val="24"/>
          <w:lang w:val="en-IN" w:eastAsia="en-IN" w:bidi="hi-IN"/>
        </w:rPr>
        <w:t xml:space="preserve"> </w:t>
      </w:r>
      <w:r w:rsidR="00632754" w:rsidRPr="009703B6">
        <w:rPr>
          <w:rFonts w:cs="Calibri"/>
          <w:b/>
          <w:bCs/>
          <w:sz w:val="24"/>
          <w:szCs w:val="24"/>
          <w:lang w:val="en-IN" w:eastAsia="en-IN" w:bidi="hi-IN"/>
        </w:rPr>
        <w:t>28</w:t>
      </w:r>
      <w:r w:rsidR="00632754" w:rsidRPr="009703B6">
        <w:rPr>
          <w:rFonts w:cs="Calibri"/>
          <w:sz w:val="24"/>
          <w:szCs w:val="24"/>
          <w:lang w:val="en-IN" w:eastAsia="en-IN" w:bidi="hi-IN"/>
        </w:rPr>
        <w:t>+TiO</w:t>
      </w:r>
      <w:r w:rsidR="00632754" w:rsidRPr="009703B6">
        <w:rPr>
          <w:rFonts w:cs="Calibri"/>
          <w:sz w:val="24"/>
          <w:szCs w:val="24"/>
          <w:vertAlign w:val="subscript"/>
          <w:lang w:val="en-IN" w:eastAsia="en-IN" w:bidi="hi-IN"/>
        </w:rPr>
        <w:t>2</w:t>
      </w:r>
      <w:r w:rsidR="00632754" w:rsidRPr="009703B6">
        <w:rPr>
          <w:rFonts w:cs="Calibri"/>
          <w:sz w:val="24"/>
          <w:szCs w:val="24"/>
          <w:lang w:val="en-IN" w:eastAsia="en-IN" w:bidi="hi-IN"/>
        </w:rPr>
        <w:t xml:space="preserve"> which is very much parallel</w:t>
      </w:r>
      <w:r w:rsidR="00C43332" w:rsidRPr="009703B6">
        <w:rPr>
          <w:rFonts w:cs="Calibri"/>
          <w:sz w:val="24"/>
          <w:szCs w:val="24"/>
          <w:lang w:val="en-IN" w:eastAsia="en-IN" w:bidi="hi-IN"/>
        </w:rPr>
        <w:t xml:space="preserve"> </w:t>
      </w:r>
      <w:r w:rsidR="004626EE" w:rsidRPr="009703B6">
        <w:rPr>
          <w:rFonts w:cs="Calibri"/>
          <w:sz w:val="24"/>
          <w:szCs w:val="24"/>
          <w:lang w:val="en-IN" w:eastAsia="en-IN" w:bidi="hi-IN"/>
        </w:rPr>
        <w:t>in terms of number of component</w:t>
      </w:r>
      <w:r w:rsidR="00FC31B0" w:rsidRPr="009703B6">
        <w:rPr>
          <w:rFonts w:cs="Calibri"/>
          <w:sz w:val="24"/>
          <w:szCs w:val="24"/>
          <w:lang w:val="en-IN" w:eastAsia="en-IN" w:bidi="hi-IN"/>
        </w:rPr>
        <w:t>s</w:t>
      </w:r>
      <w:r w:rsidR="00EF0725" w:rsidRPr="009703B6">
        <w:rPr>
          <w:rFonts w:cs="Calibri"/>
          <w:sz w:val="24"/>
          <w:szCs w:val="24"/>
          <w:lang w:val="en-IN" w:eastAsia="en-IN" w:bidi="hi-IN"/>
        </w:rPr>
        <w:t xml:space="preserve"> that observed for </w:t>
      </w:r>
      <w:r w:rsidR="00EF0725" w:rsidRPr="009703B6">
        <w:rPr>
          <w:rFonts w:cs="Calibri"/>
          <w:b/>
          <w:bCs/>
          <w:sz w:val="24"/>
          <w:szCs w:val="24"/>
          <w:lang w:val="en-IN" w:eastAsia="en-IN" w:bidi="hi-IN"/>
        </w:rPr>
        <w:t>LG</w:t>
      </w:r>
      <w:r w:rsidR="0095709B" w:rsidRPr="009703B6">
        <w:rPr>
          <w:rFonts w:cs="Calibri"/>
          <w:b/>
          <w:bCs/>
          <w:sz w:val="24"/>
          <w:szCs w:val="24"/>
          <w:lang w:val="en-IN" w:eastAsia="en-IN" w:bidi="hi-IN"/>
        </w:rPr>
        <w:t xml:space="preserve"> </w:t>
      </w:r>
      <w:r w:rsidR="00EF0725" w:rsidRPr="009703B6">
        <w:rPr>
          <w:rFonts w:cs="Calibri"/>
          <w:b/>
          <w:bCs/>
          <w:sz w:val="24"/>
          <w:szCs w:val="24"/>
          <w:lang w:val="en-IN" w:eastAsia="en-IN" w:bidi="hi-IN"/>
        </w:rPr>
        <w:t>28</w:t>
      </w:r>
      <w:r w:rsidR="00EF0725" w:rsidRPr="009703B6">
        <w:rPr>
          <w:rFonts w:cs="Calibri"/>
          <w:sz w:val="24"/>
          <w:szCs w:val="24"/>
          <w:lang w:val="en-IN" w:eastAsia="en-IN" w:bidi="hi-IN"/>
        </w:rPr>
        <w:t>.</w:t>
      </w:r>
      <w:r w:rsidR="00C43332" w:rsidRPr="009703B6">
        <w:rPr>
          <w:rFonts w:cs="Calibri"/>
          <w:sz w:val="24"/>
          <w:szCs w:val="24"/>
          <w:lang w:val="en-IN" w:eastAsia="en-IN" w:bidi="hi-IN"/>
        </w:rPr>
        <w:t xml:space="preserve"> </w:t>
      </w:r>
      <w:r w:rsidR="00EF0725" w:rsidRPr="009703B6">
        <w:rPr>
          <w:rFonts w:cs="Calibri"/>
          <w:sz w:val="24"/>
          <w:szCs w:val="24"/>
          <w:lang w:val="en-IN" w:eastAsia="en-IN" w:bidi="hi-IN"/>
        </w:rPr>
        <w:t>In this case lifetime of the first three components decreases substantially whereas almost no change in fourth component</w:t>
      </w:r>
      <w:r w:rsidR="004626EE" w:rsidRPr="009703B6">
        <w:rPr>
          <w:rFonts w:cs="Calibri"/>
          <w:sz w:val="24"/>
          <w:szCs w:val="24"/>
          <w:lang w:val="en-IN" w:eastAsia="en-IN" w:bidi="hi-IN"/>
        </w:rPr>
        <w:t xml:space="preserve"> which is long-lived</w:t>
      </w:r>
      <w:r w:rsidR="00EF0725" w:rsidRPr="009703B6">
        <w:rPr>
          <w:rFonts w:cs="Calibri"/>
          <w:sz w:val="24"/>
          <w:szCs w:val="24"/>
          <w:lang w:val="en-IN" w:eastAsia="en-IN" w:bidi="hi-IN"/>
        </w:rPr>
        <w:t xml:space="preserve">. </w:t>
      </w:r>
      <w:r w:rsidR="00CA0A79" w:rsidRPr="009703B6">
        <w:rPr>
          <w:rFonts w:cs="Calibri"/>
          <w:sz w:val="24"/>
          <w:szCs w:val="24"/>
          <w:lang w:val="en-IN" w:eastAsia="en-IN" w:bidi="hi-IN"/>
        </w:rPr>
        <w:t>The lifetime of first EADS</w:t>
      </w:r>
      <w:r w:rsidR="00CA0A79" w:rsidRPr="009703B6">
        <w:rPr>
          <w:rFonts w:cs="Calibri"/>
          <w:sz w:val="24"/>
          <w:szCs w:val="24"/>
          <w:vertAlign w:val="subscript"/>
          <w:lang w:val="en-IN" w:eastAsia="en-IN" w:bidi="hi-IN"/>
        </w:rPr>
        <w:t>1</w:t>
      </w:r>
      <w:r w:rsidR="00CA0A79" w:rsidRPr="009703B6">
        <w:rPr>
          <w:rFonts w:cs="Calibri"/>
          <w:sz w:val="24"/>
          <w:szCs w:val="24"/>
          <w:lang w:val="en-IN" w:eastAsia="en-IN" w:bidi="hi-IN"/>
        </w:rPr>
        <w:t xml:space="preserve"> is 2 ps , the lifetime of second (EADS</w:t>
      </w:r>
      <w:r w:rsidR="00CA0A79" w:rsidRPr="009703B6">
        <w:rPr>
          <w:rFonts w:cs="Calibri"/>
          <w:sz w:val="24"/>
          <w:szCs w:val="24"/>
          <w:vertAlign w:val="subscript"/>
          <w:lang w:val="en-IN" w:eastAsia="en-IN" w:bidi="hi-IN"/>
        </w:rPr>
        <w:t>2</w:t>
      </w:r>
      <w:r w:rsidR="00CA0A79" w:rsidRPr="009703B6">
        <w:rPr>
          <w:rFonts w:cs="Calibri"/>
          <w:sz w:val="24"/>
          <w:szCs w:val="24"/>
          <w:lang w:val="en-IN" w:eastAsia="en-IN" w:bidi="hi-IN"/>
        </w:rPr>
        <w:t>) and third (EADS</w:t>
      </w:r>
      <w:r w:rsidR="00CA0A79" w:rsidRPr="009703B6">
        <w:rPr>
          <w:rFonts w:cs="Calibri"/>
          <w:sz w:val="24"/>
          <w:szCs w:val="24"/>
          <w:vertAlign w:val="subscript"/>
          <w:lang w:val="en-IN" w:eastAsia="en-IN" w:bidi="hi-IN"/>
        </w:rPr>
        <w:t>3</w:t>
      </w:r>
      <w:r w:rsidR="00CA0A79" w:rsidRPr="009703B6">
        <w:rPr>
          <w:rFonts w:cs="Calibri"/>
          <w:sz w:val="24"/>
          <w:szCs w:val="24"/>
          <w:lang w:val="en-IN" w:eastAsia="en-IN" w:bidi="hi-IN"/>
        </w:rPr>
        <w:t xml:space="preserve"> ) quenched strongly and they reduce to 19 ps from 255 ps and 400 ps from 1.9 ns respectively  in </w:t>
      </w:r>
      <w:r w:rsidR="00CA0A79" w:rsidRPr="009703B6">
        <w:rPr>
          <w:rFonts w:cs="Calibri"/>
          <w:b/>
          <w:bCs/>
          <w:sz w:val="24"/>
          <w:szCs w:val="24"/>
          <w:lang w:val="en-IN" w:eastAsia="en-IN" w:bidi="hi-IN"/>
        </w:rPr>
        <w:t>LG</w:t>
      </w:r>
      <w:r w:rsidR="0095709B" w:rsidRPr="009703B6">
        <w:rPr>
          <w:rFonts w:cs="Calibri"/>
          <w:b/>
          <w:bCs/>
          <w:sz w:val="24"/>
          <w:szCs w:val="24"/>
          <w:lang w:val="en-IN" w:eastAsia="en-IN" w:bidi="hi-IN"/>
        </w:rPr>
        <w:t xml:space="preserve"> </w:t>
      </w:r>
      <w:r w:rsidR="00CA0A79" w:rsidRPr="009703B6">
        <w:rPr>
          <w:rFonts w:cs="Calibri"/>
          <w:b/>
          <w:bCs/>
          <w:sz w:val="24"/>
          <w:szCs w:val="24"/>
          <w:lang w:val="en-IN" w:eastAsia="en-IN" w:bidi="hi-IN"/>
        </w:rPr>
        <w:t>28</w:t>
      </w:r>
      <w:r w:rsidR="00CA0A79" w:rsidRPr="009703B6">
        <w:rPr>
          <w:rFonts w:cs="Calibri"/>
          <w:sz w:val="24"/>
          <w:szCs w:val="24"/>
          <w:lang w:val="en-IN" w:eastAsia="en-IN" w:bidi="hi-IN"/>
        </w:rPr>
        <w:t>+TiO</w:t>
      </w:r>
      <w:r w:rsidR="00CA0A79" w:rsidRPr="009703B6">
        <w:rPr>
          <w:rFonts w:cs="Calibri"/>
          <w:sz w:val="24"/>
          <w:szCs w:val="24"/>
          <w:vertAlign w:val="subscript"/>
          <w:lang w:val="en-IN" w:eastAsia="en-IN" w:bidi="hi-IN"/>
        </w:rPr>
        <w:t>2</w:t>
      </w:r>
      <w:r w:rsidR="00CA0A79" w:rsidRPr="009703B6">
        <w:rPr>
          <w:rFonts w:cs="Calibri"/>
          <w:sz w:val="24"/>
          <w:szCs w:val="24"/>
          <w:lang w:val="en-IN" w:eastAsia="en-IN" w:bidi="hi-IN"/>
        </w:rPr>
        <w:t xml:space="preserve">. </w:t>
      </w:r>
      <w:r w:rsidR="00EF0725" w:rsidRPr="009703B6">
        <w:rPr>
          <w:rFonts w:cs="Calibri"/>
          <w:sz w:val="24"/>
          <w:szCs w:val="24"/>
          <w:lang w:val="en-IN" w:eastAsia="en-IN" w:bidi="hi-IN"/>
        </w:rPr>
        <w:t xml:space="preserve">Note, </w:t>
      </w:r>
      <w:r w:rsidR="00CA0A79" w:rsidRPr="009703B6">
        <w:rPr>
          <w:rFonts w:cs="Calibri"/>
          <w:sz w:val="24"/>
          <w:szCs w:val="24"/>
          <w:lang w:val="en-IN" w:eastAsia="en-IN" w:bidi="hi-IN"/>
        </w:rPr>
        <w:t>t</w:t>
      </w:r>
      <w:r w:rsidR="004626EE" w:rsidRPr="009703B6">
        <w:rPr>
          <w:rFonts w:cs="Calibri"/>
          <w:sz w:val="24"/>
          <w:szCs w:val="24"/>
          <w:lang w:val="en-IN" w:eastAsia="en-IN" w:bidi="hi-IN"/>
        </w:rPr>
        <w:t xml:space="preserve">his decrease </w:t>
      </w:r>
      <w:r w:rsidR="00CA0A79" w:rsidRPr="009703B6">
        <w:rPr>
          <w:rFonts w:cs="Calibri"/>
          <w:sz w:val="24"/>
          <w:szCs w:val="24"/>
          <w:lang w:val="en-IN" w:eastAsia="en-IN" w:bidi="hi-IN"/>
        </w:rPr>
        <w:t xml:space="preserve">of lifetime in </w:t>
      </w:r>
      <w:r w:rsidR="00CA0A79" w:rsidRPr="009703B6">
        <w:rPr>
          <w:rFonts w:cs="Calibri"/>
          <w:b/>
          <w:bCs/>
          <w:sz w:val="24"/>
          <w:szCs w:val="24"/>
          <w:lang w:val="en-IN" w:eastAsia="en-IN" w:bidi="hi-IN"/>
        </w:rPr>
        <w:t>LG</w:t>
      </w:r>
      <w:r w:rsidR="0095709B" w:rsidRPr="009703B6">
        <w:rPr>
          <w:rFonts w:cs="Calibri"/>
          <w:b/>
          <w:bCs/>
          <w:sz w:val="24"/>
          <w:szCs w:val="24"/>
          <w:lang w:val="en-IN" w:eastAsia="en-IN" w:bidi="hi-IN"/>
        </w:rPr>
        <w:t xml:space="preserve"> </w:t>
      </w:r>
      <w:r w:rsidR="00CA0A79" w:rsidRPr="009703B6">
        <w:rPr>
          <w:rFonts w:cs="Calibri"/>
          <w:b/>
          <w:bCs/>
          <w:sz w:val="24"/>
          <w:szCs w:val="24"/>
          <w:lang w:val="en-IN" w:eastAsia="en-IN" w:bidi="hi-IN"/>
        </w:rPr>
        <w:t>28</w:t>
      </w:r>
      <w:r w:rsidR="00CA0A79" w:rsidRPr="009703B6">
        <w:rPr>
          <w:rFonts w:cs="Calibri"/>
          <w:sz w:val="24"/>
          <w:szCs w:val="24"/>
          <w:lang w:val="en-IN" w:eastAsia="en-IN" w:bidi="hi-IN"/>
        </w:rPr>
        <w:t>+TiO</w:t>
      </w:r>
      <w:r w:rsidR="00CA0A79" w:rsidRPr="009703B6">
        <w:rPr>
          <w:rFonts w:cs="Calibri"/>
          <w:sz w:val="24"/>
          <w:szCs w:val="24"/>
          <w:vertAlign w:val="subscript"/>
          <w:lang w:val="en-IN" w:eastAsia="en-IN" w:bidi="hi-IN"/>
        </w:rPr>
        <w:t>2</w:t>
      </w:r>
      <w:r w:rsidR="00CA0A79" w:rsidRPr="009703B6">
        <w:rPr>
          <w:rFonts w:cs="Calibri"/>
          <w:sz w:val="24"/>
          <w:szCs w:val="24"/>
          <w:lang w:val="en-IN" w:eastAsia="en-IN" w:bidi="hi-IN"/>
        </w:rPr>
        <w:t xml:space="preserve"> case is </w:t>
      </w:r>
      <w:r w:rsidR="00CA0A79" w:rsidRPr="009703B6">
        <w:rPr>
          <w:rFonts w:cs="Calibri"/>
          <w:sz w:val="24"/>
          <w:szCs w:val="24"/>
          <w:lang w:val="en-IN" w:eastAsia="en-IN" w:bidi="hi-IN"/>
        </w:rPr>
        <w:lastRenderedPageBreak/>
        <w:t xml:space="preserve">associated to electron injection from each state </w:t>
      </w:r>
      <w:r w:rsidR="001F6B98" w:rsidRPr="009703B6">
        <w:rPr>
          <w:rFonts w:cs="Calibri"/>
          <w:b/>
          <w:bCs/>
          <w:sz w:val="24"/>
          <w:szCs w:val="24"/>
          <w:lang w:val="en-IN" w:eastAsia="en-IN" w:bidi="hi-IN"/>
        </w:rPr>
        <w:t>LG</w:t>
      </w:r>
      <w:r w:rsidR="0095709B" w:rsidRPr="009703B6">
        <w:rPr>
          <w:rFonts w:cs="Calibri"/>
          <w:b/>
          <w:bCs/>
          <w:sz w:val="24"/>
          <w:szCs w:val="24"/>
          <w:lang w:val="en-IN" w:eastAsia="en-IN" w:bidi="hi-IN"/>
        </w:rPr>
        <w:t xml:space="preserve"> </w:t>
      </w:r>
      <w:r w:rsidR="001F6B98" w:rsidRPr="009703B6">
        <w:rPr>
          <w:rFonts w:cs="Calibri"/>
          <w:b/>
          <w:bCs/>
          <w:sz w:val="24"/>
          <w:szCs w:val="24"/>
          <w:lang w:val="en-IN" w:eastAsia="en-IN" w:bidi="hi-IN"/>
        </w:rPr>
        <w:t>28</w:t>
      </w:r>
      <w:r w:rsidR="00C43332" w:rsidRPr="009703B6">
        <w:rPr>
          <w:rFonts w:cs="Calibri"/>
          <w:b/>
          <w:bCs/>
          <w:sz w:val="24"/>
          <w:szCs w:val="24"/>
          <w:lang w:val="en-IN" w:eastAsia="en-IN" w:bidi="hi-IN"/>
        </w:rPr>
        <w:t xml:space="preserve"> </w:t>
      </w:r>
      <w:r w:rsidR="00CA0A79" w:rsidRPr="009703B6">
        <w:rPr>
          <w:rFonts w:cs="Calibri"/>
          <w:sz w:val="24"/>
          <w:szCs w:val="24"/>
          <w:lang w:val="en-IN" w:eastAsia="en-IN" w:bidi="hi-IN"/>
        </w:rPr>
        <w:t>to TiO</w:t>
      </w:r>
      <w:r w:rsidR="00CA0A79" w:rsidRPr="009703B6">
        <w:rPr>
          <w:rFonts w:cs="Calibri"/>
          <w:sz w:val="24"/>
          <w:szCs w:val="24"/>
          <w:vertAlign w:val="subscript"/>
          <w:lang w:val="en-IN" w:eastAsia="en-IN" w:bidi="hi-IN"/>
        </w:rPr>
        <w:t xml:space="preserve">2. </w:t>
      </w:r>
      <w:r w:rsidR="0095709B" w:rsidRPr="009703B6">
        <w:rPr>
          <w:rFonts w:cs="Calibri"/>
          <w:sz w:val="24"/>
          <w:szCs w:val="24"/>
          <w:vertAlign w:val="subscript"/>
          <w:lang w:val="en-IN" w:eastAsia="en-IN" w:bidi="hi-IN"/>
        </w:rPr>
        <w:t xml:space="preserve"> </w:t>
      </w:r>
      <w:r w:rsidR="00CA0A79" w:rsidRPr="009703B6">
        <w:rPr>
          <w:rFonts w:cs="Calibri"/>
          <w:sz w:val="24"/>
          <w:szCs w:val="24"/>
          <w:lang w:val="en-IN" w:eastAsia="en-IN" w:bidi="hi-IN"/>
        </w:rPr>
        <w:t>Since</w:t>
      </w:r>
      <w:r w:rsidR="00C43332" w:rsidRPr="009703B6">
        <w:rPr>
          <w:rFonts w:cs="Calibri"/>
          <w:sz w:val="24"/>
          <w:szCs w:val="24"/>
          <w:lang w:val="en-IN" w:eastAsia="en-IN" w:bidi="hi-IN"/>
        </w:rPr>
        <w:t xml:space="preserve"> </w:t>
      </w:r>
      <w:r w:rsidR="00CA0A79" w:rsidRPr="009703B6">
        <w:rPr>
          <w:rFonts w:cs="Calibri"/>
          <w:sz w:val="24"/>
          <w:szCs w:val="24"/>
          <w:lang w:val="en-IN" w:eastAsia="en-IN" w:bidi="hi-IN"/>
        </w:rPr>
        <w:t>electron injection competes with all radiative and non</w:t>
      </w:r>
      <w:r w:rsidR="00702E26" w:rsidRPr="009703B6">
        <w:rPr>
          <w:rFonts w:cs="Calibri"/>
          <w:sz w:val="24"/>
          <w:szCs w:val="24"/>
          <w:lang w:val="en-IN" w:eastAsia="en-IN" w:bidi="hi-IN"/>
        </w:rPr>
        <w:t>radiative decays population of T</w:t>
      </w:r>
      <w:r w:rsidR="00702E26" w:rsidRPr="009703B6">
        <w:rPr>
          <w:rFonts w:cs="Calibri"/>
          <w:sz w:val="24"/>
          <w:szCs w:val="24"/>
          <w:vertAlign w:val="subscript"/>
          <w:lang w:val="en-IN" w:eastAsia="en-IN" w:bidi="hi-IN"/>
        </w:rPr>
        <w:t>1</w:t>
      </w:r>
      <w:r w:rsidR="00702E26" w:rsidRPr="009703B6">
        <w:rPr>
          <w:rFonts w:cs="Calibri"/>
          <w:sz w:val="24"/>
          <w:szCs w:val="24"/>
          <w:lang w:val="en-IN" w:eastAsia="en-IN" w:bidi="hi-IN"/>
        </w:rPr>
        <w:t xml:space="preserve"> state is minimize</w:t>
      </w:r>
      <w:r w:rsidR="00FC31B0" w:rsidRPr="009703B6">
        <w:rPr>
          <w:rFonts w:cs="Calibri"/>
          <w:sz w:val="24"/>
          <w:szCs w:val="24"/>
          <w:lang w:val="en-IN" w:eastAsia="en-IN" w:bidi="hi-IN"/>
        </w:rPr>
        <w:t>d</w:t>
      </w:r>
      <w:r w:rsidR="00702E26" w:rsidRPr="009703B6">
        <w:rPr>
          <w:rFonts w:cs="Calibri"/>
          <w:sz w:val="24"/>
          <w:szCs w:val="24"/>
          <w:lang w:val="en-IN" w:eastAsia="en-IN" w:bidi="hi-IN"/>
        </w:rPr>
        <w:t xml:space="preserve">. </w:t>
      </w:r>
      <w:r w:rsidR="006966A8" w:rsidRPr="009703B6">
        <w:rPr>
          <w:rFonts w:cs="Calibri"/>
          <w:sz w:val="24"/>
          <w:szCs w:val="24"/>
          <w:lang w:val="en-IN" w:eastAsia="en-IN" w:bidi="hi-IN"/>
        </w:rPr>
        <w:t>Therefore,</w:t>
      </w:r>
      <w:r w:rsidR="00702E26" w:rsidRPr="009703B6">
        <w:rPr>
          <w:rFonts w:cs="Calibri"/>
          <w:sz w:val="24"/>
          <w:szCs w:val="24"/>
          <w:lang w:val="en-IN" w:eastAsia="en-IN" w:bidi="hi-IN"/>
        </w:rPr>
        <w:t xml:space="preserve"> fourth component in this case </w:t>
      </w:r>
      <w:r w:rsidR="00336620">
        <w:rPr>
          <w:rFonts w:cs="Calibri"/>
          <w:sz w:val="24"/>
          <w:szCs w:val="24"/>
          <w:lang w:val="en-IN" w:eastAsia="en-IN" w:bidi="hi-IN"/>
        </w:rPr>
        <w:t xml:space="preserve">is </w:t>
      </w:r>
      <w:r w:rsidR="00702E26" w:rsidRPr="009703B6">
        <w:rPr>
          <w:rFonts w:cs="Calibri"/>
          <w:sz w:val="24"/>
          <w:szCs w:val="24"/>
          <w:lang w:val="en-IN" w:eastAsia="en-IN" w:bidi="hi-IN"/>
        </w:rPr>
        <w:t xml:space="preserve">predominately due to charge separated state and lifetime of this state is </w:t>
      </w:r>
      <w:r w:rsidR="00FC31B0" w:rsidRPr="009703B6">
        <w:rPr>
          <w:rFonts w:cs="Calibri"/>
          <w:sz w:val="24"/>
          <w:szCs w:val="24"/>
          <w:lang w:val="en-IN" w:eastAsia="en-IN" w:bidi="hi-IN"/>
        </w:rPr>
        <w:t>tend</w:t>
      </w:r>
      <w:r w:rsidR="00702E26" w:rsidRPr="009703B6">
        <w:rPr>
          <w:rFonts w:cs="Calibri"/>
          <w:sz w:val="24"/>
          <w:szCs w:val="24"/>
          <w:lang w:val="en-IN" w:eastAsia="en-IN" w:bidi="hi-IN"/>
        </w:rPr>
        <w:t xml:space="preserve"> to be morethan 13 ns. </w:t>
      </w:r>
      <w:r w:rsidR="00FC31B0" w:rsidRPr="009703B6">
        <w:rPr>
          <w:rFonts w:cs="Calibri"/>
          <w:sz w:val="24"/>
          <w:szCs w:val="24"/>
          <w:lang w:val="en-IN" w:eastAsia="en-IN" w:bidi="hi-IN"/>
        </w:rPr>
        <w:t>It is worthy to mention here that exact estimation of the lifetime of this component is hard in 3 ns time window data but it provides the broad limit. Therefor</w:t>
      </w:r>
      <w:r w:rsidR="006966A8" w:rsidRPr="009703B6">
        <w:rPr>
          <w:rFonts w:cs="Calibri"/>
          <w:sz w:val="24"/>
          <w:szCs w:val="24"/>
          <w:lang w:val="en-IN" w:eastAsia="en-IN" w:bidi="hi-IN"/>
        </w:rPr>
        <w:t>e</w:t>
      </w:r>
      <w:r w:rsidR="00FC31B0" w:rsidRPr="009703B6">
        <w:rPr>
          <w:rFonts w:cs="Calibri"/>
          <w:sz w:val="24"/>
          <w:szCs w:val="24"/>
          <w:lang w:val="en-IN" w:eastAsia="en-IN" w:bidi="hi-IN"/>
        </w:rPr>
        <w:t xml:space="preserve">, </w:t>
      </w:r>
      <w:r w:rsidR="006966A8" w:rsidRPr="009703B6">
        <w:rPr>
          <w:rFonts w:cs="Calibri"/>
          <w:sz w:val="24"/>
          <w:szCs w:val="24"/>
          <w:lang w:val="en-IN" w:eastAsia="en-IN" w:bidi="hi-IN"/>
        </w:rPr>
        <w:t xml:space="preserve">these results clearly suggest </w:t>
      </w:r>
      <w:r w:rsidR="00EE1FEC" w:rsidRPr="009703B6">
        <w:rPr>
          <w:rFonts w:cs="Calibri"/>
          <w:sz w:val="24"/>
          <w:szCs w:val="24"/>
          <w:lang w:val="en-IN" w:eastAsia="en-IN" w:bidi="hi-IN"/>
        </w:rPr>
        <w:t xml:space="preserve">that upon self-assembled of </w:t>
      </w:r>
      <w:r w:rsidR="00EE1FEC" w:rsidRPr="009703B6">
        <w:rPr>
          <w:rFonts w:cs="Calibri"/>
          <w:b/>
          <w:sz w:val="24"/>
          <w:szCs w:val="24"/>
          <w:lang w:val="en-IN" w:eastAsia="en-IN" w:bidi="hi-IN"/>
        </w:rPr>
        <w:t>LG</w:t>
      </w:r>
      <w:r w:rsidR="0095709B" w:rsidRPr="009703B6">
        <w:rPr>
          <w:rFonts w:cs="Calibri"/>
          <w:b/>
          <w:sz w:val="24"/>
          <w:szCs w:val="24"/>
          <w:lang w:val="en-IN" w:eastAsia="en-IN" w:bidi="hi-IN"/>
        </w:rPr>
        <w:t xml:space="preserve"> </w:t>
      </w:r>
      <w:r w:rsidR="00EE1FEC" w:rsidRPr="009703B6">
        <w:rPr>
          <w:rFonts w:cs="Calibri"/>
          <w:b/>
          <w:sz w:val="24"/>
          <w:szCs w:val="24"/>
          <w:lang w:val="en-IN" w:eastAsia="en-IN" w:bidi="hi-IN"/>
        </w:rPr>
        <w:t>28</w:t>
      </w:r>
      <w:r w:rsidR="00EE1FEC" w:rsidRPr="009703B6">
        <w:rPr>
          <w:rFonts w:cs="Calibri"/>
          <w:sz w:val="24"/>
          <w:szCs w:val="24"/>
          <w:lang w:val="en-IN" w:eastAsia="en-IN" w:bidi="hi-IN"/>
        </w:rPr>
        <w:t xml:space="preserve"> with TiO</w:t>
      </w:r>
      <w:r w:rsidR="00EE1FEC" w:rsidRPr="009703B6">
        <w:rPr>
          <w:rFonts w:cs="Calibri"/>
          <w:sz w:val="24"/>
          <w:szCs w:val="24"/>
          <w:vertAlign w:val="subscript"/>
          <w:lang w:val="en-IN" w:eastAsia="en-IN" w:bidi="hi-IN"/>
        </w:rPr>
        <w:t>2</w:t>
      </w:r>
      <w:r w:rsidR="00EE1FEC" w:rsidRPr="009703B6">
        <w:rPr>
          <w:rFonts w:cs="Calibri"/>
          <w:sz w:val="24"/>
          <w:szCs w:val="24"/>
          <w:lang w:val="en-IN" w:eastAsia="en-IN" w:bidi="hi-IN"/>
        </w:rPr>
        <w:t xml:space="preserve"> efficient electron injection occurred from </w:t>
      </w:r>
      <w:r w:rsidR="00EE1FEC" w:rsidRPr="009703B6">
        <w:rPr>
          <w:rFonts w:cs="Calibri"/>
          <w:b/>
          <w:sz w:val="24"/>
          <w:szCs w:val="24"/>
          <w:lang w:val="en-IN" w:eastAsia="en-IN" w:bidi="hi-IN"/>
        </w:rPr>
        <w:t>LG</w:t>
      </w:r>
      <w:r w:rsidR="0095709B" w:rsidRPr="009703B6">
        <w:rPr>
          <w:rFonts w:cs="Calibri"/>
          <w:b/>
          <w:sz w:val="24"/>
          <w:szCs w:val="24"/>
          <w:lang w:val="en-IN" w:eastAsia="en-IN" w:bidi="hi-IN"/>
        </w:rPr>
        <w:t xml:space="preserve"> </w:t>
      </w:r>
      <w:r w:rsidR="00EE1FEC" w:rsidRPr="009703B6">
        <w:rPr>
          <w:rFonts w:cs="Calibri"/>
          <w:b/>
          <w:sz w:val="24"/>
          <w:szCs w:val="24"/>
          <w:lang w:val="en-IN" w:eastAsia="en-IN" w:bidi="hi-IN"/>
        </w:rPr>
        <w:t>28</w:t>
      </w:r>
      <w:r w:rsidR="00EE1FEC" w:rsidRPr="009703B6">
        <w:rPr>
          <w:rFonts w:cs="Calibri"/>
          <w:sz w:val="24"/>
          <w:szCs w:val="24"/>
          <w:lang w:val="en-IN" w:eastAsia="en-IN" w:bidi="hi-IN"/>
        </w:rPr>
        <w:t xml:space="preserve"> to TiO</w:t>
      </w:r>
      <w:r w:rsidR="00EE1FEC" w:rsidRPr="009703B6">
        <w:rPr>
          <w:rFonts w:cs="Calibri"/>
          <w:sz w:val="24"/>
          <w:szCs w:val="24"/>
          <w:vertAlign w:val="subscript"/>
          <w:lang w:val="en-IN" w:eastAsia="en-IN" w:bidi="hi-IN"/>
        </w:rPr>
        <w:t>2</w:t>
      </w:r>
      <w:r w:rsidR="00EE1FEC" w:rsidRPr="009703B6">
        <w:rPr>
          <w:rFonts w:cs="Calibri"/>
          <w:sz w:val="24"/>
          <w:szCs w:val="24"/>
          <w:lang w:val="en-IN" w:eastAsia="en-IN" w:bidi="hi-IN"/>
        </w:rPr>
        <w:t xml:space="preserve"> with overall rate of electron injection of 3.84 x</w:t>
      </w:r>
      <w:r w:rsidR="0095709B" w:rsidRPr="009703B6">
        <w:rPr>
          <w:rFonts w:cs="Calibri"/>
          <w:sz w:val="24"/>
          <w:szCs w:val="24"/>
          <w:lang w:val="en-IN" w:eastAsia="en-IN" w:bidi="hi-IN"/>
        </w:rPr>
        <w:t xml:space="preserve"> </w:t>
      </w:r>
      <w:r w:rsidR="00EE1FEC" w:rsidRPr="009703B6">
        <w:rPr>
          <w:rFonts w:cs="Calibri"/>
          <w:sz w:val="24"/>
          <w:szCs w:val="24"/>
          <w:lang w:val="en-IN" w:eastAsia="en-IN" w:bidi="hi-IN"/>
        </w:rPr>
        <w:t>10</w:t>
      </w:r>
      <w:r w:rsidR="00EE1FEC" w:rsidRPr="009703B6">
        <w:rPr>
          <w:rFonts w:cs="Calibri"/>
          <w:sz w:val="24"/>
          <w:szCs w:val="24"/>
          <w:vertAlign w:val="superscript"/>
          <w:lang w:val="en-IN" w:eastAsia="en-IN" w:bidi="hi-IN"/>
        </w:rPr>
        <w:t>11</w:t>
      </w:r>
      <w:r w:rsidR="00EE1FEC" w:rsidRPr="009703B6">
        <w:rPr>
          <w:rFonts w:cs="Calibri"/>
          <w:sz w:val="24"/>
          <w:szCs w:val="24"/>
          <w:lang w:val="en-IN" w:eastAsia="en-IN" w:bidi="hi-IN"/>
        </w:rPr>
        <w:t xml:space="preserve"> s</w:t>
      </w:r>
      <w:r w:rsidR="00EE1FEC" w:rsidRPr="009703B6">
        <w:rPr>
          <w:rFonts w:cs="Calibri"/>
          <w:sz w:val="24"/>
          <w:szCs w:val="24"/>
          <w:vertAlign w:val="superscript"/>
          <w:lang w:val="en-IN" w:eastAsia="en-IN" w:bidi="hi-IN"/>
        </w:rPr>
        <w:t>-1</w:t>
      </w:r>
      <w:r w:rsidR="00EE1FEC" w:rsidRPr="009703B6">
        <w:rPr>
          <w:rFonts w:cs="Calibri"/>
          <w:sz w:val="24"/>
          <w:szCs w:val="24"/>
          <w:lang w:val="en-IN" w:eastAsia="en-IN" w:bidi="hi-IN"/>
        </w:rPr>
        <w:t xml:space="preserve">. Likewise, in </w:t>
      </w:r>
      <w:r w:rsidR="00EE1FEC" w:rsidRPr="009703B6">
        <w:rPr>
          <w:rFonts w:cs="Calibri"/>
          <w:b/>
          <w:bCs/>
          <w:sz w:val="24"/>
          <w:szCs w:val="24"/>
          <w:lang w:val="en-IN" w:eastAsia="en-IN" w:bidi="hi-IN"/>
        </w:rPr>
        <w:t>LG</w:t>
      </w:r>
      <w:r w:rsidR="0095709B" w:rsidRPr="009703B6">
        <w:rPr>
          <w:rFonts w:cs="Calibri"/>
          <w:b/>
          <w:bCs/>
          <w:sz w:val="24"/>
          <w:szCs w:val="24"/>
          <w:lang w:val="en-IN" w:eastAsia="en-IN" w:bidi="hi-IN"/>
        </w:rPr>
        <w:t xml:space="preserve"> </w:t>
      </w:r>
      <w:r w:rsidR="00EE1FEC" w:rsidRPr="009703B6">
        <w:rPr>
          <w:rFonts w:cs="Calibri"/>
          <w:b/>
          <w:bCs/>
          <w:sz w:val="24"/>
          <w:szCs w:val="24"/>
          <w:lang w:val="en-IN" w:eastAsia="en-IN" w:bidi="hi-IN"/>
        </w:rPr>
        <w:t xml:space="preserve">28 </w:t>
      </w:r>
      <w:r w:rsidR="00EE1FEC" w:rsidRPr="009703B6">
        <w:rPr>
          <w:rFonts w:cs="Calibri"/>
          <w:sz w:val="24"/>
          <w:szCs w:val="24"/>
          <w:lang w:val="en-IN" w:eastAsia="en-IN" w:bidi="hi-IN"/>
        </w:rPr>
        <w:t xml:space="preserve">case, similar set of femtosecond transient experiments were performed with identical condition for </w:t>
      </w:r>
      <w:r w:rsidR="00EE1FEC" w:rsidRPr="009703B6">
        <w:rPr>
          <w:rFonts w:cs="Calibri"/>
          <w:b/>
          <w:bCs/>
          <w:sz w:val="24"/>
          <w:szCs w:val="24"/>
          <w:lang w:val="en-IN" w:eastAsia="en-IN" w:bidi="hi-IN"/>
        </w:rPr>
        <w:t>LG</w:t>
      </w:r>
      <w:r w:rsidR="0095709B" w:rsidRPr="009703B6">
        <w:rPr>
          <w:rFonts w:cs="Calibri"/>
          <w:b/>
          <w:bCs/>
          <w:sz w:val="24"/>
          <w:szCs w:val="24"/>
          <w:lang w:val="en-IN" w:eastAsia="en-IN" w:bidi="hi-IN"/>
        </w:rPr>
        <w:t xml:space="preserve"> </w:t>
      </w:r>
      <w:r w:rsidR="00EE1FEC" w:rsidRPr="009703B6">
        <w:rPr>
          <w:rFonts w:cs="Calibri"/>
          <w:b/>
          <w:bCs/>
          <w:sz w:val="24"/>
          <w:szCs w:val="24"/>
          <w:lang w:val="en-IN" w:eastAsia="en-IN" w:bidi="hi-IN"/>
        </w:rPr>
        <w:t xml:space="preserve">29 </w:t>
      </w:r>
      <w:r w:rsidR="00EE1FEC" w:rsidRPr="009703B6">
        <w:rPr>
          <w:rFonts w:cs="Calibri"/>
          <w:sz w:val="24"/>
          <w:szCs w:val="24"/>
          <w:lang w:val="en-IN" w:eastAsia="en-IN" w:bidi="hi-IN"/>
        </w:rPr>
        <w:t xml:space="preserve">and </w:t>
      </w:r>
      <w:r w:rsidR="00EE1FEC" w:rsidRPr="009703B6">
        <w:rPr>
          <w:rFonts w:cs="Calibri"/>
          <w:b/>
          <w:bCs/>
          <w:sz w:val="24"/>
          <w:szCs w:val="24"/>
          <w:lang w:val="en-IN" w:eastAsia="en-IN" w:bidi="hi-IN"/>
        </w:rPr>
        <w:t>LG</w:t>
      </w:r>
      <w:r w:rsidR="0095709B" w:rsidRPr="009703B6">
        <w:rPr>
          <w:rFonts w:cs="Calibri"/>
          <w:b/>
          <w:bCs/>
          <w:sz w:val="24"/>
          <w:szCs w:val="24"/>
          <w:lang w:val="en-IN" w:eastAsia="en-IN" w:bidi="hi-IN"/>
        </w:rPr>
        <w:t xml:space="preserve"> </w:t>
      </w:r>
      <w:r w:rsidR="00EE1FEC" w:rsidRPr="009703B6">
        <w:rPr>
          <w:rFonts w:cs="Calibri"/>
          <w:b/>
          <w:bCs/>
          <w:sz w:val="24"/>
          <w:szCs w:val="24"/>
          <w:lang w:val="en-IN" w:eastAsia="en-IN" w:bidi="hi-IN"/>
        </w:rPr>
        <w:t>29+TiO</w:t>
      </w:r>
      <w:r w:rsidR="00EE1FEC" w:rsidRPr="009703B6">
        <w:rPr>
          <w:rFonts w:cs="Calibri"/>
          <w:sz w:val="24"/>
          <w:szCs w:val="24"/>
          <w:vertAlign w:val="subscript"/>
          <w:lang w:val="en-IN" w:eastAsia="en-IN" w:bidi="hi-IN"/>
        </w:rPr>
        <w:t>2</w:t>
      </w:r>
      <w:r w:rsidR="00EE1FEC" w:rsidRPr="009703B6">
        <w:rPr>
          <w:rFonts w:cs="Calibri"/>
          <w:sz w:val="24"/>
          <w:szCs w:val="24"/>
          <w:lang w:val="en-IN" w:eastAsia="en-IN" w:bidi="hi-IN"/>
        </w:rPr>
        <w:t xml:space="preserve"> and they are pictorially summarized in Figure </w:t>
      </w:r>
      <w:r w:rsidR="001155F4" w:rsidRPr="009703B6">
        <w:rPr>
          <w:rFonts w:cs="Calibri"/>
          <w:sz w:val="24"/>
          <w:szCs w:val="24"/>
          <w:lang w:val="en-IN" w:eastAsia="en-IN" w:bidi="hi-IN"/>
        </w:rPr>
        <w:t>S2</w:t>
      </w:r>
      <w:r w:rsidR="00C74743">
        <w:rPr>
          <w:rFonts w:cs="Calibri"/>
          <w:sz w:val="24"/>
          <w:szCs w:val="24"/>
          <w:lang w:val="en-IN" w:eastAsia="en-IN" w:bidi="hi-IN"/>
        </w:rPr>
        <w:t>3</w:t>
      </w:r>
      <w:r w:rsidR="009560FF" w:rsidRPr="009703B6">
        <w:rPr>
          <w:rFonts w:cs="Calibri"/>
          <w:sz w:val="24"/>
          <w:szCs w:val="24"/>
          <w:lang w:val="en-IN" w:eastAsia="en-IN" w:bidi="hi-IN"/>
        </w:rPr>
        <w:t xml:space="preserve"> and global analysis results are summarized in Figure S</w:t>
      </w:r>
      <w:r w:rsidR="00C74743">
        <w:rPr>
          <w:rFonts w:cs="Calibri"/>
          <w:sz w:val="24"/>
          <w:szCs w:val="24"/>
          <w:lang w:val="en-IN" w:eastAsia="en-IN" w:bidi="hi-IN"/>
        </w:rPr>
        <w:t>24</w:t>
      </w:r>
      <w:r w:rsidR="009560FF" w:rsidRPr="009703B6">
        <w:rPr>
          <w:rFonts w:cs="Calibri"/>
          <w:sz w:val="24"/>
          <w:szCs w:val="24"/>
          <w:lang w:val="en-IN" w:eastAsia="en-IN" w:bidi="hi-IN"/>
        </w:rPr>
        <w:t xml:space="preserve"> </w:t>
      </w:r>
      <w:r w:rsidR="001155F4" w:rsidRPr="009703B6">
        <w:rPr>
          <w:rFonts w:cs="Calibri"/>
          <w:sz w:val="24"/>
          <w:szCs w:val="24"/>
          <w:lang w:val="en-IN" w:eastAsia="en-IN" w:bidi="hi-IN"/>
        </w:rPr>
        <w:t xml:space="preserve"> and </w:t>
      </w:r>
      <w:r w:rsidR="004D5AC7">
        <w:rPr>
          <w:rFonts w:cs="Calibri"/>
          <w:sz w:val="24"/>
          <w:szCs w:val="24"/>
          <w:lang w:val="en-IN" w:eastAsia="en-IN" w:bidi="hi-IN"/>
        </w:rPr>
        <w:t xml:space="preserve">the </w:t>
      </w:r>
      <w:r w:rsidR="001155F4" w:rsidRPr="009703B6">
        <w:rPr>
          <w:rFonts w:cs="Calibri"/>
          <w:sz w:val="24"/>
          <w:szCs w:val="24"/>
          <w:lang w:val="en-IN" w:eastAsia="en-IN" w:bidi="hi-IN"/>
        </w:rPr>
        <w:t xml:space="preserve">corresponding spectral parameters are </w:t>
      </w:r>
      <w:r w:rsidR="004D5AC7">
        <w:rPr>
          <w:rFonts w:cs="Calibri"/>
          <w:sz w:val="24"/>
          <w:szCs w:val="24"/>
          <w:lang w:val="en-IN" w:eastAsia="en-IN" w:bidi="hi-IN"/>
        </w:rPr>
        <w:t xml:space="preserve">summarized </w:t>
      </w:r>
      <w:r w:rsidR="001155F4" w:rsidRPr="009703B6">
        <w:rPr>
          <w:rFonts w:cs="Calibri"/>
          <w:sz w:val="24"/>
          <w:szCs w:val="24"/>
          <w:lang w:val="en-IN" w:eastAsia="en-IN" w:bidi="hi-IN"/>
        </w:rPr>
        <w:t xml:space="preserve"> in Table</w:t>
      </w:r>
      <w:r w:rsidR="0095709B" w:rsidRPr="009703B6">
        <w:rPr>
          <w:rFonts w:cs="Calibri"/>
          <w:sz w:val="24"/>
          <w:szCs w:val="24"/>
          <w:lang w:val="en-IN" w:eastAsia="en-IN" w:bidi="hi-IN"/>
        </w:rPr>
        <w:t xml:space="preserve"> 4</w:t>
      </w:r>
      <w:r w:rsidR="001155F4" w:rsidRPr="009703B6">
        <w:rPr>
          <w:rFonts w:cs="Calibri"/>
          <w:sz w:val="24"/>
          <w:szCs w:val="24"/>
          <w:lang w:val="en-IN" w:eastAsia="en-IN" w:bidi="hi-IN"/>
        </w:rPr>
        <w:t xml:space="preserve">. </w:t>
      </w:r>
      <w:r w:rsidR="003B031F" w:rsidRPr="009703B6">
        <w:rPr>
          <w:rFonts w:cs="Calibri"/>
          <w:sz w:val="24"/>
          <w:szCs w:val="24"/>
          <w:lang w:val="en-IN" w:eastAsia="en-IN" w:bidi="hi-IN"/>
        </w:rPr>
        <w:t xml:space="preserve">As shown in Table </w:t>
      </w:r>
      <w:r w:rsidR="0095709B" w:rsidRPr="009703B6">
        <w:rPr>
          <w:rFonts w:cs="Calibri"/>
          <w:sz w:val="24"/>
          <w:szCs w:val="24"/>
          <w:lang w:val="en-IN" w:eastAsia="en-IN" w:bidi="hi-IN"/>
        </w:rPr>
        <w:t>4</w:t>
      </w:r>
      <w:r w:rsidR="003B031F" w:rsidRPr="009703B6">
        <w:rPr>
          <w:rFonts w:cs="Calibri"/>
          <w:sz w:val="24"/>
          <w:szCs w:val="24"/>
          <w:lang w:val="en-IN" w:eastAsia="en-IN" w:bidi="hi-IN"/>
        </w:rPr>
        <w:t>, no quenching of lifetime is observed for S</w:t>
      </w:r>
      <w:r w:rsidR="003B031F" w:rsidRPr="009703B6">
        <w:rPr>
          <w:rFonts w:cs="Calibri"/>
          <w:sz w:val="24"/>
          <w:szCs w:val="24"/>
          <w:vertAlign w:val="subscript"/>
          <w:lang w:val="en-IN" w:eastAsia="en-IN" w:bidi="hi-IN"/>
        </w:rPr>
        <w:t>2</w:t>
      </w:r>
      <w:r w:rsidR="003B031F" w:rsidRPr="009703B6">
        <w:rPr>
          <w:rFonts w:cs="Calibri"/>
          <w:sz w:val="24"/>
          <w:szCs w:val="24"/>
          <w:lang w:val="en-IN" w:eastAsia="en-IN" w:bidi="hi-IN"/>
        </w:rPr>
        <w:t xml:space="preserve"> and</w:t>
      </w:r>
      <w:r w:rsidR="00C74743">
        <w:rPr>
          <w:rFonts w:cs="Calibri"/>
          <w:sz w:val="24"/>
          <w:szCs w:val="24"/>
          <w:lang w:val="en-IN" w:eastAsia="en-IN" w:bidi="hi-IN"/>
        </w:rPr>
        <w:t xml:space="preserve"> </w:t>
      </w:r>
      <w:r w:rsidR="00C74743" w:rsidRPr="009703B6">
        <w:rPr>
          <w:rFonts w:cs="Calibri"/>
          <w:sz w:val="24"/>
          <w:szCs w:val="24"/>
          <w:lang w:val="en-IN" w:eastAsia="en-IN" w:bidi="hi-IN"/>
        </w:rPr>
        <w:t>S</w:t>
      </w:r>
      <w:r w:rsidR="00C74743" w:rsidRPr="009703B6">
        <w:rPr>
          <w:rFonts w:cs="Calibri"/>
          <w:sz w:val="24"/>
          <w:szCs w:val="24"/>
          <w:vertAlign w:val="subscript"/>
          <w:lang w:val="en-IN" w:eastAsia="en-IN" w:bidi="hi-IN"/>
        </w:rPr>
        <w:t>1</w:t>
      </w:r>
      <w:r w:rsidR="00C74743" w:rsidRPr="009703B6">
        <w:rPr>
          <w:rFonts w:cs="Calibri"/>
          <w:sz w:val="24"/>
          <w:szCs w:val="24"/>
          <w:vertAlign w:val="superscript"/>
          <w:lang w:val="en-IN" w:eastAsia="en-IN" w:bidi="hi-IN"/>
        </w:rPr>
        <w:t>*</w:t>
      </w:r>
      <w:r w:rsidR="00C74743">
        <w:rPr>
          <w:rFonts w:cs="Calibri"/>
          <w:sz w:val="24"/>
          <w:szCs w:val="24"/>
          <w:lang w:val="en-IN" w:eastAsia="en-IN" w:bidi="hi-IN"/>
        </w:rPr>
        <w:t xml:space="preserve"> </w:t>
      </w:r>
      <w:r w:rsidR="0095709B" w:rsidRPr="009703B6">
        <w:rPr>
          <w:rFonts w:cs="Calibri"/>
          <w:sz w:val="24"/>
          <w:szCs w:val="24"/>
          <w:lang w:val="en-IN" w:eastAsia="en-IN" w:bidi="hi-IN"/>
        </w:rPr>
        <w:t>states but</w:t>
      </w:r>
      <w:r w:rsidR="003B031F" w:rsidRPr="009703B6">
        <w:rPr>
          <w:rFonts w:cs="Calibri"/>
          <w:sz w:val="24"/>
          <w:szCs w:val="24"/>
          <w:lang w:val="en-IN" w:eastAsia="en-IN" w:bidi="hi-IN"/>
        </w:rPr>
        <w:t xml:space="preserve"> it occurs only </w:t>
      </w:r>
      <w:r w:rsidR="0095709B" w:rsidRPr="009703B6">
        <w:rPr>
          <w:rFonts w:cs="Calibri"/>
          <w:sz w:val="24"/>
          <w:szCs w:val="24"/>
          <w:lang w:val="en-IN" w:eastAsia="en-IN" w:bidi="hi-IN"/>
        </w:rPr>
        <w:t>for S1</w:t>
      </w:r>
      <w:r w:rsidR="003B031F" w:rsidRPr="009703B6">
        <w:rPr>
          <w:rFonts w:cs="Calibri"/>
          <w:sz w:val="24"/>
          <w:szCs w:val="24"/>
          <w:lang w:val="en-IN" w:eastAsia="en-IN" w:bidi="hi-IN"/>
        </w:rPr>
        <w:t xml:space="preserve"> state. In presence of TiO</w:t>
      </w:r>
      <w:r w:rsidR="003B031F" w:rsidRPr="009703B6">
        <w:rPr>
          <w:rFonts w:cs="Calibri"/>
          <w:sz w:val="24"/>
          <w:szCs w:val="24"/>
          <w:vertAlign w:val="subscript"/>
          <w:lang w:val="en-IN" w:eastAsia="en-IN" w:bidi="hi-IN"/>
        </w:rPr>
        <w:t>2</w:t>
      </w:r>
      <w:r w:rsidR="003B031F" w:rsidRPr="009703B6">
        <w:rPr>
          <w:rFonts w:cs="Calibri"/>
          <w:sz w:val="24"/>
          <w:szCs w:val="24"/>
          <w:lang w:val="en-IN" w:eastAsia="en-IN" w:bidi="hi-IN"/>
        </w:rPr>
        <w:t xml:space="preserve"> lifetime of S</w:t>
      </w:r>
      <w:r w:rsidR="003B031F" w:rsidRPr="009703B6">
        <w:rPr>
          <w:rFonts w:cs="Calibri"/>
          <w:sz w:val="24"/>
          <w:szCs w:val="24"/>
          <w:vertAlign w:val="subscript"/>
          <w:lang w:val="en-IN" w:eastAsia="en-IN" w:bidi="hi-IN"/>
        </w:rPr>
        <w:t>1</w:t>
      </w:r>
      <w:r w:rsidR="003B031F" w:rsidRPr="009703B6">
        <w:rPr>
          <w:rFonts w:cs="Calibri"/>
          <w:sz w:val="24"/>
          <w:szCs w:val="24"/>
          <w:lang w:val="en-IN" w:eastAsia="en-IN" w:bidi="hi-IN"/>
        </w:rPr>
        <w:t xml:space="preserve"> state of </w:t>
      </w:r>
      <w:r w:rsidR="003B031F" w:rsidRPr="009703B6">
        <w:rPr>
          <w:rFonts w:cs="Calibri"/>
          <w:b/>
          <w:bCs/>
          <w:sz w:val="24"/>
          <w:szCs w:val="24"/>
          <w:lang w:val="en-IN" w:eastAsia="en-IN" w:bidi="hi-IN"/>
        </w:rPr>
        <w:t>LG</w:t>
      </w:r>
      <w:r w:rsidR="0095709B" w:rsidRPr="009703B6">
        <w:rPr>
          <w:rFonts w:cs="Calibri"/>
          <w:b/>
          <w:bCs/>
          <w:sz w:val="24"/>
          <w:szCs w:val="24"/>
          <w:lang w:val="en-IN" w:eastAsia="en-IN" w:bidi="hi-IN"/>
        </w:rPr>
        <w:t xml:space="preserve"> </w:t>
      </w:r>
      <w:r w:rsidR="003B031F" w:rsidRPr="009703B6">
        <w:rPr>
          <w:rFonts w:cs="Calibri"/>
          <w:b/>
          <w:bCs/>
          <w:sz w:val="24"/>
          <w:szCs w:val="24"/>
          <w:lang w:val="en-IN" w:eastAsia="en-IN" w:bidi="hi-IN"/>
        </w:rPr>
        <w:t>29</w:t>
      </w:r>
      <w:r w:rsidR="003B031F" w:rsidRPr="009703B6">
        <w:rPr>
          <w:rFonts w:cs="Calibri"/>
          <w:sz w:val="24"/>
          <w:szCs w:val="24"/>
          <w:lang w:val="en-IN" w:eastAsia="en-IN" w:bidi="hi-IN"/>
        </w:rPr>
        <w:t xml:space="preserve"> reduced to 378 ps from 2.34 ns. Similar kinds of results </w:t>
      </w:r>
      <w:r w:rsidR="00254FC9" w:rsidRPr="009703B6">
        <w:rPr>
          <w:rFonts w:cs="Calibri"/>
          <w:sz w:val="24"/>
          <w:szCs w:val="24"/>
          <w:lang w:val="en-IN" w:eastAsia="en-IN" w:bidi="hi-IN"/>
        </w:rPr>
        <w:t>were observed in fluorescence upconversion studies. These results confirm that electron injection occurs only from S</w:t>
      </w:r>
      <w:r w:rsidR="00254FC9" w:rsidRPr="009703B6">
        <w:rPr>
          <w:rFonts w:cs="Calibri"/>
          <w:sz w:val="24"/>
          <w:szCs w:val="24"/>
          <w:vertAlign w:val="subscript"/>
          <w:lang w:val="en-IN" w:eastAsia="en-IN" w:bidi="hi-IN"/>
        </w:rPr>
        <w:t>1</w:t>
      </w:r>
      <w:r w:rsidR="00254FC9" w:rsidRPr="009703B6">
        <w:rPr>
          <w:rFonts w:cs="Calibri"/>
          <w:sz w:val="24"/>
          <w:szCs w:val="24"/>
          <w:lang w:val="en-IN" w:eastAsia="en-IN" w:bidi="hi-IN"/>
        </w:rPr>
        <w:t xml:space="preserve"> state of </w:t>
      </w:r>
      <w:r w:rsidR="00254FC9" w:rsidRPr="009703B6">
        <w:rPr>
          <w:rFonts w:cs="Calibri"/>
          <w:b/>
          <w:bCs/>
          <w:sz w:val="24"/>
          <w:szCs w:val="24"/>
          <w:lang w:val="en-IN" w:eastAsia="en-IN" w:bidi="hi-IN"/>
        </w:rPr>
        <w:t>LG</w:t>
      </w:r>
      <w:r w:rsidR="0095709B" w:rsidRPr="009703B6">
        <w:rPr>
          <w:rFonts w:cs="Calibri"/>
          <w:b/>
          <w:bCs/>
          <w:sz w:val="24"/>
          <w:szCs w:val="24"/>
          <w:lang w:val="en-IN" w:eastAsia="en-IN" w:bidi="hi-IN"/>
        </w:rPr>
        <w:t xml:space="preserve"> </w:t>
      </w:r>
      <w:r w:rsidR="00254FC9" w:rsidRPr="009703B6">
        <w:rPr>
          <w:rFonts w:cs="Calibri"/>
          <w:b/>
          <w:bCs/>
          <w:sz w:val="24"/>
          <w:szCs w:val="24"/>
          <w:lang w:val="en-IN" w:eastAsia="en-IN" w:bidi="hi-IN"/>
        </w:rPr>
        <w:t>29</w:t>
      </w:r>
      <w:r w:rsidR="00254FC9" w:rsidRPr="009703B6">
        <w:rPr>
          <w:rFonts w:cs="Calibri"/>
          <w:sz w:val="24"/>
          <w:szCs w:val="24"/>
          <w:lang w:val="en-IN" w:eastAsia="en-IN" w:bidi="hi-IN"/>
        </w:rPr>
        <w:t xml:space="preserve"> to TiO</w:t>
      </w:r>
      <w:r w:rsidR="00254FC9" w:rsidRPr="009703B6">
        <w:rPr>
          <w:rFonts w:cs="Calibri"/>
          <w:sz w:val="24"/>
          <w:szCs w:val="24"/>
          <w:vertAlign w:val="subscript"/>
          <w:lang w:val="en-IN" w:eastAsia="en-IN" w:bidi="hi-IN"/>
        </w:rPr>
        <w:t>2</w:t>
      </w:r>
      <w:r w:rsidR="00C43332" w:rsidRPr="009703B6">
        <w:rPr>
          <w:rFonts w:cs="Calibri"/>
          <w:sz w:val="24"/>
          <w:szCs w:val="24"/>
          <w:vertAlign w:val="subscript"/>
          <w:lang w:val="en-IN" w:eastAsia="en-IN" w:bidi="hi-IN"/>
        </w:rPr>
        <w:t xml:space="preserve"> </w:t>
      </w:r>
      <w:r w:rsidR="00254FC9" w:rsidRPr="009703B6">
        <w:rPr>
          <w:rFonts w:cs="Calibri"/>
          <w:sz w:val="24"/>
          <w:szCs w:val="24"/>
          <w:lang w:val="en-IN" w:eastAsia="en-IN" w:bidi="hi-IN"/>
        </w:rPr>
        <w:t>and the rate of electron injection is found to be 2.22 x</w:t>
      </w:r>
      <w:r w:rsidR="0095709B" w:rsidRPr="009703B6">
        <w:rPr>
          <w:rFonts w:cs="Calibri"/>
          <w:sz w:val="24"/>
          <w:szCs w:val="24"/>
          <w:lang w:val="en-IN" w:eastAsia="en-IN" w:bidi="hi-IN"/>
        </w:rPr>
        <w:t xml:space="preserve"> </w:t>
      </w:r>
      <w:r w:rsidR="00254FC9" w:rsidRPr="009703B6">
        <w:rPr>
          <w:rFonts w:cs="Calibri"/>
          <w:sz w:val="24"/>
          <w:szCs w:val="24"/>
          <w:lang w:val="en-IN" w:eastAsia="en-IN" w:bidi="hi-IN"/>
        </w:rPr>
        <w:t>10</w:t>
      </w:r>
      <w:r w:rsidR="00254FC9" w:rsidRPr="009703B6">
        <w:rPr>
          <w:rFonts w:cs="Calibri"/>
          <w:sz w:val="24"/>
          <w:szCs w:val="24"/>
          <w:vertAlign w:val="superscript"/>
          <w:lang w:val="en-IN" w:eastAsia="en-IN" w:bidi="hi-IN"/>
        </w:rPr>
        <w:t>9</w:t>
      </w:r>
      <w:r w:rsidR="00254FC9" w:rsidRPr="009703B6">
        <w:rPr>
          <w:rFonts w:cs="Calibri"/>
          <w:sz w:val="24"/>
          <w:szCs w:val="24"/>
          <w:lang w:val="en-IN" w:eastAsia="en-IN" w:bidi="hi-IN"/>
        </w:rPr>
        <w:t>s</w:t>
      </w:r>
      <w:r w:rsidR="00254FC9" w:rsidRPr="009703B6">
        <w:rPr>
          <w:rFonts w:cs="Calibri"/>
          <w:sz w:val="24"/>
          <w:szCs w:val="24"/>
          <w:vertAlign w:val="superscript"/>
          <w:lang w:val="en-IN" w:eastAsia="en-IN" w:bidi="hi-IN"/>
        </w:rPr>
        <w:t>-1</w:t>
      </w:r>
      <w:r w:rsidR="00C43332" w:rsidRPr="009703B6">
        <w:rPr>
          <w:rFonts w:cs="Calibri"/>
          <w:sz w:val="24"/>
          <w:szCs w:val="24"/>
          <w:vertAlign w:val="superscript"/>
          <w:lang w:val="en-IN" w:eastAsia="en-IN" w:bidi="hi-IN"/>
        </w:rPr>
        <w:t xml:space="preserve"> </w:t>
      </w:r>
      <w:r w:rsidR="00254FC9" w:rsidRPr="009703B6">
        <w:rPr>
          <w:rFonts w:cs="Calibri"/>
          <w:sz w:val="24"/>
          <w:szCs w:val="24"/>
          <w:lang w:val="en-IN" w:eastAsia="en-IN" w:bidi="hi-IN"/>
        </w:rPr>
        <w:t>which</w:t>
      </w:r>
      <w:r w:rsidR="0095709B" w:rsidRPr="009703B6">
        <w:rPr>
          <w:rFonts w:cs="Calibri"/>
          <w:sz w:val="24"/>
          <w:szCs w:val="24"/>
          <w:lang w:val="en-IN" w:eastAsia="en-IN" w:bidi="hi-IN"/>
        </w:rPr>
        <w:t xml:space="preserve"> </w:t>
      </w:r>
      <w:r w:rsidR="00254FC9" w:rsidRPr="009703B6">
        <w:rPr>
          <w:rFonts w:cs="Calibri"/>
          <w:sz w:val="24"/>
          <w:szCs w:val="24"/>
          <w:lang w:val="en-IN" w:eastAsia="en-IN" w:bidi="hi-IN"/>
        </w:rPr>
        <w:t xml:space="preserve">is two order lower than that in </w:t>
      </w:r>
      <w:r w:rsidR="00254FC9" w:rsidRPr="009703B6">
        <w:rPr>
          <w:rFonts w:cs="Calibri"/>
          <w:b/>
          <w:bCs/>
          <w:sz w:val="24"/>
          <w:szCs w:val="24"/>
          <w:lang w:val="en-IN" w:eastAsia="en-IN" w:bidi="hi-IN"/>
        </w:rPr>
        <w:t>LG</w:t>
      </w:r>
      <w:r w:rsidR="0095709B" w:rsidRPr="009703B6">
        <w:rPr>
          <w:rFonts w:cs="Calibri"/>
          <w:b/>
          <w:bCs/>
          <w:sz w:val="24"/>
          <w:szCs w:val="24"/>
          <w:lang w:val="en-IN" w:eastAsia="en-IN" w:bidi="hi-IN"/>
        </w:rPr>
        <w:t xml:space="preserve"> </w:t>
      </w:r>
      <w:r w:rsidR="00254FC9" w:rsidRPr="009703B6">
        <w:rPr>
          <w:rFonts w:cs="Calibri"/>
          <w:b/>
          <w:bCs/>
          <w:sz w:val="24"/>
          <w:szCs w:val="24"/>
          <w:lang w:val="en-IN" w:eastAsia="en-IN" w:bidi="hi-IN"/>
        </w:rPr>
        <w:t>28</w:t>
      </w:r>
      <w:r w:rsidR="00254FC9" w:rsidRPr="009703B6">
        <w:rPr>
          <w:rFonts w:cs="Calibri"/>
          <w:sz w:val="24"/>
          <w:szCs w:val="24"/>
          <w:lang w:val="en-IN" w:eastAsia="en-IN" w:bidi="hi-IN"/>
        </w:rPr>
        <w:t xml:space="preserve">. </w:t>
      </w:r>
    </w:p>
    <w:p w14:paraId="48BBBDE7" w14:textId="77777777" w:rsidR="00034109" w:rsidRPr="009703B6" w:rsidRDefault="00034109" w:rsidP="009703B6">
      <w:pPr>
        <w:autoSpaceDE w:val="0"/>
        <w:autoSpaceDN w:val="0"/>
        <w:adjustRightInd w:val="0"/>
        <w:spacing w:after="0" w:line="360" w:lineRule="auto"/>
        <w:jc w:val="both"/>
        <w:rPr>
          <w:rFonts w:cs="Calibri"/>
          <w:sz w:val="24"/>
          <w:szCs w:val="24"/>
          <w:lang w:val="en-IN" w:eastAsia="en-IN" w:bidi="hi-IN"/>
        </w:rPr>
      </w:pPr>
    </w:p>
    <w:p w14:paraId="657112D2" w14:textId="77777777" w:rsidR="00FC31B0" w:rsidRPr="009703B6" w:rsidRDefault="00884F1F" w:rsidP="009703B6">
      <w:pPr>
        <w:autoSpaceDE w:val="0"/>
        <w:autoSpaceDN w:val="0"/>
        <w:adjustRightInd w:val="0"/>
        <w:spacing w:after="0" w:line="360" w:lineRule="auto"/>
        <w:jc w:val="both"/>
        <w:rPr>
          <w:rFonts w:cs="Calibri"/>
          <w:sz w:val="24"/>
          <w:szCs w:val="24"/>
        </w:rPr>
      </w:pPr>
      <w:r w:rsidRPr="00034109">
        <w:rPr>
          <w:rFonts w:cs="Calibri"/>
          <w:b/>
          <w:sz w:val="24"/>
          <w:szCs w:val="24"/>
        </w:rPr>
        <w:t xml:space="preserve">Table </w:t>
      </w:r>
      <w:r w:rsidR="00BA1067" w:rsidRPr="00034109">
        <w:rPr>
          <w:rFonts w:cs="Calibri"/>
          <w:b/>
          <w:sz w:val="24"/>
          <w:szCs w:val="24"/>
        </w:rPr>
        <w:t>4</w:t>
      </w:r>
      <w:r w:rsidRPr="00034109">
        <w:rPr>
          <w:rFonts w:cs="Calibri"/>
          <w:b/>
          <w:sz w:val="24"/>
          <w:szCs w:val="24"/>
        </w:rPr>
        <w:t>.</w:t>
      </w:r>
      <w:r w:rsidRPr="009703B6">
        <w:rPr>
          <w:rFonts w:cs="Calibri"/>
          <w:sz w:val="24"/>
          <w:szCs w:val="24"/>
        </w:rPr>
        <w:t xml:space="preserve"> Spectroscopic </w:t>
      </w:r>
      <w:r w:rsidR="006B52FC" w:rsidRPr="009703B6">
        <w:rPr>
          <w:rFonts w:cs="Calibri"/>
          <w:sz w:val="24"/>
          <w:szCs w:val="24"/>
        </w:rPr>
        <w:t xml:space="preserve">parameters of </w:t>
      </w:r>
      <w:r w:rsidR="006B52FC" w:rsidRPr="009703B6">
        <w:rPr>
          <w:rFonts w:cs="Calibri"/>
          <w:b/>
          <w:sz w:val="24"/>
          <w:szCs w:val="24"/>
        </w:rPr>
        <w:t>LG</w:t>
      </w:r>
      <w:r w:rsidR="0095709B" w:rsidRPr="009703B6">
        <w:rPr>
          <w:rFonts w:cs="Calibri"/>
          <w:b/>
          <w:sz w:val="24"/>
          <w:szCs w:val="24"/>
        </w:rPr>
        <w:t xml:space="preserve"> </w:t>
      </w:r>
      <w:r w:rsidR="006B52FC" w:rsidRPr="009703B6">
        <w:rPr>
          <w:rFonts w:cs="Calibri"/>
          <w:b/>
          <w:sz w:val="24"/>
          <w:szCs w:val="24"/>
        </w:rPr>
        <w:t>28</w:t>
      </w:r>
      <w:r w:rsidR="006B52FC" w:rsidRPr="009703B6">
        <w:rPr>
          <w:rFonts w:cs="Calibri"/>
          <w:sz w:val="24"/>
          <w:szCs w:val="24"/>
        </w:rPr>
        <w:t xml:space="preserve">, </w:t>
      </w:r>
      <w:r w:rsidR="006B52FC" w:rsidRPr="009703B6">
        <w:rPr>
          <w:rFonts w:cs="Calibri"/>
          <w:b/>
          <w:sz w:val="24"/>
          <w:szCs w:val="24"/>
        </w:rPr>
        <w:t>LG</w:t>
      </w:r>
      <w:r w:rsidR="0095709B" w:rsidRPr="009703B6">
        <w:rPr>
          <w:rFonts w:cs="Calibri"/>
          <w:b/>
          <w:sz w:val="24"/>
          <w:szCs w:val="24"/>
        </w:rPr>
        <w:t xml:space="preserve"> </w:t>
      </w:r>
      <w:r w:rsidR="006B52FC" w:rsidRPr="009703B6">
        <w:rPr>
          <w:rFonts w:cs="Calibri"/>
          <w:b/>
          <w:sz w:val="24"/>
          <w:szCs w:val="24"/>
        </w:rPr>
        <w:t>28</w:t>
      </w:r>
      <w:r w:rsidR="006B52FC" w:rsidRPr="009703B6">
        <w:rPr>
          <w:rFonts w:cs="Calibri"/>
          <w:sz w:val="24"/>
          <w:szCs w:val="24"/>
        </w:rPr>
        <w:t xml:space="preserve">+TiO2, </w:t>
      </w:r>
      <w:r w:rsidR="006B52FC" w:rsidRPr="009703B6">
        <w:rPr>
          <w:rFonts w:cs="Calibri"/>
          <w:b/>
          <w:sz w:val="24"/>
          <w:szCs w:val="24"/>
        </w:rPr>
        <w:t>LG</w:t>
      </w:r>
      <w:r w:rsidR="0095709B" w:rsidRPr="009703B6">
        <w:rPr>
          <w:rFonts w:cs="Calibri"/>
          <w:b/>
          <w:sz w:val="24"/>
          <w:szCs w:val="24"/>
        </w:rPr>
        <w:t xml:space="preserve"> </w:t>
      </w:r>
      <w:r w:rsidR="006B52FC" w:rsidRPr="009703B6">
        <w:rPr>
          <w:rFonts w:cs="Calibri"/>
          <w:b/>
          <w:sz w:val="24"/>
          <w:szCs w:val="24"/>
        </w:rPr>
        <w:t>29</w:t>
      </w:r>
      <w:r w:rsidR="006B52FC" w:rsidRPr="009703B6">
        <w:rPr>
          <w:rFonts w:cs="Calibri"/>
          <w:sz w:val="24"/>
          <w:szCs w:val="24"/>
        </w:rPr>
        <w:t xml:space="preserve"> and </w:t>
      </w:r>
      <w:r w:rsidR="006B52FC" w:rsidRPr="009703B6">
        <w:rPr>
          <w:rFonts w:cs="Calibri"/>
          <w:b/>
          <w:sz w:val="24"/>
          <w:szCs w:val="24"/>
        </w:rPr>
        <w:t>LG</w:t>
      </w:r>
      <w:r w:rsidR="0095709B" w:rsidRPr="009703B6">
        <w:rPr>
          <w:rFonts w:cs="Calibri"/>
          <w:b/>
          <w:sz w:val="24"/>
          <w:szCs w:val="24"/>
        </w:rPr>
        <w:t xml:space="preserve"> </w:t>
      </w:r>
      <w:r w:rsidR="006B52FC" w:rsidRPr="009703B6">
        <w:rPr>
          <w:rFonts w:cs="Calibri"/>
          <w:b/>
          <w:sz w:val="24"/>
          <w:szCs w:val="24"/>
        </w:rPr>
        <w:t>29</w:t>
      </w:r>
      <w:r w:rsidR="006B52FC" w:rsidRPr="009703B6">
        <w:rPr>
          <w:rFonts w:cs="Calibri"/>
          <w:sz w:val="24"/>
          <w:szCs w:val="24"/>
        </w:rPr>
        <w:t>+TiO</w:t>
      </w:r>
      <w:r w:rsidR="006B52FC" w:rsidRPr="009703B6">
        <w:rPr>
          <w:rFonts w:cs="Calibri"/>
          <w:sz w:val="24"/>
          <w:szCs w:val="24"/>
          <w:vertAlign w:val="subscript"/>
        </w:rPr>
        <w:t>2</w:t>
      </w:r>
      <w:r w:rsidR="006B52FC" w:rsidRPr="009703B6">
        <w:rPr>
          <w:rFonts w:cs="Calibri"/>
          <w:sz w:val="24"/>
          <w:szCs w:val="24"/>
        </w:rPr>
        <w:t xml:space="preserve"> in THF solution obtained from femtosecond transient absorption studies.</w:t>
      </w:r>
    </w:p>
    <w:tbl>
      <w:tblPr>
        <w:tblpPr w:leftFromText="180" w:rightFromText="180" w:vertAnchor="text" w:horzAnchor="margin" w:tblpY="174"/>
        <w:tblW w:w="0" w:type="auto"/>
        <w:tblLook w:val="04A0" w:firstRow="1" w:lastRow="0" w:firstColumn="1" w:lastColumn="0" w:noHBand="0" w:noVBand="1"/>
      </w:tblPr>
      <w:tblGrid>
        <w:gridCol w:w="1295"/>
        <w:gridCol w:w="1177"/>
        <w:gridCol w:w="1253"/>
        <w:gridCol w:w="1122"/>
        <w:gridCol w:w="1017"/>
        <w:gridCol w:w="1878"/>
      </w:tblGrid>
      <w:tr w:rsidR="00034109" w:rsidRPr="00075918" w14:paraId="4B41E8A4" w14:textId="77777777" w:rsidTr="00034109">
        <w:tc>
          <w:tcPr>
            <w:tcW w:w="0" w:type="auto"/>
            <w:tcBorders>
              <w:top w:val="single" w:sz="8" w:space="0" w:color="auto"/>
              <w:bottom w:val="single" w:sz="8" w:space="0" w:color="auto"/>
            </w:tcBorders>
          </w:tcPr>
          <w:p w14:paraId="3DEBDC34" w14:textId="77777777" w:rsidR="00034109" w:rsidRPr="00075918" w:rsidRDefault="00034109" w:rsidP="00034109">
            <w:pPr>
              <w:autoSpaceDE w:val="0"/>
              <w:autoSpaceDN w:val="0"/>
              <w:adjustRightInd w:val="0"/>
              <w:spacing w:after="0" w:line="480" w:lineRule="auto"/>
              <w:jc w:val="both"/>
              <w:rPr>
                <w:rFonts w:cs="Calibri"/>
                <w:b/>
                <w:bCs/>
                <w:sz w:val="24"/>
                <w:szCs w:val="24"/>
              </w:rPr>
            </w:pPr>
            <w:r w:rsidRPr="00075918">
              <w:rPr>
                <w:rFonts w:cs="Calibri"/>
                <w:b/>
                <w:bCs/>
                <w:sz w:val="24"/>
                <w:szCs w:val="24"/>
              </w:rPr>
              <w:t>Sensitizer</w:t>
            </w:r>
          </w:p>
        </w:tc>
        <w:tc>
          <w:tcPr>
            <w:tcW w:w="0" w:type="auto"/>
            <w:tcBorders>
              <w:top w:val="single" w:sz="8" w:space="0" w:color="auto"/>
              <w:bottom w:val="single" w:sz="8" w:space="0" w:color="auto"/>
            </w:tcBorders>
          </w:tcPr>
          <w:p w14:paraId="1C6B8F89" w14:textId="77777777" w:rsidR="00034109" w:rsidRPr="00075918" w:rsidRDefault="00034109" w:rsidP="00034109">
            <w:pPr>
              <w:autoSpaceDE w:val="0"/>
              <w:autoSpaceDN w:val="0"/>
              <w:adjustRightInd w:val="0"/>
              <w:spacing w:after="0" w:line="240" w:lineRule="auto"/>
              <w:jc w:val="both"/>
              <w:rPr>
                <w:rFonts w:cs="Calibri"/>
                <w:b/>
                <w:bCs/>
                <w:sz w:val="24"/>
                <w:szCs w:val="24"/>
              </w:rPr>
            </w:pPr>
            <w:r w:rsidRPr="00075918">
              <w:rPr>
                <w:rFonts w:cs="Calibri"/>
                <w:b/>
                <w:bCs/>
                <w:sz w:val="24"/>
                <w:szCs w:val="24"/>
              </w:rPr>
              <w:t>EADS</w:t>
            </w:r>
            <w:r w:rsidRPr="00075918">
              <w:rPr>
                <w:rFonts w:cs="Calibri"/>
                <w:b/>
                <w:bCs/>
                <w:sz w:val="24"/>
                <w:szCs w:val="24"/>
                <w:vertAlign w:val="subscript"/>
              </w:rPr>
              <w:t>1</w:t>
            </w:r>
            <w:r w:rsidRPr="00075918">
              <w:rPr>
                <w:rFonts w:cs="Calibri"/>
                <w:b/>
                <w:bCs/>
                <w:sz w:val="24"/>
                <w:szCs w:val="24"/>
              </w:rPr>
              <w:t xml:space="preserve"> /S</w:t>
            </w:r>
            <w:r w:rsidRPr="00075918">
              <w:rPr>
                <w:rFonts w:cs="Calibri"/>
                <w:b/>
                <w:bCs/>
                <w:sz w:val="24"/>
                <w:szCs w:val="24"/>
                <w:vertAlign w:val="subscript"/>
              </w:rPr>
              <w:t>2</w:t>
            </w:r>
          </w:p>
          <w:p w14:paraId="656E29AC" w14:textId="77777777" w:rsidR="00034109" w:rsidRPr="00075918" w:rsidRDefault="00034109" w:rsidP="00034109">
            <w:pPr>
              <w:autoSpaceDE w:val="0"/>
              <w:autoSpaceDN w:val="0"/>
              <w:adjustRightInd w:val="0"/>
              <w:spacing w:after="0" w:line="240" w:lineRule="auto"/>
              <w:jc w:val="both"/>
              <w:rPr>
                <w:rFonts w:cs="Calibri"/>
                <w:b/>
                <w:bCs/>
                <w:sz w:val="24"/>
                <w:szCs w:val="24"/>
              </w:rPr>
            </w:pPr>
            <w:r w:rsidRPr="00075918">
              <w:rPr>
                <w:rFonts w:cs="Calibri"/>
                <w:b/>
                <w:bCs/>
                <w:sz w:val="24"/>
                <w:szCs w:val="24"/>
              </w:rPr>
              <w:t>τ</w:t>
            </w:r>
            <w:r w:rsidRPr="00075918">
              <w:rPr>
                <w:rFonts w:cs="Calibri"/>
                <w:b/>
                <w:bCs/>
                <w:sz w:val="24"/>
                <w:szCs w:val="24"/>
                <w:vertAlign w:val="subscript"/>
              </w:rPr>
              <w:t xml:space="preserve">1 </w:t>
            </w:r>
            <w:r w:rsidRPr="00075918">
              <w:rPr>
                <w:rFonts w:cs="Calibri"/>
                <w:b/>
                <w:bCs/>
                <w:sz w:val="24"/>
                <w:szCs w:val="24"/>
              </w:rPr>
              <w:t xml:space="preserve">ps, </w:t>
            </w:r>
          </w:p>
        </w:tc>
        <w:tc>
          <w:tcPr>
            <w:tcW w:w="0" w:type="auto"/>
            <w:tcBorders>
              <w:top w:val="single" w:sz="8" w:space="0" w:color="auto"/>
              <w:bottom w:val="single" w:sz="8" w:space="0" w:color="auto"/>
            </w:tcBorders>
          </w:tcPr>
          <w:p w14:paraId="4E41A072" w14:textId="77777777" w:rsidR="00034109" w:rsidRPr="00075918" w:rsidRDefault="00034109" w:rsidP="00034109">
            <w:pPr>
              <w:autoSpaceDE w:val="0"/>
              <w:autoSpaceDN w:val="0"/>
              <w:adjustRightInd w:val="0"/>
              <w:spacing w:after="0" w:line="240" w:lineRule="auto"/>
              <w:jc w:val="both"/>
              <w:rPr>
                <w:rFonts w:cs="Calibri"/>
                <w:b/>
                <w:bCs/>
                <w:sz w:val="24"/>
                <w:szCs w:val="24"/>
              </w:rPr>
            </w:pPr>
            <w:r w:rsidRPr="00075918">
              <w:rPr>
                <w:rFonts w:cs="Calibri"/>
                <w:b/>
                <w:bCs/>
                <w:sz w:val="24"/>
                <w:szCs w:val="24"/>
              </w:rPr>
              <w:t>EADS</w:t>
            </w:r>
            <w:r w:rsidRPr="00075918">
              <w:rPr>
                <w:rFonts w:cs="Calibri"/>
                <w:b/>
                <w:bCs/>
                <w:sz w:val="24"/>
                <w:szCs w:val="24"/>
                <w:vertAlign w:val="subscript"/>
              </w:rPr>
              <w:t>2</w:t>
            </w:r>
            <w:r w:rsidRPr="00075918">
              <w:rPr>
                <w:rFonts w:cs="Calibri"/>
                <w:b/>
                <w:bCs/>
                <w:sz w:val="24"/>
                <w:szCs w:val="24"/>
              </w:rPr>
              <w:t>/</w:t>
            </w:r>
            <w:r w:rsidRPr="009703B6">
              <w:rPr>
                <w:rFonts w:cs="Calibri"/>
                <w:sz w:val="24"/>
                <w:szCs w:val="24"/>
                <w:lang w:val="en-IN" w:eastAsia="en-IN" w:bidi="hi-IN"/>
              </w:rPr>
              <w:t xml:space="preserve"> S</w:t>
            </w:r>
            <w:r w:rsidRPr="009703B6">
              <w:rPr>
                <w:rFonts w:cs="Calibri"/>
                <w:sz w:val="24"/>
                <w:szCs w:val="24"/>
                <w:vertAlign w:val="subscript"/>
                <w:lang w:val="en-IN" w:eastAsia="en-IN" w:bidi="hi-IN"/>
              </w:rPr>
              <w:t>1</w:t>
            </w:r>
            <w:r w:rsidRPr="009703B6">
              <w:rPr>
                <w:rFonts w:cs="Calibri"/>
                <w:sz w:val="24"/>
                <w:szCs w:val="24"/>
                <w:vertAlign w:val="superscript"/>
                <w:lang w:val="en-IN" w:eastAsia="en-IN" w:bidi="hi-IN"/>
              </w:rPr>
              <w:t>*</w:t>
            </w:r>
          </w:p>
          <w:p w14:paraId="46B52402" w14:textId="77777777" w:rsidR="00034109" w:rsidRPr="00075918" w:rsidRDefault="00034109" w:rsidP="00034109">
            <w:pPr>
              <w:autoSpaceDE w:val="0"/>
              <w:autoSpaceDN w:val="0"/>
              <w:adjustRightInd w:val="0"/>
              <w:spacing w:after="0" w:line="240" w:lineRule="auto"/>
              <w:jc w:val="both"/>
              <w:rPr>
                <w:rFonts w:cs="Calibri"/>
                <w:b/>
                <w:bCs/>
                <w:sz w:val="24"/>
                <w:szCs w:val="24"/>
              </w:rPr>
            </w:pPr>
            <w:r w:rsidRPr="00075918">
              <w:rPr>
                <w:rFonts w:cs="Calibri"/>
                <w:b/>
                <w:bCs/>
                <w:sz w:val="24"/>
                <w:szCs w:val="24"/>
              </w:rPr>
              <w:t>τ</w:t>
            </w:r>
            <w:r w:rsidRPr="00075918">
              <w:rPr>
                <w:rFonts w:cs="Calibri"/>
                <w:b/>
                <w:bCs/>
                <w:sz w:val="24"/>
                <w:szCs w:val="24"/>
                <w:vertAlign w:val="subscript"/>
              </w:rPr>
              <w:t>2</w:t>
            </w:r>
            <w:r w:rsidRPr="00075918">
              <w:rPr>
                <w:rFonts w:cs="Calibri"/>
                <w:b/>
                <w:bCs/>
                <w:sz w:val="24"/>
                <w:szCs w:val="24"/>
              </w:rPr>
              <w:t>ps</w:t>
            </w:r>
          </w:p>
        </w:tc>
        <w:tc>
          <w:tcPr>
            <w:tcW w:w="0" w:type="auto"/>
            <w:tcBorders>
              <w:top w:val="single" w:sz="8" w:space="0" w:color="auto"/>
              <w:bottom w:val="single" w:sz="8" w:space="0" w:color="auto"/>
            </w:tcBorders>
          </w:tcPr>
          <w:p w14:paraId="2E333E77" w14:textId="77777777" w:rsidR="00034109" w:rsidRPr="00075918" w:rsidRDefault="00034109" w:rsidP="00034109">
            <w:pPr>
              <w:autoSpaceDE w:val="0"/>
              <w:autoSpaceDN w:val="0"/>
              <w:adjustRightInd w:val="0"/>
              <w:spacing w:after="0" w:line="240" w:lineRule="auto"/>
              <w:jc w:val="both"/>
              <w:rPr>
                <w:rFonts w:cs="Calibri"/>
                <w:b/>
                <w:bCs/>
                <w:sz w:val="24"/>
                <w:szCs w:val="24"/>
              </w:rPr>
            </w:pPr>
            <w:r w:rsidRPr="00075918">
              <w:rPr>
                <w:rFonts w:cs="Calibri"/>
                <w:b/>
                <w:bCs/>
                <w:sz w:val="24"/>
                <w:szCs w:val="24"/>
              </w:rPr>
              <w:t>EADS</w:t>
            </w:r>
            <w:r w:rsidRPr="00075918">
              <w:rPr>
                <w:rFonts w:cs="Calibri"/>
                <w:b/>
                <w:bCs/>
                <w:sz w:val="24"/>
                <w:szCs w:val="24"/>
                <w:vertAlign w:val="subscript"/>
              </w:rPr>
              <w:t>3</w:t>
            </w:r>
            <w:r w:rsidRPr="00075918">
              <w:rPr>
                <w:rFonts w:cs="Calibri"/>
                <w:b/>
                <w:bCs/>
                <w:sz w:val="24"/>
                <w:szCs w:val="24"/>
              </w:rPr>
              <w:t>/S</w:t>
            </w:r>
            <w:r w:rsidRPr="00075918">
              <w:rPr>
                <w:rFonts w:cs="Calibri"/>
                <w:b/>
                <w:bCs/>
                <w:sz w:val="24"/>
                <w:szCs w:val="24"/>
                <w:vertAlign w:val="subscript"/>
              </w:rPr>
              <w:t>1</w:t>
            </w:r>
          </w:p>
          <w:p w14:paraId="7EF0179F" w14:textId="77777777" w:rsidR="00034109" w:rsidRPr="00075918" w:rsidRDefault="00034109" w:rsidP="00034109">
            <w:pPr>
              <w:autoSpaceDE w:val="0"/>
              <w:autoSpaceDN w:val="0"/>
              <w:adjustRightInd w:val="0"/>
              <w:spacing w:after="0" w:line="240" w:lineRule="auto"/>
              <w:jc w:val="both"/>
              <w:rPr>
                <w:rFonts w:cs="Calibri"/>
                <w:b/>
                <w:bCs/>
                <w:sz w:val="24"/>
                <w:szCs w:val="24"/>
              </w:rPr>
            </w:pPr>
            <w:r w:rsidRPr="00075918">
              <w:rPr>
                <w:rFonts w:cs="Calibri"/>
                <w:b/>
                <w:bCs/>
                <w:sz w:val="24"/>
                <w:szCs w:val="24"/>
              </w:rPr>
              <w:t>τ</w:t>
            </w:r>
            <w:r w:rsidRPr="00075918">
              <w:rPr>
                <w:rFonts w:cs="Calibri"/>
                <w:b/>
                <w:bCs/>
                <w:sz w:val="24"/>
                <w:szCs w:val="24"/>
                <w:vertAlign w:val="subscript"/>
              </w:rPr>
              <w:t>3</w:t>
            </w:r>
            <w:r w:rsidRPr="00075918">
              <w:rPr>
                <w:rFonts w:cs="Calibri"/>
                <w:b/>
                <w:bCs/>
                <w:sz w:val="24"/>
                <w:szCs w:val="24"/>
              </w:rPr>
              <w:t>ps</w:t>
            </w:r>
          </w:p>
        </w:tc>
        <w:tc>
          <w:tcPr>
            <w:tcW w:w="0" w:type="auto"/>
            <w:tcBorders>
              <w:top w:val="single" w:sz="8" w:space="0" w:color="auto"/>
              <w:bottom w:val="single" w:sz="8" w:space="0" w:color="auto"/>
            </w:tcBorders>
          </w:tcPr>
          <w:p w14:paraId="5BC71809" w14:textId="77777777" w:rsidR="00034109" w:rsidRPr="00075918" w:rsidRDefault="00034109" w:rsidP="00034109">
            <w:pPr>
              <w:autoSpaceDE w:val="0"/>
              <w:autoSpaceDN w:val="0"/>
              <w:adjustRightInd w:val="0"/>
              <w:spacing w:after="0" w:line="240" w:lineRule="auto"/>
              <w:jc w:val="both"/>
              <w:rPr>
                <w:rFonts w:cs="Calibri"/>
                <w:b/>
                <w:bCs/>
                <w:sz w:val="24"/>
                <w:szCs w:val="24"/>
              </w:rPr>
            </w:pPr>
            <w:r w:rsidRPr="00075918">
              <w:rPr>
                <w:rFonts w:cs="Calibri"/>
                <w:b/>
                <w:bCs/>
                <w:sz w:val="24"/>
                <w:szCs w:val="24"/>
              </w:rPr>
              <w:t>EADS</w:t>
            </w:r>
            <w:r w:rsidRPr="00075918">
              <w:rPr>
                <w:rFonts w:cs="Calibri"/>
                <w:b/>
                <w:bCs/>
                <w:sz w:val="24"/>
                <w:szCs w:val="24"/>
                <w:vertAlign w:val="subscript"/>
              </w:rPr>
              <w:t>4</w:t>
            </w:r>
          </w:p>
          <w:p w14:paraId="7FF1F30C" w14:textId="77777777" w:rsidR="00034109" w:rsidRPr="00075918" w:rsidRDefault="00034109" w:rsidP="00034109">
            <w:pPr>
              <w:autoSpaceDE w:val="0"/>
              <w:autoSpaceDN w:val="0"/>
              <w:adjustRightInd w:val="0"/>
              <w:spacing w:after="0" w:line="240" w:lineRule="auto"/>
              <w:jc w:val="both"/>
              <w:rPr>
                <w:rFonts w:cs="Calibri"/>
                <w:b/>
                <w:bCs/>
                <w:sz w:val="24"/>
                <w:szCs w:val="24"/>
              </w:rPr>
            </w:pPr>
            <w:r w:rsidRPr="00075918">
              <w:rPr>
                <w:rFonts w:cs="Calibri"/>
                <w:b/>
                <w:bCs/>
                <w:sz w:val="24"/>
                <w:szCs w:val="24"/>
              </w:rPr>
              <w:t>τ</w:t>
            </w:r>
            <w:r w:rsidRPr="00075918">
              <w:rPr>
                <w:rFonts w:cs="Calibri"/>
                <w:b/>
                <w:bCs/>
                <w:sz w:val="24"/>
                <w:szCs w:val="24"/>
                <w:vertAlign w:val="subscript"/>
              </w:rPr>
              <w:t>4</w:t>
            </w:r>
            <w:r w:rsidRPr="00075918">
              <w:rPr>
                <w:rFonts w:cs="Calibri"/>
                <w:b/>
                <w:bCs/>
                <w:sz w:val="24"/>
                <w:szCs w:val="24"/>
              </w:rPr>
              <w:t xml:space="preserve"> ns</w:t>
            </w:r>
          </w:p>
        </w:tc>
        <w:tc>
          <w:tcPr>
            <w:tcW w:w="0" w:type="auto"/>
            <w:tcBorders>
              <w:top w:val="single" w:sz="8" w:space="0" w:color="auto"/>
              <w:bottom w:val="single" w:sz="8" w:space="0" w:color="auto"/>
            </w:tcBorders>
          </w:tcPr>
          <w:p w14:paraId="00061524" w14:textId="77777777" w:rsidR="00034109" w:rsidRPr="00075918" w:rsidRDefault="00034109" w:rsidP="00034109">
            <w:pPr>
              <w:autoSpaceDE w:val="0"/>
              <w:autoSpaceDN w:val="0"/>
              <w:adjustRightInd w:val="0"/>
              <w:spacing w:after="0" w:line="240" w:lineRule="auto"/>
              <w:jc w:val="both"/>
              <w:rPr>
                <w:rFonts w:cs="Calibri"/>
                <w:b/>
                <w:bCs/>
                <w:sz w:val="24"/>
                <w:szCs w:val="24"/>
              </w:rPr>
            </w:pPr>
            <w:r w:rsidRPr="00075918">
              <w:rPr>
                <w:rFonts w:cs="Calibri"/>
                <w:b/>
                <w:bCs/>
                <w:sz w:val="24"/>
                <w:szCs w:val="24"/>
              </w:rPr>
              <w:t xml:space="preserve">Electron </w:t>
            </w:r>
          </w:p>
          <w:p w14:paraId="0465AA46" w14:textId="77777777" w:rsidR="00034109" w:rsidRPr="00075918" w:rsidRDefault="00034109" w:rsidP="00034109">
            <w:pPr>
              <w:autoSpaceDE w:val="0"/>
              <w:autoSpaceDN w:val="0"/>
              <w:adjustRightInd w:val="0"/>
              <w:spacing w:after="0" w:line="240" w:lineRule="auto"/>
              <w:jc w:val="both"/>
              <w:rPr>
                <w:rFonts w:cs="Calibri"/>
                <w:b/>
                <w:bCs/>
                <w:sz w:val="24"/>
                <w:szCs w:val="24"/>
              </w:rPr>
            </w:pPr>
            <w:r w:rsidRPr="00075918">
              <w:rPr>
                <w:rFonts w:cs="Calibri"/>
                <w:b/>
                <w:bCs/>
                <w:sz w:val="24"/>
                <w:szCs w:val="24"/>
              </w:rPr>
              <w:t>injection rate/s</w:t>
            </w:r>
            <w:r w:rsidRPr="00075918">
              <w:rPr>
                <w:rFonts w:cs="Calibri"/>
                <w:b/>
                <w:bCs/>
                <w:sz w:val="24"/>
                <w:szCs w:val="24"/>
                <w:vertAlign w:val="superscript"/>
              </w:rPr>
              <w:t>-1</w:t>
            </w:r>
          </w:p>
        </w:tc>
      </w:tr>
      <w:tr w:rsidR="00034109" w:rsidRPr="00075918" w14:paraId="1E5D2324" w14:textId="77777777" w:rsidTr="00034109">
        <w:tc>
          <w:tcPr>
            <w:tcW w:w="0" w:type="auto"/>
            <w:tcBorders>
              <w:top w:val="single" w:sz="8" w:space="0" w:color="auto"/>
            </w:tcBorders>
          </w:tcPr>
          <w:p w14:paraId="3A86BF54" w14:textId="77777777" w:rsidR="00034109" w:rsidRPr="00075918" w:rsidRDefault="00034109" w:rsidP="00034109">
            <w:pPr>
              <w:autoSpaceDE w:val="0"/>
              <w:autoSpaceDN w:val="0"/>
              <w:adjustRightInd w:val="0"/>
              <w:spacing w:after="0" w:line="480" w:lineRule="auto"/>
              <w:jc w:val="both"/>
              <w:rPr>
                <w:rFonts w:cs="Calibri"/>
                <w:b/>
                <w:bCs/>
                <w:sz w:val="24"/>
                <w:szCs w:val="24"/>
              </w:rPr>
            </w:pPr>
            <w:r w:rsidRPr="00075918">
              <w:rPr>
                <w:rFonts w:cs="Calibri"/>
                <w:b/>
                <w:bCs/>
                <w:sz w:val="24"/>
                <w:szCs w:val="24"/>
              </w:rPr>
              <w:t>LG28</w:t>
            </w:r>
          </w:p>
        </w:tc>
        <w:tc>
          <w:tcPr>
            <w:tcW w:w="0" w:type="auto"/>
            <w:tcBorders>
              <w:top w:val="single" w:sz="8" w:space="0" w:color="auto"/>
            </w:tcBorders>
          </w:tcPr>
          <w:p w14:paraId="5E66C26B"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6±1</w:t>
            </w:r>
          </w:p>
        </w:tc>
        <w:tc>
          <w:tcPr>
            <w:tcW w:w="0" w:type="auto"/>
            <w:tcBorders>
              <w:top w:val="single" w:sz="8" w:space="0" w:color="auto"/>
            </w:tcBorders>
          </w:tcPr>
          <w:p w14:paraId="273D78F6"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255 ± 10</w:t>
            </w:r>
          </w:p>
        </w:tc>
        <w:tc>
          <w:tcPr>
            <w:tcW w:w="0" w:type="auto"/>
            <w:tcBorders>
              <w:top w:val="single" w:sz="8" w:space="0" w:color="auto"/>
            </w:tcBorders>
          </w:tcPr>
          <w:p w14:paraId="7C563308"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1900 ±50</w:t>
            </w:r>
          </w:p>
        </w:tc>
        <w:tc>
          <w:tcPr>
            <w:tcW w:w="0" w:type="auto"/>
            <w:tcBorders>
              <w:top w:val="single" w:sz="8" w:space="0" w:color="auto"/>
            </w:tcBorders>
          </w:tcPr>
          <w:p w14:paraId="11F0A68E"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&gt;10 (T</w:t>
            </w:r>
            <w:r w:rsidRPr="00075918">
              <w:rPr>
                <w:rFonts w:cs="Calibri"/>
                <w:sz w:val="24"/>
                <w:szCs w:val="24"/>
                <w:vertAlign w:val="subscript"/>
              </w:rPr>
              <w:t>1</w:t>
            </w:r>
            <w:r w:rsidRPr="00075918">
              <w:rPr>
                <w:rFonts w:cs="Calibri"/>
                <w:sz w:val="24"/>
                <w:szCs w:val="24"/>
              </w:rPr>
              <w:t>)</w:t>
            </w:r>
          </w:p>
        </w:tc>
        <w:tc>
          <w:tcPr>
            <w:tcW w:w="0" w:type="auto"/>
            <w:tcBorders>
              <w:top w:val="single" w:sz="8" w:space="0" w:color="auto"/>
            </w:tcBorders>
          </w:tcPr>
          <w:p w14:paraId="583257BF"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w:t>
            </w:r>
          </w:p>
        </w:tc>
      </w:tr>
      <w:tr w:rsidR="00034109" w:rsidRPr="00075918" w14:paraId="510027DC" w14:textId="77777777" w:rsidTr="00034109">
        <w:tc>
          <w:tcPr>
            <w:tcW w:w="0" w:type="auto"/>
          </w:tcPr>
          <w:p w14:paraId="7619CD01" w14:textId="77777777" w:rsidR="00034109" w:rsidRPr="00075918" w:rsidRDefault="00034109" w:rsidP="00034109">
            <w:pPr>
              <w:autoSpaceDE w:val="0"/>
              <w:autoSpaceDN w:val="0"/>
              <w:adjustRightInd w:val="0"/>
              <w:spacing w:after="0" w:line="480" w:lineRule="auto"/>
              <w:jc w:val="both"/>
              <w:rPr>
                <w:rFonts w:cs="Calibri"/>
                <w:b/>
                <w:bCs/>
                <w:sz w:val="24"/>
                <w:szCs w:val="24"/>
              </w:rPr>
            </w:pPr>
            <w:r w:rsidRPr="00075918">
              <w:rPr>
                <w:rFonts w:cs="Calibri"/>
                <w:b/>
                <w:bCs/>
                <w:sz w:val="24"/>
                <w:szCs w:val="24"/>
              </w:rPr>
              <w:t>LG28+TiO</w:t>
            </w:r>
            <w:r w:rsidRPr="00075918">
              <w:rPr>
                <w:rFonts w:cs="Calibri"/>
                <w:b/>
                <w:bCs/>
                <w:sz w:val="24"/>
                <w:szCs w:val="24"/>
                <w:vertAlign w:val="subscript"/>
              </w:rPr>
              <w:t>2</w:t>
            </w:r>
          </w:p>
        </w:tc>
        <w:tc>
          <w:tcPr>
            <w:tcW w:w="0" w:type="auto"/>
          </w:tcPr>
          <w:p w14:paraId="56DA90A7"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2 ± 1</w:t>
            </w:r>
          </w:p>
        </w:tc>
        <w:tc>
          <w:tcPr>
            <w:tcW w:w="0" w:type="auto"/>
          </w:tcPr>
          <w:p w14:paraId="19EC4916"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19±3</w:t>
            </w:r>
          </w:p>
        </w:tc>
        <w:tc>
          <w:tcPr>
            <w:tcW w:w="0" w:type="auto"/>
          </w:tcPr>
          <w:p w14:paraId="18BC927B"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400±10</w:t>
            </w:r>
          </w:p>
        </w:tc>
        <w:tc>
          <w:tcPr>
            <w:tcW w:w="0" w:type="auto"/>
          </w:tcPr>
          <w:p w14:paraId="154C4916"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&gt;13 (CS)</w:t>
            </w:r>
          </w:p>
        </w:tc>
        <w:tc>
          <w:tcPr>
            <w:tcW w:w="0" w:type="auto"/>
          </w:tcPr>
          <w:p w14:paraId="2A9C80A6"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3.84x10</w:t>
            </w:r>
            <w:r w:rsidRPr="00075918">
              <w:rPr>
                <w:rFonts w:cs="Calibri"/>
                <w:sz w:val="24"/>
                <w:szCs w:val="24"/>
                <w:vertAlign w:val="superscript"/>
              </w:rPr>
              <w:t>11</w:t>
            </w:r>
          </w:p>
        </w:tc>
      </w:tr>
      <w:tr w:rsidR="00034109" w:rsidRPr="00075918" w14:paraId="05758C48" w14:textId="77777777" w:rsidTr="00034109">
        <w:tc>
          <w:tcPr>
            <w:tcW w:w="0" w:type="auto"/>
          </w:tcPr>
          <w:p w14:paraId="0E060EAC" w14:textId="77777777" w:rsidR="00034109" w:rsidRPr="00075918" w:rsidRDefault="00034109" w:rsidP="00034109">
            <w:pPr>
              <w:autoSpaceDE w:val="0"/>
              <w:autoSpaceDN w:val="0"/>
              <w:adjustRightInd w:val="0"/>
              <w:spacing w:after="0" w:line="480" w:lineRule="auto"/>
              <w:jc w:val="both"/>
              <w:rPr>
                <w:rFonts w:cs="Calibri"/>
                <w:b/>
                <w:bCs/>
                <w:sz w:val="24"/>
                <w:szCs w:val="24"/>
              </w:rPr>
            </w:pPr>
            <w:r w:rsidRPr="00075918">
              <w:rPr>
                <w:rFonts w:cs="Calibri"/>
                <w:b/>
                <w:bCs/>
                <w:sz w:val="24"/>
                <w:szCs w:val="24"/>
              </w:rPr>
              <w:t>LG29</w:t>
            </w:r>
          </w:p>
        </w:tc>
        <w:tc>
          <w:tcPr>
            <w:tcW w:w="0" w:type="auto"/>
          </w:tcPr>
          <w:p w14:paraId="196D979B"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6±1</w:t>
            </w:r>
          </w:p>
        </w:tc>
        <w:tc>
          <w:tcPr>
            <w:tcW w:w="0" w:type="auto"/>
          </w:tcPr>
          <w:p w14:paraId="1C5DD4DA"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142±5</w:t>
            </w:r>
          </w:p>
        </w:tc>
        <w:tc>
          <w:tcPr>
            <w:tcW w:w="0" w:type="auto"/>
          </w:tcPr>
          <w:p w14:paraId="56BB63DE"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2340±50</w:t>
            </w:r>
          </w:p>
        </w:tc>
        <w:tc>
          <w:tcPr>
            <w:tcW w:w="0" w:type="auto"/>
          </w:tcPr>
          <w:p w14:paraId="6DF33016"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&gt;10</w:t>
            </w:r>
          </w:p>
        </w:tc>
        <w:tc>
          <w:tcPr>
            <w:tcW w:w="0" w:type="auto"/>
          </w:tcPr>
          <w:p w14:paraId="2588A02C"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w:t>
            </w:r>
          </w:p>
        </w:tc>
      </w:tr>
      <w:tr w:rsidR="00034109" w:rsidRPr="00075918" w14:paraId="0B6C4EB4" w14:textId="77777777" w:rsidTr="00034109">
        <w:tc>
          <w:tcPr>
            <w:tcW w:w="0" w:type="auto"/>
            <w:tcBorders>
              <w:bottom w:val="single" w:sz="8" w:space="0" w:color="auto"/>
            </w:tcBorders>
          </w:tcPr>
          <w:p w14:paraId="099366E6" w14:textId="77777777" w:rsidR="00034109" w:rsidRPr="00075918" w:rsidRDefault="00034109" w:rsidP="00034109">
            <w:pPr>
              <w:autoSpaceDE w:val="0"/>
              <w:autoSpaceDN w:val="0"/>
              <w:adjustRightInd w:val="0"/>
              <w:spacing w:after="0" w:line="480" w:lineRule="auto"/>
              <w:jc w:val="both"/>
              <w:rPr>
                <w:rFonts w:cs="Calibri"/>
                <w:b/>
                <w:bCs/>
                <w:sz w:val="24"/>
                <w:szCs w:val="24"/>
              </w:rPr>
            </w:pPr>
            <w:r w:rsidRPr="00075918">
              <w:rPr>
                <w:rFonts w:cs="Calibri"/>
                <w:b/>
                <w:bCs/>
                <w:sz w:val="24"/>
                <w:szCs w:val="24"/>
              </w:rPr>
              <w:t>LG29+TiO2</w:t>
            </w:r>
          </w:p>
        </w:tc>
        <w:tc>
          <w:tcPr>
            <w:tcW w:w="0" w:type="auto"/>
            <w:tcBorders>
              <w:bottom w:val="single" w:sz="8" w:space="0" w:color="auto"/>
            </w:tcBorders>
          </w:tcPr>
          <w:p w14:paraId="76DF36A1"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7±1</w:t>
            </w:r>
          </w:p>
        </w:tc>
        <w:tc>
          <w:tcPr>
            <w:tcW w:w="0" w:type="auto"/>
            <w:tcBorders>
              <w:bottom w:val="single" w:sz="8" w:space="0" w:color="auto"/>
            </w:tcBorders>
          </w:tcPr>
          <w:p w14:paraId="6C3FBDB7"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152±5</w:t>
            </w:r>
          </w:p>
        </w:tc>
        <w:tc>
          <w:tcPr>
            <w:tcW w:w="0" w:type="auto"/>
            <w:tcBorders>
              <w:bottom w:val="single" w:sz="8" w:space="0" w:color="auto"/>
            </w:tcBorders>
          </w:tcPr>
          <w:p w14:paraId="645DFFCD"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378±10</w:t>
            </w:r>
          </w:p>
        </w:tc>
        <w:tc>
          <w:tcPr>
            <w:tcW w:w="0" w:type="auto"/>
            <w:tcBorders>
              <w:bottom w:val="single" w:sz="8" w:space="0" w:color="auto"/>
            </w:tcBorders>
          </w:tcPr>
          <w:p w14:paraId="052B5217"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&gt;13</w:t>
            </w:r>
          </w:p>
        </w:tc>
        <w:tc>
          <w:tcPr>
            <w:tcW w:w="0" w:type="auto"/>
            <w:tcBorders>
              <w:bottom w:val="single" w:sz="8" w:space="0" w:color="auto"/>
            </w:tcBorders>
          </w:tcPr>
          <w:p w14:paraId="69F8DE12" w14:textId="77777777" w:rsidR="00034109" w:rsidRPr="00075918" w:rsidRDefault="00034109" w:rsidP="00034109">
            <w:pPr>
              <w:autoSpaceDE w:val="0"/>
              <w:autoSpaceDN w:val="0"/>
              <w:adjustRightInd w:val="0"/>
              <w:spacing w:after="0" w:line="480" w:lineRule="auto"/>
              <w:jc w:val="both"/>
              <w:rPr>
                <w:rFonts w:cs="Calibri"/>
                <w:sz w:val="24"/>
                <w:szCs w:val="24"/>
              </w:rPr>
            </w:pPr>
            <w:r w:rsidRPr="00075918">
              <w:rPr>
                <w:rFonts w:cs="Calibri"/>
                <w:sz w:val="24"/>
                <w:szCs w:val="24"/>
              </w:rPr>
              <w:t>2.22x10</w:t>
            </w:r>
            <w:r w:rsidRPr="00075918">
              <w:rPr>
                <w:rFonts w:cs="Calibri"/>
                <w:sz w:val="24"/>
                <w:szCs w:val="24"/>
                <w:vertAlign w:val="superscript"/>
              </w:rPr>
              <w:t>9</w:t>
            </w:r>
          </w:p>
        </w:tc>
      </w:tr>
    </w:tbl>
    <w:p w14:paraId="55141406" w14:textId="77777777" w:rsidR="006B52FC" w:rsidRDefault="006B52FC" w:rsidP="00F23FFB">
      <w:pPr>
        <w:autoSpaceDE w:val="0"/>
        <w:autoSpaceDN w:val="0"/>
        <w:adjustRightInd w:val="0"/>
        <w:spacing w:after="0" w:line="480" w:lineRule="auto"/>
        <w:jc w:val="both"/>
        <w:rPr>
          <w:rFonts w:cs="Calibri"/>
          <w:color w:val="0000FF"/>
          <w:sz w:val="24"/>
          <w:szCs w:val="24"/>
        </w:rPr>
      </w:pPr>
    </w:p>
    <w:p w14:paraId="7E5112B4" w14:textId="77777777" w:rsidR="00FC31B0" w:rsidRPr="00075918" w:rsidRDefault="00FC31B0" w:rsidP="00F23FFB">
      <w:pPr>
        <w:autoSpaceDE w:val="0"/>
        <w:autoSpaceDN w:val="0"/>
        <w:adjustRightInd w:val="0"/>
        <w:spacing w:after="0" w:line="480" w:lineRule="auto"/>
        <w:jc w:val="both"/>
        <w:rPr>
          <w:rFonts w:cs="Calibri"/>
          <w:sz w:val="24"/>
          <w:szCs w:val="24"/>
        </w:rPr>
      </w:pPr>
    </w:p>
    <w:p w14:paraId="07476C25" w14:textId="77777777" w:rsidR="007C47D9" w:rsidRPr="00CF55D9" w:rsidRDefault="007C47D9" w:rsidP="007C47D9">
      <w:pPr>
        <w:spacing w:after="0" w:line="360" w:lineRule="auto"/>
        <w:jc w:val="both"/>
        <w:rPr>
          <w:color w:val="0000FF"/>
          <w:sz w:val="24"/>
          <w:szCs w:val="24"/>
        </w:rPr>
      </w:pPr>
    </w:p>
    <w:p w14:paraId="5A0C7885" w14:textId="77777777" w:rsidR="007C47D9" w:rsidRPr="00CF55D9" w:rsidRDefault="007C47D9" w:rsidP="007C47D9">
      <w:pPr>
        <w:spacing w:after="0" w:line="360" w:lineRule="auto"/>
        <w:jc w:val="both"/>
        <w:rPr>
          <w:color w:val="0000FF"/>
          <w:sz w:val="24"/>
          <w:szCs w:val="24"/>
        </w:rPr>
      </w:pPr>
    </w:p>
    <w:p w14:paraId="2B785F2F" w14:textId="77777777" w:rsidR="006643EA" w:rsidRDefault="006643EA" w:rsidP="007C47D9">
      <w:pPr>
        <w:spacing w:after="0" w:line="360" w:lineRule="auto"/>
        <w:jc w:val="both"/>
        <w:rPr>
          <w:sz w:val="24"/>
          <w:szCs w:val="24"/>
        </w:rPr>
      </w:pPr>
    </w:p>
    <w:p w14:paraId="43E851E2" w14:textId="1411DFDE" w:rsidR="006643EA" w:rsidRDefault="006333CE" w:rsidP="00CD5AD1">
      <w:pPr>
        <w:spacing w:after="0" w:line="360" w:lineRule="auto"/>
        <w:jc w:val="center"/>
        <w:rPr>
          <w:sz w:val="24"/>
          <w:szCs w:val="24"/>
        </w:rPr>
      </w:pPr>
      <w:r w:rsidRPr="00E70CEA">
        <w:rPr>
          <w:noProof/>
          <w:sz w:val="24"/>
          <w:szCs w:val="24"/>
        </w:rPr>
        <w:lastRenderedPageBreak/>
        <w:drawing>
          <wp:inline distT="0" distB="0" distL="0" distR="0" wp14:anchorId="7239B861" wp14:editId="6C0EEFC9">
            <wp:extent cx="3928745" cy="6161405"/>
            <wp:effectExtent l="0" t="0" r="0" b="0"/>
            <wp:docPr id="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28745" cy="6161405"/>
                    </a:xfrm>
                    <a:prstGeom prst="rect">
                      <a:avLst/>
                    </a:prstGeom>
                    <a:noFill/>
                    <a:ln>
                      <a:noFill/>
                    </a:ln>
                  </pic:spPr>
                </pic:pic>
              </a:graphicData>
            </a:graphic>
          </wp:inline>
        </w:drawing>
      </w:r>
    </w:p>
    <w:p w14:paraId="429A33B4" w14:textId="77777777" w:rsidR="007C47D9" w:rsidRDefault="006643EA" w:rsidP="007C47D9">
      <w:pPr>
        <w:spacing w:after="0" w:line="360" w:lineRule="auto"/>
        <w:jc w:val="both"/>
        <w:rPr>
          <w:sz w:val="24"/>
          <w:szCs w:val="24"/>
        </w:rPr>
      </w:pPr>
      <w:r w:rsidRPr="00075918">
        <w:rPr>
          <w:b/>
          <w:bCs/>
          <w:sz w:val="24"/>
          <w:szCs w:val="24"/>
        </w:rPr>
        <w:t xml:space="preserve">Figure </w:t>
      </w:r>
      <w:r w:rsidR="00075918" w:rsidRPr="00075918">
        <w:rPr>
          <w:b/>
          <w:bCs/>
          <w:sz w:val="24"/>
          <w:szCs w:val="24"/>
        </w:rPr>
        <w:t>7</w:t>
      </w:r>
      <w:r w:rsidRPr="00075918">
        <w:rPr>
          <w:b/>
          <w:bCs/>
          <w:sz w:val="24"/>
          <w:szCs w:val="24"/>
        </w:rPr>
        <w:t>.</w:t>
      </w:r>
      <w:r w:rsidR="00075918" w:rsidRPr="00075918">
        <w:rPr>
          <w:b/>
          <w:bCs/>
          <w:sz w:val="24"/>
          <w:szCs w:val="24"/>
        </w:rPr>
        <w:t xml:space="preserve"> </w:t>
      </w:r>
      <w:r w:rsidR="00047588" w:rsidRPr="00075918">
        <w:rPr>
          <w:sz w:val="24"/>
          <w:szCs w:val="24"/>
        </w:rPr>
        <w:t>Pictorial summary of transient absorption spectra of LG28 (lower panel) and LG</w:t>
      </w:r>
      <w:r w:rsidR="00075918">
        <w:rPr>
          <w:sz w:val="24"/>
          <w:szCs w:val="24"/>
        </w:rPr>
        <w:t xml:space="preserve"> </w:t>
      </w:r>
      <w:r w:rsidR="00047588" w:rsidRPr="00075918">
        <w:rPr>
          <w:sz w:val="24"/>
          <w:szCs w:val="24"/>
        </w:rPr>
        <w:t>28+TiO</w:t>
      </w:r>
      <w:r w:rsidR="00047588" w:rsidRPr="00075918">
        <w:rPr>
          <w:sz w:val="24"/>
          <w:szCs w:val="24"/>
          <w:vertAlign w:val="subscript"/>
        </w:rPr>
        <w:t>2</w:t>
      </w:r>
      <w:r w:rsidR="00047588" w:rsidRPr="00075918">
        <w:rPr>
          <w:sz w:val="24"/>
          <w:szCs w:val="24"/>
        </w:rPr>
        <w:t xml:space="preserve"> (upper </w:t>
      </w:r>
      <w:r w:rsidR="000A0DC1" w:rsidRPr="00075918">
        <w:rPr>
          <w:sz w:val="24"/>
          <w:szCs w:val="24"/>
        </w:rPr>
        <w:t xml:space="preserve">panel) upon 400 nm excitation in THF solution. (i) represents </w:t>
      </w:r>
      <w:r w:rsidR="000A0DC1" w:rsidRPr="00075918">
        <w:rPr>
          <w:sz w:val="24"/>
          <w:szCs w:val="24"/>
        </w:rPr>
        <w:sym w:font="Symbol" w:char="F044"/>
      </w:r>
      <w:r w:rsidR="000A0DC1" w:rsidRPr="00075918">
        <w:rPr>
          <w:sz w:val="24"/>
          <w:szCs w:val="24"/>
        </w:rPr>
        <w:t>OD heat map, (ii) represents transient absorption spectra at different delay time and (iii) represents</w:t>
      </w:r>
      <w:r w:rsidR="00D7667A" w:rsidRPr="00075918">
        <w:rPr>
          <w:sz w:val="24"/>
          <w:szCs w:val="24"/>
        </w:rPr>
        <w:t xml:space="preserve"> transient time profiles at selective wavelengths. Time axis is in linear scale till 10 ps and in logarithmic scale thereafter. </w:t>
      </w:r>
    </w:p>
    <w:p w14:paraId="30BE49BF" w14:textId="77777777" w:rsidR="005A525A" w:rsidRPr="00A34037" w:rsidRDefault="00417860" w:rsidP="007C47D9">
      <w:pPr>
        <w:spacing w:after="0" w:line="360" w:lineRule="auto"/>
        <w:jc w:val="both"/>
        <w:rPr>
          <w:rFonts w:cs="Calibri"/>
          <w:sz w:val="24"/>
          <w:szCs w:val="24"/>
          <w:lang w:val="en-IN" w:eastAsia="en-IN" w:bidi="hi-IN"/>
        </w:rPr>
      </w:pPr>
      <w:r>
        <w:rPr>
          <w:sz w:val="24"/>
          <w:szCs w:val="24"/>
        </w:rPr>
        <w:tab/>
        <w:t>Despite having multiple electron injection and better electron injection rate to TiO</w:t>
      </w:r>
      <w:r w:rsidRPr="00126725">
        <w:rPr>
          <w:sz w:val="24"/>
          <w:szCs w:val="24"/>
          <w:vertAlign w:val="subscript"/>
        </w:rPr>
        <w:t xml:space="preserve">2 </w:t>
      </w:r>
      <w:r>
        <w:rPr>
          <w:sz w:val="24"/>
          <w:szCs w:val="24"/>
        </w:rPr>
        <w:t>conduction band in case of LG 28, but the device efficiency is low, when compared to LG 29 and</w:t>
      </w:r>
    </w:p>
    <w:p w14:paraId="0F1FF78F" w14:textId="78D1862E" w:rsidR="00A1633F" w:rsidRDefault="006333CE" w:rsidP="00A34037">
      <w:pPr>
        <w:spacing w:after="0" w:line="360" w:lineRule="auto"/>
        <w:jc w:val="center"/>
        <w:rPr>
          <w:sz w:val="24"/>
          <w:szCs w:val="24"/>
        </w:rPr>
      </w:pPr>
      <w:r w:rsidRPr="00075918">
        <w:rPr>
          <w:noProof/>
          <w:sz w:val="24"/>
          <w:szCs w:val="24"/>
        </w:rPr>
        <w:lastRenderedPageBreak/>
        <w:drawing>
          <wp:inline distT="0" distB="0" distL="0" distR="0" wp14:anchorId="2B635108" wp14:editId="2E7C7CEE">
            <wp:extent cx="4752975" cy="6358255"/>
            <wp:effectExtent l="0" t="0" r="0" b="0"/>
            <wp:docPr id="1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52975" cy="6358255"/>
                    </a:xfrm>
                    <a:prstGeom prst="rect">
                      <a:avLst/>
                    </a:prstGeom>
                    <a:noFill/>
                    <a:ln>
                      <a:noFill/>
                    </a:ln>
                  </pic:spPr>
                </pic:pic>
              </a:graphicData>
            </a:graphic>
          </wp:inline>
        </w:drawing>
      </w:r>
    </w:p>
    <w:p w14:paraId="5868F440" w14:textId="77777777" w:rsidR="007D77E0" w:rsidRPr="00075918" w:rsidRDefault="007D77E0" w:rsidP="007C47D9">
      <w:pPr>
        <w:spacing w:after="0" w:line="360" w:lineRule="auto"/>
        <w:jc w:val="both"/>
        <w:rPr>
          <w:sz w:val="24"/>
          <w:szCs w:val="24"/>
        </w:rPr>
      </w:pPr>
      <w:bookmarkStart w:id="3" w:name="_GoBack"/>
      <w:r w:rsidRPr="00075918">
        <w:rPr>
          <w:b/>
          <w:bCs/>
          <w:sz w:val="24"/>
          <w:szCs w:val="24"/>
        </w:rPr>
        <w:t xml:space="preserve">Figure </w:t>
      </w:r>
      <w:r w:rsidR="00075918" w:rsidRPr="00075918">
        <w:rPr>
          <w:b/>
          <w:bCs/>
          <w:sz w:val="24"/>
          <w:szCs w:val="24"/>
        </w:rPr>
        <w:t>8</w:t>
      </w:r>
      <w:r w:rsidRPr="00075918">
        <w:rPr>
          <w:b/>
          <w:bCs/>
          <w:sz w:val="24"/>
          <w:szCs w:val="24"/>
        </w:rPr>
        <w:t>.</w:t>
      </w:r>
      <w:r w:rsidRPr="00075918">
        <w:rPr>
          <w:sz w:val="24"/>
          <w:szCs w:val="24"/>
        </w:rPr>
        <w:t xml:space="preserve"> Pictorial summary of global analysis of transient data matrices obtained upon 400 nm excitation of LS28 (lower panel) and LG28+TiO</w:t>
      </w:r>
      <w:r w:rsidRPr="00075918">
        <w:rPr>
          <w:sz w:val="24"/>
          <w:szCs w:val="24"/>
          <w:vertAlign w:val="subscript"/>
        </w:rPr>
        <w:t>2</w:t>
      </w:r>
      <w:r w:rsidRPr="00075918">
        <w:rPr>
          <w:sz w:val="24"/>
          <w:szCs w:val="24"/>
        </w:rPr>
        <w:t xml:space="preserve"> (upper panel) in THF solution. In both the panel (i) shows evolution associated different spectra (EADS) and inset of (i) represents population profiles of respective EADSs as a function of time for which time axis is in linear scale till 10 ps and logarithmic thereafter, (ii) shows the decay associated difference </w:t>
      </w:r>
      <w:r w:rsidR="00632754" w:rsidRPr="00075918">
        <w:rPr>
          <w:sz w:val="24"/>
          <w:szCs w:val="24"/>
        </w:rPr>
        <w:t>spectra for</w:t>
      </w:r>
      <w:r w:rsidRPr="00075918">
        <w:rPr>
          <w:sz w:val="24"/>
          <w:szCs w:val="24"/>
        </w:rPr>
        <w:t xml:space="preserve"> the respective time constants</w:t>
      </w:r>
      <w:r w:rsidR="00632754" w:rsidRPr="00075918">
        <w:rPr>
          <w:sz w:val="24"/>
          <w:szCs w:val="24"/>
        </w:rPr>
        <w:t>.</w:t>
      </w:r>
    </w:p>
    <w:bookmarkEnd w:id="3"/>
    <w:p w14:paraId="4D6F2A25" w14:textId="77777777" w:rsidR="00A34037" w:rsidRDefault="00A34037" w:rsidP="00A34037">
      <w:pPr>
        <w:spacing w:after="0" w:line="360" w:lineRule="auto"/>
        <w:jc w:val="both"/>
        <w:rPr>
          <w:sz w:val="24"/>
          <w:szCs w:val="24"/>
        </w:rPr>
      </w:pPr>
      <w:r>
        <w:rPr>
          <w:sz w:val="24"/>
          <w:szCs w:val="24"/>
        </w:rPr>
        <w:lastRenderedPageBreak/>
        <w:t>LG 5. Similarly</w:t>
      </w:r>
      <w:r w:rsidR="00336620">
        <w:rPr>
          <w:sz w:val="24"/>
          <w:szCs w:val="24"/>
        </w:rPr>
        <w:t>,</w:t>
      </w:r>
      <w:r>
        <w:rPr>
          <w:sz w:val="24"/>
          <w:szCs w:val="24"/>
        </w:rPr>
        <w:t xml:space="preserve"> in case of LG 5 multiple electron injection from excited singlet state to TiO2 conduction band possible.</w:t>
      </w:r>
      <w:r w:rsidRPr="003268B6">
        <w:rPr>
          <w:sz w:val="24"/>
          <w:szCs w:val="24"/>
          <w:vertAlign w:val="superscript"/>
        </w:rPr>
        <w:t>38</w:t>
      </w:r>
      <w:r>
        <w:rPr>
          <w:sz w:val="24"/>
          <w:szCs w:val="24"/>
        </w:rPr>
        <w:t xml:space="preserve"> High efficiency of LG 29 and LG 5 probable due to the onset of IPCE extends up to 900 nm region where one can expect more photons harvest possible particularly in near-IR region of the spectra. From this study it is proved that in addition to multiple electron injection, broad IPCE spectra also required for better efficiency of the device and literature also suggests similar phenomena.</w:t>
      </w:r>
      <w:r w:rsidRPr="003268B6">
        <w:rPr>
          <w:sz w:val="24"/>
          <w:szCs w:val="24"/>
          <w:vertAlign w:val="superscript"/>
        </w:rPr>
        <w:t>38,39</w:t>
      </w:r>
      <w:r>
        <w:rPr>
          <w:sz w:val="24"/>
          <w:szCs w:val="24"/>
        </w:rPr>
        <w:t xml:space="preserve">  </w:t>
      </w:r>
    </w:p>
    <w:p w14:paraId="3CB0A0B0" w14:textId="36003A6E" w:rsidR="00A34037" w:rsidRPr="005976A1" w:rsidRDefault="00A34037" w:rsidP="00A34037">
      <w:pPr>
        <w:spacing w:after="0" w:line="360" w:lineRule="auto"/>
        <w:jc w:val="both"/>
        <w:rPr>
          <w:rFonts w:eastAsia="TimesNewRoman" w:cs="Calibri"/>
          <w:sz w:val="24"/>
          <w:szCs w:val="24"/>
        </w:rPr>
      </w:pPr>
      <w:r>
        <w:rPr>
          <w:sz w:val="24"/>
          <w:szCs w:val="24"/>
        </w:rPr>
        <w:tab/>
      </w:r>
      <w:r w:rsidRPr="005976A1">
        <w:rPr>
          <w:rFonts w:cs="Calibri"/>
          <w:sz w:val="24"/>
          <w:szCs w:val="24"/>
        </w:rPr>
        <w:t xml:space="preserve">Finally, we studied thermal stability of new synthesized sensitizers by using thermogravimetric analysis. Figure S25 demonstrates the thermal behavior of LG 28 and LG 29, and it is suggested that both the sensitizers are stable up to 200 </w:t>
      </w:r>
      <w:r w:rsidRPr="005976A1">
        <w:rPr>
          <w:rFonts w:eastAsia="TimesNewRoman" w:cs="Calibri"/>
          <w:sz w:val="24"/>
          <w:szCs w:val="24"/>
          <w:vertAlign w:val="superscript"/>
        </w:rPr>
        <w:t>o</w:t>
      </w:r>
      <w:r w:rsidRPr="005976A1">
        <w:rPr>
          <w:rFonts w:eastAsia="TimesNewRoman" w:cs="Calibri"/>
          <w:sz w:val="24"/>
          <w:szCs w:val="24"/>
        </w:rPr>
        <w:t xml:space="preserve">C. The initial weight loss </w:t>
      </w:r>
      <w:r w:rsidRPr="005976A1">
        <w:rPr>
          <w:rFonts w:eastAsia="Times New Roman" w:cs="Calibri"/>
          <w:sz w:val="24"/>
          <w:szCs w:val="24"/>
          <w:shd w:val="clear" w:color="auto" w:fill="FFFFFF"/>
        </w:rPr>
        <w:t>(</w:t>
      </w:r>
      <w:r w:rsidRPr="005976A1">
        <w:rPr>
          <w:rFonts w:ascii="Cambria Math" w:eastAsia="Times New Roman" w:hAnsi="Cambria Math" w:cs="Calibri"/>
          <w:sz w:val="24"/>
          <w:szCs w:val="24"/>
          <w:shd w:val="clear" w:color="auto" w:fill="FFFFFF"/>
        </w:rPr>
        <w:t>∼</w:t>
      </w:r>
      <w:r w:rsidRPr="005976A1">
        <w:rPr>
          <w:rFonts w:eastAsia="Times New Roman" w:cs="Calibri"/>
          <w:sz w:val="24"/>
          <w:szCs w:val="24"/>
          <w:shd w:val="clear" w:color="auto" w:fill="FFFFFF"/>
        </w:rPr>
        <w:t xml:space="preserve">10%) </w:t>
      </w:r>
      <w:r w:rsidR="00336620">
        <w:rPr>
          <w:rFonts w:eastAsia="Times New Roman" w:cs="Calibri"/>
          <w:sz w:val="24"/>
          <w:szCs w:val="24"/>
          <w:shd w:val="clear" w:color="auto" w:fill="FFFFFF"/>
        </w:rPr>
        <w:t>occurs</w:t>
      </w:r>
      <w:r w:rsidR="00336620" w:rsidRPr="005976A1">
        <w:rPr>
          <w:rFonts w:eastAsia="Times New Roman" w:cs="Calibri"/>
          <w:sz w:val="24"/>
          <w:szCs w:val="24"/>
          <w:shd w:val="clear" w:color="auto" w:fill="FFFFFF"/>
        </w:rPr>
        <w:t xml:space="preserve"> </w:t>
      </w:r>
      <w:r w:rsidRPr="005976A1">
        <w:rPr>
          <w:rFonts w:eastAsia="Times New Roman" w:cs="Calibri"/>
          <w:sz w:val="24"/>
          <w:szCs w:val="24"/>
          <w:shd w:val="clear" w:color="auto" w:fill="FFFFFF"/>
        </w:rPr>
        <w:t xml:space="preserve">between </w:t>
      </w:r>
      <w:r w:rsidRPr="005976A1">
        <w:rPr>
          <w:rFonts w:eastAsia="TimesNewRoman" w:cs="Calibri"/>
          <w:sz w:val="24"/>
          <w:szCs w:val="24"/>
        </w:rPr>
        <w:t>200</w:t>
      </w:r>
      <w:r w:rsidRPr="005976A1">
        <w:rPr>
          <w:rFonts w:eastAsia="TimesNewRoman" w:cs="Calibri"/>
          <w:sz w:val="24"/>
          <w:szCs w:val="24"/>
          <w:vertAlign w:val="superscript"/>
        </w:rPr>
        <w:t>o</w:t>
      </w:r>
      <w:r w:rsidRPr="005976A1">
        <w:rPr>
          <w:rFonts w:eastAsia="TimesNewRoman" w:cs="Calibri"/>
          <w:sz w:val="24"/>
          <w:szCs w:val="24"/>
        </w:rPr>
        <w:t>C and 250</w:t>
      </w:r>
      <w:r w:rsidRPr="005976A1">
        <w:rPr>
          <w:rFonts w:eastAsia="TimesNewRoman" w:cs="Calibri"/>
          <w:sz w:val="24"/>
          <w:szCs w:val="24"/>
          <w:vertAlign w:val="superscript"/>
        </w:rPr>
        <w:t>o</w:t>
      </w:r>
      <w:r w:rsidRPr="005976A1">
        <w:rPr>
          <w:rFonts w:eastAsia="TimesNewRoman" w:cs="Calibri"/>
          <w:sz w:val="24"/>
          <w:szCs w:val="24"/>
        </w:rPr>
        <w:t xml:space="preserve">C due to the elimination of anchoring group. Therefore, both the sensitizers are stable up to </w:t>
      </w:r>
      <w:r w:rsidRPr="005976A1">
        <w:rPr>
          <w:rFonts w:cs="Calibri"/>
          <w:sz w:val="24"/>
          <w:szCs w:val="24"/>
        </w:rPr>
        <w:t xml:space="preserve">200 </w:t>
      </w:r>
      <w:r w:rsidRPr="005976A1">
        <w:rPr>
          <w:rFonts w:eastAsia="TimesNewRoman" w:cs="Calibri"/>
          <w:sz w:val="24"/>
          <w:szCs w:val="24"/>
          <w:vertAlign w:val="superscript"/>
        </w:rPr>
        <w:t>o</w:t>
      </w:r>
      <w:r w:rsidRPr="005976A1">
        <w:rPr>
          <w:rFonts w:eastAsia="TimesNewRoman" w:cs="Calibri"/>
          <w:sz w:val="24"/>
          <w:szCs w:val="24"/>
        </w:rPr>
        <w:t xml:space="preserve">C and </w:t>
      </w:r>
      <w:r w:rsidR="00336620">
        <w:rPr>
          <w:rFonts w:eastAsia="TimesNewRoman" w:cs="Calibri"/>
          <w:sz w:val="24"/>
          <w:szCs w:val="24"/>
        </w:rPr>
        <w:t>have immense</w:t>
      </w:r>
      <w:r w:rsidR="00336620" w:rsidRPr="005976A1">
        <w:rPr>
          <w:rFonts w:eastAsia="TimesNewRoman" w:cs="Calibri"/>
          <w:sz w:val="24"/>
          <w:szCs w:val="24"/>
        </w:rPr>
        <w:t xml:space="preserve"> </w:t>
      </w:r>
      <w:r w:rsidRPr="005976A1">
        <w:rPr>
          <w:rFonts w:eastAsia="TimesNewRoman" w:cs="Calibri"/>
          <w:sz w:val="24"/>
          <w:szCs w:val="24"/>
        </w:rPr>
        <w:t xml:space="preserve">potential </w:t>
      </w:r>
      <w:r w:rsidR="00336620">
        <w:rPr>
          <w:rFonts w:eastAsia="TimesNewRoman" w:cs="Calibri"/>
          <w:sz w:val="24"/>
          <w:szCs w:val="24"/>
        </w:rPr>
        <w:t>for</w:t>
      </w:r>
      <w:r w:rsidRPr="005976A1">
        <w:rPr>
          <w:rFonts w:eastAsia="TimesNewRoman" w:cs="Calibri"/>
          <w:sz w:val="24"/>
          <w:szCs w:val="24"/>
        </w:rPr>
        <w:t xml:space="preserve"> roof top applications. </w:t>
      </w:r>
    </w:p>
    <w:p w14:paraId="5F115235" w14:textId="77777777" w:rsidR="00A34037" w:rsidRDefault="00A34037" w:rsidP="00A34037">
      <w:pPr>
        <w:spacing w:after="0" w:line="360" w:lineRule="auto"/>
        <w:jc w:val="both"/>
        <w:rPr>
          <w:rFonts w:ascii="Times New Roman" w:eastAsia="TimesNewRoman" w:hAnsi="Times New Roman"/>
          <w:sz w:val="24"/>
          <w:szCs w:val="24"/>
        </w:rPr>
      </w:pPr>
    </w:p>
    <w:p w14:paraId="368BA607" w14:textId="77777777" w:rsidR="00A34037" w:rsidRPr="005976A1" w:rsidRDefault="00A34037" w:rsidP="00A34037">
      <w:pPr>
        <w:spacing w:after="0" w:line="360" w:lineRule="auto"/>
        <w:jc w:val="both"/>
        <w:rPr>
          <w:rFonts w:eastAsia="TimesNewRoman" w:cs="Calibri"/>
          <w:b/>
          <w:sz w:val="24"/>
          <w:szCs w:val="24"/>
        </w:rPr>
      </w:pPr>
      <w:r w:rsidRPr="005976A1">
        <w:rPr>
          <w:rFonts w:eastAsia="TimesNewRoman" w:cs="Calibri"/>
          <w:b/>
          <w:sz w:val="24"/>
          <w:szCs w:val="24"/>
        </w:rPr>
        <w:t>Conclusions</w:t>
      </w:r>
    </w:p>
    <w:p w14:paraId="266D2E2A" w14:textId="33CD647C" w:rsidR="006B52FC" w:rsidRPr="005976A1" w:rsidRDefault="00A34037" w:rsidP="00A34037">
      <w:pPr>
        <w:spacing w:after="0" w:line="360" w:lineRule="auto"/>
        <w:jc w:val="both"/>
        <w:rPr>
          <w:rFonts w:cs="Calibri"/>
          <w:sz w:val="24"/>
          <w:szCs w:val="24"/>
          <w:lang w:val="en-IN" w:eastAsia="en-IN" w:bidi="hi-IN"/>
        </w:rPr>
      </w:pPr>
      <w:r w:rsidRPr="005976A1">
        <w:rPr>
          <w:rFonts w:eastAsia="TimesNewRoman" w:cs="Calibri"/>
          <w:sz w:val="24"/>
          <w:szCs w:val="24"/>
        </w:rPr>
        <w:t>In conclusion, we have modified porphyrin LG 5 sensitizer by replacing thiophene auxiliary acceptor with either phenylselenophene (</w:t>
      </w:r>
      <w:r w:rsidRPr="005976A1">
        <w:rPr>
          <w:rFonts w:eastAsia="TimesNewRoman" w:cs="Calibri"/>
          <w:b/>
          <w:bCs/>
          <w:sz w:val="24"/>
          <w:szCs w:val="24"/>
        </w:rPr>
        <w:t>LG 28</w:t>
      </w:r>
      <w:r w:rsidRPr="005976A1">
        <w:rPr>
          <w:rFonts w:eastAsia="TimesNewRoman" w:cs="Calibri"/>
          <w:sz w:val="24"/>
          <w:szCs w:val="24"/>
        </w:rPr>
        <w:t>) and selenothiophene (</w:t>
      </w:r>
      <w:r w:rsidRPr="005976A1">
        <w:rPr>
          <w:rFonts w:eastAsia="TimesNewRoman" w:cs="Calibri"/>
          <w:b/>
          <w:bCs/>
          <w:sz w:val="24"/>
          <w:szCs w:val="24"/>
        </w:rPr>
        <w:t>LG 29</w:t>
      </w:r>
      <w:r w:rsidRPr="005976A1">
        <w:rPr>
          <w:rFonts w:eastAsia="TimesNewRoman" w:cs="Calibri"/>
          <w:sz w:val="24"/>
          <w:szCs w:val="24"/>
        </w:rPr>
        <w:t xml:space="preserve">) in a D-π-A concept. Both the new sensitizers are characterized by various spectroscopic techniques and electrochemical methods. The molar extinction coefficient of both sensitizers is enhanced, when compared to LG 5 sensitizer. The emission maxima of both sensitizers are red shifted and it was observed multiexponential decay in TCSPS studies with </w:t>
      </w:r>
      <w:r w:rsidR="00336620" w:rsidRPr="005976A1">
        <w:rPr>
          <w:rFonts w:eastAsia="TimesNewRoman" w:cs="Calibri"/>
          <w:sz w:val="24"/>
          <w:szCs w:val="24"/>
        </w:rPr>
        <w:t>lifetime</w:t>
      </w:r>
      <w:r w:rsidRPr="005976A1">
        <w:rPr>
          <w:rFonts w:eastAsia="TimesNewRoman" w:cs="Calibri"/>
          <w:sz w:val="24"/>
          <w:szCs w:val="24"/>
        </w:rPr>
        <w:t xml:space="preserve"> of ~2 ns. Optimized studies </w:t>
      </w:r>
      <w:r w:rsidR="00336620" w:rsidRPr="005976A1">
        <w:rPr>
          <w:rFonts w:eastAsia="TimesNewRoman" w:cs="Calibri"/>
          <w:sz w:val="24"/>
          <w:szCs w:val="24"/>
        </w:rPr>
        <w:t>suggest</w:t>
      </w:r>
      <w:r w:rsidRPr="005976A1">
        <w:rPr>
          <w:rFonts w:eastAsia="TimesNewRoman" w:cs="Calibri"/>
          <w:sz w:val="24"/>
          <w:szCs w:val="24"/>
        </w:rPr>
        <w:t xml:space="preserve"> that HOMO on donor and partially on porphyrin π-spacer and LUMO on anchoring group. The device studies </w:t>
      </w:r>
      <w:r w:rsidR="00336620" w:rsidRPr="005976A1">
        <w:rPr>
          <w:rFonts w:eastAsia="TimesNewRoman" w:cs="Calibri"/>
          <w:sz w:val="24"/>
          <w:szCs w:val="24"/>
        </w:rPr>
        <w:t>suggest</w:t>
      </w:r>
      <w:r w:rsidRPr="005976A1">
        <w:rPr>
          <w:rFonts w:eastAsia="TimesNewRoman" w:cs="Calibri"/>
          <w:sz w:val="24"/>
          <w:szCs w:val="24"/>
        </w:rPr>
        <w:t xml:space="preserve"> that the sensitizer having selenothiophene showed better efficiency, 10.31% than phenylselenophene (8.35%) auxiliary acceptor as well as LG 5 sensitizer. The change in </w:t>
      </w:r>
      <w:r w:rsidR="00336620">
        <w:rPr>
          <w:rFonts w:eastAsia="TimesNewRoman" w:cs="Calibri"/>
          <w:sz w:val="24"/>
          <w:szCs w:val="24"/>
        </w:rPr>
        <w:t>photovoltaic performance of the respective DSSCs</w:t>
      </w:r>
      <w:r w:rsidRPr="005976A1">
        <w:rPr>
          <w:rFonts w:eastAsia="TimesNewRoman" w:cs="Calibri"/>
          <w:sz w:val="24"/>
          <w:szCs w:val="24"/>
        </w:rPr>
        <w:t xml:space="preserve"> by varying auxiliary acceptor has been explained by adopting transient absorption studies and </w:t>
      </w:r>
      <w:r w:rsidRPr="005976A1">
        <w:rPr>
          <w:rFonts w:eastAsia="TimesNewRoman" w:cs="Calibri"/>
          <w:b/>
          <w:sz w:val="24"/>
          <w:szCs w:val="24"/>
        </w:rPr>
        <w:t>LG 28</w:t>
      </w:r>
      <w:r w:rsidRPr="005976A1">
        <w:rPr>
          <w:rFonts w:eastAsia="TimesNewRoman" w:cs="Calibri"/>
          <w:sz w:val="24"/>
          <w:szCs w:val="24"/>
        </w:rPr>
        <w:t xml:space="preserve"> sensitizer </w:t>
      </w:r>
      <w:r w:rsidR="00336620">
        <w:rPr>
          <w:rFonts w:eastAsia="TimesNewRoman" w:cs="Calibri"/>
          <w:sz w:val="24"/>
          <w:szCs w:val="24"/>
        </w:rPr>
        <w:t>showed</w:t>
      </w:r>
      <w:r w:rsidR="00336620" w:rsidRPr="005976A1">
        <w:rPr>
          <w:rFonts w:eastAsia="TimesNewRoman" w:cs="Calibri"/>
          <w:sz w:val="24"/>
          <w:szCs w:val="24"/>
        </w:rPr>
        <w:t xml:space="preserve"> </w:t>
      </w:r>
      <w:r w:rsidRPr="005976A1">
        <w:rPr>
          <w:rFonts w:eastAsia="TimesNewRoman" w:cs="Calibri"/>
          <w:sz w:val="24"/>
          <w:szCs w:val="24"/>
        </w:rPr>
        <w:t>multiple electron injections from singlet state to TiO</w:t>
      </w:r>
      <w:r w:rsidRPr="005976A1">
        <w:rPr>
          <w:rFonts w:eastAsia="TimesNewRoman" w:cs="Calibri"/>
          <w:sz w:val="24"/>
          <w:szCs w:val="24"/>
          <w:vertAlign w:val="subscript"/>
        </w:rPr>
        <w:t>2</w:t>
      </w:r>
      <w:r w:rsidRPr="005976A1">
        <w:rPr>
          <w:rFonts w:eastAsia="TimesNewRoman" w:cs="Calibri"/>
          <w:sz w:val="24"/>
          <w:szCs w:val="24"/>
        </w:rPr>
        <w:t xml:space="preserve"> conduction band with rate of </w:t>
      </w:r>
      <w:r w:rsidRPr="005976A1">
        <w:rPr>
          <w:rFonts w:cs="Calibri"/>
          <w:sz w:val="24"/>
          <w:szCs w:val="24"/>
          <w:lang w:val="en-IN" w:eastAsia="en-IN" w:bidi="hi-IN"/>
        </w:rPr>
        <w:t>3.84 x 10</w:t>
      </w:r>
      <w:r w:rsidRPr="005976A1">
        <w:rPr>
          <w:rFonts w:cs="Calibri"/>
          <w:sz w:val="24"/>
          <w:szCs w:val="24"/>
          <w:vertAlign w:val="superscript"/>
          <w:lang w:val="en-IN" w:eastAsia="en-IN" w:bidi="hi-IN"/>
        </w:rPr>
        <w:t>11</w:t>
      </w:r>
      <w:r w:rsidRPr="005976A1">
        <w:rPr>
          <w:rFonts w:cs="Calibri"/>
          <w:sz w:val="24"/>
          <w:szCs w:val="24"/>
          <w:lang w:val="en-IN" w:eastAsia="en-IN" w:bidi="hi-IN"/>
        </w:rPr>
        <w:t xml:space="preserve"> s</w:t>
      </w:r>
      <w:r w:rsidRPr="005976A1">
        <w:rPr>
          <w:rFonts w:cs="Calibri"/>
          <w:sz w:val="24"/>
          <w:szCs w:val="24"/>
          <w:vertAlign w:val="superscript"/>
          <w:lang w:val="en-IN" w:eastAsia="en-IN" w:bidi="hi-IN"/>
        </w:rPr>
        <w:t>-1</w:t>
      </w:r>
      <w:r w:rsidRPr="005976A1">
        <w:rPr>
          <w:rFonts w:cs="Calibri"/>
          <w:sz w:val="24"/>
          <w:szCs w:val="24"/>
          <w:lang w:val="en-IN" w:eastAsia="en-IN" w:bidi="hi-IN"/>
        </w:rPr>
        <w:t xml:space="preserve"> whereas in case of LG 29 it found 2.22 x 10</w:t>
      </w:r>
      <w:r w:rsidRPr="005976A1">
        <w:rPr>
          <w:rFonts w:cs="Calibri"/>
          <w:sz w:val="24"/>
          <w:szCs w:val="24"/>
          <w:vertAlign w:val="superscript"/>
          <w:lang w:val="en-IN" w:eastAsia="en-IN" w:bidi="hi-IN"/>
        </w:rPr>
        <w:t>9</w:t>
      </w:r>
      <w:r w:rsidRPr="005976A1">
        <w:rPr>
          <w:rFonts w:cs="Calibri"/>
          <w:sz w:val="24"/>
          <w:szCs w:val="24"/>
          <w:lang w:val="en-IN" w:eastAsia="en-IN" w:bidi="hi-IN"/>
        </w:rPr>
        <w:t>s</w:t>
      </w:r>
      <w:r w:rsidRPr="005976A1">
        <w:rPr>
          <w:rFonts w:cs="Calibri"/>
          <w:sz w:val="24"/>
          <w:szCs w:val="24"/>
          <w:vertAlign w:val="superscript"/>
          <w:lang w:val="en-IN" w:eastAsia="en-IN" w:bidi="hi-IN"/>
        </w:rPr>
        <w:t>-1</w:t>
      </w:r>
      <w:r w:rsidRPr="005976A1">
        <w:rPr>
          <w:rFonts w:cs="Calibri"/>
          <w:sz w:val="24"/>
          <w:szCs w:val="24"/>
          <w:lang w:val="en-IN" w:eastAsia="en-IN" w:bidi="hi-IN"/>
        </w:rPr>
        <w:t xml:space="preserve">. </w:t>
      </w:r>
    </w:p>
    <w:p w14:paraId="4590D002" w14:textId="77777777" w:rsidR="00A34037" w:rsidRDefault="00A34037" w:rsidP="00A34037">
      <w:pPr>
        <w:spacing w:after="0" w:line="360" w:lineRule="auto"/>
        <w:jc w:val="both"/>
        <w:rPr>
          <w:rFonts w:cs="Calibri"/>
          <w:sz w:val="24"/>
          <w:szCs w:val="24"/>
          <w:lang w:val="en-IN" w:eastAsia="en-IN" w:bidi="hi-IN"/>
        </w:rPr>
      </w:pPr>
    </w:p>
    <w:p w14:paraId="5F88B2E4" w14:textId="77777777" w:rsidR="00A34037" w:rsidRPr="00A34037" w:rsidRDefault="00A34037" w:rsidP="00A34037">
      <w:pPr>
        <w:spacing w:after="0" w:line="360" w:lineRule="auto"/>
        <w:jc w:val="both"/>
        <w:rPr>
          <w:rFonts w:cs="Calibri"/>
          <w:b/>
          <w:sz w:val="24"/>
          <w:szCs w:val="24"/>
          <w:lang w:val="en-IN" w:eastAsia="en-IN" w:bidi="hi-IN"/>
        </w:rPr>
      </w:pPr>
      <w:r w:rsidRPr="00A34037">
        <w:rPr>
          <w:rFonts w:cs="Calibri"/>
          <w:b/>
          <w:sz w:val="24"/>
          <w:szCs w:val="24"/>
          <w:lang w:val="en-IN" w:eastAsia="en-IN" w:bidi="hi-IN"/>
        </w:rPr>
        <w:t>Acknowledgements</w:t>
      </w:r>
    </w:p>
    <w:p w14:paraId="1A43D0B0" w14:textId="6994C6A1" w:rsidR="00A34037" w:rsidRPr="00A34037" w:rsidRDefault="00A34037" w:rsidP="00A34037">
      <w:pPr>
        <w:spacing w:after="0" w:line="360" w:lineRule="auto"/>
        <w:jc w:val="both"/>
        <w:rPr>
          <w:rFonts w:cs="Calibri"/>
          <w:sz w:val="24"/>
          <w:szCs w:val="24"/>
          <w:lang w:eastAsia="en-IN" w:bidi="hi-IN"/>
        </w:rPr>
      </w:pPr>
      <w:r w:rsidRPr="00A34037">
        <w:rPr>
          <w:rFonts w:cs="Calibri"/>
          <w:sz w:val="24"/>
          <w:szCs w:val="24"/>
          <w:lang w:eastAsia="en-IN" w:bidi="hi-IN"/>
        </w:rPr>
        <w:lastRenderedPageBreak/>
        <w:t xml:space="preserve">This work was financially supported by the </w:t>
      </w:r>
      <w:r>
        <w:rPr>
          <w:rFonts w:cs="Calibri"/>
          <w:sz w:val="24"/>
          <w:szCs w:val="24"/>
          <w:lang w:eastAsia="en-IN" w:bidi="hi-IN"/>
        </w:rPr>
        <w:t>Council of Scientific and Industrial Research</w:t>
      </w:r>
      <w:r w:rsidRPr="00A34037">
        <w:rPr>
          <w:rFonts w:cs="Calibri"/>
          <w:sz w:val="24"/>
          <w:szCs w:val="24"/>
          <w:lang w:eastAsia="en-IN" w:bidi="hi-IN"/>
        </w:rPr>
        <w:t xml:space="preserve"> under the </w:t>
      </w:r>
      <w:r>
        <w:rPr>
          <w:rFonts w:cs="Calibri"/>
          <w:sz w:val="24"/>
          <w:szCs w:val="24"/>
          <w:lang w:eastAsia="en-IN" w:bidi="hi-IN"/>
        </w:rPr>
        <w:t>FTT programme</w:t>
      </w:r>
      <w:r w:rsidRPr="00A34037">
        <w:rPr>
          <w:rFonts w:cs="Calibri"/>
          <w:sz w:val="24"/>
          <w:szCs w:val="24"/>
          <w:lang w:eastAsia="en-IN" w:bidi="hi-IN"/>
        </w:rPr>
        <w:t xml:space="preserve"> (</w:t>
      </w:r>
      <w:r>
        <w:rPr>
          <w:rFonts w:cs="Calibri"/>
          <w:sz w:val="24"/>
          <w:szCs w:val="24"/>
          <w:lang w:eastAsia="en-IN" w:bidi="hi-IN"/>
        </w:rPr>
        <w:t>MLP-0092</w:t>
      </w:r>
      <w:r w:rsidRPr="00A34037">
        <w:rPr>
          <w:rFonts w:cs="Calibri"/>
          <w:sz w:val="24"/>
          <w:szCs w:val="24"/>
          <w:lang w:eastAsia="en-IN" w:bidi="hi-IN"/>
        </w:rPr>
        <w:t>). PSG</w:t>
      </w:r>
      <w:r>
        <w:rPr>
          <w:rFonts w:cs="Calibri"/>
          <w:sz w:val="24"/>
          <w:szCs w:val="24"/>
          <w:lang w:eastAsia="en-IN" w:bidi="hi-IN"/>
        </w:rPr>
        <w:t xml:space="preserve"> thanks to CSIR and SDG thanks to UGC for research fellowships. </w:t>
      </w:r>
      <w:r w:rsidRPr="00A34037">
        <w:rPr>
          <w:rFonts w:cs="Calibri"/>
          <w:sz w:val="24"/>
          <w:szCs w:val="24"/>
          <w:lang w:eastAsia="en-IN" w:bidi="hi-IN"/>
        </w:rPr>
        <w:t>A.I acknowledges</w:t>
      </w:r>
      <w:r>
        <w:rPr>
          <w:rFonts w:cs="Calibri"/>
          <w:sz w:val="24"/>
          <w:szCs w:val="24"/>
          <w:lang w:eastAsia="en-IN" w:bidi="hi-IN"/>
        </w:rPr>
        <w:t xml:space="preserve"> </w:t>
      </w:r>
      <w:r w:rsidRPr="00A34037">
        <w:rPr>
          <w:rFonts w:cs="Calibri"/>
          <w:sz w:val="24"/>
          <w:szCs w:val="24"/>
          <w:lang w:eastAsia="en-IN" w:bidi="hi-IN"/>
        </w:rPr>
        <w:t xml:space="preserve">support from JSPS Kakenhi with grant no. </w:t>
      </w:r>
      <w:r w:rsidR="00417409" w:rsidRPr="00417409">
        <w:rPr>
          <w:rFonts w:cs="Calibri"/>
          <w:sz w:val="24"/>
          <w:szCs w:val="24"/>
          <w:lang w:eastAsia="en-IN" w:bidi="hi-IN"/>
        </w:rPr>
        <w:t>22H02190</w:t>
      </w:r>
      <w:r w:rsidR="00417409">
        <w:rPr>
          <w:rFonts w:cs="Calibri"/>
          <w:sz w:val="24"/>
          <w:szCs w:val="24"/>
          <w:lang w:eastAsia="en-IN" w:bidi="hi-IN"/>
        </w:rPr>
        <w:t xml:space="preserve"> and </w:t>
      </w:r>
      <w:r w:rsidR="00417409" w:rsidRPr="00417409">
        <w:rPr>
          <w:rFonts w:cs="Calibri"/>
          <w:sz w:val="24"/>
          <w:szCs w:val="24"/>
          <w:lang w:eastAsia="en-IN" w:bidi="hi-IN"/>
        </w:rPr>
        <w:t>JST-Mirai Program grant no. JPMJMI21E6, Japan</w:t>
      </w:r>
      <w:r w:rsidRPr="00A34037">
        <w:rPr>
          <w:rFonts w:cs="Calibri"/>
          <w:sz w:val="24"/>
          <w:szCs w:val="24"/>
          <w:lang w:eastAsia="en-IN" w:bidi="hi-IN"/>
        </w:rPr>
        <w:t>. We</w:t>
      </w:r>
      <w:r>
        <w:rPr>
          <w:rFonts w:cs="Calibri"/>
          <w:sz w:val="24"/>
          <w:szCs w:val="24"/>
          <w:lang w:eastAsia="en-IN" w:bidi="hi-IN"/>
        </w:rPr>
        <w:t xml:space="preserve"> </w:t>
      </w:r>
      <w:r w:rsidRPr="00A34037">
        <w:rPr>
          <w:rFonts w:cs="Calibri"/>
          <w:sz w:val="24"/>
          <w:szCs w:val="24"/>
          <w:lang w:eastAsia="en-IN" w:bidi="hi-IN"/>
        </w:rPr>
        <w:t>thank the Director CSIR-IICT for support</w:t>
      </w:r>
      <w:r>
        <w:rPr>
          <w:rFonts w:cs="Calibri"/>
          <w:sz w:val="24"/>
          <w:szCs w:val="24"/>
          <w:lang w:eastAsia="en-IN" w:bidi="hi-IN"/>
        </w:rPr>
        <w:t xml:space="preserve"> (IICT/Pubs./2023</w:t>
      </w:r>
      <w:r w:rsidRPr="00A34037">
        <w:rPr>
          <w:rFonts w:cs="Calibri"/>
          <w:sz w:val="24"/>
          <w:szCs w:val="24"/>
          <w:lang w:eastAsia="en-IN" w:bidi="hi-IN"/>
        </w:rPr>
        <w:t>/</w:t>
      </w:r>
      <w:r>
        <w:rPr>
          <w:rFonts w:cs="Calibri"/>
          <w:sz w:val="24"/>
          <w:szCs w:val="24"/>
          <w:lang w:eastAsia="en-IN" w:bidi="hi-IN"/>
        </w:rPr>
        <w:t>xxx</w:t>
      </w:r>
      <w:r w:rsidRPr="00A34037">
        <w:rPr>
          <w:rFonts w:cs="Calibri"/>
          <w:sz w:val="24"/>
          <w:szCs w:val="24"/>
          <w:lang w:eastAsia="en-IN" w:bidi="hi-IN"/>
        </w:rPr>
        <w:t>).</w:t>
      </w:r>
    </w:p>
    <w:p w14:paraId="36A9AD14" w14:textId="77777777" w:rsidR="00A34037" w:rsidRDefault="00A34037" w:rsidP="00A34037">
      <w:pPr>
        <w:spacing w:after="0" w:line="360" w:lineRule="auto"/>
        <w:jc w:val="both"/>
        <w:rPr>
          <w:b/>
          <w:bCs/>
          <w:iCs/>
          <w:sz w:val="24"/>
          <w:szCs w:val="24"/>
          <w:lang w:val="en-IN"/>
        </w:rPr>
      </w:pPr>
    </w:p>
    <w:p w14:paraId="2661BA80" w14:textId="77777777" w:rsidR="006B52FC" w:rsidRPr="005976A1" w:rsidRDefault="00B21739" w:rsidP="007662F4">
      <w:pPr>
        <w:spacing w:after="0" w:line="360" w:lineRule="auto"/>
        <w:jc w:val="both"/>
        <w:rPr>
          <w:rFonts w:cs="Calibri"/>
          <w:b/>
          <w:bCs/>
          <w:iCs/>
          <w:sz w:val="24"/>
          <w:szCs w:val="24"/>
          <w:lang w:val="en-IN"/>
        </w:rPr>
      </w:pPr>
      <w:r w:rsidRPr="005976A1">
        <w:rPr>
          <w:rFonts w:cs="Calibri"/>
          <w:b/>
          <w:bCs/>
          <w:iCs/>
          <w:sz w:val="24"/>
          <w:szCs w:val="24"/>
          <w:lang w:val="en-IN"/>
        </w:rPr>
        <w:t>References</w:t>
      </w:r>
    </w:p>
    <w:p w14:paraId="0E3C7900" w14:textId="77777777" w:rsidR="00B21739" w:rsidRPr="005976A1" w:rsidRDefault="00B21739" w:rsidP="00A34037">
      <w:pPr>
        <w:numPr>
          <w:ilvl w:val="0"/>
          <w:numId w:val="4"/>
        </w:numPr>
        <w:spacing w:line="360" w:lineRule="auto"/>
        <w:jc w:val="both"/>
        <w:rPr>
          <w:rFonts w:cs="Calibri"/>
          <w:sz w:val="24"/>
          <w:szCs w:val="24"/>
        </w:rPr>
      </w:pPr>
      <w:r w:rsidRPr="005976A1">
        <w:rPr>
          <w:rFonts w:cs="Calibri"/>
          <w:iCs/>
          <w:sz w:val="24"/>
          <w:szCs w:val="24"/>
        </w:rPr>
        <w:t>Santamouris, M.; Vasilakopoulou, K. Present</w:t>
      </w:r>
      <w:r w:rsidRPr="005976A1">
        <w:rPr>
          <w:rFonts w:cs="Calibri"/>
          <w:sz w:val="24"/>
          <w:szCs w:val="24"/>
        </w:rPr>
        <w:t xml:space="preserve"> and Future Energy Consumption of Buildings: Challenges and Opportunities Towards Decarbonization, </w:t>
      </w:r>
      <w:r w:rsidRPr="005976A1">
        <w:rPr>
          <w:rFonts w:cs="Calibri"/>
          <w:i/>
          <w:sz w:val="24"/>
          <w:szCs w:val="24"/>
        </w:rPr>
        <w:t>e-Prime - Advances in Electrical Engineering Electronics and Energy</w:t>
      </w:r>
      <w:r w:rsidRPr="005976A1">
        <w:rPr>
          <w:rFonts w:cs="Calibri"/>
          <w:sz w:val="24"/>
          <w:szCs w:val="24"/>
        </w:rPr>
        <w:t xml:space="preserve">, </w:t>
      </w:r>
      <w:r w:rsidRPr="005976A1">
        <w:rPr>
          <w:rFonts w:cs="Calibri"/>
          <w:b/>
          <w:sz w:val="24"/>
          <w:szCs w:val="24"/>
        </w:rPr>
        <w:t>2021</w:t>
      </w:r>
      <w:r w:rsidRPr="005976A1">
        <w:rPr>
          <w:rFonts w:cs="Calibri"/>
          <w:sz w:val="24"/>
          <w:szCs w:val="24"/>
        </w:rPr>
        <w:t xml:space="preserve">, </w:t>
      </w:r>
      <w:r w:rsidRPr="005976A1">
        <w:rPr>
          <w:rFonts w:cs="Calibri"/>
          <w:i/>
          <w:sz w:val="24"/>
          <w:szCs w:val="24"/>
        </w:rPr>
        <w:t>1</w:t>
      </w:r>
      <w:r w:rsidRPr="005976A1">
        <w:rPr>
          <w:rFonts w:cs="Calibri"/>
          <w:sz w:val="24"/>
          <w:szCs w:val="24"/>
        </w:rPr>
        <w:t xml:space="preserve">, 100002. </w:t>
      </w:r>
    </w:p>
    <w:p w14:paraId="40FAA6D4" w14:textId="77777777" w:rsidR="00B21739" w:rsidRPr="005976A1" w:rsidRDefault="00B21739" w:rsidP="00A34037">
      <w:pPr>
        <w:numPr>
          <w:ilvl w:val="0"/>
          <w:numId w:val="4"/>
        </w:numPr>
        <w:autoSpaceDE w:val="0"/>
        <w:autoSpaceDN w:val="0"/>
        <w:adjustRightInd w:val="0"/>
        <w:spacing w:line="360" w:lineRule="auto"/>
        <w:jc w:val="both"/>
        <w:rPr>
          <w:rFonts w:cs="Calibri"/>
          <w:sz w:val="24"/>
          <w:szCs w:val="24"/>
        </w:rPr>
      </w:pPr>
      <w:r w:rsidRPr="005976A1">
        <w:rPr>
          <w:rFonts w:cs="Calibri"/>
          <w:sz w:val="24"/>
          <w:szCs w:val="24"/>
        </w:rPr>
        <w:t xml:space="preserve">Kabir, E.; Kumar, P.; Kumar, S.; Adelodun A. A.; Kim, K.-H. </w:t>
      </w:r>
      <w:r w:rsidRPr="005976A1">
        <w:rPr>
          <w:rFonts w:cs="Calibri"/>
          <w:bCs/>
          <w:sz w:val="24"/>
          <w:szCs w:val="24"/>
        </w:rPr>
        <w:t xml:space="preserve">Solar energy: Potential and future prospects. </w:t>
      </w:r>
      <w:r w:rsidRPr="005976A1">
        <w:rPr>
          <w:rFonts w:cs="Calibri"/>
          <w:i/>
          <w:sz w:val="24"/>
          <w:szCs w:val="24"/>
        </w:rPr>
        <w:t>Renewable and Sustainable Energy Reviews</w:t>
      </w:r>
      <w:r w:rsidRPr="005976A1">
        <w:rPr>
          <w:rFonts w:cs="Calibri"/>
          <w:sz w:val="24"/>
          <w:szCs w:val="24"/>
        </w:rPr>
        <w:t xml:space="preserve">, </w:t>
      </w:r>
      <w:r w:rsidRPr="005976A1">
        <w:rPr>
          <w:rFonts w:cs="Calibri"/>
          <w:b/>
          <w:sz w:val="24"/>
          <w:szCs w:val="24"/>
        </w:rPr>
        <w:t>2018</w:t>
      </w:r>
      <w:r w:rsidRPr="005976A1">
        <w:rPr>
          <w:rFonts w:cs="Calibri"/>
          <w:sz w:val="24"/>
          <w:szCs w:val="24"/>
        </w:rPr>
        <w:t xml:space="preserve">, </w:t>
      </w:r>
      <w:r w:rsidRPr="005976A1">
        <w:rPr>
          <w:rFonts w:cs="Calibri"/>
          <w:i/>
          <w:sz w:val="24"/>
          <w:szCs w:val="24"/>
        </w:rPr>
        <w:t>82</w:t>
      </w:r>
      <w:r w:rsidRPr="005976A1">
        <w:rPr>
          <w:rFonts w:cs="Calibri"/>
          <w:sz w:val="24"/>
          <w:szCs w:val="24"/>
        </w:rPr>
        <w:t>, 894-900.</w:t>
      </w:r>
    </w:p>
    <w:p w14:paraId="6ADEE4D6" w14:textId="77777777" w:rsidR="00D526BC" w:rsidRPr="005976A1" w:rsidRDefault="00B21739" w:rsidP="00A34037">
      <w:pPr>
        <w:numPr>
          <w:ilvl w:val="0"/>
          <w:numId w:val="4"/>
        </w:numPr>
        <w:spacing w:line="360" w:lineRule="auto"/>
        <w:jc w:val="both"/>
        <w:rPr>
          <w:rFonts w:cs="Calibri"/>
          <w:sz w:val="24"/>
          <w:szCs w:val="24"/>
        </w:rPr>
      </w:pPr>
      <w:r w:rsidRPr="005976A1">
        <w:rPr>
          <w:rFonts w:cs="Calibri"/>
          <w:sz w:val="24"/>
          <w:szCs w:val="24"/>
        </w:rPr>
        <w:t xml:space="preserve">Srivishnu, K. S.; Rajesh, M. N.; Prasanthkumar, S.; Giribabu, L. Photovoltaic s fo r indoor applications : Progress , challenges and perspectives. Solar Energy 2023, </w:t>
      </w:r>
      <w:r w:rsidR="001A0201" w:rsidRPr="005976A1">
        <w:rPr>
          <w:rFonts w:cs="Calibri"/>
          <w:sz w:val="24"/>
          <w:szCs w:val="24"/>
        </w:rPr>
        <w:t xml:space="preserve">doi.org /10.1016/j.solener.2023. </w:t>
      </w:r>
    </w:p>
    <w:p w14:paraId="03FDCD13" w14:textId="77777777" w:rsidR="00D526BC" w:rsidRPr="005976A1" w:rsidRDefault="00D526BC" w:rsidP="00A34037">
      <w:pPr>
        <w:numPr>
          <w:ilvl w:val="0"/>
          <w:numId w:val="4"/>
        </w:numPr>
        <w:spacing w:line="360" w:lineRule="auto"/>
        <w:jc w:val="both"/>
        <w:rPr>
          <w:rFonts w:cs="Calibri"/>
          <w:sz w:val="24"/>
          <w:szCs w:val="24"/>
        </w:rPr>
      </w:pPr>
      <w:r w:rsidRPr="005976A1">
        <w:rPr>
          <w:rFonts w:cs="Calibri"/>
          <w:color w:val="222222"/>
          <w:sz w:val="24"/>
          <w:szCs w:val="24"/>
          <w:shd w:val="clear" w:color="auto" w:fill="FFFFFF"/>
        </w:rPr>
        <w:t>Hagfeldt, A.; Boschloo, G.; Sun, L.; Kloo, L.; Pettersson, H. Dye-Sensitized Solar Cells. </w:t>
      </w:r>
      <w:r w:rsidRPr="005976A1">
        <w:rPr>
          <w:rFonts w:cs="Calibri"/>
          <w:bCs/>
          <w:i/>
          <w:color w:val="202124"/>
          <w:sz w:val="24"/>
          <w:szCs w:val="24"/>
          <w:shd w:val="clear" w:color="auto" w:fill="FFFFFF"/>
        </w:rPr>
        <w:t>Chem.</w:t>
      </w:r>
      <w:r w:rsidRPr="005976A1">
        <w:rPr>
          <w:rFonts w:cs="Calibri"/>
          <w:i/>
          <w:color w:val="202124"/>
          <w:sz w:val="24"/>
          <w:szCs w:val="24"/>
          <w:shd w:val="clear" w:color="auto" w:fill="FFFFFF"/>
        </w:rPr>
        <w:t> </w:t>
      </w:r>
      <w:r w:rsidRPr="005976A1">
        <w:rPr>
          <w:rFonts w:cs="Calibri"/>
          <w:bCs/>
          <w:i/>
          <w:color w:val="202124"/>
          <w:sz w:val="24"/>
          <w:szCs w:val="24"/>
          <w:shd w:val="clear" w:color="auto" w:fill="FFFFFF"/>
        </w:rPr>
        <w:t>Rev</w:t>
      </w:r>
      <w:r w:rsidRPr="005976A1">
        <w:rPr>
          <w:rFonts w:cs="Calibri"/>
          <w:i/>
          <w:color w:val="222222"/>
          <w:sz w:val="24"/>
          <w:szCs w:val="24"/>
          <w:shd w:val="clear" w:color="auto" w:fill="FFFFFF"/>
        </w:rPr>
        <w:t>.</w:t>
      </w:r>
      <w:r w:rsidRPr="005976A1">
        <w:rPr>
          <w:rFonts w:cs="Calibri"/>
          <w:color w:val="222222"/>
          <w:sz w:val="24"/>
          <w:szCs w:val="24"/>
          <w:shd w:val="clear" w:color="auto" w:fill="FFFFFF"/>
        </w:rPr>
        <w:t>  </w:t>
      </w:r>
      <w:r w:rsidRPr="005976A1">
        <w:rPr>
          <w:rFonts w:cs="Calibri"/>
          <w:b/>
          <w:bCs/>
          <w:color w:val="222222"/>
          <w:sz w:val="24"/>
          <w:szCs w:val="24"/>
          <w:shd w:val="clear" w:color="auto" w:fill="FFFFFF"/>
        </w:rPr>
        <w:t>2010</w:t>
      </w:r>
      <w:r w:rsidRPr="005976A1">
        <w:rPr>
          <w:rFonts w:cs="Calibri"/>
          <w:color w:val="222222"/>
          <w:sz w:val="24"/>
          <w:szCs w:val="24"/>
          <w:shd w:val="clear" w:color="auto" w:fill="FFFFFF"/>
        </w:rPr>
        <w:t xml:space="preserve">, </w:t>
      </w:r>
      <w:r w:rsidRPr="005976A1">
        <w:rPr>
          <w:rFonts w:cs="Calibri"/>
          <w:i/>
          <w:iCs/>
          <w:color w:val="222222"/>
          <w:sz w:val="24"/>
          <w:szCs w:val="24"/>
          <w:shd w:val="clear" w:color="auto" w:fill="FFFFFF"/>
        </w:rPr>
        <w:t>110</w:t>
      </w:r>
      <w:r w:rsidRPr="005976A1">
        <w:rPr>
          <w:rFonts w:cs="Calibri"/>
          <w:color w:val="222222"/>
          <w:sz w:val="24"/>
          <w:szCs w:val="24"/>
          <w:shd w:val="clear" w:color="auto" w:fill="FFFFFF"/>
        </w:rPr>
        <w:t xml:space="preserve">, 6595-6663. </w:t>
      </w:r>
    </w:p>
    <w:p w14:paraId="3AB0F199" w14:textId="77777777" w:rsidR="00B21739" w:rsidRPr="005976A1" w:rsidRDefault="00B21739" w:rsidP="00A34037">
      <w:pPr>
        <w:numPr>
          <w:ilvl w:val="0"/>
          <w:numId w:val="4"/>
        </w:numPr>
        <w:spacing w:line="360" w:lineRule="auto"/>
        <w:jc w:val="both"/>
        <w:rPr>
          <w:rFonts w:cs="Calibri"/>
          <w:sz w:val="24"/>
          <w:szCs w:val="24"/>
        </w:rPr>
      </w:pPr>
      <w:r w:rsidRPr="005976A1">
        <w:rPr>
          <w:rFonts w:cs="Calibri"/>
          <w:sz w:val="24"/>
          <w:szCs w:val="24"/>
        </w:rPr>
        <w:t xml:space="preserve">O’regan, B.; Grätzel, M. </w:t>
      </w:r>
      <w:r w:rsidRPr="005976A1">
        <w:rPr>
          <w:rFonts w:cs="Calibri"/>
          <w:bCs/>
          <w:sz w:val="24"/>
          <w:szCs w:val="24"/>
        </w:rPr>
        <w:t>A low-cost, high-efficiency solar cell based on dye-sensitized colloidal TiO</w:t>
      </w:r>
      <w:r w:rsidRPr="005976A1">
        <w:rPr>
          <w:rFonts w:cs="Calibri"/>
          <w:bCs/>
          <w:sz w:val="24"/>
          <w:szCs w:val="24"/>
          <w:vertAlign w:val="subscript"/>
        </w:rPr>
        <w:t>2</w:t>
      </w:r>
      <w:r w:rsidRPr="005976A1">
        <w:rPr>
          <w:rFonts w:cs="Calibri"/>
          <w:bCs/>
          <w:sz w:val="24"/>
          <w:szCs w:val="24"/>
        </w:rPr>
        <w:t xml:space="preserve"> films. </w:t>
      </w:r>
      <w:r w:rsidRPr="005976A1">
        <w:rPr>
          <w:rFonts w:cs="Calibri"/>
          <w:i/>
          <w:sz w:val="24"/>
          <w:szCs w:val="24"/>
        </w:rPr>
        <w:t>Nature</w:t>
      </w:r>
      <w:r w:rsidRPr="005976A1">
        <w:rPr>
          <w:rFonts w:cs="Calibri"/>
          <w:sz w:val="24"/>
          <w:szCs w:val="24"/>
        </w:rPr>
        <w:t xml:space="preserve">, </w:t>
      </w:r>
      <w:r w:rsidRPr="005976A1">
        <w:rPr>
          <w:rFonts w:cs="Calibri"/>
          <w:b/>
          <w:sz w:val="24"/>
          <w:szCs w:val="24"/>
        </w:rPr>
        <w:t>1991</w:t>
      </w:r>
      <w:r w:rsidRPr="005976A1">
        <w:rPr>
          <w:rFonts w:cs="Calibri"/>
          <w:sz w:val="24"/>
          <w:szCs w:val="24"/>
        </w:rPr>
        <w:t xml:space="preserve">, </w:t>
      </w:r>
      <w:r w:rsidRPr="005976A1">
        <w:rPr>
          <w:rFonts w:cs="Calibri"/>
          <w:i/>
          <w:sz w:val="24"/>
          <w:szCs w:val="24"/>
        </w:rPr>
        <w:t>353</w:t>
      </w:r>
      <w:r w:rsidRPr="005976A1">
        <w:rPr>
          <w:rFonts w:cs="Calibri"/>
          <w:sz w:val="24"/>
          <w:szCs w:val="24"/>
        </w:rPr>
        <w:t>, 737-740.</w:t>
      </w:r>
    </w:p>
    <w:p w14:paraId="31314E0E" w14:textId="77777777" w:rsidR="004105B9" w:rsidRPr="005976A1" w:rsidRDefault="004105B9" w:rsidP="00A34037">
      <w:pPr>
        <w:numPr>
          <w:ilvl w:val="0"/>
          <w:numId w:val="4"/>
        </w:numPr>
        <w:spacing w:line="360" w:lineRule="auto"/>
        <w:jc w:val="both"/>
        <w:rPr>
          <w:rFonts w:cs="Calibri"/>
          <w:bCs/>
          <w:sz w:val="24"/>
          <w:szCs w:val="24"/>
        </w:rPr>
      </w:pPr>
      <w:r w:rsidRPr="005976A1">
        <w:rPr>
          <w:rFonts w:cs="Calibri"/>
          <w:sz w:val="24"/>
          <w:szCs w:val="24"/>
        </w:rPr>
        <w:t xml:space="preserve">Tomar, N.; Agarwal, A.; Dhaka, V. J.; Surolia, P. K. </w:t>
      </w:r>
      <w:r w:rsidRPr="005976A1">
        <w:rPr>
          <w:rFonts w:cs="Calibri"/>
          <w:bCs/>
          <w:sz w:val="24"/>
          <w:szCs w:val="24"/>
        </w:rPr>
        <w:t xml:space="preserve">Ruthenium complexes based dye sensitized solar cells: Fundamentals and research trends. </w:t>
      </w:r>
      <w:r w:rsidRPr="005976A1">
        <w:rPr>
          <w:rFonts w:cs="Calibri"/>
          <w:bCs/>
          <w:i/>
          <w:sz w:val="24"/>
          <w:szCs w:val="24"/>
        </w:rPr>
        <w:t>Solar Energy</w:t>
      </w:r>
      <w:r w:rsidRPr="005976A1">
        <w:rPr>
          <w:rFonts w:cs="Calibri"/>
          <w:bCs/>
          <w:sz w:val="24"/>
          <w:szCs w:val="24"/>
        </w:rPr>
        <w:t xml:space="preserve"> </w:t>
      </w:r>
      <w:r w:rsidRPr="005976A1">
        <w:rPr>
          <w:rFonts w:cs="Calibri"/>
          <w:b/>
          <w:bCs/>
          <w:sz w:val="24"/>
          <w:szCs w:val="24"/>
        </w:rPr>
        <w:t>2020</w:t>
      </w:r>
      <w:r w:rsidRPr="005976A1">
        <w:rPr>
          <w:rFonts w:cs="Calibri"/>
          <w:bCs/>
          <w:sz w:val="24"/>
          <w:szCs w:val="24"/>
        </w:rPr>
        <w:t xml:space="preserve">, </w:t>
      </w:r>
      <w:r w:rsidRPr="005976A1">
        <w:rPr>
          <w:rFonts w:cs="Calibri"/>
          <w:bCs/>
          <w:i/>
          <w:sz w:val="24"/>
          <w:szCs w:val="24"/>
        </w:rPr>
        <w:t>207</w:t>
      </w:r>
      <w:r w:rsidRPr="005976A1">
        <w:rPr>
          <w:rFonts w:cs="Calibri"/>
          <w:bCs/>
          <w:sz w:val="24"/>
          <w:szCs w:val="24"/>
        </w:rPr>
        <w:t>, 59-76.</w:t>
      </w:r>
    </w:p>
    <w:p w14:paraId="4B8C2FE6" w14:textId="77777777" w:rsidR="004105B9" w:rsidRPr="005976A1" w:rsidRDefault="004105B9" w:rsidP="00A34037">
      <w:pPr>
        <w:numPr>
          <w:ilvl w:val="0"/>
          <w:numId w:val="4"/>
        </w:numPr>
        <w:spacing w:line="360" w:lineRule="auto"/>
        <w:jc w:val="both"/>
        <w:rPr>
          <w:rFonts w:cs="Calibri"/>
          <w:bCs/>
          <w:sz w:val="24"/>
          <w:szCs w:val="24"/>
        </w:rPr>
      </w:pPr>
      <w:r w:rsidRPr="005976A1">
        <w:rPr>
          <w:rFonts w:cs="Calibri"/>
          <w:bCs/>
          <w:sz w:val="24"/>
          <w:szCs w:val="24"/>
        </w:rPr>
        <w:t xml:space="preserve">Jella, T.; Srikanth, M.; Soujanya, Y.; Singh, S. P.; Giribabu, L.; Islam, A.; Han, L.; Gupta, R. K.  Heteroleptic Ru(II) cyclometalated complexes derived from benzimidazole-phenyl carbine ligands for dye-sensitized solar cells: an experimental and theoretical approach. </w:t>
      </w:r>
      <w:r w:rsidRPr="005976A1">
        <w:rPr>
          <w:rFonts w:cs="Calibri"/>
          <w:bCs/>
          <w:i/>
          <w:sz w:val="24"/>
          <w:szCs w:val="24"/>
        </w:rPr>
        <w:t>Mater. Chem. Front.</w:t>
      </w:r>
      <w:r w:rsidRPr="005976A1">
        <w:rPr>
          <w:rFonts w:cs="Calibri"/>
          <w:bCs/>
          <w:sz w:val="24"/>
          <w:szCs w:val="24"/>
        </w:rPr>
        <w:t xml:space="preserve"> </w:t>
      </w:r>
      <w:r w:rsidRPr="005976A1">
        <w:rPr>
          <w:rFonts w:cs="Calibri"/>
          <w:b/>
          <w:bCs/>
          <w:sz w:val="24"/>
          <w:szCs w:val="24"/>
        </w:rPr>
        <w:t>2017</w:t>
      </w:r>
      <w:r w:rsidRPr="005976A1">
        <w:rPr>
          <w:rFonts w:cs="Calibri"/>
          <w:bCs/>
          <w:sz w:val="24"/>
          <w:szCs w:val="24"/>
        </w:rPr>
        <w:t xml:space="preserve">, </w:t>
      </w:r>
      <w:r w:rsidRPr="005976A1">
        <w:rPr>
          <w:rFonts w:cs="Calibri"/>
          <w:bCs/>
          <w:i/>
          <w:sz w:val="24"/>
          <w:szCs w:val="24"/>
        </w:rPr>
        <w:t>1</w:t>
      </w:r>
      <w:r w:rsidRPr="005976A1">
        <w:rPr>
          <w:rFonts w:cs="Calibri"/>
          <w:bCs/>
          <w:sz w:val="24"/>
          <w:szCs w:val="24"/>
        </w:rPr>
        <w:t>, 947-957.</w:t>
      </w:r>
    </w:p>
    <w:p w14:paraId="5C1668F7" w14:textId="77777777" w:rsidR="004105B9" w:rsidRPr="005976A1" w:rsidRDefault="004105B9" w:rsidP="00A34037">
      <w:pPr>
        <w:numPr>
          <w:ilvl w:val="0"/>
          <w:numId w:val="4"/>
        </w:numPr>
        <w:spacing w:line="360" w:lineRule="auto"/>
        <w:jc w:val="both"/>
        <w:rPr>
          <w:rFonts w:cs="Calibri"/>
          <w:bCs/>
          <w:sz w:val="24"/>
          <w:szCs w:val="24"/>
        </w:rPr>
      </w:pPr>
      <w:r w:rsidRPr="005976A1">
        <w:rPr>
          <w:rFonts w:cs="Calibri"/>
          <w:sz w:val="24"/>
          <w:szCs w:val="24"/>
        </w:rPr>
        <w:lastRenderedPageBreak/>
        <w:t xml:space="preserve">Aghazada, S.; Gao, P.; Yella, A.; Marotta, G.; Moeh, T.; Teuschen, J.; De Angelis, F.; Grätzel, M.; Nazeeruddin, M. </w:t>
      </w:r>
      <w:r w:rsidRPr="005976A1">
        <w:rPr>
          <w:rFonts w:cs="Calibri"/>
          <w:bCs/>
          <w:sz w:val="24"/>
          <w:szCs w:val="24"/>
        </w:rPr>
        <w:t xml:space="preserve">Ligand Engineering for the Efficient Dye-Sensitized Solar Cells with Ruthenium Sensitizers and Cobalt Electrolytes. </w:t>
      </w:r>
      <w:r w:rsidRPr="005976A1">
        <w:rPr>
          <w:rFonts w:cs="Calibri"/>
          <w:bCs/>
          <w:i/>
          <w:sz w:val="24"/>
          <w:szCs w:val="24"/>
        </w:rPr>
        <w:t>Inorg. Chem</w:t>
      </w:r>
      <w:r w:rsidRPr="005976A1">
        <w:rPr>
          <w:rFonts w:cs="Calibri"/>
          <w:bCs/>
          <w:sz w:val="24"/>
          <w:szCs w:val="24"/>
        </w:rPr>
        <w:t xml:space="preserve">. </w:t>
      </w:r>
      <w:r w:rsidRPr="005976A1">
        <w:rPr>
          <w:rFonts w:cs="Calibri"/>
          <w:b/>
          <w:bCs/>
          <w:sz w:val="24"/>
          <w:szCs w:val="24"/>
        </w:rPr>
        <w:t>2016</w:t>
      </w:r>
      <w:r w:rsidRPr="005976A1">
        <w:rPr>
          <w:rFonts w:cs="Calibri"/>
          <w:bCs/>
          <w:sz w:val="24"/>
          <w:szCs w:val="24"/>
        </w:rPr>
        <w:t xml:space="preserve">, </w:t>
      </w:r>
      <w:r w:rsidRPr="005976A1">
        <w:rPr>
          <w:rFonts w:cs="Calibri"/>
          <w:bCs/>
          <w:i/>
          <w:sz w:val="24"/>
          <w:szCs w:val="24"/>
        </w:rPr>
        <w:t>55</w:t>
      </w:r>
      <w:r w:rsidRPr="005976A1">
        <w:rPr>
          <w:rFonts w:cs="Calibri"/>
          <w:bCs/>
          <w:sz w:val="24"/>
          <w:szCs w:val="24"/>
        </w:rPr>
        <w:t>, 6653-6659.</w:t>
      </w:r>
    </w:p>
    <w:p w14:paraId="62C5A079" w14:textId="77777777" w:rsidR="004105B9" w:rsidRPr="005976A1" w:rsidRDefault="004105B9" w:rsidP="00A34037">
      <w:pPr>
        <w:numPr>
          <w:ilvl w:val="0"/>
          <w:numId w:val="4"/>
        </w:numPr>
        <w:autoSpaceDE w:val="0"/>
        <w:autoSpaceDN w:val="0"/>
        <w:adjustRightInd w:val="0"/>
        <w:spacing w:line="360" w:lineRule="auto"/>
        <w:jc w:val="both"/>
        <w:rPr>
          <w:rFonts w:cs="Calibri"/>
          <w:bCs/>
          <w:sz w:val="24"/>
          <w:szCs w:val="24"/>
        </w:rPr>
      </w:pPr>
      <w:r w:rsidRPr="005976A1">
        <w:rPr>
          <w:rFonts w:cs="Calibri"/>
          <w:bCs/>
          <w:sz w:val="24"/>
          <w:szCs w:val="24"/>
        </w:rPr>
        <w:t xml:space="preserve">Han, L.; Islam, A.; Chen, H.; Chandrasekharam, M.; Chiranjeevi, B.; Zhang, S.; Yang X.; Yanagida, M. High-efficiency dye-sensitized solar cell with a novel co-adsorbent. </w:t>
      </w:r>
      <w:r w:rsidRPr="005976A1">
        <w:rPr>
          <w:rFonts w:cs="Calibri"/>
          <w:bCs/>
          <w:i/>
          <w:sz w:val="24"/>
          <w:szCs w:val="24"/>
        </w:rPr>
        <w:t>Energy Environ. Sci</w:t>
      </w:r>
      <w:r w:rsidRPr="005976A1">
        <w:rPr>
          <w:rFonts w:cs="Calibri"/>
          <w:bCs/>
          <w:sz w:val="24"/>
          <w:szCs w:val="24"/>
        </w:rPr>
        <w:t xml:space="preserve">., </w:t>
      </w:r>
      <w:r w:rsidRPr="005976A1">
        <w:rPr>
          <w:rFonts w:cs="Calibri"/>
          <w:b/>
          <w:bCs/>
          <w:sz w:val="24"/>
          <w:szCs w:val="24"/>
        </w:rPr>
        <w:t>2012</w:t>
      </w:r>
      <w:r w:rsidRPr="005976A1">
        <w:rPr>
          <w:rFonts w:cs="Calibri"/>
          <w:bCs/>
          <w:sz w:val="24"/>
          <w:szCs w:val="24"/>
        </w:rPr>
        <w:t xml:space="preserve">, </w:t>
      </w:r>
      <w:r w:rsidRPr="005976A1">
        <w:rPr>
          <w:rFonts w:cs="Calibri"/>
          <w:bCs/>
          <w:i/>
          <w:sz w:val="24"/>
          <w:szCs w:val="24"/>
        </w:rPr>
        <w:t>5</w:t>
      </w:r>
      <w:r w:rsidRPr="005976A1">
        <w:rPr>
          <w:rFonts w:cs="Calibri"/>
          <w:bCs/>
          <w:sz w:val="24"/>
          <w:szCs w:val="24"/>
        </w:rPr>
        <w:t>, 6057–6060.</w:t>
      </w:r>
    </w:p>
    <w:p w14:paraId="52AA2C81" w14:textId="77777777" w:rsidR="004105B9" w:rsidRPr="005976A1" w:rsidRDefault="004105B9" w:rsidP="00A34037">
      <w:pPr>
        <w:numPr>
          <w:ilvl w:val="0"/>
          <w:numId w:val="4"/>
        </w:numPr>
        <w:spacing w:line="360" w:lineRule="auto"/>
        <w:jc w:val="both"/>
        <w:rPr>
          <w:rFonts w:cs="Calibri"/>
          <w:bCs/>
          <w:sz w:val="24"/>
          <w:szCs w:val="24"/>
        </w:rPr>
      </w:pPr>
      <w:r w:rsidRPr="005976A1">
        <w:rPr>
          <w:rFonts w:cs="Calibri"/>
          <w:bCs/>
          <w:sz w:val="24"/>
          <w:szCs w:val="24"/>
        </w:rPr>
        <w:t xml:space="preserve">Nazeeruddin, M. K.; Pechy, P.; Renouard, T.; Zakeeruddin, S. M.; Humphry-Baker, R.; Comte, P.; Liska, P.; Cevery, L.; Costa, E.; Shklover, V.; Spiccia, L.; Deacon, G. B.; Bignozzi C. A.; </w:t>
      </w:r>
      <w:r w:rsidRPr="005976A1">
        <w:rPr>
          <w:rFonts w:cs="Calibri"/>
          <w:sz w:val="24"/>
          <w:szCs w:val="24"/>
        </w:rPr>
        <w:t xml:space="preserve">Grätzel, </w:t>
      </w:r>
      <w:r w:rsidRPr="005976A1">
        <w:rPr>
          <w:rFonts w:cs="Calibri"/>
          <w:bCs/>
          <w:sz w:val="24"/>
          <w:szCs w:val="24"/>
        </w:rPr>
        <w:t>M. Engineering of Efficient Panchromatic Sensitizers for Nanocrystalline TiO</w:t>
      </w:r>
      <w:r w:rsidRPr="005976A1">
        <w:rPr>
          <w:rFonts w:cs="Calibri"/>
          <w:bCs/>
          <w:sz w:val="24"/>
          <w:szCs w:val="24"/>
          <w:vertAlign w:val="subscript"/>
        </w:rPr>
        <w:t>2</w:t>
      </w:r>
      <w:r w:rsidRPr="005976A1">
        <w:rPr>
          <w:rFonts w:cs="Calibri"/>
          <w:bCs/>
          <w:sz w:val="24"/>
          <w:szCs w:val="24"/>
        </w:rPr>
        <w:t xml:space="preserve">-Based Solar Cells. </w:t>
      </w:r>
      <w:r w:rsidRPr="005976A1">
        <w:rPr>
          <w:rFonts w:cs="Calibri"/>
          <w:bCs/>
          <w:i/>
          <w:sz w:val="24"/>
          <w:szCs w:val="24"/>
        </w:rPr>
        <w:t>J. Am. Chem. Soc</w:t>
      </w:r>
      <w:r w:rsidRPr="005976A1">
        <w:rPr>
          <w:rFonts w:cs="Calibri"/>
          <w:bCs/>
          <w:sz w:val="24"/>
          <w:szCs w:val="24"/>
        </w:rPr>
        <w:t xml:space="preserve">., </w:t>
      </w:r>
      <w:r w:rsidRPr="005976A1">
        <w:rPr>
          <w:rFonts w:cs="Calibri"/>
          <w:b/>
          <w:bCs/>
          <w:sz w:val="24"/>
          <w:szCs w:val="24"/>
        </w:rPr>
        <w:t>2001</w:t>
      </w:r>
      <w:r w:rsidRPr="005976A1">
        <w:rPr>
          <w:rFonts w:cs="Calibri"/>
          <w:bCs/>
          <w:sz w:val="24"/>
          <w:szCs w:val="24"/>
        </w:rPr>
        <w:t xml:space="preserve">, </w:t>
      </w:r>
      <w:r w:rsidRPr="005976A1">
        <w:rPr>
          <w:rFonts w:cs="Calibri"/>
          <w:bCs/>
          <w:i/>
          <w:sz w:val="24"/>
          <w:szCs w:val="24"/>
        </w:rPr>
        <w:t>123</w:t>
      </w:r>
      <w:r w:rsidRPr="005976A1">
        <w:rPr>
          <w:rFonts w:cs="Calibri"/>
          <w:bCs/>
          <w:sz w:val="24"/>
          <w:szCs w:val="24"/>
        </w:rPr>
        <w:t>, 1613–1624.</w:t>
      </w:r>
    </w:p>
    <w:p w14:paraId="657A35F1" w14:textId="77777777" w:rsidR="004105B9" w:rsidRPr="005976A1" w:rsidRDefault="004105B9" w:rsidP="00A34037">
      <w:pPr>
        <w:numPr>
          <w:ilvl w:val="0"/>
          <w:numId w:val="4"/>
        </w:numPr>
        <w:spacing w:line="360" w:lineRule="auto"/>
        <w:jc w:val="both"/>
        <w:rPr>
          <w:rFonts w:cs="Calibri"/>
          <w:bCs/>
          <w:sz w:val="24"/>
          <w:szCs w:val="24"/>
        </w:rPr>
      </w:pPr>
      <w:r w:rsidRPr="005976A1">
        <w:rPr>
          <w:rFonts w:cs="Calibri"/>
          <w:bCs/>
          <w:sz w:val="24"/>
          <w:szCs w:val="24"/>
        </w:rPr>
        <w:t xml:space="preserve">Zhang, Y.; Higashino, T.; Imahori, H. Molecular Designs, Synthetic Strategies, and Properties for Porphyrins as Sensitizers in Dye-Sensitized Solar Cells. </w:t>
      </w:r>
      <w:r w:rsidRPr="005976A1">
        <w:rPr>
          <w:rFonts w:cs="Calibri"/>
          <w:bCs/>
          <w:i/>
          <w:sz w:val="24"/>
          <w:szCs w:val="24"/>
        </w:rPr>
        <w:t>J. Mater. Chem. A</w:t>
      </w:r>
      <w:r w:rsidRPr="005976A1">
        <w:rPr>
          <w:rFonts w:cs="Calibri"/>
          <w:bCs/>
          <w:sz w:val="24"/>
          <w:szCs w:val="24"/>
        </w:rPr>
        <w:t xml:space="preserve"> </w:t>
      </w:r>
      <w:r w:rsidRPr="005976A1">
        <w:rPr>
          <w:rFonts w:cs="Calibri"/>
          <w:b/>
          <w:bCs/>
          <w:sz w:val="24"/>
          <w:szCs w:val="24"/>
        </w:rPr>
        <w:t>2023</w:t>
      </w:r>
      <w:r w:rsidRPr="005976A1">
        <w:rPr>
          <w:rFonts w:cs="Calibri"/>
          <w:bCs/>
          <w:sz w:val="24"/>
          <w:szCs w:val="24"/>
        </w:rPr>
        <w:t xml:space="preserve">, </w:t>
      </w:r>
      <w:r w:rsidRPr="005976A1">
        <w:rPr>
          <w:rFonts w:cs="Calibri"/>
          <w:bCs/>
          <w:i/>
          <w:sz w:val="24"/>
          <w:szCs w:val="24"/>
        </w:rPr>
        <w:t>11</w:t>
      </w:r>
      <w:r w:rsidRPr="005976A1">
        <w:rPr>
          <w:rFonts w:cs="Calibri"/>
          <w:bCs/>
          <w:sz w:val="24"/>
          <w:szCs w:val="24"/>
        </w:rPr>
        <w:t>, 12659-12680.</w:t>
      </w:r>
    </w:p>
    <w:p w14:paraId="1C7439AB" w14:textId="77777777" w:rsidR="004105B9" w:rsidRPr="005976A1" w:rsidRDefault="004105B9" w:rsidP="00A34037">
      <w:pPr>
        <w:numPr>
          <w:ilvl w:val="0"/>
          <w:numId w:val="4"/>
        </w:numPr>
        <w:spacing w:line="360" w:lineRule="auto"/>
        <w:jc w:val="both"/>
        <w:rPr>
          <w:rFonts w:cs="Calibri"/>
          <w:bCs/>
          <w:sz w:val="24"/>
          <w:szCs w:val="24"/>
        </w:rPr>
      </w:pPr>
      <w:r w:rsidRPr="005976A1">
        <w:rPr>
          <w:rFonts w:cs="Calibri"/>
          <w:bCs/>
          <w:sz w:val="24"/>
          <w:szCs w:val="24"/>
        </w:rPr>
        <w:t xml:space="preserve">Giribabu, L.; Kanaparthi, R. K. Are Porphyrins are Alternative to Ruthenium (II) Sensitizers for Dye-Sensitized Solar Cells? </w:t>
      </w:r>
      <w:r w:rsidRPr="005976A1">
        <w:rPr>
          <w:rFonts w:cs="Calibri"/>
          <w:bCs/>
          <w:i/>
          <w:sz w:val="24"/>
          <w:szCs w:val="24"/>
        </w:rPr>
        <w:t>Current Sci</w:t>
      </w:r>
      <w:r w:rsidRPr="005976A1">
        <w:rPr>
          <w:rFonts w:cs="Calibri"/>
          <w:bCs/>
          <w:sz w:val="24"/>
          <w:szCs w:val="24"/>
        </w:rPr>
        <w:t xml:space="preserve">., </w:t>
      </w:r>
      <w:r w:rsidRPr="005976A1">
        <w:rPr>
          <w:rFonts w:cs="Calibri"/>
          <w:b/>
          <w:bCs/>
          <w:sz w:val="24"/>
          <w:szCs w:val="24"/>
        </w:rPr>
        <w:t>2013</w:t>
      </w:r>
      <w:r w:rsidRPr="005976A1">
        <w:rPr>
          <w:rFonts w:cs="Calibri"/>
          <w:bCs/>
          <w:sz w:val="24"/>
          <w:szCs w:val="24"/>
        </w:rPr>
        <w:t xml:space="preserve">, </w:t>
      </w:r>
      <w:r w:rsidRPr="005976A1">
        <w:rPr>
          <w:rFonts w:cs="Calibri"/>
          <w:bCs/>
          <w:i/>
          <w:sz w:val="24"/>
          <w:szCs w:val="24"/>
        </w:rPr>
        <w:t>104</w:t>
      </w:r>
      <w:r w:rsidRPr="005976A1">
        <w:rPr>
          <w:rFonts w:cs="Calibri"/>
          <w:bCs/>
          <w:sz w:val="24"/>
          <w:szCs w:val="24"/>
        </w:rPr>
        <w:t>, 847-855.</w:t>
      </w:r>
    </w:p>
    <w:p w14:paraId="31D503CD" w14:textId="77777777" w:rsidR="008A4F6F" w:rsidRPr="005976A1" w:rsidRDefault="008A4F6F" w:rsidP="00A34037">
      <w:pPr>
        <w:numPr>
          <w:ilvl w:val="0"/>
          <w:numId w:val="4"/>
        </w:numPr>
        <w:autoSpaceDE w:val="0"/>
        <w:autoSpaceDN w:val="0"/>
        <w:adjustRightInd w:val="0"/>
        <w:spacing w:line="360" w:lineRule="auto"/>
        <w:jc w:val="both"/>
        <w:rPr>
          <w:rFonts w:cs="Calibri"/>
          <w:bCs/>
          <w:sz w:val="24"/>
          <w:szCs w:val="24"/>
        </w:rPr>
      </w:pPr>
      <w:r w:rsidRPr="005976A1">
        <w:rPr>
          <w:rFonts w:cs="Calibri"/>
          <w:bCs/>
          <w:sz w:val="24"/>
          <w:szCs w:val="24"/>
        </w:rPr>
        <w:t xml:space="preserve">Kalyanasundaram, K.; Vlachopoulos, N.; Krishnan, V.; Monnier, A.; Grätzel, M. Sensitization of titanium dioxide in the visible light region using zinc porphyrins. </w:t>
      </w:r>
      <w:r w:rsidRPr="005976A1">
        <w:rPr>
          <w:rFonts w:cs="Calibri"/>
          <w:bCs/>
          <w:i/>
          <w:iCs/>
          <w:sz w:val="24"/>
          <w:szCs w:val="24"/>
        </w:rPr>
        <w:t>J. Phys. Chem.</w:t>
      </w:r>
      <w:r w:rsidRPr="005976A1">
        <w:rPr>
          <w:rFonts w:cs="Calibri"/>
          <w:bCs/>
          <w:sz w:val="24"/>
          <w:szCs w:val="24"/>
        </w:rPr>
        <w:t xml:space="preserve">, </w:t>
      </w:r>
      <w:r w:rsidRPr="005976A1">
        <w:rPr>
          <w:rFonts w:cs="Calibri"/>
          <w:b/>
          <w:bCs/>
          <w:sz w:val="24"/>
          <w:szCs w:val="24"/>
        </w:rPr>
        <w:t>1987</w:t>
      </w:r>
      <w:r w:rsidRPr="005976A1">
        <w:rPr>
          <w:rFonts w:cs="Calibri"/>
          <w:bCs/>
          <w:sz w:val="24"/>
          <w:szCs w:val="24"/>
        </w:rPr>
        <w:t xml:space="preserve">, </w:t>
      </w:r>
      <w:r w:rsidRPr="005976A1">
        <w:rPr>
          <w:rFonts w:cs="Calibri"/>
          <w:bCs/>
          <w:i/>
          <w:sz w:val="24"/>
          <w:szCs w:val="24"/>
        </w:rPr>
        <w:t>91</w:t>
      </w:r>
      <w:r w:rsidRPr="005976A1">
        <w:rPr>
          <w:rFonts w:cs="Calibri"/>
          <w:bCs/>
          <w:sz w:val="24"/>
          <w:szCs w:val="24"/>
        </w:rPr>
        <w:t xml:space="preserve"> 2342–2347.</w:t>
      </w:r>
    </w:p>
    <w:p w14:paraId="53FFAF88" w14:textId="77777777" w:rsidR="00B83CDD" w:rsidRPr="005976A1" w:rsidRDefault="00B83CDD" w:rsidP="00A34037">
      <w:pPr>
        <w:numPr>
          <w:ilvl w:val="0"/>
          <w:numId w:val="4"/>
        </w:numPr>
        <w:autoSpaceDE w:val="0"/>
        <w:autoSpaceDN w:val="0"/>
        <w:adjustRightInd w:val="0"/>
        <w:spacing w:line="360" w:lineRule="auto"/>
        <w:jc w:val="both"/>
        <w:rPr>
          <w:rFonts w:cs="Calibri"/>
          <w:bCs/>
          <w:sz w:val="24"/>
          <w:szCs w:val="24"/>
        </w:rPr>
      </w:pPr>
      <w:r w:rsidRPr="005976A1">
        <w:rPr>
          <w:rFonts w:cs="Calibri"/>
          <w:bCs/>
          <w:sz w:val="24"/>
          <w:szCs w:val="24"/>
        </w:rPr>
        <w:t xml:space="preserve">Campbell, W. M. </w:t>
      </w:r>
      <w:r w:rsidRPr="005976A1">
        <w:rPr>
          <w:rFonts w:cs="Calibri"/>
          <w:bCs/>
          <w:i/>
          <w:iCs/>
          <w:sz w:val="24"/>
          <w:szCs w:val="24"/>
        </w:rPr>
        <w:t>et al.</w:t>
      </w:r>
      <w:r w:rsidRPr="005976A1">
        <w:rPr>
          <w:rFonts w:cs="Calibri"/>
          <w:bCs/>
          <w:sz w:val="24"/>
          <w:szCs w:val="24"/>
        </w:rPr>
        <w:t xml:space="preserve">, Highly efficient porphyrin sensitizers for dye-sensitized solar cells. </w:t>
      </w:r>
      <w:r w:rsidRPr="005976A1">
        <w:rPr>
          <w:rFonts w:cs="Calibri"/>
          <w:bCs/>
          <w:i/>
          <w:iCs/>
          <w:sz w:val="24"/>
          <w:szCs w:val="24"/>
        </w:rPr>
        <w:t>J. Phys. Chem. C</w:t>
      </w:r>
      <w:r w:rsidRPr="005976A1">
        <w:rPr>
          <w:rFonts w:cs="Calibri"/>
          <w:bCs/>
          <w:sz w:val="24"/>
          <w:szCs w:val="24"/>
        </w:rPr>
        <w:t xml:space="preserve">, </w:t>
      </w:r>
      <w:r w:rsidRPr="005976A1">
        <w:rPr>
          <w:rFonts w:cs="Calibri"/>
          <w:b/>
          <w:bCs/>
          <w:sz w:val="24"/>
          <w:szCs w:val="24"/>
        </w:rPr>
        <w:t>2007</w:t>
      </w:r>
      <w:r w:rsidRPr="005976A1">
        <w:rPr>
          <w:rFonts w:cs="Calibri"/>
          <w:bCs/>
          <w:sz w:val="24"/>
          <w:szCs w:val="24"/>
        </w:rPr>
        <w:t xml:space="preserve">, </w:t>
      </w:r>
      <w:r w:rsidRPr="005976A1">
        <w:rPr>
          <w:rFonts w:cs="Calibri"/>
          <w:bCs/>
          <w:i/>
          <w:sz w:val="24"/>
          <w:szCs w:val="24"/>
        </w:rPr>
        <w:t>111</w:t>
      </w:r>
      <w:r w:rsidRPr="005976A1">
        <w:rPr>
          <w:rFonts w:cs="Calibri"/>
          <w:bCs/>
          <w:sz w:val="24"/>
          <w:szCs w:val="24"/>
        </w:rPr>
        <w:t>, 11760–11762.</w:t>
      </w:r>
    </w:p>
    <w:p w14:paraId="12FDC901" w14:textId="77777777" w:rsidR="00FF67BC" w:rsidRPr="005976A1" w:rsidRDefault="00FF67BC" w:rsidP="00A34037">
      <w:pPr>
        <w:numPr>
          <w:ilvl w:val="0"/>
          <w:numId w:val="4"/>
        </w:numPr>
        <w:spacing w:after="0" w:line="360" w:lineRule="auto"/>
        <w:jc w:val="both"/>
        <w:rPr>
          <w:rFonts w:cs="Calibri"/>
          <w:bCs/>
          <w:sz w:val="24"/>
          <w:szCs w:val="24"/>
        </w:rPr>
      </w:pPr>
      <w:r w:rsidRPr="005976A1">
        <w:rPr>
          <w:rFonts w:cs="Calibri"/>
          <w:sz w:val="24"/>
          <w:szCs w:val="24"/>
        </w:rPr>
        <w:t>Luo, J.; Lu, Q.; Li, Q.; Li, Z.; Wang, Y.; Wu, X.; Li, Ch.; Xie, Y.</w:t>
      </w:r>
      <w:r w:rsidRPr="005976A1">
        <w:rPr>
          <w:rFonts w:cs="Calibri"/>
          <w:bCs/>
          <w:sz w:val="24"/>
          <w:szCs w:val="24"/>
        </w:rPr>
        <w:t xml:space="preserve"> Efficient Solar Cells Based on Porphyrin and Concerted Companion Dyes Featuring Benzo 12-Crown-4 for Suppressing Charge Recombination and Enhancing Dye Loading. </w:t>
      </w:r>
      <w:r w:rsidRPr="005976A1">
        <w:rPr>
          <w:rFonts w:cs="Calibri"/>
          <w:bCs/>
          <w:i/>
          <w:sz w:val="24"/>
          <w:szCs w:val="24"/>
        </w:rPr>
        <w:t>ACS Appl. Mater. Interface</w:t>
      </w:r>
      <w:r w:rsidRPr="005976A1">
        <w:rPr>
          <w:rFonts w:cs="Calibri"/>
          <w:bCs/>
          <w:sz w:val="24"/>
          <w:szCs w:val="24"/>
        </w:rPr>
        <w:t xml:space="preserve"> </w:t>
      </w:r>
      <w:r w:rsidRPr="005976A1">
        <w:rPr>
          <w:rFonts w:cs="Calibri"/>
          <w:b/>
          <w:bCs/>
          <w:sz w:val="24"/>
          <w:szCs w:val="24"/>
        </w:rPr>
        <w:t>2023</w:t>
      </w:r>
      <w:r w:rsidRPr="005976A1">
        <w:rPr>
          <w:rFonts w:cs="Calibri"/>
          <w:bCs/>
          <w:sz w:val="24"/>
          <w:szCs w:val="24"/>
        </w:rPr>
        <w:t xml:space="preserve">, </w:t>
      </w:r>
      <w:r w:rsidRPr="005976A1">
        <w:rPr>
          <w:rFonts w:cs="Calibri"/>
          <w:bCs/>
          <w:i/>
          <w:sz w:val="24"/>
          <w:szCs w:val="24"/>
        </w:rPr>
        <w:t>15</w:t>
      </w:r>
      <w:r w:rsidRPr="005976A1">
        <w:rPr>
          <w:rFonts w:cs="Calibri"/>
          <w:bCs/>
          <w:sz w:val="24"/>
          <w:szCs w:val="24"/>
        </w:rPr>
        <w:t>, 41569-41579.</w:t>
      </w:r>
    </w:p>
    <w:p w14:paraId="2D14E19D" w14:textId="77777777" w:rsidR="00B83CDD" w:rsidRPr="005976A1" w:rsidRDefault="00B83CDD" w:rsidP="00A34037">
      <w:pPr>
        <w:numPr>
          <w:ilvl w:val="0"/>
          <w:numId w:val="4"/>
        </w:numPr>
        <w:autoSpaceDE w:val="0"/>
        <w:autoSpaceDN w:val="0"/>
        <w:adjustRightInd w:val="0"/>
        <w:spacing w:line="360" w:lineRule="auto"/>
        <w:jc w:val="both"/>
        <w:rPr>
          <w:rFonts w:cs="Calibri"/>
          <w:bCs/>
          <w:sz w:val="24"/>
          <w:szCs w:val="24"/>
        </w:rPr>
      </w:pPr>
      <w:r w:rsidRPr="005976A1">
        <w:rPr>
          <w:rFonts w:cs="Calibri"/>
          <w:bCs/>
          <w:sz w:val="24"/>
          <w:szCs w:val="24"/>
        </w:rPr>
        <w:t xml:space="preserve">Zhou, H.; Ji, J. –M.; Lee, H. S.; Masud, Aftabuzzaman, M.; Lee, D. –N.; Kim. Ch. H. Kim, H. K. D-π-A Structured Porphyrin and Organic Dyes with Easily Synthesizable Donor Units for </w:t>
      </w:r>
      <w:r w:rsidRPr="005976A1">
        <w:rPr>
          <w:rFonts w:cs="Calibri"/>
          <w:bCs/>
          <w:sz w:val="24"/>
          <w:szCs w:val="24"/>
        </w:rPr>
        <w:lastRenderedPageBreak/>
        <w:t xml:space="preserve">Low-Cost and Efficient Dye-Sensitized Solar Cells. </w:t>
      </w:r>
      <w:r w:rsidRPr="005976A1">
        <w:rPr>
          <w:rFonts w:cs="Calibri"/>
          <w:bCs/>
          <w:i/>
          <w:sz w:val="24"/>
          <w:szCs w:val="24"/>
        </w:rPr>
        <w:t>ACS Appl. Mater. Interfaces</w:t>
      </w:r>
      <w:r w:rsidRPr="005976A1">
        <w:rPr>
          <w:rFonts w:cs="Calibri"/>
          <w:bCs/>
          <w:sz w:val="24"/>
          <w:szCs w:val="24"/>
        </w:rPr>
        <w:t xml:space="preserve"> </w:t>
      </w:r>
      <w:r w:rsidRPr="005976A1">
        <w:rPr>
          <w:rFonts w:cs="Calibri"/>
          <w:b/>
          <w:bCs/>
          <w:sz w:val="24"/>
          <w:szCs w:val="24"/>
        </w:rPr>
        <w:t>2023</w:t>
      </w:r>
      <w:r w:rsidRPr="005976A1">
        <w:rPr>
          <w:rFonts w:cs="Calibri"/>
          <w:bCs/>
          <w:sz w:val="24"/>
          <w:szCs w:val="24"/>
        </w:rPr>
        <w:t xml:space="preserve">, </w:t>
      </w:r>
      <w:r w:rsidRPr="005976A1">
        <w:rPr>
          <w:rFonts w:cs="Calibri"/>
          <w:bCs/>
          <w:i/>
          <w:sz w:val="24"/>
          <w:szCs w:val="24"/>
        </w:rPr>
        <w:t>15</w:t>
      </w:r>
      <w:r w:rsidRPr="005976A1">
        <w:rPr>
          <w:rFonts w:cs="Calibri"/>
          <w:bCs/>
          <w:sz w:val="24"/>
          <w:szCs w:val="24"/>
        </w:rPr>
        <w:t xml:space="preserve">, 39426-39434. </w:t>
      </w:r>
    </w:p>
    <w:p w14:paraId="15200AFF" w14:textId="77777777" w:rsidR="00B83CDD" w:rsidRPr="005976A1" w:rsidRDefault="00B83CDD" w:rsidP="00A34037">
      <w:pPr>
        <w:numPr>
          <w:ilvl w:val="0"/>
          <w:numId w:val="4"/>
        </w:numPr>
        <w:autoSpaceDE w:val="0"/>
        <w:autoSpaceDN w:val="0"/>
        <w:adjustRightInd w:val="0"/>
        <w:spacing w:line="360" w:lineRule="auto"/>
        <w:jc w:val="both"/>
        <w:rPr>
          <w:rFonts w:cs="Calibri"/>
          <w:bCs/>
          <w:sz w:val="24"/>
          <w:szCs w:val="24"/>
        </w:rPr>
      </w:pPr>
      <w:r w:rsidRPr="005976A1">
        <w:rPr>
          <w:rFonts w:cs="Calibri"/>
          <w:bCs/>
          <w:sz w:val="24"/>
          <w:szCs w:val="24"/>
        </w:rPr>
        <w:t xml:space="preserve">Zou,  J.; Tang, Y.; Baryshnikov, G.; Yang, Z.; Mao,  R.; Feng, W.; Guan, J.; Li Ch.; Xie, Y. Porphyrins containing a tetraphenylethylene-substituted phenothiazine donor for fabricating efficient dye sensitized solar cells with high photovoltages. </w:t>
      </w:r>
      <w:r w:rsidRPr="005976A1">
        <w:rPr>
          <w:rFonts w:cs="Calibri"/>
          <w:bCs/>
          <w:i/>
          <w:sz w:val="24"/>
          <w:szCs w:val="24"/>
        </w:rPr>
        <w:t>J. Mater. Chem. A</w:t>
      </w:r>
      <w:r w:rsidRPr="005976A1">
        <w:rPr>
          <w:rFonts w:cs="Calibri"/>
          <w:bCs/>
          <w:sz w:val="24"/>
          <w:szCs w:val="24"/>
        </w:rPr>
        <w:t xml:space="preserve">, </w:t>
      </w:r>
      <w:r w:rsidRPr="005976A1">
        <w:rPr>
          <w:rFonts w:cs="Calibri"/>
          <w:b/>
          <w:bCs/>
          <w:sz w:val="24"/>
          <w:szCs w:val="24"/>
        </w:rPr>
        <w:t>2022</w:t>
      </w:r>
      <w:r w:rsidRPr="005976A1">
        <w:rPr>
          <w:rFonts w:cs="Calibri"/>
          <w:bCs/>
          <w:sz w:val="24"/>
          <w:szCs w:val="24"/>
        </w:rPr>
        <w:t xml:space="preserve">, </w:t>
      </w:r>
      <w:r w:rsidRPr="005976A1">
        <w:rPr>
          <w:rFonts w:cs="Calibri"/>
          <w:bCs/>
          <w:i/>
          <w:sz w:val="24"/>
          <w:szCs w:val="24"/>
        </w:rPr>
        <w:t>10</w:t>
      </w:r>
      <w:r w:rsidRPr="005976A1">
        <w:rPr>
          <w:rFonts w:cs="Calibri"/>
          <w:bCs/>
          <w:sz w:val="24"/>
          <w:szCs w:val="24"/>
        </w:rPr>
        <w:t>, 1320-1328.</w:t>
      </w:r>
    </w:p>
    <w:p w14:paraId="09528CA4" w14:textId="77777777" w:rsidR="00B83CDD" w:rsidRPr="005976A1" w:rsidRDefault="00B83CDD" w:rsidP="00A34037">
      <w:pPr>
        <w:numPr>
          <w:ilvl w:val="0"/>
          <w:numId w:val="4"/>
        </w:numPr>
        <w:autoSpaceDE w:val="0"/>
        <w:autoSpaceDN w:val="0"/>
        <w:adjustRightInd w:val="0"/>
        <w:spacing w:line="360" w:lineRule="auto"/>
        <w:jc w:val="both"/>
        <w:rPr>
          <w:rFonts w:cs="Calibri"/>
          <w:bCs/>
          <w:sz w:val="24"/>
          <w:szCs w:val="24"/>
        </w:rPr>
      </w:pPr>
      <w:r w:rsidRPr="005976A1">
        <w:rPr>
          <w:rFonts w:cs="Calibri"/>
          <w:bCs/>
          <w:sz w:val="24"/>
          <w:szCs w:val="24"/>
        </w:rPr>
        <w:t xml:space="preserve">Koteshwar, D.; Prasanthkumar, S.; Singh, S. P.; Chowdhury, T. H.; Bedja, I.; Islam, A.; Giribabu, L. Effects of methoxy group(s) on D-p-A porphyrin based DSSCs: efficiency enhanced by co-sensitization. </w:t>
      </w:r>
      <w:r w:rsidRPr="005976A1">
        <w:rPr>
          <w:rFonts w:cs="Calibri"/>
          <w:bCs/>
          <w:i/>
          <w:sz w:val="24"/>
          <w:szCs w:val="24"/>
        </w:rPr>
        <w:t>Mater. Chem. Front</w:t>
      </w:r>
      <w:r w:rsidRPr="005976A1">
        <w:rPr>
          <w:rFonts w:cs="Calibri"/>
          <w:bCs/>
          <w:sz w:val="24"/>
          <w:szCs w:val="24"/>
        </w:rPr>
        <w:t xml:space="preserve">. </w:t>
      </w:r>
      <w:r w:rsidRPr="005976A1">
        <w:rPr>
          <w:rFonts w:cs="Calibri"/>
          <w:b/>
          <w:bCs/>
          <w:sz w:val="24"/>
          <w:szCs w:val="24"/>
        </w:rPr>
        <w:t>2022</w:t>
      </w:r>
      <w:r w:rsidRPr="005976A1">
        <w:rPr>
          <w:rFonts w:cs="Calibri"/>
          <w:bCs/>
          <w:sz w:val="24"/>
          <w:szCs w:val="24"/>
        </w:rPr>
        <w:t xml:space="preserve">, </w:t>
      </w:r>
      <w:r w:rsidRPr="005976A1">
        <w:rPr>
          <w:rFonts w:cs="Calibri"/>
          <w:bCs/>
          <w:i/>
          <w:sz w:val="24"/>
          <w:szCs w:val="24"/>
        </w:rPr>
        <w:t>6</w:t>
      </w:r>
      <w:r w:rsidRPr="005976A1">
        <w:rPr>
          <w:rFonts w:cs="Calibri"/>
          <w:bCs/>
          <w:sz w:val="24"/>
          <w:szCs w:val="24"/>
        </w:rPr>
        <w:t xml:space="preserve">, 580-592. </w:t>
      </w:r>
    </w:p>
    <w:p w14:paraId="3EEA254D" w14:textId="77777777" w:rsidR="00B83CDD" w:rsidRPr="005976A1" w:rsidRDefault="00B83CDD" w:rsidP="00A34037">
      <w:pPr>
        <w:numPr>
          <w:ilvl w:val="0"/>
          <w:numId w:val="4"/>
        </w:numPr>
        <w:autoSpaceDE w:val="0"/>
        <w:autoSpaceDN w:val="0"/>
        <w:adjustRightInd w:val="0"/>
        <w:spacing w:line="360" w:lineRule="auto"/>
        <w:jc w:val="both"/>
        <w:rPr>
          <w:rFonts w:cs="Calibri"/>
          <w:bCs/>
          <w:sz w:val="24"/>
          <w:szCs w:val="24"/>
        </w:rPr>
      </w:pPr>
      <w:r w:rsidRPr="005976A1">
        <w:rPr>
          <w:rFonts w:cs="Calibri"/>
          <w:bCs/>
          <w:sz w:val="24"/>
          <w:szCs w:val="24"/>
        </w:rPr>
        <w:t xml:space="preserve">Gangadhar, P. S.; Gonuguntla, S.; Madanaboina, S.; Islavath, N.; Pal U.; Giribabu, L. Unravelling the impact of thiophene auxiliary in new porphyrin sensitizers for high solar energy conversion. </w:t>
      </w:r>
      <w:r w:rsidRPr="005976A1">
        <w:rPr>
          <w:rFonts w:cs="Calibri"/>
          <w:bCs/>
          <w:i/>
          <w:sz w:val="24"/>
          <w:szCs w:val="24"/>
        </w:rPr>
        <w:t>J. Photochem. and Photobiol. A: Chem.</w:t>
      </w:r>
      <w:r w:rsidRPr="005976A1">
        <w:rPr>
          <w:rFonts w:cs="Calibri"/>
          <w:bCs/>
          <w:sz w:val="24"/>
          <w:szCs w:val="24"/>
        </w:rPr>
        <w:t xml:space="preserve">, </w:t>
      </w:r>
      <w:r w:rsidRPr="005976A1">
        <w:rPr>
          <w:rFonts w:cs="Calibri"/>
          <w:b/>
          <w:bCs/>
          <w:sz w:val="24"/>
          <w:szCs w:val="24"/>
        </w:rPr>
        <w:t>2020</w:t>
      </w:r>
      <w:r w:rsidRPr="005976A1">
        <w:rPr>
          <w:rFonts w:cs="Calibri"/>
          <w:bCs/>
          <w:sz w:val="24"/>
          <w:szCs w:val="24"/>
        </w:rPr>
        <w:t>, 392, 112408.</w:t>
      </w:r>
    </w:p>
    <w:p w14:paraId="37A5DDE1" w14:textId="77777777" w:rsidR="00B83CDD" w:rsidRPr="005976A1" w:rsidRDefault="00B83CDD" w:rsidP="00A34037">
      <w:pPr>
        <w:numPr>
          <w:ilvl w:val="0"/>
          <w:numId w:val="4"/>
        </w:numPr>
        <w:autoSpaceDE w:val="0"/>
        <w:autoSpaceDN w:val="0"/>
        <w:adjustRightInd w:val="0"/>
        <w:spacing w:line="360" w:lineRule="auto"/>
        <w:jc w:val="both"/>
        <w:rPr>
          <w:rFonts w:cs="Calibri"/>
          <w:sz w:val="24"/>
          <w:szCs w:val="24"/>
        </w:rPr>
      </w:pPr>
      <w:r w:rsidRPr="005976A1">
        <w:rPr>
          <w:rFonts w:cs="Calibri"/>
          <w:bCs/>
          <w:sz w:val="24"/>
          <w:szCs w:val="24"/>
        </w:rPr>
        <w:t xml:space="preserve">Krishna, J. V. S.; Koteshwar, D.; Chowdhury, T. H.; Singh, S. P.; Bedja, I.; Islam, A.; Giribabu, L. </w:t>
      </w:r>
      <w:r w:rsidRPr="005976A1">
        <w:rPr>
          <w:rFonts w:cs="Calibri"/>
          <w:sz w:val="24"/>
          <w:szCs w:val="24"/>
        </w:rPr>
        <w:t>Efficient near IR porphyrins containing a</w:t>
      </w:r>
      <w:r w:rsidRPr="005976A1">
        <w:rPr>
          <w:rFonts w:cs="Calibri"/>
          <w:bCs/>
          <w:sz w:val="24"/>
          <w:szCs w:val="24"/>
        </w:rPr>
        <w:t xml:space="preserve"> </w:t>
      </w:r>
      <w:r w:rsidRPr="005976A1">
        <w:rPr>
          <w:rFonts w:cs="Calibri"/>
          <w:sz w:val="24"/>
          <w:szCs w:val="24"/>
        </w:rPr>
        <w:t>triphenylamine-substituted anthryl donating</w:t>
      </w:r>
      <w:r w:rsidRPr="005976A1">
        <w:rPr>
          <w:rFonts w:cs="Calibri"/>
          <w:bCs/>
          <w:sz w:val="24"/>
          <w:szCs w:val="24"/>
        </w:rPr>
        <w:t xml:space="preserve"> </w:t>
      </w:r>
      <w:r w:rsidRPr="005976A1">
        <w:rPr>
          <w:rFonts w:cs="Calibri"/>
          <w:sz w:val="24"/>
          <w:szCs w:val="24"/>
        </w:rPr>
        <w:t xml:space="preserve">group for dye sensitized solar cells. </w:t>
      </w:r>
      <w:r w:rsidRPr="005976A1">
        <w:rPr>
          <w:rFonts w:cs="Calibri"/>
          <w:i/>
          <w:sz w:val="24"/>
          <w:szCs w:val="24"/>
        </w:rPr>
        <w:t>J. Mate. Chem. C</w:t>
      </w:r>
      <w:r w:rsidRPr="005976A1">
        <w:rPr>
          <w:rFonts w:cs="Calibri"/>
          <w:sz w:val="24"/>
          <w:szCs w:val="24"/>
        </w:rPr>
        <w:t xml:space="preserve"> </w:t>
      </w:r>
      <w:r w:rsidRPr="005976A1">
        <w:rPr>
          <w:rFonts w:cs="Calibri"/>
          <w:b/>
          <w:sz w:val="24"/>
          <w:szCs w:val="24"/>
        </w:rPr>
        <w:t>2019</w:t>
      </w:r>
      <w:r w:rsidRPr="005976A1">
        <w:rPr>
          <w:rFonts w:cs="Calibri"/>
          <w:sz w:val="24"/>
          <w:szCs w:val="24"/>
        </w:rPr>
        <w:t xml:space="preserve">, </w:t>
      </w:r>
      <w:r w:rsidRPr="005976A1">
        <w:rPr>
          <w:rFonts w:cs="Calibri"/>
          <w:i/>
          <w:sz w:val="24"/>
          <w:szCs w:val="24"/>
        </w:rPr>
        <w:t>7</w:t>
      </w:r>
      <w:r w:rsidRPr="005976A1">
        <w:rPr>
          <w:rFonts w:cs="Calibri"/>
          <w:sz w:val="24"/>
          <w:szCs w:val="24"/>
        </w:rPr>
        <w:t>, 13594-13605.</w:t>
      </w:r>
    </w:p>
    <w:p w14:paraId="713DD195" w14:textId="77777777" w:rsidR="00B83CDD" w:rsidRPr="005976A1" w:rsidRDefault="00B83CDD" w:rsidP="00A34037">
      <w:pPr>
        <w:numPr>
          <w:ilvl w:val="0"/>
          <w:numId w:val="4"/>
        </w:numPr>
        <w:autoSpaceDE w:val="0"/>
        <w:autoSpaceDN w:val="0"/>
        <w:adjustRightInd w:val="0"/>
        <w:spacing w:line="360" w:lineRule="auto"/>
        <w:jc w:val="both"/>
        <w:rPr>
          <w:rFonts w:cs="Calibri"/>
          <w:bCs/>
          <w:sz w:val="24"/>
          <w:szCs w:val="24"/>
        </w:rPr>
      </w:pPr>
      <w:r w:rsidRPr="005976A1">
        <w:rPr>
          <w:rFonts w:cs="Calibri"/>
          <w:bCs/>
          <w:sz w:val="24"/>
          <w:szCs w:val="24"/>
        </w:rPr>
        <w:t xml:space="preserve">Krishna, J. V. S.; Krishna, N. V.; Chowdhury, T. H.; Singh, S.; Bedja, I.; Islam A.; Giribabu, L. Kinetics of dye regeneration in liquid electrolyte unveils efficiency of 10.5% in dye-sensitized solar cells. </w:t>
      </w:r>
      <w:r w:rsidRPr="005976A1">
        <w:rPr>
          <w:rFonts w:cs="Calibri"/>
          <w:bCs/>
          <w:i/>
          <w:sz w:val="24"/>
          <w:szCs w:val="24"/>
        </w:rPr>
        <w:t>J. Mater. Chem. C</w:t>
      </w:r>
      <w:r w:rsidRPr="005976A1">
        <w:rPr>
          <w:rFonts w:cs="Calibri"/>
          <w:bCs/>
          <w:sz w:val="24"/>
          <w:szCs w:val="24"/>
        </w:rPr>
        <w:t xml:space="preserve">, </w:t>
      </w:r>
      <w:r w:rsidRPr="005976A1">
        <w:rPr>
          <w:rFonts w:cs="Calibri"/>
          <w:b/>
          <w:bCs/>
          <w:sz w:val="24"/>
          <w:szCs w:val="24"/>
        </w:rPr>
        <w:t>2018</w:t>
      </w:r>
      <w:r w:rsidRPr="005976A1">
        <w:rPr>
          <w:rFonts w:cs="Calibri"/>
          <w:bCs/>
          <w:sz w:val="24"/>
          <w:szCs w:val="24"/>
        </w:rPr>
        <w:t xml:space="preserve">, </w:t>
      </w:r>
      <w:r w:rsidRPr="005976A1">
        <w:rPr>
          <w:rFonts w:cs="Calibri"/>
          <w:bCs/>
          <w:i/>
          <w:sz w:val="24"/>
          <w:szCs w:val="24"/>
        </w:rPr>
        <w:t>6</w:t>
      </w:r>
      <w:r w:rsidRPr="005976A1">
        <w:rPr>
          <w:rFonts w:cs="Calibri"/>
          <w:bCs/>
          <w:sz w:val="24"/>
          <w:szCs w:val="24"/>
        </w:rPr>
        <w:t>, 11444-11456.</w:t>
      </w:r>
    </w:p>
    <w:p w14:paraId="6B9E40F4" w14:textId="77777777" w:rsidR="00B83CDD" w:rsidRPr="005976A1" w:rsidRDefault="00B83CDD" w:rsidP="00A34037">
      <w:pPr>
        <w:numPr>
          <w:ilvl w:val="0"/>
          <w:numId w:val="4"/>
        </w:numPr>
        <w:autoSpaceDE w:val="0"/>
        <w:autoSpaceDN w:val="0"/>
        <w:adjustRightInd w:val="0"/>
        <w:spacing w:line="360" w:lineRule="auto"/>
        <w:jc w:val="both"/>
        <w:rPr>
          <w:rFonts w:cs="Calibri"/>
          <w:bCs/>
          <w:sz w:val="24"/>
          <w:szCs w:val="24"/>
        </w:rPr>
      </w:pPr>
      <w:r w:rsidRPr="005976A1">
        <w:rPr>
          <w:rFonts w:cs="Calibri"/>
          <w:bCs/>
          <w:sz w:val="24"/>
          <w:szCs w:val="24"/>
        </w:rPr>
        <w:t>Krishna, N. V.; Krishna, J. V. S.; Singh. S. P.; Giribabu, L.; Han, L.; Bedja, I.; Gupta, R. K.; Islam, A. Donor-π−Acceptor Based Stable Porphyrin Sensitizers for Dye- Sensitized Solar Cells: Effect of π</w:t>
      </w:r>
      <w:r w:rsidRPr="005976A1">
        <w:rPr>
          <w:rFonts w:hAnsi="Times New Roman" w:cs="Calibri"/>
          <w:bCs/>
          <w:sz w:val="24"/>
          <w:szCs w:val="24"/>
        </w:rPr>
        <w:t>‑</w:t>
      </w:r>
      <w:r w:rsidRPr="005976A1">
        <w:rPr>
          <w:rFonts w:cs="Calibri"/>
          <w:bCs/>
          <w:sz w:val="24"/>
          <w:szCs w:val="24"/>
        </w:rPr>
        <w:t xml:space="preserve">Conjugated Spacers. </w:t>
      </w:r>
      <w:r w:rsidRPr="005976A1">
        <w:rPr>
          <w:rFonts w:cs="Calibri"/>
          <w:bCs/>
          <w:i/>
          <w:sz w:val="24"/>
          <w:szCs w:val="24"/>
        </w:rPr>
        <w:t>J. Phys. Chem. C</w:t>
      </w:r>
      <w:r w:rsidRPr="005976A1">
        <w:rPr>
          <w:rFonts w:cs="Calibri"/>
          <w:bCs/>
          <w:sz w:val="24"/>
          <w:szCs w:val="24"/>
        </w:rPr>
        <w:t xml:space="preserve"> </w:t>
      </w:r>
      <w:r w:rsidRPr="005976A1">
        <w:rPr>
          <w:rFonts w:cs="Calibri"/>
          <w:b/>
          <w:bCs/>
          <w:sz w:val="24"/>
          <w:szCs w:val="24"/>
        </w:rPr>
        <w:t>2017</w:t>
      </w:r>
      <w:r w:rsidRPr="005976A1">
        <w:rPr>
          <w:rFonts w:cs="Calibri"/>
          <w:bCs/>
          <w:sz w:val="24"/>
          <w:szCs w:val="24"/>
        </w:rPr>
        <w:t xml:space="preserve">, </w:t>
      </w:r>
      <w:r w:rsidRPr="005976A1">
        <w:rPr>
          <w:rFonts w:cs="Calibri"/>
          <w:bCs/>
          <w:i/>
          <w:sz w:val="24"/>
          <w:szCs w:val="24"/>
        </w:rPr>
        <w:t>121</w:t>
      </w:r>
      <w:r w:rsidRPr="005976A1">
        <w:rPr>
          <w:rFonts w:cs="Calibri"/>
          <w:bCs/>
          <w:sz w:val="24"/>
          <w:szCs w:val="24"/>
        </w:rPr>
        <w:t>, 6464-6477.</w:t>
      </w:r>
    </w:p>
    <w:p w14:paraId="312ECC59" w14:textId="77777777" w:rsidR="005C1115" w:rsidRPr="005976A1" w:rsidRDefault="00FF67BC" w:rsidP="00A34037">
      <w:pPr>
        <w:numPr>
          <w:ilvl w:val="0"/>
          <w:numId w:val="4"/>
        </w:numPr>
        <w:spacing w:after="0" w:line="360" w:lineRule="auto"/>
        <w:jc w:val="both"/>
        <w:rPr>
          <w:rFonts w:cs="Calibri"/>
          <w:bCs/>
          <w:iCs/>
          <w:sz w:val="24"/>
          <w:szCs w:val="24"/>
        </w:rPr>
      </w:pPr>
      <w:r w:rsidRPr="005976A1">
        <w:rPr>
          <w:rFonts w:cs="Calibri"/>
          <w:bCs/>
          <w:sz w:val="24"/>
          <w:szCs w:val="24"/>
        </w:rPr>
        <w:t xml:space="preserve">Krishna, N. V. S.; Krishna, J. V. S.; Singh, S. P.; Giribabu, L.; Islam, A.; Bedja, I. </w:t>
      </w:r>
      <w:r w:rsidRPr="005976A1">
        <w:rPr>
          <w:rFonts w:cs="Calibri"/>
          <w:bCs/>
          <w:iCs/>
          <w:sz w:val="24"/>
          <w:szCs w:val="24"/>
        </w:rPr>
        <w:t xml:space="preserve">Bulky Nature Phenanthroimidazole-Based Porphyrin Sensitizers for Dye-Sensitized Solar Cell Applications. </w:t>
      </w:r>
      <w:r w:rsidRPr="005976A1">
        <w:rPr>
          <w:rFonts w:cs="Calibri"/>
          <w:bCs/>
          <w:i/>
          <w:iCs/>
          <w:sz w:val="24"/>
          <w:szCs w:val="24"/>
        </w:rPr>
        <w:t>J. Phys. Chem. C</w:t>
      </w:r>
      <w:r w:rsidRPr="005976A1">
        <w:rPr>
          <w:rFonts w:cs="Calibri"/>
          <w:bCs/>
          <w:iCs/>
          <w:sz w:val="24"/>
          <w:szCs w:val="24"/>
        </w:rPr>
        <w:t xml:space="preserve"> </w:t>
      </w:r>
      <w:r w:rsidRPr="005976A1">
        <w:rPr>
          <w:rFonts w:cs="Calibri"/>
          <w:b/>
          <w:bCs/>
          <w:iCs/>
          <w:sz w:val="24"/>
          <w:szCs w:val="24"/>
        </w:rPr>
        <w:t>2017</w:t>
      </w:r>
      <w:r w:rsidRPr="005976A1">
        <w:rPr>
          <w:rFonts w:cs="Calibri"/>
          <w:bCs/>
          <w:iCs/>
          <w:sz w:val="24"/>
          <w:szCs w:val="24"/>
        </w:rPr>
        <w:t>, 121, 25691-25704.</w:t>
      </w:r>
    </w:p>
    <w:p w14:paraId="6B6247F9" w14:textId="77777777" w:rsidR="005C1115" w:rsidRPr="005976A1" w:rsidRDefault="009B5C6D" w:rsidP="00A34037">
      <w:pPr>
        <w:numPr>
          <w:ilvl w:val="0"/>
          <w:numId w:val="4"/>
        </w:numPr>
        <w:spacing w:after="0" w:line="360" w:lineRule="auto"/>
        <w:jc w:val="both"/>
        <w:rPr>
          <w:rFonts w:cs="Calibri"/>
          <w:bCs/>
          <w:iCs/>
          <w:sz w:val="24"/>
          <w:szCs w:val="24"/>
        </w:rPr>
      </w:pPr>
      <w:r w:rsidRPr="005976A1">
        <w:rPr>
          <w:rFonts w:cs="Calibri"/>
          <w:bCs/>
          <w:sz w:val="24"/>
          <w:szCs w:val="24"/>
        </w:rPr>
        <w:t xml:space="preserve">Mathew, S.; Yella, A.; Gao, P.; Humphry-Baker, R.; Curchod, B. F. E.; Ashari-Astani, N.; Tavernelli, I.; Rothlis-berger, U.; Nazeeruddin M. K.; Grätzel, M. Dye-sensitized solar cells </w:t>
      </w:r>
      <w:r w:rsidRPr="005976A1">
        <w:rPr>
          <w:rFonts w:cs="Calibri"/>
          <w:bCs/>
          <w:sz w:val="24"/>
          <w:szCs w:val="24"/>
        </w:rPr>
        <w:lastRenderedPageBreak/>
        <w:t xml:space="preserve">with 13% efficiency achieved through the molecular engineering of porphyrin sensitizers, </w:t>
      </w:r>
      <w:r w:rsidRPr="005976A1">
        <w:rPr>
          <w:rFonts w:cs="Calibri"/>
          <w:bCs/>
          <w:i/>
          <w:sz w:val="24"/>
          <w:szCs w:val="24"/>
        </w:rPr>
        <w:t>Nat. Chem</w:t>
      </w:r>
      <w:r w:rsidRPr="005976A1">
        <w:rPr>
          <w:rFonts w:cs="Calibri"/>
          <w:bCs/>
          <w:sz w:val="24"/>
          <w:szCs w:val="24"/>
        </w:rPr>
        <w:t xml:space="preserve">., </w:t>
      </w:r>
      <w:r w:rsidRPr="005976A1">
        <w:rPr>
          <w:rFonts w:cs="Calibri"/>
          <w:b/>
          <w:bCs/>
          <w:sz w:val="24"/>
          <w:szCs w:val="24"/>
        </w:rPr>
        <w:t>2014</w:t>
      </w:r>
      <w:r w:rsidRPr="005976A1">
        <w:rPr>
          <w:rFonts w:cs="Calibri"/>
          <w:bCs/>
          <w:sz w:val="24"/>
          <w:szCs w:val="24"/>
        </w:rPr>
        <w:t xml:space="preserve">, </w:t>
      </w:r>
      <w:r w:rsidRPr="005976A1">
        <w:rPr>
          <w:rFonts w:cs="Calibri"/>
          <w:bCs/>
          <w:i/>
          <w:sz w:val="24"/>
          <w:szCs w:val="24"/>
        </w:rPr>
        <w:t>6</w:t>
      </w:r>
      <w:r w:rsidRPr="005976A1">
        <w:rPr>
          <w:rFonts w:cs="Calibri"/>
          <w:bCs/>
          <w:sz w:val="24"/>
          <w:szCs w:val="24"/>
        </w:rPr>
        <w:t>, 242–247.</w:t>
      </w:r>
    </w:p>
    <w:p w14:paraId="34700CE6" w14:textId="77777777" w:rsidR="005C1115" w:rsidRPr="005976A1" w:rsidRDefault="005C1115" w:rsidP="00A34037">
      <w:pPr>
        <w:numPr>
          <w:ilvl w:val="0"/>
          <w:numId w:val="4"/>
        </w:numPr>
        <w:spacing w:after="0" w:line="360" w:lineRule="auto"/>
        <w:jc w:val="both"/>
        <w:rPr>
          <w:rFonts w:cs="Calibri"/>
          <w:bCs/>
          <w:sz w:val="24"/>
          <w:szCs w:val="24"/>
        </w:rPr>
      </w:pPr>
      <w:r w:rsidRPr="005976A1">
        <w:rPr>
          <w:rFonts w:cs="Calibri"/>
          <w:bCs/>
          <w:sz w:val="24"/>
          <w:szCs w:val="24"/>
        </w:rPr>
        <w:t>Kang, M. S.; Choi, I. T.; Kim, Y. W.; You, B. S.; Kang, S. H.; Hong, J. Y.; Ju,</w:t>
      </w:r>
      <w:r w:rsidR="007C4798" w:rsidRPr="005976A1">
        <w:rPr>
          <w:rFonts w:cs="Calibri"/>
          <w:bCs/>
          <w:sz w:val="24"/>
          <w:szCs w:val="24"/>
        </w:rPr>
        <w:t xml:space="preserve"> M. J.;</w:t>
      </w:r>
      <w:r w:rsidR="007C4798" w:rsidRPr="005976A1">
        <w:rPr>
          <w:rFonts w:cs="Calibri"/>
          <w:bCs/>
          <w:iCs/>
          <w:sz w:val="24"/>
          <w:szCs w:val="24"/>
        </w:rPr>
        <w:t xml:space="preserve"> </w:t>
      </w:r>
      <w:r w:rsidRPr="005976A1">
        <w:rPr>
          <w:rFonts w:cs="Calibri"/>
          <w:bCs/>
          <w:sz w:val="24"/>
          <w:szCs w:val="24"/>
        </w:rPr>
        <w:t xml:space="preserve">Kim, </w:t>
      </w:r>
      <w:r w:rsidR="007C4798" w:rsidRPr="005976A1">
        <w:rPr>
          <w:rFonts w:cs="Calibri"/>
          <w:bCs/>
          <w:sz w:val="24"/>
          <w:szCs w:val="24"/>
        </w:rPr>
        <w:t xml:space="preserve">H. K.  Novel D–π–A structured Zn(II)–porphyrin dyes with bulky fluorenyl substituted electron donor moieties for dye-sensitized solar cells. </w:t>
      </w:r>
      <w:r w:rsidRPr="005976A1">
        <w:rPr>
          <w:rFonts w:cs="Calibri"/>
          <w:bCs/>
          <w:i/>
          <w:sz w:val="24"/>
          <w:szCs w:val="24"/>
        </w:rPr>
        <w:t>J. Mater. Chem. A</w:t>
      </w:r>
      <w:r w:rsidRPr="005976A1">
        <w:rPr>
          <w:rFonts w:cs="Calibri"/>
          <w:bCs/>
          <w:sz w:val="24"/>
          <w:szCs w:val="24"/>
        </w:rPr>
        <w:t xml:space="preserve"> </w:t>
      </w:r>
      <w:r w:rsidRPr="005976A1">
        <w:rPr>
          <w:rFonts w:cs="Calibri"/>
          <w:b/>
          <w:bCs/>
          <w:sz w:val="24"/>
          <w:szCs w:val="24"/>
        </w:rPr>
        <w:t>2013</w:t>
      </w:r>
      <w:r w:rsidRPr="005976A1">
        <w:rPr>
          <w:rFonts w:cs="Calibri"/>
          <w:bCs/>
          <w:sz w:val="24"/>
          <w:szCs w:val="24"/>
        </w:rPr>
        <w:t xml:space="preserve">, </w:t>
      </w:r>
      <w:r w:rsidRPr="005976A1">
        <w:rPr>
          <w:rFonts w:cs="Calibri"/>
          <w:bCs/>
          <w:i/>
          <w:sz w:val="24"/>
          <w:szCs w:val="24"/>
        </w:rPr>
        <w:t>1</w:t>
      </w:r>
      <w:r w:rsidRPr="005976A1">
        <w:rPr>
          <w:rFonts w:cs="Calibri"/>
          <w:bCs/>
          <w:sz w:val="24"/>
          <w:szCs w:val="24"/>
        </w:rPr>
        <w:t>, 9848–9852.</w:t>
      </w:r>
    </w:p>
    <w:p w14:paraId="49ABADB1" w14:textId="77777777" w:rsidR="0087035A" w:rsidRPr="005976A1" w:rsidRDefault="0087035A" w:rsidP="00A34037">
      <w:pPr>
        <w:numPr>
          <w:ilvl w:val="0"/>
          <w:numId w:val="4"/>
        </w:numPr>
        <w:spacing w:after="0" w:line="360" w:lineRule="auto"/>
        <w:jc w:val="both"/>
        <w:rPr>
          <w:rFonts w:cs="Calibri"/>
          <w:sz w:val="24"/>
          <w:szCs w:val="24"/>
        </w:rPr>
      </w:pPr>
      <w:r w:rsidRPr="005976A1">
        <w:rPr>
          <w:rFonts w:cs="Calibri"/>
          <w:bCs/>
          <w:sz w:val="24"/>
          <w:szCs w:val="24"/>
        </w:rPr>
        <w:t xml:space="preserve">Tamba, S.; Fuji, R.; Mori, A.; Hara, K.; Koumura, N. </w:t>
      </w:r>
      <w:r w:rsidRPr="005976A1">
        <w:rPr>
          <w:rFonts w:cs="Calibri"/>
          <w:sz w:val="24"/>
          <w:szCs w:val="24"/>
        </w:rPr>
        <w:t>Synthesis and Properties of Seleno-analog MK-organic Dye for Photovoltaic Cells Prepared</w:t>
      </w:r>
      <w:r w:rsidRPr="005976A1">
        <w:rPr>
          <w:rFonts w:cs="Calibri"/>
          <w:bCs/>
          <w:sz w:val="24"/>
          <w:szCs w:val="24"/>
        </w:rPr>
        <w:t xml:space="preserve"> </w:t>
      </w:r>
      <w:r w:rsidRPr="005976A1">
        <w:rPr>
          <w:rFonts w:cs="Calibri"/>
          <w:sz w:val="24"/>
          <w:szCs w:val="24"/>
        </w:rPr>
        <w:t xml:space="preserve">by CH Functionalization Reactions of Selenophene Derivatives. </w:t>
      </w:r>
      <w:r w:rsidRPr="005976A1">
        <w:rPr>
          <w:rFonts w:cs="Calibri"/>
          <w:i/>
          <w:sz w:val="24"/>
          <w:szCs w:val="24"/>
        </w:rPr>
        <w:t>Chem. Lett</w:t>
      </w:r>
      <w:r w:rsidRPr="005976A1">
        <w:rPr>
          <w:rFonts w:cs="Calibri"/>
          <w:sz w:val="24"/>
          <w:szCs w:val="24"/>
        </w:rPr>
        <w:t xml:space="preserve">., </w:t>
      </w:r>
      <w:r w:rsidRPr="005976A1">
        <w:rPr>
          <w:rFonts w:cs="Calibri"/>
          <w:b/>
          <w:sz w:val="24"/>
          <w:szCs w:val="24"/>
        </w:rPr>
        <w:t>2011</w:t>
      </w:r>
      <w:r w:rsidRPr="005976A1">
        <w:rPr>
          <w:rFonts w:cs="Calibri"/>
          <w:sz w:val="24"/>
          <w:szCs w:val="24"/>
        </w:rPr>
        <w:t xml:space="preserve">, </w:t>
      </w:r>
      <w:r w:rsidRPr="005976A1">
        <w:rPr>
          <w:rFonts w:cs="Calibri"/>
          <w:i/>
          <w:sz w:val="24"/>
          <w:szCs w:val="24"/>
        </w:rPr>
        <w:t>40</w:t>
      </w:r>
      <w:r w:rsidRPr="005976A1">
        <w:rPr>
          <w:rFonts w:cs="Calibri"/>
          <w:sz w:val="24"/>
          <w:szCs w:val="24"/>
        </w:rPr>
        <w:t>, 922-924.</w:t>
      </w:r>
    </w:p>
    <w:p w14:paraId="5A334CD8" w14:textId="77777777" w:rsidR="0087035A" w:rsidRPr="005976A1" w:rsidRDefault="0087035A" w:rsidP="00A34037">
      <w:pPr>
        <w:numPr>
          <w:ilvl w:val="0"/>
          <w:numId w:val="4"/>
        </w:numPr>
        <w:spacing w:after="0" w:line="360" w:lineRule="auto"/>
        <w:jc w:val="both"/>
        <w:rPr>
          <w:rFonts w:cs="Calibri"/>
          <w:bCs/>
          <w:sz w:val="24"/>
          <w:szCs w:val="24"/>
        </w:rPr>
      </w:pPr>
      <w:r w:rsidRPr="005976A1">
        <w:rPr>
          <w:rFonts w:cs="Calibri"/>
          <w:sz w:val="24"/>
          <w:szCs w:val="24"/>
        </w:rPr>
        <w:t xml:space="preserve">Li, R.; Lv, X.; Shi, D.; Zhou, D.; Cheng, Y.; Zhang, G.; Wang, P.  </w:t>
      </w:r>
      <w:r w:rsidRPr="005976A1">
        <w:rPr>
          <w:rFonts w:cs="Calibri"/>
          <w:bCs/>
          <w:sz w:val="24"/>
          <w:szCs w:val="24"/>
        </w:rPr>
        <w:t>Dye-Sensitized Solar Cells Based on Organic Sensitizers with Different Conjugated Linkers:</w:t>
      </w:r>
      <w:r w:rsidRPr="005976A1">
        <w:rPr>
          <w:rFonts w:cs="Calibri"/>
          <w:sz w:val="24"/>
          <w:szCs w:val="24"/>
        </w:rPr>
        <w:t xml:space="preserve"> </w:t>
      </w:r>
      <w:r w:rsidRPr="005976A1">
        <w:rPr>
          <w:rFonts w:cs="Calibri"/>
          <w:bCs/>
          <w:sz w:val="24"/>
          <w:szCs w:val="24"/>
        </w:rPr>
        <w:t xml:space="preserve">Furan, Bifuran, Thiophene, Bithiophene, Selenophene, and Biselenophene. </w:t>
      </w:r>
      <w:r w:rsidRPr="005976A1">
        <w:rPr>
          <w:rFonts w:cs="Calibri"/>
          <w:bCs/>
          <w:i/>
          <w:sz w:val="24"/>
          <w:szCs w:val="24"/>
        </w:rPr>
        <w:t>J. Phys. Chem. C</w:t>
      </w:r>
      <w:r w:rsidRPr="005976A1">
        <w:rPr>
          <w:rFonts w:cs="Calibri"/>
          <w:bCs/>
          <w:sz w:val="24"/>
          <w:szCs w:val="24"/>
        </w:rPr>
        <w:t xml:space="preserve"> </w:t>
      </w:r>
      <w:r w:rsidRPr="005976A1">
        <w:rPr>
          <w:rFonts w:cs="Calibri"/>
          <w:b/>
          <w:bCs/>
          <w:sz w:val="24"/>
          <w:szCs w:val="24"/>
        </w:rPr>
        <w:t>2009</w:t>
      </w:r>
      <w:r w:rsidRPr="005976A1">
        <w:rPr>
          <w:rFonts w:cs="Calibri"/>
          <w:bCs/>
          <w:sz w:val="24"/>
          <w:szCs w:val="24"/>
        </w:rPr>
        <w:t xml:space="preserve">, </w:t>
      </w:r>
      <w:r w:rsidRPr="005976A1">
        <w:rPr>
          <w:rFonts w:cs="Calibri"/>
          <w:bCs/>
          <w:i/>
          <w:sz w:val="24"/>
          <w:szCs w:val="24"/>
        </w:rPr>
        <w:t>113</w:t>
      </w:r>
      <w:r w:rsidRPr="005976A1">
        <w:rPr>
          <w:rFonts w:cs="Calibri"/>
          <w:bCs/>
          <w:sz w:val="24"/>
          <w:szCs w:val="24"/>
        </w:rPr>
        <w:t>, 7469-7479.</w:t>
      </w:r>
    </w:p>
    <w:p w14:paraId="7D17E9BC" w14:textId="77777777" w:rsidR="00B83CDD" w:rsidRPr="005976A1" w:rsidRDefault="00AF141E" w:rsidP="00A34037">
      <w:pPr>
        <w:numPr>
          <w:ilvl w:val="0"/>
          <w:numId w:val="4"/>
        </w:numPr>
        <w:spacing w:after="0" w:line="360" w:lineRule="auto"/>
        <w:jc w:val="both"/>
        <w:rPr>
          <w:rFonts w:cs="Calibri"/>
          <w:sz w:val="24"/>
          <w:szCs w:val="24"/>
        </w:rPr>
      </w:pPr>
      <w:r w:rsidRPr="005976A1">
        <w:rPr>
          <w:rFonts w:cs="Calibri"/>
          <w:bCs/>
          <w:sz w:val="24"/>
          <w:szCs w:val="24"/>
        </w:rPr>
        <w:t xml:space="preserve">Mataga, N.; Shibata, Y.; Chosrowjan, H. </w:t>
      </w:r>
      <w:r w:rsidRPr="005976A1">
        <w:rPr>
          <w:rFonts w:cs="Calibri"/>
          <w:sz w:val="24"/>
          <w:szCs w:val="24"/>
        </w:rPr>
        <w:t xml:space="preserve">Internal Conversion and Vibronic Relaxation from Higher Excited Electronic State ofPorphyrins:  Femtosecond Fluorescence Dynamics Studies. </w:t>
      </w:r>
      <w:r w:rsidRPr="005976A1">
        <w:rPr>
          <w:rFonts w:cs="Calibri"/>
          <w:i/>
          <w:sz w:val="24"/>
          <w:szCs w:val="24"/>
        </w:rPr>
        <w:t>J. Phys. Chem. B</w:t>
      </w:r>
      <w:r w:rsidRPr="005976A1">
        <w:rPr>
          <w:rFonts w:cs="Calibri"/>
          <w:sz w:val="24"/>
          <w:szCs w:val="24"/>
        </w:rPr>
        <w:t xml:space="preserve"> </w:t>
      </w:r>
      <w:r w:rsidRPr="005976A1">
        <w:rPr>
          <w:rFonts w:cs="Calibri"/>
          <w:b/>
          <w:sz w:val="24"/>
          <w:szCs w:val="24"/>
        </w:rPr>
        <w:t>2000</w:t>
      </w:r>
      <w:r w:rsidRPr="005976A1">
        <w:rPr>
          <w:rFonts w:cs="Calibri"/>
          <w:sz w:val="24"/>
          <w:szCs w:val="24"/>
        </w:rPr>
        <w:t xml:space="preserve">, </w:t>
      </w:r>
      <w:r w:rsidRPr="005976A1">
        <w:rPr>
          <w:rFonts w:cs="Calibri"/>
          <w:i/>
          <w:sz w:val="24"/>
          <w:szCs w:val="24"/>
        </w:rPr>
        <w:t>104</w:t>
      </w:r>
      <w:r w:rsidRPr="005976A1">
        <w:rPr>
          <w:rFonts w:cs="Calibri"/>
          <w:sz w:val="24"/>
          <w:szCs w:val="24"/>
        </w:rPr>
        <w:t xml:space="preserve">, 4001-4004. </w:t>
      </w:r>
    </w:p>
    <w:p w14:paraId="196EC763" w14:textId="77777777" w:rsidR="00E70B2E" w:rsidRPr="005976A1" w:rsidRDefault="00E70B2E" w:rsidP="00A34037">
      <w:pPr>
        <w:numPr>
          <w:ilvl w:val="0"/>
          <w:numId w:val="4"/>
        </w:numPr>
        <w:spacing w:after="0" w:line="360" w:lineRule="auto"/>
        <w:jc w:val="both"/>
        <w:rPr>
          <w:rFonts w:cs="Calibri"/>
          <w:sz w:val="24"/>
          <w:szCs w:val="24"/>
        </w:rPr>
      </w:pPr>
      <w:r w:rsidRPr="005976A1">
        <w:rPr>
          <w:rFonts w:cs="Calibri"/>
          <w:sz w:val="24"/>
          <w:szCs w:val="24"/>
        </w:rPr>
        <w:t xml:space="preserve">McCall, K. L.; Jennings, J. R.; Wang, H.; Morandeira, A.; Peter, L. M.; Durrant, J. R.; Yellowlees, L. J.; Woollins J. D.; ; Robertson, N.  </w:t>
      </w:r>
      <w:r w:rsidRPr="005976A1">
        <w:rPr>
          <w:rFonts w:cs="Calibri"/>
          <w:bCs/>
          <w:sz w:val="24"/>
          <w:szCs w:val="24"/>
        </w:rPr>
        <w:t xml:space="preserve">Novel ruthenium bipyridyl dyes with S-donor ligands and their application in dye-sensitized solar cells. </w:t>
      </w:r>
      <w:r w:rsidRPr="005976A1">
        <w:rPr>
          <w:rFonts w:cs="Calibri"/>
          <w:i/>
          <w:sz w:val="24"/>
          <w:szCs w:val="24"/>
        </w:rPr>
        <w:t>J. Photochemistry and Photobiology A: Chem.</w:t>
      </w:r>
      <w:r w:rsidRPr="005976A1">
        <w:rPr>
          <w:rFonts w:cs="Calibri"/>
          <w:sz w:val="24"/>
          <w:szCs w:val="24"/>
        </w:rPr>
        <w:t xml:space="preserve">, </w:t>
      </w:r>
      <w:r w:rsidRPr="005976A1">
        <w:rPr>
          <w:rFonts w:cs="Calibri"/>
          <w:b/>
          <w:sz w:val="24"/>
          <w:szCs w:val="24"/>
        </w:rPr>
        <w:t>2009</w:t>
      </w:r>
      <w:r w:rsidRPr="005976A1">
        <w:rPr>
          <w:rFonts w:cs="Calibri"/>
          <w:sz w:val="24"/>
          <w:szCs w:val="24"/>
        </w:rPr>
        <w:t xml:space="preserve">, </w:t>
      </w:r>
      <w:r w:rsidRPr="005976A1">
        <w:rPr>
          <w:rFonts w:cs="Calibri"/>
          <w:i/>
          <w:sz w:val="24"/>
          <w:szCs w:val="24"/>
        </w:rPr>
        <w:t>202</w:t>
      </w:r>
      <w:r w:rsidRPr="005976A1">
        <w:rPr>
          <w:rFonts w:cs="Calibri"/>
          <w:sz w:val="24"/>
          <w:szCs w:val="24"/>
        </w:rPr>
        <w:t xml:space="preserve">, 196-204. </w:t>
      </w:r>
    </w:p>
    <w:p w14:paraId="49E3DEA1" w14:textId="77777777" w:rsidR="00D04959" w:rsidRPr="005976A1" w:rsidRDefault="00D04959" w:rsidP="00A34037">
      <w:pPr>
        <w:numPr>
          <w:ilvl w:val="0"/>
          <w:numId w:val="4"/>
        </w:numPr>
        <w:spacing w:after="0" w:line="360" w:lineRule="auto"/>
        <w:jc w:val="both"/>
        <w:rPr>
          <w:rFonts w:cs="Calibri"/>
          <w:bCs/>
          <w:sz w:val="24"/>
          <w:szCs w:val="24"/>
        </w:rPr>
      </w:pPr>
      <w:r w:rsidRPr="005976A1">
        <w:rPr>
          <w:rFonts w:cs="Calibri"/>
          <w:bCs/>
          <w:sz w:val="24"/>
          <w:szCs w:val="24"/>
        </w:rPr>
        <w:t xml:space="preserve">Karthikeyan S.; Lee, J. Y. Zinc-Porphyrin Based Dyes for Dye-Sensitized Solar Cells. </w:t>
      </w:r>
      <w:r w:rsidRPr="005976A1">
        <w:rPr>
          <w:rFonts w:cs="Calibri"/>
          <w:bCs/>
          <w:i/>
          <w:sz w:val="24"/>
          <w:szCs w:val="24"/>
        </w:rPr>
        <w:t>J. Phys. Chem. A</w:t>
      </w:r>
      <w:r w:rsidRPr="005976A1">
        <w:rPr>
          <w:rFonts w:cs="Calibri"/>
          <w:bCs/>
          <w:sz w:val="24"/>
          <w:szCs w:val="24"/>
        </w:rPr>
        <w:t xml:space="preserve">, </w:t>
      </w:r>
      <w:r w:rsidRPr="005976A1">
        <w:rPr>
          <w:rFonts w:cs="Calibri"/>
          <w:b/>
          <w:bCs/>
          <w:sz w:val="24"/>
          <w:szCs w:val="24"/>
        </w:rPr>
        <w:t>2013</w:t>
      </w:r>
      <w:r w:rsidRPr="005976A1">
        <w:rPr>
          <w:rFonts w:cs="Calibri"/>
          <w:bCs/>
          <w:sz w:val="24"/>
          <w:szCs w:val="24"/>
        </w:rPr>
        <w:t xml:space="preserve">, </w:t>
      </w:r>
      <w:r w:rsidRPr="005976A1">
        <w:rPr>
          <w:rFonts w:cs="Calibri"/>
          <w:bCs/>
          <w:i/>
          <w:sz w:val="24"/>
          <w:szCs w:val="24"/>
        </w:rPr>
        <w:t>117</w:t>
      </w:r>
      <w:r w:rsidRPr="005976A1">
        <w:rPr>
          <w:rFonts w:cs="Calibri"/>
          <w:bCs/>
          <w:sz w:val="24"/>
          <w:szCs w:val="24"/>
        </w:rPr>
        <w:t>, 10973-10979.</w:t>
      </w:r>
    </w:p>
    <w:p w14:paraId="45E0B322" w14:textId="77777777" w:rsidR="00D04959" w:rsidRPr="005976A1" w:rsidRDefault="00D04959" w:rsidP="00A34037">
      <w:pPr>
        <w:numPr>
          <w:ilvl w:val="0"/>
          <w:numId w:val="4"/>
        </w:numPr>
        <w:spacing w:after="0" w:line="360" w:lineRule="auto"/>
        <w:jc w:val="both"/>
        <w:rPr>
          <w:rFonts w:cs="Calibri"/>
          <w:bCs/>
          <w:sz w:val="24"/>
          <w:szCs w:val="24"/>
        </w:rPr>
      </w:pPr>
      <w:r w:rsidRPr="005976A1">
        <w:rPr>
          <w:rFonts w:cs="Calibri"/>
          <w:bCs/>
          <w:sz w:val="24"/>
          <w:szCs w:val="24"/>
        </w:rPr>
        <w:t xml:space="preserve">Wang, Z.; Day P. N.; Pachter, R. Density functional theory studies of mesomeso-alkynyl porphyrins. </w:t>
      </w:r>
      <w:r w:rsidRPr="005976A1">
        <w:rPr>
          <w:rFonts w:cs="Calibri"/>
          <w:bCs/>
          <w:i/>
          <w:sz w:val="24"/>
          <w:szCs w:val="24"/>
        </w:rPr>
        <w:t>J. Chem.Phys.</w:t>
      </w:r>
      <w:r w:rsidRPr="005976A1">
        <w:rPr>
          <w:rFonts w:cs="Calibri"/>
          <w:bCs/>
          <w:sz w:val="24"/>
          <w:szCs w:val="24"/>
        </w:rPr>
        <w:t xml:space="preserve">, </w:t>
      </w:r>
      <w:r w:rsidRPr="005976A1">
        <w:rPr>
          <w:rFonts w:cs="Calibri"/>
          <w:b/>
          <w:bCs/>
          <w:sz w:val="24"/>
          <w:szCs w:val="24"/>
        </w:rPr>
        <w:t>1998</w:t>
      </w:r>
      <w:r w:rsidRPr="005976A1">
        <w:rPr>
          <w:rFonts w:cs="Calibri"/>
          <w:bCs/>
          <w:sz w:val="24"/>
          <w:szCs w:val="24"/>
        </w:rPr>
        <w:t xml:space="preserve">, </w:t>
      </w:r>
      <w:r w:rsidRPr="005976A1">
        <w:rPr>
          <w:rFonts w:cs="Calibri"/>
          <w:bCs/>
          <w:i/>
          <w:sz w:val="24"/>
          <w:szCs w:val="24"/>
        </w:rPr>
        <w:t>108</w:t>
      </w:r>
      <w:r w:rsidRPr="005976A1">
        <w:rPr>
          <w:rFonts w:cs="Calibri"/>
          <w:bCs/>
          <w:sz w:val="24"/>
          <w:szCs w:val="24"/>
        </w:rPr>
        <w:t>, 2504-2510.</w:t>
      </w:r>
    </w:p>
    <w:p w14:paraId="584507BA" w14:textId="77777777" w:rsidR="00D04959" w:rsidRPr="005976A1" w:rsidRDefault="00D04959" w:rsidP="00A34037">
      <w:pPr>
        <w:numPr>
          <w:ilvl w:val="0"/>
          <w:numId w:val="4"/>
        </w:numPr>
        <w:spacing w:after="0" w:line="360" w:lineRule="auto"/>
        <w:jc w:val="both"/>
        <w:rPr>
          <w:rFonts w:cs="Calibri"/>
          <w:bCs/>
          <w:sz w:val="24"/>
          <w:szCs w:val="24"/>
        </w:rPr>
      </w:pPr>
      <w:r w:rsidRPr="005976A1">
        <w:rPr>
          <w:rFonts w:cs="Calibri"/>
          <w:bCs/>
          <w:sz w:val="24"/>
          <w:szCs w:val="24"/>
        </w:rPr>
        <w:t xml:space="preserve">Chen, J.; Gao, Y.; Xu, Y.; Xu, F.; Zhang, Q.; Lu, X. Theoretical study of novel porphyrin D-π-A conjugated organic dye sensitizer in solar cells. </w:t>
      </w:r>
      <w:r w:rsidRPr="005976A1">
        <w:rPr>
          <w:rFonts w:cs="Calibri"/>
          <w:bCs/>
          <w:i/>
          <w:sz w:val="24"/>
          <w:szCs w:val="24"/>
        </w:rPr>
        <w:t>Mater. Chem. Phys.</w:t>
      </w:r>
      <w:r w:rsidRPr="005976A1">
        <w:rPr>
          <w:rFonts w:cs="Calibri"/>
          <w:bCs/>
          <w:sz w:val="24"/>
          <w:szCs w:val="24"/>
        </w:rPr>
        <w:t xml:space="preserve">, </w:t>
      </w:r>
      <w:r w:rsidRPr="005976A1">
        <w:rPr>
          <w:rFonts w:cs="Calibri"/>
          <w:b/>
          <w:bCs/>
          <w:sz w:val="24"/>
          <w:szCs w:val="24"/>
        </w:rPr>
        <w:t>2019</w:t>
      </w:r>
      <w:r w:rsidRPr="005976A1">
        <w:rPr>
          <w:rFonts w:cs="Calibri"/>
          <w:bCs/>
          <w:sz w:val="24"/>
          <w:szCs w:val="24"/>
        </w:rPr>
        <w:t xml:space="preserve">, </w:t>
      </w:r>
      <w:r w:rsidRPr="005976A1">
        <w:rPr>
          <w:rFonts w:cs="Calibri"/>
          <w:bCs/>
          <w:i/>
          <w:sz w:val="24"/>
          <w:szCs w:val="24"/>
        </w:rPr>
        <w:t>225</w:t>
      </w:r>
      <w:r w:rsidRPr="005976A1">
        <w:rPr>
          <w:rFonts w:cs="Calibri"/>
          <w:bCs/>
          <w:sz w:val="24"/>
          <w:szCs w:val="24"/>
        </w:rPr>
        <w:t>, 417-425.</w:t>
      </w:r>
    </w:p>
    <w:p w14:paraId="6B464562" w14:textId="77777777" w:rsidR="00D5007F" w:rsidRPr="005976A1" w:rsidRDefault="00D5007F" w:rsidP="00A34037">
      <w:pPr>
        <w:numPr>
          <w:ilvl w:val="0"/>
          <w:numId w:val="4"/>
        </w:numPr>
        <w:spacing w:after="0" w:line="360" w:lineRule="auto"/>
        <w:jc w:val="both"/>
        <w:rPr>
          <w:rFonts w:cs="Calibri"/>
          <w:bCs/>
          <w:sz w:val="24"/>
          <w:szCs w:val="24"/>
        </w:rPr>
      </w:pPr>
      <w:r w:rsidRPr="005976A1">
        <w:rPr>
          <w:rFonts w:cs="Calibri"/>
          <w:bCs/>
          <w:sz w:val="24"/>
          <w:szCs w:val="24"/>
        </w:rPr>
        <w:t xml:space="preserve">Gangadhar, P. S.; Jagadeesh, A.; George, A. S.; Reddy, G.; Prasanthkumar, S.; Soman, S.; Giribabu, L. An investigation into the origin of variations in photovoltaic performance using D–D–π–A and D–A–π–A triphenylimidazole dyes with a copper electrolyte. </w:t>
      </w:r>
      <w:r w:rsidRPr="005976A1">
        <w:rPr>
          <w:rFonts w:cs="Calibri"/>
          <w:bCs/>
          <w:i/>
          <w:sz w:val="24"/>
          <w:szCs w:val="24"/>
        </w:rPr>
        <w:t>Mol. Syst. Des. Eng</w:t>
      </w:r>
      <w:r w:rsidRPr="005976A1">
        <w:rPr>
          <w:rFonts w:cs="Calibri"/>
          <w:bCs/>
          <w:sz w:val="24"/>
          <w:szCs w:val="24"/>
        </w:rPr>
        <w:t xml:space="preserve">. </w:t>
      </w:r>
      <w:r w:rsidRPr="005976A1">
        <w:rPr>
          <w:rFonts w:cs="Calibri"/>
          <w:b/>
          <w:bCs/>
          <w:sz w:val="24"/>
          <w:szCs w:val="24"/>
        </w:rPr>
        <w:t>2021</w:t>
      </w:r>
      <w:r w:rsidRPr="005976A1">
        <w:rPr>
          <w:rFonts w:cs="Calibri"/>
          <w:bCs/>
          <w:sz w:val="24"/>
          <w:szCs w:val="24"/>
        </w:rPr>
        <w:t xml:space="preserve">, </w:t>
      </w:r>
      <w:r w:rsidRPr="005976A1">
        <w:rPr>
          <w:rFonts w:cs="Calibri"/>
          <w:bCs/>
          <w:i/>
          <w:sz w:val="24"/>
          <w:szCs w:val="24"/>
        </w:rPr>
        <w:t>6</w:t>
      </w:r>
      <w:r w:rsidRPr="005976A1">
        <w:rPr>
          <w:rFonts w:cs="Calibri"/>
          <w:bCs/>
          <w:sz w:val="24"/>
          <w:szCs w:val="24"/>
        </w:rPr>
        <w:t>, 779-789.</w:t>
      </w:r>
    </w:p>
    <w:p w14:paraId="01E0A024" w14:textId="77777777" w:rsidR="009703B6" w:rsidRPr="005976A1" w:rsidRDefault="009703B6" w:rsidP="00A34037">
      <w:pPr>
        <w:numPr>
          <w:ilvl w:val="0"/>
          <w:numId w:val="4"/>
        </w:numPr>
        <w:spacing w:after="0" w:line="360" w:lineRule="auto"/>
        <w:jc w:val="both"/>
        <w:rPr>
          <w:rFonts w:cs="Calibri"/>
          <w:bCs/>
          <w:sz w:val="24"/>
          <w:szCs w:val="24"/>
        </w:rPr>
      </w:pPr>
      <w:r w:rsidRPr="005976A1">
        <w:rPr>
          <w:rFonts w:cs="Calibri"/>
          <w:bCs/>
          <w:sz w:val="24"/>
          <w:szCs w:val="24"/>
        </w:rPr>
        <w:lastRenderedPageBreak/>
        <w:t>Huang, S. Y.; Schlichtho</w:t>
      </w:r>
      <w:r w:rsidRPr="005976A1">
        <w:rPr>
          <w:rFonts w:eastAsia="MS Gothic" w:cs="Calibri"/>
          <w:bCs/>
          <w:sz w:val="24"/>
          <w:szCs w:val="24"/>
        </w:rPr>
        <w:t>̈</w:t>
      </w:r>
      <w:r w:rsidRPr="005976A1">
        <w:rPr>
          <w:rFonts w:cs="Calibri"/>
          <w:bCs/>
          <w:sz w:val="24"/>
          <w:szCs w:val="24"/>
        </w:rPr>
        <w:t>rl, G.; Nozik, A. J.; Gra</w:t>
      </w:r>
      <w:r w:rsidRPr="005976A1">
        <w:rPr>
          <w:rFonts w:eastAsia="MS Gothic" w:cs="Calibri"/>
          <w:bCs/>
          <w:sz w:val="24"/>
          <w:szCs w:val="24"/>
        </w:rPr>
        <w:t>̈</w:t>
      </w:r>
      <w:r w:rsidRPr="005976A1">
        <w:rPr>
          <w:rFonts w:cs="Calibri"/>
          <w:bCs/>
          <w:sz w:val="24"/>
          <w:szCs w:val="24"/>
        </w:rPr>
        <w:t>tzel, M.; Frank, A. J. Charge Recombination in Dye-Sensitized Nanocrystalline TiO</w:t>
      </w:r>
      <w:r w:rsidRPr="005976A1">
        <w:rPr>
          <w:rFonts w:cs="Calibri"/>
          <w:bCs/>
          <w:sz w:val="24"/>
          <w:szCs w:val="24"/>
          <w:vertAlign w:val="subscript"/>
        </w:rPr>
        <w:t>2</w:t>
      </w:r>
      <w:r w:rsidRPr="005976A1">
        <w:rPr>
          <w:rFonts w:cs="Calibri"/>
          <w:bCs/>
          <w:sz w:val="24"/>
          <w:szCs w:val="24"/>
        </w:rPr>
        <w:t xml:space="preserve"> Solar Cells. </w:t>
      </w:r>
      <w:r w:rsidRPr="005976A1">
        <w:rPr>
          <w:rFonts w:cs="Calibri"/>
          <w:bCs/>
          <w:i/>
          <w:sz w:val="24"/>
          <w:szCs w:val="24"/>
        </w:rPr>
        <w:t>J. Phys. Chem. B</w:t>
      </w:r>
      <w:r w:rsidRPr="005976A1">
        <w:rPr>
          <w:rFonts w:cs="Calibri"/>
          <w:bCs/>
          <w:sz w:val="24"/>
          <w:szCs w:val="24"/>
        </w:rPr>
        <w:t xml:space="preserve"> </w:t>
      </w:r>
      <w:r w:rsidRPr="005976A1">
        <w:rPr>
          <w:rFonts w:cs="Calibri"/>
          <w:b/>
          <w:bCs/>
          <w:sz w:val="24"/>
          <w:szCs w:val="24"/>
        </w:rPr>
        <w:t>1997</w:t>
      </w:r>
      <w:r w:rsidRPr="005976A1">
        <w:rPr>
          <w:rFonts w:cs="Calibri"/>
          <w:bCs/>
          <w:sz w:val="24"/>
          <w:szCs w:val="24"/>
        </w:rPr>
        <w:t xml:space="preserve">, </w:t>
      </w:r>
      <w:r w:rsidRPr="005976A1">
        <w:rPr>
          <w:rFonts w:cs="Calibri"/>
          <w:bCs/>
          <w:i/>
          <w:sz w:val="24"/>
          <w:szCs w:val="24"/>
        </w:rPr>
        <w:t>101</w:t>
      </w:r>
      <w:r w:rsidRPr="005976A1">
        <w:rPr>
          <w:rFonts w:cs="Calibri"/>
          <w:bCs/>
          <w:sz w:val="24"/>
          <w:szCs w:val="24"/>
        </w:rPr>
        <w:t>, 2576−2582.</w:t>
      </w:r>
    </w:p>
    <w:p w14:paraId="216C28F9" w14:textId="77777777" w:rsidR="00253D34" w:rsidRPr="005976A1" w:rsidRDefault="00253D34" w:rsidP="00A34037">
      <w:pPr>
        <w:numPr>
          <w:ilvl w:val="0"/>
          <w:numId w:val="4"/>
        </w:numPr>
        <w:spacing w:after="0" w:line="360" w:lineRule="auto"/>
        <w:jc w:val="both"/>
        <w:rPr>
          <w:rFonts w:cs="Calibri"/>
          <w:bCs/>
          <w:sz w:val="24"/>
          <w:szCs w:val="24"/>
        </w:rPr>
      </w:pPr>
      <w:r w:rsidRPr="005976A1">
        <w:rPr>
          <w:rFonts w:cs="Calibri"/>
          <w:bCs/>
          <w:sz w:val="24"/>
          <w:szCs w:val="24"/>
        </w:rPr>
        <w:t>Taniguchi, M.; Lindsey, J. S.; Bocian, D. F.; Holten D. Comprehensive review of photophysical parameters (ε, φ</w:t>
      </w:r>
      <w:r w:rsidRPr="005976A1">
        <w:rPr>
          <w:rFonts w:cs="Calibri"/>
          <w:bCs/>
          <w:sz w:val="24"/>
          <w:szCs w:val="24"/>
          <w:vertAlign w:val="subscript"/>
        </w:rPr>
        <w:t>f</w:t>
      </w:r>
      <w:r w:rsidRPr="005976A1">
        <w:rPr>
          <w:rFonts w:cs="Calibri"/>
          <w:bCs/>
          <w:sz w:val="24"/>
          <w:szCs w:val="24"/>
        </w:rPr>
        <w:t>, τ</w:t>
      </w:r>
      <w:r w:rsidRPr="005976A1">
        <w:rPr>
          <w:rFonts w:cs="Calibri"/>
          <w:bCs/>
          <w:sz w:val="24"/>
          <w:szCs w:val="24"/>
          <w:vertAlign w:val="subscript"/>
        </w:rPr>
        <w:t>s</w:t>
      </w:r>
      <w:r w:rsidRPr="005976A1">
        <w:rPr>
          <w:rFonts w:cs="Calibri"/>
          <w:bCs/>
          <w:sz w:val="24"/>
          <w:szCs w:val="24"/>
        </w:rPr>
        <w:t>) of tetraphenylporphyrin (H</w:t>
      </w:r>
      <w:r w:rsidRPr="005976A1">
        <w:rPr>
          <w:rFonts w:cs="Calibri"/>
          <w:bCs/>
          <w:sz w:val="24"/>
          <w:szCs w:val="24"/>
          <w:vertAlign w:val="subscript"/>
        </w:rPr>
        <w:t>2</w:t>
      </w:r>
      <w:r w:rsidRPr="005976A1">
        <w:rPr>
          <w:rFonts w:cs="Calibri"/>
          <w:bCs/>
          <w:sz w:val="24"/>
          <w:szCs w:val="24"/>
        </w:rPr>
        <w:t xml:space="preserve">TPP) and zinc tetraphenylporphyrin (ZnTPP) – Critical benchmark molecules in photochemistry and photosynthesis. </w:t>
      </w:r>
      <w:r w:rsidRPr="005976A1">
        <w:rPr>
          <w:rFonts w:cs="Calibri"/>
          <w:bCs/>
          <w:i/>
          <w:sz w:val="24"/>
          <w:szCs w:val="24"/>
        </w:rPr>
        <w:t>J. Photochem. Photobiol. C</w:t>
      </w:r>
      <w:r w:rsidRPr="005976A1">
        <w:rPr>
          <w:rFonts w:cs="Calibri"/>
          <w:bCs/>
          <w:sz w:val="24"/>
          <w:szCs w:val="24"/>
        </w:rPr>
        <w:t xml:space="preserve"> </w:t>
      </w:r>
      <w:r w:rsidRPr="005976A1">
        <w:rPr>
          <w:rFonts w:cs="Calibri"/>
          <w:b/>
          <w:bCs/>
          <w:sz w:val="24"/>
          <w:szCs w:val="24"/>
        </w:rPr>
        <w:t>2021</w:t>
      </w:r>
      <w:r w:rsidRPr="005976A1">
        <w:rPr>
          <w:rFonts w:cs="Calibri"/>
          <w:bCs/>
          <w:sz w:val="24"/>
          <w:szCs w:val="24"/>
        </w:rPr>
        <w:t xml:space="preserve">, </w:t>
      </w:r>
      <w:r w:rsidRPr="005976A1">
        <w:rPr>
          <w:rFonts w:cs="Calibri"/>
          <w:bCs/>
          <w:i/>
          <w:sz w:val="24"/>
          <w:szCs w:val="24"/>
        </w:rPr>
        <w:t>46</w:t>
      </w:r>
      <w:r w:rsidRPr="005976A1">
        <w:rPr>
          <w:rFonts w:cs="Calibri"/>
          <w:bCs/>
          <w:sz w:val="24"/>
          <w:szCs w:val="24"/>
        </w:rPr>
        <w:t>, 100401.</w:t>
      </w:r>
    </w:p>
    <w:p w14:paraId="4D6C8C29" w14:textId="77777777" w:rsidR="00B26389" w:rsidRPr="005976A1" w:rsidRDefault="00B26389" w:rsidP="00A34037">
      <w:pPr>
        <w:numPr>
          <w:ilvl w:val="0"/>
          <w:numId w:val="4"/>
        </w:numPr>
        <w:spacing w:after="0" w:line="360" w:lineRule="auto"/>
        <w:jc w:val="both"/>
        <w:rPr>
          <w:rFonts w:cs="Calibri"/>
          <w:bCs/>
          <w:sz w:val="24"/>
          <w:szCs w:val="24"/>
        </w:rPr>
      </w:pPr>
      <w:r w:rsidRPr="005976A1">
        <w:rPr>
          <w:rFonts w:cs="Calibri"/>
          <w:bCs/>
          <w:sz w:val="24"/>
          <w:szCs w:val="24"/>
        </w:rPr>
        <w:t xml:space="preserve">Venkatesh, Y.; Venkatesan, M.; Ramakrishna, B.; Bangal, P. R. Ultrafast Time-Resolved Emission and Absorption Spectra ofmeso-Pyridyl Porphyrins upon Soret Band Excitation Studied byFluorescence Up-Conversion and Transient Absorption Spectroscopy. </w:t>
      </w:r>
      <w:r w:rsidRPr="005976A1">
        <w:rPr>
          <w:rFonts w:cs="Calibri"/>
          <w:bCs/>
          <w:i/>
          <w:sz w:val="24"/>
          <w:szCs w:val="24"/>
        </w:rPr>
        <w:t>J. Phys. Chem. B</w:t>
      </w:r>
      <w:r w:rsidRPr="005976A1">
        <w:rPr>
          <w:rFonts w:cs="Calibri"/>
          <w:bCs/>
          <w:sz w:val="24"/>
          <w:szCs w:val="24"/>
        </w:rPr>
        <w:t xml:space="preserve"> </w:t>
      </w:r>
      <w:r w:rsidRPr="005976A1">
        <w:rPr>
          <w:rFonts w:cs="Calibri"/>
          <w:b/>
          <w:bCs/>
          <w:sz w:val="24"/>
          <w:szCs w:val="24"/>
        </w:rPr>
        <w:t>2016</w:t>
      </w:r>
      <w:r w:rsidRPr="005976A1">
        <w:rPr>
          <w:rFonts w:cs="Calibri"/>
          <w:bCs/>
          <w:sz w:val="24"/>
          <w:szCs w:val="24"/>
        </w:rPr>
        <w:t xml:space="preserve">, </w:t>
      </w:r>
      <w:r w:rsidRPr="005976A1">
        <w:rPr>
          <w:rFonts w:cs="Calibri"/>
          <w:bCs/>
          <w:i/>
          <w:sz w:val="24"/>
          <w:szCs w:val="24"/>
        </w:rPr>
        <w:t>120</w:t>
      </w:r>
      <w:r w:rsidRPr="005976A1">
        <w:rPr>
          <w:rFonts w:cs="Calibri"/>
          <w:bCs/>
          <w:sz w:val="24"/>
          <w:szCs w:val="24"/>
        </w:rPr>
        <w:t xml:space="preserve">, 9410-9421. </w:t>
      </w:r>
    </w:p>
    <w:p w14:paraId="5849D81C" w14:textId="77777777" w:rsidR="006B0A83" w:rsidRPr="005976A1" w:rsidRDefault="00253D34" w:rsidP="00A34037">
      <w:pPr>
        <w:numPr>
          <w:ilvl w:val="0"/>
          <w:numId w:val="4"/>
        </w:numPr>
        <w:spacing w:after="0" w:line="360" w:lineRule="auto"/>
        <w:jc w:val="both"/>
        <w:rPr>
          <w:rFonts w:cs="Calibri"/>
          <w:bCs/>
          <w:sz w:val="24"/>
          <w:szCs w:val="24"/>
        </w:rPr>
      </w:pPr>
      <w:r w:rsidRPr="005976A1">
        <w:rPr>
          <w:rFonts w:cs="Calibri"/>
          <w:bCs/>
          <w:sz w:val="24"/>
          <w:szCs w:val="24"/>
        </w:rPr>
        <w:t xml:space="preserve">Snellenburg, J. J.; Laptenok, S.; Seger, R.; Mullen, K. M.; van Stokkum, I. H. Glotaran: A Java-based graphical user interface for the R package TIMP. </w:t>
      </w:r>
      <w:r w:rsidRPr="005976A1">
        <w:rPr>
          <w:rFonts w:cs="Calibri"/>
          <w:bCs/>
          <w:i/>
          <w:sz w:val="24"/>
          <w:szCs w:val="24"/>
        </w:rPr>
        <w:t>J. Stat. Softw</w:t>
      </w:r>
      <w:r w:rsidRPr="005976A1">
        <w:rPr>
          <w:rFonts w:cs="Calibri"/>
          <w:bCs/>
          <w:sz w:val="24"/>
          <w:szCs w:val="24"/>
        </w:rPr>
        <w:t xml:space="preserve">. </w:t>
      </w:r>
      <w:r w:rsidRPr="005976A1">
        <w:rPr>
          <w:rFonts w:cs="Calibri"/>
          <w:b/>
          <w:bCs/>
          <w:sz w:val="24"/>
          <w:szCs w:val="24"/>
        </w:rPr>
        <w:t>2012</w:t>
      </w:r>
      <w:r w:rsidRPr="005976A1">
        <w:rPr>
          <w:rFonts w:cs="Calibri"/>
          <w:bCs/>
          <w:sz w:val="24"/>
          <w:szCs w:val="24"/>
        </w:rPr>
        <w:t xml:space="preserve">, </w:t>
      </w:r>
      <w:r w:rsidRPr="005976A1">
        <w:rPr>
          <w:rFonts w:cs="Calibri"/>
          <w:bCs/>
          <w:i/>
          <w:sz w:val="24"/>
          <w:szCs w:val="24"/>
        </w:rPr>
        <w:t>49</w:t>
      </w:r>
      <w:r w:rsidRPr="005976A1">
        <w:rPr>
          <w:rFonts w:cs="Calibri"/>
          <w:bCs/>
          <w:sz w:val="24"/>
          <w:szCs w:val="24"/>
        </w:rPr>
        <w:t>, 1–22.</w:t>
      </w:r>
    </w:p>
    <w:p w14:paraId="23F4947F" w14:textId="77777777" w:rsidR="003268B6" w:rsidRPr="005976A1" w:rsidRDefault="003268B6" w:rsidP="00A34037">
      <w:pPr>
        <w:numPr>
          <w:ilvl w:val="0"/>
          <w:numId w:val="4"/>
        </w:numPr>
        <w:spacing w:after="0" w:line="360" w:lineRule="auto"/>
        <w:jc w:val="both"/>
        <w:rPr>
          <w:rFonts w:cs="Calibri"/>
          <w:bCs/>
          <w:sz w:val="24"/>
          <w:szCs w:val="24"/>
        </w:rPr>
      </w:pPr>
      <w:r w:rsidRPr="005976A1">
        <w:rPr>
          <w:rFonts w:cs="Calibri"/>
          <w:bCs/>
          <w:sz w:val="24"/>
          <w:szCs w:val="24"/>
        </w:rPr>
        <w:t>Biswas, Ch.; Gangadhar, P. S.; Giribabu, L.; Soma, S. V.; Raavi, S. S. K.  Femtosecond excited-state dynamics and ultrafast nonlinear optical investigations of ethynylthiophene functionalized porphyrin</w:t>
      </w:r>
      <w:r w:rsidR="00DC7465" w:rsidRPr="005976A1">
        <w:rPr>
          <w:rFonts w:cs="Calibri"/>
          <w:bCs/>
          <w:sz w:val="24"/>
          <w:szCs w:val="24"/>
        </w:rPr>
        <w:t xml:space="preserve">. </w:t>
      </w:r>
      <w:r w:rsidR="00DC7465" w:rsidRPr="005976A1">
        <w:rPr>
          <w:rFonts w:cs="Calibri"/>
          <w:bCs/>
          <w:i/>
          <w:sz w:val="24"/>
          <w:szCs w:val="24"/>
        </w:rPr>
        <w:t>Opt. Mater</w:t>
      </w:r>
      <w:r w:rsidR="00DC7465" w:rsidRPr="005976A1">
        <w:rPr>
          <w:rFonts w:cs="Calibri"/>
          <w:bCs/>
          <w:sz w:val="24"/>
          <w:szCs w:val="24"/>
        </w:rPr>
        <w:t xml:space="preserve">. </w:t>
      </w:r>
      <w:r w:rsidR="00DC7465" w:rsidRPr="005976A1">
        <w:rPr>
          <w:rFonts w:cs="Calibri"/>
          <w:b/>
          <w:bCs/>
          <w:sz w:val="24"/>
          <w:szCs w:val="24"/>
        </w:rPr>
        <w:t>2022</w:t>
      </w:r>
      <w:r w:rsidR="00DC7465" w:rsidRPr="005976A1">
        <w:rPr>
          <w:rFonts w:cs="Calibri"/>
          <w:bCs/>
          <w:sz w:val="24"/>
          <w:szCs w:val="24"/>
        </w:rPr>
        <w:t xml:space="preserve">, </w:t>
      </w:r>
      <w:r w:rsidR="00DC7465" w:rsidRPr="005976A1">
        <w:rPr>
          <w:rFonts w:cs="Calibri"/>
          <w:bCs/>
          <w:i/>
          <w:sz w:val="24"/>
          <w:szCs w:val="24"/>
        </w:rPr>
        <w:t>127</w:t>
      </w:r>
      <w:r w:rsidR="00DC7465" w:rsidRPr="005976A1">
        <w:rPr>
          <w:rFonts w:cs="Calibri"/>
          <w:bCs/>
          <w:sz w:val="24"/>
          <w:szCs w:val="24"/>
        </w:rPr>
        <w:t>, 112232.</w:t>
      </w:r>
      <w:r w:rsidRPr="005976A1">
        <w:rPr>
          <w:rFonts w:cs="Calibri"/>
          <w:bCs/>
          <w:sz w:val="24"/>
          <w:szCs w:val="24"/>
        </w:rPr>
        <w:t xml:space="preserve"> </w:t>
      </w:r>
    </w:p>
    <w:p w14:paraId="78F19C4F" w14:textId="77777777" w:rsidR="00DC7465" w:rsidRPr="005976A1" w:rsidRDefault="00DC7465" w:rsidP="00A34037">
      <w:pPr>
        <w:numPr>
          <w:ilvl w:val="0"/>
          <w:numId w:val="4"/>
        </w:numPr>
        <w:spacing w:after="0" w:line="360" w:lineRule="auto"/>
        <w:jc w:val="both"/>
        <w:rPr>
          <w:rFonts w:cs="Calibri"/>
          <w:bCs/>
          <w:sz w:val="24"/>
          <w:szCs w:val="24"/>
        </w:rPr>
      </w:pPr>
      <w:r w:rsidRPr="005976A1">
        <w:rPr>
          <w:rFonts w:cs="Calibri"/>
          <w:bCs/>
          <w:sz w:val="24"/>
          <w:szCs w:val="24"/>
        </w:rPr>
        <w:t xml:space="preserve">Biswas, Ch.; Gangadhar, P. S.; Giribabu, L.; Chetti, P.; Banerjee, D.; Soma, V. R. Raavi, S. S. K. </w:t>
      </w:r>
      <w:r w:rsidRPr="005976A1">
        <w:rPr>
          <w:rFonts w:eastAsia="Times New Roman" w:cs="Calibri"/>
          <w:sz w:val="24"/>
          <w:szCs w:val="24"/>
        </w:rPr>
        <w:t>Ultrafast intramolecular charge transfer dynamics and nonlinear optical</w:t>
      </w:r>
      <w:r w:rsidRPr="005976A1">
        <w:rPr>
          <w:rFonts w:cs="Calibri"/>
          <w:bCs/>
          <w:sz w:val="24"/>
          <w:szCs w:val="24"/>
        </w:rPr>
        <w:t xml:space="preserve"> </w:t>
      </w:r>
      <w:r w:rsidRPr="005976A1">
        <w:rPr>
          <w:rFonts w:eastAsia="Times New Roman" w:cs="Calibri"/>
          <w:sz w:val="24"/>
          <w:szCs w:val="24"/>
        </w:rPr>
        <w:t xml:space="preserve">properties of phenothiazine-based push–pull zinc porphyrin. </w:t>
      </w:r>
      <w:r w:rsidRPr="005976A1">
        <w:rPr>
          <w:rFonts w:eastAsia="Times New Roman" w:cs="Calibri"/>
          <w:i/>
          <w:sz w:val="24"/>
          <w:szCs w:val="24"/>
        </w:rPr>
        <w:t>J. Photochem. Photobiol. A Chem:</w:t>
      </w:r>
      <w:r w:rsidRPr="005976A1">
        <w:rPr>
          <w:rFonts w:eastAsia="Times New Roman" w:cs="Calibri"/>
          <w:sz w:val="24"/>
          <w:szCs w:val="24"/>
        </w:rPr>
        <w:t xml:space="preserve"> </w:t>
      </w:r>
      <w:r w:rsidRPr="005976A1">
        <w:rPr>
          <w:rFonts w:eastAsia="Times New Roman" w:cs="Calibri"/>
          <w:b/>
          <w:sz w:val="24"/>
          <w:szCs w:val="24"/>
        </w:rPr>
        <w:t>2022</w:t>
      </w:r>
      <w:r w:rsidRPr="005976A1">
        <w:rPr>
          <w:rFonts w:eastAsia="Times New Roman" w:cs="Calibri"/>
          <w:sz w:val="24"/>
          <w:szCs w:val="24"/>
        </w:rPr>
        <w:t xml:space="preserve">, </w:t>
      </w:r>
      <w:r w:rsidRPr="005976A1">
        <w:rPr>
          <w:rFonts w:eastAsia="Times New Roman" w:cs="Calibri"/>
          <w:i/>
          <w:sz w:val="24"/>
          <w:szCs w:val="24"/>
        </w:rPr>
        <w:t>433</w:t>
      </w:r>
      <w:r w:rsidRPr="005976A1">
        <w:rPr>
          <w:rFonts w:eastAsia="Times New Roman" w:cs="Calibri"/>
          <w:sz w:val="24"/>
          <w:szCs w:val="24"/>
        </w:rPr>
        <w:t xml:space="preserve">, 114141. </w:t>
      </w:r>
    </w:p>
    <w:p w14:paraId="68066A2C" w14:textId="77777777" w:rsidR="003C5128" w:rsidRDefault="003C5128" w:rsidP="00031E1A">
      <w:pPr>
        <w:spacing w:after="0" w:line="360" w:lineRule="auto"/>
        <w:jc w:val="both"/>
        <w:rPr>
          <w:sz w:val="24"/>
          <w:szCs w:val="24"/>
        </w:rPr>
      </w:pPr>
    </w:p>
    <w:sectPr w:rsidR="003C5128" w:rsidSect="00080E28">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Towhid H. Chowdhury" w:date="2023-11-23T11:45:00Z" w:initials="TC">
    <w:p w14:paraId="11D9FA22" w14:textId="77777777" w:rsidR="00120E4E" w:rsidRDefault="00120E4E" w:rsidP="00D817AA">
      <w:pPr>
        <w:pStyle w:val="CommentText"/>
      </w:pPr>
      <w:r>
        <w:rPr>
          <w:rStyle w:val="CommentReference"/>
        </w:rPr>
        <w:annotationRef/>
      </w:r>
      <w:r>
        <w:t>Please change the order here. Put (a) first and then followed by (b)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1D9FA2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1D9FA22" w16cid:durableId="50CC79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7FA00" w14:textId="77777777" w:rsidR="00622A37" w:rsidRDefault="00622A37" w:rsidP="00B37F9B">
      <w:pPr>
        <w:spacing w:after="0" w:line="240" w:lineRule="auto"/>
      </w:pPr>
      <w:r>
        <w:separator/>
      </w:r>
    </w:p>
  </w:endnote>
  <w:endnote w:type="continuationSeparator" w:id="0">
    <w:p w14:paraId="74224AF9" w14:textId="77777777" w:rsidR="00622A37" w:rsidRDefault="00622A37" w:rsidP="00B37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dvOT8608a8d1+22">
    <w:altName w:val="Microsoft YaHei"/>
    <w:panose1 w:val="00000000000000000000"/>
    <w:charset w:val="86"/>
    <w:family w:val="auto"/>
    <w:notTrueType/>
    <w:pitch w:val="default"/>
    <w:sig w:usb0="00000001" w:usb1="080E0000" w:usb2="00000010" w:usb3="00000000" w:csb0="00040000" w:csb1="00000000"/>
  </w:font>
  <w:font w:name="CharisSIL">
    <w:altName w:val="Malgun Gothic"/>
    <w:panose1 w:val="00000000000000000000"/>
    <w:charset w:val="81"/>
    <w:family w:val="swiss"/>
    <w:notTrueType/>
    <w:pitch w:val="default"/>
    <w:sig w:usb0="00000003" w:usb1="09060000" w:usb2="00000010" w:usb3="00000000" w:csb0="00080001" w:csb1="00000000"/>
  </w:font>
  <w:font w:name="TimesNewRoman">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1CDE0" w14:textId="77777777" w:rsidR="00622A37" w:rsidRDefault="00622A37" w:rsidP="00B37F9B">
      <w:pPr>
        <w:spacing w:after="0" w:line="240" w:lineRule="auto"/>
      </w:pPr>
      <w:r>
        <w:separator/>
      </w:r>
    </w:p>
  </w:footnote>
  <w:footnote w:type="continuationSeparator" w:id="0">
    <w:p w14:paraId="6CF66745" w14:textId="77777777" w:rsidR="00622A37" w:rsidRDefault="00622A37" w:rsidP="00B37F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F1E2E"/>
    <w:multiLevelType w:val="hybridMultilevel"/>
    <w:tmpl w:val="15A01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A0868"/>
    <w:multiLevelType w:val="hybridMultilevel"/>
    <w:tmpl w:val="47BEDB3E"/>
    <w:lvl w:ilvl="0" w:tplc="4F54A10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CC7E31"/>
    <w:multiLevelType w:val="multilevel"/>
    <w:tmpl w:val="0360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350680"/>
    <w:multiLevelType w:val="hybridMultilevel"/>
    <w:tmpl w:val="6E1CC9F0"/>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F2421A"/>
    <w:multiLevelType w:val="multilevel"/>
    <w:tmpl w:val="6286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4247486">
    <w:abstractNumId w:val="1"/>
  </w:num>
  <w:num w:numId="2" w16cid:durableId="217782746">
    <w:abstractNumId w:val="4"/>
  </w:num>
  <w:num w:numId="3" w16cid:durableId="1981297970">
    <w:abstractNumId w:val="2"/>
  </w:num>
  <w:num w:numId="4" w16cid:durableId="252976623">
    <w:abstractNumId w:val="0"/>
  </w:num>
  <w:num w:numId="5" w16cid:durableId="277102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025"/>
    <w:rsid w:val="00012387"/>
    <w:rsid w:val="00031259"/>
    <w:rsid w:val="0003168D"/>
    <w:rsid w:val="00031E1A"/>
    <w:rsid w:val="00034109"/>
    <w:rsid w:val="000358CE"/>
    <w:rsid w:val="00035B9C"/>
    <w:rsid w:val="00047588"/>
    <w:rsid w:val="000664AC"/>
    <w:rsid w:val="00075918"/>
    <w:rsid w:val="00080E28"/>
    <w:rsid w:val="000825CA"/>
    <w:rsid w:val="000A0DC1"/>
    <w:rsid w:val="000B3234"/>
    <w:rsid w:val="000C5942"/>
    <w:rsid w:val="000D6045"/>
    <w:rsid w:val="000F136B"/>
    <w:rsid w:val="00100686"/>
    <w:rsid w:val="0010740A"/>
    <w:rsid w:val="001155F4"/>
    <w:rsid w:val="00116457"/>
    <w:rsid w:val="00120E4E"/>
    <w:rsid w:val="00124E29"/>
    <w:rsid w:val="00126725"/>
    <w:rsid w:val="00133460"/>
    <w:rsid w:val="00134234"/>
    <w:rsid w:val="00152868"/>
    <w:rsid w:val="00155890"/>
    <w:rsid w:val="00163BCB"/>
    <w:rsid w:val="00182563"/>
    <w:rsid w:val="001A0201"/>
    <w:rsid w:val="001F34FF"/>
    <w:rsid w:val="001F6B98"/>
    <w:rsid w:val="00206106"/>
    <w:rsid w:val="00210DC3"/>
    <w:rsid w:val="002176D8"/>
    <w:rsid w:val="002177EC"/>
    <w:rsid w:val="002207F5"/>
    <w:rsid w:val="00236237"/>
    <w:rsid w:val="00237DC6"/>
    <w:rsid w:val="00253D34"/>
    <w:rsid w:val="00254FC9"/>
    <w:rsid w:val="00256A51"/>
    <w:rsid w:val="00270D7F"/>
    <w:rsid w:val="002815DD"/>
    <w:rsid w:val="0029049A"/>
    <w:rsid w:val="0029183C"/>
    <w:rsid w:val="00292746"/>
    <w:rsid w:val="00294B7E"/>
    <w:rsid w:val="003268B6"/>
    <w:rsid w:val="00336620"/>
    <w:rsid w:val="0039018F"/>
    <w:rsid w:val="00397172"/>
    <w:rsid w:val="003A54DB"/>
    <w:rsid w:val="003B031F"/>
    <w:rsid w:val="003B6EBC"/>
    <w:rsid w:val="003C5128"/>
    <w:rsid w:val="003D4712"/>
    <w:rsid w:val="003D5121"/>
    <w:rsid w:val="003D6852"/>
    <w:rsid w:val="003E63C1"/>
    <w:rsid w:val="00402684"/>
    <w:rsid w:val="004105B9"/>
    <w:rsid w:val="00415CA4"/>
    <w:rsid w:val="00417409"/>
    <w:rsid w:val="00417860"/>
    <w:rsid w:val="00424DE6"/>
    <w:rsid w:val="0043006A"/>
    <w:rsid w:val="00447919"/>
    <w:rsid w:val="004571A3"/>
    <w:rsid w:val="004626EE"/>
    <w:rsid w:val="00467A5F"/>
    <w:rsid w:val="004B4197"/>
    <w:rsid w:val="004B4AC0"/>
    <w:rsid w:val="004D5AC7"/>
    <w:rsid w:val="004D627E"/>
    <w:rsid w:val="00513652"/>
    <w:rsid w:val="0052690D"/>
    <w:rsid w:val="0053183A"/>
    <w:rsid w:val="005354AF"/>
    <w:rsid w:val="00561D0A"/>
    <w:rsid w:val="005974D8"/>
    <w:rsid w:val="005976A1"/>
    <w:rsid w:val="005A525A"/>
    <w:rsid w:val="005C1115"/>
    <w:rsid w:val="005D059C"/>
    <w:rsid w:val="005E5844"/>
    <w:rsid w:val="005F458E"/>
    <w:rsid w:val="006017B0"/>
    <w:rsid w:val="00613B77"/>
    <w:rsid w:val="00622A37"/>
    <w:rsid w:val="00632754"/>
    <w:rsid w:val="006333CE"/>
    <w:rsid w:val="006540C1"/>
    <w:rsid w:val="00655298"/>
    <w:rsid w:val="006554E4"/>
    <w:rsid w:val="006643EA"/>
    <w:rsid w:val="006713E3"/>
    <w:rsid w:val="00686F60"/>
    <w:rsid w:val="006966A8"/>
    <w:rsid w:val="006A4091"/>
    <w:rsid w:val="006A5B7D"/>
    <w:rsid w:val="006B0A83"/>
    <w:rsid w:val="006B52FC"/>
    <w:rsid w:val="006C6311"/>
    <w:rsid w:val="006D605D"/>
    <w:rsid w:val="006F0D9B"/>
    <w:rsid w:val="00702E26"/>
    <w:rsid w:val="00702F72"/>
    <w:rsid w:val="0074120F"/>
    <w:rsid w:val="00761E26"/>
    <w:rsid w:val="007644A3"/>
    <w:rsid w:val="007662F4"/>
    <w:rsid w:val="00775DF3"/>
    <w:rsid w:val="007C4798"/>
    <w:rsid w:val="007C47D9"/>
    <w:rsid w:val="007C7AD9"/>
    <w:rsid w:val="007D0DBE"/>
    <w:rsid w:val="007D77E0"/>
    <w:rsid w:val="007E3AA6"/>
    <w:rsid w:val="007E48F1"/>
    <w:rsid w:val="007E63C4"/>
    <w:rsid w:val="00814358"/>
    <w:rsid w:val="008147BC"/>
    <w:rsid w:val="008274D1"/>
    <w:rsid w:val="00833892"/>
    <w:rsid w:val="00833A50"/>
    <w:rsid w:val="00846234"/>
    <w:rsid w:val="0087035A"/>
    <w:rsid w:val="00873539"/>
    <w:rsid w:val="00881394"/>
    <w:rsid w:val="00884F1F"/>
    <w:rsid w:val="008A4F6F"/>
    <w:rsid w:val="008B3461"/>
    <w:rsid w:val="008C06E1"/>
    <w:rsid w:val="008C0FDA"/>
    <w:rsid w:val="008D5900"/>
    <w:rsid w:val="008E277D"/>
    <w:rsid w:val="008E7F36"/>
    <w:rsid w:val="008F2B8D"/>
    <w:rsid w:val="008F3C69"/>
    <w:rsid w:val="008F41FD"/>
    <w:rsid w:val="009052FB"/>
    <w:rsid w:val="0091258F"/>
    <w:rsid w:val="009246D7"/>
    <w:rsid w:val="0092575D"/>
    <w:rsid w:val="009560FF"/>
    <w:rsid w:val="0095709B"/>
    <w:rsid w:val="009703B6"/>
    <w:rsid w:val="0098314F"/>
    <w:rsid w:val="009B5ABC"/>
    <w:rsid w:val="009B5C6D"/>
    <w:rsid w:val="009C3738"/>
    <w:rsid w:val="009C5757"/>
    <w:rsid w:val="009E1B35"/>
    <w:rsid w:val="009F08AA"/>
    <w:rsid w:val="00A07BE1"/>
    <w:rsid w:val="00A10D4C"/>
    <w:rsid w:val="00A118C4"/>
    <w:rsid w:val="00A1633F"/>
    <w:rsid w:val="00A220C7"/>
    <w:rsid w:val="00A34037"/>
    <w:rsid w:val="00A41C5A"/>
    <w:rsid w:val="00A45C9D"/>
    <w:rsid w:val="00A53ECA"/>
    <w:rsid w:val="00A56949"/>
    <w:rsid w:val="00AB31D4"/>
    <w:rsid w:val="00AE0540"/>
    <w:rsid w:val="00AE2644"/>
    <w:rsid w:val="00AE328F"/>
    <w:rsid w:val="00AF141E"/>
    <w:rsid w:val="00AF6D51"/>
    <w:rsid w:val="00B21739"/>
    <w:rsid w:val="00B26389"/>
    <w:rsid w:val="00B37F9B"/>
    <w:rsid w:val="00B62778"/>
    <w:rsid w:val="00B71C13"/>
    <w:rsid w:val="00B7636D"/>
    <w:rsid w:val="00B83CDD"/>
    <w:rsid w:val="00B869E1"/>
    <w:rsid w:val="00B935D4"/>
    <w:rsid w:val="00B9500D"/>
    <w:rsid w:val="00BA1067"/>
    <w:rsid w:val="00BD4E07"/>
    <w:rsid w:val="00C201CE"/>
    <w:rsid w:val="00C43332"/>
    <w:rsid w:val="00C74743"/>
    <w:rsid w:val="00C7777A"/>
    <w:rsid w:val="00C81C94"/>
    <w:rsid w:val="00C85360"/>
    <w:rsid w:val="00CA0A79"/>
    <w:rsid w:val="00CA746A"/>
    <w:rsid w:val="00CB282F"/>
    <w:rsid w:val="00CB2FFB"/>
    <w:rsid w:val="00CB3BBF"/>
    <w:rsid w:val="00CC09B5"/>
    <w:rsid w:val="00CD134E"/>
    <w:rsid w:val="00CD4CC5"/>
    <w:rsid w:val="00CD5AD1"/>
    <w:rsid w:val="00CD7E83"/>
    <w:rsid w:val="00CE1BA1"/>
    <w:rsid w:val="00CE66CA"/>
    <w:rsid w:val="00CF2055"/>
    <w:rsid w:val="00CF55D9"/>
    <w:rsid w:val="00D04959"/>
    <w:rsid w:val="00D06B14"/>
    <w:rsid w:val="00D215C1"/>
    <w:rsid w:val="00D41ED0"/>
    <w:rsid w:val="00D5007F"/>
    <w:rsid w:val="00D526BC"/>
    <w:rsid w:val="00D55A4D"/>
    <w:rsid w:val="00D706BF"/>
    <w:rsid w:val="00D7667A"/>
    <w:rsid w:val="00D817AA"/>
    <w:rsid w:val="00D828D1"/>
    <w:rsid w:val="00D973B3"/>
    <w:rsid w:val="00DA13F4"/>
    <w:rsid w:val="00DB18A3"/>
    <w:rsid w:val="00DB5025"/>
    <w:rsid w:val="00DC0669"/>
    <w:rsid w:val="00DC20C5"/>
    <w:rsid w:val="00DC7465"/>
    <w:rsid w:val="00DD2B13"/>
    <w:rsid w:val="00DD3715"/>
    <w:rsid w:val="00DE6CDD"/>
    <w:rsid w:val="00DF0560"/>
    <w:rsid w:val="00DF096C"/>
    <w:rsid w:val="00DF497F"/>
    <w:rsid w:val="00DF7363"/>
    <w:rsid w:val="00E01CFF"/>
    <w:rsid w:val="00E074DC"/>
    <w:rsid w:val="00E25CCB"/>
    <w:rsid w:val="00E34719"/>
    <w:rsid w:val="00E42665"/>
    <w:rsid w:val="00E55595"/>
    <w:rsid w:val="00E67E8F"/>
    <w:rsid w:val="00E70B2E"/>
    <w:rsid w:val="00E70CEA"/>
    <w:rsid w:val="00EB6A56"/>
    <w:rsid w:val="00EB7735"/>
    <w:rsid w:val="00EE1FEC"/>
    <w:rsid w:val="00EF0725"/>
    <w:rsid w:val="00F03CF3"/>
    <w:rsid w:val="00F06232"/>
    <w:rsid w:val="00F12DA1"/>
    <w:rsid w:val="00F16B8B"/>
    <w:rsid w:val="00F23FFB"/>
    <w:rsid w:val="00F2528F"/>
    <w:rsid w:val="00F26DC6"/>
    <w:rsid w:val="00F42252"/>
    <w:rsid w:val="00F52071"/>
    <w:rsid w:val="00F631A8"/>
    <w:rsid w:val="00F7438F"/>
    <w:rsid w:val="00F820C9"/>
    <w:rsid w:val="00F8317F"/>
    <w:rsid w:val="00F91A02"/>
    <w:rsid w:val="00FA1250"/>
    <w:rsid w:val="00FB3D02"/>
    <w:rsid w:val="00FB62AB"/>
    <w:rsid w:val="00FC31B0"/>
    <w:rsid w:val="00FD5253"/>
    <w:rsid w:val="00FD6AAA"/>
    <w:rsid w:val="00FD74ED"/>
    <w:rsid w:val="00FE34A1"/>
    <w:rsid w:val="00FF67B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5FC7E0"/>
  <w15:chartTrackingRefBased/>
  <w15:docId w15:val="{A7284217-A724-4637-AA29-D62A6B83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E28"/>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62F4"/>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662F4"/>
    <w:rPr>
      <w:rFonts w:ascii="Tahoma" w:hAnsi="Tahoma" w:cs="Tahoma"/>
      <w:sz w:val="16"/>
      <w:szCs w:val="16"/>
    </w:rPr>
  </w:style>
  <w:style w:type="table" w:styleId="TableGrid">
    <w:name w:val="Table Grid"/>
    <w:basedOn w:val="TableNormal"/>
    <w:uiPriority w:val="59"/>
    <w:rsid w:val="00F63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643EA"/>
    <w:pPr>
      <w:spacing w:before="100" w:beforeAutospacing="1" w:after="100" w:afterAutospacing="1" w:line="240" w:lineRule="auto"/>
    </w:pPr>
    <w:rPr>
      <w:rFonts w:ascii="Times New Roman" w:eastAsia="Times New Roman" w:hAnsi="Times New Roman"/>
      <w:sz w:val="24"/>
      <w:szCs w:val="24"/>
      <w:lang w:val="en-IN" w:eastAsia="en-IN" w:bidi="hi-IN"/>
    </w:rPr>
  </w:style>
  <w:style w:type="character" w:styleId="PlaceholderText">
    <w:name w:val="Placeholder Text"/>
    <w:uiPriority w:val="99"/>
    <w:semiHidden/>
    <w:rsid w:val="0029183C"/>
    <w:rPr>
      <w:color w:val="808080"/>
    </w:rPr>
  </w:style>
  <w:style w:type="character" w:styleId="Hyperlink">
    <w:name w:val="Hyperlink"/>
    <w:uiPriority w:val="99"/>
    <w:unhideWhenUsed/>
    <w:rsid w:val="007C4798"/>
    <w:rPr>
      <w:color w:val="0000FF"/>
      <w:u w:val="single"/>
    </w:rPr>
  </w:style>
  <w:style w:type="character" w:styleId="UnresolvedMention">
    <w:name w:val="Unresolved Mention"/>
    <w:uiPriority w:val="99"/>
    <w:semiHidden/>
    <w:unhideWhenUsed/>
    <w:rsid w:val="00294B7E"/>
    <w:rPr>
      <w:color w:val="605E5C"/>
      <w:shd w:val="clear" w:color="auto" w:fill="E1DFDD"/>
    </w:rPr>
  </w:style>
  <w:style w:type="paragraph" w:styleId="Revision">
    <w:name w:val="Revision"/>
    <w:hidden/>
    <w:uiPriority w:val="99"/>
    <w:semiHidden/>
    <w:rsid w:val="00294B7E"/>
    <w:rPr>
      <w:sz w:val="22"/>
      <w:szCs w:val="22"/>
      <w:lang w:eastAsia="en-US"/>
    </w:rPr>
  </w:style>
  <w:style w:type="character" w:styleId="CommentReference">
    <w:name w:val="annotation reference"/>
    <w:uiPriority w:val="99"/>
    <w:semiHidden/>
    <w:unhideWhenUsed/>
    <w:rsid w:val="00120E4E"/>
    <w:rPr>
      <w:sz w:val="16"/>
      <w:szCs w:val="16"/>
    </w:rPr>
  </w:style>
  <w:style w:type="paragraph" w:styleId="CommentText">
    <w:name w:val="annotation text"/>
    <w:basedOn w:val="Normal"/>
    <w:link w:val="CommentTextChar"/>
    <w:uiPriority w:val="99"/>
    <w:unhideWhenUsed/>
    <w:rsid w:val="00120E4E"/>
    <w:rPr>
      <w:sz w:val="20"/>
      <w:szCs w:val="20"/>
    </w:rPr>
  </w:style>
  <w:style w:type="character" w:customStyle="1" w:styleId="CommentTextChar">
    <w:name w:val="Comment Text Char"/>
    <w:link w:val="CommentText"/>
    <w:uiPriority w:val="99"/>
    <w:rsid w:val="00120E4E"/>
    <w:rPr>
      <w:lang w:val="en-US" w:eastAsia="en-US" w:bidi="ar-SA"/>
    </w:rPr>
  </w:style>
  <w:style w:type="paragraph" w:styleId="CommentSubject">
    <w:name w:val="annotation subject"/>
    <w:basedOn w:val="CommentText"/>
    <w:next w:val="CommentText"/>
    <w:link w:val="CommentSubjectChar"/>
    <w:uiPriority w:val="99"/>
    <w:semiHidden/>
    <w:unhideWhenUsed/>
    <w:rsid w:val="00120E4E"/>
    <w:rPr>
      <w:b/>
      <w:bCs/>
    </w:rPr>
  </w:style>
  <w:style w:type="character" w:customStyle="1" w:styleId="CommentSubjectChar">
    <w:name w:val="Comment Subject Char"/>
    <w:link w:val="CommentSubject"/>
    <w:uiPriority w:val="99"/>
    <w:semiHidden/>
    <w:rsid w:val="00120E4E"/>
    <w:rPr>
      <w:b/>
      <w:bCs/>
      <w:lang w:val="en-US" w:eastAsia="en-US" w:bidi="ar-SA"/>
    </w:rPr>
  </w:style>
  <w:style w:type="paragraph" w:styleId="Header">
    <w:name w:val="header"/>
    <w:basedOn w:val="Normal"/>
    <w:link w:val="HeaderChar"/>
    <w:uiPriority w:val="99"/>
    <w:unhideWhenUsed/>
    <w:rsid w:val="00B37F9B"/>
    <w:pPr>
      <w:tabs>
        <w:tab w:val="center" w:pos="4513"/>
        <w:tab w:val="right" w:pos="9026"/>
      </w:tabs>
      <w:snapToGrid w:val="0"/>
    </w:pPr>
  </w:style>
  <w:style w:type="character" w:customStyle="1" w:styleId="HeaderChar">
    <w:name w:val="Header Char"/>
    <w:basedOn w:val="DefaultParagraphFont"/>
    <w:link w:val="Header"/>
    <w:uiPriority w:val="99"/>
    <w:rsid w:val="00B37F9B"/>
    <w:rPr>
      <w:sz w:val="22"/>
      <w:szCs w:val="22"/>
      <w:lang w:eastAsia="en-US"/>
    </w:rPr>
  </w:style>
  <w:style w:type="paragraph" w:styleId="Footer">
    <w:name w:val="footer"/>
    <w:basedOn w:val="Normal"/>
    <w:link w:val="FooterChar"/>
    <w:uiPriority w:val="99"/>
    <w:unhideWhenUsed/>
    <w:rsid w:val="00B37F9B"/>
    <w:pPr>
      <w:tabs>
        <w:tab w:val="center" w:pos="4513"/>
        <w:tab w:val="right" w:pos="9026"/>
      </w:tabs>
      <w:snapToGrid w:val="0"/>
    </w:pPr>
  </w:style>
  <w:style w:type="character" w:customStyle="1" w:styleId="FooterChar">
    <w:name w:val="Footer Char"/>
    <w:basedOn w:val="DefaultParagraphFont"/>
    <w:link w:val="Footer"/>
    <w:uiPriority w:val="99"/>
    <w:rsid w:val="00B37F9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34442">
      <w:bodyDiv w:val="1"/>
      <w:marLeft w:val="0"/>
      <w:marRight w:val="0"/>
      <w:marTop w:val="0"/>
      <w:marBottom w:val="0"/>
      <w:divBdr>
        <w:top w:val="none" w:sz="0" w:space="0" w:color="auto"/>
        <w:left w:val="none" w:sz="0" w:space="0" w:color="auto"/>
        <w:bottom w:val="none" w:sz="0" w:space="0" w:color="auto"/>
        <w:right w:val="none" w:sz="0" w:space="0" w:color="auto"/>
      </w:divBdr>
    </w:div>
    <w:div w:id="508759491">
      <w:bodyDiv w:val="1"/>
      <w:marLeft w:val="0"/>
      <w:marRight w:val="0"/>
      <w:marTop w:val="0"/>
      <w:marBottom w:val="0"/>
      <w:divBdr>
        <w:top w:val="none" w:sz="0" w:space="0" w:color="auto"/>
        <w:left w:val="none" w:sz="0" w:space="0" w:color="auto"/>
        <w:bottom w:val="none" w:sz="0" w:space="0" w:color="auto"/>
        <w:right w:val="none" w:sz="0" w:space="0" w:color="auto"/>
      </w:divBdr>
    </w:div>
    <w:div w:id="520822032">
      <w:bodyDiv w:val="1"/>
      <w:marLeft w:val="0"/>
      <w:marRight w:val="0"/>
      <w:marTop w:val="0"/>
      <w:marBottom w:val="0"/>
      <w:divBdr>
        <w:top w:val="none" w:sz="0" w:space="0" w:color="auto"/>
        <w:left w:val="none" w:sz="0" w:space="0" w:color="auto"/>
        <w:bottom w:val="none" w:sz="0" w:space="0" w:color="auto"/>
        <w:right w:val="none" w:sz="0" w:space="0" w:color="auto"/>
      </w:divBdr>
    </w:div>
    <w:div w:id="557936487">
      <w:bodyDiv w:val="1"/>
      <w:marLeft w:val="0"/>
      <w:marRight w:val="0"/>
      <w:marTop w:val="0"/>
      <w:marBottom w:val="0"/>
      <w:divBdr>
        <w:top w:val="none" w:sz="0" w:space="0" w:color="auto"/>
        <w:left w:val="none" w:sz="0" w:space="0" w:color="auto"/>
        <w:bottom w:val="none" w:sz="0" w:space="0" w:color="auto"/>
        <w:right w:val="none" w:sz="0" w:space="0" w:color="auto"/>
      </w:divBdr>
    </w:div>
    <w:div w:id="677657013">
      <w:bodyDiv w:val="1"/>
      <w:marLeft w:val="0"/>
      <w:marRight w:val="0"/>
      <w:marTop w:val="0"/>
      <w:marBottom w:val="0"/>
      <w:divBdr>
        <w:top w:val="none" w:sz="0" w:space="0" w:color="auto"/>
        <w:left w:val="none" w:sz="0" w:space="0" w:color="auto"/>
        <w:bottom w:val="none" w:sz="0" w:space="0" w:color="auto"/>
        <w:right w:val="none" w:sz="0" w:space="0" w:color="auto"/>
      </w:divBdr>
    </w:div>
    <w:div w:id="688219261">
      <w:bodyDiv w:val="1"/>
      <w:marLeft w:val="0"/>
      <w:marRight w:val="0"/>
      <w:marTop w:val="0"/>
      <w:marBottom w:val="0"/>
      <w:divBdr>
        <w:top w:val="none" w:sz="0" w:space="0" w:color="auto"/>
        <w:left w:val="none" w:sz="0" w:space="0" w:color="auto"/>
        <w:bottom w:val="none" w:sz="0" w:space="0" w:color="auto"/>
        <w:right w:val="none" w:sz="0" w:space="0" w:color="auto"/>
      </w:divBdr>
    </w:div>
    <w:div w:id="697855814">
      <w:bodyDiv w:val="1"/>
      <w:marLeft w:val="0"/>
      <w:marRight w:val="0"/>
      <w:marTop w:val="0"/>
      <w:marBottom w:val="0"/>
      <w:divBdr>
        <w:top w:val="none" w:sz="0" w:space="0" w:color="auto"/>
        <w:left w:val="none" w:sz="0" w:space="0" w:color="auto"/>
        <w:bottom w:val="none" w:sz="0" w:space="0" w:color="auto"/>
        <w:right w:val="none" w:sz="0" w:space="0" w:color="auto"/>
      </w:divBdr>
    </w:div>
    <w:div w:id="1125854198">
      <w:bodyDiv w:val="1"/>
      <w:marLeft w:val="0"/>
      <w:marRight w:val="0"/>
      <w:marTop w:val="0"/>
      <w:marBottom w:val="0"/>
      <w:divBdr>
        <w:top w:val="none" w:sz="0" w:space="0" w:color="auto"/>
        <w:left w:val="none" w:sz="0" w:space="0" w:color="auto"/>
        <w:bottom w:val="none" w:sz="0" w:space="0" w:color="auto"/>
        <w:right w:val="none" w:sz="0" w:space="0" w:color="auto"/>
      </w:divBdr>
    </w:div>
    <w:div w:id="1225877228">
      <w:bodyDiv w:val="1"/>
      <w:marLeft w:val="0"/>
      <w:marRight w:val="0"/>
      <w:marTop w:val="0"/>
      <w:marBottom w:val="0"/>
      <w:divBdr>
        <w:top w:val="none" w:sz="0" w:space="0" w:color="auto"/>
        <w:left w:val="none" w:sz="0" w:space="0" w:color="auto"/>
        <w:bottom w:val="none" w:sz="0" w:space="0" w:color="auto"/>
        <w:right w:val="none" w:sz="0" w:space="0" w:color="auto"/>
      </w:divBdr>
    </w:div>
    <w:div w:id="1341347370">
      <w:bodyDiv w:val="1"/>
      <w:marLeft w:val="0"/>
      <w:marRight w:val="0"/>
      <w:marTop w:val="0"/>
      <w:marBottom w:val="0"/>
      <w:divBdr>
        <w:top w:val="none" w:sz="0" w:space="0" w:color="auto"/>
        <w:left w:val="none" w:sz="0" w:space="0" w:color="auto"/>
        <w:bottom w:val="none" w:sz="0" w:space="0" w:color="auto"/>
        <w:right w:val="none" w:sz="0" w:space="0" w:color="auto"/>
      </w:divBdr>
    </w:div>
    <w:div w:id="1529177925">
      <w:bodyDiv w:val="1"/>
      <w:marLeft w:val="0"/>
      <w:marRight w:val="0"/>
      <w:marTop w:val="0"/>
      <w:marBottom w:val="0"/>
      <w:divBdr>
        <w:top w:val="none" w:sz="0" w:space="0" w:color="auto"/>
        <w:left w:val="none" w:sz="0" w:space="0" w:color="auto"/>
        <w:bottom w:val="none" w:sz="0" w:space="0" w:color="auto"/>
        <w:right w:val="none" w:sz="0" w:space="0" w:color="auto"/>
      </w:divBdr>
    </w:div>
    <w:div w:id="1652362891">
      <w:bodyDiv w:val="1"/>
      <w:marLeft w:val="0"/>
      <w:marRight w:val="0"/>
      <w:marTop w:val="0"/>
      <w:marBottom w:val="0"/>
      <w:divBdr>
        <w:top w:val="none" w:sz="0" w:space="0" w:color="auto"/>
        <w:left w:val="none" w:sz="0" w:space="0" w:color="auto"/>
        <w:bottom w:val="none" w:sz="0" w:space="0" w:color="auto"/>
        <w:right w:val="none" w:sz="0" w:space="0" w:color="auto"/>
      </w:divBdr>
    </w:div>
    <w:div w:id="2053072653">
      <w:bodyDiv w:val="1"/>
      <w:marLeft w:val="0"/>
      <w:marRight w:val="0"/>
      <w:marTop w:val="0"/>
      <w:marBottom w:val="0"/>
      <w:divBdr>
        <w:top w:val="none" w:sz="0" w:space="0" w:color="auto"/>
        <w:left w:val="none" w:sz="0" w:space="0" w:color="auto"/>
        <w:bottom w:val="none" w:sz="0" w:space="0" w:color="auto"/>
        <w:right w:val="none" w:sz="0" w:space="0" w:color="auto"/>
      </w:divBdr>
    </w:div>
    <w:div w:id="207423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SLAM.Ashraful@nims.go.jp"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mailto:giribabu@iict.res.in" TargetMode="External"/><Relationship Id="rId12" Type="http://schemas.openxmlformats.org/officeDocument/2006/relationships/oleObject" Target="embeddings/oleObject2.bin"/><Relationship Id="rId17" Type="http://schemas.microsoft.com/office/2016/09/relationships/commentsIds" Target="commentsIds.xml"/><Relationship Id="rId25" Type="http://schemas.openxmlformats.org/officeDocument/2006/relationships/theme" Target="theme/theme1.xml"/><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image" Target="media/image10.png"/><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8023</Words>
  <Characters>45737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53653</CharactersWithSpaces>
  <SharedDoc>false</SharedDoc>
  <HLinks>
    <vt:vector size="12" baseType="variant">
      <vt:variant>
        <vt:i4>7602261</vt:i4>
      </vt:variant>
      <vt:variant>
        <vt:i4>3</vt:i4>
      </vt:variant>
      <vt:variant>
        <vt:i4>0</vt:i4>
      </vt:variant>
      <vt:variant>
        <vt:i4>5</vt:i4>
      </vt:variant>
      <vt:variant>
        <vt:lpwstr>mailto:ISLAM.Ashraful@nims.go.jp</vt:lpwstr>
      </vt:variant>
      <vt:variant>
        <vt:lpwstr/>
      </vt:variant>
      <vt:variant>
        <vt:i4>4325425</vt:i4>
      </vt:variant>
      <vt:variant>
        <vt:i4>0</vt:i4>
      </vt:variant>
      <vt:variant>
        <vt:i4>0</vt:i4>
      </vt:variant>
      <vt:variant>
        <vt:i4>5</vt:i4>
      </vt:variant>
      <vt:variant>
        <vt:lpwstr>mailto:giribabu@iict.res.in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ISLAM Ashraful</cp:lastModifiedBy>
  <cp:revision>3</cp:revision>
  <dcterms:created xsi:type="dcterms:W3CDTF">2025-01-09T09:46:00Z</dcterms:created>
  <dcterms:modified xsi:type="dcterms:W3CDTF">2025-01-09T09:47:00Z</dcterms:modified>
</cp:coreProperties>
</file>