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A7AEC" w14:textId="77777777" w:rsidR="00AF338A" w:rsidRPr="00AF338A" w:rsidRDefault="00AF338A" w:rsidP="00AF338A">
      <w:pPr>
        <w:spacing w:line="360" w:lineRule="auto"/>
        <w:jc w:val="center"/>
        <w:rPr>
          <w:rFonts w:eastAsia="游明朝" w:hint="default"/>
          <w:b/>
          <w:bCs/>
          <w:sz w:val="28"/>
          <w:szCs w:val="28"/>
        </w:rPr>
      </w:pPr>
      <w:bookmarkStart w:id="0" w:name="_Hlk132035166"/>
      <w:r w:rsidRPr="00AF338A">
        <w:rPr>
          <w:b/>
          <w:bCs/>
          <w:sz w:val="28"/>
          <w:szCs w:val="28"/>
        </w:rPr>
        <w:t>Noninvasive Needle-Free Cancer Vaccine Cream Patch Based on Fluorinated Chitosan</w:t>
      </w:r>
    </w:p>
    <w:p w14:paraId="5EE1125D" w14:textId="77777777" w:rsidR="00AF338A" w:rsidRDefault="00AF338A" w:rsidP="00AF338A">
      <w:pPr>
        <w:spacing w:line="360" w:lineRule="auto"/>
        <w:rPr>
          <w:rFonts w:eastAsia="游明朝" w:hint="default"/>
          <w:i/>
          <w:iCs/>
        </w:rPr>
      </w:pPr>
    </w:p>
    <w:p w14:paraId="516F9322" w14:textId="50585D62" w:rsidR="00AF338A" w:rsidRPr="00277EC2" w:rsidRDefault="00AF338A" w:rsidP="00AF338A">
      <w:pPr>
        <w:spacing w:line="360" w:lineRule="auto"/>
        <w:ind w:firstLine="0"/>
        <w:rPr>
          <w:i/>
          <w:iCs/>
          <w:vertAlign w:val="superscript"/>
        </w:rPr>
      </w:pPr>
      <w:r w:rsidRPr="00277EC2">
        <w:rPr>
          <w:i/>
          <w:iCs/>
        </w:rPr>
        <w:t xml:space="preserve">Zhisheng Xiao, </w:t>
      </w:r>
      <w:proofErr w:type="spellStart"/>
      <w:r w:rsidRPr="00277EC2">
        <w:rPr>
          <w:i/>
          <w:iCs/>
        </w:rPr>
        <w:t>Guangzhi</w:t>
      </w:r>
      <w:proofErr w:type="spellEnd"/>
      <w:r w:rsidRPr="00277EC2">
        <w:rPr>
          <w:i/>
          <w:iCs/>
        </w:rPr>
        <w:t xml:space="preserve"> Li, Dashi Deng, Ting Wei,</w:t>
      </w:r>
      <w:r>
        <w:rPr>
          <w:i/>
          <w:iCs/>
        </w:rPr>
        <w:t xml:space="preserve"> Guoping Chen,</w:t>
      </w:r>
      <w:r w:rsidRPr="00277EC2">
        <w:rPr>
          <w:i/>
          <w:iCs/>
        </w:rPr>
        <w:t xml:space="preserve"> </w:t>
      </w:r>
      <w:proofErr w:type="spellStart"/>
      <w:r w:rsidRPr="00277EC2">
        <w:rPr>
          <w:i/>
          <w:iCs/>
        </w:rPr>
        <w:t>Huiquan</w:t>
      </w:r>
      <w:proofErr w:type="spellEnd"/>
      <w:r w:rsidRPr="00277EC2">
        <w:rPr>
          <w:i/>
          <w:iCs/>
        </w:rPr>
        <w:t xml:space="preserve"> Tao, Yu Chao, Bo Liu, </w:t>
      </w:r>
      <w:proofErr w:type="spellStart"/>
      <w:r w:rsidRPr="00277EC2">
        <w:rPr>
          <w:i/>
          <w:iCs/>
        </w:rPr>
        <w:t>Qiaofeng</w:t>
      </w:r>
      <w:proofErr w:type="spellEnd"/>
      <w:r w:rsidRPr="00277EC2">
        <w:rPr>
          <w:i/>
          <w:iCs/>
        </w:rPr>
        <w:t xml:space="preserve"> Li, </w:t>
      </w:r>
      <w:r w:rsidRPr="00AF338A">
        <w:rPr>
          <w:i/>
          <w:iCs/>
        </w:rPr>
        <w:t>Yifan Yang</w:t>
      </w:r>
      <w:r>
        <w:rPr>
          <w:rFonts w:ascii="ＭＳ 明朝" w:eastAsia="ＭＳ 明朝" w:hAnsi="ＭＳ 明朝" w:cs="ＭＳ 明朝"/>
          <w:i/>
          <w:iCs/>
        </w:rPr>
        <w:t xml:space="preserve">, </w:t>
      </w:r>
      <w:r w:rsidRPr="00277EC2">
        <w:rPr>
          <w:i/>
          <w:iCs/>
        </w:rPr>
        <w:t>Zhuang Liu, Qian Chen</w:t>
      </w:r>
      <w:r w:rsidRPr="00277EC2">
        <w:rPr>
          <w:i/>
          <w:iCs/>
          <w:vertAlign w:val="superscript"/>
        </w:rPr>
        <w:t xml:space="preserve"> *</w:t>
      </w:r>
      <w:bookmarkEnd w:id="0"/>
    </w:p>
    <w:p w14:paraId="406C5C56" w14:textId="5E666C16" w:rsidR="00AF338A" w:rsidRPr="00CF5333" w:rsidRDefault="00AF338A" w:rsidP="00AF338A">
      <w:pPr>
        <w:pStyle w:val="Tableofcontents"/>
      </w:pPr>
      <w:r w:rsidRPr="00CF5333">
        <w:t xml:space="preserve">Z. Xiao, T. Wei, H. Tao, Y. Chao, B. Liu, Q. Li, </w:t>
      </w:r>
      <w:r>
        <w:rPr>
          <w:rFonts w:eastAsia="游明朝" w:hint="eastAsia"/>
          <w:lang w:eastAsia="ja-JP"/>
        </w:rPr>
        <w:t xml:space="preserve">Y. Yang, </w:t>
      </w:r>
      <w:r w:rsidRPr="00CF5333">
        <w:t>Z. Liu, Q. Chen</w:t>
      </w:r>
    </w:p>
    <w:p w14:paraId="181F390B" w14:textId="77777777" w:rsidR="00AF338A" w:rsidRPr="00CF5333" w:rsidRDefault="00AF338A" w:rsidP="00AF338A">
      <w:pPr>
        <w:spacing w:line="324" w:lineRule="auto"/>
        <w:jc w:val="both"/>
      </w:pPr>
      <w:r w:rsidRPr="00CF5333">
        <w:t>Institute of Functional Nano &amp; Soft Materials (FUNSOM), Jiangsu Key Laboratory for Carbon-Based Functional Materials and Devices, Soochow University, Suzhou 215123, China.</w:t>
      </w:r>
    </w:p>
    <w:p w14:paraId="00DC20C2" w14:textId="77777777" w:rsidR="00AF338A" w:rsidRPr="00CF5333" w:rsidRDefault="00AF338A" w:rsidP="00AF338A">
      <w:pPr>
        <w:spacing w:line="324" w:lineRule="auto"/>
        <w:jc w:val="both"/>
      </w:pPr>
      <w:r w:rsidRPr="00CF5333">
        <w:rPr>
          <w:color w:val="000000"/>
        </w:rPr>
        <w:t>E-mail:</w:t>
      </w:r>
      <w:r w:rsidRPr="00CF5333">
        <w:t xml:space="preserve"> </w:t>
      </w:r>
      <w:hyperlink r:id="rId7" w:history="1">
        <w:r w:rsidRPr="00CF5333">
          <w:rPr>
            <w:rStyle w:val="a4"/>
          </w:rPr>
          <w:t>chenqian@suda.edu.cn</w:t>
        </w:r>
      </w:hyperlink>
    </w:p>
    <w:p w14:paraId="17E16A13" w14:textId="77777777" w:rsidR="00AF338A" w:rsidRPr="00CF5333" w:rsidRDefault="00AF338A" w:rsidP="00AF338A">
      <w:pPr>
        <w:spacing w:line="324" w:lineRule="auto"/>
        <w:jc w:val="both"/>
        <w:rPr>
          <w:rFonts w:eastAsiaTheme="minorEastAsia"/>
          <w:lang w:eastAsia="zh-CN"/>
        </w:rPr>
      </w:pPr>
      <w:r w:rsidRPr="00CF5333">
        <w:rPr>
          <w:rFonts w:eastAsiaTheme="minorEastAsia"/>
          <w:lang w:eastAsia="zh-CN"/>
        </w:rPr>
        <w:t>G. Li, D. Deng</w:t>
      </w:r>
    </w:p>
    <w:p w14:paraId="3DAF2C34" w14:textId="77777777" w:rsidR="00AF338A" w:rsidRDefault="00AF338A" w:rsidP="00AF338A">
      <w:pPr>
        <w:spacing w:line="324" w:lineRule="auto"/>
        <w:jc w:val="both"/>
      </w:pPr>
      <w:r w:rsidRPr="00CF5333">
        <w:t xml:space="preserve">Institute of Urology, The Affiliated </w:t>
      </w:r>
      <w:proofErr w:type="spellStart"/>
      <w:r w:rsidRPr="00CF5333">
        <w:t>Luohu</w:t>
      </w:r>
      <w:proofErr w:type="spellEnd"/>
      <w:r w:rsidRPr="00CF5333">
        <w:t xml:space="preserve"> Hospital of Shenzhen University, Shenzhen University, Shenzhen 518000, China</w:t>
      </w:r>
    </w:p>
    <w:p w14:paraId="043F88F2" w14:textId="77777777" w:rsidR="00AF338A" w:rsidRDefault="00AF338A" w:rsidP="00AF338A">
      <w:pPr>
        <w:spacing w:line="324" w:lineRule="auto"/>
        <w:jc w:val="both"/>
        <w:rPr>
          <w:rFonts w:eastAsiaTheme="minorEastAsia"/>
          <w:lang w:eastAsia="zh-CN"/>
        </w:rPr>
      </w:pPr>
      <w:r>
        <w:rPr>
          <w:rFonts w:eastAsiaTheme="minorEastAsia"/>
          <w:lang w:eastAsia="zh-CN"/>
        </w:rPr>
        <w:t>G. Chen</w:t>
      </w:r>
    </w:p>
    <w:p w14:paraId="147550A2" w14:textId="77777777" w:rsidR="00AF338A" w:rsidRPr="007352B5" w:rsidRDefault="00AF338A" w:rsidP="00AF338A">
      <w:pPr>
        <w:spacing w:line="324" w:lineRule="auto"/>
        <w:jc w:val="both"/>
        <w:rPr>
          <w:rFonts w:eastAsiaTheme="minorEastAsia"/>
          <w:lang w:eastAsia="zh-CN"/>
        </w:rPr>
      </w:pPr>
      <w:r w:rsidRPr="007352B5">
        <w:rPr>
          <w:rFonts w:eastAsiaTheme="minorEastAsia"/>
          <w:lang w:eastAsia="zh-CN"/>
        </w:rPr>
        <w:t>Research Center for Macromolecules and Biomaterials</w:t>
      </w:r>
      <w:r>
        <w:rPr>
          <w:rFonts w:eastAsiaTheme="minorEastAsia"/>
          <w:lang w:eastAsia="zh-CN"/>
        </w:rPr>
        <w:t xml:space="preserve">, </w:t>
      </w:r>
      <w:r w:rsidRPr="007352B5">
        <w:rPr>
          <w:rFonts w:eastAsiaTheme="minorEastAsia"/>
          <w:lang w:eastAsia="zh-CN"/>
        </w:rPr>
        <w:t>National Institute for Materials Science</w:t>
      </w:r>
      <w:r>
        <w:rPr>
          <w:rFonts w:eastAsiaTheme="minorEastAsia"/>
          <w:lang w:eastAsia="zh-CN"/>
        </w:rPr>
        <w:t xml:space="preserve">, </w:t>
      </w:r>
      <w:r w:rsidRPr="007352B5">
        <w:rPr>
          <w:rFonts w:eastAsiaTheme="minorEastAsia"/>
          <w:lang w:eastAsia="zh-CN"/>
        </w:rPr>
        <w:t>Tsukuba, Ibaraki 305-0044, Japan</w:t>
      </w:r>
    </w:p>
    <w:p w14:paraId="29E08D33" w14:textId="77777777" w:rsidR="00B00BD1" w:rsidRDefault="00B00BD1" w:rsidP="00B00BD1">
      <w:pPr>
        <w:jc w:val="both"/>
        <w:rPr>
          <w:rFonts w:ascii="Times New Roman" w:eastAsia="游明朝" w:hAnsi="Times New Roman" w:hint="default"/>
          <w:sz w:val="24"/>
          <w:szCs w:val="24"/>
        </w:rPr>
      </w:pPr>
    </w:p>
    <w:p w14:paraId="1420E02F" w14:textId="11F4216F" w:rsidR="007C0900" w:rsidRDefault="00AF338A" w:rsidP="007C0900">
      <w:pPr>
        <w:spacing w:line="360" w:lineRule="auto"/>
        <w:rPr>
          <w:rFonts w:eastAsia="游明朝" w:hint="default"/>
        </w:rPr>
      </w:pPr>
      <w:r w:rsidRPr="00CF5333">
        <w:rPr>
          <w:b/>
          <w:bCs/>
        </w:rPr>
        <w:t>Keywords:</w:t>
      </w:r>
      <w:r w:rsidRPr="00277EC2">
        <w:t xml:space="preserve"> </w:t>
      </w:r>
      <w:r w:rsidR="007C0900" w:rsidRPr="007C0900">
        <w:rPr>
          <w:rFonts w:eastAsia="游明朝"/>
        </w:rPr>
        <w:t>cancer immunotherapy, fluorinated chitosan, needle-free vaccines, transdermal delivery</w:t>
      </w:r>
    </w:p>
    <w:p w14:paraId="4EB57475" w14:textId="77777777" w:rsidR="007C0900" w:rsidRDefault="007C0900" w:rsidP="007C0900">
      <w:pPr>
        <w:spacing w:line="360" w:lineRule="auto"/>
        <w:rPr>
          <w:rFonts w:eastAsia="游明朝" w:hint="default"/>
          <w:lang w:val="en-GB"/>
        </w:rPr>
      </w:pPr>
    </w:p>
    <w:p w14:paraId="7E9333F7" w14:textId="77777777" w:rsidR="00AF338A" w:rsidRDefault="00AF338A" w:rsidP="00AF338A">
      <w:pPr>
        <w:spacing w:line="360" w:lineRule="auto"/>
        <w:rPr>
          <w:rFonts w:eastAsia="游明朝" w:hint="default"/>
          <w:lang w:val="en-GB"/>
        </w:rPr>
      </w:pPr>
      <w:r>
        <w:rPr>
          <w:b/>
          <w:bCs/>
          <w:szCs w:val="28"/>
        </w:rPr>
        <w:t>Abstract</w:t>
      </w:r>
    </w:p>
    <w:p w14:paraId="46A9DB88" w14:textId="77777777" w:rsidR="00AF338A" w:rsidRDefault="00AF338A" w:rsidP="00AF338A">
      <w:pPr>
        <w:spacing w:line="360" w:lineRule="auto"/>
        <w:rPr>
          <w:rFonts w:eastAsia="游明朝" w:hint="default"/>
        </w:rPr>
      </w:pPr>
      <w:r w:rsidRPr="00AF338A">
        <w:t xml:space="preserve">In recent years, cancer vaccines that intend to specifically initiate host immune responses against cancer have achieved some clinical success. Delivery of vaccines with traditional needles is usually associated with the risk of infection and poor patient compliance. The development of needle-free vaccines may overcome these limitations. In this work, a needle-free patch is designed for effective cancer vaccination using a fluorine chain-modified cationic polymer, fluorinated chitosan (FCS), which is able to </w:t>
      </w:r>
      <w:proofErr w:type="spellStart"/>
      <w:r w:rsidRPr="00AF338A">
        <w:t>transdermatically</w:t>
      </w:r>
      <w:proofErr w:type="spellEnd"/>
      <w:r w:rsidRPr="00AF338A">
        <w:t xml:space="preserve"> deliver the antigen to antigen-presenting cells in the skin. Specifically, a transdermal carrier, FCS, and model antigen ovalbumin (OVA) can self-assemble into nanoparticles, which can reversibly open the tight junction-associated proteins of epithelial cells and penetrate across the epidermis. The needle-free cancer vaccine patch is fabricated by mixing FCS-OVA nanoparticles with the US Food and Drug Administration-approved immune adjuvant imiquimod (R837) in blank cream. Such a needle-free cancer vaccine can generate robust immune responses to protect mice </w:t>
      </w:r>
      <w:r w:rsidRPr="00AF338A">
        <w:lastRenderedPageBreak/>
        <w:t>against ovalbumin-expressing melanoma (B16-OVA). Compared to traditional intradermal injection, needle-free cancer vaccines achieved an even more efficient protection effect against B16-OVA cancer cells. This work indicated that the novel needle-free cancer vaccine may provide a compelling technology for simple and safe vaccination, which may help to increase vaccination coverage.</w:t>
      </w:r>
    </w:p>
    <w:p w14:paraId="200622E7" w14:textId="77777777" w:rsidR="00AF338A" w:rsidRPr="00AF338A" w:rsidRDefault="00AF338A" w:rsidP="00AF338A">
      <w:pPr>
        <w:ind w:firstLine="0"/>
        <w:jc w:val="both"/>
        <w:rPr>
          <w:rFonts w:eastAsia="游明朝"/>
        </w:rPr>
      </w:pPr>
    </w:p>
    <w:p w14:paraId="5072EDCB" w14:textId="77777777" w:rsidR="00AF338A" w:rsidRPr="00CF5333" w:rsidRDefault="00AF338A" w:rsidP="00AF338A">
      <w:pPr>
        <w:pStyle w:val="a3"/>
        <w:numPr>
          <w:ilvl w:val="0"/>
          <w:numId w:val="4"/>
        </w:numPr>
        <w:spacing w:line="360" w:lineRule="auto"/>
        <w:ind w:firstLineChars="0"/>
        <w:jc w:val="both"/>
        <w:rPr>
          <w:b/>
          <w:bCs/>
          <w:lang w:val="en-GB" w:eastAsia="zh-CN"/>
        </w:rPr>
      </w:pPr>
      <w:r w:rsidRPr="00CF5333">
        <w:rPr>
          <w:b/>
          <w:bCs/>
        </w:rPr>
        <w:t>Introduction</w:t>
      </w:r>
    </w:p>
    <w:p w14:paraId="641959CA" w14:textId="77777777" w:rsidR="00AF338A" w:rsidRDefault="00AF338A" w:rsidP="00AF338A">
      <w:pPr>
        <w:spacing w:line="360" w:lineRule="auto"/>
        <w:ind w:firstLine="360"/>
        <w:jc w:val="both"/>
      </w:pPr>
      <w:bookmarkStart w:id="1" w:name="OLE_LINK3"/>
      <w:bookmarkStart w:id="2" w:name="_Hlk76764772"/>
      <w:r w:rsidRPr="000C5FF7">
        <w:t>By boosting the body's immune system</w:t>
      </w:r>
      <w:r>
        <w:t xml:space="preserve"> </w:t>
      </w:r>
      <w:r>
        <w:rPr>
          <w:rFonts w:eastAsiaTheme="minorEastAsia"/>
          <w:lang w:eastAsia="zh-CN"/>
        </w:rPr>
        <w:t>to</w:t>
      </w:r>
      <w:r w:rsidRPr="000C5FF7">
        <w:t xml:space="preserve"> against cancer cells, cancer immunotherapy</w:t>
      </w:r>
      <w:r>
        <w:t>,</w:t>
      </w:r>
      <w:bookmarkEnd w:id="1"/>
      <w:r>
        <w:t xml:space="preserve"> including</w:t>
      </w:r>
      <w:r w:rsidRPr="000C5FF7">
        <w:t xml:space="preserve"> </w:t>
      </w:r>
      <w:r>
        <w:t xml:space="preserve">immune checkpoint blockade (ICB), cytokine therapy, chimeric antigen receptor (CAR)-T-cell therapy, and cancer </w:t>
      </w:r>
      <w:r>
        <w:rPr>
          <w:rFonts w:eastAsia="DengXian"/>
        </w:rPr>
        <w:t>vaccines</w:t>
      </w:r>
      <w:r>
        <w:t>, has achieved tremendous progress and shown promising therapeutic results in</w:t>
      </w:r>
      <w:r>
        <w:rPr>
          <w:rFonts w:eastAsia="DengXian"/>
        </w:rPr>
        <w:t xml:space="preserve"> the</w:t>
      </w:r>
      <w:r>
        <w:t xml:space="preserve"> </w:t>
      </w:r>
      <w:proofErr w:type="gramStart"/>
      <w:r>
        <w:t>clinic</w:t>
      </w:r>
      <w:r w:rsidRPr="004C498F">
        <w:rPr>
          <w:noProof/>
          <w:vertAlign w:val="superscript"/>
        </w:rPr>
        <w:t>[</w:t>
      </w:r>
      <w:proofErr w:type="gramEnd"/>
      <w:r w:rsidRPr="004C498F">
        <w:rPr>
          <w:noProof/>
          <w:vertAlign w:val="superscript"/>
        </w:rPr>
        <w:t>1-3]</w:t>
      </w:r>
      <w:r>
        <w:t xml:space="preserve">. Among them, cancer </w:t>
      </w:r>
      <w:r>
        <w:rPr>
          <w:rFonts w:eastAsia="DengXian"/>
        </w:rPr>
        <w:t>vaccines exhibit</w:t>
      </w:r>
      <w:r>
        <w:t xml:space="preserve"> many unique advantages, which usually </w:t>
      </w:r>
      <w:r>
        <w:rPr>
          <w:rFonts w:eastAsia="DengXian"/>
        </w:rPr>
        <w:t>raise</w:t>
      </w:r>
      <w:r>
        <w:t xml:space="preserve"> specific T</w:t>
      </w:r>
      <w:r>
        <w:noBreakHyphen/>
        <w:t>cell or B</w:t>
      </w:r>
      <w:r>
        <w:noBreakHyphen/>
        <w:t xml:space="preserve">cell responses against cancer and may provide long-term immune-memory effects to protect the patient from cancer </w:t>
      </w:r>
      <w:proofErr w:type="gramStart"/>
      <w:r>
        <w:t>recurrence</w:t>
      </w:r>
      <w:r w:rsidRPr="004C498F">
        <w:rPr>
          <w:noProof/>
          <w:vertAlign w:val="superscript"/>
        </w:rPr>
        <w:t>[</w:t>
      </w:r>
      <w:proofErr w:type="gramEnd"/>
      <w:r w:rsidRPr="004C498F">
        <w:rPr>
          <w:noProof/>
          <w:vertAlign w:val="superscript"/>
        </w:rPr>
        <w:t>4-6]</w:t>
      </w:r>
      <w:r>
        <w:t xml:space="preserve">. Effective cancer vaccines usually contain specific antigens, which are expected to be </w:t>
      </w:r>
      <w:r>
        <w:rPr>
          <w:rFonts w:eastAsia="DengXian"/>
        </w:rPr>
        <w:t>overexpressed</w:t>
      </w:r>
      <w:r>
        <w:t xml:space="preserve"> in cancer cells rather than normal cells, and adjuvants, which could improve the immunogenicity of </w:t>
      </w:r>
      <w:proofErr w:type="gramStart"/>
      <w:r>
        <w:t>antigens</w:t>
      </w:r>
      <w:r w:rsidRPr="004C498F">
        <w:rPr>
          <w:noProof/>
          <w:vertAlign w:val="superscript"/>
        </w:rPr>
        <w:t>[</w:t>
      </w:r>
      <w:proofErr w:type="gramEnd"/>
      <w:r w:rsidRPr="004C498F">
        <w:rPr>
          <w:noProof/>
          <w:vertAlign w:val="superscript"/>
        </w:rPr>
        <w:t>7, 8]</w:t>
      </w:r>
      <w:r>
        <w:t xml:space="preserve">. During cancer </w:t>
      </w:r>
      <w:r>
        <w:rPr>
          <w:rFonts w:eastAsia="DengXian"/>
        </w:rPr>
        <w:t>vaccination</w:t>
      </w:r>
      <w:r>
        <w:t>, resting dendritic cells (</w:t>
      </w:r>
      <w:r>
        <w:rPr>
          <w:rFonts w:eastAsia="DengXian"/>
        </w:rPr>
        <w:t>DCs</w:t>
      </w:r>
      <w:r>
        <w:t xml:space="preserve">) </w:t>
      </w:r>
      <w:r>
        <w:rPr>
          <w:rFonts w:eastAsia="DengXian"/>
        </w:rPr>
        <w:t>can</w:t>
      </w:r>
      <w:r>
        <w:t xml:space="preserve"> be activated and loaded with antigen, programmed to migrate to nearby lymph nodes, and then present antigens in the form of small peptides bound within the major histocompatibility complex (MHC</w:t>
      </w:r>
      <w:proofErr w:type="gramStart"/>
      <w:r>
        <w:t>)</w:t>
      </w:r>
      <w:r w:rsidRPr="004C498F">
        <w:rPr>
          <w:noProof/>
          <w:vertAlign w:val="superscript"/>
        </w:rPr>
        <w:t>[</w:t>
      </w:r>
      <w:proofErr w:type="gramEnd"/>
      <w:r w:rsidRPr="004C498F">
        <w:rPr>
          <w:noProof/>
          <w:vertAlign w:val="superscript"/>
        </w:rPr>
        <w:t>9, 10]</w:t>
      </w:r>
      <w:r>
        <w:t xml:space="preserve">. Then, T cells </w:t>
      </w:r>
      <w:r>
        <w:rPr>
          <w:rFonts w:eastAsia="DengXian"/>
        </w:rPr>
        <w:t>can</w:t>
      </w:r>
      <w:r>
        <w:t xml:space="preserve"> recognize the complex of specific peptide and MHC molecules, activate with additional signals provided by </w:t>
      </w:r>
      <w:r>
        <w:rPr>
          <w:rFonts w:eastAsia="DengXian"/>
        </w:rPr>
        <w:t>mature</w:t>
      </w:r>
      <w:r>
        <w:t xml:space="preserve"> DCs, and then traffic widely through the body to attack their targeted cancer </w:t>
      </w:r>
      <w:proofErr w:type="gramStart"/>
      <w:r>
        <w:t>cells</w:t>
      </w:r>
      <w:r w:rsidRPr="004C498F">
        <w:rPr>
          <w:noProof/>
          <w:vertAlign w:val="superscript"/>
        </w:rPr>
        <w:t>[</w:t>
      </w:r>
      <w:proofErr w:type="gramEnd"/>
      <w:r w:rsidRPr="004C498F">
        <w:rPr>
          <w:noProof/>
          <w:vertAlign w:val="superscript"/>
        </w:rPr>
        <w:t>11-13]</w:t>
      </w:r>
      <w:r>
        <w:t>.</w:t>
      </w:r>
    </w:p>
    <w:p w14:paraId="3B967A71" w14:textId="77777777" w:rsidR="00AF338A" w:rsidRDefault="00AF338A" w:rsidP="00AF338A">
      <w:pPr>
        <w:spacing w:line="360" w:lineRule="auto"/>
        <w:ind w:firstLine="360"/>
        <w:jc w:val="both"/>
      </w:pPr>
      <w:r>
        <w:t xml:space="preserve">Typically, most vaccines are administered through needles due to </w:t>
      </w:r>
      <w:r>
        <w:rPr>
          <w:rFonts w:eastAsia="DengXian"/>
        </w:rPr>
        <w:t>their</w:t>
      </w:r>
      <w:r>
        <w:t xml:space="preserve"> effectiveness in delivering the vaccines into the body. However, needle injections are usually associated with the risk of infection, poor patient compliance</w:t>
      </w:r>
      <w:r>
        <w:rPr>
          <w:rFonts w:eastAsia="DengXian"/>
        </w:rPr>
        <w:t>,</w:t>
      </w:r>
      <w:r>
        <w:t xml:space="preserve"> especially for children, special training of medical staff to </w:t>
      </w:r>
      <w:r>
        <w:rPr>
          <w:rFonts w:eastAsia="DengXian"/>
        </w:rPr>
        <w:t>operate</w:t>
      </w:r>
      <w:r>
        <w:t xml:space="preserve"> properly and subsequent needle </w:t>
      </w:r>
      <w:proofErr w:type="gramStart"/>
      <w:r>
        <w:t>handling</w:t>
      </w:r>
      <w:r w:rsidRPr="004C498F">
        <w:rPr>
          <w:noProof/>
          <w:vertAlign w:val="superscript"/>
        </w:rPr>
        <w:t>[</w:t>
      </w:r>
      <w:proofErr w:type="gramEnd"/>
      <w:r w:rsidRPr="004C498F">
        <w:rPr>
          <w:noProof/>
          <w:vertAlign w:val="superscript"/>
        </w:rPr>
        <w:t>14-16]</w:t>
      </w:r>
      <w:r>
        <w:t>. Additionally, there are a large number of antigen-presenting cells (APCs), also called Langerhans cells</w:t>
      </w:r>
      <w:r>
        <w:rPr>
          <w:rFonts w:eastAsia="DengXian"/>
        </w:rPr>
        <w:t>,</w:t>
      </w:r>
      <w:r>
        <w:t xml:space="preserve"> in the epidermis of skin, </w:t>
      </w:r>
      <w:r w:rsidRPr="00597E84">
        <w:t xml:space="preserve">which can enter draining lymph nodes and deliver antigens to T cells </w:t>
      </w:r>
      <w:r>
        <w:t>and</w:t>
      </w:r>
      <w:r w:rsidRPr="00597E84">
        <w:t xml:space="preserve"> trigger strong immune </w:t>
      </w:r>
      <w:proofErr w:type="gramStart"/>
      <w:r w:rsidRPr="00597E84">
        <w:t>responses</w:t>
      </w:r>
      <w:r w:rsidRPr="004C498F">
        <w:rPr>
          <w:noProof/>
          <w:vertAlign w:val="superscript"/>
        </w:rPr>
        <w:t>[</w:t>
      </w:r>
      <w:proofErr w:type="gramEnd"/>
      <w:r w:rsidRPr="004C498F">
        <w:rPr>
          <w:noProof/>
          <w:vertAlign w:val="superscript"/>
        </w:rPr>
        <w:t>17]</w:t>
      </w:r>
      <w:r>
        <w:t xml:space="preserve">. Needle delivery of </w:t>
      </w:r>
      <w:r>
        <w:rPr>
          <w:rFonts w:eastAsia="DengXian"/>
        </w:rPr>
        <w:t>vaccines</w:t>
      </w:r>
      <w:r>
        <w:t xml:space="preserve"> may bypass abundant APCs, resulting in inefficient immune responses. Thus, transdermal delivery of </w:t>
      </w:r>
      <w:r>
        <w:rPr>
          <w:rFonts w:eastAsia="DengXian"/>
        </w:rPr>
        <w:t>vaccines</w:t>
      </w:r>
      <w:r>
        <w:t xml:space="preserve"> into the epidermis of skin may be an ideal strategy for </w:t>
      </w:r>
      <w:proofErr w:type="gramStart"/>
      <w:r>
        <w:t>vaccination</w:t>
      </w:r>
      <w:r w:rsidRPr="004C498F">
        <w:rPr>
          <w:noProof/>
          <w:vertAlign w:val="superscript"/>
        </w:rPr>
        <w:t>[</w:t>
      </w:r>
      <w:proofErr w:type="gramEnd"/>
      <w:r w:rsidRPr="004C498F">
        <w:rPr>
          <w:noProof/>
          <w:vertAlign w:val="superscript"/>
        </w:rPr>
        <w:t>18, 19]</w:t>
      </w:r>
      <w:r>
        <w:t xml:space="preserve">. Recently, various transdermal delivery </w:t>
      </w:r>
      <w:r>
        <w:rPr>
          <w:rFonts w:eastAsia="DengXian"/>
        </w:rPr>
        <w:t>systems</w:t>
      </w:r>
      <w:r>
        <w:t xml:space="preserve"> based on chemical </w:t>
      </w:r>
      <w:proofErr w:type="gramStart"/>
      <w:r>
        <w:t>enhancers</w:t>
      </w:r>
      <w:r w:rsidRPr="004C498F">
        <w:rPr>
          <w:noProof/>
          <w:vertAlign w:val="superscript"/>
        </w:rPr>
        <w:t>[</w:t>
      </w:r>
      <w:proofErr w:type="gramEnd"/>
      <w:r w:rsidRPr="004C498F">
        <w:rPr>
          <w:noProof/>
          <w:vertAlign w:val="superscript"/>
        </w:rPr>
        <w:t>20]</w:t>
      </w:r>
      <w:r>
        <w:rPr>
          <w:rFonts w:eastAsia="DengXian"/>
        </w:rPr>
        <w:t xml:space="preserve"> and</w:t>
      </w:r>
      <w:r>
        <w:t xml:space="preserve"> physical enhancement devices such as </w:t>
      </w:r>
      <w:proofErr w:type="spellStart"/>
      <w:r>
        <w:t>cavitational</w:t>
      </w:r>
      <w:proofErr w:type="spellEnd"/>
      <w:r>
        <w:t xml:space="preserve"> ultrasound</w:t>
      </w:r>
      <w:r w:rsidRPr="004C498F">
        <w:rPr>
          <w:noProof/>
          <w:vertAlign w:val="superscript"/>
        </w:rPr>
        <w:t>[21]</w:t>
      </w:r>
      <w:r>
        <w:t>, iontophoresis</w:t>
      </w:r>
      <w:r w:rsidRPr="004C498F">
        <w:rPr>
          <w:noProof/>
          <w:vertAlign w:val="superscript"/>
        </w:rPr>
        <w:t>[22]</w:t>
      </w:r>
      <w:r>
        <w:t>, microdermabrasion</w:t>
      </w:r>
      <w:r w:rsidRPr="004C498F">
        <w:rPr>
          <w:noProof/>
          <w:vertAlign w:val="superscript"/>
        </w:rPr>
        <w:t>[23]</w:t>
      </w:r>
      <w:r>
        <w:t xml:space="preserve"> and microneedles</w:t>
      </w:r>
      <w:r w:rsidRPr="004C498F">
        <w:rPr>
          <w:noProof/>
          <w:vertAlign w:val="superscript"/>
        </w:rPr>
        <w:t>[24]</w:t>
      </w:r>
      <w:r>
        <w:t xml:space="preserve"> have been developed. Although these strategies could be used for </w:t>
      </w:r>
      <w:r>
        <w:rPr>
          <w:rFonts w:eastAsia="DengXian"/>
        </w:rPr>
        <w:t xml:space="preserve">the </w:t>
      </w:r>
      <w:r>
        <w:t xml:space="preserve">transdermal delivery of </w:t>
      </w:r>
      <w:r>
        <w:rPr>
          <w:rFonts w:eastAsia="DengXian"/>
        </w:rPr>
        <w:t>vaccines</w:t>
      </w:r>
      <w:r>
        <w:t xml:space="preserve">, they still </w:t>
      </w:r>
      <w:r>
        <w:lastRenderedPageBreak/>
        <w:t xml:space="preserve">face many challenges. For example, chemical enhancers, such as membrane penetrating peptides, usually show inefficient transdermal delivery </w:t>
      </w:r>
      <w:proofErr w:type="gramStart"/>
      <w:r>
        <w:t>efficiency</w:t>
      </w:r>
      <w:r w:rsidRPr="004C498F">
        <w:rPr>
          <w:noProof/>
          <w:vertAlign w:val="superscript"/>
        </w:rPr>
        <w:t>[</w:t>
      </w:r>
      <w:proofErr w:type="gramEnd"/>
      <w:r w:rsidRPr="004C498F">
        <w:rPr>
          <w:noProof/>
          <w:vertAlign w:val="superscript"/>
        </w:rPr>
        <w:t>25, 26]</w:t>
      </w:r>
      <w:r>
        <w:t xml:space="preserve">. Meanwhile, physical enhancement devices usually depend on large equipment to open the epithelial barrier through pulses with high energy, which may be inconvenient, expensive and </w:t>
      </w:r>
      <w:proofErr w:type="gramStart"/>
      <w:r>
        <w:t>invasive</w:t>
      </w:r>
      <w:r w:rsidRPr="004C498F">
        <w:rPr>
          <w:noProof/>
          <w:vertAlign w:val="superscript"/>
        </w:rPr>
        <w:t>[</w:t>
      </w:r>
      <w:proofErr w:type="gramEnd"/>
      <w:r w:rsidRPr="004C498F">
        <w:rPr>
          <w:noProof/>
          <w:vertAlign w:val="superscript"/>
        </w:rPr>
        <w:t>27, 28]</w:t>
      </w:r>
      <w:r>
        <w:t>. Moreover, although microneedles have shown great potential for vaccine delivery, they</w:t>
      </w:r>
      <w:r>
        <w:rPr>
          <w:rFonts w:eastAsia="DengXian"/>
        </w:rPr>
        <w:t xml:space="preserve"> could</w:t>
      </w:r>
      <w:r>
        <w:t xml:space="preserve"> still induce slight damage to the skin with many small needles, which also </w:t>
      </w:r>
      <w:r>
        <w:rPr>
          <w:rFonts w:eastAsia="DengXian"/>
        </w:rPr>
        <w:t>has</w:t>
      </w:r>
      <w:r>
        <w:t xml:space="preserve"> the risk of </w:t>
      </w:r>
      <w:proofErr w:type="gramStart"/>
      <w:r>
        <w:t>infection</w:t>
      </w:r>
      <w:r w:rsidRPr="004C498F">
        <w:rPr>
          <w:noProof/>
          <w:vertAlign w:val="superscript"/>
        </w:rPr>
        <w:t>[</w:t>
      </w:r>
      <w:proofErr w:type="gramEnd"/>
      <w:r w:rsidRPr="004C498F">
        <w:rPr>
          <w:noProof/>
          <w:vertAlign w:val="superscript"/>
        </w:rPr>
        <w:t>16, 29, 30]</w:t>
      </w:r>
      <w:r>
        <w:t xml:space="preserve">. Thus, </w:t>
      </w:r>
      <w:r w:rsidRPr="00597E84">
        <w:t>it is still vital to develop novel transdermal delivery systems</w:t>
      </w:r>
      <w:r>
        <w:t xml:space="preserve"> to achieve</w:t>
      </w:r>
      <w:r w:rsidRPr="00597E84">
        <w:t xml:space="preserve"> needle-free vaccinations.</w:t>
      </w:r>
    </w:p>
    <w:p w14:paraId="16E415A6" w14:textId="77777777" w:rsidR="00AF338A" w:rsidRDefault="00AF338A" w:rsidP="00AF338A">
      <w:pPr>
        <w:spacing w:line="360" w:lineRule="auto"/>
        <w:ind w:firstLine="360"/>
        <w:jc w:val="both"/>
      </w:pPr>
      <w:r>
        <w:t xml:space="preserve">Chitosan (CS), a naturally degradable polysaccharide with good biocompatibility, has been reported to have the ability to cross the mucosal </w:t>
      </w:r>
      <w:proofErr w:type="gramStart"/>
      <w:r>
        <w:t>barrier</w:t>
      </w:r>
      <w:r w:rsidRPr="004C498F">
        <w:rPr>
          <w:noProof/>
          <w:vertAlign w:val="superscript"/>
        </w:rPr>
        <w:t>[</w:t>
      </w:r>
      <w:proofErr w:type="gramEnd"/>
      <w:r w:rsidRPr="004C498F">
        <w:rPr>
          <w:noProof/>
          <w:vertAlign w:val="superscript"/>
        </w:rPr>
        <w:t>31, 32]</w:t>
      </w:r>
      <w:r>
        <w:t xml:space="preserve">. In our recent works, we found that modifying chitosan with fluorine chains could effectively transport macromolecules, such as antibodies against biological </w:t>
      </w:r>
      <w:proofErr w:type="gramStart"/>
      <w:r>
        <w:t>barriers</w:t>
      </w:r>
      <w:r w:rsidRPr="004C498F">
        <w:rPr>
          <w:noProof/>
          <w:vertAlign w:val="superscript"/>
        </w:rPr>
        <w:t>[</w:t>
      </w:r>
      <w:proofErr w:type="gramEnd"/>
      <w:r w:rsidRPr="004C498F">
        <w:rPr>
          <w:noProof/>
          <w:vertAlign w:val="superscript"/>
        </w:rPr>
        <w:t>7, 33-37]</w:t>
      </w:r>
      <w:r>
        <w:t>. Thus, modifying chitosan with fluorine chains may be an effective strategy to</w:t>
      </w:r>
      <w:bookmarkStart w:id="3" w:name="OLE_LINK1"/>
      <w:bookmarkStart w:id="4" w:name="OLE_LINK2"/>
      <w:r>
        <w:t xml:space="preserve"> </w:t>
      </w:r>
      <w:bookmarkEnd w:id="3"/>
      <w:bookmarkEnd w:id="4"/>
      <w:proofErr w:type="spellStart"/>
      <w:r>
        <w:rPr>
          <w:rFonts w:eastAsia="DengXian"/>
        </w:rPr>
        <w:t>transdermally</w:t>
      </w:r>
      <w:proofErr w:type="spellEnd"/>
      <w:r>
        <w:t xml:space="preserve"> deliver cancer vaccines. Taking advantage of the amino-rich nature of </w:t>
      </w:r>
      <w:proofErr w:type="gramStart"/>
      <w:r>
        <w:t>chitosan</w:t>
      </w:r>
      <w:r w:rsidRPr="00A0400C">
        <w:rPr>
          <w:noProof/>
          <w:vertAlign w:val="superscript"/>
        </w:rPr>
        <w:t>[</w:t>
      </w:r>
      <w:proofErr w:type="gramEnd"/>
      <w:r w:rsidRPr="00A0400C">
        <w:rPr>
          <w:noProof/>
          <w:vertAlign w:val="superscript"/>
        </w:rPr>
        <w:t>38]</w:t>
      </w:r>
      <w:r>
        <w:t xml:space="preserve">, </w:t>
      </w:r>
      <w:proofErr w:type="spellStart"/>
      <w:r>
        <w:t>perfluoroheptanoic</w:t>
      </w:r>
      <w:proofErr w:type="spellEnd"/>
      <w:r>
        <w:t xml:space="preserve"> acid was grafted onto chitosan via </w:t>
      </w:r>
      <w:r>
        <w:rPr>
          <w:rFonts w:eastAsia="DengXian"/>
        </w:rPr>
        <w:t xml:space="preserve">an </w:t>
      </w:r>
      <w:r>
        <w:t xml:space="preserve">amino-carboxylate coupling reaction. It was found that the obtained fluorinated chitosan (FCS) was able to self-assemble with </w:t>
      </w:r>
      <w:r>
        <w:rPr>
          <w:rFonts w:eastAsia="DengXian"/>
        </w:rPr>
        <w:t xml:space="preserve">the </w:t>
      </w:r>
      <w:r>
        <w:t>model antigen ovalbumin (OVA) to form stable nanoparticles, which could reversibly open the tight junction</w:t>
      </w:r>
      <w:r>
        <w:rPr>
          <w:rFonts w:eastAsia="DengXian"/>
        </w:rPr>
        <w:t>-</w:t>
      </w:r>
      <w:r>
        <w:t xml:space="preserve">associated proteins of epithelial cells and penetrate </w:t>
      </w:r>
      <w:r>
        <w:rPr>
          <w:rFonts w:eastAsia="DengXian"/>
        </w:rPr>
        <w:t>across</w:t>
      </w:r>
      <w:r>
        <w:t xml:space="preserve"> the epithelial barrier into the dermis. We have </w:t>
      </w:r>
      <w:r>
        <w:rPr>
          <w:rFonts w:eastAsia="DengXian"/>
        </w:rPr>
        <w:t>demonstrated</w:t>
      </w:r>
      <w:r>
        <w:t xml:space="preserve"> the excellent transdermal ability of FCS-OVA nanoparticles in both </w:t>
      </w:r>
      <w:r>
        <w:rPr>
          <w:rFonts w:eastAsia="DengXian"/>
        </w:rPr>
        <w:t xml:space="preserve">the </w:t>
      </w:r>
      <w:r>
        <w:t xml:space="preserve">Franz diffusion chamber </w:t>
      </w:r>
      <w:proofErr w:type="gramStart"/>
      <w:r>
        <w:t>assay</w:t>
      </w:r>
      <w:r w:rsidRPr="004C498F">
        <w:rPr>
          <w:noProof/>
          <w:vertAlign w:val="superscript"/>
        </w:rPr>
        <w:t>[</w:t>
      </w:r>
      <w:proofErr w:type="gramEnd"/>
      <w:r w:rsidRPr="004C498F">
        <w:rPr>
          <w:noProof/>
          <w:vertAlign w:val="superscript"/>
        </w:rPr>
        <w:t>39]</w:t>
      </w:r>
      <w:r>
        <w:t xml:space="preserve"> in vitro and lymph node accumulation in vivo. To improve the immune stimulation effect achieved by FCS-OVA, </w:t>
      </w:r>
      <w:r>
        <w:rPr>
          <w:rFonts w:eastAsia="DengXian"/>
        </w:rPr>
        <w:t xml:space="preserve">a </w:t>
      </w:r>
      <w:r>
        <w:t>US Food and Drug Administration (FDA)-approved immune adjuvant, imiquimod (R837), was introduced to be mixed in the commercial cream containing FCS-OVA. With the help of FCS,</w:t>
      </w:r>
      <w:r>
        <w:rPr>
          <w:rFonts w:eastAsia="DengXian"/>
        </w:rPr>
        <w:t xml:space="preserve"> the</w:t>
      </w:r>
      <w:r>
        <w:t xml:space="preserve"> model antigen OVA </w:t>
      </w:r>
      <w:r>
        <w:rPr>
          <w:rFonts w:eastAsia="DengXian"/>
        </w:rPr>
        <w:t>can</w:t>
      </w:r>
      <w:r>
        <w:t xml:space="preserve"> penetrate across the epithelial cell barrier, </w:t>
      </w:r>
      <w:r>
        <w:rPr>
          <w:rFonts w:eastAsia="DengXian"/>
        </w:rPr>
        <w:t>accumulate in</w:t>
      </w:r>
      <w:r>
        <w:t xml:space="preserve"> nearby lymph nodes and </w:t>
      </w:r>
      <w:r>
        <w:rPr>
          <w:rFonts w:eastAsia="DengXian"/>
        </w:rPr>
        <w:t>trigger the</w:t>
      </w:r>
      <w:r>
        <w:t xml:space="preserve"> antigen presentation </w:t>
      </w:r>
      <w:proofErr w:type="gramStart"/>
      <w:r>
        <w:t>process</w:t>
      </w:r>
      <w:r w:rsidRPr="00CF7FB7">
        <w:rPr>
          <w:noProof/>
          <w:vertAlign w:val="superscript"/>
        </w:rPr>
        <w:t>[</w:t>
      </w:r>
      <w:proofErr w:type="gramEnd"/>
      <w:r w:rsidRPr="00CF7FB7">
        <w:rPr>
          <w:noProof/>
          <w:vertAlign w:val="superscript"/>
        </w:rPr>
        <w:t>40]</w:t>
      </w:r>
      <w:r>
        <w:t xml:space="preserve">. </w:t>
      </w:r>
      <w:r>
        <w:rPr>
          <w:rFonts w:eastAsia="DengXian"/>
        </w:rPr>
        <w:t xml:space="preserve">The </w:t>
      </w:r>
      <w:r>
        <w:t xml:space="preserve">presence of R837, which is a potent TLR7 agonist, could further promote antigen </w:t>
      </w:r>
      <w:proofErr w:type="gramStart"/>
      <w:r>
        <w:t>presentation</w:t>
      </w:r>
      <w:r w:rsidRPr="00CF7FB7">
        <w:rPr>
          <w:noProof/>
          <w:vertAlign w:val="superscript"/>
        </w:rPr>
        <w:t>[</w:t>
      </w:r>
      <w:proofErr w:type="gramEnd"/>
      <w:r w:rsidRPr="00CF7FB7">
        <w:rPr>
          <w:noProof/>
          <w:vertAlign w:val="superscript"/>
        </w:rPr>
        <w:t>41]</w:t>
      </w:r>
      <w:r>
        <w:t xml:space="preserve">. Using </w:t>
      </w:r>
      <w:r>
        <w:rPr>
          <w:rFonts w:eastAsia="DengXian"/>
        </w:rPr>
        <w:t>this</w:t>
      </w:r>
      <w:r>
        <w:t xml:space="preserve"> needle-free cancer vaccine, FCS-OVA/R837, robust antigen-specific cellular immune responses could be triggered, which could effectively protect mice against B16-OVA melanoma. Thus, our work </w:t>
      </w:r>
      <w:r>
        <w:rPr>
          <w:rFonts w:eastAsia="DengXian"/>
        </w:rPr>
        <w:t>provides</w:t>
      </w:r>
      <w:r>
        <w:t xml:space="preserve"> a novel and efficient strategy to prepare needle-free cancer vaccine </w:t>
      </w:r>
      <w:r>
        <w:rPr>
          <w:rFonts w:eastAsia="DengXian"/>
        </w:rPr>
        <w:t>patches that</w:t>
      </w:r>
      <w:r>
        <w:t xml:space="preserve"> effectively prevent cancer recurrence and metastasis.</w:t>
      </w:r>
      <w:bookmarkEnd w:id="2"/>
    </w:p>
    <w:p w14:paraId="5640AFC8" w14:textId="77777777" w:rsidR="00AF338A" w:rsidRPr="00CF5333" w:rsidRDefault="00AF338A" w:rsidP="00AF338A">
      <w:pPr>
        <w:pStyle w:val="a3"/>
        <w:numPr>
          <w:ilvl w:val="0"/>
          <w:numId w:val="4"/>
        </w:numPr>
        <w:spacing w:line="360" w:lineRule="auto"/>
        <w:ind w:firstLineChars="0"/>
        <w:jc w:val="both"/>
        <w:rPr>
          <w:b/>
          <w:bCs/>
        </w:rPr>
      </w:pPr>
      <w:r w:rsidRPr="00CF5333">
        <w:rPr>
          <w:rFonts w:eastAsia="DengXian"/>
          <w:b/>
          <w:bCs/>
        </w:rPr>
        <w:t>Results</w:t>
      </w:r>
      <w:r w:rsidRPr="00CF5333">
        <w:rPr>
          <w:b/>
          <w:bCs/>
        </w:rPr>
        <w:t xml:space="preserve"> and discussion</w:t>
      </w:r>
    </w:p>
    <w:p w14:paraId="0AA46DBE" w14:textId="77777777" w:rsidR="00AF338A" w:rsidRPr="00A0400C" w:rsidRDefault="00AF338A" w:rsidP="00AF338A">
      <w:pPr>
        <w:spacing w:line="360" w:lineRule="auto"/>
        <w:jc w:val="both"/>
        <w:rPr>
          <w:b/>
          <w:bCs/>
          <w:i/>
          <w:iCs/>
        </w:rPr>
      </w:pPr>
      <w:r w:rsidRPr="00A0400C">
        <w:rPr>
          <w:b/>
          <w:bCs/>
          <w:i/>
          <w:iCs/>
        </w:rPr>
        <w:t>Formation and characterization of FCS-OVA nanoparticles</w:t>
      </w:r>
    </w:p>
    <w:p w14:paraId="6112BC95" w14:textId="77777777" w:rsidR="00AF338A" w:rsidRDefault="00AF338A" w:rsidP="00AF338A">
      <w:pPr>
        <w:spacing w:line="360" w:lineRule="auto"/>
        <w:ind w:firstLine="360"/>
        <w:jc w:val="both"/>
      </w:pPr>
      <w:r>
        <w:rPr>
          <w:rFonts w:eastAsia="DengXian"/>
        </w:rPr>
        <w:lastRenderedPageBreak/>
        <w:t>First, a fluoroalkane</w:t>
      </w:r>
      <w:r>
        <w:t xml:space="preserve"> chain was grafted to chitosan to form FCS via the amino-carboxylate coupling reaction with the help of N-ethyl-N′-(3-(</w:t>
      </w:r>
      <w:proofErr w:type="spellStart"/>
      <w:r>
        <w:t>dimethylamino</w:t>
      </w:r>
      <w:proofErr w:type="spellEnd"/>
      <w:r>
        <w:t>)propyl) carbodiimide (EDC) and N-</w:t>
      </w:r>
      <w:proofErr w:type="spellStart"/>
      <w:r>
        <w:t>hydroxysuccinimide</w:t>
      </w:r>
      <w:proofErr w:type="spellEnd"/>
      <w:r>
        <w:t xml:space="preserve"> (NHS). Interestingly, the positively charged FCS could interact electrostatically with negatively charged proteins, forming stable FCS-OVA nanoparticles (</w:t>
      </w:r>
      <w:r>
        <w:rPr>
          <w:b/>
          <w:bCs/>
        </w:rPr>
        <w:t>F</w:t>
      </w:r>
      <w:r w:rsidRPr="00CF5333">
        <w:rPr>
          <w:b/>
          <w:bCs/>
        </w:rPr>
        <w:t>igure 1a</w:t>
      </w:r>
      <w:r>
        <w:t xml:space="preserve">). To optimize the formed FCS-OVA nanoparticles, various FCS-OVA nanoparticles were synthesized after adding FCS and OVA with different weight ratios from 2:1 to 1:4. Then, the size distribution and zeta potential of various FCS-OVA nanoparticles were characterized by </w:t>
      </w:r>
      <w:r>
        <w:rPr>
          <w:rFonts w:eastAsia="DengXian"/>
        </w:rPr>
        <w:t xml:space="preserve">a </w:t>
      </w:r>
      <w:proofErr w:type="spellStart"/>
      <w:r>
        <w:t>Zetasizer</w:t>
      </w:r>
      <w:proofErr w:type="spellEnd"/>
      <w:r>
        <w:t xml:space="preserve"> Nano ZS. As shown in </w:t>
      </w:r>
      <w:r w:rsidRPr="00CF5333">
        <w:rPr>
          <w:b/>
          <w:bCs/>
        </w:rPr>
        <w:t>Figure 1b</w:t>
      </w:r>
      <w:r>
        <w:t xml:space="preserve">, FCS-OVA with the </w:t>
      </w:r>
      <w:r>
        <w:rPr>
          <w:rFonts w:eastAsia="DengXian"/>
        </w:rPr>
        <w:t>ratio</w:t>
      </w:r>
      <w:r>
        <w:t xml:space="preserve"> of FCS </w:t>
      </w:r>
      <w:r>
        <w:rPr>
          <w:rFonts w:eastAsia="DengXian"/>
        </w:rPr>
        <w:t>to</w:t>
      </w:r>
      <w:r>
        <w:t xml:space="preserve"> OVA at 2:1 and 1:1 exhibited </w:t>
      </w:r>
      <w:r>
        <w:rPr>
          <w:rFonts w:eastAsia="DengXian"/>
        </w:rPr>
        <w:t>a</w:t>
      </w:r>
      <w:r>
        <w:t xml:space="preserve"> uniform size distribution </w:t>
      </w:r>
      <w:r>
        <w:rPr>
          <w:rFonts w:eastAsia="DengXian"/>
        </w:rPr>
        <w:t>of approximately</w:t>
      </w:r>
      <w:r>
        <w:t xml:space="preserve"> 150 nm. In contrast, FCS-OVA with other FCS and OVA </w:t>
      </w:r>
      <w:r>
        <w:rPr>
          <w:rFonts w:eastAsia="DengXian"/>
        </w:rPr>
        <w:t>ratios</w:t>
      </w:r>
      <w:r>
        <w:t xml:space="preserve"> exhibited </w:t>
      </w:r>
      <w:r>
        <w:rPr>
          <w:rFonts w:eastAsia="DengXian"/>
        </w:rPr>
        <w:t xml:space="preserve">a </w:t>
      </w:r>
      <w:r>
        <w:t>relatively larger size, indicating the agglomeration of FCS-OVA. From the zeta potentials of different nanoparticles, we can see that as the weight ratio of OVA</w:t>
      </w:r>
      <w:r>
        <w:rPr>
          <w:rFonts w:eastAsia="DengXian"/>
        </w:rPr>
        <w:t xml:space="preserve"> increased</w:t>
      </w:r>
      <w:r>
        <w:t xml:space="preserve">, the zeta potentials of nanoparticles </w:t>
      </w:r>
      <w:r>
        <w:rPr>
          <w:rFonts w:eastAsia="DengXian"/>
        </w:rPr>
        <w:t>decreased</w:t>
      </w:r>
      <w:r>
        <w:t xml:space="preserve">, further demonstrating that the successful self-assembly of FCS-OVA nanoparticles </w:t>
      </w:r>
      <w:r>
        <w:rPr>
          <w:rFonts w:eastAsia="DengXian"/>
        </w:rPr>
        <w:t>was</w:t>
      </w:r>
      <w:r>
        <w:t xml:space="preserve"> induced by electrostatic interactions (</w:t>
      </w:r>
      <w:r w:rsidRPr="00CF5333">
        <w:rPr>
          <w:b/>
          <w:bCs/>
        </w:rPr>
        <w:t>Figure 1c</w:t>
      </w:r>
      <w:r>
        <w:t xml:space="preserve">). Considering that FCS-OVA nanoparticles with FCS and OVA weight </w:t>
      </w:r>
      <w:r>
        <w:rPr>
          <w:rFonts w:eastAsia="DengXian"/>
        </w:rPr>
        <w:t>ratio of</w:t>
      </w:r>
      <w:r>
        <w:t xml:space="preserve"> 1:1 exhibited </w:t>
      </w:r>
      <w:r>
        <w:rPr>
          <w:rFonts w:eastAsia="DengXian"/>
        </w:rPr>
        <w:t xml:space="preserve">a </w:t>
      </w:r>
      <w:r>
        <w:t xml:space="preserve">suitable size and narrowest </w:t>
      </w:r>
      <w:proofErr w:type="gramStart"/>
      <w:r>
        <w:t>distribution,</w:t>
      </w:r>
      <w:proofErr w:type="gramEnd"/>
      <w:r>
        <w:t xml:space="preserve"> they were chosen in the following experiments.</w:t>
      </w:r>
    </w:p>
    <w:p w14:paraId="27F52012" w14:textId="77777777" w:rsidR="00AF338A" w:rsidRDefault="00AF338A" w:rsidP="00AF338A">
      <w:pPr>
        <w:spacing w:line="360" w:lineRule="auto"/>
        <w:ind w:firstLineChars="150" w:firstLine="300"/>
        <w:jc w:val="both"/>
      </w:pPr>
      <w:r>
        <w:t>Then, t</w:t>
      </w:r>
      <w:r w:rsidRPr="00DC039F">
        <w:t xml:space="preserve">ransmission electron microscopy (TEM) was employed to elucidate the morphological </w:t>
      </w:r>
      <w:proofErr w:type="gramStart"/>
      <w:r w:rsidRPr="00DC039F">
        <w:t>features</w:t>
      </w:r>
      <w:r w:rsidRPr="00DC039F" w:rsidDel="00DC039F">
        <w:t xml:space="preserve"> </w:t>
      </w:r>
      <w:r>
        <w:t xml:space="preserve"> of</w:t>
      </w:r>
      <w:proofErr w:type="gramEnd"/>
      <w:r>
        <w:t xml:space="preserve"> FCS-OVA with FCS and OVA weight </w:t>
      </w:r>
      <w:r>
        <w:rPr>
          <w:rFonts w:eastAsia="DengXian"/>
        </w:rPr>
        <w:t>ratio of</w:t>
      </w:r>
      <w:r>
        <w:t xml:space="preserve"> 1:1. As shown in </w:t>
      </w:r>
      <w:r w:rsidRPr="00CF5333">
        <w:rPr>
          <w:b/>
          <w:bCs/>
        </w:rPr>
        <w:t>Figure 1d</w:t>
      </w:r>
      <w:r>
        <w:t xml:space="preserve">, </w:t>
      </w:r>
      <w:r w:rsidRPr="00DC039F">
        <w:t>FCS-OVA exhibited homogeneously spherical morphology</w:t>
      </w:r>
      <w:r>
        <w:t xml:space="preserve"> with the</w:t>
      </w:r>
      <w:r w:rsidRPr="00DC039F">
        <w:t xml:space="preserve"> average diameter </w:t>
      </w:r>
      <w:r>
        <w:t>about</w:t>
      </w:r>
      <w:r w:rsidRPr="00DC039F">
        <w:t xml:space="preserve"> 180 nm</w:t>
      </w:r>
      <w:r>
        <w:t xml:space="preserve">. In addition to the morphology characterization, we then determined the biocompatibility of FCS-OVA nanoparticles using </w:t>
      </w:r>
      <w:r>
        <w:rPr>
          <w:rFonts w:eastAsia="DengXian"/>
        </w:rPr>
        <w:t xml:space="preserve">a </w:t>
      </w:r>
      <w:r>
        <w:t>standard 3-(4,5-</w:t>
      </w:r>
      <w:r>
        <w:rPr>
          <w:rFonts w:eastAsia="DengXian"/>
        </w:rPr>
        <w:t>dimethylthiazol</w:t>
      </w:r>
      <w:r>
        <w:t xml:space="preserve">-2-yl)-2,5-diphenyltetrazoliumbromide (MTT) assay. In this experiment, </w:t>
      </w:r>
      <w:bookmarkStart w:id="5" w:name="OLE_LINK4"/>
      <w:r w:rsidRPr="00042E2B">
        <w:t xml:space="preserve">DC 2.4 cells were </w:t>
      </w:r>
      <w:r>
        <w:t>incubated</w:t>
      </w:r>
      <w:r w:rsidRPr="00042E2B">
        <w:t xml:space="preserve"> with CS-OVA or FCS-OVA at varying concentrations</w:t>
      </w:r>
      <w:bookmarkEnd w:id="5"/>
      <w:r>
        <w:t xml:space="preserve">. Excitingly, FCS-OVA revealed nearly no cytotoxicity to cells even at high </w:t>
      </w:r>
      <w:r>
        <w:rPr>
          <w:rFonts w:eastAsia="DengXian"/>
        </w:rPr>
        <w:t>concentrations</w:t>
      </w:r>
      <w:r>
        <w:t xml:space="preserve"> up to 500 </w:t>
      </w:r>
      <w:r>
        <w:rPr>
          <w:rFonts w:eastAsia="DengXian"/>
        </w:rPr>
        <w:t>µ</w:t>
      </w:r>
      <w:r>
        <w:rPr>
          <w:rFonts w:eastAsia="DengXian"/>
        </w:rPr>
        <w:t>g/ml</w:t>
      </w:r>
      <w:r>
        <w:t>. In contrast, the viability of DC 2.4 cells incubated with CS-OVA at the same concentration was only 50% (</w:t>
      </w:r>
      <w:r w:rsidRPr="00CF5333">
        <w:rPr>
          <w:b/>
          <w:bCs/>
        </w:rPr>
        <w:t>Figure 1e</w:t>
      </w:r>
      <w:r>
        <w:t xml:space="preserve">). Thus, FCS exhibited better biocompatibility, which may be </w:t>
      </w:r>
      <w:r>
        <w:rPr>
          <w:rFonts w:eastAsia="DengXian"/>
        </w:rPr>
        <w:t>attributed</w:t>
      </w:r>
      <w:r>
        <w:t xml:space="preserve"> to </w:t>
      </w:r>
      <w:r>
        <w:rPr>
          <w:rFonts w:eastAsia="DengXian"/>
        </w:rPr>
        <w:t>the</w:t>
      </w:r>
      <w:r>
        <w:t xml:space="preserve"> fluoroalkane chain replaced the amino group of CS, reducing the positive charge of CS.</w:t>
      </w:r>
    </w:p>
    <w:p w14:paraId="01DC2CC2" w14:textId="77777777" w:rsidR="00AF338A" w:rsidRPr="00CF5333" w:rsidRDefault="00AF338A" w:rsidP="00AF338A">
      <w:pPr>
        <w:spacing w:line="360" w:lineRule="auto"/>
        <w:ind w:firstLineChars="150" w:firstLine="300"/>
        <w:jc w:val="both"/>
      </w:pPr>
    </w:p>
    <w:p w14:paraId="76ADB643" w14:textId="77777777" w:rsidR="00AF338A" w:rsidRPr="00A0400C" w:rsidRDefault="00AF338A" w:rsidP="00AF338A">
      <w:pPr>
        <w:spacing w:line="360" w:lineRule="auto"/>
        <w:jc w:val="both"/>
        <w:rPr>
          <w:b/>
          <w:bCs/>
          <w:i/>
          <w:iCs/>
        </w:rPr>
      </w:pPr>
      <w:r w:rsidRPr="00A0400C">
        <w:rPr>
          <w:b/>
          <w:bCs/>
          <w:i/>
          <w:iCs/>
        </w:rPr>
        <w:t>Transdermal delivery of FCS-OVA nanoparticles</w:t>
      </w:r>
    </w:p>
    <w:p w14:paraId="0136137E" w14:textId="77777777" w:rsidR="00AF338A" w:rsidRDefault="00AF338A" w:rsidP="00AF338A">
      <w:pPr>
        <w:spacing w:line="360" w:lineRule="auto"/>
        <w:ind w:firstLine="420"/>
        <w:jc w:val="both"/>
      </w:pPr>
      <w:r>
        <w:t>For effective</w:t>
      </w:r>
      <w:r w:rsidRPr="004815A0">
        <w:t xml:space="preserve"> cancer vaccines, the internalization, intracellular processing, and subsequent presentation of antigens by antigen-presenting cells</w:t>
      </w:r>
      <w:r>
        <w:t xml:space="preserve"> </w:t>
      </w:r>
      <w:r w:rsidRPr="004815A0">
        <w:t>play pivotal role</w:t>
      </w:r>
      <w:r>
        <w:t>s</w:t>
      </w:r>
      <w:r w:rsidRPr="004815A0">
        <w:t xml:space="preserve"> in eliciting effective immune responses.</w:t>
      </w:r>
      <w:r>
        <w:t xml:space="preserve"> Therefore, we </w:t>
      </w:r>
      <w:r>
        <w:rPr>
          <w:rFonts w:eastAsia="DengXian"/>
        </w:rPr>
        <w:t>first</w:t>
      </w:r>
      <w:r>
        <w:t xml:space="preserve"> investigated the cellular uptake profile of antigen by DCs. Here, DC 2.4 </w:t>
      </w:r>
      <w:r>
        <w:lastRenderedPageBreak/>
        <w:t xml:space="preserve">cells, which </w:t>
      </w:r>
      <w:r>
        <w:rPr>
          <w:rFonts w:eastAsia="DengXian"/>
        </w:rPr>
        <w:t>is a</w:t>
      </w:r>
      <w:r>
        <w:t xml:space="preserve"> dendritic cell line that could be used to study </w:t>
      </w:r>
      <w:r>
        <w:rPr>
          <w:rFonts w:eastAsia="DengXian"/>
        </w:rPr>
        <w:t xml:space="preserve">the </w:t>
      </w:r>
      <w:r>
        <w:t xml:space="preserve">partial biology of DCs, were incubated with FCS-OVA-FITC and OVA-FITC and then </w:t>
      </w:r>
      <w:proofErr w:type="spellStart"/>
      <w:r>
        <w:t>analysed</w:t>
      </w:r>
      <w:proofErr w:type="spellEnd"/>
      <w:r>
        <w:t xml:space="preserve"> by confocal imaging and flow cytometry (OVA was labelled with FITC for in vitro tracking).</w:t>
      </w:r>
      <w:r w:rsidRPr="006A0FAA">
        <w:t xml:space="preserve"> As depicted in </w:t>
      </w:r>
      <w:r w:rsidRPr="000D3DE6">
        <w:rPr>
          <w:b/>
          <w:bCs/>
        </w:rPr>
        <w:t>Figure 2a</w:t>
      </w:r>
      <w:r w:rsidRPr="006A0FAA">
        <w:t>, the uptake of FCS-OVA nanoparticles by DC</w:t>
      </w:r>
      <w:r>
        <w:t xml:space="preserve"> </w:t>
      </w:r>
      <w:r w:rsidRPr="006A0FAA">
        <w:t xml:space="preserve">2.4 cells was significantly augmented </w:t>
      </w:r>
      <w:r>
        <w:t xml:space="preserve">in </w:t>
      </w:r>
      <w:proofErr w:type="spellStart"/>
      <w:r>
        <w:t>comparasion</w:t>
      </w:r>
      <w:proofErr w:type="spellEnd"/>
      <w:r>
        <w:t xml:space="preserve"> with </w:t>
      </w:r>
      <w:r w:rsidRPr="006A0FAA">
        <w:t>free OVA. Th</w:t>
      </w:r>
      <w:r>
        <w:t>e</w:t>
      </w:r>
      <w:r w:rsidRPr="006A0FAA">
        <w:t xml:space="preserve"> enhanced uptake </w:t>
      </w:r>
      <w:r>
        <w:t xml:space="preserve">of </w:t>
      </w:r>
      <w:r w:rsidRPr="006A0FAA">
        <w:t>FCS-OVA nanoparticles was further substantiated through flow cytometry analysis, as illustrated in</w:t>
      </w:r>
      <w:r w:rsidRPr="000D3DE6">
        <w:rPr>
          <w:b/>
          <w:bCs/>
        </w:rPr>
        <w:t xml:space="preserve"> Figure 2b </w:t>
      </w:r>
      <w:r w:rsidRPr="006A0FAA">
        <w:t>and</w:t>
      </w:r>
      <w:r>
        <w:rPr>
          <w:b/>
          <w:bCs/>
        </w:rPr>
        <w:t xml:space="preserve"> Figure 2</w:t>
      </w:r>
      <w:r w:rsidRPr="000D3DE6">
        <w:rPr>
          <w:b/>
          <w:bCs/>
        </w:rPr>
        <w:t>c</w:t>
      </w:r>
      <w:r w:rsidRPr="006A0FAA">
        <w:t xml:space="preserve">. These findings unequivocally demonstrate that FCS-OVA nanoparticles effectively enhance the intracellular uptake of the </w:t>
      </w:r>
      <w:proofErr w:type="spellStart"/>
      <w:proofErr w:type="gramStart"/>
      <w:r w:rsidRPr="006A0FAA">
        <w:t>antigen.</w:t>
      </w:r>
      <w:r>
        <w:t>Inspired</w:t>
      </w:r>
      <w:proofErr w:type="spellEnd"/>
      <w:proofErr w:type="gramEnd"/>
      <w:r>
        <w:t xml:space="preserve"> by the effective cellular uptake of FCS-OVA nanoparticles by DCs, we then investigated </w:t>
      </w:r>
      <w:r>
        <w:rPr>
          <w:rFonts w:eastAsia="DengXian"/>
        </w:rPr>
        <w:t>their</w:t>
      </w:r>
      <w:r>
        <w:t xml:space="preserve"> transdermal delivery efficiency. </w:t>
      </w:r>
      <w:r>
        <w:rPr>
          <w:rFonts w:eastAsia="DengXian"/>
        </w:rPr>
        <w:t>First</w:t>
      </w:r>
      <w:r>
        <w:t>, the standard Franz diffusion chamber was used to determine the transdermal delivery efficiency of FCS-OVA across the mouse skin layer (</w:t>
      </w:r>
      <w:r w:rsidRPr="00CF5333">
        <w:rPr>
          <w:b/>
          <w:bCs/>
        </w:rPr>
        <w:t>Figure 2d</w:t>
      </w:r>
      <w:r>
        <w:t>). We separated the skin of C57BL/6 mice, t</w:t>
      </w:r>
      <w:r w:rsidRPr="006A0FAA">
        <w:t xml:space="preserve">he stratum corneum was carefully preserved and subsequently positioned between the donor chamber and the receiver chamber. The donor chamber was loaded with OVA-FITC, FCS-OVA-FITC, and CS-OVA-FITC, </w:t>
      </w:r>
      <w:r>
        <w:t>and</w:t>
      </w:r>
      <w:r w:rsidRPr="006A0FAA">
        <w:t xml:space="preserve"> the fluorescence signals in the receiver chamber were assessed at various time intervals.</w:t>
      </w:r>
      <w:r>
        <w:t xml:space="preserve"> As expected, FCS-OVA nanoparticles exhibited significantly higher transdermal delivery efficiency across the epithelial barrier (</w:t>
      </w:r>
      <w:r w:rsidRPr="00CF5333">
        <w:rPr>
          <w:b/>
          <w:bCs/>
        </w:rPr>
        <w:t>Figure 2e</w:t>
      </w:r>
      <w:r>
        <w:t>).</w:t>
      </w:r>
    </w:p>
    <w:p w14:paraId="12968997" w14:textId="77777777" w:rsidR="00AF338A" w:rsidRDefault="00AF338A" w:rsidP="00AF338A">
      <w:pPr>
        <w:spacing w:line="360" w:lineRule="auto"/>
        <w:ind w:firstLine="420"/>
        <w:jc w:val="both"/>
      </w:pPr>
      <w:r>
        <w:rPr>
          <w:rFonts w:eastAsia="DengXian"/>
        </w:rPr>
        <w:t>For</w:t>
      </w:r>
      <w:r>
        <w:t xml:space="preserve"> </w:t>
      </w:r>
      <w:r>
        <w:rPr>
          <w:rFonts w:eastAsia="DengXian"/>
        </w:rPr>
        <w:t>a</w:t>
      </w:r>
      <w:r>
        <w:t xml:space="preserve"> transdermal delivery vaccine, whether the antigen </w:t>
      </w:r>
      <w:r>
        <w:rPr>
          <w:rFonts w:eastAsia="DengXian"/>
        </w:rPr>
        <w:t>can</w:t>
      </w:r>
      <w:r>
        <w:t xml:space="preserve"> be efficiently delivered into </w:t>
      </w:r>
      <w:r>
        <w:rPr>
          <w:rFonts w:eastAsia="DengXian"/>
        </w:rPr>
        <w:t xml:space="preserve">the </w:t>
      </w:r>
      <w:r>
        <w:t xml:space="preserve">dermis and </w:t>
      </w:r>
      <w:r>
        <w:rPr>
          <w:rFonts w:eastAsia="DengXian"/>
        </w:rPr>
        <w:t>migrate</w:t>
      </w:r>
      <w:r>
        <w:t xml:space="preserve"> into lymph nodes </w:t>
      </w:r>
      <w:r>
        <w:rPr>
          <w:rFonts w:eastAsia="DengXian"/>
        </w:rPr>
        <w:t>determines</w:t>
      </w:r>
      <w:r>
        <w:t xml:space="preserve"> its vaccine </w:t>
      </w:r>
      <w:proofErr w:type="gramStart"/>
      <w:r>
        <w:t>efficiency</w:t>
      </w:r>
      <w:r w:rsidRPr="00A0400C">
        <w:rPr>
          <w:noProof/>
          <w:vertAlign w:val="superscript"/>
        </w:rPr>
        <w:t>[</w:t>
      </w:r>
      <w:proofErr w:type="gramEnd"/>
      <w:r w:rsidRPr="00A0400C">
        <w:rPr>
          <w:noProof/>
          <w:vertAlign w:val="superscript"/>
        </w:rPr>
        <w:t>40]</w:t>
      </w:r>
      <w:r>
        <w:t xml:space="preserve">. Thus, we then investigated the lymph </w:t>
      </w:r>
      <w:r>
        <w:rPr>
          <w:rFonts w:eastAsia="DengXian"/>
        </w:rPr>
        <w:t>node</w:t>
      </w:r>
      <w:r>
        <w:t xml:space="preserve"> accumulation of OVA after transdermal delivery of OVA in different formulations. Specifically, </w:t>
      </w:r>
      <w:r>
        <w:rPr>
          <w:rFonts w:eastAsia="DengXian"/>
        </w:rPr>
        <w:t>mice</w:t>
      </w:r>
      <w:r>
        <w:t xml:space="preserve"> were covered with OVA-Cy5.5, FCS-OVA-Cy5.5, and CS-OVA-Cy5.5 (OVA was labelled with Cy5.5 for in vivo tracking), which were mixed in moisturizing cream (Aquaphor) </w:t>
      </w:r>
      <w:r>
        <w:rPr>
          <w:rFonts w:eastAsia="DengXian"/>
        </w:rPr>
        <w:t>at a</w:t>
      </w:r>
      <w:r>
        <w:t xml:space="preserve"> weight ratio </w:t>
      </w:r>
      <w:r>
        <w:rPr>
          <w:rFonts w:eastAsia="DengXian"/>
        </w:rPr>
        <w:t>of</w:t>
      </w:r>
      <w:r>
        <w:t xml:space="preserve"> 1:1 and covered with 3M Tegaderm Transparent Film Dressing (1624 W) for fixation and moisturization. 12 hours later, u</w:t>
      </w:r>
      <w:r w:rsidRPr="006A0FAA">
        <w:t>pon ethical sacrifice, the m</w:t>
      </w:r>
      <w:r>
        <w:t>ice</w:t>
      </w:r>
      <w:r w:rsidRPr="006A0FAA">
        <w:t xml:space="preserve"> subjects were utilized for lymph node collection, followed by fluorescence imaging. The </w:t>
      </w:r>
      <w:r>
        <w:t>e</w:t>
      </w:r>
      <w:r w:rsidRPr="006A0FAA">
        <w:t>x vivo fluorescence imaging of the lymph nodes revealed that the highest accumulation of OVA occurred in the lymph nodes of mice treated with FCS-OVA-Cy5.5 cream</w:t>
      </w:r>
      <w:r>
        <w:t xml:space="preserve">, confirming that efficient transdermal delivery of antigen was achieved by such </w:t>
      </w:r>
      <w:r>
        <w:rPr>
          <w:rFonts w:eastAsia="DengXian"/>
        </w:rPr>
        <w:t xml:space="preserve">a </w:t>
      </w:r>
      <w:r>
        <w:t>needle-free vaccine (</w:t>
      </w:r>
      <w:r w:rsidRPr="000653C9">
        <w:rPr>
          <w:b/>
          <w:bCs/>
        </w:rPr>
        <w:t>Figure S1</w:t>
      </w:r>
      <w:r>
        <w:t>). The quantitative statistical analysis further confirmed the efficient antigen delivery into the lymph nodes obtained by FCS-OVA-Cy5.5 (</w:t>
      </w:r>
      <w:r w:rsidRPr="00CF5333">
        <w:rPr>
          <w:b/>
          <w:bCs/>
        </w:rPr>
        <w:t>Figure 2f</w:t>
      </w:r>
      <w:r>
        <w:t xml:space="preserve">). </w:t>
      </w:r>
      <w:r>
        <w:rPr>
          <w:rFonts w:eastAsia="DengXian"/>
        </w:rPr>
        <w:t xml:space="preserve">Confocal </w:t>
      </w:r>
      <w:r>
        <w:t xml:space="preserve">imaging of </w:t>
      </w:r>
      <w:r>
        <w:rPr>
          <w:rFonts w:eastAsia="DengXian"/>
        </w:rPr>
        <w:t xml:space="preserve">mouse </w:t>
      </w:r>
      <w:r>
        <w:t>skin slices further demonstrated the good skin penetration ability of FCS (</w:t>
      </w:r>
      <w:r>
        <w:rPr>
          <w:b/>
          <w:bCs/>
        </w:rPr>
        <w:t>Figure S2</w:t>
      </w:r>
      <w:r>
        <w:t>).</w:t>
      </w:r>
    </w:p>
    <w:p w14:paraId="34291DE7" w14:textId="77777777" w:rsidR="00AF338A" w:rsidRPr="00CF5333" w:rsidRDefault="00AF338A" w:rsidP="00AF338A">
      <w:pPr>
        <w:spacing w:line="360" w:lineRule="auto"/>
        <w:ind w:firstLineChars="100"/>
        <w:jc w:val="both"/>
      </w:pPr>
    </w:p>
    <w:p w14:paraId="286D072A" w14:textId="77777777" w:rsidR="00AF338A" w:rsidRPr="00A0400C" w:rsidRDefault="00AF338A" w:rsidP="00AF338A">
      <w:pPr>
        <w:spacing w:line="360" w:lineRule="auto"/>
        <w:jc w:val="both"/>
        <w:rPr>
          <w:b/>
          <w:bCs/>
          <w:i/>
          <w:iCs/>
        </w:rPr>
      </w:pPr>
      <w:r w:rsidRPr="00A0400C">
        <w:rPr>
          <w:b/>
          <w:bCs/>
          <w:i/>
          <w:iCs/>
        </w:rPr>
        <w:t>The mechanism of transdermal delivery</w:t>
      </w:r>
    </w:p>
    <w:p w14:paraId="79B8A916" w14:textId="77777777" w:rsidR="00AF338A" w:rsidRDefault="00AF338A" w:rsidP="00AF338A">
      <w:pPr>
        <w:spacing w:line="360" w:lineRule="auto"/>
        <w:ind w:firstLine="360"/>
        <w:jc w:val="both"/>
      </w:pPr>
      <w:bookmarkStart w:id="6" w:name="OLE_LINK5"/>
      <w:r>
        <w:lastRenderedPageBreak/>
        <w:t xml:space="preserve">Encouraged by the effective transdermal delivery of OVA achieved by FCS in vitro and in vivo, we investigated the mechanism of such enhanced transdermal delivery ability. It is commonly known that the epithelial barrier is principally maintained by tight junctions, and CS derivatives have the ability to modulate the structure of tight junctions and improve the permeability of epithelial tissue </w:t>
      </w:r>
      <w:bookmarkEnd w:id="6"/>
      <w:r w:rsidRPr="00CF7FB7">
        <w:rPr>
          <w:noProof/>
          <w:vertAlign w:val="superscript"/>
        </w:rPr>
        <w:t>[42]</w:t>
      </w:r>
      <w:r>
        <w:t xml:space="preserve">. To identify the mechanism of efficient transdermal delivery achieved by FCS, the </w:t>
      </w:r>
      <w:proofErr w:type="spellStart"/>
      <w:r>
        <w:t>Transwell</w:t>
      </w:r>
      <w:proofErr w:type="spellEnd"/>
      <w:r>
        <w:t xml:space="preserve"> assay was carried out to monitor the transepithelial electrical resistance (TEER), </w:t>
      </w:r>
      <w:r w:rsidRPr="00E05809">
        <w:t xml:space="preserve">which is a </w:t>
      </w:r>
      <w:r>
        <w:t>standard</w:t>
      </w:r>
      <w:r w:rsidRPr="00E05809">
        <w:t xml:space="preserve"> parameter utilized to assess the integrity and functionality of tight junctions.</w:t>
      </w:r>
      <w:r w:rsidRPr="00E05809" w:rsidDel="00E05809">
        <w:t xml:space="preserve"> </w:t>
      </w:r>
      <w:r w:rsidRPr="00CF7FB7">
        <w:rPr>
          <w:noProof/>
          <w:vertAlign w:val="superscript"/>
        </w:rPr>
        <w:t>[43]</w:t>
      </w:r>
      <w:r>
        <w:t xml:space="preserve">. In this experiment, the epithelial skin barrier </w:t>
      </w:r>
      <w:proofErr w:type="gramStart"/>
      <w:r>
        <w:t>were</w:t>
      </w:r>
      <w:proofErr w:type="gramEnd"/>
      <w:r>
        <w:t xml:space="preserve"> mimicked by culturing human skin dermis cells (HACAT) in the </w:t>
      </w:r>
      <w:proofErr w:type="spellStart"/>
      <w:r>
        <w:t>Transwell</w:t>
      </w:r>
      <w:proofErr w:type="spellEnd"/>
      <w:r>
        <w:t xml:space="preserve"> to form a monolayer, when the TEER value increased to a stable level at 300 (</w:t>
      </w:r>
      <w:r w:rsidRPr="00CF5333">
        <w:rPr>
          <w:b/>
          <w:bCs/>
        </w:rPr>
        <w:t>Figure 3a</w:t>
      </w:r>
      <w:r>
        <w:t xml:space="preserve">). Then, FCS-OVA nanoparticles were added into the </w:t>
      </w:r>
      <w:proofErr w:type="spellStart"/>
      <w:r>
        <w:t>Transwell</w:t>
      </w:r>
      <w:proofErr w:type="spellEnd"/>
      <w:r>
        <w:rPr>
          <w:rFonts w:eastAsia="DengXian"/>
        </w:rPr>
        <w:t>,</w:t>
      </w:r>
      <w:r>
        <w:t xml:space="preserve"> and the TEER value was monitored continuously. As shown in </w:t>
      </w:r>
      <w:r w:rsidRPr="00CF5333">
        <w:rPr>
          <w:b/>
          <w:bCs/>
        </w:rPr>
        <w:t>Figure 3b</w:t>
      </w:r>
      <w:r>
        <w:t xml:space="preserve">, the TEER value decreased to 45% after </w:t>
      </w:r>
      <w:r>
        <w:rPr>
          <w:rFonts w:eastAsia="DengXian"/>
        </w:rPr>
        <w:t>incubation</w:t>
      </w:r>
      <w:r>
        <w:t xml:space="preserve"> with FCS-OVA nanoparticles for 4 hours, and the TEER value gradually </w:t>
      </w:r>
      <w:r>
        <w:rPr>
          <w:rFonts w:eastAsia="DengXian"/>
        </w:rPr>
        <w:t>returned</w:t>
      </w:r>
      <w:r>
        <w:t xml:space="preserve"> to the normal level by removing </w:t>
      </w:r>
      <w:r>
        <w:rPr>
          <w:rFonts w:eastAsia="DengXian"/>
        </w:rPr>
        <w:t xml:space="preserve">the </w:t>
      </w:r>
      <w:r>
        <w:t xml:space="preserve">FCS-OVA nanoparticles, indicating that </w:t>
      </w:r>
      <w:r w:rsidRPr="00D34120">
        <w:t>FCS might improve skin penetration by temporarily opening the tight connections between epithelial cells</w:t>
      </w:r>
      <w:r>
        <w:t>.</w:t>
      </w:r>
    </w:p>
    <w:p w14:paraId="3C3BBCD9" w14:textId="77777777" w:rsidR="00AF338A" w:rsidRDefault="00AF338A" w:rsidP="00AF338A">
      <w:pPr>
        <w:spacing w:line="360" w:lineRule="auto"/>
        <w:ind w:firstLineChars="150" w:firstLine="300"/>
        <w:jc w:val="both"/>
      </w:pPr>
      <w:r>
        <w:t xml:space="preserve">To further investigate the mechanism </w:t>
      </w:r>
      <w:r>
        <w:rPr>
          <w:rFonts w:eastAsia="DengXian"/>
        </w:rPr>
        <w:t>by which</w:t>
      </w:r>
      <w:r>
        <w:t xml:space="preserve"> FCS </w:t>
      </w:r>
      <w:r>
        <w:rPr>
          <w:rFonts w:eastAsia="DengXian"/>
        </w:rPr>
        <w:t>opens</w:t>
      </w:r>
      <w:r>
        <w:t xml:space="preserve"> cellular tight junctions, the distribution and quantification of four tight junction</w:t>
      </w:r>
      <w:r>
        <w:rPr>
          <w:rFonts w:eastAsia="DengXian"/>
        </w:rPr>
        <w:t xml:space="preserve">-related </w:t>
      </w:r>
      <w:r>
        <w:t>proteins</w:t>
      </w:r>
      <w:r>
        <w:rPr>
          <w:rFonts w:eastAsia="DengXian"/>
        </w:rPr>
        <w:t xml:space="preserve">, </w:t>
      </w:r>
      <w:r>
        <w:t>ZO-1</w:t>
      </w:r>
      <w:r w:rsidRPr="00CF7FB7">
        <w:rPr>
          <w:noProof/>
          <w:vertAlign w:val="superscript"/>
        </w:rPr>
        <w:t>[44]</w:t>
      </w:r>
      <w:r>
        <w:t xml:space="preserve"> (a scaffold protein </w:t>
      </w:r>
      <w:r>
        <w:rPr>
          <w:rFonts w:eastAsia="DengXian"/>
        </w:rPr>
        <w:t>that crosslinks and anchors</w:t>
      </w:r>
      <w:r>
        <w:t xml:space="preserve"> tight junction strand proteins to the actin cytoskeleton), E-</w:t>
      </w:r>
      <w:proofErr w:type="gramStart"/>
      <w:r>
        <w:t>cadherin</w:t>
      </w:r>
      <w:r w:rsidRPr="00CF7FB7">
        <w:rPr>
          <w:noProof/>
          <w:vertAlign w:val="superscript"/>
        </w:rPr>
        <w:t>[</w:t>
      </w:r>
      <w:proofErr w:type="gramEnd"/>
      <w:r w:rsidRPr="00CF7FB7">
        <w:rPr>
          <w:noProof/>
          <w:vertAlign w:val="superscript"/>
        </w:rPr>
        <w:t>45]</w:t>
      </w:r>
      <w:r>
        <w:t xml:space="preserve"> (a bridge between </w:t>
      </w:r>
      <w:r>
        <w:rPr>
          <w:rFonts w:eastAsia="DengXian"/>
        </w:rPr>
        <w:t xml:space="preserve">the </w:t>
      </w:r>
      <w:r>
        <w:t>actin cytoskeleton), claudin</w:t>
      </w:r>
      <w:r w:rsidRPr="00CF7FB7">
        <w:rPr>
          <w:noProof/>
          <w:vertAlign w:val="superscript"/>
        </w:rPr>
        <w:t>[46]</w:t>
      </w:r>
      <w:r>
        <w:t xml:space="preserve"> and </w:t>
      </w:r>
      <w:proofErr w:type="spellStart"/>
      <w:r>
        <w:t>occludin</w:t>
      </w:r>
      <w:proofErr w:type="spellEnd"/>
      <w:r w:rsidRPr="00CF7FB7">
        <w:rPr>
          <w:noProof/>
          <w:vertAlign w:val="superscript"/>
        </w:rPr>
        <w:t>[47]</w:t>
      </w:r>
      <w:r>
        <w:t xml:space="preserve"> (a staple of the tight junction)</w:t>
      </w:r>
      <w:r>
        <w:rPr>
          <w:rFonts w:eastAsia="DengXian"/>
        </w:rPr>
        <w:t>,</w:t>
      </w:r>
      <w:r>
        <w:t xml:space="preserve"> were investigated</w:t>
      </w:r>
      <w:r w:rsidRPr="00CF7FB7">
        <w:rPr>
          <w:noProof/>
          <w:vertAlign w:val="superscript"/>
        </w:rPr>
        <w:t>[48]</w:t>
      </w:r>
      <w:r>
        <w:t xml:space="preserve">. </w:t>
      </w:r>
      <w:r w:rsidRPr="00D34120">
        <w:t xml:space="preserve">Following </w:t>
      </w:r>
      <w:r>
        <w:t>6 hours</w:t>
      </w:r>
      <w:r w:rsidRPr="00D34120">
        <w:t xml:space="preserve"> culture of HACAT cells with or without FCS-OVA nanoparticles, </w:t>
      </w:r>
      <w:r>
        <w:t xml:space="preserve">proteins of </w:t>
      </w:r>
      <w:r w:rsidRPr="00D34120">
        <w:t xml:space="preserve">HACAT cells </w:t>
      </w:r>
      <w:r>
        <w:t>were extracted and the amounts of tight junction</w:t>
      </w:r>
      <w:r>
        <w:rPr>
          <w:rFonts w:eastAsia="DengXian"/>
        </w:rPr>
        <w:t xml:space="preserve">-related </w:t>
      </w:r>
      <w:r>
        <w:t>proteins were quantified by western blotting. Interestingly, after culturing with FCS-OVA nanoparticles, the expression of the four tight junction</w:t>
      </w:r>
      <w:r>
        <w:rPr>
          <w:rFonts w:eastAsia="DengXian"/>
        </w:rPr>
        <w:t xml:space="preserve">-related </w:t>
      </w:r>
      <w:r>
        <w:t xml:space="preserve">proteins </w:t>
      </w:r>
      <w:r>
        <w:rPr>
          <w:rFonts w:eastAsia="DengXian"/>
        </w:rPr>
        <w:t>remained</w:t>
      </w:r>
      <w:r>
        <w:t xml:space="preserve"> consistent (</w:t>
      </w:r>
      <w:r w:rsidRPr="00CF5333">
        <w:rPr>
          <w:b/>
          <w:bCs/>
        </w:rPr>
        <w:t>Figure 3c, d</w:t>
      </w:r>
      <w:r>
        <w:t>). Moreover, the distribution of tight junction</w:t>
      </w:r>
      <w:r>
        <w:rPr>
          <w:rFonts w:eastAsia="DengXian"/>
        </w:rPr>
        <w:t>-</w:t>
      </w:r>
      <w:r>
        <w:t>associated proteins was further investigated by immunofluorescence staining. The tight junction</w:t>
      </w:r>
      <w:r>
        <w:rPr>
          <w:rFonts w:eastAsia="DengXian"/>
        </w:rPr>
        <w:t>-</w:t>
      </w:r>
      <w:r>
        <w:t xml:space="preserve">associated proteins around the cell after </w:t>
      </w:r>
      <w:r>
        <w:rPr>
          <w:rFonts w:eastAsia="DengXian"/>
        </w:rPr>
        <w:t>treatment</w:t>
      </w:r>
      <w:r>
        <w:t xml:space="preserve"> with FCS-OVA NPs changed from tight circles around the cells to circles with interruptions in the middle (</w:t>
      </w:r>
      <w:r w:rsidRPr="00CF5333">
        <w:rPr>
          <w:b/>
          <w:bCs/>
        </w:rPr>
        <w:t>Figure 3e</w:t>
      </w:r>
      <w:r>
        <w:t>). Thus, the total amount of tight junction proteins remained nearly unchanged, and the arrangement of proteins around the cells changed, demonstrating that FCS-OVA nanoparticles did not affect the expression of tight junction</w:t>
      </w:r>
      <w:r>
        <w:rPr>
          <w:rFonts w:eastAsia="DengXian"/>
        </w:rPr>
        <w:t>-</w:t>
      </w:r>
      <w:r>
        <w:t>associated proteins but created pathways through the cells by changing the distribution of tight junction</w:t>
      </w:r>
      <w:r>
        <w:rPr>
          <w:rFonts w:eastAsia="DengXian"/>
        </w:rPr>
        <w:t>-</w:t>
      </w:r>
      <w:r>
        <w:t xml:space="preserve">associated proteins. </w:t>
      </w:r>
      <w:bookmarkStart w:id="7" w:name="OLE_LINK6"/>
      <w:r>
        <w:t>Considering that the phosphorylation level of myosin light chain 2 (</w:t>
      </w:r>
      <w:proofErr w:type="spellStart"/>
      <w:r>
        <w:t>pMLC</w:t>
      </w:r>
      <w:proofErr w:type="spellEnd"/>
      <w:r>
        <w:t xml:space="preserve">) plays a key role in the regulation of cytoskeletal </w:t>
      </w:r>
      <w:proofErr w:type="gramStart"/>
      <w:r>
        <w:t>structure</w:t>
      </w:r>
      <w:bookmarkEnd w:id="7"/>
      <w:r w:rsidRPr="00CF7FB7">
        <w:rPr>
          <w:noProof/>
          <w:vertAlign w:val="superscript"/>
        </w:rPr>
        <w:t>[</w:t>
      </w:r>
      <w:proofErr w:type="gramEnd"/>
      <w:r w:rsidRPr="00CF7FB7">
        <w:rPr>
          <w:noProof/>
          <w:vertAlign w:val="superscript"/>
        </w:rPr>
        <w:t>49]</w:t>
      </w:r>
      <w:r>
        <w:t xml:space="preserve">, the </w:t>
      </w:r>
      <w:r>
        <w:rPr>
          <w:rFonts w:eastAsia="DengXian"/>
        </w:rPr>
        <w:t>levels</w:t>
      </w:r>
      <w:r>
        <w:t xml:space="preserve"> of myosin light chain 2 (MLC) and </w:t>
      </w:r>
      <w:proofErr w:type="spellStart"/>
      <w:r>
        <w:t>pMLC</w:t>
      </w:r>
      <w:proofErr w:type="spellEnd"/>
      <w:r>
        <w:t xml:space="preserve"> in </w:t>
      </w:r>
      <w:r>
        <w:lastRenderedPageBreak/>
        <w:t xml:space="preserve">HACAT cells were detected by western blotting. As shown in </w:t>
      </w:r>
      <w:r w:rsidRPr="00CF5333">
        <w:rPr>
          <w:b/>
          <w:bCs/>
        </w:rPr>
        <w:t>Figure 3f &amp; g</w:t>
      </w:r>
      <w:r>
        <w:t>, a</w:t>
      </w:r>
      <w:r w:rsidRPr="00880589">
        <w:t xml:space="preserve">fter incubating with FCS-OVA nanoparticles, the amount of </w:t>
      </w:r>
      <w:proofErr w:type="spellStart"/>
      <w:r w:rsidRPr="00880589">
        <w:t>pMLC</w:t>
      </w:r>
      <w:proofErr w:type="spellEnd"/>
      <w:r w:rsidRPr="00880589">
        <w:t xml:space="preserve"> expressed in HACAT cells increased, showing that FCS may </w:t>
      </w:r>
      <w:r>
        <w:t>promote</w:t>
      </w:r>
      <w:r w:rsidRPr="00880589">
        <w:t xml:space="preserve"> the phosphorylation level of MLC to improve</w:t>
      </w:r>
      <w:r>
        <w:t xml:space="preserve"> actin contraction and tight </w:t>
      </w:r>
      <w:r>
        <w:rPr>
          <w:rFonts w:eastAsia="DengXian"/>
        </w:rPr>
        <w:t>junction</w:t>
      </w:r>
      <w:r>
        <w:t xml:space="preserve"> relative </w:t>
      </w:r>
      <w:r>
        <w:rPr>
          <w:rFonts w:eastAsia="DengXian"/>
        </w:rPr>
        <w:t>protein</w:t>
      </w:r>
      <w:r>
        <w:t xml:space="preserve"> rearrangement, leading to the </w:t>
      </w:r>
      <w:r>
        <w:rPr>
          <w:rFonts w:eastAsia="DengXian"/>
        </w:rPr>
        <w:t>opening</w:t>
      </w:r>
      <w:r>
        <w:t xml:space="preserve"> of cellular tight junctions to allow the transdermal delivery of macromolecules.</w:t>
      </w:r>
    </w:p>
    <w:p w14:paraId="5AC898D6" w14:textId="77777777" w:rsidR="00AF338A" w:rsidRPr="00CF5333" w:rsidRDefault="00AF338A" w:rsidP="00AF338A">
      <w:pPr>
        <w:spacing w:line="360" w:lineRule="auto"/>
        <w:ind w:firstLineChars="150" w:firstLine="300"/>
        <w:jc w:val="both"/>
      </w:pPr>
    </w:p>
    <w:p w14:paraId="5C9C38EF" w14:textId="77777777" w:rsidR="00AF338A" w:rsidRPr="00A0400C" w:rsidRDefault="00AF338A" w:rsidP="00AF338A">
      <w:pPr>
        <w:spacing w:line="360" w:lineRule="auto"/>
        <w:jc w:val="both"/>
        <w:rPr>
          <w:b/>
          <w:bCs/>
          <w:i/>
          <w:iCs/>
        </w:rPr>
      </w:pPr>
      <w:r w:rsidRPr="00A0400C">
        <w:rPr>
          <w:b/>
          <w:bCs/>
          <w:i/>
          <w:iCs/>
        </w:rPr>
        <w:t>In vitro immune responses</w:t>
      </w:r>
    </w:p>
    <w:p w14:paraId="704117F1" w14:textId="77777777" w:rsidR="00AF338A" w:rsidRDefault="00AF338A" w:rsidP="00AF338A">
      <w:pPr>
        <w:spacing w:line="360" w:lineRule="auto"/>
        <w:ind w:firstLineChars="100"/>
        <w:jc w:val="both"/>
      </w:pPr>
      <w:r>
        <w:t xml:space="preserve">To enhance the immune responses induced by FCS-OVA nanoparticles, the potent TLR7 agonist R837, which </w:t>
      </w:r>
      <w:r w:rsidRPr="00880589">
        <w:t xml:space="preserve">is essential for the presentation of the antigen and </w:t>
      </w:r>
      <w:r>
        <w:t>triggering</w:t>
      </w:r>
      <w:r w:rsidRPr="00880589">
        <w:t xml:space="preserve"> subsequent immunological </w:t>
      </w:r>
      <w:proofErr w:type="gramStart"/>
      <w:r w:rsidRPr="00880589">
        <w:t>responses</w:t>
      </w:r>
      <w:r w:rsidRPr="00CF7FB7">
        <w:rPr>
          <w:noProof/>
          <w:vertAlign w:val="superscript"/>
        </w:rPr>
        <w:t>[</w:t>
      </w:r>
      <w:proofErr w:type="gramEnd"/>
      <w:r w:rsidRPr="00CF7FB7">
        <w:rPr>
          <w:noProof/>
          <w:vertAlign w:val="superscript"/>
        </w:rPr>
        <w:t>50]</w:t>
      </w:r>
      <w:r>
        <w:t xml:space="preserve">, was mixed with FCS-OVA nanoparticles. To verify the immunostimulatory effect, healthy C57BL/6 mice were used to </w:t>
      </w:r>
      <w:proofErr w:type="spellStart"/>
      <w:r>
        <w:t>extracte</w:t>
      </w:r>
      <w:proofErr w:type="spellEnd"/>
      <w:r>
        <w:t xml:space="preserve"> bone marrow-derived dendritic cells (BMDCs) and studied the maturation of DCs after </w:t>
      </w:r>
      <w:r>
        <w:rPr>
          <w:rFonts w:eastAsia="DengXian"/>
        </w:rPr>
        <w:t>incubation</w:t>
      </w:r>
      <w:r>
        <w:t xml:space="preserve"> with FCS, OVA, R837, OVA-R837, FCS-OVA and FCS-OVA nanoparticles with R837 (FCS-OVA-R837) (</w:t>
      </w:r>
      <w:r w:rsidRPr="00CF5333">
        <w:rPr>
          <w:b/>
          <w:bCs/>
        </w:rPr>
        <w:t>Figure 4a &amp; b</w:t>
      </w:r>
      <w:r>
        <w:t xml:space="preserve">). </w:t>
      </w:r>
      <w:r w:rsidRPr="00696589">
        <w:t xml:space="preserve">The expression levels of CD80 and CD86, recognized as hallmark indicators of </w:t>
      </w:r>
      <w:r>
        <w:t>DC</w:t>
      </w:r>
      <w:r w:rsidRPr="00696589">
        <w:t xml:space="preserve"> maturation, were quantified using flow cytometry analysis.</w:t>
      </w:r>
      <w:r>
        <w:t xml:space="preserve"> As shown in </w:t>
      </w:r>
      <w:r w:rsidRPr="00CF5333">
        <w:rPr>
          <w:b/>
          <w:bCs/>
        </w:rPr>
        <w:t>Figure 4a &amp; b</w:t>
      </w:r>
      <w:r>
        <w:t xml:space="preserve">, FCS-OVA-R837 obviously </w:t>
      </w:r>
      <w:r>
        <w:rPr>
          <w:rFonts w:eastAsia="DengXian"/>
        </w:rPr>
        <w:t>promoted</w:t>
      </w:r>
      <w:r>
        <w:t xml:space="preserve"> DC maturation with CD80 and CD86 expression upregulated. The maturation of </w:t>
      </w:r>
      <w:r>
        <w:rPr>
          <w:rFonts w:eastAsia="DengXian"/>
        </w:rPr>
        <w:t>DCs</w:t>
      </w:r>
      <w:r>
        <w:t xml:space="preserve"> was further confirmed by the increased secretion of interleukin-6 (IL-6, pro-inflammatory cytokine), interleukin-12p40 (IL-12p40, antigenic stimulation cytokine), and tumor necrosis factor-α (TNF-α, inflammatory response cytokine) (</w:t>
      </w:r>
      <w:r w:rsidRPr="00CF5333">
        <w:rPr>
          <w:b/>
          <w:bCs/>
        </w:rPr>
        <w:t>Figure 4-e</w:t>
      </w:r>
      <w:r>
        <w:t xml:space="preserve">). In addition to DC maturation, we further investigated the antigen cross-presentation ability of </w:t>
      </w:r>
      <w:r>
        <w:rPr>
          <w:rFonts w:eastAsia="DengXian"/>
        </w:rPr>
        <w:t>DCs</w:t>
      </w:r>
      <w:r>
        <w:t xml:space="preserve"> after </w:t>
      </w:r>
      <w:r>
        <w:rPr>
          <w:rFonts w:eastAsia="DengXian"/>
        </w:rPr>
        <w:t>incubation</w:t>
      </w:r>
      <w:r>
        <w:t xml:space="preserve"> with FCS, R837,</w:t>
      </w:r>
      <w:r w:rsidRPr="00696589">
        <w:t xml:space="preserve"> </w:t>
      </w:r>
      <w:r>
        <w:t xml:space="preserve">OVA, OVA-R837, FCS-OVA and FCS-OVA-R837 by flow cytometry. </w:t>
      </w:r>
      <w:r w:rsidRPr="00AB1917">
        <w:t>The most abundant SIINFEKL peptide was found on the surface of BMDCs treated with FCS-OVA-R837</w:t>
      </w:r>
      <w:r>
        <w:t xml:space="preserve"> (</w:t>
      </w:r>
      <w:r w:rsidRPr="00CF5333">
        <w:rPr>
          <w:b/>
          <w:bCs/>
        </w:rPr>
        <w:t>Figure 4f</w:t>
      </w:r>
      <w:r>
        <w:t>), indicating that FCS-OVA-R837 could promote antigen cross-presentation by DCs and induce downstream immune responses.</w:t>
      </w:r>
    </w:p>
    <w:p w14:paraId="0C4060B4" w14:textId="77777777" w:rsidR="00AF338A" w:rsidRPr="000D3DE6" w:rsidRDefault="00AF338A" w:rsidP="00AF338A">
      <w:pPr>
        <w:spacing w:line="360" w:lineRule="auto"/>
        <w:ind w:firstLineChars="200" w:firstLine="400"/>
        <w:jc w:val="both"/>
      </w:pPr>
      <w:r>
        <w:t xml:space="preserve">Inspired by the effective antigen cross-presentation and maturation of DCs induced by FCS-OVA-R837, we further </w:t>
      </w:r>
      <w:r>
        <w:rPr>
          <w:rFonts w:eastAsia="DengXian"/>
        </w:rPr>
        <w:t>evaluated</w:t>
      </w:r>
      <w:r>
        <w:t xml:space="preserve"> the efficiency of BMDCs activated by </w:t>
      </w:r>
      <w:bookmarkStart w:id="8" w:name="_Hlk66302481"/>
      <w:r>
        <w:t>FCS-OVA-R837</w:t>
      </w:r>
      <w:bookmarkEnd w:id="8"/>
      <w:r>
        <w:t xml:space="preserve"> to trigger subsequent OVA-specific T-cell responses. In this case, OT-1 mice were sacrificed</w:t>
      </w:r>
      <w:r>
        <w:rPr>
          <w:rFonts w:eastAsia="DengXian"/>
        </w:rPr>
        <w:t>,</w:t>
      </w:r>
      <w:r>
        <w:t xml:space="preserve"> and OVA</w:t>
      </w:r>
      <w:r w:rsidRPr="000D3DE6">
        <w:t>-specific T</w:t>
      </w:r>
      <w:r w:rsidRPr="000D3DE6">
        <w:rPr>
          <w:rFonts w:eastAsia="DengXian"/>
        </w:rPr>
        <w:t xml:space="preserve"> </w:t>
      </w:r>
      <w:r w:rsidRPr="000D3DE6">
        <w:t xml:space="preserve">cells were extracted from the spleen and then </w:t>
      </w:r>
      <w:r w:rsidRPr="000D3DE6">
        <w:rPr>
          <w:rFonts w:eastAsia="DengXian"/>
        </w:rPr>
        <w:t>cocultured</w:t>
      </w:r>
      <w:r w:rsidRPr="000D3DE6">
        <w:t xml:space="preserve"> with BMDCs </w:t>
      </w:r>
      <w:r w:rsidRPr="000D3DE6">
        <w:rPr>
          <w:rFonts w:eastAsia="DengXian"/>
        </w:rPr>
        <w:t xml:space="preserve">pretreated </w:t>
      </w:r>
      <w:r w:rsidRPr="000D3DE6">
        <w:t>with OVA, FCS-OVA, OVA-R837 or FCS-OVA-R837. Here, OVA-specific CD8+ T</w:t>
      </w:r>
      <w:r w:rsidRPr="000D3DE6">
        <w:rPr>
          <w:rFonts w:eastAsia="DengXian"/>
        </w:rPr>
        <w:t xml:space="preserve"> cells</w:t>
      </w:r>
      <w:r w:rsidRPr="000D3DE6">
        <w:t xml:space="preserve"> were </w:t>
      </w:r>
      <w:r w:rsidRPr="000D3DE6">
        <w:rPr>
          <w:rFonts w:eastAsia="DengXian"/>
        </w:rPr>
        <w:t>separated</w:t>
      </w:r>
      <w:r w:rsidRPr="000D3DE6">
        <w:t xml:space="preserve"> by magnetic beads and </w:t>
      </w:r>
      <w:proofErr w:type="spellStart"/>
      <w:r w:rsidRPr="000D3DE6">
        <w:rPr>
          <w:rFonts w:eastAsia="DengXian"/>
        </w:rPr>
        <w:t>prestained</w:t>
      </w:r>
      <w:proofErr w:type="spellEnd"/>
      <w:r w:rsidRPr="000D3DE6">
        <w:rPr>
          <w:rFonts w:eastAsia="DengXian"/>
        </w:rPr>
        <w:t xml:space="preserve"> with </w:t>
      </w:r>
      <w:proofErr w:type="spellStart"/>
      <w:r w:rsidRPr="000D3DE6">
        <w:rPr>
          <w:rFonts w:eastAsia="DengXian"/>
        </w:rPr>
        <w:t>carboxyfluorescein</w:t>
      </w:r>
      <w:proofErr w:type="spellEnd"/>
      <w:r w:rsidRPr="000D3DE6">
        <w:t xml:space="preserve"> </w:t>
      </w:r>
      <w:proofErr w:type="spellStart"/>
      <w:r w:rsidRPr="000D3DE6">
        <w:t>succinimidyl</w:t>
      </w:r>
      <w:proofErr w:type="spellEnd"/>
      <w:r w:rsidRPr="000D3DE6">
        <w:t xml:space="preserve"> ester (CFSE), and </w:t>
      </w:r>
      <w:proofErr w:type="spellStart"/>
      <w:r w:rsidRPr="000D3DE6">
        <w:t>evalued</w:t>
      </w:r>
      <w:proofErr w:type="spellEnd"/>
      <w:r w:rsidRPr="000D3DE6">
        <w:t xml:space="preserve"> the proliferation. As expected, the OT-1 CD8+ T cells cultured with FCS-OVA-R837 showed much higher proliferation than </w:t>
      </w:r>
      <w:r w:rsidRPr="000D3DE6">
        <w:lastRenderedPageBreak/>
        <w:t>that of other groups, indicating that FCS-OVA-R837 might efficiently activate BMDCs and cause ensuing OVA-specific T-</w:t>
      </w:r>
      <w:r w:rsidRPr="000D3DE6">
        <w:rPr>
          <w:rFonts w:eastAsia="DengXian"/>
        </w:rPr>
        <w:t>cell</w:t>
      </w:r>
      <w:r w:rsidRPr="000D3DE6">
        <w:t xml:space="preserve"> responses (</w:t>
      </w:r>
      <w:r w:rsidRPr="000D3DE6">
        <w:rPr>
          <w:b/>
          <w:bCs/>
        </w:rPr>
        <w:t>Figure 4g &amp; h</w:t>
      </w:r>
      <w:r w:rsidRPr="000D3DE6">
        <w:t>).</w:t>
      </w:r>
    </w:p>
    <w:p w14:paraId="1CCA9F73" w14:textId="77777777" w:rsidR="00AF338A" w:rsidRPr="000D3DE6" w:rsidRDefault="00AF338A" w:rsidP="00AF338A">
      <w:pPr>
        <w:spacing w:line="360" w:lineRule="auto"/>
        <w:ind w:firstLineChars="200" w:firstLine="400"/>
        <w:jc w:val="both"/>
      </w:pPr>
    </w:p>
    <w:p w14:paraId="2453D240" w14:textId="77777777" w:rsidR="00AF338A" w:rsidRPr="000D3DE6" w:rsidRDefault="00AF338A" w:rsidP="00AF338A">
      <w:pPr>
        <w:spacing w:line="360" w:lineRule="auto"/>
        <w:jc w:val="both"/>
        <w:rPr>
          <w:b/>
          <w:bCs/>
          <w:i/>
          <w:iCs/>
        </w:rPr>
      </w:pPr>
      <w:r w:rsidRPr="000D3DE6">
        <w:rPr>
          <w:b/>
          <w:bCs/>
          <w:i/>
          <w:iCs/>
        </w:rPr>
        <w:t>Prophylactic studies and immunological evaluation</w:t>
      </w:r>
    </w:p>
    <w:p w14:paraId="3EB5A210" w14:textId="77777777" w:rsidR="00AF338A" w:rsidRDefault="00AF338A" w:rsidP="00AF338A">
      <w:pPr>
        <w:spacing w:line="360" w:lineRule="auto"/>
        <w:ind w:firstLine="420"/>
        <w:jc w:val="both"/>
      </w:pPr>
      <w:r w:rsidRPr="000D3DE6">
        <w:t xml:space="preserve">To study the protective ability of such </w:t>
      </w:r>
      <w:r w:rsidRPr="000D3DE6">
        <w:rPr>
          <w:rFonts w:eastAsia="DengXian"/>
        </w:rPr>
        <w:t xml:space="preserve">a </w:t>
      </w:r>
      <w:r w:rsidRPr="000D3DE6">
        <w:t>needle-free vaccine patch, C57BL/6 mice were divided into five groups: FCS patch, FCS-OVA patch, OVA-R837 patch, FCS-OVA-R837 patch and intradermal injection of OVA-R837 (for patch groups: FCS was 25 μg, OVA was 25 μg and R837 was 200 μg per time for six times; for intradermal injection: OVA was 50 μg, R837 was 400 μg per time for three times). For</w:t>
      </w:r>
      <w:r w:rsidRPr="000D3DE6">
        <w:rPr>
          <w:rFonts w:eastAsia="DengXian"/>
        </w:rPr>
        <w:t xml:space="preserve"> the</w:t>
      </w:r>
      <w:r w:rsidRPr="000D3DE6">
        <w:t xml:space="preserve"> patch groups, FCS, FCS-OVA, OVA-R837 or FCS-OVA-R837 were </w:t>
      </w:r>
      <w:r w:rsidRPr="000D3DE6">
        <w:rPr>
          <w:rFonts w:eastAsia="DengXian"/>
        </w:rPr>
        <w:t>first</w:t>
      </w:r>
      <w:r w:rsidRPr="000D3DE6">
        <w:t xml:space="preserve"> mixed with moisturizing cream</w:t>
      </w:r>
      <w:r w:rsidRPr="000D3DE6">
        <w:rPr>
          <w:rFonts w:eastAsia="DengXian"/>
        </w:rPr>
        <w:t>,</w:t>
      </w:r>
      <w:r w:rsidRPr="000D3DE6">
        <w:t xml:space="preserve"> applied to the back of C57BL/c mice, and then covered with </w:t>
      </w:r>
      <w:r w:rsidRPr="000D3DE6">
        <w:rPr>
          <w:rFonts w:eastAsia="DengXian"/>
        </w:rPr>
        <w:t xml:space="preserve">a </w:t>
      </w:r>
      <w:r w:rsidRPr="000D3DE6">
        <w:t xml:space="preserve">3 M dressing. For three weeks, the vaccine was administered twice a week. As </w:t>
      </w:r>
      <w:r w:rsidRPr="000D3DE6">
        <w:rPr>
          <w:rFonts w:eastAsia="DengXian"/>
        </w:rPr>
        <w:t xml:space="preserve">the </w:t>
      </w:r>
      <w:r w:rsidRPr="000D3DE6">
        <w:t xml:space="preserve">positive control, the mice were intradermally injected with OVA-R837 </w:t>
      </w:r>
      <w:r>
        <w:t>once a week for three weeks. Four days after the last treatment, every mouse was challenged with 3*10</w:t>
      </w:r>
      <w:r>
        <w:rPr>
          <w:vertAlign w:val="superscript"/>
        </w:rPr>
        <w:t>6</w:t>
      </w:r>
      <w:r>
        <w:t xml:space="preserve"> OVA-expressing B16-OVA melanoma tumor cells (</w:t>
      </w:r>
      <w:r>
        <w:rPr>
          <w:b/>
          <w:bCs/>
        </w:rPr>
        <w:t xml:space="preserve">Figure S3 </w:t>
      </w:r>
      <w:r w:rsidRPr="00CF5333">
        <w:rPr>
          <w:b/>
          <w:bCs/>
        </w:rPr>
        <w:t>&amp; Figure 5a</w:t>
      </w:r>
      <w:r>
        <w:t xml:space="preserve">). </w:t>
      </w:r>
      <w:r w:rsidRPr="00ED442D">
        <w:t xml:space="preserve">Tumor </w:t>
      </w:r>
      <w:r>
        <w:t>growth</w:t>
      </w:r>
      <w:r w:rsidRPr="00ED442D">
        <w:t xml:space="preserve"> was monitored every two days</w:t>
      </w:r>
      <w:r>
        <w:t>. Excitingly, compared to the mice with standard intradermal injection of OVA-R837, the mice treated with</w:t>
      </w:r>
      <w:r>
        <w:rPr>
          <w:rFonts w:eastAsia="DengXian"/>
        </w:rPr>
        <w:t xml:space="preserve"> the</w:t>
      </w:r>
      <w:r>
        <w:t xml:space="preserve"> FCS-OVA-R837 patch exhibited </w:t>
      </w:r>
      <w:r>
        <w:rPr>
          <w:rFonts w:eastAsia="DengXian"/>
        </w:rPr>
        <w:t xml:space="preserve">a </w:t>
      </w:r>
      <w:r>
        <w:t xml:space="preserve">much better protective effect to inhibit the growth of </w:t>
      </w:r>
      <w:r>
        <w:rPr>
          <w:rFonts w:eastAsia="DengXian"/>
        </w:rPr>
        <w:t>tumors</w:t>
      </w:r>
      <w:r>
        <w:t xml:space="preserve">, which might be </w:t>
      </w:r>
      <w:r>
        <w:rPr>
          <w:rFonts w:eastAsia="DengXian"/>
        </w:rPr>
        <w:t xml:space="preserve">because </w:t>
      </w:r>
      <w:r>
        <w:t xml:space="preserve">intradermal injection of </w:t>
      </w:r>
      <w:r>
        <w:rPr>
          <w:rFonts w:eastAsia="DengXian"/>
        </w:rPr>
        <w:t xml:space="preserve">the </w:t>
      </w:r>
      <w:r>
        <w:t xml:space="preserve">vaccine usually </w:t>
      </w:r>
      <w:r>
        <w:rPr>
          <w:rFonts w:eastAsia="DengXian"/>
        </w:rPr>
        <w:t>bypasses</w:t>
      </w:r>
      <w:r>
        <w:t xml:space="preserve"> the abundant APCs in the epidermis of </w:t>
      </w:r>
      <w:r>
        <w:rPr>
          <w:rFonts w:eastAsia="DengXian"/>
        </w:rPr>
        <w:t xml:space="preserve">the </w:t>
      </w:r>
      <w:r>
        <w:t xml:space="preserve">skin, leading to inefficient antigen presentation. </w:t>
      </w:r>
      <w:r>
        <w:rPr>
          <w:rFonts w:eastAsia="DengXian"/>
        </w:rPr>
        <w:t>In addition</w:t>
      </w:r>
      <w:r>
        <w:t xml:space="preserve">, mice in </w:t>
      </w:r>
      <w:r>
        <w:rPr>
          <w:rFonts w:eastAsia="DengXian"/>
        </w:rPr>
        <w:t xml:space="preserve">the </w:t>
      </w:r>
      <w:r>
        <w:t>FCS-OVA-R837 patch</w:t>
      </w:r>
      <w:r>
        <w:rPr>
          <w:rFonts w:eastAsia="DengXian"/>
        </w:rPr>
        <w:t>-</w:t>
      </w:r>
      <w:r>
        <w:t>treated group exhibited significantly prolonged survival, with</w:t>
      </w:r>
      <w:r>
        <w:rPr>
          <w:rFonts w:eastAsia="DengXian"/>
        </w:rPr>
        <w:t xml:space="preserve"> an</w:t>
      </w:r>
      <w:r>
        <w:t xml:space="preserve"> 80% survival rate 60 days after tumor </w:t>
      </w:r>
      <w:r>
        <w:rPr>
          <w:rFonts w:eastAsia="DengXian"/>
        </w:rPr>
        <w:t>challenge</w:t>
      </w:r>
      <w:r>
        <w:t xml:space="preserve"> (</w:t>
      </w:r>
      <w:r w:rsidRPr="00CF5333">
        <w:rPr>
          <w:b/>
          <w:bCs/>
        </w:rPr>
        <w:t>Figure 5c</w:t>
      </w:r>
      <w:r>
        <w:t xml:space="preserve">). In contrast, both </w:t>
      </w:r>
      <w:r>
        <w:rPr>
          <w:rFonts w:eastAsia="DengXian"/>
        </w:rPr>
        <w:t xml:space="preserve">the </w:t>
      </w:r>
      <w:r>
        <w:t xml:space="preserve">OVA/R837 patch, which </w:t>
      </w:r>
      <w:r>
        <w:rPr>
          <w:rFonts w:eastAsia="DengXian"/>
        </w:rPr>
        <w:t xml:space="preserve">has difficulty crossing </w:t>
      </w:r>
      <w:r>
        <w:t xml:space="preserve">the skin barrier, and </w:t>
      </w:r>
      <w:r>
        <w:rPr>
          <w:rFonts w:eastAsia="DengXian"/>
        </w:rPr>
        <w:t xml:space="preserve">the </w:t>
      </w:r>
      <w:r>
        <w:t xml:space="preserve">FCS cream, which lacks antigen, exhibited negligible protective </w:t>
      </w:r>
      <w:r>
        <w:rPr>
          <w:rFonts w:eastAsia="DengXian"/>
        </w:rPr>
        <w:t xml:space="preserve">effects against tumor growth </w:t>
      </w:r>
      <w:r>
        <w:t>(</w:t>
      </w:r>
      <w:r w:rsidRPr="00CF5333">
        <w:rPr>
          <w:b/>
          <w:bCs/>
        </w:rPr>
        <w:t>Figure 5b</w:t>
      </w:r>
      <w:r>
        <w:t>).</w:t>
      </w:r>
    </w:p>
    <w:p w14:paraId="59171E39" w14:textId="77777777" w:rsidR="00AF338A" w:rsidRDefault="00AF338A" w:rsidP="00AF338A">
      <w:pPr>
        <w:spacing w:line="360" w:lineRule="auto"/>
        <w:ind w:firstLineChars="100"/>
        <w:jc w:val="both"/>
      </w:pPr>
      <w:r>
        <w:t xml:space="preserve">Next, we evaluated the immune responses induced by </w:t>
      </w:r>
      <w:r>
        <w:rPr>
          <w:rFonts w:eastAsia="DengXian"/>
        </w:rPr>
        <w:t>this</w:t>
      </w:r>
      <w:r>
        <w:t xml:space="preserve"> needle-free FCS-OVA-R837 vaccine patch. In the parallel experiment, mice were vaccinated with </w:t>
      </w:r>
      <w:r>
        <w:rPr>
          <w:rFonts w:eastAsia="DengXian"/>
        </w:rPr>
        <w:t xml:space="preserve">the </w:t>
      </w:r>
      <w:r>
        <w:t>FCS-OVA patch, FCS-OVA-R837 patch, OVA-R837 patch and intradermal injection of OVA-R837 and then sacrificed</w:t>
      </w:r>
      <w:r>
        <w:rPr>
          <w:rFonts w:eastAsia="DengXian"/>
        </w:rPr>
        <w:t>,</w:t>
      </w:r>
      <w:r>
        <w:t xml:space="preserve"> and their inguinal lymph nodes (LNs) were isolated for evaluation four days after the final treatment. Similar to the in vitro experiment, t</w:t>
      </w:r>
      <w:r w:rsidRPr="00105A39">
        <w:t xml:space="preserve">he highest levels of CD80 and CD86 expression were found in DCs taken from the lymph nodes of mice treated with the FCS-OVA-R837 patch, clearly demonstrating the maturation of DCs </w:t>
      </w:r>
      <w:r>
        <w:t>induced</w:t>
      </w:r>
      <w:r w:rsidRPr="00105A39">
        <w:t xml:space="preserve"> by FCS-OVA-R837 patch.</w:t>
      </w:r>
      <w:r>
        <w:t xml:space="preserve"> Moreover, the CD11c</w:t>
      </w:r>
      <w:r>
        <w:rPr>
          <w:vertAlign w:val="superscript"/>
        </w:rPr>
        <w:t>+</w:t>
      </w:r>
      <w:r>
        <w:t>SIINFEKL-H-2Kb</w:t>
      </w:r>
      <w:r>
        <w:rPr>
          <w:vertAlign w:val="superscript"/>
        </w:rPr>
        <w:t>+</w:t>
      </w:r>
      <w:r>
        <w:t xml:space="preserve"> antigen cross-presented on the surface of DCs collected from the lymph nodes of in FCS-OVA-R837 treated mice </w:t>
      </w:r>
      <w:r>
        <w:rPr>
          <w:rFonts w:eastAsia="DengXian"/>
        </w:rPr>
        <w:t xml:space="preserve">was </w:t>
      </w:r>
      <w:r>
        <w:t>also significantly increased (</w:t>
      </w:r>
      <w:r w:rsidRPr="00CF5333">
        <w:rPr>
          <w:b/>
          <w:bCs/>
        </w:rPr>
        <w:t>Figure 5d-g</w:t>
      </w:r>
      <w:r>
        <w:t>). Meanwhile,</w:t>
      </w:r>
      <w:r w:rsidRPr="00105A39">
        <w:t xml:space="preserve"> T cells obtained from the spleens of mice </w:t>
      </w:r>
      <w:r>
        <w:t xml:space="preserve">in different </w:t>
      </w:r>
      <w:r>
        <w:lastRenderedPageBreak/>
        <w:t xml:space="preserve">groups were stimulated with OVA peptide (SIINFEKL) and then </w:t>
      </w:r>
      <w:proofErr w:type="spellStart"/>
      <w:r>
        <w:t>analysed</w:t>
      </w:r>
      <w:proofErr w:type="spellEnd"/>
      <w:r>
        <w:t>. The relative ratio of IFN-γ</w:t>
      </w:r>
      <w:r>
        <w:rPr>
          <w:vertAlign w:val="superscript"/>
        </w:rPr>
        <w:t>+</w:t>
      </w:r>
      <w:r>
        <w:t>CD8</w:t>
      </w:r>
      <w:r>
        <w:rPr>
          <w:vertAlign w:val="superscript"/>
        </w:rPr>
        <w:t>+</w:t>
      </w:r>
      <w:r>
        <w:t xml:space="preserve"> T cells collected from mice immunized with </w:t>
      </w:r>
      <w:r>
        <w:rPr>
          <w:rFonts w:eastAsia="DengXian"/>
        </w:rPr>
        <w:t xml:space="preserve">the </w:t>
      </w:r>
      <w:r>
        <w:t>FCS-OVA-R837 vaccine was significantly increased (</w:t>
      </w:r>
      <w:r w:rsidRPr="00CF5333">
        <w:rPr>
          <w:b/>
          <w:bCs/>
        </w:rPr>
        <w:t xml:space="preserve">Figure 5h &amp; </w:t>
      </w:r>
      <w:proofErr w:type="spellStart"/>
      <w:r w:rsidRPr="00CF5333">
        <w:rPr>
          <w:b/>
          <w:bCs/>
        </w:rPr>
        <w:t>i</w:t>
      </w:r>
      <w:proofErr w:type="spellEnd"/>
      <w:r>
        <w:t xml:space="preserve">), </w:t>
      </w:r>
      <w:r w:rsidRPr="00105A39">
        <w:t xml:space="preserve">demonstrating the strong in vivo T-cell responses </w:t>
      </w:r>
      <w:r>
        <w:t>induced</w:t>
      </w:r>
      <w:r w:rsidRPr="00105A39">
        <w:t xml:space="preserve"> by FCS-OVA-R837 vaccination patch</w:t>
      </w:r>
      <w:r>
        <w:t xml:space="preserve">. </w:t>
      </w:r>
    </w:p>
    <w:p w14:paraId="66EF4573" w14:textId="77777777" w:rsidR="00AF338A" w:rsidRPr="00C25CF7" w:rsidRDefault="00AF338A" w:rsidP="00AF338A">
      <w:pPr>
        <w:spacing w:line="360" w:lineRule="auto"/>
        <w:ind w:firstLineChars="100"/>
        <w:jc w:val="both"/>
      </w:pPr>
    </w:p>
    <w:p w14:paraId="04483754" w14:textId="77777777" w:rsidR="00AF338A" w:rsidRPr="00CF5333" w:rsidRDefault="00AF338A" w:rsidP="00AF338A">
      <w:pPr>
        <w:pStyle w:val="a3"/>
        <w:numPr>
          <w:ilvl w:val="0"/>
          <w:numId w:val="4"/>
        </w:numPr>
        <w:spacing w:line="360" w:lineRule="auto"/>
        <w:ind w:firstLineChars="0"/>
        <w:jc w:val="both"/>
        <w:rPr>
          <w:b/>
          <w:bCs/>
        </w:rPr>
      </w:pPr>
      <w:r w:rsidRPr="00CF5333">
        <w:rPr>
          <w:b/>
          <w:bCs/>
        </w:rPr>
        <w:t>Conclusion</w:t>
      </w:r>
    </w:p>
    <w:p w14:paraId="617F503B" w14:textId="77777777" w:rsidR="00AF338A" w:rsidRDefault="00AF338A" w:rsidP="00AF338A">
      <w:pPr>
        <w:spacing w:line="360" w:lineRule="auto"/>
        <w:ind w:firstLineChars="150" w:firstLine="300"/>
        <w:jc w:val="both"/>
      </w:pPr>
      <w:r>
        <w:t>In conclusion, w</w:t>
      </w:r>
      <w:r w:rsidRPr="00105A39">
        <w:t xml:space="preserve">e developed a needle-free vaccination patch utilizing FCS, a cationic polymer modified with fluorine chains that can self-assemble with the model antigen OVA to </w:t>
      </w:r>
      <w:r>
        <w:t>form</w:t>
      </w:r>
      <w:r w:rsidRPr="00105A39">
        <w:t xml:space="preserve"> homogenous </w:t>
      </w:r>
      <w:proofErr w:type="gramStart"/>
      <w:r w:rsidRPr="00105A39">
        <w:t xml:space="preserve">nanoparticles </w:t>
      </w:r>
      <w:r>
        <w:t>.</w:t>
      </w:r>
      <w:proofErr w:type="gramEnd"/>
      <w:r>
        <w:t xml:space="preserve"> Interestingly, this nanoparticles could reversibly open the tight junction between epithelial cells and </w:t>
      </w:r>
      <w:r w:rsidRPr="003B369F">
        <w:t xml:space="preserve">facilitate the </w:t>
      </w:r>
      <w:r>
        <w:t>penetration</w:t>
      </w:r>
      <w:r w:rsidRPr="003B369F">
        <w:t xml:space="preserve"> of OVA through the epithelial </w:t>
      </w:r>
      <w:proofErr w:type="gramStart"/>
      <w:r w:rsidRPr="003B369F">
        <w:t>barrier</w:t>
      </w:r>
      <w:r w:rsidRPr="003B369F" w:rsidDel="003B369F">
        <w:t xml:space="preserve"> </w:t>
      </w:r>
      <w:r>
        <w:t>,</w:t>
      </w:r>
      <w:proofErr w:type="gramEnd"/>
      <w:r>
        <w:t xml:space="preserve"> and </w:t>
      </w:r>
      <w:proofErr w:type="spellStart"/>
      <w:r>
        <w:t>uptaken</w:t>
      </w:r>
      <w:proofErr w:type="spellEnd"/>
      <w:r>
        <w:t xml:space="preserve"> by antigen present cells in the dermic and </w:t>
      </w:r>
      <w:proofErr w:type="spellStart"/>
      <w:r>
        <w:t>eipderic</w:t>
      </w:r>
      <w:proofErr w:type="spellEnd"/>
      <w:r>
        <w:t>, than accumulating into the nearby lymph nodes and triggering antigen presentation. Meanwhile, with the help of R837, which could promote DC activation by stimulating</w:t>
      </w:r>
      <w:r>
        <w:rPr>
          <w:rFonts w:eastAsia="DengXian"/>
        </w:rPr>
        <w:t xml:space="preserve"> the</w:t>
      </w:r>
      <w:r>
        <w:t xml:space="preserve"> TLR7 signaling pathway, effective antigen presentation was achieved. More importantly, compared to traditional intradermal injection of OVA-R837, such </w:t>
      </w:r>
      <w:r>
        <w:rPr>
          <w:rFonts w:eastAsia="DengXian"/>
        </w:rPr>
        <w:t xml:space="preserve">a </w:t>
      </w:r>
      <w:r>
        <w:t>needle-free vaccine patch could trigger more effective antitumor immune responses, exhibiting</w:t>
      </w:r>
      <w:r>
        <w:rPr>
          <w:rFonts w:eastAsia="DengXian"/>
        </w:rPr>
        <w:t xml:space="preserve"> a</w:t>
      </w:r>
      <w:r>
        <w:t xml:space="preserve"> much better protective effect to inhibit the growth of </w:t>
      </w:r>
      <w:r>
        <w:rPr>
          <w:rFonts w:eastAsia="DengXian"/>
        </w:rPr>
        <w:t>tumors</w:t>
      </w:r>
      <w:r>
        <w:t>. In addition to</w:t>
      </w:r>
      <w:r>
        <w:rPr>
          <w:rFonts w:eastAsia="DengXian"/>
        </w:rPr>
        <w:t xml:space="preserve"> the</w:t>
      </w:r>
      <w:r>
        <w:t xml:space="preserve"> model antigen OVA demonstrated in </w:t>
      </w:r>
      <w:r>
        <w:rPr>
          <w:rFonts w:eastAsia="DengXian"/>
        </w:rPr>
        <w:t>this</w:t>
      </w:r>
      <w:r>
        <w:t xml:space="preserve"> work, such transdermal FCS may be extended to fabricate other types of important needle-free vaccines</w:t>
      </w:r>
      <w:r>
        <w:rPr>
          <w:rFonts w:eastAsia="DengXian"/>
        </w:rPr>
        <w:t>,</w:t>
      </w:r>
      <w:r>
        <w:t xml:space="preserve"> such as </w:t>
      </w:r>
      <w:r>
        <w:rPr>
          <w:rFonts w:eastAsia="DengXian"/>
        </w:rPr>
        <w:t>vaccines</w:t>
      </w:r>
      <w:r>
        <w:t xml:space="preserve"> against COVID-19.</w:t>
      </w:r>
    </w:p>
    <w:p w14:paraId="6C35C28B" w14:textId="77777777" w:rsidR="00AF338A" w:rsidRDefault="00AF338A" w:rsidP="00AF338A">
      <w:pPr>
        <w:spacing w:line="360" w:lineRule="auto"/>
        <w:ind w:firstLineChars="150" w:firstLine="300"/>
        <w:jc w:val="both"/>
      </w:pPr>
    </w:p>
    <w:p w14:paraId="657549E7" w14:textId="77777777" w:rsidR="00AF338A" w:rsidRDefault="00AF338A" w:rsidP="00AF338A">
      <w:pPr>
        <w:spacing w:beforeLines="50" w:before="156" w:line="360" w:lineRule="auto"/>
        <w:jc w:val="both"/>
        <w:rPr>
          <w:b/>
          <w:bCs/>
          <w:szCs w:val="28"/>
        </w:rPr>
      </w:pPr>
      <w:r>
        <w:rPr>
          <w:b/>
          <w:bCs/>
          <w:szCs w:val="28"/>
        </w:rPr>
        <w:t>Supporting Information</w:t>
      </w:r>
    </w:p>
    <w:p w14:paraId="5FA1030D" w14:textId="77777777" w:rsidR="00AF338A" w:rsidRDefault="00AF338A" w:rsidP="00AF338A">
      <w:pPr>
        <w:pStyle w:val="Acknowledgements"/>
        <w:spacing w:line="360" w:lineRule="auto"/>
        <w:jc w:val="both"/>
      </w:pPr>
      <w:r>
        <w:t>Supporting Information is available from the Wiley Online Library or from the author.</w:t>
      </w:r>
    </w:p>
    <w:p w14:paraId="3EFEE549" w14:textId="77777777" w:rsidR="00AF338A" w:rsidRDefault="00AF338A" w:rsidP="00AF338A">
      <w:pPr>
        <w:pStyle w:val="Acknowledgements"/>
        <w:spacing w:line="360" w:lineRule="auto"/>
        <w:jc w:val="both"/>
      </w:pPr>
    </w:p>
    <w:p w14:paraId="53AEFA02" w14:textId="77777777" w:rsidR="00AF338A" w:rsidRDefault="00AF338A" w:rsidP="00AF338A">
      <w:pPr>
        <w:pStyle w:val="Acknowledgements"/>
        <w:spacing w:line="360" w:lineRule="auto"/>
        <w:jc w:val="both"/>
        <w:rPr>
          <w:b/>
          <w:bCs/>
          <w:szCs w:val="28"/>
        </w:rPr>
      </w:pPr>
      <w:r>
        <w:rPr>
          <w:b/>
          <w:bCs/>
          <w:szCs w:val="28"/>
        </w:rPr>
        <w:t>Acknowledgement</w:t>
      </w:r>
    </w:p>
    <w:p w14:paraId="7ABA0C6B" w14:textId="77777777" w:rsidR="00AF338A" w:rsidRDefault="00AF338A" w:rsidP="00AF338A">
      <w:pPr>
        <w:spacing w:line="360" w:lineRule="auto"/>
        <w:jc w:val="both"/>
        <w:rPr>
          <w:szCs w:val="28"/>
        </w:rPr>
      </w:pPr>
      <w:r>
        <w:t>This article was partially supported by the National Research Programs of China (</w:t>
      </w:r>
      <w:r>
        <w:rPr>
          <w:szCs w:val="28"/>
        </w:rPr>
        <w:t>2020YFA0211100,</w:t>
      </w:r>
      <w:r>
        <w:t xml:space="preserve"> </w:t>
      </w:r>
      <w:r>
        <w:rPr>
          <w:szCs w:val="28"/>
        </w:rPr>
        <w:t>2021YFF0701800,</w:t>
      </w:r>
      <w:r w:rsidRPr="000D3DE6">
        <w:t xml:space="preserve"> </w:t>
      </w:r>
      <w:r w:rsidRPr="000D3DE6">
        <w:rPr>
          <w:szCs w:val="28"/>
        </w:rPr>
        <w:t>2022YFA1206500</w:t>
      </w:r>
      <w:r>
        <w:rPr>
          <w:szCs w:val="28"/>
        </w:rPr>
        <w:t xml:space="preserve">), the </w:t>
      </w:r>
      <w:bookmarkStart w:id="9" w:name="OLE_LINK8"/>
      <w:r>
        <w:rPr>
          <w:szCs w:val="28"/>
        </w:rPr>
        <w:t>National Natural Science Foundation of China</w:t>
      </w:r>
      <w:bookmarkEnd w:id="9"/>
      <w:r>
        <w:rPr>
          <w:szCs w:val="28"/>
        </w:rPr>
        <w:t xml:space="preserve"> (21927803,</w:t>
      </w:r>
      <w:r>
        <w:t xml:space="preserve"> </w:t>
      </w:r>
      <w:r>
        <w:rPr>
          <w:szCs w:val="28"/>
        </w:rPr>
        <w:t xml:space="preserve">52032008, 52250002), Collaborative Innovation Center of Suzhou Nano Science and Technology, and the 111 Program from the Ministry of Education of China. </w:t>
      </w:r>
      <w:r>
        <w:rPr>
          <w:rFonts w:eastAsia="DengXian"/>
          <w:szCs w:val="28"/>
        </w:rPr>
        <w:t>Schematics</w:t>
      </w:r>
      <w:r>
        <w:rPr>
          <w:szCs w:val="28"/>
        </w:rPr>
        <w:t xml:space="preserve"> were</w:t>
      </w:r>
      <w:r>
        <w:t xml:space="preserve"> </w:t>
      </w:r>
      <w:r>
        <w:rPr>
          <w:szCs w:val="28"/>
        </w:rPr>
        <w:t>created with BioRender.com.</w:t>
      </w:r>
    </w:p>
    <w:p w14:paraId="4E7B6213" w14:textId="77777777" w:rsidR="00AF338A" w:rsidRDefault="00AF338A" w:rsidP="00AF338A">
      <w:pPr>
        <w:spacing w:line="360" w:lineRule="auto"/>
        <w:jc w:val="both"/>
        <w:rPr>
          <w:szCs w:val="28"/>
        </w:rPr>
      </w:pPr>
    </w:p>
    <w:p w14:paraId="6E6E60D2" w14:textId="77777777" w:rsidR="00AF338A" w:rsidRDefault="00AF338A" w:rsidP="00AF338A">
      <w:pPr>
        <w:spacing w:line="360" w:lineRule="auto"/>
        <w:jc w:val="both"/>
        <w:rPr>
          <w:b/>
          <w:bCs/>
          <w:szCs w:val="28"/>
        </w:rPr>
      </w:pPr>
      <w:r w:rsidRPr="00244E64">
        <w:rPr>
          <w:b/>
          <w:bCs/>
          <w:szCs w:val="28"/>
        </w:rPr>
        <w:t>Conflict of Interest</w:t>
      </w:r>
    </w:p>
    <w:p w14:paraId="1B85440A" w14:textId="77777777" w:rsidR="00AF338A" w:rsidRDefault="00AF338A" w:rsidP="00AF338A">
      <w:pPr>
        <w:spacing w:line="360" w:lineRule="auto"/>
        <w:jc w:val="both"/>
        <w:rPr>
          <w:szCs w:val="28"/>
        </w:rPr>
      </w:pPr>
      <w:r w:rsidRPr="00244E64">
        <w:rPr>
          <w:szCs w:val="28"/>
        </w:rPr>
        <w:t>The authors declare that they have no conflicts of interest.</w:t>
      </w:r>
    </w:p>
    <w:p w14:paraId="628FEEE6" w14:textId="77777777" w:rsidR="00AF338A" w:rsidRDefault="00AF338A" w:rsidP="00AF338A">
      <w:pPr>
        <w:spacing w:line="360" w:lineRule="auto"/>
        <w:jc w:val="both"/>
        <w:rPr>
          <w:szCs w:val="28"/>
        </w:rPr>
      </w:pPr>
    </w:p>
    <w:p w14:paraId="46CCE165" w14:textId="77777777" w:rsidR="00AF338A" w:rsidRDefault="00AF338A" w:rsidP="00AF338A">
      <w:pPr>
        <w:spacing w:line="360" w:lineRule="auto"/>
        <w:jc w:val="both"/>
        <w:rPr>
          <w:b/>
          <w:bCs/>
          <w:color w:val="242021"/>
        </w:rPr>
      </w:pPr>
      <w:r>
        <w:rPr>
          <w:b/>
          <w:bCs/>
          <w:color w:val="242021"/>
        </w:rPr>
        <w:t>Data Availability Statement</w:t>
      </w:r>
    </w:p>
    <w:p w14:paraId="3CEFB27D" w14:textId="77777777" w:rsidR="00AF338A" w:rsidRDefault="00AF338A" w:rsidP="00AF338A">
      <w:pPr>
        <w:spacing w:line="360" w:lineRule="auto"/>
        <w:jc w:val="both"/>
        <w:rPr>
          <w:color w:val="242021"/>
        </w:rPr>
      </w:pPr>
      <w:r>
        <w:rPr>
          <w:color w:val="242021"/>
        </w:rPr>
        <w:t>The data that support the findings of this study are available from the corresponding author upon reasonable request.</w:t>
      </w:r>
    </w:p>
    <w:p w14:paraId="529F343C" w14:textId="77777777" w:rsidR="00AF338A" w:rsidRPr="00CF7FB7" w:rsidRDefault="00AF338A" w:rsidP="00AF338A">
      <w:pPr>
        <w:spacing w:line="360" w:lineRule="auto"/>
        <w:jc w:val="both"/>
        <w:rPr>
          <w:color w:val="242021"/>
        </w:rPr>
      </w:pPr>
    </w:p>
    <w:p w14:paraId="40A3BEEF" w14:textId="77777777" w:rsidR="00AF338A" w:rsidRPr="000D3DE6" w:rsidRDefault="00AF338A" w:rsidP="00AF338A">
      <w:pPr>
        <w:spacing w:line="360" w:lineRule="auto"/>
        <w:rPr>
          <w:rFonts w:eastAsiaTheme="minorEastAsia"/>
          <w:b/>
          <w:bCs/>
          <w:lang w:eastAsia="zh-CN"/>
        </w:rPr>
      </w:pPr>
      <w:r>
        <w:rPr>
          <w:b/>
          <w:bCs/>
        </w:rPr>
        <w:t>References</w:t>
      </w:r>
      <w:r>
        <w:rPr>
          <w:rFonts w:eastAsiaTheme="minorEastAsia"/>
          <w:b/>
          <w:bCs/>
          <w:lang w:eastAsia="zh-CN"/>
        </w:rPr>
        <w:t>:</w:t>
      </w:r>
    </w:p>
    <w:p w14:paraId="64E0A832"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w:t>
      </w:r>
      <w:r>
        <w:rPr>
          <w:sz w:val="24"/>
          <w:szCs w:val="24"/>
        </w:rPr>
        <w:t>]</w:t>
      </w:r>
      <w:r w:rsidRPr="00EC4E85">
        <w:rPr>
          <w:rFonts w:ascii="Times New Roman" w:hAnsi="Times New Roman" w:cs="Times New Roman"/>
          <w:sz w:val="24"/>
          <w:szCs w:val="24"/>
        </w:rPr>
        <w:tab/>
        <w:t xml:space="preserve">I. Mellman, G. Coukos, G. Dranoff, </w:t>
      </w:r>
      <w:r w:rsidRPr="00EC4E85">
        <w:rPr>
          <w:rFonts w:ascii="Times New Roman" w:hAnsi="Times New Roman" w:cs="Times New Roman"/>
          <w:i/>
          <w:sz w:val="24"/>
          <w:szCs w:val="24"/>
        </w:rPr>
        <w:t>Nature</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2011</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480</w:t>
      </w:r>
      <w:r w:rsidRPr="00EC4E85">
        <w:rPr>
          <w:rFonts w:ascii="Times New Roman" w:hAnsi="Times New Roman" w:cs="Times New Roman"/>
          <w:sz w:val="24"/>
          <w:szCs w:val="24"/>
        </w:rPr>
        <w:t>, 480-489.</w:t>
      </w:r>
    </w:p>
    <w:p w14:paraId="19A16A0C"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w:t>
      </w:r>
      <w:r>
        <w:rPr>
          <w:sz w:val="24"/>
          <w:szCs w:val="24"/>
        </w:rPr>
        <w:t>]</w:t>
      </w:r>
      <w:r w:rsidRPr="00EC4E85">
        <w:rPr>
          <w:rFonts w:ascii="Times New Roman" w:hAnsi="Times New Roman" w:cs="Times New Roman"/>
          <w:sz w:val="24"/>
          <w:szCs w:val="24"/>
        </w:rPr>
        <w:tab/>
        <w:t xml:space="preserve">Y. Wu, J. Li, P. Jabbarzadeh Kaboli, J. Shen, X. Wu, Y. Zhao, H. Ji, F. Du, Y. Zhou, Y. Wang, H. Zhang, J. Yin, Q. Wen, C. H. Cho, M. Li, Z. Xiao, </w:t>
      </w:r>
      <w:r w:rsidRPr="00EC4E85">
        <w:rPr>
          <w:rFonts w:ascii="Times New Roman" w:hAnsi="Times New Roman" w:cs="Times New Roman"/>
          <w:i/>
          <w:sz w:val="24"/>
          <w:szCs w:val="24"/>
        </w:rPr>
        <w:t>Pharmacol. Res.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2020</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155</w:t>
      </w:r>
      <w:r w:rsidRPr="00EC4E85">
        <w:rPr>
          <w:rFonts w:ascii="Times New Roman" w:hAnsi="Times New Roman" w:cs="Times New Roman"/>
          <w:sz w:val="24"/>
          <w:szCs w:val="24"/>
        </w:rPr>
        <w:t>, 104691.</w:t>
      </w:r>
    </w:p>
    <w:p w14:paraId="606E06B4"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w:t>
      </w:r>
      <w:r>
        <w:rPr>
          <w:sz w:val="24"/>
          <w:szCs w:val="24"/>
        </w:rPr>
        <w:t>]</w:t>
      </w:r>
      <w:r w:rsidRPr="00EC4E85">
        <w:rPr>
          <w:rFonts w:ascii="Times New Roman" w:hAnsi="Times New Roman" w:cs="Times New Roman"/>
          <w:sz w:val="24"/>
          <w:szCs w:val="24"/>
        </w:rPr>
        <w:tab/>
        <w:t xml:space="preserve">T. A. Chan, M. Yarchoan, E. Jaffee, C. Swanton, S. A. Quezada, A. Stenzinger, S. Peters, </w:t>
      </w:r>
      <w:r w:rsidRPr="00EC4E85">
        <w:rPr>
          <w:rFonts w:ascii="Times New Roman" w:hAnsi="Times New Roman" w:cs="Times New Roman"/>
          <w:i/>
          <w:sz w:val="24"/>
          <w:szCs w:val="24"/>
        </w:rPr>
        <w:t>Annals of Oncology</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30</w:t>
      </w:r>
      <w:r w:rsidRPr="00EC4E85">
        <w:rPr>
          <w:rFonts w:ascii="Times New Roman" w:hAnsi="Times New Roman" w:cs="Times New Roman"/>
          <w:sz w:val="24"/>
          <w:szCs w:val="24"/>
        </w:rPr>
        <w:t>, 44-56.</w:t>
      </w:r>
    </w:p>
    <w:p w14:paraId="78041801"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w:t>
      </w:r>
      <w:r>
        <w:rPr>
          <w:sz w:val="24"/>
          <w:szCs w:val="24"/>
        </w:rPr>
        <w:t>]</w:t>
      </w:r>
      <w:r w:rsidRPr="00EC4E85">
        <w:rPr>
          <w:rFonts w:ascii="Times New Roman" w:hAnsi="Times New Roman" w:cs="Times New Roman"/>
          <w:sz w:val="24"/>
          <w:szCs w:val="24"/>
        </w:rPr>
        <w:tab/>
        <w:t xml:space="preserve">J. L. Tanyi, S. Bobisse, E. Ophir, S. Tuyaerts, A. Roberti, R. Genolet, P. Baumgartner, B. J. Stevenson, C. Iseli, D. Dangaj, B. Czerniecki, A. Semilietof, J. Racle, A. Michel, I. Xenarios, C. Chiang, D. S. Monos, D. A. Torigian, H. L. Nisenbaum, O. Michielin, C. H. June, B. L. Levine, D. J. Powell, D. Gfeller, R. Mick, U. Dafni, V. Zoete, A. Harari, G. Coukos, L. E. Kandalaft, </w:t>
      </w:r>
      <w:r w:rsidRPr="00EC4E85">
        <w:rPr>
          <w:rFonts w:ascii="Times New Roman" w:hAnsi="Times New Roman" w:cs="Times New Roman"/>
          <w:i/>
          <w:sz w:val="24"/>
          <w:szCs w:val="24"/>
        </w:rPr>
        <w:t>Sci. Transl. Med.</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2018</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10</w:t>
      </w:r>
      <w:r w:rsidRPr="00EC4E85">
        <w:rPr>
          <w:rFonts w:ascii="Times New Roman" w:hAnsi="Times New Roman" w:cs="Times New Roman"/>
          <w:sz w:val="24"/>
          <w:szCs w:val="24"/>
        </w:rPr>
        <w:t>, eaao5931.</w:t>
      </w:r>
    </w:p>
    <w:p w14:paraId="5019DECA"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5</w:t>
      </w:r>
      <w:r>
        <w:rPr>
          <w:sz w:val="24"/>
          <w:szCs w:val="24"/>
        </w:rPr>
        <w:t>]</w:t>
      </w:r>
      <w:r w:rsidRPr="00EC4E85">
        <w:rPr>
          <w:rFonts w:ascii="Times New Roman" w:hAnsi="Times New Roman" w:cs="Times New Roman"/>
          <w:sz w:val="24"/>
          <w:szCs w:val="24"/>
        </w:rPr>
        <w:tab/>
        <w:t xml:space="preserve">A. Pavlick, A. B. Blazquez, M. Meseck, M. Lattanzi, P. A. Ott, T. U. Marron, R. M. Holman, J. Mandeli, A. M. Salazar, C. B. McClain, G. Gimenez, S. Balan, S. Gnjatic, R. L. Sabado, N. Bhardwaj, </w:t>
      </w:r>
      <w:r w:rsidRPr="00EC4E85">
        <w:rPr>
          <w:rFonts w:ascii="Times New Roman" w:hAnsi="Times New Roman" w:cs="Times New Roman"/>
          <w:i/>
          <w:sz w:val="24"/>
          <w:szCs w:val="24"/>
        </w:rPr>
        <w:t>Cancer immunology research</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2020</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8</w:t>
      </w:r>
      <w:r w:rsidRPr="00EC4E85">
        <w:rPr>
          <w:rFonts w:ascii="Times New Roman" w:hAnsi="Times New Roman" w:cs="Times New Roman"/>
          <w:sz w:val="24"/>
          <w:szCs w:val="24"/>
        </w:rPr>
        <w:t>, 70-80.</w:t>
      </w:r>
    </w:p>
    <w:p w14:paraId="0B84D21D"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6</w:t>
      </w:r>
      <w:r>
        <w:rPr>
          <w:sz w:val="24"/>
          <w:szCs w:val="24"/>
        </w:rPr>
        <w:t>]</w:t>
      </w:r>
      <w:r w:rsidRPr="00EC4E85">
        <w:rPr>
          <w:rFonts w:ascii="Times New Roman" w:hAnsi="Times New Roman" w:cs="Times New Roman"/>
          <w:sz w:val="24"/>
          <w:szCs w:val="24"/>
        </w:rPr>
        <w:tab/>
        <w:t xml:space="preserve">Y. Fan, S. M. Stronsky, Y. Xu, J. T. Steffens, S. A. van Tongeren, A. Erwin, C. L. Cooper, J. J. Moon, </w:t>
      </w:r>
      <w:r w:rsidRPr="00EC4E85">
        <w:rPr>
          <w:rFonts w:ascii="Times New Roman" w:hAnsi="Times New Roman" w:cs="Times New Roman"/>
          <w:i/>
          <w:sz w:val="24"/>
          <w:szCs w:val="24"/>
        </w:rPr>
        <w:t>ACS Nano</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13</w:t>
      </w:r>
      <w:r w:rsidRPr="00EC4E85">
        <w:rPr>
          <w:rFonts w:ascii="Times New Roman" w:hAnsi="Times New Roman" w:cs="Times New Roman"/>
          <w:sz w:val="24"/>
          <w:szCs w:val="24"/>
        </w:rPr>
        <w:t>, 11087-11096.</w:t>
      </w:r>
    </w:p>
    <w:p w14:paraId="017D5724"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7</w:t>
      </w:r>
      <w:r>
        <w:rPr>
          <w:sz w:val="24"/>
          <w:szCs w:val="24"/>
        </w:rPr>
        <w:t>]</w:t>
      </w:r>
      <w:r w:rsidRPr="00EC4E85">
        <w:rPr>
          <w:rFonts w:ascii="Times New Roman" w:hAnsi="Times New Roman" w:cs="Times New Roman"/>
          <w:sz w:val="24"/>
          <w:szCs w:val="24"/>
        </w:rPr>
        <w:tab/>
        <w:t xml:space="preserve">J. Xu, J. Lv, Q. Zhuang, Z. Yang, Z. Cao, L. Xu, P. Pei, C. Wang, H. Wu, Z. Dong, Y. Chao, C. Wang, K. Yang, R. Peng, Y. Cheng, Z. Liu, </w:t>
      </w:r>
      <w:r w:rsidRPr="00EC4E85">
        <w:rPr>
          <w:rFonts w:ascii="Times New Roman" w:hAnsi="Times New Roman" w:cs="Times New Roman"/>
          <w:i/>
          <w:sz w:val="24"/>
          <w:szCs w:val="24"/>
        </w:rPr>
        <w:t>Nat. Nanotechnol.</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2020</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15</w:t>
      </w:r>
      <w:r w:rsidRPr="00EC4E85">
        <w:rPr>
          <w:rFonts w:ascii="Times New Roman" w:hAnsi="Times New Roman" w:cs="Times New Roman"/>
          <w:sz w:val="24"/>
          <w:szCs w:val="24"/>
        </w:rPr>
        <w:t>, 1043-1052.</w:t>
      </w:r>
    </w:p>
    <w:p w14:paraId="4084A0D2"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8</w:t>
      </w:r>
      <w:r>
        <w:rPr>
          <w:sz w:val="24"/>
          <w:szCs w:val="24"/>
        </w:rPr>
        <w:t>]</w:t>
      </w:r>
      <w:r w:rsidRPr="00EC4E85">
        <w:rPr>
          <w:rFonts w:ascii="Times New Roman" w:hAnsi="Times New Roman" w:cs="Times New Roman"/>
          <w:sz w:val="24"/>
          <w:szCs w:val="24"/>
        </w:rPr>
        <w:tab/>
        <w:t xml:space="preserve">S. G. Reed, M. T. Orr, C. B. Fox, </w:t>
      </w:r>
      <w:r w:rsidRPr="00EC4E85">
        <w:rPr>
          <w:rFonts w:ascii="Times New Roman" w:hAnsi="Times New Roman" w:cs="Times New Roman"/>
          <w:i/>
          <w:sz w:val="24"/>
          <w:szCs w:val="24"/>
        </w:rPr>
        <w:t>Nat. Med.</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2013</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19</w:t>
      </w:r>
      <w:r w:rsidRPr="00EC4E85">
        <w:rPr>
          <w:rFonts w:ascii="Times New Roman" w:hAnsi="Times New Roman" w:cs="Times New Roman"/>
          <w:sz w:val="24"/>
          <w:szCs w:val="24"/>
        </w:rPr>
        <w:t>, 1597-1608.</w:t>
      </w:r>
    </w:p>
    <w:p w14:paraId="3B1A8097"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9</w:t>
      </w:r>
      <w:r>
        <w:rPr>
          <w:sz w:val="24"/>
          <w:szCs w:val="24"/>
        </w:rPr>
        <w:t>]</w:t>
      </w:r>
      <w:r w:rsidRPr="00EC4E85">
        <w:rPr>
          <w:rFonts w:ascii="Times New Roman" w:hAnsi="Times New Roman" w:cs="Times New Roman"/>
          <w:sz w:val="24"/>
          <w:szCs w:val="24"/>
        </w:rPr>
        <w:tab/>
        <w:t xml:space="preserve">J. Banchereau, R. M. Steinman, </w:t>
      </w:r>
      <w:r w:rsidRPr="00EC4E85">
        <w:rPr>
          <w:rFonts w:ascii="Times New Roman" w:hAnsi="Times New Roman" w:cs="Times New Roman"/>
          <w:i/>
          <w:sz w:val="24"/>
          <w:szCs w:val="24"/>
        </w:rPr>
        <w:t>Nature</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1998</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392</w:t>
      </w:r>
      <w:r w:rsidRPr="00EC4E85">
        <w:rPr>
          <w:rFonts w:ascii="Times New Roman" w:hAnsi="Times New Roman" w:cs="Times New Roman"/>
          <w:sz w:val="24"/>
          <w:szCs w:val="24"/>
        </w:rPr>
        <w:t>, 245-252.</w:t>
      </w:r>
    </w:p>
    <w:p w14:paraId="02C4002B"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lastRenderedPageBreak/>
        <w:t>[</w:t>
      </w:r>
      <w:r w:rsidRPr="00EC4E85">
        <w:rPr>
          <w:rFonts w:ascii="Times New Roman" w:hAnsi="Times New Roman" w:cs="Times New Roman"/>
          <w:sz w:val="24"/>
          <w:szCs w:val="24"/>
        </w:rPr>
        <w:t>10</w:t>
      </w:r>
      <w:r>
        <w:rPr>
          <w:sz w:val="24"/>
          <w:szCs w:val="24"/>
        </w:rPr>
        <w:t>]</w:t>
      </w:r>
      <w:r w:rsidRPr="00EC4E85">
        <w:rPr>
          <w:rFonts w:ascii="Times New Roman" w:hAnsi="Times New Roman" w:cs="Times New Roman"/>
          <w:sz w:val="24"/>
          <w:szCs w:val="24"/>
        </w:rPr>
        <w:tab/>
        <w:t xml:space="preserve">H. Zhao, J. Xu, Y. Li, X. Guan, X. Han, Y. Xu, H. Zhou, R. Peng, J. Wang, Z. Liu, </w:t>
      </w:r>
      <w:r w:rsidRPr="00EC4E85">
        <w:rPr>
          <w:rFonts w:ascii="Times New Roman" w:hAnsi="Times New Roman" w:cs="Times New Roman"/>
          <w:i/>
          <w:sz w:val="24"/>
          <w:szCs w:val="24"/>
        </w:rPr>
        <w:t>ACS Nano</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13</w:t>
      </w:r>
      <w:r w:rsidRPr="00EC4E85">
        <w:rPr>
          <w:rFonts w:ascii="Times New Roman" w:hAnsi="Times New Roman" w:cs="Times New Roman"/>
          <w:sz w:val="24"/>
          <w:szCs w:val="24"/>
        </w:rPr>
        <w:t>, 13127-13135.</w:t>
      </w:r>
    </w:p>
    <w:p w14:paraId="344726E5"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11</w:t>
      </w:r>
      <w:r>
        <w:rPr>
          <w:sz w:val="24"/>
          <w:szCs w:val="24"/>
        </w:rPr>
        <w:t>]</w:t>
      </w:r>
      <w:r w:rsidRPr="00EC4E85">
        <w:rPr>
          <w:rFonts w:ascii="Times New Roman" w:hAnsi="Times New Roman" w:cs="Times New Roman"/>
          <w:sz w:val="24"/>
          <w:szCs w:val="24"/>
        </w:rPr>
        <w:tab/>
        <w:t xml:space="preserve">Y. Guo, K. Lei, L. Tang, </w:t>
      </w:r>
      <w:r w:rsidRPr="00EC4E85">
        <w:rPr>
          <w:rFonts w:ascii="Times New Roman" w:hAnsi="Times New Roman" w:cs="Times New Roman"/>
          <w:i/>
          <w:sz w:val="24"/>
          <w:szCs w:val="24"/>
        </w:rPr>
        <w:t>Front. Immunol.</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2018</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9</w:t>
      </w:r>
      <w:r w:rsidRPr="00EC4E85">
        <w:rPr>
          <w:rFonts w:ascii="Times New Roman" w:hAnsi="Times New Roman" w:cs="Times New Roman"/>
          <w:sz w:val="24"/>
          <w:szCs w:val="24"/>
        </w:rPr>
        <w:t>, 1499.</w:t>
      </w:r>
    </w:p>
    <w:p w14:paraId="28ABFEA7"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12</w:t>
      </w:r>
      <w:r>
        <w:rPr>
          <w:sz w:val="24"/>
          <w:szCs w:val="24"/>
        </w:rPr>
        <w:t>]</w:t>
      </w:r>
      <w:r w:rsidRPr="00EC4E85">
        <w:rPr>
          <w:rFonts w:ascii="Times New Roman" w:hAnsi="Times New Roman" w:cs="Times New Roman"/>
          <w:sz w:val="24"/>
          <w:szCs w:val="24"/>
        </w:rPr>
        <w:tab/>
        <w:t xml:space="preserve">A. Aderem, D. M. Underhill, </w:t>
      </w:r>
      <w:r w:rsidRPr="00EC4E85">
        <w:rPr>
          <w:rFonts w:ascii="Times New Roman" w:hAnsi="Times New Roman" w:cs="Times New Roman"/>
          <w:i/>
          <w:sz w:val="24"/>
          <w:szCs w:val="24"/>
        </w:rPr>
        <w:t>Annu. Rev. Immunol.</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1999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17</w:t>
      </w:r>
      <w:r w:rsidRPr="00EC4E85">
        <w:rPr>
          <w:rFonts w:ascii="Times New Roman" w:hAnsi="Times New Roman" w:cs="Times New Roman"/>
          <w:sz w:val="24"/>
          <w:szCs w:val="24"/>
        </w:rPr>
        <w:t>, 593-623.</w:t>
      </w:r>
    </w:p>
    <w:p w14:paraId="695526E1"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13</w:t>
      </w:r>
      <w:r>
        <w:rPr>
          <w:sz w:val="24"/>
          <w:szCs w:val="24"/>
        </w:rPr>
        <w:t>]</w:t>
      </w:r>
      <w:r w:rsidRPr="00EC4E85">
        <w:rPr>
          <w:rFonts w:ascii="Times New Roman" w:hAnsi="Times New Roman" w:cs="Times New Roman"/>
          <w:sz w:val="24"/>
          <w:szCs w:val="24"/>
        </w:rPr>
        <w:tab/>
        <w:t xml:space="preserve">G. F. Gao, J. Tormo, U. C. Gerth, J. R. Wyer, A. J. McMichael, D. I. Stuart, J. I. Bell, E. Y. Jones, B. K. Jakobsen, </w:t>
      </w:r>
      <w:r w:rsidRPr="00EC4E85">
        <w:rPr>
          <w:rFonts w:ascii="Times New Roman" w:hAnsi="Times New Roman" w:cs="Times New Roman"/>
          <w:i/>
          <w:sz w:val="24"/>
          <w:szCs w:val="24"/>
        </w:rPr>
        <w:t>Nature</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1997</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387</w:t>
      </w:r>
      <w:r w:rsidRPr="00EC4E85">
        <w:rPr>
          <w:rFonts w:ascii="Times New Roman" w:hAnsi="Times New Roman" w:cs="Times New Roman"/>
          <w:sz w:val="24"/>
          <w:szCs w:val="24"/>
        </w:rPr>
        <w:t>, 630-634.</w:t>
      </w:r>
    </w:p>
    <w:p w14:paraId="02C17A41"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14</w:t>
      </w:r>
      <w:r>
        <w:rPr>
          <w:sz w:val="24"/>
          <w:szCs w:val="24"/>
        </w:rPr>
        <w:t>]</w:t>
      </w:r>
      <w:r w:rsidRPr="00EC4E85">
        <w:rPr>
          <w:rFonts w:ascii="Times New Roman" w:hAnsi="Times New Roman" w:cs="Times New Roman"/>
          <w:sz w:val="24"/>
          <w:szCs w:val="24"/>
        </w:rPr>
        <w:tab/>
        <w:t xml:space="preserve">N. R. Hegde, S. V. Kaveri, J. Bayry, </w:t>
      </w:r>
      <w:r w:rsidRPr="00EC4E85">
        <w:rPr>
          <w:rFonts w:ascii="Times New Roman" w:hAnsi="Times New Roman" w:cs="Times New Roman"/>
          <w:i/>
          <w:sz w:val="24"/>
          <w:szCs w:val="24"/>
        </w:rPr>
        <w:t>Drug Discovery Today</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2011</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16</w:t>
      </w:r>
      <w:r w:rsidRPr="00EC4E85">
        <w:rPr>
          <w:rFonts w:ascii="Times New Roman" w:hAnsi="Times New Roman" w:cs="Times New Roman"/>
          <w:sz w:val="24"/>
          <w:szCs w:val="24"/>
        </w:rPr>
        <w:t>, 1061-1068.</w:t>
      </w:r>
    </w:p>
    <w:p w14:paraId="537BD466"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15</w:t>
      </w:r>
      <w:r>
        <w:rPr>
          <w:sz w:val="24"/>
          <w:szCs w:val="24"/>
        </w:rPr>
        <w:t>]</w:t>
      </w:r>
      <w:r w:rsidRPr="00EC4E85">
        <w:rPr>
          <w:rFonts w:ascii="Times New Roman" w:hAnsi="Times New Roman" w:cs="Times New Roman"/>
          <w:sz w:val="24"/>
          <w:szCs w:val="24"/>
        </w:rPr>
        <w:tab/>
        <w:t xml:space="preserve">D. G. Koutsonanos, M. del Pilar Martin, V. G. Zarnitsyn, S. P. Sullivan, R. W. Compans, M. R. Prausnitz, I. Skountzou, </w:t>
      </w:r>
      <w:r w:rsidRPr="00EC4E85">
        <w:rPr>
          <w:rFonts w:ascii="Times New Roman" w:hAnsi="Times New Roman" w:cs="Times New Roman"/>
          <w:i/>
          <w:sz w:val="24"/>
          <w:szCs w:val="24"/>
        </w:rPr>
        <w:t>PLoS One</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4</w:t>
      </w:r>
      <w:r w:rsidRPr="00EC4E85">
        <w:rPr>
          <w:rFonts w:ascii="Times New Roman" w:hAnsi="Times New Roman" w:cs="Times New Roman"/>
          <w:sz w:val="24"/>
          <w:szCs w:val="24"/>
        </w:rPr>
        <w:t>, e4773.</w:t>
      </w:r>
    </w:p>
    <w:p w14:paraId="50901D28"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16</w:t>
      </w:r>
      <w:r>
        <w:rPr>
          <w:sz w:val="24"/>
          <w:szCs w:val="24"/>
        </w:rPr>
        <w:t>]</w:t>
      </w:r>
      <w:r w:rsidRPr="00EC4E85">
        <w:rPr>
          <w:rFonts w:ascii="Times New Roman" w:hAnsi="Times New Roman" w:cs="Times New Roman"/>
          <w:sz w:val="24"/>
          <w:szCs w:val="24"/>
        </w:rPr>
        <w:tab/>
        <w:t xml:space="preserve">E. L. Giudice, J. D. Campbell, </w:t>
      </w:r>
      <w:r w:rsidRPr="00EC4E85">
        <w:rPr>
          <w:rFonts w:ascii="Times New Roman" w:hAnsi="Times New Roman" w:cs="Times New Roman"/>
          <w:i/>
          <w:sz w:val="24"/>
          <w:szCs w:val="24"/>
        </w:rPr>
        <w:t>Adv. Drug Delivery Rev.</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2006</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58</w:t>
      </w:r>
      <w:r w:rsidRPr="00EC4E85">
        <w:rPr>
          <w:rFonts w:ascii="Times New Roman" w:hAnsi="Times New Roman" w:cs="Times New Roman"/>
          <w:sz w:val="24"/>
          <w:szCs w:val="24"/>
        </w:rPr>
        <w:t>, 68-89.</w:t>
      </w:r>
    </w:p>
    <w:p w14:paraId="43BB58AE"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17</w:t>
      </w:r>
      <w:r>
        <w:rPr>
          <w:sz w:val="24"/>
          <w:szCs w:val="24"/>
        </w:rPr>
        <w:t>]</w:t>
      </w:r>
      <w:r w:rsidRPr="00EC4E85">
        <w:rPr>
          <w:rFonts w:ascii="Times New Roman" w:hAnsi="Times New Roman" w:cs="Times New Roman"/>
          <w:sz w:val="24"/>
          <w:szCs w:val="24"/>
        </w:rPr>
        <w:tab/>
        <w:t xml:space="preserve">M. Merad, F. Ginhoux, M. Collin, </w:t>
      </w:r>
      <w:r w:rsidRPr="00EC4E85">
        <w:rPr>
          <w:rFonts w:ascii="Times New Roman" w:hAnsi="Times New Roman" w:cs="Times New Roman"/>
          <w:i/>
          <w:sz w:val="24"/>
          <w:szCs w:val="24"/>
        </w:rPr>
        <w:t>Nat. Rev. Immunol.</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2008</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8</w:t>
      </w:r>
      <w:r w:rsidRPr="00EC4E85">
        <w:rPr>
          <w:rFonts w:ascii="Times New Roman" w:hAnsi="Times New Roman" w:cs="Times New Roman"/>
          <w:sz w:val="24"/>
          <w:szCs w:val="24"/>
        </w:rPr>
        <w:t>, 935-947.</w:t>
      </w:r>
    </w:p>
    <w:p w14:paraId="0545DA30"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18</w:t>
      </w:r>
      <w:r>
        <w:rPr>
          <w:sz w:val="24"/>
          <w:szCs w:val="24"/>
        </w:rPr>
        <w:t>]</w:t>
      </w:r>
      <w:r w:rsidRPr="00EC4E85">
        <w:rPr>
          <w:rFonts w:ascii="Times New Roman" w:hAnsi="Times New Roman" w:cs="Times New Roman"/>
          <w:sz w:val="24"/>
          <w:szCs w:val="24"/>
        </w:rPr>
        <w:tab/>
        <w:t xml:space="preserve">J.-F. Nicolas, B. Guy, </w:t>
      </w:r>
      <w:r w:rsidRPr="00EC4E85">
        <w:rPr>
          <w:rFonts w:ascii="Times New Roman" w:hAnsi="Times New Roman" w:cs="Times New Roman"/>
          <w:i/>
          <w:sz w:val="24"/>
          <w:szCs w:val="24"/>
        </w:rPr>
        <w:t>Expert Review of Vaccines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2008</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7</w:t>
      </w:r>
      <w:r w:rsidRPr="00EC4E85">
        <w:rPr>
          <w:rFonts w:ascii="Times New Roman" w:hAnsi="Times New Roman" w:cs="Times New Roman"/>
          <w:sz w:val="24"/>
          <w:szCs w:val="24"/>
        </w:rPr>
        <w:t>, 1201-1214.</w:t>
      </w:r>
    </w:p>
    <w:p w14:paraId="63D02825"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19</w:t>
      </w:r>
      <w:r>
        <w:rPr>
          <w:sz w:val="24"/>
          <w:szCs w:val="24"/>
        </w:rPr>
        <w:t>]</w:t>
      </w:r>
      <w:r w:rsidRPr="00EC4E85">
        <w:rPr>
          <w:rFonts w:ascii="Times New Roman" w:hAnsi="Times New Roman" w:cs="Times New Roman"/>
          <w:sz w:val="24"/>
          <w:szCs w:val="24"/>
        </w:rPr>
        <w:tab/>
        <w:t xml:space="preserve">T. Warger, H. Schild, G. Rechtsteiner, </w:t>
      </w:r>
      <w:r w:rsidRPr="00EC4E85">
        <w:rPr>
          <w:rFonts w:ascii="Times New Roman" w:hAnsi="Times New Roman" w:cs="Times New Roman"/>
          <w:i/>
          <w:sz w:val="24"/>
          <w:szCs w:val="24"/>
        </w:rPr>
        <w:t>Immunol. Lett.</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2007</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109</w:t>
      </w:r>
      <w:r w:rsidRPr="00EC4E85">
        <w:rPr>
          <w:rFonts w:ascii="Times New Roman" w:hAnsi="Times New Roman" w:cs="Times New Roman"/>
          <w:sz w:val="24"/>
          <w:szCs w:val="24"/>
        </w:rPr>
        <w:t>, 13-20.</w:t>
      </w:r>
    </w:p>
    <w:p w14:paraId="43A102EF"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20</w:t>
      </w:r>
      <w:r>
        <w:rPr>
          <w:sz w:val="24"/>
          <w:szCs w:val="24"/>
        </w:rPr>
        <w:t>]</w:t>
      </w:r>
      <w:r w:rsidRPr="00EC4E85">
        <w:rPr>
          <w:rFonts w:ascii="Times New Roman" w:hAnsi="Times New Roman" w:cs="Times New Roman"/>
          <w:sz w:val="24"/>
          <w:szCs w:val="24"/>
        </w:rPr>
        <w:tab/>
        <w:t xml:space="preserve">P. Karande, S. Mitragotri, </w:t>
      </w:r>
      <w:r w:rsidRPr="00EC4E85">
        <w:rPr>
          <w:rFonts w:ascii="Times New Roman" w:hAnsi="Times New Roman" w:cs="Times New Roman"/>
          <w:i/>
          <w:sz w:val="24"/>
          <w:szCs w:val="24"/>
        </w:rPr>
        <w:t>Biochimica et Biophysica Acta (BBA) - Biomembranes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1788</w:t>
      </w:r>
      <w:r w:rsidRPr="00EC4E85">
        <w:rPr>
          <w:rFonts w:ascii="Times New Roman" w:hAnsi="Times New Roman" w:cs="Times New Roman"/>
          <w:sz w:val="24"/>
          <w:szCs w:val="24"/>
        </w:rPr>
        <w:t>, 2362-2373.</w:t>
      </w:r>
    </w:p>
    <w:p w14:paraId="12FA6F75"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21</w:t>
      </w:r>
      <w:r>
        <w:rPr>
          <w:sz w:val="24"/>
          <w:szCs w:val="24"/>
        </w:rPr>
        <w:t>]</w:t>
      </w:r>
      <w:r w:rsidRPr="00EC4E85">
        <w:rPr>
          <w:rFonts w:ascii="Times New Roman" w:hAnsi="Times New Roman" w:cs="Times New Roman"/>
          <w:sz w:val="24"/>
          <w:szCs w:val="24"/>
        </w:rPr>
        <w:tab/>
        <w:t xml:space="preserve">B. M. Becker, S. Helfrich, E. Baker, K. Lovgren, P. A. Minugh, J. T. Machan, </w:t>
      </w:r>
      <w:r w:rsidRPr="00EC4E85">
        <w:rPr>
          <w:rFonts w:ascii="Times New Roman" w:hAnsi="Times New Roman" w:cs="Times New Roman"/>
          <w:i/>
          <w:sz w:val="24"/>
          <w:szCs w:val="24"/>
        </w:rPr>
        <w:t>Academic Emergency Medicine</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2005</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12</w:t>
      </w:r>
      <w:r w:rsidRPr="00EC4E85">
        <w:rPr>
          <w:rFonts w:ascii="Times New Roman" w:hAnsi="Times New Roman" w:cs="Times New Roman"/>
          <w:sz w:val="24"/>
          <w:szCs w:val="24"/>
        </w:rPr>
        <w:t>, 289-295.</w:t>
      </w:r>
    </w:p>
    <w:p w14:paraId="2C928CCF"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22</w:t>
      </w:r>
      <w:r>
        <w:rPr>
          <w:sz w:val="24"/>
          <w:szCs w:val="24"/>
        </w:rPr>
        <w:t>]</w:t>
      </w:r>
      <w:r w:rsidRPr="00EC4E85">
        <w:rPr>
          <w:rFonts w:ascii="Times New Roman" w:hAnsi="Times New Roman" w:cs="Times New Roman"/>
          <w:sz w:val="24"/>
          <w:szCs w:val="24"/>
        </w:rPr>
        <w:tab/>
        <w:t xml:space="preserve">S. Rawat, S. Vengurlekar, B. Rakesh, S. Jain, G. Srikarti, </w:t>
      </w:r>
      <w:r w:rsidRPr="00EC4E85">
        <w:rPr>
          <w:rFonts w:ascii="Times New Roman" w:hAnsi="Times New Roman" w:cs="Times New Roman"/>
          <w:i/>
          <w:sz w:val="24"/>
          <w:szCs w:val="24"/>
        </w:rPr>
        <w:t>Indian journal of pharmaceutical sciences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2008</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70</w:t>
      </w:r>
      <w:r w:rsidRPr="00EC4E85">
        <w:rPr>
          <w:rFonts w:ascii="Times New Roman" w:hAnsi="Times New Roman" w:cs="Times New Roman"/>
          <w:sz w:val="24"/>
          <w:szCs w:val="24"/>
        </w:rPr>
        <w:t>, 5-10.</w:t>
      </w:r>
    </w:p>
    <w:p w14:paraId="0D30A89C"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23</w:t>
      </w:r>
      <w:r>
        <w:rPr>
          <w:sz w:val="24"/>
          <w:szCs w:val="24"/>
        </w:rPr>
        <w:t>]</w:t>
      </w:r>
      <w:r w:rsidRPr="00EC4E85">
        <w:rPr>
          <w:rFonts w:ascii="Times New Roman" w:hAnsi="Times New Roman" w:cs="Times New Roman"/>
          <w:sz w:val="24"/>
          <w:szCs w:val="24"/>
        </w:rPr>
        <w:tab/>
        <w:t xml:space="preserve">G. M. Glenn, D. C. Flyer, L. R. Ellingsworth, S. A. Frech, D. M. Frerichs, R. C. Seid, J. Yu, </w:t>
      </w:r>
      <w:r w:rsidRPr="00EC4E85">
        <w:rPr>
          <w:rFonts w:ascii="Times New Roman" w:hAnsi="Times New Roman" w:cs="Times New Roman"/>
          <w:i/>
          <w:sz w:val="24"/>
          <w:szCs w:val="24"/>
        </w:rPr>
        <w:t>Expert Review of Vaccines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2007</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6</w:t>
      </w:r>
      <w:r w:rsidRPr="00EC4E85">
        <w:rPr>
          <w:rFonts w:ascii="Times New Roman" w:hAnsi="Times New Roman" w:cs="Times New Roman"/>
          <w:sz w:val="24"/>
          <w:szCs w:val="24"/>
        </w:rPr>
        <w:t>, 809-819.</w:t>
      </w:r>
    </w:p>
    <w:p w14:paraId="1EC1201F"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24</w:t>
      </w:r>
      <w:r>
        <w:rPr>
          <w:sz w:val="24"/>
          <w:szCs w:val="24"/>
        </w:rPr>
        <w:t>]</w:t>
      </w:r>
      <w:r w:rsidRPr="00EC4E85">
        <w:rPr>
          <w:rFonts w:ascii="Times New Roman" w:hAnsi="Times New Roman" w:cs="Times New Roman"/>
          <w:sz w:val="24"/>
          <w:szCs w:val="24"/>
        </w:rPr>
        <w:tab/>
        <w:t xml:space="preserve">R. Jamaledin, C. K. Y. Yiu, E. N. Zare, L.-N. Niu, R. Vecchione, G. Chen, Z. Gu, F. R. Tay, P. Makvandi, </w:t>
      </w:r>
      <w:r w:rsidRPr="00EC4E85">
        <w:rPr>
          <w:rFonts w:ascii="Times New Roman" w:hAnsi="Times New Roman" w:cs="Times New Roman"/>
          <w:i/>
          <w:sz w:val="24"/>
          <w:szCs w:val="24"/>
        </w:rPr>
        <w:t>Adv. Mater.</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2020</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32</w:t>
      </w:r>
      <w:r w:rsidRPr="00EC4E85">
        <w:rPr>
          <w:rFonts w:ascii="Times New Roman" w:hAnsi="Times New Roman" w:cs="Times New Roman"/>
          <w:sz w:val="24"/>
          <w:szCs w:val="24"/>
        </w:rPr>
        <w:t>, 2002129.</w:t>
      </w:r>
    </w:p>
    <w:p w14:paraId="71FA089F"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25</w:t>
      </w:r>
      <w:r>
        <w:rPr>
          <w:sz w:val="24"/>
          <w:szCs w:val="24"/>
        </w:rPr>
        <w:t>]</w:t>
      </w:r>
      <w:r w:rsidRPr="00EC4E85">
        <w:rPr>
          <w:rFonts w:ascii="Times New Roman" w:hAnsi="Times New Roman" w:cs="Times New Roman"/>
          <w:sz w:val="24"/>
          <w:szCs w:val="24"/>
        </w:rPr>
        <w:tab/>
        <w:t xml:space="preserve">X. Liu, T. Chen, X. Liu, Y. Chen, L. Wang, </w:t>
      </w:r>
      <w:r w:rsidRPr="00EC4E85">
        <w:rPr>
          <w:rFonts w:ascii="Times New Roman" w:hAnsi="Times New Roman" w:cs="Times New Roman"/>
          <w:i/>
          <w:sz w:val="24"/>
          <w:szCs w:val="24"/>
        </w:rPr>
        <w:t>J. Oleo Sci.</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2013</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62</w:t>
      </w:r>
      <w:r w:rsidRPr="00EC4E85">
        <w:rPr>
          <w:rFonts w:ascii="Times New Roman" w:hAnsi="Times New Roman" w:cs="Times New Roman"/>
          <w:sz w:val="24"/>
          <w:szCs w:val="24"/>
        </w:rPr>
        <w:t>, 657-664.</w:t>
      </w:r>
    </w:p>
    <w:p w14:paraId="2029A0EB"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lastRenderedPageBreak/>
        <w:t>[</w:t>
      </w:r>
      <w:r w:rsidRPr="00EC4E85">
        <w:rPr>
          <w:rFonts w:ascii="Times New Roman" w:hAnsi="Times New Roman" w:cs="Times New Roman"/>
          <w:sz w:val="24"/>
          <w:szCs w:val="24"/>
        </w:rPr>
        <w:t>26</w:t>
      </w:r>
      <w:r>
        <w:rPr>
          <w:sz w:val="24"/>
          <w:szCs w:val="24"/>
        </w:rPr>
        <w:t>]</w:t>
      </w:r>
      <w:r w:rsidRPr="00EC4E85">
        <w:rPr>
          <w:rFonts w:ascii="Times New Roman" w:hAnsi="Times New Roman" w:cs="Times New Roman"/>
          <w:sz w:val="24"/>
          <w:szCs w:val="24"/>
        </w:rPr>
        <w:tab/>
        <w:t xml:space="preserve">P. Karande, A. Jain, K. Ergun, V. Kispersky, S. Mitragotri, </w:t>
      </w:r>
      <w:r w:rsidRPr="00EC4E85">
        <w:rPr>
          <w:rFonts w:ascii="Times New Roman" w:hAnsi="Times New Roman" w:cs="Times New Roman"/>
          <w:i/>
          <w:sz w:val="24"/>
          <w:szCs w:val="24"/>
        </w:rPr>
        <w:t>PNAS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2005</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102</w:t>
      </w:r>
      <w:r w:rsidRPr="00EC4E85">
        <w:rPr>
          <w:rFonts w:ascii="Times New Roman" w:hAnsi="Times New Roman" w:cs="Times New Roman"/>
          <w:sz w:val="24"/>
          <w:szCs w:val="24"/>
        </w:rPr>
        <w:t>, 4688.</w:t>
      </w:r>
    </w:p>
    <w:p w14:paraId="780F133C"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27</w:t>
      </w:r>
      <w:r>
        <w:rPr>
          <w:sz w:val="24"/>
          <w:szCs w:val="24"/>
        </w:rPr>
        <w:t>]</w:t>
      </w:r>
      <w:r w:rsidRPr="00EC4E85">
        <w:rPr>
          <w:rFonts w:ascii="Times New Roman" w:hAnsi="Times New Roman" w:cs="Times New Roman"/>
          <w:sz w:val="24"/>
          <w:szCs w:val="24"/>
        </w:rPr>
        <w:tab/>
        <w:t xml:space="preserve">M. Ogura, S. Paliwal, S. Mitragotri, </w:t>
      </w:r>
      <w:r w:rsidRPr="00EC4E85">
        <w:rPr>
          <w:rFonts w:ascii="Times New Roman" w:hAnsi="Times New Roman" w:cs="Times New Roman"/>
          <w:i/>
          <w:sz w:val="24"/>
          <w:szCs w:val="24"/>
        </w:rPr>
        <w:t>Adv. Drug Delivery Rev.</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2008</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60</w:t>
      </w:r>
      <w:r w:rsidRPr="00EC4E85">
        <w:rPr>
          <w:rFonts w:ascii="Times New Roman" w:hAnsi="Times New Roman" w:cs="Times New Roman"/>
          <w:sz w:val="24"/>
          <w:szCs w:val="24"/>
        </w:rPr>
        <w:t>, 1218-1223.</w:t>
      </w:r>
    </w:p>
    <w:p w14:paraId="7561EA04"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28</w:t>
      </w:r>
      <w:r>
        <w:rPr>
          <w:sz w:val="24"/>
          <w:szCs w:val="24"/>
        </w:rPr>
        <w:t>]</w:t>
      </w:r>
      <w:r w:rsidRPr="00EC4E85">
        <w:rPr>
          <w:rFonts w:ascii="Times New Roman" w:hAnsi="Times New Roman" w:cs="Times New Roman"/>
          <w:sz w:val="24"/>
          <w:szCs w:val="24"/>
        </w:rPr>
        <w:tab/>
        <w:t xml:space="preserve">L. A. Jackson, G. Austin, R. T. Chen, R. Stout, F. DeStefano, G. J. Gorse, F. K. Newman, O. Yu, B. G. Weniger, </w:t>
      </w:r>
      <w:r w:rsidRPr="00EC4E85">
        <w:rPr>
          <w:rFonts w:ascii="Times New Roman" w:hAnsi="Times New Roman" w:cs="Times New Roman"/>
          <w:i/>
          <w:sz w:val="24"/>
          <w:szCs w:val="24"/>
        </w:rPr>
        <w:t>Vaccine</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2001</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19</w:t>
      </w:r>
      <w:r w:rsidRPr="00EC4E85">
        <w:rPr>
          <w:rFonts w:ascii="Times New Roman" w:hAnsi="Times New Roman" w:cs="Times New Roman"/>
          <w:sz w:val="24"/>
          <w:szCs w:val="24"/>
        </w:rPr>
        <w:t>, 4703-4709.</w:t>
      </w:r>
    </w:p>
    <w:p w14:paraId="485B9A28"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29</w:t>
      </w:r>
      <w:r>
        <w:rPr>
          <w:sz w:val="24"/>
          <w:szCs w:val="24"/>
        </w:rPr>
        <w:t>]</w:t>
      </w:r>
      <w:r w:rsidRPr="00EC4E85">
        <w:rPr>
          <w:rFonts w:ascii="Times New Roman" w:hAnsi="Times New Roman" w:cs="Times New Roman"/>
          <w:sz w:val="24"/>
          <w:szCs w:val="24"/>
        </w:rPr>
        <w:tab/>
        <w:t xml:space="preserve">S. Indermun, R. Luttge, Y. E. Choonara, P. Kumar, L. C. du Toit, G. Modi, V. Pillay, </w:t>
      </w:r>
      <w:r w:rsidRPr="00EC4E85">
        <w:rPr>
          <w:rFonts w:ascii="Times New Roman" w:hAnsi="Times New Roman" w:cs="Times New Roman"/>
          <w:i/>
          <w:sz w:val="24"/>
          <w:szCs w:val="24"/>
        </w:rPr>
        <w:t>J. Controlled Release</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2014</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185</w:t>
      </w:r>
      <w:r w:rsidRPr="00EC4E85">
        <w:rPr>
          <w:rFonts w:ascii="Times New Roman" w:hAnsi="Times New Roman" w:cs="Times New Roman"/>
          <w:sz w:val="24"/>
          <w:szCs w:val="24"/>
        </w:rPr>
        <w:t>, 130-138.</w:t>
      </w:r>
    </w:p>
    <w:p w14:paraId="7D35D05C"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30</w:t>
      </w:r>
      <w:r>
        <w:rPr>
          <w:sz w:val="24"/>
          <w:szCs w:val="24"/>
        </w:rPr>
        <w:t>]</w:t>
      </w:r>
      <w:r w:rsidRPr="00EC4E85">
        <w:rPr>
          <w:rFonts w:ascii="Times New Roman" w:hAnsi="Times New Roman" w:cs="Times New Roman"/>
          <w:sz w:val="24"/>
          <w:szCs w:val="24"/>
        </w:rPr>
        <w:tab/>
        <w:t xml:space="preserve">A. Z. Alkilani, M. T. C. McCrudden, R. F. Donnelly, </w:t>
      </w:r>
      <w:r w:rsidRPr="00EC4E85">
        <w:rPr>
          <w:rFonts w:ascii="Times New Roman" w:hAnsi="Times New Roman" w:cs="Times New Roman"/>
          <w:i/>
          <w:sz w:val="24"/>
          <w:szCs w:val="24"/>
        </w:rPr>
        <w:t>Pharmaceutics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2015</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7</w:t>
      </w:r>
      <w:r w:rsidRPr="00EC4E85">
        <w:rPr>
          <w:rFonts w:ascii="Times New Roman" w:hAnsi="Times New Roman" w:cs="Times New Roman"/>
          <w:sz w:val="24"/>
          <w:szCs w:val="24"/>
        </w:rPr>
        <w:t>.</w:t>
      </w:r>
    </w:p>
    <w:p w14:paraId="148765D7"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31</w:t>
      </w:r>
      <w:r>
        <w:rPr>
          <w:sz w:val="24"/>
          <w:szCs w:val="24"/>
        </w:rPr>
        <w:t>]</w:t>
      </w:r>
      <w:r w:rsidRPr="00EC4E85">
        <w:rPr>
          <w:rFonts w:ascii="Times New Roman" w:hAnsi="Times New Roman" w:cs="Times New Roman"/>
          <w:sz w:val="24"/>
          <w:szCs w:val="24"/>
        </w:rPr>
        <w:tab/>
        <w:t xml:space="preserve">A. Martirosyan, M. J. Olesen, K. A. Howard, Chapter Eleven - Chitosan-Based Nanoparticles for Mucosal Delivery of RNAi Therapeutics. In </w:t>
      </w:r>
      <w:r w:rsidRPr="00EC4E85">
        <w:rPr>
          <w:rFonts w:ascii="Times New Roman" w:hAnsi="Times New Roman" w:cs="Times New Roman"/>
          <w:i/>
          <w:sz w:val="24"/>
          <w:szCs w:val="24"/>
        </w:rPr>
        <w:t>Advances in Genetics</w:t>
      </w:r>
      <w:r w:rsidRPr="00EC4E85">
        <w:rPr>
          <w:rFonts w:ascii="Times New Roman" w:hAnsi="Times New Roman" w:cs="Times New Roman"/>
          <w:sz w:val="24"/>
          <w:szCs w:val="24"/>
        </w:rPr>
        <w:t>, Huang, L., Liu, D.; Wagner, E., Eds. Academic Press: 2014; Vol. 88, pp 325-352.</w:t>
      </w:r>
    </w:p>
    <w:p w14:paraId="295AABDE"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32</w:t>
      </w:r>
      <w:r>
        <w:rPr>
          <w:sz w:val="24"/>
          <w:szCs w:val="24"/>
        </w:rPr>
        <w:t>]</w:t>
      </w:r>
      <w:r w:rsidRPr="00EC4E85">
        <w:rPr>
          <w:rFonts w:ascii="Times New Roman" w:hAnsi="Times New Roman" w:cs="Times New Roman"/>
          <w:sz w:val="24"/>
          <w:szCs w:val="24"/>
        </w:rPr>
        <w:tab/>
        <w:t xml:space="preserve">M. Garcia-Fuentes, M. J. Alonso, </w:t>
      </w:r>
      <w:r w:rsidRPr="00EC4E85">
        <w:rPr>
          <w:rFonts w:ascii="Times New Roman" w:hAnsi="Times New Roman" w:cs="Times New Roman"/>
          <w:i/>
          <w:sz w:val="24"/>
          <w:szCs w:val="24"/>
        </w:rPr>
        <w:t>J. Controlled Release</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2012</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161</w:t>
      </w:r>
      <w:r w:rsidRPr="00EC4E85">
        <w:rPr>
          <w:rFonts w:ascii="Times New Roman" w:hAnsi="Times New Roman" w:cs="Times New Roman"/>
          <w:sz w:val="24"/>
          <w:szCs w:val="24"/>
        </w:rPr>
        <w:t>, 496-504.</w:t>
      </w:r>
    </w:p>
    <w:p w14:paraId="1680376C"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33</w:t>
      </w:r>
      <w:r>
        <w:rPr>
          <w:sz w:val="24"/>
          <w:szCs w:val="24"/>
        </w:rPr>
        <w:t>]</w:t>
      </w:r>
      <w:r w:rsidRPr="00EC4E85">
        <w:rPr>
          <w:rFonts w:ascii="Times New Roman" w:hAnsi="Times New Roman" w:cs="Times New Roman"/>
          <w:sz w:val="24"/>
          <w:szCs w:val="24"/>
        </w:rPr>
        <w:tab/>
        <w:t xml:space="preserve">G. Li, S. Wang, D. Deng, Z. Xiao, Z. Dong, Z. Wang, Q. Lei, S. Gao, G. Huang, E. Zhang, G. Zeng, Z. Wen, S. Wu, Z. Liu, </w:t>
      </w:r>
      <w:r w:rsidRPr="00EC4E85">
        <w:rPr>
          <w:rFonts w:ascii="Times New Roman" w:hAnsi="Times New Roman" w:cs="Times New Roman"/>
          <w:i/>
          <w:sz w:val="24"/>
          <w:szCs w:val="24"/>
        </w:rPr>
        <w:t>ACS Nano</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2020</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14</w:t>
      </w:r>
      <w:r w:rsidRPr="00EC4E85">
        <w:rPr>
          <w:rFonts w:ascii="Times New Roman" w:hAnsi="Times New Roman" w:cs="Times New Roman"/>
          <w:sz w:val="24"/>
          <w:szCs w:val="24"/>
        </w:rPr>
        <w:t>, 1586-1599.</w:t>
      </w:r>
    </w:p>
    <w:p w14:paraId="4FDAE08F"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34</w:t>
      </w:r>
      <w:r>
        <w:rPr>
          <w:sz w:val="24"/>
          <w:szCs w:val="24"/>
        </w:rPr>
        <w:t>]</w:t>
      </w:r>
      <w:r w:rsidRPr="00EC4E85">
        <w:rPr>
          <w:rFonts w:ascii="Times New Roman" w:hAnsi="Times New Roman" w:cs="Times New Roman"/>
          <w:sz w:val="24"/>
          <w:szCs w:val="24"/>
        </w:rPr>
        <w:tab/>
        <w:t xml:space="preserve">G. Rong, C. Wang, L. Chen, Y. Yan, Y. Cheng, </w:t>
      </w:r>
      <w:r w:rsidRPr="00EC4E85">
        <w:rPr>
          <w:rFonts w:ascii="Times New Roman" w:hAnsi="Times New Roman" w:cs="Times New Roman"/>
          <w:i/>
          <w:sz w:val="24"/>
          <w:szCs w:val="24"/>
        </w:rPr>
        <w:t>Sci. Adv.</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2020</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6</w:t>
      </w:r>
      <w:r w:rsidRPr="00EC4E85">
        <w:rPr>
          <w:rFonts w:ascii="Times New Roman" w:hAnsi="Times New Roman" w:cs="Times New Roman"/>
          <w:sz w:val="24"/>
          <w:szCs w:val="24"/>
        </w:rPr>
        <w:t>, eaaz1774.</w:t>
      </w:r>
    </w:p>
    <w:p w14:paraId="1AE59BE1"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35</w:t>
      </w:r>
      <w:r>
        <w:rPr>
          <w:sz w:val="24"/>
          <w:szCs w:val="24"/>
        </w:rPr>
        <w:t>]</w:t>
      </w:r>
      <w:r w:rsidRPr="00EC4E85">
        <w:rPr>
          <w:rFonts w:ascii="Times New Roman" w:hAnsi="Times New Roman" w:cs="Times New Roman"/>
          <w:sz w:val="24"/>
          <w:szCs w:val="24"/>
        </w:rPr>
        <w:tab/>
        <w:t xml:space="preserve">L. Chen, L. Zhang, R. Zhao, J. Shen, Y. Wang, J. Zhu, H. Fang, N. Liu, C. Wang, T. Wei, Y. Chai, M. Li, C. Wu, Q. Chen, Z. Liu, </w:t>
      </w:r>
      <w:r w:rsidRPr="00EC4E85">
        <w:rPr>
          <w:rFonts w:ascii="Times New Roman" w:hAnsi="Times New Roman" w:cs="Times New Roman"/>
          <w:i/>
          <w:sz w:val="24"/>
          <w:szCs w:val="24"/>
        </w:rPr>
        <w:t>Nano Today</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2023</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50</w:t>
      </w:r>
      <w:r w:rsidRPr="00EC4E85">
        <w:rPr>
          <w:rFonts w:ascii="Times New Roman" w:hAnsi="Times New Roman" w:cs="Times New Roman"/>
          <w:sz w:val="24"/>
          <w:szCs w:val="24"/>
        </w:rPr>
        <w:t>, 101834.</w:t>
      </w:r>
    </w:p>
    <w:p w14:paraId="7599B69D"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36</w:t>
      </w:r>
      <w:r>
        <w:rPr>
          <w:sz w:val="24"/>
          <w:szCs w:val="24"/>
        </w:rPr>
        <w:t>]</w:t>
      </w:r>
      <w:r w:rsidRPr="00EC4E85">
        <w:rPr>
          <w:rFonts w:ascii="Times New Roman" w:hAnsi="Times New Roman" w:cs="Times New Roman"/>
          <w:sz w:val="24"/>
          <w:szCs w:val="24"/>
        </w:rPr>
        <w:tab/>
        <w:t xml:space="preserve">J. Shen, H. Gao, L. Chen, Y. Jiang, S. Li, Y. Chao, N. Liu, Y. Wang, T. Wei, Y. Liu, J. Li, M. Chen, J. Zhu, J. Liang, X. Zhou, X. Zhang, P. Gu, Q. Chen, Z. Liu, </w:t>
      </w:r>
      <w:r w:rsidRPr="00EC4E85">
        <w:rPr>
          <w:rFonts w:ascii="Times New Roman" w:hAnsi="Times New Roman" w:cs="Times New Roman"/>
          <w:i/>
          <w:sz w:val="24"/>
          <w:szCs w:val="24"/>
        </w:rPr>
        <w:t>Sci. Adv.</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9</w:t>
      </w:r>
      <w:r w:rsidRPr="00EC4E85">
        <w:rPr>
          <w:rFonts w:ascii="Times New Roman" w:hAnsi="Times New Roman" w:cs="Times New Roman"/>
          <w:sz w:val="24"/>
          <w:szCs w:val="24"/>
        </w:rPr>
        <w:t>, eabq3104.</w:t>
      </w:r>
    </w:p>
    <w:p w14:paraId="24FFA7DD"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37</w:t>
      </w:r>
      <w:r>
        <w:rPr>
          <w:sz w:val="24"/>
          <w:szCs w:val="24"/>
        </w:rPr>
        <w:t>]</w:t>
      </w:r>
      <w:r w:rsidRPr="00EC4E85">
        <w:rPr>
          <w:rFonts w:ascii="Times New Roman" w:hAnsi="Times New Roman" w:cs="Times New Roman"/>
          <w:sz w:val="24"/>
          <w:szCs w:val="24"/>
        </w:rPr>
        <w:tab/>
        <w:t xml:space="preserve">W. Zhu, Y. Chao, Q. Jin, L. Chen, J.-j. Shen, J. Zhu, Y. Chai, P. Lu, N. Yang, M. Chen, Y. Yang, Q. Chen, Z. Liu, </w:t>
      </w:r>
      <w:r w:rsidRPr="00EC4E85">
        <w:rPr>
          <w:rFonts w:ascii="Times New Roman" w:hAnsi="Times New Roman" w:cs="Times New Roman"/>
          <w:i/>
          <w:sz w:val="24"/>
          <w:szCs w:val="24"/>
        </w:rPr>
        <w:t>ACS Nano</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2023</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17</w:t>
      </w:r>
      <w:r w:rsidRPr="00EC4E85">
        <w:rPr>
          <w:rFonts w:ascii="Times New Roman" w:hAnsi="Times New Roman" w:cs="Times New Roman"/>
          <w:sz w:val="24"/>
          <w:szCs w:val="24"/>
        </w:rPr>
        <w:t>, 4373-4386.</w:t>
      </w:r>
    </w:p>
    <w:p w14:paraId="7ED78274"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38</w:t>
      </w:r>
      <w:r>
        <w:rPr>
          <w:sz w:val="24"/>
          <w:szCs w:val="24"/>
        </w:rPr>
        <w:t>]</w:t>
      </w:r>
      <w:r w:rsidRPr="00EC4E85">
        <w:rPr>
          <w:rFonts w:ascii="Times New Roman" w:hAnsi="Times New Roman" w:cs="Times New Roman"/>
          <w:sz w:val="24"/>
          <w:szCs w:val="24"/>
        </w:rPr>
        <w:tab/>
        <w:t xml:space="preserve">R. Antony, T. Arun, S. T. D. Manickam, </w:t>
      </w:r>
      <w:r w:rsidRPr="00EC4E85">
        <w:rPr>
          <w:rFonts w:ascii="Times New Roman" w:hAnsi="Times New Roman" w:cs="Times New Roman"/>
          <w:i/>
          <w:sz w:val="24"/>
          <w:szCs w:val="24"/>
        </w:rPr>
        <w:t>Int. J. Biol. Macromol.</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129</w:t>
      </w:r>
      <w:r w:rsidRPr="00EC4E85">
        <w:rPr>
          <w:rFonts w:ascii="Times New Roman" w:hAnsi="Times New Roman" w:cs="Times New Roman"/>
          <w:sz w:val="24"/>
          <w:szCs w:val="24"/>
        </w:rPr>
        <w:t>, 615-633.</w:t>
      </w:r>
    </w:p>
    <w:p w14:paraId="2CB48CAF"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39</w:t>
      </w:r>
      <w:r>
        <w:rPr>
          <w:sz w:val="24"/>
          <w:szCs w:val="24"/>
        </w:rPr>
        <w:t>]</w:t>
      </w:r>
      <w:r w:rsidRPr="00EC4E85">
        <w:rPr>
          <w:rFonts w:ascii="Times New Roman" w:hAnsi="Times New Roman" w:cs="Times New Roman"/>
          <w:sz w:val="24"/>
          <w:szCs w:val="24"/>
        </w:rPr>
        <w:tab/>
        <w:t xml:space="preserve">R. Neupane, S. H. S. Boddu, J. Renukuntla, R. J. Babu, A. K. Tiwari, </w:t>
      </w:r>
      <w:r w:rsidRPr="00EC4E85">
        <w:rPr>
          <w:rFonts w:ascii="Times New Roman" w:hAnsi="Times New Roman" w:cs="Times New Roman"/>
          <w:i/>
          <w:sz w:val="24"/>
          <w:szCs w:val="24"/>
        </w:rPr>
        <w:t>Pharmaceutics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2020</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12</w:t>
      </w:r>
      <w:r w:rsidRPr="00EC4E85">
        <w:rPr>
          <w:rFonts w:ascii="Times New Roman" w:hAnsi="Times New Roman" w:cs="Times New Roman"/>
          <w:sz w:val="24"/>
          <w:szCs w:val="24"/>
        </w:rPr>
        <w:t>.</w:t>
      </w:r>
    </w:p>
    <w:p w14:paraId="2585E8D2"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lastRenderedPageBreak/>
        <w:t>[</w:t>
      </w:r>
      <w:r w:rsidRPr="00EC4E85">
        <w:rPr>
          <w:rFonts w:ascii="Times New Roman" w:hAnsi="Times New Roman" w:cs="Times New Roman"/>
          <w:sz w:val="24"/>
          <w:szCs w:val="24"/>
        </w:rPr>
        <w:t>40</w:t>
      </w:r>
      <w:r>
        <w:rPr>
          <w:sz w:val="24"/>
          <w:szCs w:val="24"/>
        </w:rPr>
        <w:t>]</w:t>
      </w:r>
      <w:r w:rsidRPr="00EC4E85">
        <w:rPr>
          <w:rFonts w:ascii="Times New Roman" w:hAnsi="Times New Roman" w:cs="Times New Roman"/>
          <w:sz w:val="24"/>
          <w:szCs w:val="24"/>
        </w:rPr>
        <w:tab/>
        <w:t xml:space="preserve">S. De Koker, J. Cui, N. Vanparijs, L. Albertazzi, J. Grooten, F. Caruso, B. G. De Geest, </w:t>
      </w:r>
      <w:r w:rsidRPr="00EC4E85">
        <w:rPr>
          <w:rFonts w:ascii="Times New Roman" w:hAnsi="Times New Roman" w:cs="Times New Roman"/>
          <w:i/>
          <w:sz w:val="24"/>
          <w:szCs w:val="24"/>
        </w:rPr>
        <w:t>Angew. Chem. Int. Ed.</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2016</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55</w:t>
      </w:r>
      <w:r w:rsidRPr="00EC4E85">
        <w:rPr>
          <w:rFonts w:ascii="Times New Roman" w:hAnsi="Times New Roman" w:cs="Times New Roman"/>
          <w:sz w:val="24"/>
          <w:szCs w:val="24"/>
        </w:rPr>
        <w:t>, 1334-1339.</w:t>
      </w:r>
    </w:p>
    <w:p w14:paraId="1D419290"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41</w:t>
      </w:r>
      <w:r>
        <w:rPr>
          <w:sz w:val="24"/>
          <w:szCs w:val="24"/>
        </w:rPr>
        <w:t>]</w:t>
      </w:r>
      <w:r w:rsidRPr="00EC4E85">
        <w:rPr>
          <w:rFonts w:ascii="Times New Roman" w:hAnsi="Times New Roman" w:cs="Times New Roman"/>
          <w:sz w:val="24"/>
          <w:szCs w:val="24"/>
        </w:rPr>
        <w:tab/>
        <w:t xml:space="preserve">Q. Chen, J. Chen, Z. Yang, J. Xu, L. Xu, C. Liang, X. Han, Z. Liu, </w:t>
      </w:r>
      <w:r w:rsidRPr="00EC4E85">
        <w:rPr>
          <w:rFonts w:ascii="Times New Roman" w:hAnsi="Times New Roman" w:cs="Times New Roman"/>
          <w:i/>
          <w:sz w:val="24"/>
          <w:szCs w:val="24"/>
        </w:rPr>
        <w:t>Adv. Mater.</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31</w:t>
      </w:r>
      <w:r w:rsidRPr="00EC4E85">
        <w:rPr>
          <w:rFonts w:ascii="Times New Roman" w:hAnsi="Times New Roman" w:cs="Times New Roman"/>
          <w:sz w:val="24"/>
          <w:szCs w:val="24"/>
        </w:rPr>
        <w:t>, 1802228.</w:t>
      </w:r>
    </w:p>
    <w:p w14:paraId="77A062B8"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42</w:t>
      </w:r>
      <w:r>
        <w:rPr>
          <w:sz w:val="24"/>
          <w:szCs w:val="24"/>
        </w:rPr>
        <w:t>]</w:t>
      </w:r>
      <w:r w:rsidRPr="00EC4E85">
        <w:rPr>
          <w:rFonts w:ascii="Times New Roman" w:hAnsi="Times New Roman" w:cs="Times New Roman"/>
          <w:sz w:val="24"/>
          <w:szCs w:val="24"/>
        </w:rPr>
        <w:tab/>
        <w:t xml:space="preserve">Y. Wu, C. Zhu, Z. Chen, Z. Chen, W. Zhang, X. Ma, L. Wang, X. Yang, Z. Jiang, </w:t>
      </w:r>
      <w:r w:rsidRPr="00EC4E85">
        <w:rPr>
          <w:rFonts w:ascii="Times New Roman" w:hAnsi="Times New Roman" w:cs="Times New Roman"/>
          <w:i/>
          <w:sz w:val="24"/>
          <w:szCs w:val="24"/>
        </w:rPr>
        <w:t>Veterinary Immunology and Immunopathology</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2016</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172</w:t>
      </w:r>
      <w:r w:rsidRPr="00EC4E85">
        <w:rPr>
          <w:rFonts w:ascii="Times New Roman" w:hAnsi="Times New Roman" w:cs="Times New Roman"/>
          <w:sz w:val="24"/>
          <w:szCs w:val="24"/>
        </w:rPr>
        <w:t>, 55-63.</w:t>
      </w:r>
    </w:p>
    <w:p w14:paraId="5EF826D3"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43</w:t>
      </w:r>
      <w:r>
        <w:rPr>
          <w:sz w:val="24"/>
          <w:szCs w:val="24"/>
        </w:rPr>
        <w:t>]</w:t>
      </w:r>
      <w:r w:rsidRPr="00EC4E85">
        <w:rPr>
          <w:rFonts w:ascii="Times New Roman" w:hAnsi="Times New Roman" w:cs="Times New Roman"/>
          <w:sz w:val="24"/>
          <w:szCs w:val="24"/>
        </w:rPr>
        <w:tab/>
        <w:t xml:space="preserve">K. M. McCarthy, I. B. Skare, M. C. Stankewich, M. Furuse, S. Tsukita, R. A. Rogers, R. D. Lynch, E. E. Schneeberger, </w:t>
      </w:r>
      <w:r w:rsidRPr="00EC4E85">
        <w:rPr>
          <w:rFonts w:ascii="Times New Roman" w:hAnsi="Times New Roman" w:cs="Times New Roman"/>
          <w:i/>
          <w:sz w:val="24"/>
          <w:szCs w:val="24"/>
        </w:rPr>
        <w:t>J. Cell Sci.</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1996</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109</w:t>
      </w:r>
      <w:r w:rsidRPr="00EC4E85">
        <w:rPr>
          <w:rFonts w:ascii="Times New Roman" w:hAnsi="Times New Roman" w:cs="Times New Roman"/>
          <w:sz w:val="24"/>
          <w:szCs w:val="24"/>
        </w:rPr>
        <w:t>, 2287-2298.</w:t>
      </w:r>
    </w:p>
    <w:p w14:paraId="70F661C3"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44</w:t>
      </w:r>
      <w:r>
        <w:rPr>
          <w:sz w:val="24"/>
          <w:szCs w:val="24"/>
        </w:rPr>
        <w:t>]</w:t>
      </w:r>
      <w:r w:rsidRPr="00EC4E85">
        <w:rPr>
          <w:rFonts w:ascii="Times New Roman" w:hAnsi="Times New Roman" w:cs="Times New Roman"/>
          <w:sz w:val="24"/>
          <w:szCs w:val="24"/>
        </w:rPr>
        <w:tab/>
        <w:t xml:space="preserve">M. Itoh, A. Nagafuchi, S. Moroi, S. Tsukita, </w:t>
      </w:r>
      <w:r w:rsidRPr="00EC4E85">
        <w:rPr>
          <w:rFonts w:ascii="Times New Roman" w:hAnsi="Times New Roman" w:cs="Times New Roman"/>
          <w:i/>
          <w:sz w:val="24"/>
          <w:szCs w:val="24"/>
        </w:rPr>
        <w:t>J. Cell Biol.</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1997</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138</w:t>
      </w:r>
      <w:r w:rsidRPr="00EC4E85">
        <w:rPr>
          <w:rFonts w:ascii="Times New Roman" w:hAnsi="Times New Roman" w:cs="Times New Roman"/>
          <w:sz w:val="24"/>
          <w:szCs w:val="24"/>
        </w:rPr>
        <w:t>, 181-192.</w:t>
      </w:r>
    </w:p>
    <w:p w14:paraId="3711725F"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45</w:t>
      </w:r>
      <w:r>
        <w:rPr>
          <w:sz w:val="24"/>
          <w:szCs w:val="24"/>
        </w:rPr>
        <w:t>]</w:t>
      </w:r>
      <w:r w:rsidRPr="00EC4E85">
        <w:rPr>
          <w:rFonts w:ascii="Times New Roman" w:hAnsi="Times New Roman" w:cs="Times New Roman"/>
          <w:sz w:val="24"/>
          <w:szCs w:val="24"/>
        </w:rPr>
        <w:tab/>
        <w:t xml:space="preserve">S. Alimperti, S. T. Andreadis, </w:t>
      </w:r>
      <w:r w:rsidRPr="00EC4E85">
        <w:rPr>
          <w:rFonts w:ascii="Times New Roman" w:hAnsi="Times New Roman" w:cs="Times New Roman"/>
          <w:i/>
          <w:sz w:val="24"/>
          <w:szCs w:val="24"/>
        </w:rPr>
        <w:t>Stem Cell Res.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2015</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14</w:t>
      </w:r>
      <w:r w:rsidRPr="00EC4E85">
        <w:rPr>
          <w:rFonts w:ascii="Times New Roman" w:hAnsi="Times New Roman" w:cs="Times New Roman"/>
          <w:sz w:val="24"/>
          <w:szCs w:val="24"/>
        </w:rPr>
        <w:t>, 270-282.</w:t>
      </w:r>
    </w:p>
    <w:p w14:paraId="335D7C28"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46</w:t>
      </w:r>
      <w:r>
        <w:rPr>
          <w:sz w:val="24"/>
          <w:szCs w:val="24"/>
        </w:rPr>
        <w:t>]</w:t>
      </w:r>
      <w:r w:rsidRPr="00EC4E85">
        <w:rPr>
          <w:rFonts w:ascii="Times New Roman" w:hAnsi="Times New Roman" w:cs="Times New Roman"/>
          <w:sz w:val="24"/>
          <w:szCs w:val="24"/>
        </w:rPr>
        <w:tab/>
        <w:t xml:space="preserve">G. Krause, L. Winkler, S. L. Mueller, R. F. Haseloff, J. Piontek, I. E. Blasig, </w:t>
      </w:r>
      <w:r w:rsidRPr="00EC4E85">
        <w:rPr>
          <w:rFonts w:ascii="Times New Roman" w:hAnsi="Times New Roman" w:cs="Times New Roman"/>
          <w:i/>
          <w:sz w:val="24"/>
          <w:szCs w:val="24"/>
        </w:rPr>
        <w:t>Biochimica et Biophysica Acta (BBA) - Biomembranes</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2008</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1778</w:t>
      </w:r>
      <w:r w:rsidRPr="00EC4E85">
        <w:rPr>
          <w:rFonts w:ascii="Times New Roman" w:hAnsi="Times New Roman" w:cs="Times New Roman"/>
          <w:sz w:val="24"/>
          <w:szCs w:val="24"/>
        </w:rPr>
        <w:t>, 631-645.</w:t>
      </w:r>
    </w:p>
    <w:p w14:paraId="2470D59D"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47</w:t>
      </w:r>
      <w:r>
        <w:rPr>
          <w:sz w:val="24"/>
          <w:szCs w:val="24"/>
        </w:rPr>
        <w:t>]</w:t>
      </w:r>
      <w:r w:rsidRPr="00EC4E85">
        <w:rPr>
          <w:rFonts w:ascii="Times New Roman" w:hAnsi="Times New Roman" w:cs="Times New Roman"/>
          <w:sz w:val="24"/>
          <w:szCs w:val="24"/>
        </w:rPr>
        <w:tab/>
        <w:t xml:space="preserve">M. Furuse, T. Hirase, M. Itoh, A. Nagafuchi, S. Yonemura, S. Tsukita, S. Tsukita, </w:t>
      </w:r>
      <w:r w:rsidRPr="00EC4E85">
        <w:rPr>
          <w:rFonts w:ascii="Times New Roman" w:hAnsi="Times New Roman" w:cs="Times New Roman"/>
          <w:i/>
          <w:sz w:val="24"/>
          <w:szCs w:val="24"/>
        </w:rPr>
        <w:t>J. Cell Biol.</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1993</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123</w:t>
      </w:r>
      <w:r w:rsidRPr="00EC4E85">
        <w:rPr>
          <w:rFonts w:ascii="Times New Roman" w:hAnsi="Times New Roman" w:cs="Times New Roman"/>
          <w:sz w:val="24"/>
          <w:szCs w:val="24"/>
        </w:rPr>
        <w:t>, 1777-1788.</w:t>
      </w:r>
    </w:p>
    <w:p w14:paraId="17BF9BAA"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48</w:t>
      </w:r>
      <w:r>
        <w:rPr>
          <w:sz w:val="24"/>
          <w:szCs w:val="24"/>
        </w:rPr>
        <w:t>]</w:t>
      </w:r>
      <w:r w:rsidRPr="00EC4E85">
        <w:rPr>
          <w:rFonts w:ascii="Times New Roman" w:hAnsi="Times New Roman" w:cs="Times New Roman"/>
          <w:sz w:val="24"/>
          <w:szCs w:val="24"/>
        </w:rPr>
        <w:tab/>
        <w:t xml:space="preserve">J. M. Mullin, S. M. Skrovanek, M. C. Valenzano, </w:t>
      </w:r>
      <w:r w:rsidRPr="00EC4E85">
        <w:rPr>
          <w:rFonts w:ascii="Times New Roman" w:hAnsi="Times New Roman" w:cs="Times New Roman"/>
          <w:i/>
          <w:sz w:val="24"/>
          <w:szCs w:val="24"/>
        </w:rPr>
        <w:t>Ann. N. Y. Acad. Sci.</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2009</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1165</w:t>
      </w:r>
      <w:r w:rsidRPr="00EC4E85">
        <w:rPr>
          <w:rFonts w:ascii="Times New Roman" w:hAnsi="Times New Roman" w:cs="Times New Roman"/>
          <w:sz w:val="24"/>
          <w:szCs w:val="24"/>
        </w:rPr>
        <w:t>, 99-112.</w:t>
      </w:r>
    </w:p>
    <w:p w14:paraId="2CC38201" w14:textId="77777777" w:rsidR="00AF338A" w:rsidRPr="00EC4E85"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49</w:t>
      </w:r>
      <w:r>
        <w:rPr>
          <w:sz w:val="24"/>
          <w:szCs w:val="24"/>
        </w:rPr>
        <w:t>]</w:t>
      </w:r>
      <w:r w:rsidRPr="00EC4E85">
        <w:rPr>
          <w:rFonts w:ascii="Times New Roman" w:hAnsi="Times New Roman" w:cs="Times New Roman"/>
          <w:sz w:val="24"/>
          <w:szCs w:val="24"/>
        </w:rPr>
        <w:tab/>
        <w:t xml:space="preserve">A. MurÁNyi, J. A. MacDonald, J. T. Deng, D. P. Wilson, T. A. J. Haystead, M. P. Walsh, F. ErdÖDi, E. Kiss, Y. Wu, D. J. Hartshorne, </w:t>
      </w:r>
      <w:r w:rsidRPr="00EC4E85">
        <w:rPr>
          <w:rFonts w:ascii="Times New Roman" w:hAnsi="Times New Roman" w:cs="Times New Roman"/>
          <w:i/>
          <w:sz w:val="24"/>
          <w:szCs w:val="24"/>
        </w:rPr>
        <w:t>Biochem. J</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2002</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366</w:t>
      </w:r>
      <w:r w:rsidRPr="00EC4E85">
        <w:rPr>
          <w:rFonts w:ascii="Times New Roman" w:hAnsi="Times New Roman" w:cs="Times New Roman"/>
          <w:sz w:val="24"/>
          <w:szCs w:val="24"/>
        </w:rPr>
        <w:t>, 211-216.</w:t>
      </w:r>
    </w:p>
    <w:p w14:paraId="635F3182" w14:textId="77777777" w:rsidR="00AF338A" w:rsidRDefault="00AF338A" w:rsidP="00AF338A">
      <w:pPr>
        <w:pStyle w:val="EndNoteBibliography0"/>
        <w:spacing w:line="360" w:lineRule="auto"/>
        <w:rPr>
          <w:rFonts w:ascii="Times New Roman" w:hAnsi="Times New Roman" w:cs="Times New Roman"/>
          <w:sz w:val="24"/>
          <w:szCs w:val="24"/>
        </w:rPr>
      </w:pPr>
      <w:r>
        <w:rPr>
          <w:sz w:val="24"/>
          <w:szCs w:val="24"/>
        </w:rPr>
        <w:t>[</w:t>
      </w:r>
      <w:r w:rsidRPr="00EC4E85">
        <w:rPr>
          <w:rFonts w:ascii="Times New Roman" w:hAnsi="Times New Roman" w:cs="Times New Roman"/>
          <w:sz w:val="24"/>
          <w:szCs w:val="24"/>
        </w:rPr>
        <w:t>50</w:t>
      </w:r>
      <w:r>
        <w:rPr>
          <w:sz w:val="24"/>
          <w:szCs w:val="24"/>
        </w:rPr>
        <w:t>]</w:t>
      </w:r>
      <w:r>
        <w:rPr>
          <w:rFonts w:ascii="Times New Roman" w:hAnsi="Times New Roman" w:cs="Times New Roman"/>
          <w:sz w:val="24"/>
          <w:szCs w:val="24"/>
        </w:rPr>
        <w:tab/>
      </w:r>
      <w:r w:rsidRPr="00EC4E85">
        <w:rPr>
          <w:rFonts w:ascii="Times New Roman" w:hAnsi="Times New Roman" w:cs="Times New Roman"/>
          <w:sz w:val="24"/>
          <w:szCs w:val="24"/>
        </w:rPr>
        <w:t xml:space="preserve">D. N. Sauder, </w:t>
      </w:r>
      <w:r w:rsidRPr="00EC4E85">
        <w:rPr>
          <w:rFonts w:ascii="Times New Roman" w:hAnsi="Times New Roman" w:cs="Times New Roman"/>
          <w:i/>
          <w:sz w:val="24"/>
          <w:szCs w:val="24"/>
        </w:rPr>
        <w:t>British Journal of Dermatology</w:t>
      </w:r>
      <w:r w:rsidRPr="00EC4E85">
        <w:rPr>
          <w:rFonts w:ascii="Times New Roman" w:hAnsi="Times New Roman" w:cs="Times New Roman"/>
          <w:sz w:val="24"/>
          <w:szCs w:val="24"/>
        </w:rPr>
        <w:t xml:space="preserve"> </w:t>
      </w:r>
      <w:r w:rsidRPr="00EC4E85">
        <w:rPr>
          <w:rFonts w:ascii="Times New Roman" w:hAnsi="Times New Roman" w:cs="Times New Roman"/>
          <w:b/>
          <w:sz w:val="24"/>
          <w:szCs w:val="24"/>
        </w:rPr>
        <w:t>2003</w:t>
      </w:r>
      <w:r w:rsidRPr="00EC4E85">
        <w:rPr>
          <w:rFonts w:ascii="Times New Roman" w:hAnsi="Times New Roman" w:cs="Times New Roman"/>
          <w:sz w:val="24"/>
          <w:szCs w:val="24"/>
        </w:rPr>
        <w:t xml:space="preserve">, </w:t>
      </w:r>
      <w:r w:rsidRPr="00EC4E85">
        <w:rPr>
          <w:rFonts w:ascii="Times New Roman" w:hAnsi="Times New Roman" w:cs="Times New Roman"/>
          <w:i/>
          <w:sz w:val="24"/>
          <w:szCs w:val="24"/>
        </w:rPr>
        <w:t>149</w:t>
      </w:r>
      <w:r w:rsidRPr="00EC4E85">
        <w:rPr>
          <w:rFonts w:ascii="Times New Roman" w:hAnsi="Times New Roman" w:cs="Times New Roman"/>
          <w:sz w:val="24"/>
          <w:szCs w:val="24"/>
        </w:rPr>
        <w:t>, 5-8.</w:t>
      </w:r>
    </w:p>
    <w:p w14:paraId="55FB3D90" w14:textId="77777777" w:rsidR="00AF338A" w:rsidRDefault="00AF338A" w:rsidP="00AF338A">
      <w:pPr>
        <w:pStyle w:val="EndNoteBibliography0"/>
        <w:spacing w:line="360" w:lineRule="auto"/>
        <w:rPr>
          <w:rFonts w:ascii="Times New Roman" w:hAnsi="Times New Roman" w:cs="Times New Roman"/>
          <w:sz w:val="24"/>
          <w:szCs w:val="24"/>
        </w:rPr>
      </w:pPr>
    </w:p>
    <w:p w14:paraId="2275A863" w14:textId="77777777" w:rsidR="00AF338A" w:rsidRDefault="00AF338A" w:rsidP="00AF338A">
      <w:pPr>
        <w:pStyle w:val="EndNoteBibliography0"/>
        <w:spacing w:line="360" w:lineRule="auto"/>
        <w:rPr>
          <w:rFonts w:ascii="Times New Roman" w:hAnsi="Times New Roman" w:cs="Times New Roman"/>
          <w:sz w:val="24"/>
          <w:szCs w:val="24"/>
        </w:rPr>
      </w:pPr>
    </w:p>
    <w:p w14:paraId="16C9A719" w14:textId="77777777" w:rsidR="00AF338A" w:rsidRDefault="00AF338A" w:rsidP="00AF338A">
      <w:pPr>
        <w:rPr>
          <w:rFonts w:eastAsia="DengXian"/>
          <w:noProof/>
          <w:kern w:val="2"/>
          <w:lang w:eastAsia="zh-CN"/>
        </w:rPr>
      </w:pPr>
      <w:r>
        <w:br w:type="page"/>
      </w:r>
    </w:p>
    <w:p w14:paraId="511C2859" w14:textId="77777777" w:rsidR="00AF338A" w:rsidRDefault="00AF338A" w:rsidP="00AF338A">
      <w:pPr>
        <w:spacing w:line="360" w:lineRule="auto"/>
        <w:ind w:firstLineChars="100"/>
        <w:jc w:val="center"/>
        <w:rPr>
          <w:rFonts w:eastAsiaTheme="minorEastAsia"/>
          <w:lang w:val="en-GB" w:eastAsia="zh-CN"/>
        </w:rPr>
      </w:pPr>
      <w:r>
        <w:rPr>
          <w:noProof/>
          <w:lang w:eastAsia="zh-CN"/>
        </w:rPr>
        <w:lastRenderedPageBreak/>
        <w:drawing>
          <wp:inline distT="0" distB="0" distL="0" distR="0" wp14:anchorId="01D5FC17" wp14:editId="52F10EDD">
            <wp:extent cx="5274310" cy="4083685"/>
            <wp:effectExtent l="0" t="0" r="2540" b="0"/>
            <wp:docPr id="7314826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083685"/>
                    </a:xfrm>
                    <a:prstGeom prst="rect">
                      <a:avLst/>
                    </a:prstGeom>
                    <a:noFill/>
                    <a:ln>
                      <a:noFill/>
                    </a:ln>
                  </pic:spPr>
                </pic:pic>
              </a:graphicData>
            </a:graphic>
          </wp:inline>
        </w:drawing>
      </w:r>
    </w:p>
    <w:p w14:paraId="4044B600" w14:textId="77777777" w:rsidR="00AF338A" w:rsidRDefault="00AF338A" w:rsidP="00AF338A">
      <w:pPr>
        <w:jc w:val="both"/>
        <w:rPr>
          <w:sz w:val="21"/>
          <w:szCs w:val="18"/>
        </w:rPr>
      </w:pPr>
      <w:r>
        <w:rPr>
          <w:b/>
          <w:bCs/>
          <w:szCs w:val="18"/>
        </w:rPr>
        <w:t>Figure 1 | Preparation</w:t>
      </w:r>
      <w:r>
        <w:rPr>
          <w:rFonts w:eastAsia="DengXian"/>
          <w:b/>
          <w:bCs/>
          <w:szCs w:val="18"/>
        </w:rPr>
        <w:t xml:space="preserve"> and</w:t>
      </w:r>
      <w:r>
        <w:rPr>
          <w:b/>
          <w:bCs/>
          <w:szCs w:val="18"/>
        </w:rPr>
        <w:t xml:space="preserve"> characterization of FCS-OVA nanoparticles. a,</w:t>
      </w:r>
      <w:r>
        <w:rPr>
          <w:sz w:val="18"/>
          <w:szCs w:val="16"/>
        </w:rPr>
        <w:t xml:space="preserve"> </w:t>
      </w:r>
      <w:bookmarkStart w:id="10" w:name="_Hlk68118408"/>
      <w:r>
        <w:rPr>
          <w:szCs w:val="18"/>
        </w:rPr>
        <w:t>Schematic illustration show</w:t>
      </w:r>
      <w:bookmarkEnd w:id="10"/>
      <w:r>
        <w:rPr>
          <w:szCs w:val="18"/>
        </w:rPr>
        <w:t xml:space="preserve">ing the preparation of FCS-OVA nanoparticles. </w:t>
      </w:r>
      <w:r>
        <w:rPr>
          <w:b/>
          <w:bCs/>
          <w:szCs w:val="18"/>
        </w:rPr>
        <w:t>b, c,</w:t>
      </w:r>
      <w:r>
        <w:rPr>
          <w:szCs w:val="18"/>
        </w:rPr>
        <w:t xml:space="preserve"> Size distribution and zeta potential of FCS-OVA nanoparticles with weight ratios ranging from 2:1 to 1:4. </w:t>
      </w:r>
      <w:r>
        <w:rPr>
          <w:b/>
          <w:bCs/>
          <w:szCs w:val="18"/>
        </w:rPr>
        <w:t>d,</w:t>
      </w:r>
      <w:r>
        <w:rPr>
          <w:sz w:val="18"/>
          <w:szCs w:val="16"/>
        </w:rPr>
        <w:t xml:space="preserve"> </w:t>
      </w:r>
      <w:r>
        <w:rPr>
          <w:szCs w:val="18"/>
        </w:rPr>
        <w:t xml:space="preserve">Transmission electron microscopy (TEM) image of FCS-OVA nanoparticles. </w:t>
      </w:r>
      <w:r>
        <w:rPr>
          <w:b/>
          <w:bCs/>
          <w:szCs w:val="18"/>
        </w:rPr>
        <w:t>e,</w:t>
      </w:r>
      <w:r>
        <w:rPr>
          <w:sz w:val="18"/>
          <w:szCs w:val="16"/>
        </w:rPr>
        <w:t xml:space="preserve"> </w:t>
      </w:r>
      <w:r>
        <w:rPr>
          <w:szCs w:val="18"/>
        </w:rPr>
        <w:t xml:space="preserve">Relative viabilities of DC2.4 cells after incubation with FCS-OVA or CS-OVA </w:t>
      </w:r>
      <w:r>
        <w:rPr>
          <w:rFonts w:eastAsia="DengXian"/>
          <w:szCs w:val="18"/>
        </w:rPr>
        <w:t>at</w:t>
      </w:r>
      <w:r>
        <w:rPr>
          <w:szCs w:val="18"/>
        </w:rPr>
        <w:t xml:space="preserve"> different concentrations for 12 h (n = 5).</w:t>
      </w:r>
    </w:p>
    <w:p w14:paraId="2706E569" w14:textId="77777777" w:rsidR="00AF338A" w:rsidRDefault="00AF338A" w:rsidP="00AF338A">
      <w:pPr>
        <w:rPr>
          <w:szCs w:val="18"/>
        </w:rPr>
      </w:pPr>
      <w:r>
        <w:rPr>
          <w:szCs w:val="18"/>
        </w:rPr>
        <w:br w:type="page"/>
      </w:r>
    </w:p>
    <w:p w14:paraId="4E9BA497" w14:textId="77777777" w:rsidR="00AF338A" w:rsidRDefault="00AF338A" w:rsidP="00AF338A">
      <w:pPr>
        <w:spacing w:line="360" w:lineRule="auto"/>
        <w:jc w:val="center"/>
        <w:rPr>
          <w:sz w:val="18"/>
          <w:szCs w:val="18"/>
        </w:rPr>
      </w:pPr>
      <w:r>
        <w:rPr>
          <w:noProof/>
          <w:sz w:val="18"/>
          <w:szCs w:val="18"/>
          <w:lang w:eastAsia="zh-CN"/>
        </w:rPr>
        <w:lastRenderedPageBreak/>
        <w:drawing>
          <wp:inline distT="0" distB="0" distL="0" distR="0" wp14:anchorId="475775E1" wp14:editId="2A5D28C0">
            <wp:extent cx="5274310" cy="2994660"/>
            <wp:effectExtent l="0" t="0" r="2540" b="0"/>
            <wp:docPr id="5391407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94660"/>
                    </a:xfrm>
                    <a:prstGeom prst="rect">
                      <a:avLst/>
                    </a:prstGeom>
                    <a:noFill/>
                    <a:ln>
                      <a:noFill/>
                    </a:ln>
                  </pic:spPr>
                </pic:pic>
              </a:graphicData>
            </a:graphic>
          </wp:inline>
        </w:drawing>
      </w:r>
    </w:p>
    <w:p w14:paraId="44061E94" w14:textId="77777777" w:rsidR="00AF338A" w:rsidRDefault="00AF338A" w:rsidP="00AF338A">
      <w:pPr>
        <w:jc w:val="both"/>
        <w:rPr>
          <w:sz w:val="21"/>
          <w:szCs w:val="18"/>
        </w:rPr>
      </w:pPr>
      <w:r>
        <w:rPr>
          <w:b/>
          <w:bCs/>
          <w:szCs w:val="18"/>
        </w:rPr>
        <w:t>Figure 2 | In vitro transdermal delivery ability of FCS-OVA NPs. a,</w:t>
      </w:r>
      <w:r>
        <w:rPr>
          <w:szCs w:val="18"/>
        </w:rPr>
        <w:t xml:space="preserve"> Confocal fluorescence images of DC2.4 cells treated with OVA-FITC (green)</w:t>
      </w:r>
      <w:r>
        <w:rPr>
          <w:rFonts w:eastAsia="DengXian"/>
          <w:szCs w:val="18"/>
        </w:rPr>
        <w:t xml:space="preserve"> or</w:t>
      </w:r>
      <w:r>
        <w:rPr>
          <w:szCs w:val="18"/>
        </w:rPr>
        <w:t xml:space="preserve"> FCS-OVA-FITC (green) for 6 h. </w:t>
      </w:r>
      <w:r>
        <w:rPr>
          <w:b/>
          <w:bCs/>
          <w:szCs w:val="18"/>
        </w:rPr>
        <w:t>b, c,</w:t>
      </w:r>
      <w:r>
        <w:rPr>
          <w:szCs w:val="18"/>
        </w:rPr>
        <w:t xml:space="preserve"> Flow cytometry and statistical analysis showing the uptake of OVA-FITC and FCS-OVA-FITC by DC2.4 cells at 5 h and 10 h (n = 3). </w:t>
      </w:r>
      <w:r>
        <w:rPr>
          <w:b/>
          <w:bCs/>
          <w:szCs w:val="18"/>
        </w:rPr>
        <w:t>d,</w:t>
      </w:r>
      <w:r>
        <w:rPr>
          <w:szCs w:val="18"/>
        </w:rPr>
        <w:t xml:space="preserve"> Schematic representation of the Franz diffusion assay. </w:t>
      </w:r>
      <w:r>
        <w:rPr>
          <w:b/>
          <w:bCs/>
          <w:szCs w:val="18"/>
        </w:rPr>
        <w:t>e,</w:t>
      </w:r>
      <w:r>
        <w:rPr>
          <w:szCs w:val="18"/>
        </w:rPr>
        <w:t xml:space="preserve"> The cumulative penetration percentage of OVA in the receptor chamber at various time points (n = 3). </w:t>
      </w:r>
      <w:r>
        <w:rPr>
          <w:b/>
          <w:bCs/>
          <w:szCs w:val="18"/>
        </w:rPr>
        <w:t>f,</w:t>
      </w:r>
      <w:r>
        <w:rPr>
          <w:szCs w:val="18"/>
        </w:rPr>
        <w:t xml:space="preserve"> </w:t>
      </w:r>
      <w:r>
        <w:rPr>
          <w:rFonts w:eastAsia="DengXian"/>
          <w:szCs w:val="18"/>
        </w:rPr>
        <w:t xml:space="preserve">Fluorescence </w:t>
      </w:r>
      <w:r>
        <w:rPr>
          <w:szCs w:val="18"/>
        </w:rPr>
        <w:t xml:space="preserve">intensity of OVA-Cy5.5 in the inguinal lymph </w:t>
      </w:r>
      <w:r>
        <w:rPr>
          <w:rFonts w:eastAsia="DengXian"/>
          <w:szCs w:val="18"/>
        </w:rPr>
        <w:t>nodes</w:t>
      </w:r>
      <w:r>
        <w:rPr>
          <w:szCs w:val="18"/>
        </w:rPr>
        <w:t xml:space="preserve"> of mice after </w:t>
      </w:r>
      <w:r>
        <w:rPr>
          <w:rFonts w:eastAsia="DengXian"/>
          <w:szCs w:val="18"/>
        </w:rPr>
        <w:t>treatment</w:t>
      </w:r>
      <w:r>
        <w:rPr>
          <w:szCs w:val="18"/>
        </w:rPr>
        <w:t xml:space="preserve"> with different patches (n = 3). </w:t>
      </w:r>
      <w:r>
        <w:rPr>
          <w:i/>
          <w:iCs/>
          <w:szCs w:val="18"/>
        </w:rPr>
        <w:t>P</w:t>
      </w:r>
      <w:r>
        <w:rPr>
          <w:szCs w:val="18"/>
        </w:rPr>
        <w:t xml:space="preserve"> values were calculated by one-way ANOVA with </w:t>
      </w:r>
      <w:r>
        <w:rPr>
          <w:rFonts w:eastAsia="DengXian"/>
          <w:szCs w:val="18"/>
        </w:rPr>
        <w:t>Tukey</w:t>
      </w:r>
      <w:r>
        <w:rPr>
          <w:rFonts w:eastAsia="DengXian"/>
          <w:szCs w:val="18"/>
        </w:rPr>
        <w:t>’</w:t>
      </w:r>
      <w:r>
        <w:rPr>
          <w:rFonts w:eastAsia="DengXian"/>
          <w:szCs w:val="18"/>
        </w:rPr>
        <w:t xml:space="preserve">s </w:t>
      </w:r>
      <w:r>
        <w:rPr>
          <w:szCs w:val="18"/>
        </w:rPr>
        <w:t>post hoc test, *p &lt; 0.05, **p &lt; 0.01.</w:t>
      </w:r>
    </w:p>
    <w:p w14:paraId="39CFF8EB" w14:textId="77777777" w:rsidR="00AF338A" w:rsidRDefault="00AF338A" w:rsidP="00AF338A">
      <w:r>
        <w:br w:type="page"/>
      </w:r>
    </w:p>
    <w:p w14:paraId="7A8D3173" w14:textId="77777777" w:rsidR="00AF338A" w:rsidRDefault="00AF338A" w:rsidP="00AF338A">
      <w:pPr>
        <w:spacing w:line="360" w:lineRule="auto"/>
        <w:ind w:firstLineChars="100" w:firstLine="210"/>
        <w:jc w:val="center"/>
      </w:pPr>
      <w:r>
        <w:rPr>
          <w:rFonts w:asciiTheme="minorHAnsi" w:hAnsiTheme="minorHAnsi" w:cstheme="minorBidi"/>
          <w:noProof/>
          <w:sz w:val="21"/>
          <w:szCs w:val="22"/>
          <w:lang w:eastAsia="zh-CN"/>
        </w:rPr>
        <w:lastRenderedPageBreak/>
        <mc:AlternateContent>
          <mc:Choice Requires="wps">
            <w:drawing>
              <wp:anchor distT="0" distB="0" distL="114300" distR="114300" simplePos="0" relativeHeight="251659264" behindDoc="0" locked="0" layoutInCell="1" allowOverlap="1" wp14:anchorId="43A518AD" wp14:editId="2FB08967">
                <wp:simplePos x="0" y="0"/>
                <wp:positionH relativeFrom="column">
                  <wp:posOffset>1559300</wp:posOffset>
                </wp:positionH>
                <wp:positionV relativeFrom="paragraph">
                  <wp:posOffset>917526</wp:posOffset>
                </wp:positionV>
                <wp:extent cx="142875" cy="171450"/>
                <wp:effectExtent l="0" t="0" r="9525" b="0"/>
                <wp:wrapNone/>
                <wp:docPr id="9" name="箭头: 右 6"/>
                <wp:cNvGraphicFramePr/>
                <a:graphic xmlns:a="http://schemas.openxmlformats.org/drawingml/2006/main">
                  <a:graphicData uri="http://schemas.microsoft.com/office/word/2010/wordprocessingShape">
                    <wps:wsp>
                      <wps:cNvSpPr/>
                      <wps:spPr>
                        <a:xfrm>
                          <a:off x="0" y="0"/>
                          <a:ext cx="142875" cy="171450"/>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7A0F83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6" o:spid="_x0000_s1026" type="#_x0000_t13" style="position:absolute;left:0;text-align:left;margin-left:122.8pt;margin-top:72.25pt;width:11.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" adj="10800" fillcolor="#5b9bd5 [3204]" stroked="f" strokeweight="1pt"/>
            </w:pict>
          </mc:Fallback>
        </mc:AlternateContent>
      </w:r>
      <w:r>
        <w:rPr>
          <w:noProof/>
          <w:lang w:eastAsia="zh-CN"/>
        </w:rPr>
        <w:drawing>
          <wp:inline distT="0" distB="0" distL="0" distR="0" wp14:anchorId="22941095" wp14:editId="254CE7A4">
            <wp:extent cx="5059680" cy="6880860"/>
            <wp:effectExtent l="0" t="0" r="7620" b="0"/>
            <wp:docPr id="1461731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a:ext>
                      </a:extLst>
                    </a:blip>
                    <a:srcRect/>
                    <a:stretch/>
                  </pic:blipFill>
                  <pic:spPr bwMode="auto">
                    <a:xfrm>
                      <a:off x="0" y="0"/>
                      <a:ext cx="5059680" cy="6880860"/>
                    </a:xfrm>
                    <a:prstGeom prst="rect">
                      <a:avLst/>
                    </a:prstGeom>
                    <a:noFill/>
                    <a:ln>
                      <a:noFill/>
                    </a:ln>
                    <a:extLst>
                      <a:ext uri="{53640926-AAD7-44D8-BBD7-CCE9431645EC}">
                        <a14:shadowObscured xmlns:a14="http://schemas.microsoft.com/office/drawing/2010/main"/>
                      </a:ext>
                    </a:extLst>
                  </pic:spPr>
                </pic:pic>
              </a:graphicData>
            </a:graphic>
          </wp:inline>
        </w:drawing>
      </w:r>
    </w:p>
    <w:p w14:paraId="15AF0011" w14:textId="77777777" w:rsidR="00AF338A" w:rsidRDefault="00AF338A" w:rsidP="00AF338A">
      <w:pPr>
        <w:jc w:val="both"/>
        <w:rPr>
          <w:b/>
          <w:bCs/>
          <w:sz w:val="21"/>
          <w:szCs w:val="18"/>
        </w:rPr>
      </w:pPr>
      <w:r>
        <w:rPr>
          <w:b/>
          <w:bCs/>
          <w:szCs w:val="18"/>
        </w:rPr>
        <w:t xml:space="preserve">Figure 3 | Transdermal delivery mechanism of FCS-OVA. a, </w:t>
      </w:r>
      <w:r>
        <w:rPr>
          <w:szCs w:val="18"/>
        </w:rPr>
        <w:t xml:space="preserve">Schematic illustration showing the measurement of transepithelial electrical resistance. </w:t>
      </w:r>
      <w:r>
        <w:rPr>
          <w:b/>
          <w:bCs/>
          <w:szCs w:val="18"/>
        </w:rPr>
        <w:t>b,</w:t>
      </w:r>
      <w:r>
        <w:rPr>
          <w:szCs w:val="18"/>
        </w:rPr>
        <w:t xml:space="preserve"> Effect of FCS-OVA on the TEER of monolayer cell model (n = 3). </w:t>
      </w:r>
      <w:r>
        <w:rPr>
          <w:b/>
          <w:bCs/>
          <w:szCs w:val="18"/>
        </w:rPr>
        <w:t>c, d,</w:t>
      </w:r>
      <w:r>
        <w:rPr>
          <w:szCs w:val="18"/>
        </w:rPr>
        <w:t xml:space="preserve"> Western blotting images and statistical analysis of tight junction</w:t>
      </w:r>
      <w:r>
        <w:rPr>
          <w:rFonts w:eastAsia="DengXian"/>
          <w:szCs w:val="18"/>
        </w:rPr>
        <w:t>-</w:t>
      </w:r>
      <w:r>
        <w:rPr>
          <w:szCs w:val="18"/>
        </w:rPr>
        <w:t xml:space="preserve">associated proteins in HACAT cells </w:t>
      </w:r>
      <w:bookmarkStart w:id="11" w:name="_Hlk132035340"/>
      <w:r>
        <w:rPr>
          <w:szCs w:val="18"/>
        </w:rPr>
        <w:t>(n = 3)</w:t>
      </w:r>
      <w:bookmarkEnd w:id="11"/>
      <w:r>
        <w:rPr>
          <w:szCs w:val="18"/>
        </w:rPr>
        <w:t xml:space="preserve">. </w:t>
      </w:r>
      <w:r>
        <w:rPr>
          <w:b/>
          <w:bCs/>
          <w:szCs w:val="18"/>
        </w:rPr>
        <w:t xml:space="preserve">e, </w:t>
      </w:r>
      <w:r>
        <w:rPr>
          <w:szCs w:val="18"/>
        </w:rPr>
        <w:t>Immunofluorescence images showing the distribution of tight junction</w:t>
      </w:r>
      <w:r>
        <w:rPr>
          <w:rFonts w:eastAsia="DengXian"/>
          <w:szCs w:val="18"/>
        </w:rPr>
        <w:t>-</w:t>
      </w:r>
      <w:r>
        <w:rPr>
          <w:szCs w:val="18"/>
        </w:rPr>
        <w:t>associated proteins</w:t>
      </w:r>
      <w:r>
        <w:rPr>
          <w:rFonts w:eastAsia="DengXian"/>
          <w:szCs w:val="18"/>
        </w:rPr>
        <w:t>,</w:t>
      </w:r>
      <w:r>
        <w:rPr>
          <w:szCs w:val="18"/>
        </w:rPr>
        <w:t xml:space="preserve"> including E-cadherin, ZO-1, claudin, or </w:t>
      </w:r>
      <w:proofErr w:type="spellStart"/>
      <w:r>
        <w:rPr>
          <w:szCs w:val="18"/>
        </w:rPr>
        <w:t>occludin</w:t>
      </w:r>
      <w:proofErr w:type="spellEnd"/>
      <w:r>
        <w:rPr>
          <w:rFonts w:eastAsia="DengXian"/>
          <w:szCs w:val="18"/>
        </w:rPr>
        <w:t>,</w:t>
      </w:r>
      <w:r>
        <w:rPr>
          <w:szCs w:val="18"/>
        </w:rPr>
        <w:t xml:space="preserve"> on the cell surface after incubation with FCS-OVA NPs. </w:t>
      </w:r>
      <w:r>
        <w:rPr>
          <w:b/>
          <w:bCs/>
          <w:szCs w:val="18"/>
        </w:rPr>
        <w:t xml:space="preserve">f, g, </w:t>
      </w:r>
      <w:r>
        <w:rPr>
          <w:szCs w:val="18"/>
        </w:rPr>
        <w:t>Western blotting images and statistical analysis of</w:t>
      </w:r>
      <w:r>
        <w:rPr>
          <w:rFonts w:eastAsia="DengXian"/>
          <w:szCs w:val="18"/>
        </w:rPr>
        <w:t xml:space="preserve"> the</w:t>
      </w:r>
      <w:r>
        <w:rPr>
          <w:szCs w:val="18"/>
        </w:rPr>
        <w:t xml:space="preserve"> phosphorylated level of MLC in cells after </w:t>
      </w:r>
      <w:r>
        <w:rPr>
          <w:rFonts w:eastAsia="DengXian"/>
          <w:szCs w:val="18"/>
        </w:rPr>
        <w:t>incubation</w:t>
      </w:r>
      <w:r>
        <w:rPr>
          <w:szCs w:val="18"/>
        </w:rPr>
        <w:t xml:space="preserve"> with FCS-OVA NPs.</w:t>
      </w:r>
    </w:p>
    <w:p w14:paraId="75A2463E" w14:textId="77777777" w:rsidR="00AF338A" w:rsidRDefault="00AF338A" w:rsidP="00AF338A">
      <w:r>
        <w:br w:type="page"/>
      </w:r>
    </w:p>
    <w:p w14:paraId="6D6DAFF5" w14:textId="77777777" w:rsidR="00AF338A" w:rsidRDefault="00AF338A" w:rsidP="00AF338A">
      <w:pPr>
        <w:spacing w:line="360" w:lineRule="auto"/>
        <w:ind w:firstLineChars="100"/>
        <w:jc w:val="center"/>
      </w:pPr>
      <w:r>
        <w:rPr>
          <w:noProof/>
          <w:lang w:eastAsia="zh-CN"/>
        </w:rPr>
        <w:lastRenderedPageBreak/>
        <w:drawing>
          <wp:inline distT="0" distB="0" distL="0" distR="0" wp14:anchorId="125F4B4F" wp14:editId="6CD8C92C">
            <wp:extent cx="5424692" cy="5530215"/>
            <wp:effectExtent l="0" t="0" r="5080" b="0"/>
            <wp:docPr id="216473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a:ext>
                      </a:extLst>
                    </a:blip>
                    <a:srcRect/>
                    <a:stretch/>
                  </pic:blipFill>
                  <pic:spPr bwMode="auto">
                    <a:xfrm>
                      <a:off x="0" y="0"/>
                      <a:ext cx="5425706" cy="5531249"/>
                    </a:xfrm>
                    <a:prstGeom prst="rect">
                      <a:avLst/>
                    </a:prstGeom>
                    <a:noFill/>
                    <a:ln>
                      <a:noFill/>
                    </a:ln>
                    <a:extLst>
                      <a:ext uri="{53640926-AAD7-44D8-BBD7-CCE9431645EC}">
                        <a14:shadowObscured xmlns:a14="http://schemas.microsoft.com/office/drawing/2010/main"/>
                      </a:ext>
                    </a:extLst>
                  </pic:spPr>
                </pic:pic>
              </a:graphicData>
            </a:graphic>
          </wp:inline>
        </w:drawing>
      </w:r>
    </w:p>
    <w:p w14:paraId="24043886" w14:textId="77777777" w:rsidR="00AF338A" w:rsidRDefault="00AF338A" w:rsidP="00AF338A">
      <w:pPr>
        <w:jc w:val="both"/>
        <w:rPr>
          <w:sz w:val="32"/>
        </w:rPr>
      </w:pPr>
      <w:r>
        <w:rPr>
          <w:b/>
          <w:bCs/>
          <w:szCs w:val="18"/>
        </w:rPr>
        <w:t>Figure 4 | In vitro immune responses. a, b,</w:t>
      </w:r>
      <w:r>
        <w:t xml:space="preserve"> </w:t>
      </w:r>
      <w:r>
        <w:rPr>
          <w:szCs w:val="18"/>
        </w:rPr>
        <w:t xml:space="preserve">Representative flow cytometry plots and statistical analysis of </w:t>
      </w:r>
      <w:r>
        <w:rPr>
          <w:rFonts w:eastAsia="DengXian"/>
          <w:szCs w:val="18"/>
        </w:rPr>
        <w:t>BMDCs</w:t>
      </w:r>
      <w:r>
        <w:rPr>
          <w:szCs w:val="18"/>
        </w:rPr>
        <w:t xml:space="preserve"> after </w:t>
      </w:r>
      <w:r>
        <w:rPr>
          <w:rFonts w:eastAsia="DengXian"/>
          <w:szCs w:val="18"/>
        </w:rPr>
        <w:t>incubation</w:t>
      </w:r>
      <w:r>
        <w:rPr>
          <w:szCs w:val="18"/>
        </w:rPr>
        <w:t xml:space="preserve"> with OVA, FCS, FCS-OVA NPs, OVA-R837, R837 and FCS-OVA NPs with R837 for </w:t>
      </w:r>
      <w:r>
        <w:rPr>
          <w:rFonts w:eastAsia="DengXian"/>
          <w:szCs w:val="18"/>
        </w:rPr>
        <w:t>12 h</w:t>
      </w:r>
      <w:r>
        <w:rPr>
          <w:szCs w:val="18"/>
        </w:rPr>
        <w:t xml:space="preserve"> (n = 3). </w:t>
      </w:r>
      <w:r>
        <w:rPr>
          <w:b/>
          <w:bCs/>
          <w:szCs w:val="18"/>
        </w:rPr>
        <w:t>c, d, e,</w:t>
      </w:r>
      <w:r>
        <w:rPr>
          <w:szCs w:val="18"/>
        </w:rPr>
        <w:t xml:space="preserve"> The </w:t>
      </w:r>
      <w:r>
        <w:rPr>
          <w:rFonts w:eastAsia="DengXian"/>
          <w:szCs w:val="18"/>
        </w:rPr>
        <w:t>concentrations</w:t>
      </w:r>
      <w:r>
        <w:rPr>
          <w:szCs w:val="18"/>
        </w:rPr>
        <w:t xml:space="preserve"> of IL-6, IL-12p40 and TNF-α secreted by BMDCs evaluated by </w:t>
      </w:r>
      <w:r>
        <w:rPr>
          <w:rFonts w:eastAsia="DengXian"/>
          <w:szCs w:val="18"/>
        </w:rPr>
        <w:t>enzyme</w:t>
      </w:r>
      <w:r>
        <w:rPr>
          <w:szCs w:val="18"/>
        </w:rPr>
        <w:t xml:space="preserve">-linked immunosorbent assay (ELISA) (n = 3). </w:t>
      </w:r>
      <w:r>
        <w:rPr>
          <w:b/>
          <w:bCs/>
          <w:szCs w:val="18"/>
        </w:rPr>
        <w:t>f,</w:t>
      </w:r>
      <w:r>
        <w:rPr>
          <w:szCs w:val="18"/>
        </w:rPr>
        <w:t xml:space="preserve"> Cross-presentation efficiencies of BMDCs after </w:t>
      </w:r>
      <w:r>
        <w:rPr>
          <w:rFonts w:eastAsia="DengXian"/>
          <w:szCs w:val="18"/>
        </w:rPr>
        <w:t>incubation</w:t>
      </w:r>
      <w:r>
        <w:rPr>
          <w:szCs w:val="18"/>
        </w:rPr>
        <w:t xml:space="preserve"> with different materials for </w:t>
      </w:r>
      <w:r>
        <w:rPr>
          <w:rFonts w:eastAsia="DengXian"/>
          <w:szCs w:val="18"/>
        </w:rPr>
        <w:t>12 h</w:t>
      </w:r>
      <w:r>
        <w:rPr>
          <w:szCs w:val="18"/>
        </w:rPr>
        <w:t xml:space="preserve">. </w:t>
      </w:r>
      <w:r>
        <w:rPr>
          <w:b/>
          <w:bCs/>
          <w:szCs w:val="18"/>
        </w:rPr>
        <w:t xml:space="preserve">g, h, </w:t>
      </w:r>
      <w:r>
        <w:rPr>
          <w:szCs w:val="18"/>
        </w:rPr>
        <w:t>Representative flow cytometry plots and statistical analysis showing the proliferation of OT-I CD3</w:t>
      </w:r>
      <w:r>
        <w:rPr>
          <w:szCs w:val="18"/>
          <w:vertAlign w:val="superscript"/>
        </w:rPr>
        <w:t>+</w:t>
      </w:r>
      <w:r>
        <w:rPr>
          <w:szCs w:val="18"/>
        </w:rPr>
        <w:t>CD8</w:t>
      </w:r>
      <w:r>
        <w:rPr>
          <w:szCs w:val="18"/>
          <w:vertAlign w:val="superscript"/>
        </w:rPr>
        <w:t>+</w:t>
      </w:r>
      <w:r>
        <w:rPr>
          <w:szCs w:val="18"/>
        </w:rPr>
        <w:t xml:space="preserve"> T cells after incubation with BMDCs pretreated with OVA, FCS-OVA NPs, OVA-R837 or FCS-OVA NPs with R837 (n = 3).</w:t>
      </w:r>
      <w:bookmarkStart w:id="12" w:name="_Hlk132035392"/>
      <w:r>
        <w:rPr>
          <w:i/>
          <w:iCs/>
          <w:szCs w:val="18"/>
        </w:rPr>
        <w:t xml:space="preserve"> P</w:t>
      </w:r>
      <w:r>
        <w:rPr>
          <w:szCs w:val="18"/>
        </w:rPr>
        <w:t xml:space="preserve"> values were calculated by one-way ANOVA with </w:t>
      </w:r>
      <w:r>
        <w:rPr>
          <w:rFonts w:eastAsia="DengXian"/>
          <w:szCs w:val="18"/>
        </w:rPr>
        <w:t>Tukey</w:t>
      </w:r>
      <w:r>
        <w:rPr>
          <w:rFonts w:eastAsia="DengXian"/>
          <w:szCs w:val="18"/>
        </w:rPr>
        <w:t>’</w:t>
      </w:r>
      <w:r>
        <w:rPr>
          <w:rFonts w:eastAsia="DengXian"/>
          <w:szCs w:val="18"/>
        </w:rPr>
        <w:t xml:space="preserve">s </w:t>
      </w:r>
      <w:r>
        <w:rPr>
          <w:szCs w:val="18"/>
        </w:rPr>
        <w:t>post hoc test, ***p &lt; 0.001, ****p &lt; 0.0001.</w:t>
      </w:r>
      <w:bookmarkEnd w:id="12"/>
    </w:p>
    <w:p w14:paraId="50F94385" w14:textId="77777777" w:rsidR="00AF338A" w:rsidRDefault="00AF338A" w:rsidP="00AF338A">
      <w:r>
        <w:br w:type="page"/>
      </w:r>
    </w:p>
    <w:p w14:paraId="05A0332A" w14:textId="77777777" w:rsidR="00AF338A" w:rsidRDefault="00AF338A" w:rsidP="00AF338A">
      <w:pPr>
        <w:spacing w:line="360" w:lineRule="auto"/>
        <w:ind w:firstLineChars="100"/>
        <w:jc w:val="center"/>
      </w:pPr>
      <w:r>
        <w:rPr>
          <w:noProof/>
          <w:lang w:eastAsia="zh-CN"/>
        </w:rPr>
        <w:lastRenderedPageBreak/>
        <w:drawing>
          <wp:inline distT="0" distB="0" distL="0" distR="0" wp14:anchorId="53AA9505" wp14:editId="068EABB0">
            <wp:extent cx="5274310" cy="5442585"/>
            <wp:effectExtent l="0" t="0" r="2540" b="5715"/>
            <wp:docPr id="576404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5442585"/>
                    </a:xfrm>
                    <a:prstGeom prst="rect">
                      <a:avLst/>
                    </a:prstGeom>
                    <a:noFill/>
                    <a:ln>
                      <a:noFill/>
                    </a:ln>
                  </pic:spPr>
                </pic:pic>
              </a:graphicData>
            </a:graphic>
          </wp:inline>
        </w:drawing>
      </w:r>
    </w:p>
    <w:p w14:paraId="6DD790AC" w14:textId="77777777" w:rsidR="00AF338A" w:rsidRPr="005953FC" w:rsidRDefault="00AF338A" w:rsidP="00AF338A">
      <w:pPr>
        <w:jc w:val="both"/>
        <w:rPr>
          <w:sz w:val="32"/>
        </w:rPr>
      </w:pPr>
      <w:r>
        <w:rPr>
          <w:b/>
          <w:bCs/>
          <w:szCs w:val="18"/>
        </w:rPr>
        <w:t xml:space="preserve">Figure 5 | Needle-free cancer vaccine patch to prevent tumor growth in vivo. a, </w:t>
      </w:r>
      <w:r>
        <w:rPr>
          <w:szCs w:val="18"/>
        </w:rPr>
        <w:t xml:space="preserve">Schematic illustration indicating the process of vaccination. </w:t>
      </w:r>
      <w:r>
        <w:rPr>
          <w:b/>
          <w:bCs/>
          <w:szCs w:val="18"/>
        </w:rPr>
        <w:t xml:space="preserve">b, c, </w:t>
      </w:r>
      <w:r>
        <w:rPr>
          <w:szCs w:val="18"/>
        </w:rPr>
        <w:t xml:space="preserve">Tumor growth curve and survival rate of mice after </w:t>
      </w:r>
      <w:r>
        <w:rPr>
          <w:rFonts w:eastAsia="DengXian"/>
          <w:szCs w:val="18"/>
        </w:rPr>
        <w:t>treatment</w:t>
      </w:r>
      <w:r>
        <w:rPr>
          <w:szCs w:val="18"/>
        </w:rPr>
        <w:t xml:space="preserve"> with different vaccines (n = 5). </w:t>
      </w:r>
      <w:r>
        <w:rPr>
          <w:b/>
          <w:bCs/>
          <w:szCs w:val="18"/>
        </w:rPr>
        <w:t xml:space="preserve">d, e, </w:t>
      </w:r>
      <w:r>
        <w:rPr>
          <w:szCs w:val="18"/>
        </w:rPr>
        <w:t xml:space="preserve">Representative flow cytometry plots and statistical data showing DC maturation and </w:t>
      </w:r>
      <w:r>
        <w:rPr>
          <w:b/>
          <w:bCs/>
          <w:szCs w:val="18"/>
        </w:rPr>
        <w:t>f, g,</w:t>
      </w:r>
      <w:r>
        <w:rPr>
          <w:szCs w:val="18"/>
        </w:rPr>
        <w:t xml:space="preserve"> cross-presentation in the LNs of mice in different groups (n = 4). </w:t>
      </w:r>
      <w:r>
        <w:rPr>
          <w:b/>
          <w:bCs/>
          <w:szCs w:val="18"/>
        </w:rPr>
        <w:t xml:space="preserve">h, </w:t>
      </w:r>
      <w:proofErr w:type="spellStart"/>
      <w:r>
        <w:rPr>
          <w:b/>
          <w:bCs/>
          <w:szCs w:val="18"/>
        </w:rPr>
        <w:t>i</w:t>
      </w:r>
      <w:proofErr w:type="spellEnd"/>
      <w:r>
        <w:rPr>
          <w:szCs w:val="18"/>
        </w:rPr>
        <w:t>,</w:t>
      </w:r>
      <w:r>
        <w:t xml:space="preserve"> </w:t>
      </w:r>
      <w:r>
        <w:rPr>
          <w:szCs w:val="18"/>
        </w:rPr>
        <w:t>Representative flow cytometry plots and statistical data showing the percentages of IFN-γ-positive cells in CD8</w:t>
      </w:r>
      <w:r>
        <w:rPr>
          <w:szCs w:val="18"/>
          <w:vertAlign w:val="superscript"/>
        </w:rPr>
        <w:t>+</w:t>
      </w:r>
      <w:r>
        <w:rPr>
          <w:szCs w:val="18"/>
        </w:rPr>
        <w:t xml:space="preserve"> T cells after restimulating post-immunized splenocytes (n = 4). </w:t>
      </w:r>
      <w:r>
        <w:rPr>
          <w:i/>
          <w:iCs/>
          <w:szCs w:val="18"/>
        </w:rPr>
        <w:t xml:space="preserve">P </w:t>
      </w:r>
      <w:r>
        <w:rPr>
          <w:szCs w:val="18"/>
        </w:rPr>
        <w:t>values were calculated by two-tailed Student’s t test, *p &lt; 0.05, **p &lt; 0.01, ****p &lt; 0.0001.</w:t>
      </w:r>
    </w:p>
    <w:p w14:paraId="0DBE1687" w14:textId="77777777" w:rsidR="00AF338A" w:rsidRPr="00AF338A" w:rsidRDefault="00AF338A" w:rsidP="00AF338A">
      <w:pPr>
        <w:jc w:val="both"/>
        <w:rPr>
          <w:rFonts w:ascii="Times New Roman" w:eastAsia="游明朝" w:hAnsi="Times New Roman"/>
          <w:sz w:val="24"/>
          <w:szCs w:val="24"/>
        </w:rPr>
      </w:pPr>
    </w:p>
    <w:sectPr w:rsidR="00AF338A" w:rsidRPr="00AF33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F2673" w14:textId="77777777" w:rsidR="00D069B8" w:rsidRDefault="00D069B8" w:rsidP="00E74EBC">
      <w:pPr>
        <w:spacing w:line="240" w:lineRule="auto"/>
        <w:rPr>
          <w:rFonts w:hint="default"/>
        </w:rPr>
      </w:pPr>
      <w:r>
        <w:separator/>
      </w:r>
    </w:p>
  </w:endnote>
  <w:endnote w:type="continuationSeparator" w:id="0">
    <w:p w14:paraId="7A15A62D" w14:textId="77777777" w:rsidR="00D069B8" w:rsidRDefault="00D069B8" w:rsidP="00E74EBC">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7D3F1" w14:textId="77777777" w:rsidR="00D069B8" w:rsidRDefault="00D069B8" w:rsidP="00E74EBC">
      <w:pPr>
        <w:spacing w:line="240" w:lineRule="auto"/>
        <w:rPr>
          <w:rFonts w:hint="default"/>
        </w:rPr>
      </w:pPr>
      <w:r>
        <w:separator/>
      </w:r>
    </w:p>
  </w:footnote>
  <w:footnote w:type="continuationSeparator" w:id="0">
    <w:p w14:paraId="278DA3CC" w14:textId="77777777" w:rsidR="00D069B8" w:rsidRDefault="00D069B8" w:rsidP="00E74EBC">
      <w:pPr>
        <w:spacing w:line="240" w:lineRule="auto"/>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F47AB"/>
    <w:multiLevelType w:val="hybridMultilevel"/>
    <w:tmpl w:val="5E3C910E"/>
    <w:lvl w:ilvl="0" w:tplc="623C13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F16659B"/>
    <w:multiLevelType w:val="hybridMultilevel"/>
    <w:tmpl w:val="5A200C82"/>
    <w:lvl w:ilvl="0" w:tplc="54A263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106621"/>
    <w:multiLevelType w:val="hybridMultilevel"/>
    <w:tmpl w:val="3A040020"/>
    <w:lvl w:ilvl="0" w:tplc="61FA339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065F08"/>
    <w:multiLevelType w:val="hybridMultilevel"/>
    <w:tmpl w:val="3458A4FE"/>
    <w:lvl w:ilvl="0" w:tplc="EB34D34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8964685">
    <w:abstractNumId w:val="1"/>
  </w:num>
  <w:num w:numId="2" w16cid:durableId="480969424">
    <w:abstractNumId w:val="0"/>
  </w:num>
  <w:num w:numId="3" w16cid:durableId="1746680973">
    <w:abstractNumId w:val="2"/>
  </w:num>
  <w:num w:numId="4" w16cid:durableId="1135026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EA2"/>
    <w:rsid w:val="000772EF"/>
    <w:rsid w:val="00081A58"/>
    <w:rsid w:val="000C2628"/>
    <w:rsid w:val="001529B7"/>
    <w:rsid w:val="00171BD1"/>
    <w:rsid w:val="002248F6"/>
    <w:rsid w:val="00262CC0"/>
    <w:rsid w:val="002A1F39"/>
    <w:rsid w:val="002A68F0"/>
    <w:rsid w:val="002D2AAB"/>
    <w:rsid w:val="003A4BCB"/>
    <w:rsid w:val="00401EAD"/>
    <w:rsid w:val="00402AD6"/>
    <w:rsid w:val="004555BB"/>
    <w:rsid w:val="004A6905"/>
    <w:rsid w:val="004B149D"/>
    <w:rsid w:val="005A5076"/>
    <w:rsid w:val="005E2EA2"/>
    <w:rsid w:val="006A1820"/>
    <w:rsid w:val="006E2A6F"/>
    <w:rsid w:val="007108D0"/>
    <w:rsid w:val="007C0900"/>
    <w:rsid w:val="007D1BFE"/>
    <w:rsid w:val="0085160E"/>
    <w:rsid w:val="00860314"/>
    <w:rsid w:val="00896AE3"/>
    <w:rsid w:val="008C0709"/>
    <w:rsid w:val="00990665"/>
    <w:rsid w:val="009C410C"/>
    <w:rsid w:val="00A24255"/>
    <w:rsid w:val="00A411D3"/>
    <w:rsid w:val="00A758D5"/>
    <w:rsid w:val="00A826A1"/>
    <w:rsid w:val="00AE7FA1"/>
    <w:rsid w:val="00AF338A"/>
    <w:rsid w:val="00B00524"/>
    <w:rsid w:val="00B00BD1"/>
    <w:rsid w:val="00B71E69"/>
    <w:rsid w:val="00CA0835"/>
    <w:rsid w:val="00D069B8"/>
    <w:rsid w:val="00DB70C7"/>
    <w:rsid w:val="00DF192A"/>
    <w:rsid w:val="00E74EBC"/>
    <w:rsid w:val="00EB4AA1"/>
    <w:rsid w:val="00EC5B7A"/>
    <w:rsid w:val="00ED2140"/>
    <w:rsid w:val="00FF6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0E400C"/>
  <w15:chartTrackingRefBased/>
  <w15:docId w15:val="{E830D447-343C-4F08-BCA4-B4A38B97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EA2"/>
    <w:pPr>
      <w:spacing w:line="0" w:lineRule="atLeast"/>
      <w:ind w:firstLine="200"/>
    </w:pPr>
    <w:rPr>
      <w:rFonts w:ascii="Times" w:eastAsia="Times" w:hAnsi="Century" w:cs="Times New Roman" w:hint="eastAsia"/>
      <w:kern w:val="0"/>
      <w:sz w:val="20"/>
      <w:szCs w:val="20"/>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A6F"/>
    <w:pPr>
      <w:ind w:firstLineChars="200" w:firstLine="420"/>
    </w:pPr>
  </w:style>
  <w:style w:type="character" w:styleId="a4">
    <w:name w:val="Hyperlink"/>
    <w:basedOn w:val="a0"/>
    <w:uiPriority w:val="99"/>
    <w:unhideWhenUsed/>
    <w:rsid w:val="00A826A1"/>
    <w:rPr>
      <w:color w:val="0563C1" w:themeColor="hyperlink"/>
      <w:u w:val="single"/>
    </w:rPr>
  </w:style>
  <w:style w:type="paragraph" w:styleId="a5">
    <w:name w:val="header"/>
    <w:basedOn w:val="a"/>
    <w:link w:val="a6"/>
    <w:uiPriority w:val="99"/>
    <w:unhideWhenUsed/>
    <w:rsid w:val="00E74EBC"/>
    <w:pPr>
      <w:tabs>
        <w:tab w:val="center" w:pos="4252"/>
        <w:tab w:val="right" w:pos="8504"/>
      </w:tabs>
      <w:snapToGrid w:val="0"/>
    </w:pPr>
  </w:style>
  <w:style w:type="character" w:customStyle="1" w:styleId="a6">
    <w:name w:val="ヘッダー (文字)"/>
    <w:basedOn w:val="a0"/>
    <w:link w:val="a5"/>
    <w:uiPriority w:val="99"/>
    <w:rsid w:val="00E74EBC"/>
    <w:rPr>
      <w:rFonts w:ascii="Times" w:eastAsia="Times" w:hAnsi="Century" w:cs="Times New Roman"/>
      <w:kern w:val="0"/>
      <w:sz w:val="20"/>
      <w:szCs w:val="20"/>
      <w:lang w:eastAsia="ja-JP"/>
    </w:rPr>
  </w:style>
  <w:style w:type="paragraph" w:styleId="a7">
    <w:name w:val="footer"/>
    <w:basedOn w:val="a"/>
    <w:link w:val="a8"/>
    <w:uiPriority w:val="99"/>
    <w:unhideWhenUsed/>
    <w:rsid w:val="00E74EBC"/>
    <w:pPr>
      <w:tabs>
        <w:tab w:val="center" w:pos="4252"/>
        <w:tab w:val="right" w:pos="8504"/>
      </w:tabs>
      <w:snapToGrid w:val="0"/>
    </w:pPr>
  </w:style>
  <w:style w:type="character" w:customStyle="1" w:styleId="a8">
    <w:name w:val="フッター (文字)"/>
    <w:basedOn w:val="a0"/>
    <w:link w:val="a7"/>
    <w:uiPriority w:val="99"/>
    <w:rsid w:val="00E74EBC"/>
    <w:rPr>
      <w:rFonts w:ascii="Times" w:eastAsia="Times" w:hAnsi="Century" w:cs="Times New Roman"/>
      <w:kern w:val="0"/>
      <w:sz w:val="20"/>
      <w:szCs w:val="20"/>
      <w:lang w:eastAsia="ja-JP"/>
    </w:rPr>
  </w:style>
  <w:style w:type="character" w:styleId="a9">
    <w:name w:val="Unresolved Mention"/>
    <w:basedOn w:val="a0"/>
    <w:uiPriority w:val="99"/>
    <w:semiHidden/>
    <w:unhideWhenUsed/>
    <w:rsid w:val="00A758D5"/>
    <w:rPr>
      <w:color w:val="605E5C"/>
      <w:shd w:val="clear" w:color="auto" w:fill="E1DFDD"/>
    </w:rPr>
  </w:style>
  <w:style w:type="paragraph" w:customStyle="1" w:styleId="Tableofcontents">
    <w:name w:val="Table of contents"/>
    <w:basedOn w:val="a"/>
    <w:autoRedefine/>
    <w:rsid w:val="00AF338A"/>
    <w:pPr>
      <w:spacing w:line="360" w:lineRule="auto"/>
      <w:ind w:firstLine="0"/>
    </w:pPr>
    <w:rPr>
      <w:rFonts w:ascii="Times New Roman" w:eastAsiaTheme="minorEastAsia" w:hAnsi="Times New Roman" w:hint="default"/>
      <w:sz w:val="24"/>
      <w:szCs w:val="24"/>
      <w:lang w:eastAsia="zh-CN"/>
    </w:rPr>
  </w:style>
  <w:style w:type="paragraph" w:customStyle="1" w:styleId="Acknowledgements">
    <w:name w:val="Acknowledgements"/>
    <w:basedOn w:val="a"/>
    <w:rsid w:val="00AF338A"/>
    <w:pPr>
      <w:spacing w:line="240" w:lineRule="auto"/>
      <w:ind w:firstLine="0"/>
    </w:pPr>
    <w:rPr>
      <w:rFonts w:ascii="Times New Roman" w:eastAsia="ＭＳ 明朝" w:hAnsi="Times New Roman" w:hint="default"/>
      <w:sz w:val="24"/>
      <w:szCs w:val="24"/>
    </w:rPr>
  </w:style>
  <w:style w:type="character" w:customStyle="1" w:styleId="EndNoteBibliography">
    <w:name w:val="EndNote Bibliography 字符"/>
    <w:basedOn w:val="a0"/>
    <w:link w:val="EndNoteBibliography0"/>
    <w:locked/>
    <w:rsid w:val="00AF338A"/>
    <w:rPr>
      <w:rFonts w:eastAsia="DengXian"/>
      <w:noProof/>
      <w:sz w:val="22"/>
    </w:rPr>
  </w:style>
  <w:style w:type="paragraph" w:customStyle="1" w:styleId="EndNoteBibliography0">
    <w:name w:val="EndNote Bibliography"/>
    <w:basedOn w:val="a"/>
    <w:link w:val="EndNoteBibliography"/>
    <w:rsid w:val="00AF338A"/>
    <w:pPr>
      <w:widowControl w:val="0"/>
      <w:spacing w:line="240" w:lineRule="auto"/>
      <w:ind w:firstLine="0"/>
      <w:jc w:val="both"/>
    </w:pPr>
    <w:rPr>
      <w:rFonts w:asciiTheme="minorHAnsi" w:eastAsia="DengXian" w:hAnsiTheme="minorHAnsi" w:cstheme="minorBidi" w:hint="default"/>
      <w:noProof/>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enqian@suda.edu.cn"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4908</Words>
  <Characters>27976</Characters>
  <Application>Microsoft Office Word</Application>
  <DocSecurity>0</DocSecurity>
  <Lines>233</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Guoping Chen</cp:lastModifiedBy>
  <cp:revision>4</cp:revision>
  <dcterms:created xsi:type="dcterms:W3CDTF">2024-10-24T01:07:00Z</dcterms:created>
  <dcterms:modified xsi:type="dcterms:W3CDTF">2024-10-24T01:16:00Z</dcterms:modified>
</cp:coreProperties>
</file>