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EF64B" w14:textId="6D04DCD7" w:rsidR="00851F89" w:rsidRPr="00011C21" w:rsidRDefault="00624486" w:rsidP="00EC7F10">
      <w:pPr>
        <w:pStyle w:val="10"/>
        <w:spacing w:line="360" w:lineRule="auto"/>
        <w:ind w:rightChars="0" w:right="-2"/>
        <w:jc w:val="both"/>
        <w:rPr>
          <w:rFonts w:eastAsia="ＭＳ 明朝"/>
        </w:rPr>
      </w:pPr>
      <w:r w:rsidRPr="002E4345">
        <w:t>Growth dynamics of selective-area-grown rutile-type SnO</w:t>
      </w:r>
      <w:r w:rsidRPr="002E4345">
        <w:rPr>
          <w:vertAlign w:val="subscript"/>
        </w:rPr>
        <w:t>2</w:t>
      </w:r>
      <w:r w:rsidRPr="002E4345">
        <w:t xml:space="preserve"> on TiO</w:t>
      </w:r>
      <w:r w:rsidRPr="002E4345">
        <w:rPr>
          <w:vertAlign w:val="subscript"/>
        </w:rPr>
        <w:t>2</w:t>
      </w:r>
      <w:r w:rsidRPr="002E4345">
        <w:t xml:space="preserve"> (1</w:t>
      </w:r>
      <w:r w:rsidRPr="00011C21">
        <w:t>10) substrate</w:t>
      </w:r>
    </w:p>
    <w:p w14:paraId="360B5A69" w14:textId="71B4D05C" w:rsidR="00363FE3" w:rsidRPr="00011C21" w:rsidRDefault="00624486" w:rsidP="00EC7F10">
      <w:pPr>
        <w:pStyle w:val="AUTHORS451"/>
        <w:spacing w:before="100" w:beforeAutospacing="1" w:line="360" w:lineRule="auto"/>
        <w:ind w:rightChars="0" w:right="-2"/>
        <w:rPr>
          <w:rFonts w:eastAsiaTheme="minorEastAsia" w:cs="Times New Roman"/>
          <w:sz w:val="24"/>
          <w:szCs w:val="24"/>
        </w:rPr>
      </w:pPr>
      <w:r w:rsidRPr="00011C21">
        <w:rPr>
          <w:rFonts w:cs="Times New Roman"/>
          <w:sz w:val="24"/>
          <w:szCs w:val="24"/>
        </w:rPr>
        <w:t>Hitoshi Takane</w:t>
      </w:r>
      <w:r w:rsidR="00077476" w:rsidRPr="00011C21">
        <w:rPr>
          <w:rFonts w:eastAsia="ＭＳ 明朝" w:cs="Times New Roman"/>
          <w:sz w:val="24"/>
          <w:szCs w:val="24"/>
          <w:vertAlign w:val="superscript"/>
        </w:rPr>
        <w:t>1</w:t>
      </w:r>
      <w:r w:rsidR="00036544" w:rsidRPr="00011C21">
        <w:rPr>
          <w:rFonts w:cs="Times New Roman"/>
          <w:sz w:val="24"/>
          <w:szCs w:val="24"/>
        </w:rPr>
        <w:t xml:space="preserve">*, </w:t>
      </w:r>
      <w:r w:rsidRPr="00011C21">
        <w:rPr>
          <w:rFonts w:cs="Times New Roman"/>
          <w:sz w:val="24"/>
          <w:szCs w:val="24"/>
        </w:rPr>
        <w:t>Takayoshi Oshima</w:t>
      </w:r>
      <w:r w:rsidR="00077476" w:rsidRPr="00011C21">
        <w:rPr>
          <w:rFonts w:eastAsiaTheme="minorEastAsia" w:cs="Times New Roman"/>
          <w:sz w:val="24"/>
          <w:szCs w:val="24"/>
          <w:vertAlign w:val="superscript"/>
        </w:rPr>
        <w:t>2</w:t>
      </w:r>
      <w:r w:rsidRPr="00011C21">
        <w:rPr>
          <w:rFonts w:cs="Times New Roman"/>
          <w:sz w:val="24"/>
          <w:szCs w:val="24"/>
        </w:rPr>
        <w:t>*</w:t>
      </w:r>
      <w:r w:rsidR="00A60E38" w:rsidRPr="00011C21">
        <w:rPr>
          <w:rFonts w:cs="Times New Roman"/>
          <w:sz w:val="24"/>
          <w:szCs w:val="24"/>
        </w:rPr>
        <w:t xml:space="preserve">, </w:t>
      </w:r>
      <w:r w:rsidRPr="00011C21">
        <w:rPr>
          <w:rFonts w:cs="Times New Roman"/>
          <w:sz w:val="24"/>
          <w:szCs w:val="24"/>
        </w:rPr>
        <w:t>Katsuhisa Tanaka</w:t>
      </w:r>
      <w:r w:rsidRPr="00011C21">
        <w:rPr>
          <w:rFonts w:cs="Times New Roman"/>
          <w:sz w:val="24"/>
          <w:szCs w:val="24"/>
          <w:vertAlign w:val="superscript"/>
        </w:rPr>
        <w:t>1</w:t>
      </w:r>
      <w:r w:rsidRPr="00011C21">
        <w:rPr>
          <w:rFonts w:cs="Times New Roman"/>
          <w:sz w:val="24"/>
          <w:szCs w:val="24"/>
        </w:rPr>
        <w:t xml:space="preserve">, </w:t>
      </w:r>
      <w:r w:rsidR="00036544" w:rsidRPr="00011C21">
        <w:rPr>
          <w:rFonts w:cs="Times New Roman"/>
          <w:sz w:val="24"/>
          <w:szCs w:val="24"/>
        </w:rPr>
        <w:t xml:space="preserve">and </w:t>
      </w:r>
      <w:r w:rsidRPr="00011C21">
        <w:rPr>
          <w:rFonts w:cs="Times New Roman"/>
          <w:sz w:val="24"/>
          <w:szCs w:val="24"/>
        </w:rPr>
        <w:t>Kentaro Kaneko</w:t>
      </w:r>
      <w:r w:rsidR="00077476" w:rsidRPr="00011C21">
        <w:rPr>
          <w:rFonts w:eastAsiaTheme="minorEastAsia" w:cs="Times New Roman"/>
          <w:sz w:val="24"/>
          <w:szCs w:val="24"/>
          <w:vertAlign w:val="superscript"/>
        </w:rPr>
        <w:t>3</w:t>
      </w:r>
    </w:p>
    <w:p w14:paraId="6C984CB4" w14:textId="02694FC4" w:rsidR="00363073" w:rsidRPr="00011C21" w:rsidRDefault="00077476" w:rsidP="00EC7F10">
      <w:pPr>
        <w:pStyle w:val="AFFILIATIONS45"/>
        <w:spacing w:beforeLines="50" w:before="120" w:line="360" w:lineRule="auto"/>
        <w:ind w:rightChars="0" w:right="-2"/>
        <w:rPr>
          <w:rFonts w:ascii="Times New Roman" w:eastAsia="ＭＳ 明朝" w:hAnsi="Times New Roman" w:cs="Times New Roman"/>
          <w:sz w:val="24"/>
          <w:szCs w:val="24"/>
        </w:rPr>
      </w:pPr>
      <w:r w:rsidRPr="00011C21">
        <w:rPr>
          <w:rFonts w:ascii="Times New Roman" w:eastAsiaTheme="minorEastAsia" w:hAnsi="Times New Roman" w:cs="Times New Roman"/>
          <w:sz w:val="24"/>
          <w:szCs w:val="24"/>
          <w:vertAlign w:val="superscript"/>
        </w:rPr>
        <w:t>1</w:t>
      </w:r>
      <w:r w:rsidR="00624486" w:rsidRPr="00011C21">
        <w:rPr>
          <w:rFonts w:ascii="Times New Roman" w:hAnsi="Times New Roman" w:cs="Times New Roman"/>
          <w:sz w:val="24"/>
          <w:szCs w:val="24"/>
        </w:rPr>
        <w:t>Department of Material Chemistry, Kyoto University, Kyoto, Kyoto, 615-8510, Japan</w:t>
      </w:r>
    </w:p>
    <w:p w14:paraId="29C38389" w14:textId="601A9CFC" w:rsidR="00036544" w:rsidRPr="00011C21" w:rsidRDefault="00077476" w:rsidP="00EC7F10">
      <w:pPr>
        <w:pStyle w:val="AFFILIATIONS45"/>
        <w:spacing w:line="360" w:lineRule="auto"/>
        <w:ind w:rightChars="0" w:right="-2"/>
        <w:rPr>
          <w:rFonts w:ascii="Times New Roman" w:hAnsi="Times New Roman" w:cs="Times New Roman"/>
          <w:sz w:val="24"/>
          <w:szCs w:val="24"/>
        </w:rPr>
      </w:pPr>
      <w:r w:rsidRPr="00011C21">
        <w:rPr>
          <w:rFonts w:ascii="Times New Roman" w:eastAsiaTheme="minorEastAsia" w:hAnsi="Times New Roman" w:cs="Times New Roman"/>
          <w:sz w:val="24"/>
          <w:szCs w:val="24"/>
          <w:vertAlign w:val="superscript"/>
        </w:rPr>
        <w:t>2</w:t>
      </w:r>
      <w:r w:rsidR="00624486" w:rsidRPr="00011C21">
        <w:rPr>
          <w:rFonts w:ascii="Times New Roman" w:hAnsi="Times New Roman" w:cs="Times New Roman"/>
          <w:sz w:val="24"/>
          <w:szCs w:val="24"/>
        </w:rPr>
        <w:t>Research Center for Functional Materials, National Institute for Materials Science, Tsukuba, Ibaraki 305-0044, Japan</w:t>
      </w:r>
    </w:p>
    <w:p w14:paraId="4C99F935" w14:textId="6ADF74FE" w:rsidR="00A946B1" w:rsidRPr="00011C21" w:rsidRDefault="00077476" w:rsidP="00EC7F10">
      <w:pPr>
        <w:pStyle w:val="AFFILIATIONS45"/>
        <w:spacing w:line="360" w:lineRule="auto"/>
        <w:ind w:rightChars="0" w:right="-2"/>
        <w:rPr>
          <w:rFonts w:ascii="Times New Roman" w:eastAsia="ＭＳ 明朝" w:hAnsi="Times New Roman" w:cs="Times New Roman"/>
          <w:sz w:val="24"/>
          <w:szCs w:val="24"/>
        </w:rPr>
      </w:pPr>
      <w:r w:rsidRPr="00011C21">
        <w:rPr>
          <w:rFonts w:ascii="Times New Roman" w:eastAsiaTheme="minorEastAsia" w:hAnsi="Times New Roman" w:cs="Times New Roman"/>
          <w:sz w:val="24"/>
          <w:szCs w:val="24"/>
          <w:vertAlign w:val="superscript"/>
        </w:rPr>
        <w:t>3</w:t>
      </w:r>
      <w:r w:rsidR="00624486" w:rsidRPr="00011C21">
        <w:rPr>
          <w:rFonts w:ascii="Times New Roman" w:hAnsi="Times New Roman" w:cs="Times New Roman"/>
          <w:sz w:val="24"/>
          <w:szCs w:val="24"/>
        </w:rPr>
        <w:t>Research Organization of Science and Technology, Ritsumeikan University, Kusatsu, Shiga 525-8577, Japan</w:t>
      </w:r>
    </w:p>
    <w:p w14:paraId="49FA494F" w14:textId="135951FC" w:rsidR="009C0E90" w:rsidRPr="00011C21" w:rsidRDefault="00A2597B" w:rsidP="00EC7F10">
      <w:pPr>
        <w:pStyle w:val="Email45"/>
        <w:spacing w:beforeLines="50" w:before="120" w:line="360" w:lineRule="auto"/>
        <w:ind w:rightChars="0" w:right="-2"/>
        <w:jc w:val="both"/>
        <w:rPr>
          <w:rFonts w:eastAsia="ＭＳ 明朝" w:cs="Times New Roman"/>
          <w:i w:val="0"/>
          <w:sz w:val="24"/>
          <w:szCs w:val="24"/>
        </w:rPr>
      </w:pPr>
      <w:r w:rsidRPr="00011C21">
        <w:rPr>
          <w:rFonts w:cs="Times New Roman"/>
          <w:i w:val="0"/>
          <w:sz w:val="24"/>
          <w:szCs w:val="24"/>
        </w:rPr>
        <w:t xml:space="preserve">E-mail: </w:t>
      </w:r>
      <w:r w:rsidR="00624486" w:rsidRPr="00011C21">
        <w:rPr>
          <w:rFonts w:cs="Times New Roman"/>
          <w:i w:val="0"/>
          <w:sz w:val="24"/>
          <w:szCs w:val="24"/>
        </w:rPr>
        <w:t>takane.hitoshi.33v@st.kyoto-u.ac.jp</w:t>
      </w:r>
      <w:r w:rsidRPr="00011C21">
        <w:rPr>
          <w:rFonts w:cs="Times New Roman"/>
          <w:i w:val="0"/>
          <w:sz w:val="24"/>
          <w:szCs w:val="24"/>
        </w:rPr>
        <w:t xml:space="preserve">, </w:t>
      </w:r>
      <w:r w:rsidR="00624486" w:rsidRPr="00011C21">
        <w:rPr>
          <w:rFonts w:cs="Times New Roman"/>
          <w:i w:val="0"/>
          <w:sz w:val="24"/>
          <w:szCs w:val="24"/>
        </w:rPr>
        <w:t>OSHIMA.Takayoshi@nims.go.jp</w:t>
      </w:r>
    </w:p>
    <w:p w14:paraId="21DB3A7C" w14:textId="77777777" w:rsidR="00363073" w:rsidRPr="00011C21" w:rsidRDefault="00363073" w:rsidP="00EC0CCC">
      <w:pPr>
        <w:pStyle w:val="Email45"/>
        <w:spacing w:line="360" w:lineRule="auto"/>
        <w:ind w:rightChars="0" w:right="-2"/>
        <w:jc w:val="both"/>
        <w:rPr>
          <w:rFonts w:eastAsia="ＭＳ 明朝" w:cs="Times New Roman"/>
          <w:i w:val="0"/>
          <w:sz w:val="24"/>
          <w:szCs w:val="24"/>
        </w:rPr>
      </w:pPr>
    </w:p>
    <w:p w14:paraId="73DA6F4B" w14:textId="48EE4497" w:rsidR="00437BEC" w:rsidRPr="00011C21" w:rsidRDefault="004D4B39" w:rsidP="00437BEC">
      <w:pPr>
        <w:widowControl/>
        <w:spacing w:line="360" w:lineRule="auto"/>
        <w:rPr>
          <w:rFonts w:ascii="Times New Roman" w:eastAsia="Times New Roman" w:hAnsi="Times New Roman"/>
          <w:kern w:val="0"/>
          <w:sz w:val="24"/>
          <w:lang w:eastAsia="en-US"/>
        </w:rPr>
      </w:pPr>
      <w:r w:rsidRPr="00011C21">
        <w:rPr>
          <w:rFonts w:ascii="Times New Roman" w:eastAsia="Times New Roman" w:hAnsi="Times New Roman"/>
          <w:kern w:val="0"/>
          <w:sz w:val="24"/>
          <w:lang w:eastAsia="en-US"/>
        </w:rPr>
        <w:t>We demonstrated</w:t>
      </w:r>
      <w:r w:rsidR="007B3CEA" w:rsidRPr="00011C21">
        <w:rPr>
          <w:rFonts w:ascii="Times New Roman" w:eastAsia="Times New Roman" w:hAnsi="Times New Roman"/>
          <w:kern w:val="0"/>
          <w:sz w:val="24"/>
          <w:lang w:eastAsia="en-US"/>
        </w:rPr>
        <w:t xml:space="preserve"> </w:t>
      </w:r>
      <w:r w:rsidRPr="00011C21">
        <w:rPr>
          <w:rFonts w:ascii="Times New Roman" w:eastAsia="Times New Roman" w:hAnsi="Times New Roman"/>
          <w:kern w:val="0"/>
          <w:sz w:val="24"/>
          <w:lang w:eastAsia="en-US"/>
        </w:rPr>
        <w:t>s</w:t>
      </w:r>
      <w:r w:rsidRPr="00011C21">
        <w:rPr>
          <w:rFonts w:ascii="Times New Roman" w:hAnsi="Times New Roman"/>
          <w:kern w:val="0"/>
          <w:sz w:val="24"/>
        </w:rPr>
        <w:t>elective-area growth of r-SnO</w:t>
      </w:r>
      <w:r w:rsidRPr="00011C21">
        <w:rPr>
          <w:rFonts w:ascii="Times New Roman" w:hAnsi="Times New Roman"/>
          <w:kern w:val="0"/>
          <w:sz w:val="24"/>
          <w:vertAlign w:val="subscript"/>
        </w:rPr>
        <w:t>2</w:t>
      </w:r>
      <w:r w:rsidRPr="00011C21">
        <w:rPr>
          <w:rFonts w:ascii="Times New Roman" w:hAnsi="Times New Roman"/>
          <w:kern w:val="0"/>
          <w:sz w:val="24"/>
        </w:rPr>
        <w:t xml:space="preserve"> on a SiO</w:t>
      </w:r>
      <w:r w:rsidRPr="00011C21">
        <w:rPr>
          <w:rFonts w:ascii="Times New Roman" w:hAnsi="Times New Roman"/>
          <w:kern w:val="0"/>
          <w:sz w:val="24"/>
          <w:vertAlign w:val="subscript"/>
        </w:rPr>
        <w:t>2</w:t>
      </w:r>
      <w:r w:rsidRPr="00011C21">
        <w:rPr>
          <w:rFonts w:ascii="Times New Roman" w:hAnsi="Times New Roman"/>
          <w:kern w:val="0"/>
          <w:sz w:val="24"/>
        </w:rPr>
        <w:t>-masked r-TiO</w:t>
      </w:r>
      <w:r w:rsidRPr="00011C21">
        <w:rPr>
          <w:rFonts w:ascii="Times New Roman" w:hAnsi="Times New Roman"/>
          <w:kern w:val="0"/>
          <w:sz w:val="24"/>
          <w:vertAlign w:val="subscript"/>
        </w:rPr>
        <w:t>2</w:t>
      </w:r>
      <w:r w:rsidRPr="00011C21">
        <w:rPr>
          <w:rFonts w:ascii="Times New Roman" w:hAnsi="Times New Roman"/>
          <w:kern w:val="0"/>
          <w:sz w:val="24"/>
        </w:rPr>
        <w:t xml:space="preserve"> (110) substrate</w:t>
      </w:r>
      <w:r w:rsidRPr="00011C21">
        <w:rPr>
          <w:rFonts w:ascii="Times New Roman" w:eastAsia="Times New Roman" w:hAnsi="Times New Roman"/>
          <w:kern w:val="0"/>
          <w:sz w:val="24"/>
          <w:lang w:eastAsia="en-US"/>
        </w:rPr>
        <w:t>. The</w:t>
      </w:r>
      <w:r w:rsidR="00B57EF6" w:rsidRPr="00011C21">
        <w:rPr>
          <w:rFonts w:ascii="Times New Roman" w:eastAsia="Times New Roman" w:hAnsi="Times New Roman"/>
          <w:kern w:val="0"/>
          <w:sz w:val="24"/>
          <w:lang w:eastAsia="en-US"/>
        </w:rPr>
        <w:t xml:space="preserve"> </w:t>
      </w:r>
      <w:r w:rsidRPr="00011C21">
        <w:rPr>
          <w:rFonts w:ascii="Times New Roman" w:eastAsia="Times New Roman" w:hAnsi="Times New Roman"/>
          <w:kern w:val="0"/>
          <w:sz w:val="24"/>
          <w:lang w:eastAsia="en-US"/>
        </w:rPr>
        <w:t>heteroepitaxy on a window started with Volmer</w:t>
      </w:r>
      <w:r w:rsidR="007B3CEA" w:rsidRPr="00011C21">
        <w:rPr>
          <w:rFonts w:ascii="Times New Roman" w:eastAsia="Times New Roman" w:hAnsi="Times New Roman"/>
          <w:kern w:val="0"/>
          <w:sz w:val="24"/>
          <w:lang w:eastAsia="en-US"/>
        </w:rPr>
        <w:t>–</w:t>
      </w:r>
      <w:r w:rsidRPr="00011C21">
        <w:rPr>
          <w:rFonts w:ascii="Times New Roman" w:eastAsia="Times New Roman" w:hAnsi="Times New Roman"/>
          <w:kern w:val="0"/>
          <w:sz w:val="24"/>
          <w:lang w:eastAsia="en-US"/>
        </w:rPr>
        <w:t>Weber mode to grow</w:t>
      </w:r>
      <w:r w:rsidRPr="00011C21">
        <w:rPr>
          <w:rFonts w:ascii="Times New Roman" w:eastAsia="Times New Roman" w:hAnsi="Times New Roman"/>
          <w:kern w:val="0"/>
          <w:sz w:val="24"/>
          <w:lang w:val="en" w:eastAsia="en-US"/>
        </w:rPr>
        <w:t xml:space="preserve"> </w:t>
      </w:r>
      <w:r w:rsidRPr="00011C21">
        <w:rPr>
          <w:rFonts w:ascii="Times New Roman" w:eastAsia="Times New Roman" w:hAnsi="Times New Roman"/>
          <w:kern w:val="0"/>
          <w:sz w:val="24"/>
          <w:lang w:eastAsia="en-US"/>
        </w:rPr>
        <w:t xml:space="preserve">islands with {100}-, </w:t>
      </w:r>
      <w:r w:rsidR="00362DD9" w:rsidRPr="00011C21">
        <w:rPr>
          <w:rFonts w:ascii="Times New Roman" w:hAnsi="Times New Roman"/>
          <w:kern w:val="0"/>
          <w:sz w:val="24"/>
          <w:lang w:eastAsia="en-US"/>
        </w:rPr>
        <w:t>{</w:t>
      </w:r>
      <w:r w:rsidR="00362DD9" w:rsidRPr="00011C21">
        <w:rPr>
          <w:rFonts w:ascii="Times New Roman" w:hAnsi="Times New Roman"/>
          <w:kern w:val="0"/>
          <w:sz w:val="24"/>
        </w:rPr>
        <w:t>1</w:t>
      </w:r>
      <m:oMath>
        <m:bar>
          <m:barPr>
            <m:pos m:val="top"/>
            <m:ctrlPr>
              <w:rPr>
                <w:rFonts w:ascii="Cambria Math" w:eastAsia="Times New Roman" w:hAnsi="Cambria Math" w:cs="ＭＳ 明朝"/>
                <w:kern w:val="0"/>
                <w:sz w:val="24"/>
                <w:lang w:val="en" w:eastAsia="en-US"/>
              </w:rPr>
            </m:ctrlPr>
          </m:barPr>
          <m:e>
            <m:r>
              <m:rPr>
                <m:sty m:val="p"/>
              </m:rPr>
              <w:rPr>
                <w:rFonts w:ascii="Cambria Math" w:hAnsi="Cambria Math"/>
                <w:kern w:val="0"/>
                <w:sz w:val="24"/>
                <w:lang w:val="en" w:eastAsia="en-US"/>
              </w:rPr>
              <m:t>1</m:t>
            </m:r>
          </m:e>
        </m:bar>
      </m:oMath>
      <w:r w:rsidR="00362DD9" w:rsidRPr="00011C21">
        <w:rPr>
          <w:rFonts w:ascii="Times New Roman" w:hAnsi="Times New Roman"/>
          <w:kern w:val="0"/>
          <w:sz w:val="24"/>
        </w:rPr>
        <w:t>0</w:t>
      </w:r>
      <w:r w:rsidR="00362DD9" w:rsidRPr="00011C21">
        <w:rPr>
          <w:rFonts w:ascii="Times New Roman" w:hAnsi="Times New Roman"/>
          <w:kern w:val="0"/>
          <w:sz w:val="24"/>
          <w:lang w:eastAsia="en-US"/>
        </w:rPr>
        <w:t>}</w:t>
      </w:r>
      <w:r w:rsidRPr="00011C21">
        <w:rPr>
          <w:rFonts w:ascii="Times New Roman" w:eastAsia="Times New Roman" w:hAnsi="Times New Roman"/>
          <w:kern w:val="0"/>
          <w:sz w:val="24"/>
          <w:lang w:eastAsia="en-US"/>
        </w:rPr>
        <w:t>-, and {011}-faceted sidewalls, whose growth shapes</w:t>
      </w:r>
      <w:r w:rsidR="00B57EF6" w:rsidRPr="00011C21">
        <w:rPr>
          <w:rFonts w:ascii="Times New Roman" w:eastAsia="Times New Roman" w:hAnsi="Times New Roman"/>
          <w:kern w:val="0"/>
          <w:sz w:val="24"/>
          <w:lang w:eastAsia="en-US"/>
        </w:rPr>
        <w:t xml:space="preserve"> </w:t>
      </w:r>
      <w:r w:rsidRPr="00011C21">
        <w:rPr>
          <w:rFonts w:ascii="Times New Roman" w:eastAsia="Times New Roman" w:hAnsi="Times New Roman"/>
          <w:kern w:val="0"/>
          <w:sz w:val="24"/>
          <w:lang w:eastAsia="en-US"/>
        </w:rPr>
        <w:t>were consistent with</w:t>
      </w:r>
      <w:r w:rsidR="00B57EF6" w:rsidRPr="00011C21">
        <w:rPr>
          <w:rFonts w:ascii="Times New Roman" w:eastAsia="Times New Roman" w:hAnsi="Times New Roman"/>
          <w:kern w:val="0"/>
          <w:sz w:val="24"/>
          <w:lang w:eastAsia="en-US"/>
        </w:rPr>
        <w:t xml:space="preserve"> the </w:t>
      </w:r>
      <w:r w:rsidRPr="00011C21">
        <w:rPr>
          <w:rFonts w:ascii="Times New Roman" w:hAnsi="Times New Roman"/>
          <w:kern w:val="0"/>
          <w:sz w:val="24"/>
        </w:rPr>
        <w:t>rutile structure’s</w:t>
      </w:r>
      <w:r w:rsidRPr="00011C21">
        <w:rPr>
          <w:rFonts w:ascii="Times New Roman" w:eastAsia="Times New Roman" w:hAnsi="Times New Roman"/>
          <w:kern w:val="0"/>
          <w:sz w:val="24"/>
          <w:lang w:eastAsia="en-US"/>
        </w:rPr>
        <w:t xml:space="preserve"> </w:t>
      </w:r>
      <w:r w:rsidRPr="00011C21">
        <w:rPr>
          <w:rFonts w:ascii="Times New Roman" w:hAnsi="Times New Roman"/>
          <w:kern w:val="0"/>
          <w:sz w:val="24"/>
        </w:rPr>
        <w:t xml:space="preserve">equilibrium shape. The islands coalesced </w:t>
      </w:r>
      <w:r w:rsidRPr="00011C21">
        <w:rPr>
          <w:rFonts w:ascii="Times New Roman" w:eastAsia="Times New Roman" w:hAnsi="Times New Roman"/>
          <w:kern w:val="0"/>
          <w:sz w:val="24"/>
          <w:lang w:val="en" w:eastAsia="en-US"/>
        </w:rPr>
        <w:t xml:space="preserve">each other </w:t>
      </w:r>
      <w:r w:rsidRPr="00011C21">
        <w:rPr>
          <w:rFonts w:ascii="Times New Roman" w:hAnsi="Times New Roman"/>
          <w:kern w:val="0"/>
          <w:sz w:val="24"/>
        </w:rPr>
        <w:t>to make</w:t>
      </w:r>
      <w:r w:rsidR="00B57EF6" w:rsidRPr="00011C21">
        <w:rPr>
          <w:rFonts w:ascii="Times New Roman" w:hAnsi="Times New Roman"/>
          <w:kern w:val="0"/>
          <w:sz w:val="24"/>
        </w:rPr>
        <w:t xml:space="preserve"> </w:t>
      </w:r>
      <w:r w:rsidRPr="00011C21">
        <w:rPr>
          <w:rFonts w:ascii="Times New Roman" w:hAnsi="Times New Roman"/>
          <w:kern w:val="0"/>
          <w:sz w:val="24"/>
        </w:rPr>
        <w:t>flat (110) top surface on a striped window</w:t>
      </w:r>
      <w:r w:rsidRPr="00011C21">
        <w:rPr>
          <w:rFonts w:ascii="Times New Roman" w:eastAsia="Times New Roman" w:hAnsi="Times New Roman"/>
          <w:kern w:val="0"/>
          <w:sz w:val="24"/>
          <w:lang w:val="en" w:eastAsia="en-US"/>
        </w:rPr>
        <w:t>, and</w:t>
      </w:r>
      <w:r w:rsidRPr="00011C21">
        <w:rPr>
          <w:rFonts w:ascii="Times New Roman" w:hAnsi="Times New Roman"/>
          <w:kern w:val="0"/>
          <w:sz w:val="24"/>
        </w:rPr>
        <w:t xml:space="preserve"> lateral overgrowth started after the complete coverage</w:t>
      </w:r>
      <w:r w:rsidRPr="00011C21">
        <w:rPr>
          <w:rFonts w:ascii="Times New Roman" w:eastAsia="Times New Roman" w:hAnsi="Times New Roman"/>
          <w:kern w:val="0"/>
          <w:sz w:val="24"/>
          <w:lang w:val="en" w:eastAsia="en-US"/>
        </w:rPr>
        <w:t xml:space="preserve"> of the window.</w:t>
      </w:r>
      <w:r w:rsidRPr="00011C21">
        <w:rPr>
          <w:rFonts w:ascii="Times New Roman" w:hAnsi="Times New Roman"/>
          <w:kern w:val="0"/>
          <w:sz w:val="24"/>
        </w:rPr>
        <w:t xml:space="preserve"> Cross-sectional</w:t>
      </w:r>
      <w:r w:rsidR="00535295" w:rsidRPr="00011C21">
        <w:rPr>
          <w:rFonts w:ascii="Times New Roman" w:hAnsi="Times New Roman"/>
          <w:kern w:val="0"/>
          <w:sz w:val="24"/>
        </w:rPr>
        <w:t xml:space="preserve"> </w:t>
      </w:r>
      <w:r w:rsidR="00535295" w:rsidRPr="00011C21">
        <w:rPr>
          <w:rFonts w:ascii="Times New Roman" w:eastAsia="Times New Roman" w:hAnsi="Times New Roman"/>
          <w:kern w:val="0"/>
          <w:sz w:val="24"/>
          <w:lang w:eastAsia="en-US"/>
        </w:rPr>
        <w:t>transmission-electron-microscopy</w:t>
      </w:r>
      <w:r w:rsidRPr="00011C21">
        <w:rPr>
          <w:rFonts w:ascii="Times New Roman" w:hAnsi="Times New Roman"/>
          <w:kern w:val="0"/>
          <w:sz w:val="24"/>
        </w:rPr>
        <w:t xml:space="preserve"> observation of the stripe revealed that misfit dislocations propagated perpendicularly to the facet planes by the image force effect and</w:t>
      </w:r>
      <w:r w:rsidR="00B57EF6" w:rsidRPr="00011C21">
        <w:rPr>
          <w:rFonts w:ascii="Times New Roman" w:eastAsia="Times New Roman" w:hAnsi="Times New Roman"/>
          <w:kern w:val="0"/>
          <w:sz w:val="24"/>
          <w:lang w:eastAsia="en-US"/>
        </w:rPr>
        <w:t xml:space="preserve"> that</w:t>
      </w:r>
      <w:r w:rsidRPr="00011C21">
        <w:rPr>
          <w:rFonts w:ascii="Times New Roman" w:hAnsi="Times New Roman"/>
          <w:kern w:val="0"/>
          <w:sz w:val="24"/>
        </w:rPr>
        <w:t xml:space="preserve"> the dislocation density </w:t>
      </w:r>
      <w:r w:rsidR="00B57EF6" w:rsidRPr="00011C21">
        <w:rPr>
          <w:rFonts w:ascii="Times New Roman" w:hAnsi="Times New Roman"/>
          <w:kern w:val="0"/>
          <w:sz w:val="24"/>
        </w:rPr>
        <w:t xml:space="preserve">reduced </w:t>
      </w:r>
      <w:r w:rsidR="00B57EF6" w:rsidRPr="00011C21">
        <w:rPr>
          <w:rFonts w:ascii="Times New Roman" w:eastAsia="Times New Roman" w:hAnsi="Times New Roman"/>
          <w:kern w:val="0"/>
          <w:sz w:val="24"/>
          <w:lang w:eastAsia="en-US"/>
        </w:rPr>
        <w:t>substantially</w:t>
      </w:r>
      <w:r w:rsidRPr="00011C21">
        <w:rPr>
          <w:rFonts w:ascii="Times New Roman" w:eastAsia="Times New Roman" w:hAnsi="Times New Roman"/>
          <w:kern w:val="0"/>
          <w:sz w:val="24"/>
          <w:lang w:eastAsia="en-US"/>
        </w:rPr>
        <w:t xml:space="preserve"> </w:t>
      </w:r>
      <w:r w:rsidRPr="00011C21">
        <w:rPr>
          <w:rFonts w:ascii="Times New Roman" w:hAnsi="Times New Roman"/>
          <w:kern w:val="0"/>
          <w:sz w:val="24"/>
        </w:rPr>
        <w:t>in the wing regions.</w:t>
      </w:r>
    </w:p>
    <w:p w14:paraId="5395C502" w14:textId="77777777" w:rsidR="00341F2C" w:rsidRPr="00011C21" w:rsidRDefault="00341F2C" w:rsidP="00EC0CCC">
      <w:pPr>
        <w:widowControl/>
        <w:spacing w:line="360" w:lineRule="auto"/>
        <w:rPr>
          <w:rFonts w:ascii="Times New Roman" w:hAnsi="Times New Roman"/>
          <w:sz w:val="24"/>
        </w:rPr>
      </w:pPr>
      <w:r w:rsidRPr="00011C21">
        <w:rPr>
          <w:rFonts w:ascii="Times New Roman" w:hAnsi="Times New Roman"/>
          <w:b/>
          <w:sz w:val="24"/>
        </w:rPr>
        <w:br w:type="page"/>
      </w:r>
    </w:p>
    <w:p w14:paraId="2D6B4295" w14:textId="0769A3F3" w:rsidR="00CF3544" w:rsidRPr="00011C21" w:rsidRDefault="007B3CEA" w:rsidP="00442AC7">
      <w:pPr>
        <w:pStyle w:val="MainText151510"/>
        <w:adjustRightInd w:val="0"/>
        <w:spacing w:line="360" w:lineRule="auto"/>
        <w:ind w:firstLineChars="0" w:firstLine="0"/>
        <w:rPr>
          <w:rFonts w:cs="Times New Roman"/>
          <w:szCs w:val="24"/>
        </w:rPr>
      </w:pPr>
      <w:r w:rsidRPr="00011C21">
        <w:rPr>
          <w:rFonts w:cs="Times New Roman"/>
          <w:szCs w:val="24"/>
        </w:rPr>
        <w:lastRenderedPageBreak/>
        <w:t>Various</w:t>
      </w:r>
      <w:r w:rsidR="00CF3544" w:rsidRPr="00011C21">
        <w:t xml:space="preserve"> wide-band-gap oxide semiconductors have been explored and investigated to fabricate cost-effective, functional, high-performance devices to meet the increasing demands of a low-energy-consumption</w:t>
      </w:r>
      <w:r w:rsidRPr="00011C21">
        <w:rPr>
          <w:rFonts w:cs="Times New Roman"/>
          <w:szCs w:val="24"/>
        </w:rPr>
        <w:t>,</w:t>
      </w:r>
      <w:r w:rsidR="00CF3544" w:rsidRPr="00011C21">
        <w:t xml:space="preserve"> smart</w:t>
      </w:r>
      <w:r w:rsidRPr="00011C21">
        <w:rPr>
          <w:rFonts w:cs="Times New Roman"/>
          <w:szCs w:val="24"/>
        </w:rPr>
        <w:t>-</w:t>
      </w:r>
      <w:r w:rsidR="00CF3544" w:rsidRPr="00011C21">
        <w:t>information society.</w:t>
      </w:r>
      <w:r w:rsidR="00CF3544" w:rsidRPr="00011C21">
        <w:fldChar w:fldCharType="begin" w:fldLock="1"/>
      </w:r>
      <w:r w:rsidR="00827621" w:rsidRPr="00011C21">
        <w:instrText>ADDIN CSL_CITATION {"citationItems":[{"id":"ITEM-1","itemData":{"DOI":"10.1002/adma.202006230","ISSN":"15214095","PMID":"33797084","abstract":"Wide bandgap oxide semiconductors constitute a unique class of materials that combine properties of electrical conductivity and optical transparency. They are being widely used as key materials in optoelectronic device applications, including flat-panel displays, solar cells, OLED, and emerging flexible and transparent electronics. In this article, an up-to-date review on both the fundamental understanding of materials physics of oxide semiconductors, and recent research progress on design of new materials and high-performing thin film transistor (TFT) devices in the context of fundamental understanding is presented. In particular, an in depth overview is first provided on current understanding of the electronic structures, defect and doping chemistry, optical and transport properties of oxide semiconductors, which provide essential guiding principles for new material design and device optimization. With these principles, recent advances in design of p-type oxide semiconductors, new approaches for achieving cost-effective transparent (flexible) electrodes, and the creation of high mobility 2D electron gas (2DEG) at oxide surfaces and interfaces with a wealth of fascinating physical properties of great potential for novel device design are then reviewed. Finally, recent progress and perspective of oxide TFT based on new oxide semiconductors, 2DEG, and low-temperature solution processed oxide semiconductor for flexible electronics will be reviewed.","author":[{"dropping-particle":"","family":"Shi","given":"Jueli","non-dropping-particle":"","parse-names":false,"suffix":""},{"dropping-particle":"","family":"Zhang","given":"Jiaye","non-dropping-particle":"","parse-names":false,"suffix":""},{"dropping-particle":"","family":"Yang","given":"Lu","non-dropping-particle":"","parse-names":false,"suffix":""},{"dropping-particle":"","family":"Qu","given":"Mei","non-dropping-particle":"","parse-names":false,"suffix":""},{"dropping-particle":"","family":"Qi","given":"Dong Chen","non-dropping-particle":"","parse-names":false,"suffix":""},{"dropping-particle":"","family":"Zhang","given":"Kelvin H.L.","non-dropping-particle":"","parse-names":false,"suffix":""}],"container-title":"Advanced Materials","id":"ITEM-1","issue":"50","issued":{"date-parts":[["2021"]]},"page":"2006230","title":"Wide Bandgap Oxide Semiconductors: from Materials Physics to Optoelectronic Devices","type":"article-journal","volume":"33"},"uris":["http://www.mendeley.com/documents/?uuid=6a66e5d4-6d52-414d-8199-64b448e42adb"]},{"id":"ITEM-2","itemData":{"DOI":"10.1063/5.0056674","author":[{"dropping-particle":"","family":"Chae","given":"Sieun","non-dropping-particle":"","parse-names":false,"suffix":""},{"dropping-particle":"","family":"Mengle","given":"Kelsey A.","non-dropping-particle":"","parse-names":false,"suffix":""},{"dropping-particle":"","family":"Bushick","given":"Kyle","non-dropping-particle":"","parse-names":false,"suffix":""},{"dropping-particle":"","family":"Lee","given":"Jihang","non-dropping-particle":"","parse-names":false,"suffix":""},{"dropping-particle":"","family":"Sanders","given":"Nocona","non-dropping-particle":"","parse-names":false,"suffix":""},{"dropping-particle":"","family":"Deng","given":"Zihao","non-dropping-particle":"","parse-names":false,"suffix":""},{"dropping-particle":"","family":"Mi","given":"Zetian","non-dropping-particle":"","parse-names":false,"suffix":""},{"dropping-particle":"","family":"Poudeu","given":"Pierre F. P.","non-dropping-particle":"","parse-names":false,"suffix":""},{"dropping-particle":"","family":"Paik","given":"Hanjong","non-dropping-particle":"","parse-names":false,"suffix":""},{"dropping-particle":"","family":"Heron","given":"John T.","non-dropping-particle":"","parse-names":false,"suffix":""},{"dropping-particle":"","family":"Kioupakis","given":"Emmanouil","non-dropping-particle":"","parse-names":false,"suffix":""}],"container-title":"Applied Physics Letters","id":"ITEM-2","issued":{"date-parts":[["2021"]]},"page":"260501","publisher":"AIP Publishing LLC","title":"Towards the predictive discovery of ambipolarly dopable ultra-wide-band-gap semiconductors: the case of rutile GeO2","type":"article-journal","volume":"118"},"uris":["http://www.mendeley.com/documents/?uuid=4a4baf09-96f1-4caf-a535-09e53342cdaf"]}],"mendeley":{"formattedCitation":"&lt;sup&gt;1,2)&lt;/sup&gt;","plainTextFormattedCitation":"1,2)","previouslyFormattedCitation":"&lt;sup&gt;1,2)&lt;/sup&gt;"},"properties":{"noteIndex":0},"schema":"https://github.com/citation-style-language/schema/raw/master/csl-citation.json"}</w:instrText>
      </w:r>
      <w:r w:rsidR="00CF3544" w:rsidRPr="00011C21">
        <w:fldChar w:fldCharType="separate"/>
      </w:r>
      <w:r w:rsidR="00C71258" w:rsidRPr="00011C21">
        <w:rPr>
          <w:noProof/>
          <w:vertAlign w:val="superscript"/>
        </w:rPr>
        <w:t>1,2)</w:t>
      </w:r>
      <w:r w:rsidR="00CF3544" w:rsidRPr="00011C21">
        <w:fldChar w:fldCharType="end"/>
      </w:r>
      <w:r w:rsidR="00FE2458" w:rsidRPr="00011C21">
        <w:t xml:space="preserve"> </w:t>
      </w:r>
      <w:r w:rsidR="00CF3544" w:rsidRPr="00011C21">
        <w:t>Recently, rutile-type (r</w:t>
      </w:r>
      <w:r w:rsidR="00CF3544" w:rsidRPr="00011C21">
        <w:rPr>
          <w:rFonts w:eastAsiaTheme="minorEastAsia" w:cs="Times New Roman"/>
          <w:szCs w:val="24"/>
        </w:rPr>
        <w:t>-</w:t>
      </w:r>
      <w:r w:rsidR="00CF3544" w:rsidRPr="00011C21">
        <w:t>) metal oxides</w:t>
      </w:r>
      <w:r w:rsidRPr="00011C21">
        <w:rPr>
          <w:rFonts w:cs="Times New Roman"/>
          <w:szCs w:val="24"/>
        </w:rPr>
        <w:t>,</w:t>
      </w:r>
      <w:r w:rsidR="00CF3544" w:rsidRPr="00011C21">
        <w:t xml:space="preserve"> such as r-GeO</w:t>
      </w:r>
      <w:r w:rsidR="00CF3544" w:rsidRPr="00011C21">
        <w:rPr>
          <w:vertAlign w:val="subscript"/>
        </w:rPr>
        <w:t>2</w:t>
      </w:r>
      <w:r w:rsidR="00CF3544" w:rsidRPr="00011C21">
        <w:t>, r-SnO</w:t>
      </w:r>
      <w:r w:rsidR="00CF3544" w:rsidRPr="00011C21">
        <w:rPr>
          <w:vertAlign w:val="subscript"/>
        </w:rPr>
        <w:t>2</w:t>
      </w:r>
      <w:r w:rsidR="00CF3544" w:rsidRPr="00011C21">
        <w:t>, and r-TiO</w:t>
      </w:r>
      <w:r w:rsidR="00CF3544" w:rsidRPr="00011C21">
        <w:rPr>
          <w:vertAlign w:val="subscript"/>
        </w:rPr>
        <w:t>2</w:t>
      </w:r>
      <w:r w:rsidRPr="00011C21">
        <w:rPr>
          <w:rFonts w:cs="Times New Roman"/>
          <w:szCs w:val="24"/>
        </w:rPr>
        <w:t>,</w:t>
      </w:r>
      <w:r w:rsidR="00CF3544" w:rsidRPr="00011C21">
        <w:t xml:space="preserve"> have been </w:t>
      </w:r>
      <w:r w:rsidR="00CF3544" w:rsidRPr="00011C21">
        <w:rPr>
          <w:rFonts w:cs="Times New Roman"/>
          <w:szCs w:val="24"/>
        </w:rPr>
        <w:t>re</w:t>
      </w:r>
      <w:r w:rsidRPr="00011C21">
        <w:rPr>
          <w:rFonts w:cs="Times New Roman"/>
          <w:szCs w:val="24"/>
        </w:rPr>
        <w:t>-</w:t>
      </w:r>
      <w:r w:rsidR="00CF3544" w:rsidRPr="00011C21">
        <w:rPr>
          <w:rFonts w:cs="Times New Roman"/>
          <w:szCs w:val="24"/>
        </w:rPr>
        <w:t>evaluated</w:t>
      </w:r>
      <w:r w:rsidR="00CF3544" w:rsidRPr="00011C21">
        <w:t xml:space="preserve"> as a new class of wide</w:t>
      </w:r>
      <w:r w:rsidRPr="00011C21">
        <w:rPr>
          <w:rFonts w:cs="Times New Roman"/>
          <w:szCs w:val="24"/>
        </w:rPr>
        <w:t>-</w:t>
      </w:r>
      <w:r w:rsidR="00CF3544" w:rsidRPr="00011C21">
        <w:t>band-gap semiconductors.</w:t>
      </w:r>
      <w:r w:rsidRPr="00011C21">
        <w:t xml:space="preserve"> </w:t>
      </w:r>
      <w:r w:rsidR="00CF3544" w:rsidRPr="00011C21">
        <w:t>r-GeO</w:t>
      </w:r>
      <w:r w:rsidR="00CF3544" w:rsidRPr="00011C21">
        <w:rPr>
          <w:vertAlign w:val="subscript"/>
        </w:rPr>
        <w:t>2</w:t>
      </w:r>
      <w:r w:rsidR="00CF3544" w:rsidRPr="00011C21">
        <w:t xml:space="preserve"> has </w:t>
      </w:r>
      <w:r w:rsidRPr="00011C21">
        <w:rPr>
          <w:rFonts w:cs="Times New Roman"/>
          <w:szCs w:val="24"/>
        </w:rPr>
        <w:t xml:space="preserve">recently </w:t>
      </w:r>
      <w:r w:rsidR="00CF3544" w:rsidRPr="00011C21">
        <w:t xml:space="preserve">emerged as an </w:t>
      </w:r>
      <w:r w:rsidR="00CF3544" w:rsidRPr="00011C21">
        <w:rPr>
          <w:rFonts w:cs="Times New Roman"/>
          <w:szCs w:val="24"/>
        </w:rPr>
        <w:t>ultrawide</w:t>
      </w:r>
      <w:r w:rsidR="00CF3544" w:rsidRPr="00011C21">
        <w:t>-band-gap semiconductor with a direct band gap as high as 4.68 eV,</w:t>
      </w:r>
      <w:r w:rsidR="00CF3544" w:rsidRPr="00011C21">
        <w:fldChar w:fldCharType="begin" w:fldLock="1"/>
      </w:r>
      <w:r w:rsidR="00C71258" w:rsidRPr="00011C21">
        <w:instrText xml:space="preserve">ADDIN CSL_CITATION {"citationItems":[{"id":"ITEM-1","itemData":{"DOI":"10.1016/0038-1098(78)90311-3","ISSN":"00381098","abstract":"Intrinsic, polarized u.v.-absorption of crystalline tetragonal GeO2 is presented for </w:instrText>
      </w:r>
      <w:r w:rsidR="00C71258" w:rsidRPr="00011C21">
        <w:rPr>
          <w:rFonts w:ascii="ＭＳ 明朝" w:eastAsia="ＭＳ 明朝" w:hAnsi="ＭＳ 明朝"/>
        </w:rPr>
        <w:instrText>∝</w:instrText>
      </w:r>
      <w:r w:rsidR="00C71258" w:rsidRPr="00011C21">
        <w:instrText xml:space="preserve"> in the range 5-103 cm-1 at room temperature and below. Sharp-line structure strongly polarized E </w:instrText>
      </w:r>
      <w:r w:rsidR="00C71258" w:rsidRPr="00011C21">
        <w:rPr>
          <w:rFonts w:ascii="ＭＳ 明朝" w:eastAsia="ＭＳ 明朝" w:hAnsi="ＭＳ 明朝"/>
        </w:rPr>
        <w:instrText>⊥</w:instrText>
      </w:r>
      <w:r w:rsidR="00C71258" w:rsidRPr="00011C21">
        <w:instrText xml:space="preserve"> c at 77 K and below is attributed to a weakly-bound direct-forbidden exciton. A close correspondence is noted with experimental results on the SnO2 isomorph. The previous theoretical and experimental studies on the band structure of tetragonal germania are inconsistent with the present results. © 1978.","author":[{"dropping-particle":"","family":"Stapelbroek","given":"M.","non-dropping-particle":"","parse-names":false,"suffix":""},{"dropping-particle":"","family":"Evans","given":"B. D.","non-dropping-particle":"","parse-names":false,"suffix":""}],"container-title":"Solid State Communications","id":"ITEM-1","issue":"11","issued":{"date-parts":[["1978"]]},"page":"959-962","title":"Exciton structure in the u.v.-absorption edge of tetragonal GeO2","type":"article-journal","volume":"25"},"uris":["http://www.mendeley.com/documents/?uuid=74e3aded-7dd0-4ebc-ae8c-f3602b89ca7e"]}],"mendeley":{"formattedCitation":"&lt;sup&gt;3)&lt;/sup&gt;","plainTextFormattedCitation":"3)","previouslyFormattedCitation":"&lt;sup&gt;3)&lt;/sup&gt;"},"properties":{"noteIndex":0},"schema":"https://github.com/citation-style-language/schema/raw/master/csl-citation.json"}</w:instrText>
      </w:r>
      <w:r w:rsidR="00CF3544" w:rsidRPr="00011C21">
        <w:fldChar w:fldCharType="separate"/>
      </w:r>
      <w:r w:rsidR="00C31B2F" w:rsidRPr="00011C21">
        <w:rPr>
          <w:noProof/>
          <w:vertAlign w:val="superscript"/>
        </w:rPr>
        <w:t>3)</w:t>
      </w:r>
      <w:r w:rsidR="00CF3544" w:rsidRPr="00011C21">
        <w:fldChar w:fldCharType="end"/>
      </w:r>
      <w:r w:rsidR="00CF3544" w:rsidRPr="00011C21">
        <w:t xml:space="preserve"> which is comparable to the indirect band gap of </w:t>
      </w:r>
      <w:r w:rsidR="00CF3544" w:rsidRPr="00011C21">
        <w:rPr>
          <w:rFonts w:eastAsia="ＭＳ 明朝"/>
        </w:rPr>
        <w:t>β-Ga</w:t>
      </w:r>
      <w:r w:rsidR="00CF3544" w:rsidRPr="00011C21">
        <w:rPr>
          <w:rFonts w:eastAsia="ＭＳ 明朝"/>
          <w:vertAlign w:val="subscript"/>
        </w:rPr>
        <w:t>2</w:t>
      </w:r>
      <w:r w:rsidR="00CF3544" w:rsidRPr="00011C21">
        <w:rPr>
          <w:rFonts w:eastAsia="ＭＳ 明朝"/>
        </w:rPr>
        <w:t>O</w:t>
      </w:r>
      <w:r w:rsidR="00CF3544" w:rsidRPr="00011C21">
        <w:rPr>
          <w:rFonts w:eastAsia="ＭＳ 明朝"/>
          <w:vertAlign w:val="subscript"/>
        </w:rPr>
        <w:t>3</w:t>
      </w:r>
      <w:r w:rsidR="00CF3544" w:rsidRPr="00011C21">
        <w:rPr>
          <w:rFonts w:eastAsia="ＭＳ 明朝"/>
        </w:rPr>
        <w:t xml:space="preserve"> </w:t>
      </w:r>
      <w:r w:rsidR="00CF3544" w:rsidRPr="00011C21">
        <w:t>(4.43</w:t>
      </w:r>
      <w:r w:rsidR="009F2E3E" w:rsidRPr="00011C21">
        <w:t xml:space="preserve"> </w:t>
      </w:r>
      <w:r w:rsidR="00CF3544" w:rsidRPr="00011C21">
        <w:rPr>
          <w:rStyle w:val="lrzxr"/>
          <w:rFonts w:cs="Times New Roman"/>
          <w:szCs w:val="24"/>
        </w:rPr>
        <w:t>eV</w:t>
      </w:r>
      <w:r w:rsidR="00CF3544" w:rsidRPr="00011C21">
        <w:rPr>
          <w:rStyle w:val="lrzxr"/>
          <w:rFonts w:cs="Times New Roman"/>
          <w:szCs w:val="24"/>
        </w:rPr>
        <w:fldChar w:fldCharType="begin" w:fldLock="1"/>
      </w:r>
      <w:r w:rsidR="00C71258" w:rsidRPr="00011C21">
        <w:rPr>
          <w:rStyle w:val="lrzxr"/>
          <w:rFonts w:cs="Times New Roman"/>
          <w:szCs w:val="24"/>
        </w:rPr>
        <w:instrText>ADDIN CSL_CITATION {"citationItems":[{"id":"ITEM-1","itemData":{"DOI":"10.7567/JJAP.54.112601","ISSN":"13474065","abstract":"The polarized transmittance and reflectance spectra of β-Ga2O3 crystals are investigated, and the data are interpreted in terms of the monoclinic crystal band structure. The energies of the absorption edge can be divided into six ranges, and these ranges can be assigned to the transitions from the valence bands to the conduction band minimum according to the selection rules. The indirect bandgap-energy of 4.43 eV is smaller than the direct bandgap-energy of 4.48 eV at RT; and the energy difference of 0.05 eV nearly matches the theoretically calculated values of 0.03-0.04 eV.","author":[{"dropping-particle":"","family":"Onuma","given":"Takeyoshi","non-dropping-particle":"","parse-names":false,"suffix":""},{"dropping-particle":"","family":"Saito","given":"Shingo","non-dropping-particle":"","parse-names":false,"suffix":""},{"dropping-particle":"","family":"Sasaki","given":"Kohei","non-dropping-particle":"","parse-names":false,"suffix":""},{"dropping-particle":"","family":"Masui","given":"Tatekazu","non-dropping-particle":"","parse-names":false,"suffix":""},{"dropping-particle":"","family":"Yamaguchi","given":"Tomohiro","non-dropping-particle":"","parse-names":false,"suffix":""},{"dropping-particle":"","family":"Honda","given":"Tohru","non-dropping-particle":"","parse-names":false,"suffix":""},{"dropping-particle":"","family":"Higashiwaki","given":"Masataka","non-dropping-particle":"","parse-names":false,"suffix":""}],"container-title":"Japanese Journal of Applied Physics","id":"ITEM-1","issue":"11","issued":{"date-parts":[["2015"]]},"page":"112601","title":"Valence band ordering in β-Ga2O3 studied by polarized transmittance and reflectance spectroscopy","type":"article-journal","volume":"54"},"uris":["http://www.mendeley.com/documents/?uuid=ebd939b3-dc3b-47f5-88b1-60f1f0a08881"]}],"mendeley":{"formattedCitation":"&lt;sup&gt;4)&lt;/sup&gt;","plainTextFormattedCitation":"4)","previouslyFormattedCitation":"&lt;sup&gt;4)&lt;/sup&gt;"},"properties":{"noteIndex":0},"schema":"https://github.com/citation-style-language/schema/raw/master/csl-citation.json"}</w:instrText>
      </w:r>
      <w:r w:rsidR="00CF3544" w:rsidRPr="00011C21">
        <w:rPr>
          <w:rStyle w:val="lrzxr"/>
          <w:rFonts w:cs="Times New Roman"/>
          <w:szCs w:val="24"/>
        </w:rPr>
        <w:fldChar w:fldCharType="separate"/>
      </w:r>
      <w:r w:rsidR="00C31B2F" w:rsidRPr="00011C21">
        <w:rPr>
          <w:rStyle w:val="lrzxr"/>
          <w:rFonts w:cs="Times New Roman"/>
          <w:noProof/>
          <w:szCs w:val="24"/>
          <w:vertAlign w:val="superscript"/>
        </w:rPr>
        <w:t>4)</w:t>
      </w:r>
      <w:r w:rsidR="00CF3544" w:rsidRPr="00011C21">
        <w:rPr>
          <w:rStyle w:val="lrzxr"/>
          <w:rFonts w:cs="Times New Roman"/>
          <w:szCs w:val="24"/>
        </w:rPr>
        <w:fldChar w:fldCharType="end"/>
      </w:r>
      <w:r w:rsidR="00CF3544" w:rsidRPr="00011C21">
        <w:t>). Furthermore, theoretical calculations predict that r-GeO</w:t>
      </w:r>
      <w:r w:rsidR="00CF3544" w:rsidRPr="00011C21">
        <w:rPr>
          <w:vertAlign w:val="subscript"/>
        </w:rPr>
        <w:t>2</w:t>
      </w:r>
      <w:r w:rsidR="00CF3544" w:rsidRPr="00011C21">
        <w:rPr>
          <w:rFonts w:cs="Times New Roman"/>
          <w:szCs w:val="24"/>
        </w:rPr>
        <w:t xml:space="preserve"> has </w:t>
      </w:r>
      <w:r w:rsidR="00CF3544" w:rsidRPr="00011C21">
        <w:t>ambipolar dopability,</w:t>
      </w:r>
      <w:r w:rsidR="00CF3544" w:rsidRPr="00011C21">
        <w:fldChar w:fldCharType="begin" w:fldLock="1"/>
      </w:r>
      <w:r w:rsidR="00827621" w:rsidRPr="00011C21">
        <w:instrText xml:space="preserve">ADDIN CSL_CITATION {"citationItems":[{"id":"ITEM-1","itemData":{"DOI":"10.1063/1.5088370","ISSN":"00036951","abstract":"Ultra-wide-band-gap (UWBG) semiconductors have tremendous potential to advance electronic devices as device performance improves superlinearly with the increasing gap. Ambipolar doping, however, has been a major challenge for UWBG materials as dopant ionization energy and charge compensation generally increase with the increasing bandgap and significantly limit the semiconductor devices that can currently be realized. Using hybrid density functional theory, we demonstrate rutile germanium oxide (r-GeO2) to be an alternative UWBG (4.68 eV) material that can be ambipolarly doped. We identify SbGe, AsGe, and FO as possible donors with low ionization energies and propose growth conditions to avoid charge compensation by deep acceptors such as VGe and NO. On the other hand, acceptors such as AlGe have relatively large ionization energies (0.45 eV) due to the formation of localized hole polarons and are likely to be passivated by VO, Gei, and self-interstitials. Yet, we find that the co-incorporation of AlGe with interstitial H can increase the solubility limit of Al and enable hole conduction in the impurity band. Our results show that r-GeO2 is a promising UWBG semiconductor that can overcome current doping challenges and enable the next generation of power electronics devices.","author":[{"dropping-particle":"","family":"Chae","given":"Sieun","non-dropping-particle":"","parse-names":false,"suffix":""},{"dropping-particle":"","family":"Lee","given":"Jihang","non-dropping-particle":"","parse-names":false,"suffix":""},{"dropping-particle":"","family":"Mengle","given":"Kelsey A.","non-dropping-particle":"","parse-names":false,"suffix":""},{"dropping-particle":"","family":"Heron","given":"J. T.","non-dropping-particle":"","parse-names":false,"suffix":""},{"dropping-particle":"","family":"Kioupakis","given":"Emmanouil","non-dropping-particle":"","parse-names":false,"suffix":""}],"container-title":"Applied Physics Letters","id":"ITEM-1","issue":"10","issued":{"date-parts":[["2019"]]},"page":"102104","title":"Rutile GeO2: An ultrawide-band-gap semiconductor with ambipolar doping","type":"article-journal","volume":"114"},"uris":["http://www.mendeley.com/documents/?uuid=b0233547-6544-44cf-9bd8-c27efb46a586"]},{"id":"ITEM-2","itemData":{"DOI":"10.1021/acs.jpcc.0c07757","ISSN":"19327455","abstract":"GeO2 has an α-quartz-type crystal structure with a very wide fundamental band gap of 6.6 eV and is a good insulator. Here, we find that the stable rutile-GeO2 polymorph with a 4.6 eV band gap has a surprisingly low </w:instrText>
      </w:r>
      <w:r w:rsidR="00827621" w:rsidRPr="00011C21">
        <w:rPr>
          <w:rFonts w:ascii="ＭＳ 明朝" w:eastAsia="ＭＳ 明朝" w:hAnsi="ＭＳ 明朝"/>
        </w:rPr>
        <w:instrText>∼</w:instrText>
      </w:r>
      <w:r w:rsidR="00827621" w:rsidRPr="00011C21">
        <w:instrText>6.8 eV ionization potential, as predicted from the band alignment using first-principles calculations. Because of the short O-O distances in the rutile structure containing cations of small effective ionic radii such as Ge4+, the antibonding interaction between O 2p orbitals raises the valence band maximum energy level to an extent that hole doping appears feasible. Experimentally, we report the flux growth of 1.5 × 1.0 × 0.8 mm3 large rutile GeO2 single crystals and confirm the thermal stability for temperatures up to 1021 ± 10 °C. X-ray fluorescence spectroscopy shows the inclusion of unintentional Mo impurities from the Li2O-MoO3 flux, as well as the solubility of Ga in the r-GeO2 lattice as a prospective acceptor dopant. The resistance of the Ga- and Mo-codoped r-GeO2 single crystals is very high at room temperature, but it decreases by 2-3 orders of magnitude upon heating to 300 °C, which is attributed to thermally activated p-type conduction.","author":[{"dropping-particle":"","family":"Niedermeier","given":"Christian A.","non-dropping-particle":"","parse-names":false,"suffix":""},{"dropping-particle":"","family":"Ide","given":"Keisuke","non-dropping-particle":"","parse-names":false,"suffix":""},{"dropping-particle":"","family":"Katase","given":"Takayoshi","non-dropping-particle":"","parse-names":false,"suffix":""},{"dropping-particle":"","family":"Hosono","given":"Hideo","non-dropping-particle":"","parse-names":false,"suffix":""},{"dropping-particle":"","family":"Kamiya","given":"Toshio","non-dropping-particle":"","parse-names":false,"suffix":""}],"container-title":"The Journal of Physical Chemistry C","id":"ITEM-2","issue":"47","issued":{"date-parts":[["2020"]]},"page":"25721-25728","title":"Shallow valence band of rutile GeO2 and p-type doping","type":"article-journal","volume":"124"},"uris":["http://www.mendeley.com/documents/?uuid=b63f32bf-c947-40d3-97ea-e1e529b4fcbe"]}],"mendeley":{"formattedCitation":"&lt;sup&gt;5,6)&lt;/sup&gt;","plainTextFormattedCitation":"5,6)","previouslyFormattedCitation":"&lt;sup&gt;5,6)&lt;/sup&gt;"},"properties":{"noteIndex":0},"schema":"https://github.com/citation-style-language/schema/raw/master/csl-citation.json"}</w:instrText>
      </w:r>
      <w:r w:rsidR="00CF3544" w:rsidRPr="00011C21">
        <w:fldChar w:fldCharType="separate"/>
      </w:r>
      <w:r w:rsidR="00C71258" w:rsidRPr="00011C21">
        <w:rPr>
          <w:noProof/>
          <w:vertAlign w:val="superscript"/>
        </w:rPr>
        <w:t>5,6)</w:t>
      </w:r>
      <w:r w:rsidR="00CF3544" w:rsidRPr="00011C21">
        <w:fldChar w:fldCharType="end"/>
      </w:r>
      <w:r w:rsidR="00CF3544" w:rsidRPr="00011C21">
        <w:t xml:space="preserve"> </w:t>
      </w:r>
      <w:r w:rsidR="00CF3544" w:rsidRPr="00011C21">
        <w:rPr>
          <w:rFonts w:eastAsia="ＭＳ 明朝"/>
        </w:rPr>
        <w:t>elect</w:t>
      </w:r>
      <w:r w:rsidR="00437BEC" w:rsidRPr="00011C21">
        <w:rPr>
          <w:rFonts w:eastAsia="ＭＳ 明朝"/>
        </w:rPr>
        <w:t>r</w:t>
      </w:r>
      <w:r w:rsidR="00CF3544" w:rsidRPr="00011C21">
        <w:rPr>
          <w:rFonts w:eastAsia="ＭＳ 明朝"/>
        </w:rPr>
        <w:t xml:space="preserve">on and hole mobilities </w:t>
      </w:r>
      <w:r w:rsidR="00CF3544" w:rsidRPr="00011C21">
        <w:t>of 244</w:t>
      </w:r>
      <w:r w:rsidR="002E4345" w:rsidRPr="00011C21">
        <w:rPr>
          <w:rFonts w:cs="Times New Roman"/>
          <w:szCs w:val="24"/>
        </w:rPr>
        <w:t>–</w:t>
      </w:r>
      <w:r w:rsidR="00CF3544" w:rsidRPr="00011C21">
        <w:t>377 and 27</w:t>
      </w:r>
      <w:r w:rsidR="002E4345" w:rsidRPr="00011C21">
        <w:rPr>
          <w:rFonts w:cs="Times New Roman"/>
          <w:szCs w:val="24"/>
        </w:rPr>
        <w:t>–</w:t>
      </w:r>
      <w:r w:rsidR="00CF3544" w:rsidRPr="00011C21">
        <w:t>29 cm</w:t>
      </w:r>
      <w:r w:rsidR="00CF3544" w:rsidRPr="00011C21">
        <w:rPr>
          <w:vertAlign w:val="superscript"/>
        </w:rPr>
        <w:t>2</w:t>
      </w:r>
      <w:r w:rsidR="00CF3544" w:rsidRPr="00011C21">
        <w:t>V</w:t>
      </w:r>
      <w:r w:rsidR="00CF3544" w:rsidRPr="00011C21">
        <w:rPr>
          <w:vertAlign w:val="superscript"/>
        </w:rPr>
        <w:t>−1</w:t>
      </w:r>
      <w:r w:rsidR="00CF3544" w:rsidRPr="00011C21">
        <w:t>s</w:t>
      </w:r>
      <w:r w:rsidR="00CF3544" w:rsidRPr="00011C21">
        <w:rPr>
          <w:vertAlign w:val="superscript"/>
        </w:rPr>
        <w:t>−1</w:t>
      </w:r>
      <w:r w:rsidR="00CF3544" w:rsidRPr="00011C21">
        <w:t>, respectively</w:t>
      </w:r>
      <w:r w:rsidR="00CF3544" w:rsidRPr="00011C21">
        <w:rPr>
          <w:rFonts w:eastAsia="ＭＳ 明朝"/>
        </w:rPr>
        <w:t>,</w:t>
      </w:r>
      <w:r w:rsidR="00CF3544" w:rsidRPr="00011C21">
        <w:rPr>
          <w:rFonts w:eastAsia="ＭＳ 明朝"/>
        </w:rPr>
        <w:fldChar w:fldCharType="begin" w:fldLock="1"/>
      </w:r>
      <w:r w:rsidR="00C71258" w:rsidRPr="00011C21">
        <w:rPr>
          <w:rFonts w:eastAsia="ＭＳ 明朝"/>
        </w:rPr>
        <w:instrText xml:space="preserve">ADDIN CSL_CITATION {"citationItems":[{"id":"ITEM-1","itemData":{"DOI":"10.1063/1.5111318","ISSN":"10897550","abstract":"Rutile GeO2 is a visible and near-ultraviolet-transparent oxide that has not been explored for semiconducting applications in electronic and optoelectronic devices. We investigate the electronic and optical properties of rutile GeO2 with first-principles calculations based on density functional theory and many-body perturbation theory. Our band-structure calculations indicate a dipole-forbidden direct bandgap at Γ with an energy of 4.44 eV and effective masses equal to m â-e âŠ1 = 0.43 m 0, m â-e â1 = 0.23 m 0, m â-h âŠ1 = 1.28 m 0, and m â-h â1 = 1.74 m 0. In contrast to the self-trapped hole polarons by lattice distortions in other wide-bandgap oxides that reduce the hole mobility, holes in rutile GeO2 are delocalized due to their small effective mass. The first allowed optical transitions at Γ occur at 5.04 eV (E </w:instrText>
      </w:r>
      <w:r w:rsidR="00C71258" w:rsidRPr="00011C21">
        <w:rPr>
          <w:rFonts w:eastAsia="ＭＳ 明朝" w:hint="eastAsia"/>
        </w:rPr>
        <w:instrText>→</w:instrText>
      </w:r>
      <w:r w:rsidR="00C71258" w:rsidRPr="00011C21">
        <w:rPr>
          <w:rFonts w:eastAsia="ＭＳ 明朝"/>
        </w:rPr>
        <w:instrText xml:space="preserve"> âŠ1 c </w:instrText>
      </w:r>
      <w:r w:rsidR="00C71258" w:rsidRPr="00011C21">
        <w:rPr>
          <w:rFonts w:eastAsia="ＭＳ 明朝" w:hint="eastAsia"/>
        </w:rPr>
        <w:instrText>→</w:instrText>
      </w:r>
      <w:r w:rsidR="00C71258" w:rsidRPr="00011C21">
        <w:rPr>
          <w:rFonts w:eastAsia="ＭＳ 明朝" w:hint="eastAsia"/>
        </w:rPr>
        <w:instrText>)</w:instrText>
      </w:r>
      <w:r w:rsidR="00C71258" w:rsidRPr="00011C21">
        <w:rPr>
          <w:rFonts w:eastAsia="ＭＳ 明朝"/>
        </w:rPr>
        <w:instrText xml:space="preserve"> and 6.65 eV (E </w:instrText>
      </w:r>
      <w:r w:rsidR="00C71258" w:rsidRPr="00011C21">
        <w:rPr>
          <w:rFonts w:eastAsia="ＭＳ 明朝" w:hint="eastAsia"/>
        </w:rPr>
        <w:instrText>→</w:instrText>
      </w:r>
      <w:r w:rsidR="00C71258" w:rsidRPr="00011C21">
        <w:rPr>
          <w:rFonts w:eastAsia="ＭＳ 明朝"/>
        </w:rPr>
        <w:instrText xml:space="preserve"> â1 c </w:instrText>
      </w:r>
      <w:r w:rsidR="00C71258" w:rsidRPr="00011C21">
        <w:rPr>
          <w:rFonts w:eastAsia="ＭＳ 明朝" w:hint="eastAsia"/>
        </w:rPr>
        <w:instrText>→</w:instrText>
      </w:r>
      <w:r w:rsidR="00C71258" w:rsidRPr="00011C21">
        <w:rPr>
          <w:rFonts w:eastAsia="ＭＳ 明朝" w:hint="eastAsia"/>
        </w:rPr>
        <w:instrText>).</w:instrText>
      </w:r>
      <w:r w:rsidR="00C71258" w:rsidRPr="00011C21">
        <w:rPr>
          <w:rFonts w:eastAsia="ＭＳ 明朝"/>
        </w:rPr>
        <w:instrText xml:space="preserve"> We also evaluate the optical absorption coefficient and refractive index along both crystallographic directions. Our estimates for the exciton binding energies using the Bohr model are close to the reported experimental value. The ultrawide-bandgap and light carrier effective masses of rutile GeO2, coupled with its optical transparency in the visible and near UV, are promising for applications in UV-transparent conductors and solar-blind photodetectors.","author":[{"dropping-particle":"","family":"Mengle","given":"Kelsey A.","non-dropping-particle":"","parse-names":false,"suffix":""},{"dropping-particle":"","family":"Chae","given":"Sieun","non-dropping-particle":"","parse-names":false,"suffix":""},{"dropping-particle":"","family":"Kioupakis","given":"Emmanouil","non-dropping-particle":"","parse-names":false,"suffix":""}],"container-title":"Journal of Applied Physics","id":"ITEM-1","issue":"8","issued":{"date-parts":[["2019"]]},"page":"085703","publisher":"AIP Publishing LLC","title":"Quasiparticle band structure and optical properties of rutile GeO2, an ultra-wide-band-gap semiconductor","type":"article-journal","volume":"126"},"uris":["http://www.mendeley.com/documents/?uuid=6fab31e3-5dc8-480d-8b28-c025e4ab06f2"]}],"mendeley":{"formattedCitation":"&lt;sup&gt;7)&lt;/sup&gt;","plainTextFormattedCitation":"7)","previouslyFormattedCitation":"&lt;sup&gt;7)&lt;/sup&gt;"},"properties":{"noteIndex":0},"schema":"https://github.com/citation-style-language/schema/raw/master/csl-citation.json"}</w:instrText>
      </w:r>
      <w:r w:rsidR="00CF3544" w:rsidRPr="00011C21">
        <w:rPr>
          <w:rFonts w:eastAsia="ＭＳ 明朝"/>
        </w:rPr>
        <w:fldChar w:fldCharType="separate"/>
      </w:r>
      <w:r w:rsidR="00C31B2F" w:rsidRPr="00011C21">
        <w:rPr>
          <w:rFonts w:eastAsia="ＭＳ 明朝"/>
          <w:noProof/>
          <w:vertAlign w:val="superscript"/>
        </w:rPr>
        <w:t>7)</w:t>
      </w:r>
      <w:r w:rsidR="00CF3544" w:rsidRPr="00011C21">
        <w:rPr>
          <w:rFonts w:eastAsia="ＭＳ 明朝"/>
        </w:rPr>
        <w:fldChar w:fldCharType="end"/>
      </w:r>
      <w:r w:rsidR="00CF3544" w:rsidRPr="00011C21">
        <w:rPr>
          <w:rFonts w:eastAsia="ＭＳ 明朝"/>
        </w:rPr>
        <w:t xml:space="preserve"> and </w:t>
      </w:r>
      <w:r w:rsidR="00CF3544" w:rsidRPr="00011C21">
        <w:t xml:space="preserve">a thermal conductivity of </w:t>
      </w:r>
      <w:r w:rsidR="00CF3544" w:rsidRPr="00011C21">
        <w:rPr>
          <w:rFonts w:eastAsia="ＭＳ 明朝"/>
        </w:rPr>
        <w:t>37</w:t>
      </w:r>
      <w:r w:rsidR="002E4345" w:rsidRPr="00011C21">
        <w:rPr>
          <w:rFonts w:cs="Times New Roman"/>
          <w:szCs w:val="24"/>
        </w:rPr>
        <w:t>–</w:t>
      </w:r>
      <w:r w:rsidR="00CF3544" w:rsidRPr="00011C21">
        <w:rPr>
          <w:rFonts w:eastAsia="ＭＳ 明朝"/>
        </w:rPr>
        <w:t>58</w:t>
      </w:r>
      <w:r w:rsidR="00CF3544" w:rsidRPr="00011C21">
        <w:t xml:space="preserve"> </w:t>
      </w:r>
      <w:r w:rsidR="00CF3544" w:rsidRPr="00011C21">
        <w:rPr>
          <w:rStyle w:val="lrzxr"/>
          <w:rFonts w:cs="Times New Roman"/>
          <w:szCs w:val="24"/>
        </w:rPr>
        <w:t>Wm</w:t>
      </w:r>
      <w:r w:rsidR="00CF3544" w:rsidRPr="00011C21">
        <w:rPr>
          <w:vertAlign w:val="superscript"/>
        </w:rPr>
        <w:t>−1</w:t>
      </w:r>
      <w:r w:rsidR="00CF3544" w:rsidRPr="00011C21">
        <w:rPr>
          <w:rStyle w:val="lrzxr"/>
          <w:rFonts w:cs="Times New Roman"/>
          <w:szCs w:val="24"/>
        </w:rPr>
        <w:t>K</w:t>
      </w:r>
      <w:r w:rsidR="00CF3544" w:rsidRPr="00011C21">
        <w:rPr>
          <w:vertAlign w:val="superscript"/>
        </w:rPr>
        <w:t>−1</w:t>
      </w:r>
      <w:r w:rsidR="00E650A2" w:rsidRPr="00011C21">
        <w:t>,</w:t>
      </w:r>
      <w:r w:rsidR="00CF3544" w:rsidRPr="00011C21">
        <w:rPr>
          <w:rFonts w:eastAsia="ＭＳ 明朝"/>
        </w:rPr>
        <w:fldChar w:fldCharType="begin" w:fldLock="1"/>
      </w:r>
      <w:r w:rsidR="00C71258" w:rsidRPr="00011C21">
        <w:rPr>
          <w:rFonts w:eastAsia="ＭＳ 明朝"/>
        </w:rPr>
        <w:instrText xml:space="preserve">ADDIN CSL_CITATION {"citationItems":[{"id":"ITEM-1","itemData":{"DOI":"10.1063/5.0011358","ISSN":"00036951","abstract":"Power electronics seek to improve power conversion of devices by utilizing materials with a wide bandgap, high carrier mobility, and high thermal conductivity. Due to its wide bandgap of 4.5 eV, β-Ga2O3 has received much attention for high-voltage electronic device research. However, it suffers from inefficient thermal conduction that originates from its low-symmetry crystal structure. Rutile germanium oxide (r-GeO2) has been identified as an alternative ultra-wide-bandgap (4.68 eV) semiconductor with a predicted high electron mobility and ambipolar dopability; however, its thermal conductivity is unknown. Here, we characterize the thermal conductivity of r-GeO2 as a function of temperature by first-principles calculations, experimental synthesis, and thermal characterization. The calculations predict an anisotropic phonon-limited thermal conductivity for r-GeO2 of 37 W m-1 K-1 along the a direction and 58 W m-1 K-1 along the c direction at 300 K where the phonon-limited thermal conductivity predominantly occurs via the acoustic modes. Experimentally, we measured a value of 51 W m-1 K-1 at 300 K for hot-pressed, polycrystalline r-GeO2 pellets. The measured value is close to our directionally averaged theoretical value, and the temperature dependence of </w:instrText>
      </w:r>
      <w:r w:rsidR="00C71258" w:rsidRPr="00011C21">
        <w:rPr>
          <w:rFonts w:ascii="ＭＳ 明朝" w:eastAsia="ＭＳ 明朝" w:hAnsi="ＭＳ 明朝"/>
        </w:rPr>
        <w:instrText>∼</w:instrText>
      </w:r>
      <w:r w:rsidR="00C71258" w:rsidRPr="00011C21">
        <w:rPr>
          <w:rFonts w:eastAsia="ＭＳ 明朝"/>
        </w:rPr>
        <w:instrText>1/T is also consistent with our theory prediction, indicating that thermal transport in our r-GeO2 samples at room temperature and above is governed by phonon scattering. Our results reveal that high-symmetry UWBG materials, such as r-GeO2, may be the key to efficient power electronics.","author":[{"dropping-particle":"","family":"Chae","given":"Sieun","non-dropping-particle":"","parse-names":false,"suffix":""},{"dropping-particle":"","family":"Mengle","given":"Kelsey A.","non-dropping-particle":"","parse-names":false,"suffix":""},{"dropping-particle":"","family":"Lu","given":"R.","non-dropping-particle":"","parse-names":false,"suffix":""},{"dropping-particle":"","family":"Olvera","given":"A.","non-dropping-particle":"","parse-names":false,"suffix":""},{"dropping-particle":"","family":"Sanders","given":"Nocona","non-dropping-particle":"","parse-names":false,"suffix":""},{"dropping-particle":"","family":"Lee","given":"Jihang","non-dropping-particle":"","parse-names":false,"suffix":""},{"dropping-particle":"","family":"Poudeu","given":"P. F. P.","non-dropping-particle":"","parse-names":false,"suffix":""},{"dropping-particle":"","family":"Heron","given":"J. T.","non-dropping-particle":"","parse-names":false,"suffix":""},{"dropping-particle":"","family":"Kioupakis","given":"Emmanouil","non-dropping-particle":"","parse-names":false,"suffix":""}],"container-title":"Applied Physics Letters","id":"ITEM-1","issue":"10","issued":{"date-parts":[["2020"]]},"page":"102106","title":"Thermal conductivity of rutile germanium dioxide","type":"article-journal","volume":"117"},"uris":["http://www.mendeley.com/documents/?uuid=b88f51cc-2c7f-4a29-a237-165ce38b80f1"]}],"mendeley":{"formattedCitation":"&lt;sup&gt;8)&lt;/sup&gt;","plainTextFormattedCitation":"8)","previouslyFormattedCitation":"&lt;sup&gt;8)&lt;/sup&gt;"},"properties":{"noteIndex":0},"schema":"https://github.com/citation-style-language/schema/raw/master/csl-citation.json"}</w:instrText>
      </w:r>
      <w:r w:rsidR="00CF3544" w:rsidRPr="00011C21">
        <w:rPr>
          <w:rFonts w:eastAsia="ＭＳ 明朝"/>
        </w:rPr>
        <w:fldChar w:fldCharType="separate"/>
      </w:r>
      <w:r w:rsidR="00C31B2F" w:rsidRPr="00011C21">
        <w:rPr>
          <w:rFonts w:eastAsia="ＭＳ 明朝"/>
          <w:noProof/>
          <w:vertAlign w:val="superscript"/>
        </w:rPr>
        <w:t>8)</w:t>
      </w:r>
      <w:r w:rsidR="00CF3544" w:rsidRPr="00011C21">
        <w:rPr>
          <w:rFonts w:eastAsia="ＭＳ 明朝"/>
        </w:rPr>
        <w:fldChar w:fldCharType="end"/>
      </w:r>
      <w:r w:rsidR="00CF3544" w:rsidRPr="00011C21">
        <w:rPr>
          <w:rFonts w:eastAsia="ＭＳ 明朝"/>
        </w:rPr>
        <w:t xml:space="preserve"> all of which are superior to those of β-Ga</w:t>
      </w:r>
      <w:r w:rsidR="00CF3544" w:rsidRPr="00011C21">
        <w:rPr>
          <w:rFonts w:eastAsia="ＭＳ 明朝"/>
          <w:vertAlign w:val="subscript"/>
        </w:rPr>
        <w:t>2</w:t>
      </w:r>
      <w:r w:rsidR="00CF3544" w:rsidRPr="00011C21">
        <w:rPr>
          <w:rFonts w:eastAsia="ＭＳ 明朝"/>
        </w:rPr>
        <w:t>O</w:t>
      </w:r>
      <w:r w:rsidR="00CF3544" w:rsidRPr="00011C21">
        <w:rPr>
          <w:rFonts w:eastAsia="ＭＳ 明朝"/>
          <w:vertAlign w:val="subscript"/>
        </w:rPr>
        <w:t>3</w:t>
      </w:r>
      <w:r w:rsidR="00CF3544" w:rsidRPr="00011C21">
        <w:rPr>
          <w:rFonts w:eastAsia="ＭＳ 明朝" w:cs="Times New Roman"/>
          <w:szCs w:val="24"/>
        </w:rPr>
        <w:t xml:space="preserve"> (unipolar </w:t>
      </w:r>
      <w:proofErr w:type="spellStart"/>
      <w:r w:rsidR="00CF3544" w:rsidRPr="00011C21">
        <w:rPr>
          <w:rFonts w:eastAsia="ＭＳ 明朝" w:cs="Times New Roman"/>
          <w:szCs w:val="24"/>
        </w:rPr>
        <w:t>d</w:t>
      </w:r>
      <w:r w:rsidR="009F766A" w:rsidRPr="00011C21">
        <w:rPr>
          <w:rFonts w:eastAsia="ＭＳ 明朝" w:cs="Times New Roman" w:hint="eastAsia"/>
          <w:szCs w:val="24"/>
        </w:rPr>
        <w:t>o</w:t>
      </w:r>
      <w:r w:rsidR="00CF3544" w:rsidRPr="00011C21">
        <w:rPr>
          <w:rFonts w:eastAsia="ＭＳ 明朝" w:cs="Times New Roman"/>
          <w:szCs w:val="24"/>
        </w:rPr>
        <w:t>pability</w:t>
      </w:r>
      <w:proofErr w:type="spellEnd"/>
      <w:r w:rsidR="00CF3544" w:rsidRPr="00011C21">
        <w:rPr>
          <w:rFonts w:eastAsia="ＭＳ 明朝" w:cs="Times New Roman"/>
          <w:szCs w:val="24"/>
        </w:rPr>
        <w:t xml:space="preserve">, </w:t>
      </w:r>
      <w:r w:rsidR="002E4345" w:rsidRPr="00011C21">
        <w:rPr>
          <w:rFonts w:eastAsia="ＭＳ 明朝" w:cs="Times New Roman"/>
          <w:szCs w:val="24"/>
        </w:rPr>
        <w:t xml:space="preserve">approximately </w:t>
      </w:r>
      <w:r w:rsidR="00CF3544" w:rsidRPr="00011C21">
        <w:t>200 cm</w:t>
      </w:r>
      <w:r w:rsidR="00CF3544" w:rsidRPr="00011C21">
        <w:rPr>
          <w:vertAlign w:val="superscript"/>
        </w:rPr>
        <w:t>2</w:t>
      </w:r>
      <w:r w:rsidR="00CF3544" w:rsidRPr="00011C21">
        <w:t>V</w:t>
      </w:r>
      <w:r w:rsidR="00CF3544" w:rsidRPr="00011C21">
        <w:rPr>
          <w:vertAlign w:val="superscript"/>
        </w:rPr>
        <w:t>−1</w:t>
      </w:r>
      <w:r w:rsidR="00CF3544" w:rsidRPr="00011C21">
        <w:t>s</w:t>
      </w:r>
      <w:r w:rsidR="00CF3544" w:rsidRPr="00011C21">
        <w:rPr>
          <w:vertAlign w:val="superscript"/>
        </w:rPr>
        <w:t>−1</w:t>
      </w:r>
      <w:r w:rsidR="006F23F8" w:rsidRPr="00011C21">
        <w:rPr>
          <w:rFonts w:cs="Times New Roman"/>
          <w:szCs w:val="24"/>
        </w:rPr>
        <w:t>,</w:t>
      </w:r>
      <w:r w:rsidR="00CF3544" w:rsidRPr="00011C21">
        <w:fldChar w:fldCharType="begin" w:fldLock="1"/>
      </w:r>
      <w:r w:rsidR="00C71258" w:rsidRPr="00011C21">
        <w:rPr>
          <w:rFonts w:cs="Times New Roman"/>
          <w:szCs w:val="24"/>
        </w:rPr>
        <w:instrText xml:space="preserve">ADDIN CSL_CITATION {"citationItems":[{"id":"ITEM-1","itemData":{"DOI":"10.1063/1.4968550","ISSN":"00036951","abstract":"By systematically comparing experimental and theoretical transport properties, we identify the polar optical phonon scattering as the dominant mechanism limiting electron mobility in β-Ga2O3 to &lt;200 cm2/V s at 300 K for donor doping densities lower than </w:instrText>
      </w:r>
      <w:r w:rsidR="00C71258" w:rsidRPr="00011C21">
        <w:rPr>
          <w:rFonts w:ascii="ＭＳ 明朝" w:eastAsia="ＭＳ 明朝" w:hAnsi="ＭＳ 明朝"/>
          <w:szCs w:val="24"/>
        </w:rPr>
        <w:instrText>∼</w:instrText>
      </w:r>
      <w:r w:rsidR="00C71258" w:rsidRPr="00011C21">
        <w:rPr>
          <w:rFonts w:cs="Times New Roman"/>
          <w:szCs w:val="24"/>
        </w:rPr>
        <w:instrText xml:space="preserve">1018cm-3. Despite similar electron effective mass of β-Ga2O3 to GaN, the electron mobility is </w:instrText>
      </w:r>
      <w:r w:rsidR="00C71258" w:rsidRPr="00011C21">
        <w:rPr>
          <w:rFonts w:ascii="ＭＳ 明朝" w:eastAsia="ＭＳ 明朝" w:hAnsi="ＭＳ 明朝"/>
          <w:szCs w:val="24"/>
        </w:rPr>
        <w:instrText>∼</w:instrText>
      </w:r>
      <w:r w:rsidR="00C71258" w:rsidRPr="00011C21">
        <w:rPr>
          <w:rFonts w:cs="Times New Roman"/>
          <w:szCs w:val="24"/>
        </w:rPr>
        <w:instrText>10× lower because of a massive Fröhlich interaction, due to the low phonon energies stemming from the crystal structure and strong bond ionicity. Based on the theoretical and experimental analysis, we provide an empirical expression for electron mobility in β-Ga2O3 that should help calibrate its potential in high performance device design and applications.","author":[{"dropping-particle":"","family":"Ma","given":"Nan","non-dropping-particle":"","parse-names":false,"suffix":""},{"dropping-particle":"","family":"Tanen","given":"Nicholas","non-dropping-particle":"","parse-names":false,"suffix":""},{"dropping-particle":"","family":"Verma","given":"Amit","non-dropping-particle":"","parse-names":false,"suffix":""},{"dropping-particle":"","family":"Guo","given":"Zhi","non-dropping-particle":"","parse-names":false,"suffix":""},{"dropping-particle":"","family":"Luo","given":"Tengfei","non-dropping-particle":"","parse-names":false,"suffix":""},{"dropping-particle":"","family":"Xing","given":"Huili Grace","non-dropping-particle":"","parse-names":false,"suffix":""},{"dropping-particle":"","family":"Jena","given":"Debdeep","non-dropping-particle":"","parse-names":false,"suffix":""}],"container-title":"Applied Physics Letters","id":"ITEM-1","issue":"21","issued":{"date-parts":[["2016"]]},"page":"212101","title":"Intrinsic electron mobility limits in β-Ga2O3","type":"article-journal","volume":"109"},"uris":["http://www.mendeley.com/documents/?uuid=dd13e7f9-a92f-404c-af51-6649924a7a3c"]}],"mendeley":{"formattedCitation":"&lt;sup&gt;9)&lt;/sup&gt;","plainTextFormattedCitation":"9)","previouslyFormattedCitation":"&lt;sup&gt;9)&lt;/sup&gt;"},"properties":{"noteIndex":0},"schema":"https://github.com/citation-style-language/schema/raw/master/csl-citation.json"}</w:instrText>
      </w:r>
      <w:r w:rsidR="00CF3544" w:rsidRPr="00011C21">
        <w:fldChar w:fldCharType="separate"/>
      </w:r>
      <w:r w:rsidR="00C31B2F" w:rsidRPr="00011C21">
        <w:rPr>
          <w:noProof/>
          <w:vertAlign w:val="superscript"/>
        </w:rPr>
        <w:t>9)</w:t>
      </w:r>
      <w:r w:rsidR="00CF3544" w:rsidRPr="00011C21">
        <w:fldChar w:fldCharType="end"/>
      </w:r>
      <w:r w:rsidR="00CF3544" w:rsidRPr="00011C21">
        <w:t xml:space="preserve"> and 10.9</w:t>
      </w:r>
      <w:r w:rsidR="00CF3544" w:rsidRPr="00011C21">
        <w:rPr>
          <w:rFonts w:cs="Times New Roman"/>
          <w:szCs w:val="24"/>
        </w:rPr>
        <w:t>–</w:t>
      </w:r>
      <w:r w:rsidR="00CF3544" w:rsidRPr="00011C21">
        <w:rPr>
          <w:rFonts w:eastAsiaTheme="minorEastAsia" w:cs="Times New Roman"/>
          <w:szCs w:val="24"/>
        </w:rPr>
        <w:t>27.0</w:t>
      </w:r>
      <w:r w:rsidR="00CF3544" w:rsidRPr="00011C21">
        <w:t xml:space="preserve"> </w:t>
      </w:r>
      <w:r w:rsidR="00CF3544" w:rsidRPr="00011C21">
        <w:rPr>
          <w:rStyle w:val="lrzxr"/>
          <w:rFonts w:cs="Times New Roman"/>
          <w:szCs w:val="24"/>
        </w:rPr>
        <w:t>Wm</w:t>
      </w:r>
      <w:r w:rsidR="00CF3544" w:rsidRPr="00011C21">
        <w:rPr>
          <w:vertAlign w:val="superscript"/>
        </w:rPr>
        <w:t>−1</w:t>
      </w:r>
      <w:r w:rsidR="00CF3544" w:rsidRPr="00011C21">
        <w:rPr>
          <w:rStyle w:val="lrzxr"/>
          <w:rFonts w:cs="Times New Roman"/>
          <w:szCs w:val="24"/>
        </w:rPr>
        <w:t>K</w:t>
      </w:r>
      <w:r w:rsidR="00CF3544" w:rsidRPr="00011C21">
        <w:rPr>
          <w:vertAlign w:val="superscript"/>
        </w:rPr>
        <w:t>−1</w:t>
      </w:r>
      <w:r w:rsidR="00E650A2" w:rsidRPr="00011C21">
        <w:t>,</w:t>
      </w:r>
      <w:r w:rsidR="00CF3544" w:rsidRPr="00011C21">
        <w:fldChar w:fldCharType="begin" w:fldLock="1"/>
      </w:r>
      <w:r w:rsidR="00C71258" w:rsidRPr="00011C21">
        <w:instrText xml:space="preserve">ADDIN CSL_CITATION {"citationItems":[{"id":"ITEM-1","itemData":{"DOI":"10.1063/1.4916078","ISSN":"00036951","abstract":"The thermal conductivities of β-Ga2O3 single crystals along four different crystal directions were measured in the temperature range of 80-495 K using the time domain thermoreflectance method. A large anisotropy was found. At room temperature, the [010] direction has the highest thermal conductivity of 27.0 ± 2.0 W/mK, while that along the [100] direction has the lowest value of 10.9 ± 1.0 W/mK. At high temperatures, the thermal conductivity follows a </w:instrText>
      </w:r>
      <w:r w:rsidR="00C71258" w:rsidRPr="00011C21">
        <w:rPr>
          <w:rFonts w:ascii="ＭＳ 明朝" w:eastAsia="ＭＳ 明朝" w:hAnsi="ＭＳ 明朝"/>
        </w:rPr>
        <w:instrText>∼</w:instrText>
      </w:r>
      <w:r w:rsidR="00C71258" w:rsidRPr="00011C21">
        <w:instrText>1/T relationship characteristic of Umklapp phonon scattering, indicating phonon-dominated heat transport in the β-Ga2O3 crystal. The measured experimental thermal conductivity is supported by first-principles calculations, which suggest that the anisotropy in thermal conductivity is due to the differences of the speed of sound along different crystal directions.","author":[{"dropping-particle":"","family":"Guo","given":"Zhi","non-dropping-particle":"","parse-names":false,"suffix":""},{"dropping-particle":"","family":"Verma","given":"Amit","non-dropping-particle":"","parse-names":false,"suffix":""},{"dropping-particle":"","family":"Wu","given":"Xufei","non-dropping-particle":"","parse-names":false,"suffix":""},{"dropping-particle":"","family":"Sun","given":"Fangyuan","non-dropping-particle":"","parse-names":false,"suffix":""},{"dropping-particle":"","family":"Hickman","given":"Austin","non-dropping-particle":"","parse-names":false,"suffix":""},{"dropping-particle":"","family":"Masui","given":"Takekazu","non-dropping-particle":"","parse-names":false,"suffix":""},{"dropping-particle":"","family":"Kuramata","given":"Akito","non-dropping-particle":"","parse-names":false,"suffix":""},{"dropping-particle":"","family":"Higashiwaki","given":"Masataka","non-dropping-particle":"","parse-names":false,"suffix":""},{"dropping-particle":"","family":"Jena","given":"Debdeep","non-dropping-particle":"","parse-names":false,"suffix":""},{"dropping-particle":"","family":"Luo","given":"Tengfei","non-dropping-particle":"","parse-names":false,"suffix":""}],"container-title":"Applied Physics Letters","id":"ITEM-1","issue":"11","issued":{"date-parts":[["2015"]]},"page":"111909","title":"Anisotropic thermal conductivity in single crystal β-gallium oxide","type":"article-journal","volume":"106"},"uris":["http://www.mendeley.com/documents/?uuid=3f7cb05e-fa48-445b-846e-3fdec7f8585f"]}],"mendeley":{"formattedCitation":"&lt;sup&gt;10)&lt;/sup&gt;","plainTextFormattedCitation":"10)","previouslyFormattedCitation":"&lt;sup&gt;10)&lt;/sup&gt;"},"properties":{"noteIndex":0},"schema":"https://github.com/citation-style-language/schema/raw/master/csl-citation.json"}</w:instrText>
      </w:r>
      <w:r w:rsidR="00CF3544" w:rsidRPr="00011C21">
        <w:fldChar w:fldCharType="separate"/>
      </w:r>
      <w:r w:rsidR="00C31B2F" w:rsidRPr="00011C21">
        <w:rPr>
          <w:noProof/>
          <w:vertAlign w:val="superscript"/>
        </w:rPr>
        <w:t>10)</w:t>
      </w:r>
      <w:r w:rsidR="00CF3544" w:rsidRPr="00011C21">
        <w:fldChar w:fldCharType="end"/>
      </w:r>
      <w:r w:rsidR="00CF3544" w:rsidRPr="00011C21">
        <w:t xml:space="preserve"> respectively</w:t>
      </w:r>
      <w:r w:rsidR="00CF3544" w:rsidRPr="00011C21">
        <w:rPr>
          <w:rFonts w:eastAsia="ＭＳ 明朝" w:cs="Times New Roman"/>
          <w:szCs w:val="24"/>
        </w:rPr>
        <w:t xml:space="preserve">). </w:t>
      </w:r>
      <w:r w:rsidR="00CF3544" w:rsidRPr="00011C21">
        <w:rPr>
          <w:rFonts w:eastAsia="ＭＳ 明朝"/>
        </w:rPr>
        <w:t>These physical properties of</w:t>
      </w:r>
      <w:r w:rsidR="00CF3544" w:rsidRPr="00011C21">
        <w:rPr>
          <w:rFonts w:eastAsia="ＭＳ 明朝" w:cs="Times New Roman"/>
          <w:szCs w:val="24"/>
        </w:rPr>
        <w:t xml:space="preserve"> </w:t>
      </w:r>
      <w:r w:rsidR="00CF3544" w:rsidRPr="00011C21">
        <w:t>r-GeO</w:t>
      </w:r>
      <w:r w:rsidR="00CF3544" w:rsidRPr="00011C21">
        <w:rPr>
          <w:vertAlign w:val="subscript"/>
        </w:rPr>
        <w:t>2</w:t>
      </w:r>
      <w:r w:rsidR="00CF3544" w:rsidRPr="00011C21">
        <w:rPr>
          <w:rFonts w:eastAsia="ＭＳ 明朝" w:cs="Times New Roman"/>
          <w:szCs w:val="24"/>
        </w:rPr>
        <w:t xml:space="preserve"> suggest that it could be used in </w:t>
      </w:r>
      <w:r w:rsidR="004D4B39" w:rsidRPr="00011C21">
        <w:rPr>
          <w:rFonts w:cs="Times New Roman"/>
          <w:szCs w:val="24"/>
        </w:rPr>
        <w:t>high-performance</w:t>
      </w:r>
      <w:r w:rsidR="00CF3544" w:rsidRPr="00011C21">
        <w:rPr>
          <w:rFonts w:eastAsia="ＭＳ 明朝" w:cs="Times New Roman"/>
          <w:szCs w:val="24"/>
        </w:rPr>
        <w:t xml:space="preserve"> </w:t>
      </w:r>
      <w:r w:rsidR="00CF3544" w:rsidRPr="00011C21">
        <w:rPr>
          <w:rFonts w:cs="Times New Roman"/>
          <w:szCs w:val="24"/>
        </w:rPr>
        <w:t xml:space="preserve">power-electronic and </w:t>
      </w:r>
      <w:r w:rsidR="002E4345" w:rsidRPr="00011C21">
        <w:rPr>
          <w:rFonts w:cs="Times New Roman"/>
          <w:szCs w:val="24"/>
        </w:rPr>
        <w:t>ultraviolet (</w:t>
      </w:r>
      <w:r w:rsidR="00CF3544" w:rsidRPr="00011C21">
        <w:rPr>
          <w:rFonts w:cs="Times New Roman"/>
          <w:szCs w:val="24"/>
        </w:rPr>
        <w:t>UV</w:t>
      </w:r>
      <w:r w:rsidR="002E4345" w:rsidRPr="00011C21">
        <w:rPr>
          <w:rFonts w:cs="Times New Roman"/>
          <w:szCs w:val="24"/>
        </w:rPr>
        <w:t>)</w:t>
      </w:r>
      <w:r w:rsidR="00CF3544" w:rsidRPr="00011C21">
        <w:rPr>
          <w:rFonts w:cs="Times New Roman"/>
          <w:szCs w:val="24"/>
        </w:rPr>
        <w:t>-optical devices.</w:t>
      </w:r>
      <w:r w:rsidR="00CF3544" w:rsidRPr="00011C21">
        <w:rPr>
          <w:rFonts w:cs="Times New Roman"/>
          <w:szCs w:val="24"/>
        </w:rPr>
        <w:fldChar w:fldCharType="begin" w:fldLock="1"/>
      </w:r>
      <w:r w:rsidR="00C71258" w:rsidRPr="00011C21">
        <w:rPr>
          <w:rFonts w:cs="Times New Roman"/>
          <w:szCs w:val="24"/>
        </w:rPr>
        <w:instrText>ADDIN CSL_CITATION {"citationItems":[{"id":"ITEM-1","itemData":{"DOI":"10.1063/5.0056674","author":[{"dropping-particle":"","family":"Chae","given":"Sieun","non-dropping-particle":"","parse-names":false,"suffix":""},{"dropping-particle":"","family":"Mengle","given":"Kelsey A.","non-dropping-particle":"","parse-names":false,"suffix":""},{"dropping-particle":"","family":"Bushick","given":"Kyle","non-dropping-particle":"","parse-names":false,"suffix":""},{"dropping-particle":"","family":"Lee","given":"Jihang","non-dropping-particle":"","parse-names":false,"suffix":""},{"dropping-particle":"","family":"Sanders","given":"Nocona","non-dropping-particle":"","parse-names":false,"suffix":""},{"dropping-particle":"","family":"Deng","given":"Zihao","non-dropping-particle":"","parse-names":false,"suffix":""},{"dropping-particle":"","family":"Mi","given":"Zetian","non-dropping-particle":"","parse-names":false,"suffix":""},{"dropping-particle":"","family":"Poudeu","given":"Pierre F. P.","non-dropping-particle":"","parse-names":false,"suffix":""},{"dropping-particle":"","family":"Paik","given":"Hanjong","non-dropping-particle":"","parse-names":false,"suffix":""},{"dropping-particle":"","family":"Heron","given":"John T.","non-dropping-particle":"","parse-names":false,"suffix":""},{"dropping-particle":"","family":"Kioupakis","given":"Emmanouil","non-dropping-particle":"","parse-names":false,"suffix":""}],"container-title":"Applied Physics Letters","id":"ITEM-1","issued":{"date-parts":[["2021"]]},"page":"260501","publisher":"AIP Publishing LLC","title":"Towards the predictive discovery of ambipolarly dopable ultra-wide-band-gap semiconductors: the case of rutile GeO2","type":"article-journal","volume":"118"},"uris":["http://www.mendeley.com/documents/?uuid=4a4baf09-96f1-4caf-a535-09e53342cdaf"]}],"mendeley":{"formattedCitation":"&lt;sup&gt;2)&lt;/sup&gt;","plainTextFormattedCitation":"2)","previouslyFormattedCitation":"&lt;sup&gt;2)&lt;/sup&gt;"},"properties":{"noteIndex":0},"schema":"https://github.com/citation-style-language/schema/raw/master/csl-citation.json"}</w:instrText>
      </w:r>
      <w:r w:rsidR="00CF3544" w:rsidRPr="00011C21">
        <w:rPr>
          <w:rFonts w:cs="Times New Roman"/>
          <w:szCs w:val="24"/>
        </w:rPr>
        <w:fldChar w:fldCharType="separate"/>
      </w:r>
      <w:r w:rsidR="00C31B2F" w:rsidRPr="00011C21">
        <w:rPr>
          <w:rFonts w:cs="Times New Roman"/>
          <w:noProof/>
          <w:szCs w:val="24"/>
          <w:vertAlign w:val="superscript"/>
        </w:rPr>
        <w:t>2)</w:t>
      </w:r>
      <w:r w:rsidR="00CF3544" w:rsidRPr="00011C21">
        <w:rPr>
          <w:rFonts w:cs="Times New Roman"/>
          <w:szCs w:val="24"/>
        </w:rPr>
        <w:fldChar w:fldCharType="end"/>
      </w:r>
    </w:p>
    <w:p w14:paraId="06E61E75" w14:textId="0D87B64F" w:rsidR="00CF3544" w:rsidRPr="005A536D" w:rsidRDefault="00CF3544" w:rsidP="00EC7F10">
      <w:pPr>
        <w:pStyle w:val="MainText151510"/>
        <w:adjustRightInd w:val="0"/>
        <w:spacing w:line="360" w:lineRule="auto"/>
        <w:ind w:firstLineChars="100" w:firstLine="240"/>
      </w:pPr>
      <w:r w:rsidRPr="00011C21">
        <w:rPr>
          <w:rFonts w:cs="Times New Roman"/>
          <w:szCs w:val="24"/>
        </w:rPr>
        <w:t xml:space="preserve">Furthermore, high expectations for </w:t>
      </w:r>
      <w:r w:rsidRPr="00011C21">
        <w:t>r-GeO</w:t>
      </w:r>
      <w:r w:rsidRPr="00011C21">
        <w:rPr>
          <w:vertAlign w:val="subscript"/>
        </w:rPr>
        <w:t>2</w:t>
      </w:r>
      <w:r w:rsidRPr="00011C21">
        <w:rPr>
          <w:rFonts w:cs="Times New Roman"/>
          <w:szCs w:val="24"/>
        </w:rPr>
        <w:t xml:space="preserve"> provide </w:t>
      </w:r>
      <w:r w:rsidRPr="00011C21">
        <w:t>r-SnO</w:t>
      </w:r>
      <w:r w:rsidRPr="00011C21">
        <w:rPr>
          <w:vertAlign w:val="subscript"/>
        </w:rPr>
        <w:t>2</w:t>
      </w:r>
      <w:r w:rsidRPr="00011C21">
        <w:rPr>
          <w:rFonts w:cs="Times New Roman"/>
          <w:szCs w:val="24"/>
        </w:rPr>
        <w:t xml:space="preserve"> with an opportunity to play an important role. </w:t>
      </w:r>
      <w:r w:rsidR="002E4345" w:rsidRPr="00011C21">
        <w:rPr>
          <w:rFonts w:cs="Times New Roman"/>
          <w:szCs w:val="24"/>
        </w:rPr>
        <w:t>Previously</w:t>
      </w:r>
      <w:r w:rsidRPr="00011C21">
        <w:rPr>
          <w:rFonts w:cs="Times New Roman"/>
          <w:szCs w:val="24"/>
        </w:rPr>
        <w:t xml:space="preserve">, </w:t>
      </w:r>
      <w:r w:rsidRPr="00011C21">
        <w:t>n-type unipolar r-SnO</w:t>
      </w:r>
      <w:r w:rsidRPr="00011C21">
        <w:rPr>
          <w:vertAlign w:val="subscript"/>
        </w:rPr>
        <w:t>2</w:t>
      </w:r>
      <w:r w:rsidRPr="00011C21">
        <w:fldChar w:fldCharType="begin" w:fldLock="1"/>
      </w:r>
      <w:r w:rsidR="00C71258" w:rsidRPr="00011C21">
        <w:instrText>ADDIN CSL_CITATION {"citationItems":[{"id":"ITEM-1","itemData":{"DOI":"10.1063/1.1651326","ISSN":"00036951","author":[{"dropping-particle":"","family":"Choudhary","given":"R. J.","non-dropping-particle":"","parse-names":false,"suffix":""},{"dropping-particle":"","family":"Ogale","given":"S. B.","non-dropping-particle":"","parse-names":false,"suffix":""},{"dropping-particle":"","family":"Shinde","given":"S. R.","non-dropping-particle":"","parse-names":false,"suffix":""},{"dropping-particle":"","family":"Kulkarni","given":"V. N.","non-dropping-particle":"","parse-names":false,"suffix":""},{"dropping-particle":"","family":"Venkatesan","given":"T.","non-dropping-particle":"","parse-names":false,"suffix":""},{"dropping-particle":"","family":"Harshavardhan","given":"K. S.","non-dropping-particle":"","parse-names":false,"suffix":""},{"dropping-particle":"","family":"Strikovski","given":"M.","non-dropping-particle":"","parse-names":false,"suffix":""},{"dropping-particle":"","family":"Hannoyer","given":"B.","non-dropping-particle":"","parse-names":false,"suffix":""}],"container-title":"Applied Physics Letters","id":"ITEM-1","issue":"9","issued":{"date-parts":[["2004"]]},"page":"1483-1485","title":"Pulsed-electron-beam deposition of transparent conducting SnO2 films and study of their properties","type":"article-journal","volume":"84"},"uris":["http://www.mendeley.com/documents/?uuid=934da086-ff8b-4157-8c02-58fd7ccc2ede"]}],"mendeley":{"formattedCitation":"&lt;sup&gt;11)&lt;/sup&gt;","plainTextFormattedCitation":"11)","previouslyFormattedCitation":"&lt;sup&gt;11)&lt;/sup&gt;"},"properties":{"noteIndex":0},"schema":"https://github.com/citation-style-language/schema/raw/master/csl-citation.json"}</w:instrText>
      </w:r>
      <w:r w:rsidRPr="00011C21">
        <w:fldChar w:fldCharType="separate"/>
      </w:r>
      <w:r w:rsidR="00C31B2F" w:rsidRPr="00011C21">
        <w:rPr>
          <w:noProof/>
          <w:vertAlign w:val="superscript"/>
        </w:rPr>
        <w:t>11)</w:t>
      </w:r>
      <w:r w:rsidRPr="00011C21">
        <w:fldChar w:fldCharType="end"/>
      </w:r>
      <w:r w:rsidRPr="00011C21">
        <w:t xml:space="preserve"> semiconductors have been employed in transparent conductive films,</w:t>
      </w:r>
      <w:r w:rsidRPr="00011C21">
        <w:fldChar w:fldCharType="begin" w:fldLock="1"/>
      </w:r>
      <w:r w:rsidR="00C71258" w:rsidRPr="00011C21">
        <w:instrText>ADDIN CSL_CITATION {"citationItems":[{"id":"ITEM-1","itemData":{"DOI":"10.1088/0268-1242/20/4/004","ISSN":"02681242","abstract":"The present status and prospects for further development of polycrystalline or amorphous transparent conducting oxide (TCO) semiconductors used for practical thin-film transparent electrode applications are presented in this paper. The important TCO semiconductors are impurity-doped ZnO, In 2O3 and SnO2 as well as multicomponent oxides consisting of combinations of ZnO, In2O3 and SnO 2, including some ternary compounds existing in their systems. Development of these and other TCO semiconductors is important because the expanding need for transparent electrodes for optoelectronic device applications is jeopardizing the availability of indium-tin-oxide (ITO), whose main constituent, indium, is a very expensive and scarce material. Al- and Ga-doped ZnO (AZO and GZO) semiconductors are promising as alternatives to ITO for thin-film transparent electrode applications. In particular, AZO thin films, with a low resistivity of the order of 10-5 Ωcm and source materials that are inexpensive and non-toxic, are the best candidates. However, further development of the deposition techniques, such as magnetron sputtering or vacuum arc plasma evaporation, as well as of the targets is required to enable the preparation of AZO and GZO films on large area substrates with a high deposition rate. © 2005 IOP Publishing Ltd.","author":[{"dropping-particle":"","family":"Minami","given":"Tadatsugu","non-dropping-particle":"","parse-names":false,"suffix":""}],"container-title":"Semiconductor Science and Technology","id":"ITEM-1","issue":"4","issued":{"date-parts":[["2005"]]},"page":"S35–S44","title":"Transparent conducting oxide semiconductors for transparent electrodes","type":"article-journal","volume":"20"},"uris":["http://www.mendeley.com/documents/?uuid=ad255a51-5a1f-48ea-a852-781e35c304d3"]}],"mendeley":{"formattedCitation":"&lt;sup&gt;12)&lt;/sup&gt;","plainTextFormattedCitation":"12)","previouslyFormattedCitation":"&lt;sup&gt;12)&lt;/sup&gt;"},"properties":{"noteIndex":0},"schema":"https://github.com/citation-style-language/schema/raw/master/csl-citation.json"}</w:instrText>
      </w:r>
      <w:r w:rsidRPr="00011C21">
        <w:fldChar w:fldCharType="separate"/>
      </w:r>
      <w:r w:rsidR="00C31B2F" w:rsidRPr="00011C21">
        <w:rPr>
          <w:noProof/>
          <w:vertAlign w:val="superscript"/>
        </w:rPr>
        <w:t>12)</w:t>
      </w:r>
      <w:r w:rsidRPr="00011C21">
        <w:fldChar w:fldCharType="end"/>
      </w:r>
      <w:r w:rsidRPr="00011C21">
        <w:t xml:space="preserve"> gas sensors,</w:t>
      </w:r>
      <w:r w:rsidRPr="00011C21">
        <w:fldChar w:fldCharType="begin" w:fldLock="1"/>
      </w:r>
      <w:r w:rsidR="00C71258" w:rsidRPr="00011C21">
        <w:instrText>ADDIN CSL_CITATION {"citationItems":[{"id":"ITEM-1","itemData":{"DOI":"10.1016/0925-4005(94)01546-T","ISSN":"09254005","abstract":"A survey is given on the current status and future prospects in research and development of SnO2-based sensors. Atomistic models of molecular recognition are discussed first. They include physisorption, chemisorption, surface reaction, catalytic reaction, grain boundary reaction, bulk reaction and three-phase boundary reaction steps. The influence of contact geometry and crystallinity on the sensor response signal is outlined. A brief summary is given of the current status of sensor research and development with emphasis on ceramic, thick-film and thin-film sensors based on crystalline, polycrystalline and nanocrystalline SnO2. Three different aspects are mentioned in the outline which are expected to lead to significantly improved performances of future sensors: the improved selectivity through the modulation frequency in a.c. measurements, the improved stability through the better control of structures, and the improved selectivity and drift compensation through pattern recognition. © 1995, All rights reserved.","author":[{"dropping-particle":"","family":"Göpel","given":"Wolfgang","non-dropping-particle":"","parse-names":false,"suffix":""},{"dropping-particle":"","family":"Schierbaum","given":"Klaus Dieter","non-dropping-particle":"","parse-names":false,"suffix":""}],"container-title":"Sensors and Actuators B","id":"ITEM-1","issue":"1-3","issued":{"date-parts":[["1995"]]},"page":"1-12","title":"SnO2 sensors: current status and future prospects","type":"article-journal","volume":"26"},"uris":["http://www.mendeley.com/documents/?uuid=8d674884-8c7f-4fbb-a8f2-357939e3f946"]}],"mendeley":{"formattedCitation":"&lt;sup&gt;13)&lt;/sup&gt;","plainTextFormattedCitation":"13)","previouslyFormattedCitation":"&lt;sup&gt;13)&lt;/sup&gt;"},"properties":{"noteIndex":0},"schema":"https://github.com/citation-style-language/schema/raw/master/csl-citation.json"}</w:instrText>
      </w:r>
      <w:r w:rsidRPr="00011C21">
        <w:fldChar w:fldCharType="separate"/>
      </w:r>
      <w:r w:rsidR="00C31B2F" w:rsidRPr="00011C21">
        <w:rPr>
          <w:noProof/>
          <w:vertAlign w:val="superscript"/>
        </w:rPr>
        <w:t>13)</w:t>
      </w:r>
      <w:r w:rsidRPr="00011C21">
        <w:fldChar w:fldCharType="end"/>
      </w:r>
      <w:r w:rsidRPr="00011C21">
        <w:t xml:space="preserve"> UV sensors,</w:t>
      </w:r>
      <w:r w:rsidRPr="00011C21">
        <w:fldChar w:fldCharType="begin" w:fldLock="1"/>
      </w:r>
      <w:r w:rsidR="00C71258" w:rsidRPr="00011C21">
        <w:instrText>ADDIN CSL_CITATION {"citationItems":[{"id":"ITEM-1","itemData":{"DOI":"10.1143/JJAP.48.120207","ISSN":"00214922","abstract":"A photoconductive-type SnO2-based photosensor was fabricated for monitoring UV-B rays that are harmful to human health. A SnO2 film was grown by plasma-assisted molecular beam epitaxy and postannealed in air to increase the resistivity of the film for decreasing dark current. The film had an optical bandgap of 4.1 eV, which is suitable for sensing UV-B rays. The sensor exhibited a large photoresponsivity in the UV-B region. The external quantum efficiency at 290nm was 10%. These results support the development of simple and low-cost UV-B sensors based on SnO2. © 2009 The Japan Society of Applied Physics.","author":[{"dropping-particle":"","family":"Oshima","given":"Takayoshi","non-dropping-particle":"","parse-names":false,"suffix":""},{"dropping-particle":"","family":"Okuno","given":"Takeya","non-dropping-particle":"","parse-names":false,"suffix":""},{"dropping-particle":"","family":"Fujita","given":"Shizuo","non-dropping-particle":"","parse-names":false,"suffix":""}],"container-title":"Japanese Journal of Applied Physics","id":"ITEM-1","issue":"12","issued":{"date-parts":[["2009"]]},"page":"120207","title":"UV-B sensor based on a SnO2 thin film","type":"article-journal","volume":"48"},"uris":["http://www.mendeley.com/documents/?uuid=33c743c7-f1aa-4720-a783-67447bc28cb8"]}],"mendeley":{"formattedCitation":"&lt;sup&gt;14)&lt;/sup&gt;","plainTextFormattedCitation":"14)","previouslyFormattedCitation":"&lt;sup&gt;14)&lt;/sup&gt;"},"properties":{"noteIndex":0},"schema":"https://github.com/citation-style-language/schema/raw/master/csl-citation.json"}</w:instrText>
      </w:r>
      <w:r w:rsidRPr="00011C21">
        <w:fldChar w:fldCharType="separate"/>
      </w:r>
      <w:r w:rsidR="00C31B2F" w:rsidRPr="00011C21">
        <w:rPr>
          <w:noProof/>
          <w:vertAlign w:val="superscript"/>
        </w:rPr>
        <w:t>14)</w:t>
      </w:r>
      <w:r w:rsidRPr="00011C21">
        <w:fldChar w:fldCharType="end"/>
      </w:r>
      <w:r w:rsidRPr="00011C21">
        <w:t xml:space="preserve"> and thin-film transistors</w:t>
      </w:r>
      <w:r w:rsidR="002E4345" w:rsidRPr="00011C21">
        <w:rPr>
          <w:rFonts w:cs="Times New Roman"/>
          <w:szCs w:val="24"/>
        </w:rPr>
        <w:t>.</w:t>
      </w:r>
      <w:r w:rsidRPr="00011C21">
        <w:fldChar w:fldCharType="begin" w:fldLock="1"/>
      </w:r>
      <w:r w:rsidR="00827621" w:rsidRPr="00011C21">
        <w:rPr>
          <w:rFonts w:cs="Times New Roman"/>
          <w:szCs w:val="24"/>
        </w:rPr>
        <w:instrText>ADDIN CSL_CITATION {"citationItems":[{"id":"ITEM-1","itemData":{"DOI":"10.1088/0022-3727/37/20/006","ISSN":"00223727","abstract":"A SnO2 transparent thin-film transistor (TTFT) is demonstrated. The SnO2 channel layer is deposited by RF magnetron sputtering and then rapid thermal annealed in O2 at 600°C. The TTFT is highly transparent, and enhancement-mode behaviour is achieved by employing a very thin channel layer (10-20 nm). Maximum field-effect mobilities of 0.8 cm 2 V-1 s-1 and 2.0 cm2 V -1 s-1 are obtained for enhancement- and depletion-mode devices, respectively. The transparent nature and the large drain current on-to-off ratio of 105 associated with the enhancement-mode behaviour of these devices may prove useful for novel gas-sensor applications.","author":[{"dropping-particle":"","family":"Presley","given":"R. E.","non-dropping-particle":"","parse-names":false,"suffix":""},{"dropping-particle":"","family":"Munsee","given":"C. L.","non-dropping-particle":"","parse-names":false,"suffix":""},{"dropping-particle":"","family":"Park","given":"C. H.","non-dropping-particle":"","parse-names":false,"suffix":""},{"dropping-particle":"","family":"Hong","given":"D.","non-dropping-particle":"","parse-names":false,"suffix":""},{"dropping-particle":"","family":"Wager","given":"J. F.","non-dropping-particle":"","parse-names":false,"suffix":""},{"dropping-particle":"","family":"Keszler","given":"D. A.","non-dropping-particle":"","parse-names":false,"suffix":""}],"container-title":"Journal of Physics D: Applied Physics","id":"ITEM-1","issue":"20","issued":{"date-parts":[["2004"]]},"page":"2810-2813","title":"Tin oxide transparent thin-film transistors","type":"article-journal","volume":"37"},"uris":["http://www.mendeley.com/documents/?uuid=7b88d9f7-f777-4cc1-a600-3d92c7e0d5ce"]},{"id":"ITEM-2","itemData":{"DOI":"10.7567/APEX.9.041101","ISSN":"18820786","abstract":"Silver oxide Schottky contacts (SCs), reactively sputtered using a low-power Ar:O2 rf-plasma on SnO2 films grown by mist-CVD, showed significantly improved figures-of-merit compared with plain-metal SCs, with barrier heights of 0.91 eV and ideality factors close to unity. These SCs were used to fabricate thin-film metal-semiconductor FETs with on/off ratios &gt; 106 on the same solution-procebed material. It is proposed that the high quality of these SCs is due to the oxidized fabrication methodology, whereby reactive oxygen species are likely to be present during the formation of the Schottky interface, leading to the removal of the native surface electron accumulation layer.","author":[{"dropping-particle":"","family":"Dang","given":"Giang T.","non-dropping-particle":"","parse-names":false,"suffix":""},{"dropping-particle":"","family":"Uchida","given":"Takayuki","non-dropping-particle":"","parse-names":false,"suffix":""},{"dropping-particle":"","family":"Kawaharamura","given":"Toshiyuki","non-dropping-particle":"","parse-names":false,"suffix":""},{"dropping-particle":"","family":"Furuta","given":"Mamoru","non-dropping-particle":"","parse-names":false,"suffix":""},{"dropping-particle":"","family":"Hyndman","given":"Adam R.","non-dropping-particle":"","parse-names":false,"suffix":""},{"dropping-particle":"","family":"Martinez","given":"Rodrigo","non-dropping-particle":"","parse-names":false,"suffix":""},{"dropping-particle":"","family":"Fujita","given":"Shizuo","non-dropping-particle":"","parse-names":false,"suffix":""},{"dropping-particle":"","family":"Reeves","given":"Roger J.","non-dropping-particle":"","parse-names":false,"suffix":""},{"dropping-particle":"","family":"Allen","given":"Martin W.","non-dropping-particle":"","parse-names":false,"suffix":""}],"container-title":"Applied Physics Express","id":"ITEM-2","issue":"4","issued":{"date-parts":[["2016"]]},"page":"041101","title":"Silver oxide Schottky contacts and metal semiconductor field-effect transistors on SnO2 thin films","type":"article-journal","volume":"9"},"uris":["http://www.mendeley.com/documents/?uuid=feee0d2b-bb47-4839-b6b9-6f7203f83995"]}],"mendeley":{"formattedCitation":"&lt;sup&gt;15,16)&lt;/sup&gt;","plainTextFormattedCitation":"15,16)","previouslyFormattedCitation":"&lt;sup&gt;15,16)&lt;/sup&gt;"},"properties":{"noteIndex":0},"schema":"https://github.com/citation-style-language/schema/raw/master/csl-citation.json"}</w:instrText>
      </w:r>
      <w:r w:rsidRPr="00011C21">
        <w:fldChar w:fldCharType="separate"/>
      </w:r>
      <w:r w:rsidR="00C71258" w:rsidRPr="00011C21">
        <w:rPr>
          <w:noProof/>
          <w:vertAlign w:val="superscript"/>
        </w:rPr>
        <w:t>15,16)</w:t>
      </w:r>
      <w:r w:rsidRPr="00011C21">
        <w:fldChar w:fldCharType="end"/>
      </w:r>
      <w:r w:rsidRPr="00011C21">
        <w:t xml:space="preserve"> </w:t>
      </w:r>
      <w:r w:rsidRPr="00011C21">
        <w:rPr>
          <w:rFonts w:eastAsia="ＭＳ 明朝" w:cs="Times New Roman"/>
          <w:szCs w:val="24"/>
        </w:rPr>
        <w:t xml:space="preserve">In addition to these applications, </w:t>
      </w:r>
      <w:r w:rsidRPr="00011C21">
        <w:t>r-SnO</w:t>
      </w:r>
      <w:r w:rsidRPr="00011C21">
        <w:rPr>
          <w:vertAlign w:val="subscript"/>
        </w:rPr>
        <w:t>2</w:t>
      </w:r>
      <w:r w:rsidRPr="00011C21">
        <w:t xml:space="preserve"> has </w:t>
      </w:r>
      <w:r w:rsidRPr="00011C21">
        <w:rPr>
          <w:rFonts w:cs="Times New Roman"/>
          <w:szCs w:val="24"/>
        </w:rPr>
        <w:t xml:space="preserve">been </w:t>
      </w:r>
      <w:r w:rsidR="002E4345" w:rsidRPr="00011C21">
        <w:t xml:space="preserve">recently </w:t>
      </w:r>
      <w:r w:rsidRPr="00011C21">
        <w:t>accepted as the terminal component of an r-GeO</w:t>
      </w:r>
      <w:r w:rsidRPr="00011C21">
        <w:rPr>
          <w:vertAlign w:val="subscript"/>
        </w:rPr>
        <w:t>2</w:t>
      </w:r>
      <w:r w:rsidRPr="00011C21">
        <w:t>-bas</w:t>
      </w:r>
      <w:r w:rsidRPr="005A536D">
        <w:t xml:space="preserve">ed solid solution to propose a </w:t>
      </w:r>
      <w:r w:rsidRPr="005A536D">
        <w:rPr>
          <w:rFonts w:cs="Times New Roman"/>
          <w:szCs w:val="24"/>
          <w:lang w:val="en"/>
        </w:rPr>
        <w:t xml:space="preserve">novel rutile-type </w:t>
      </w:r>
      <w:r w:rsidRPr="005A536D">
        <w:t>wide-band-gap semiconductor</w:t>
      </w:r>
      <w:r w:rsidR="003B40B3" w:rsidRPr="005A536D">
        <w:rPr>
          <w:rFonts w:cs="Times New Roman"/>
          <w:szCs w:val="24"/>
        </w:rPr>
        <w:t>–</w:t>
      </w:r>
      <w:r w:rsidRPr="005A536D">
        <w:t>alloy system</w:t>
      </w:r>
      <w:r w:rsidRPr="005A536D">
        <w:fldChar w:fldCharType="begin" w:fldLock="1"/>
      </w:r>
      <w:r w:rsidR="004C0FAD" w:rsidRPr="005A536D">
        <w:rPr>
          <w:rFonts w:cs="Times New Roman"/>
          <w:szCs w:val="24"/>
        </w:rPr>
        <w:instrText>ADDIN CSL_CITATION {"citationItems":[{"id":"ITEM-1","itemData":{"DOI":"10.1063/5.0018031","ISSN":"00036951","abstract":"Ultrawide bandgap (UWBG) semiconductors (Eg &gt;3 eV) have tremendous potential for power-electronic applications. The current state-of-the-art UWBG materials such as β-Ga2O3, diamond, and AlN/AlGaN, however, show fundamental doping and thermal conductivity limitations that complicate technological adaption and motivate the search for alternative materials with superior properties. Rutile GeO2 (r-GeO2) has been theoretically established to have an ultrawide bandgap (4.64 eV), high electron mobility, high thermal conductivity (51 W m-1 K-1), and ambipolar dopability. While single-crystal r-GeO2 has been synthesized in bulk, the synthesis of r-GeO2 thin films has not been previously reported but is critical to enable microelectronics applications. Here, we report the growth of single-crystalline r-GeO2 thin films on commercially available R-plane sapphire substrates using molecular beam epitaxy. Due to a deeply metastable glass phase and high vapor pressure of GeO, the growth reaction involves the competition between absorption and desorption as well as rutile and amorphous formation. We control the competing reactions and stabilize the rutile-phase growth by utilizing (1) a buffer layer with reduced lattice misfit to reduce epitaxial strain and (2) the growth condition that allows the condensation of the preoxidized molecular precursor yet provides sufficient adatom mobility. The findings advance the synthesis of single-crystalline films of materials prone to glass formation and provide opportunities to realize promising ultra-wide-bandgap semiconductors.","author":[{"dropping-particle":"","family":"Chae","given":"Sieun","non-dropping-particle":"","parse-names":false,"suffix":""},{"dropping-particle":"","family":"Paik","given":"Hanjong","non-dropping-particle":"","parse-names":false,"suffix":""},{"dropping-particle":"","family":"Vu","given":"N. M.","non-dropping-particle":"","parse-names":false,"suffix":""},{"dropping-particle":"","family":"Kioupakis","given":"Emmanouil","non-dropping-particle":"","parse-names":false,"suffix":""},{"dropping-particle":"","family":"Heron","given":"John T.","non-dropping-particle":"","parse-names":false,"suffix":""}],"container-title":"Applied Physics Letters","id":"ITEM-1","issue":"7","issued":{"date-parts":[["2020"]]},"page":"072105","title":"Epitaxial stabilization of rutile germanium oxide thin film by molecular beam epitaxy","type":"article-journal","volume":"117"},"uris":["http://www.mendeley.com/documents/?uuid=c01ea1ed-a71e-484c-8c32-56558fffa3ac"]},{"id":"ITEM-2","itemData":{"DOI":"10.1103/PhysRevMaterials.6.084604","author":[{"dropping-particle":"","family":"Takane","given":"Hitoshi","non-dropping-particle":"","parse-names":false,"suffix":""},{"dropping-particle":"","family":"Ota","given":"Yuichi","non-dropping-particle":"","parse-names":false,"suffix":""},{"dropping-particle":"","family":"Wakamatsu","given":"Takeru","non-dropping-particle":"","parse-names":false,"suffix":""},{"dropping-particle":"","family":"Araki","given":"Tsutomu","non-dropping-particle":"","parse-names":false,"suffix":""},{"dropping-particle":"","family":"Tanaka","given":"Katsuhisa","non-dropping-particle":"","parse-names":false,"suffix":""},{"dropping-particle":"","family":"Kaneko","given":"Kentaro","non-dropping-particle":"","parse-names":false,"suffix":""}],"container-title":"Physical Review Materials","id":"ITEM-2","issue":"8","issued":{"date-parts":[["2022"]]},"page":"084604","title":"Band-gap engineering of rutile-structured SnO2-GeO2-SiO2 alloy system","type":"article-journal","volume":"6"},"uris":["http://www.mendeley.com/documents/?uuid=58e16a19-245c-442d-80ac-42475e6ea118"]},{"id":"ITEM-3","itemData":{"DOI":"10.1038/s43246-022-00290-y","ISBN":"4324602200290","ISSN":"26624443","abstract":"Germanium-based oxides such as rutile GeO2 are garnering attention owing to their wide band gaps and the prospects of ambipolar doping for application in high-power devices. Here, we present the use of germanium tetraisopropoxide (GTIP), a metal-organic chemical precursor, as a source of germanium for the demonstration of hybrid molecular beam epitaxy for germanium-containing compounds. We use Sn1-xGexO2 and SrSn1-xGexO3 as model systems to demonstrate our synthesis method. A combination of high-resolution X-ray diffraction, scanning transmission electron microscopy, and X-ray photoelectron spectroscopy confirms the successful growth of epitaxial rutile Sn1-xGexO2 on TiO2(001) substrates up to x = 0.54 and coherent perovskite SrSn1-xGexO3 on GdScO3(110) substrates up to x = 0.16. Characterization and first-principles calculations corroborate that germanium occupies the tin site, as opposed to the strontium site. These findings confirm the viability of the GTIP precursor for the growth of germanium-containing oxides by hybrid molecular beam epitaxy, thus providing a promising route to high-quality perovskite germanate films.","author":[{"dropping-particle":"","family":"Liu","given":"Fengdeng","non-dropping-particle":"","parse-names":false,"suffix":""},{"dropping-particle":"","family":"Truttmann","given":"Tristan K.","non-dropping-particle":"","parse-names":false,"suffix":""},{"dropping-particle":"","family":"Lee","given":"Dooyong","non-dropping-particle":"","parse-names":false,"suffix":""},{"dropping-particle":"","family":"Matthews","given":"Bethany E.","non-dropping-particle":"","parse-names":false,"suffix":""},{"dropping-particle":"","family":"Laraib","given":"Iflah","non-dropping-particle":"","parse-names":false,"suffix":""},{"dropping-particle":"","family":"Janotti","given":"Anderson","non-dropping-particle":"","parse-names":false,"suffix":""},{"dropping-particle":"","family":"Spurgeon","given":"Steven R.","non-dropping-particle":"","parse-names":false,"suffix":""},{"dropping-particle":"","family":"Chambers","given":"Scott A.","non-dropping-particle":"","parse-names":false,"suffix":""},{"dropping-particle":"","family":"Jalan","given":"Bharat","non-dropping-particle":"","parse-names":false,"suffix":""}],"container-title":"Communications Materials","id":"ITEM-3","issue":"1","issued":{"date-parts":[["2022"]]},"page":"69","title":"Hybrid molecular beam epitaxy of germanium-based oxides","type":"article-journal","volume":"3"},"uris":["http://www.mendeley.com/documents/?uuid=8dd00a9e-fd10-4e0a-8aeb-20db8892718a"]},{"id":"ITEM-4","itemData":{"author":[{"dropping-particle":"","family":"Nagashima","given":"Yo","non-dropping-particle":"","parse-names":false,"suffix":""},{"dropping-particle":"","family":"Fukumoto","given":"Michitaka","non-dropping-particle":"","parse-names":false,"suffix":""},{"dropping-particle":"","family":"Tsuchii","given":"Masato","non-dropping-particle":"","parse-names":false,"suffix":""},{"dropping-particle":"","family":"Sugisawa","given":"Yuki","non-dropping-particle":"","parse-names":false,"suffix":""},{"dropping-particle":"","family":"Sekiba","given":"Daiichiro","non-dropping-particle":"","parse-names":false,"suffix":""},{"dropping-particle":"","family":"Hasegawa","given":"Tetsuya","non-dropping-particle":"","parse-names":false,"suffix":""},{"dropping-particle":"","family":"Hirose","given":"Yasushi","non-dropping-particle":"","parse-names":false,"suffix":""}],"container-title":"Chemistry of Materials","id":"ITEM-4","issue":"24","issued":{"date-parts":[["2022"]]},"page":"10842-10848","title":"Deep Ultraviolet Transparent Electrode: Ta-Doped Rutile Sn1–xGexO2","type":"article-journal","volume":"34"},"uris":["http://www.mendeley.com/documents/?uuid=d91104c4-0fb8-4f3c-adc3-39ba658fb9f9"]}],"mendeley":{"formattedCitation":"&lt;sup&gt;17–20)&lt;/sup&gt;","plainTextFormattedCitation":"17–20)","previouslyFormattedCitation":"&lt;sup&gt;17–20)&lt;/sup&gt;"},"properties":{"noteIndex":0},"schema":"https://github.com/citation-style-language/schema/raw/master/csl-citation.json"}</w:instrText>
      </w:r>
      <w:r w:rsidRPr="005A536D">
        <w:fldChar w:fldCharType="separate"/>
      </w:r>
      <w:r w:rsidR="004C0FAD" w:rsidRPr="005A536D">
        <w:rPr>
          <w:noProof/>
          <w:vertAlign w:val="superscript"/>
        </w:rPr>
        <w:t>17–20)</w:t>
      </w:r>
      <w:r w:rsidRPr="005A536D">
        <w:fldChar w:fldCharType="end"/>
      </w:r>
      <w:r w:rsidRPr="005A536D">
        <w:t xml:space="preserve"> due to its second-largest band gap of 3.6 eV</w:t>
      </w:r>
      <w:r w:rsidRPr="005A536D">
        <w:fldChar w:fldCharType="begin" w:fldLock="1"/>
      </w:r>
      <w:r w:rsidR="00C669C7" w:rsidRPr="005A536D">
        <w:instrText>ADDIN CSL_CITATION {"citationItems":[{"id":"ITEM-1","itemData":{"DOI":"10.1103/PhysRevLett.41.1750","ISSN":"00319007","abstract":"We present for the first time two-photon measurements on rutile SnO2. The detailed polarization analysis yields Γ3+ symmetry for the direct forbidden 1S exciton and the upper valence band. Our results clear up the long-standing controversy concerning the symmetry of the upper valence band. © 1978 The American Physical Society.","author":[{"dropping-particle":"","family":"Fröhlich","given":"D.","non-dropping-particle":"","parse-names":false,"suffix":""},{"dropping-particle":"","family":"Kenklies","given":"R.","non-dropping-particle":"","parse-names":false,"suffix":""},{"dropping-particle":"","family":"Helbig","given":"R.","non-dropping-particle":"","parse-names":false,"suffix":""}],"container-title":"Physical Review Letters","id":"ITEM-1","issue":"25","issued":{"date-parts":[["1978"]]},"page":"1750-1751","title":"Band-gap assignment in SnO2 by two-photon spectroscopy","type":"article-journal","volume":"41"},"uris":["http://www.mendeley.com/documents/?uuid=c84333bd-e9e1-4474-8119-0ef453833c5a"]},{"id":"ITEM-2","itemData":{"DOI":"10.1016/S0038-1098(97)10151-X","ISSN":"00381098","abstract":"The S exciton series belonging to the fundamental gap and two hitherto unknown valence bands with even parity have been discovered by two-photon spectroscopy in the rutile-type semiconductor tin oxide (SnO2). Since at least three excitons were observed for each band, it was possible to determine accurately exciton binding energies and band gaps. © 1998 Elsevier Science Ltd.","author":[{"dropping-particle":"","family":"Reimann","given":"K.","non-dropping-particle":"","parse-names":false,"suffix":""},{"dropping-particle":"","family":"Steube","given":"M.","non-dropping-particle":"","parse-names":false,"suffix":""}],"container-title":"Solid State Communications","id":"ITEM-2","issue":"10","issued":{"date-parts":[["1998"]]},"page":"649-652","title":"Experimental determination of the electronic band structure of SnO2","type":"article-journal","volume":"105"},"uris":["http://www.mendeley.com/documents/?uuid=12b8c749-5aea-4aba-ac16-b9a81eede43d"]}],"mendeley":{"formattedCitation":"&lt;sup&gt;21,22)&lt;/sup&gt;","plainTextFormattedCitation":"21,22)","previouslyFormattedCitation":"&lt;sup&gt;21,22)&lt;/sup&gt;"},"properties":{"noteIndex":0},"schema":"https://github.com/citation-style-language/schema/raw/master/csl-citation.json"}</w:instrText>
      </w:r>
      <w:r w:rsidRPr="005A536D">
        <w:fldChar w:fldCharType="separate"/>
      </w:r>
      <w:r w:rsidR="004D4B39" w:rsidRPr="005A536D">
        <w:rPr>
          <w:noProof/>
          <w:vertAlign w:val="superscript"/>
        </w:rPr>
        <w:t>21,22)</w:t>
      </w:r>
      <w:r w:rsidRPr="005A536D">
        <w:fldChar w:fldCharType="end"/>
      </w:r>
      <w:r w:rsidRPr="005A536D">
        <w:t xml:space="preserve"> among the </w:t>
      </w:r>
      <w:r w:rsidRPr="005A536D">
        <w:rPr>
          <w:rFonts w:cs="Times New Roman"/>
          <w:szCs w:val="24"/>
          <w:lang w:val="en"/>
        </w:rPr>
        <w:t xml:space="preserve">rutile-type </w:t>
      </w:r>
      <w:r w:rsidRPr="005A536D">
        <w:t>oxide semiconductors.</w:t>
      </w:r>
      <w:r w:rsidRPr="005A536D">
        <w:rPr>
          <w:rFonts w:eastAsia="ＭＳ 明朝" w:cs="Times New Roman"/>
          <w:szCs w:val="24"/>
        </w:rPr>
        <w:t xml:space="preserve"> </w:t>
      </w:r>
      <w:r w:rsidRPr="005A536D">
        <w:t xml:space="preserve">Previously, </w:t>
      </w:r>
      <w:r w:rsidRPr="005A536D">
        <w:rPr>
          <w:rFonts w:eastAsia="ＭＳ 明朝"/>
        </w:rPr>
        <w:t xml:space="preserve">we </w:t>
      </w:r>
      <w:r w:rsidRPr="005A536D">
        <w:t>demonstrated that r-Ge</w:t>
      </w:r>
      <w:r w:rsidRPr="005A536D">
        <w:rPr>
          <w:i/>
          <w:vertAlign w:val="subscript"/>
        </w:rPr>
        <w:t>x</w:t>
      </w:r>
      <w:r w:rsidRPr="005A536D">
        <w:t>Sn</w:t>
      </w:r>
      <w:r w:rsidRPr="005A536D">
        <w:rPr>
          <w:vertAlign w:val="subscript"/>
        </w:rPr>
        <w:t>1</w:t>
      </w:r>
      <w:r w:rsidRPr="005A536D">
        <w:rPr>
          <w:rFonts w:ascii="Symbol" w:hAnsi="Symbol"/>
          <w:vertAlign w:val="subscript"/>
        </w:rPr>
        <w:t></w:t>
      </w:r>
      <w:r w:rsidRPr="005A536D">
        <w:rPr>
          <w:i/>
          <w:vertAlign w:val="subscript"/>
        </w:rPr>
        <w:t>x</w:t>
      </w:r>
      <w:r w:rsidRPr="005A536D">
        <w:t>O</w:t>
      </w:r>
      <w:r w:rsidRPr="005A536D">
        <w:rPr>
          <w:vertAlign w:val="subscript"/>
        </w:rPr>
        <w:t>2</w:t>
      </w:r>
      <w:r w:rsidRPr="005A536D">
        <w:rPr>
          <w:rFonts w:cs="Times New Roman"/>
          <w:szCs w:val="24"/>
        </w:rPr>
        <w:t xml:space="preserve"> alloy films could be epitaxially grown on r-TiO</w:t>
      </w:r>
      <w:r w:rsidRPr="005A536D">
        <w:rPr>
          <w:rFonts w:cs="Times New Roman"/>
          <w:szCs w:val="24"/>
          <w:vertAlign w:val="subscript"/>
        </w:rPr>
        <w:t>2</w:t>
      </w:r>
      <w:r w:rsidRPr="005A536D">
        <w:rPr>
          <w:rFonts w:cs="Times New Roman"/>
          <w:szCs w:val="24"/>
        </w:rPr>
        <w:t xml:space="preserve"> substrates across the whole composition range, allowing us to engineer the band gap between </w:t>
      </w:r>
      <w:r w:rsidRPr="005A536D">
        <w:t>3.8</w:t>
      </w:r>
      <w:r w:rsidR="003B40B3" w:rsidRPr="005A536D">
        <w:rPr>
          <w:rFonts w:cs="Times New Roman"/>
          <w:szCs w:val="24"/>
        </w:rPr>
        <w:t xml:space="preserve"> and </w:t>
      </w:r>
      <w:r w:rsidRPr="005A536D">
        <w:t>4.4 eV.</w:t>
      </w:r>
      <w:r w:rsidRPr="005A536D">
        <w:fldChar w:fldCharType="begin" w:fldLock="1"/>
      </w:r>
      <w:r w:rsidR="00C71258" w:rsidRPr="005A536D">
        <w:instrText>ADDIN CSL_CITATION {"citationItems":[{"id":"ITEM-1","itemData":{"DOI":"10.1103/PhysRevMaterials.6.084604","author":[{"dropping-particle":"","family":"Takane","given":"Hitoshi","non-dropping-particle":"","parse-names":false,"suffix":""},{"dropping-particle":"","family":"Ota","given":"Yuichi","non-dropping-particle":"","parse-names":false,"suffix":""},{"dropping-particle":"","family":"Wakamatsu","given":"Takeru","non-dropping-particle":"","parse-names":false,"suffix":""},{"dropping-particle":"","family":"Araki","given":"Tsutomu","non-dropping-particle":"","parse-names":false,"suffix":""},{"dropping-particle":"","family":"Tanaka","given":"Katsuhisa","non-dropping-particle":"","parse-names":false,"suffix":""},{"dropping-particle":"","family":"Kaneko","given":"Kentaro","non-dropping-particle":"","parse-names":false,"suffix":""}],"container-title":"Physical Review Materials","id":"ITEM-1","issue":"8","issued":{"date-parts":[["2022"]]},"page":"084604","title":"Band-gap engineering of rutile-structured SnO2-GeO2-SiO2 alloy system","type":"article-journal","volume":"6"},"uris":["http://www.mendeley.com/documents/?uuid=58e16a19-245c-442d-80ac-42475e6ea118"]}],"mendeley":{"formattedCitation":"&lt;sup&gt;18)&lt;/sup&gt;","plainTextFormattedCitation":"18)","previouslyFormattedCitation":"&lt;sup&gt;18)&lt;/sup&gt;"},"properties":{"noteIndex":0},"schema":"https://github.com/citation-style-language/schema/raw/master/csl-citation.json"}</w:instrText>
      </w:r>
      <w:r w:rsidRPr="005A536D">
        <w:fldChar w:fldCharType="separate"/>
      </w:r>
      <w:r w:rsidR="00C31B2F" w:rsidRPr="005A536D">
        <w:rPr>
          <w:noProof/>
          <w:vertAlign w:val="superscript"/>
        </w:rPr>
        <w:t>18)</w:t>
      </w:r>
      <w:r w:rsidRPr="005A536D">
        <w:fldChar w:fldCharType="end"/>
      </w:r>
      <w:r w:rsidRPr="005A536D">
        <w:t xml:space="preserve"> The result indicates that similar to the AlGaN and β-(Al</w:t>
      </w:r>
      <w:r w:rsidRPr="005A536D">
        <w:rPr>
          <w:i/>
          <w:vertAlign w:val="subscript"/>
        </w:rPr>
        <w:t>x</w:t>
      </w:r>
      <w:r w:rsidRPr="005A536D">
        <w:t>Ga</w:t>
      </w:r>
      <w:r w:rsidRPr="005A536D">
        <w:rPr>
          <w:vertAlign w:val="subscript"/>
        </w:rPr>
        <w:t>1</w:t>
      </w:r>
      <w:r w:rsidRPr="005A536D">
        <w:rPr>
          <w:rFonts w:ascii="Symbol" w:hAnsi="Symbol"/>
          <w:vertAlign w:val="subscript"/>
        </w:rPr>
        <w:t></w:t>
      </w:r>
      <w:r w:rsidRPr="005A536D">
        <w:rPr>
          <w:i/>
          <w:vertAlign w:val="subscript"/>
        </w:rPr>
        <w:t>x</w:t>
      </w:r>
      <w:r w:rsidRPr="005A536D">
        <w:t>)</w:t>
      </w:r>
      <w:r w:rsidRPr="005A536D">
        <w:rPr>
          <w:vertAlign w:val="subscript"/>
        </w:rPr>
        <w:t>2</w:t>
      </w:r>
      <w:r w:rsidRPr="005A536D">
        <w:t>O</w:t>
      </w:r>
      <w:r w:rsidRPr="005A536D">
        <w:rPr>
          <w:vertAlign w:val="subscript"/>
        </w:rPr>
        <w:t>3</w:t>
      </w:r>
      <w:r w:rsidRPr="005A536D">
        <w:t>, the r-Ge</w:t>
      </w:r>
      <w:r w:rsidRPr="005A536D">
        <w:rPr>
          <w:i/>
          <w:vertAlign w:val="subscript"/>
        </w:rPr>
        <w:t>x</w:t>
      </w:r>
      <w:r w:rsidRPr="005A536D">
        <w:t>Sn</w:t>
      </w:r>
      <w:r w:rsidRPr="005A536D">
        <w:rPr>
          <w:vertAlign w:val="subscript"/>
        </w:rPr>
        <w:t>1</w:t>
      </w:r>
      <w:r w:rsidRPr="005A536D">
        <w:rPr>
          <w:rFonts w:ascii="Symbol" w:hAnsi="Symbol"/>
          <w:vertAlign w:val="subscript"/>
        </w:rPr>
        <w:t></w:t>
      </w:r>
      <w:r w:rsidRPr="005A536D">
        <w:rPr>
          <w:i/>
          <w:vertAlign w:val="subscript"/>
        </w:rPr>
        <w:t>x</w:t>
      </w:r>
      <w:r w:rsidRPr="005A536D">
        <w:t>O</w:t>
      </w:r>
      <w:r w:rsidRPr="005A536D">
        <w:rPr>
          <w:vertAlign w:val="subscript"/>
        </w:rPr>
        <w:t>2</w:t>
      </w:r>
      <w:r w:rsidRPr="005A536D">
        <w:rPr>
          <w:rFonts w:cs="Times New Roman"/>
          <w:szCs w:val="24"/>
        </w:rPr>
        <w:t xml:space="preserve"> alloy can be utilized to produce complicated</w:t>
      </w:r>
      <w:r w:rsidRPr="005A536D">
        <w:t xml:space="preserve"> </w:t>
      </w:r>
      <w:r w:rsidRPr="005A536D">
        <w:rPr>
          <w:rFonts w:cs="Times New Roman"/>
          <w:szCs w:val="24"/>
        </w:rPr>
        <w:t>heterojunction</w:t>
      </w:r>
      <w:r w:rsidRPr="005A536D">
        <w:t xml:space="preserve"> devices such as modulation-doped field-effect transistors.</w:t>
      </w:r>
      <w:r w:rsidRPr="005A536D">
        <w:fldChar w:fldCharType="begin" w:fldLock="1"/>
      </w:r>
      <w:r w:rsidR="00C669C7" w:rsidRPr="005A536D">
        <w:instrText>ADDIN CSL_CITATION {"citationItems":[{"id":"ITEM-1","itemData":{"DOI":"10.1109/JPROC.2007.911060","ISSN":"00189219","abstract":"The rapid development of the RF power electronics requires the introduction of wide bandgap material due to its potential in high output power density, high operation voltage and high input impedance. GaN-based RF power devices have made substantial progresses in the last decade. This paper attempts to review the latest developments of the GaN HEMT technologies, including material growth, processing technologies, device epitaxial structures and MMIC designs, to achieve the state-of-the-art microwave and millimeter-wave performance. The reliability and manufacturing challenges are also discussed. © 2008 IEEE.","author":[{"dropping-particle":"","family":"Mishra","given":"Umesh K.","non-dropping-particle":"","parse-names":false,"suffix":""},{"dropping-particle":"","family":"Shen","given":"Likun","non-dropping-particle":"","parse-names":false,"suffix":""},{"dropping-particle":"","family":"Kazior","given":"Thomas E.","non-dropping-particle":"","parse-names":false,"suffix":""},{"dropping-particle":"","family":"Wu","given":"Yi Feng","non-dropping-particle":"","parse-names":false,"suffix":""}],"container-title":"Proceedings of the IEEE","id":"ITEM-1","issue":"2","issued":{"date-parts":[["2008"]]},"page":"287-305","title":"GaN-based RF power devices and amplifiers","type":"article-journal","volume":"96"},"uris":["http://www.mendeley.com/documents/?uuid=5d4d6c48-beb4-4249-ab68-73beece493f7"]},{"id":"ITEM-2","itemData":{"DOI":"10.1063/1.5006941","ISSN":"19319401","abstract":"Gallium oxide (Ga2O3) is emerging as a viable candidate for certain classes of power electronics, solar blind UV photodetectors, solar cells, and sensors with capabilities beyond existing technologies due to its large bandgap. It is usually reported that there are five different polymorphs of Ga2O3, namely, the monoclinic (β-Ga2O3), rhombohedral (α), defective spinel (γ), cubic (δ), or orthorhombic (ϵ) structures. Of these, the β-polymorph is the stable form under normal conditions and has been the most widely studied and utilized. Since melt growth techniques can be used to grow bulk crystals of β-GaO3, the cost of producing larger area, uniform substrates is potentially lower compared to the vapor growth techniques used to manufacture bulk crystals of GaN and SiC. The performance of technologically important high voltage rectifiers and enhancement-mode Metal-Oxide Field Effect Transistors benefit from the larger critical electric field of β-Ga2O3 relative to either SiC or GaN. However, the absence of clear demonstrations of p-type doping in Ga2O3, which may be a fundamental issue resulting from the band structure, makes it very difficult to simultaneously achieve low turn-on voltages and ultra-high breakdown. The purpose of this review is to summarize recent advances in the growth, processing, and device performance of the most widely studied polymorph, β-Ga2O3. The role of defects and impurities on the transport and optical properties of bulk, epitaxial, and nanostructures material, the difficulty in p-type doping, and the development of processing techniques like etching, contact formation, dielectrics for gate formation, and passivation are discussed. Areas where continued development is needed to fully exploit the properties of Ga2O3 are identified.","author":[{"dropping-particle":"","family":"Pearton","given":"S. J.","non-dropping-particle":"","parse-names":false,"suffix":""},{"dropping-particle":"","family":"Yang","given":"Jiancheng","non-dropping-particle":"","parse-names":false,"suffix":""},{"dropping-particle":"","family":"Cary","given":"Patrick H.","non-dropping-particle":"","parse-names":false,"suffix":""},{"dropping-particle":"","family":"Ren","given":"F.","non-dropping-particle":"","parse-names":false,"suffix":""},{"dropping-particle":"","family":"Kim","given":"Jihyun","non-dropping-particle":"","parse-names":false,"suffix":""},{"dropping-particle":"","family":"Tadjer","given":"Marko J.","non-dropping-particle":"","parse-names":false,"suffix":""},{"dropping-particle":"","family":"Mastro","given":"Michael A.","non-dropping-particle":"","parse-names":false,"suffix":""}],"container-title":"Applied Physics Reviews","id":"ITEM-2","issue":"1","issued":{"date-parts":[["2018","3","1"]]},"page":"011301","publisher":"American Institute of Physics Inc.","title":"A review of Ga2O3 materials, processing, and devices","type":"article-journal","volume":"5"},"uris":["http://www.mendeley.com/documents/?uuid=860d18c9-abf7-3a90-96dc-c84eacb5fc54"]}],"mendeley":{"formattedCitation":"&lt;sup&gt;23,24)&lt;/sup&gt;","plainTextFormattedCitation":"23,24)","previouslyFormattedCitation":"&lt;sup&gt;23,24)&lt;/sup&gt;"},"properties":{"noteIndex":0},"schema":"https://github.com/citation-style-language/schema/raw/master/csl-citation.json"}</w:instrText>
      </w:r>
      <w:r w:rsidRPr="005A536D">
        <w:fldChar w:fldCharType="separate"/>
      </w:r>
      <w:r w:rsidR="004D4B39" w:rsidRPr="005A536D">
        <w:rPr>
          <w:noProof/>
          <w:vertAlign w:val="superscript"/>
        </w:rPr>
        <w:t>23,24)</w:t>
      </w:r>
      <w:r w:rsidRPr="005A536D">
        <w:fldChar w:fldCharType="end"/>
      </w:r>
      <w:r w:rsidRPr="005A536D">
        <w:rPr>
          <w:rFonts w:cs="Times New Roman"/>
          <w:szCs w:val="24"/>
        </w:rPr>
        <w:t xml:space="preserve"> However, because the associated epitaxial growth techniques are still in their infancy, device-quality </w:t>
      </w:r>
      <w:r w:rsidR="0048545A" w:rsidRPr="0048545A">
        <w:rPr>
          <w:rFonts w:cs="Times New Roman"/>
          <w:szCs w:val="24"/>
        </w:rPr>
        <w:t>of this rutile-type oxide</w:t>
      </w:r>
      <w:r w:rsidR="0048545A">
        <w:rPr>
          <w:rFonts w:ascii="ＭＳ 明朝" w:eastAsia="ＭＳ 明朝" w:hAnsi="ＭＳ 明朝"/>
          <w:szCs w:val="24"/>
        </w:rPr>
        <w:t xml:space="preserve"> </w:t>
      </w:r>
      <w:r w:rsidRPr="005A536D">
        <w:rPr>
          <w:rFonts w:cs="Times New Roman"/>
          <w:szCs w:val="24"/>
        </w:rPr>
        <w:t>films</w:t>
      </w:r>
      <w:r w:rsidR="003B40B3" w:rsidRPr="005A536D">
        <w:rPr>
          <w:rFonts w:cs="Times New Roman"/>
          <w:szCs w:val="24"/>
        </w:rPr>
        <w:t xml:space="preserve"> cannot be produced</w:t>
      </w:r>
      <w:r w:rsidRPr="005A536D">
        <w:rPr>
          <w:rFonts w:cs="Times New Roman"/>
          <w:szCs w:val="24"/>
        </w:rPr>
        <w:t xml:space="preserve"> </w:t>
      </w:r>
      <w:r w:rsidR="003B40B3" w:rsidRPr="005A536D">
        <w:rPr>
          <w:rFonts w:cs="Times New Roman"/>
          <w:szCs w:val="24"/>
        </w:rPr>
        <w:t>from</w:t>
      </w:r>
      <w:r w:rsidRPr="005A536D">
        <w:rPr>
          <w:rFonts w:cs="Times New Roman"/>
          <w:szCs w:val="24"/>
        </w:rPr>
        <w:t xml:space="preserve"> this </w:t>
      </w:r>
      <w:r w:rsidR="003B40B3" w:rsidRPr="005A536D">
        <w:rPr>
          <w:rFonts w:cs="Times New Roman"/>
          <w:szCs w:val="24"/>
        </w:rPr>
        <w:t>r</w:t>
      </w:r>
      <w:r w:rsidR="009B22AB" w:rsidRPr="005A536D">
        <w:rPr>
          <w:rFonts w:cs="Times New Roman"/>
          <w:szCs w:val="24"/>
        </w:rPr>
        <w:t>utile-type</w:t>
      </w:r>
      <w:r w:rsidR="00E753E4" w:rsidRPr="005A536D">
        <w:rPr>
          <w:rFonts w:cs="Times New Roman"/>
          <w:szCs w:val="24"/>
        </w:rPr>
        <w:t xml:space="preserve"> </w:t>
      </w:r>
      <w:r w:rsidRPr="005A536D">
        <w:rPr>
          <w:rFonts w:cs="Times New Roman"/>
          <w:szCs w:val="24"/>
        </w:rPr>
        <w:t xml:space="preserve">oxide. Therefore, it is beneficial to </w:t>
      </w:r>
      <w:r w:rsidR="008800A9" w:rsidRPr="005A536D">
        <w:rPr>
          <w:rFonts w:cs="Times New Roman"/>
          <w:szCs w:val="24"/>
        </w:rPr>
        <w:t xml:space="preserve">elucidate </w:t>
      </w:r>
      <w:r w:rsidR="00E753E4" w:rsidRPr="005A536D">
        <w:rPr>
          <w:rFonts w:cs="Times New Roman"/>
          <w:szCs w:val="24"/>
        </w:rPr>
        <w:t xml:space="preserve">its growth </w:t>
      </w:r>
      <w:r w:rsidR="00E753E4" w:rsidRPr="005A536D">
        <w:rPr>
          <w:rStyle w:val="ac"/>
          <w:rFonts w:eastAsia="ＭＳ 明朝" w:cs="Times New Roman"/>
          <w:sz w:val="24"/>
          <w:szCs w:val="24"/>
        </w:rPr>
        <w:t>mechanism</w:t>
      </w:r>
      <w:r w:rsidR="008800A9" w:rsidRPr="005A536D">
        <w:rPr>
          <w:rFonts w:cs="Times New Roman"/>
          <w:szCs w:val="24"/>
        </w:rPr>
        <w:t xml:space="preserve"> </w:t>
      </w:r>
      <w:r w:rsidR="00E753E4" w:rsidRPr="005A536D">
        <w:rPr>
          <w:rFonts w:cs="Times New Roman"/>
          <w:szCs w:val="24"/>
        </w:rPr>
        <w:t xml:space="preserve">to improve </w:t>
      </w:r>
      <w:r w:rsidR="008F0819" w:rsidRPr="005A536D">
        <w:rPr>
          <w:rFonts w:cs="Times New Roman"/>
          <w:szCs w:val="24"/>
        </w:rPr>
        <w:t>the</w:t>
      </w:r>
      <w:r w:rsidR="0048545A">
        <w:rPr>
          <w:rFonts w:cs="Times New Roman"/>
          <w:szCs w:val="24"/>
        </w:rPr>
        <w:t xml:space="preserve"> film</w:t>
      </w:r>
      <w:r w:rsidR="00E753E4" w:rsidRPr="005A536D">
        <w:rPr>
          <w:rFonts w:cs="Times New Roman"/>
          <w:szCs w:val="24"/>
        </w:rPr>
        <w:t xml:space="preserve"> qualit</w:t>
      </w:r>
      <w:r w:rsidR="008F0819" w:rsidRPr="005A536D">
        <w:rPr>
          <w:rFonts w:cs="Times New Roman"/>
          <w:szCs w:val="24"/>
        </w:rPr>
        <w:t>y</w:t>
      </w:r>
      <w:r w:rsidRPr="005A536D">
        <w:rPr>
          <w:rFonts w:cs="Times New Roman"/>
          <w:szCs w:val="24"/>
        </w:rPr>
        <w:t>.</w:t>
      </w:r>
    </w:p>
    <w:p w14:paraId="452B1731" w14:textId="725B9ADF" w:rsidR="00CF3544" w:rsidRPr="005A536D" w:rsidRDefault="004361E8" w:rsidP="00EC7F10">
      <w:pPr>
        <w:pStyle w:val="MainText151510"/>
        <w:adjustRightInd w:val="0"/>
        <w:spacing w:line="360" w:lineRule="auto"/>
        <w:ind w:firstLineChars="100" w:firstLine="240"/>
        <w:rPr>
          <w:rFonts w:eastAsiaTheme="minorEastAsia"/>
        </w:rPr>
      </w:pPr>
      <w:r w:rsidRPr="005A536D">
        <w:rPr>
          <w:rFonts w:cs="Times New Roman"/>
          <w:szCs w:val="24"/>
        </w:rPr>
        <w:t xml:space="preserve">Although bulk single crystals of </w:t>
      </w:r>
      <w:r w:rsidRPr="005A536D">
        <w:t>r-GeO</w:t>
      </w:r>
      <w:r w:rsidRPr="005A536D">
        <w:rPr>
          <w:vertAlign w:val="subscript"/>
        </w:rPr>
        <w:t>2</w:t>
      </w:r>
      <w:r w:rsidRPr="005A536D">
        <w:rPr>
          <w:rFonts w:cs="Times New Roman"/>
          <w:szCs w:val="24"/>
        </w:rPr>
        <w:t xml:space="preserve"> and r</w:t>
      </w:r>
      <w:r w:rsidRPr="005A536D">
        <w:t>-SnO</w:t>
      </w:r>
      <w:r w:rsidRPr="005A536D">
        <w:rPr>
          <w:vertAlign w:val="subscript"/>
        </w:rPr>
        <w:t>2</w:t>
      </w:r>
      <w:r w:rsidRPr="005A536D">
        <w:rPr>
          <w:rFonts w:cs="Times New Roman"/>
          <w:szCs w:val="24"/>
        </w:rPr>
        <w:t xml:space="preserve"> have been grown by flux</w:t>
      </w:r>
      <w:r w:rsidR="005D4405" w:rsidRPr="005A536D">
        <w:rPr>
          <w:rFonts w:cs="Times New Roman"/>
          <w:szCs w:val="24"/>
        </w:rPr>
        <w:t xml:space="preserve"> and</w:t>
      </w:r>
      <w:r w:rsidRPr="005A536D">
        <w:rPr>
          <w:rFonts w:cs="Times New Roman"/>
          <w:szCs w:val="24"/>
        </w:rPr>
        <w:t xml:space="preserve"> vapor transport</w:t>
      </w:r>
      <w:r w:rsidR="00C669C7" w:rsidRPr="005A536D">
        <w:rPr>
          <w:rFonts w:cs="Times New Roman"/>
          <w:szCs w:val="24"/>
        </w:rPr>
        <w:t xml:space="preserve"> </w:t>
      </w:r>
      <w:r w:rsidRPr="005A536D">
        <w:rPr>
          <w:rFonts w:cs="Times New Roman"/>
          <w:szCs w:val="24"/>
        </w:rPr>
        <w:t>methods</w:t>
      </w:r>
      <w:r w:rsidR="00C669C7" w:rsidRPr="005A536D">
        <w:rPr>
          <w:rFonts w:cs="Times New Roman"/>
          <w:szCs w:val="24"/>
        </w:rPr>
        <w:t>,</w:t>
      </w:r>
      <w:r w:rsidR="00C669C7" w:rsidRPr="005A536D">
        <w:rPr>
          <w:rFonts w:cs="Times New Roman"/>
          <w:szCs w:val="24"/>
        </w:rPr>
        <w:fldChar w:fldCharType="begin" w:fldLock="1"/>
      </w:r>
      <w:r w:rsidR="004C0FAD" w:rsidRPr="005A536D">
        <w:rPr>
          <w:rFonts w:cs="Times New Roman"/>
          <w:szCs w:val="24"/>
        </w:rPr>
        <w:instrText>ADDIN CSL_CITATION {"citationItems":[{"id":"ITEM-1","itemData":{"DOI":"10.1016/j.jcrysgro.2003.11.080","ISSN":"00220248","abstract":"Needle-like GaN crystals were grown on a graphite substrate by reaction with NH3 of Ga2O gas formed by reaction of Ga 2O3 with carbon. The reaction of Ga2O 3 with carbon was performed at 950°C in one silica glass tube and GaO gas thus formed was transported by Ar, and reacted with NH3 flowing in another silica glass tube at 1000°C. The crystals were identified as hexagonal wurtzite GaN by XRD and Raman spectroscopy. The crystals of 5-10μm wide and 50-100μm long grew upward from specific locations on the substrate. The growth mechanism was discussed from thermodynamic considerations. © 2003 Elsevier B.V. All rights reserved.","author":[{"dropping-particle":"","family":"Marley","given":"J. A.","non-dropping-particle":"","parse-names":false,"suffix":""},{"dropping-particle":"","family":"MacAvoy","given":"T. C.","non-dropping-particle":"","parse-names":false,"suffix":""}],"container-title":"Journal of Applied Physics","id":"ITEM-1","issue":"12","issued":{"date-parts":[["1961"]]},"page":"2504-2505","title":"Growth of stanic oxide crystals from the vapor phase","type":"article-journal","volume":"32"},"uris":["http://www.mendeley.com/documents/?uuid=5c46ad00-afb9-4f4b-ba9d-3ec40ce32af3"]},{"id":"ITEM-2","itemData":{"DOI":"10.1063/1.1777157","ISSN":"00218979","author":[{"dropping-particle":"","family":"Reed","given":"Thomas B.","non-dropping-particle":"","parse-names":false,"suffix":""},{"dropping-particle":"","family":"Roddy","given":"John T.","non-dropping-particle":"","parse-names":false,"suffix":""},{"dropping-particle":"","family":"Mariano","given":"Anthony N.","non-dropping-particle":"","parse-names":false,"suffix":""}],"container-title":"Journal of Applied Physics","id":"ITEM-2","issue":"3","issued":{"date-parts":[["1962"]]},"page":"1014-1015","title":"Vapor growth of tin oxide crystals","type":"article-journal","volume":"33"},"uris":["http://www.mendeley.com/documents/?uuid=3c432fde-7de4-4f48-a721-de9fe66aec0e"]},{"id":"ITEM-3","itemData":{"DOI":"10.1143/jjap.4.195","ISSN":"0021-4922","abstract":"In order to obtain single crystals of SnO 2 which can be used for the investigation of the intrinsic electrical and other related properties, crystal growth by the method using the vapor reaction of SnCl 4 with H 2 O was attempted, and was successfully performed. Colorless transparent single crystals with sizes up to 2×5×15 mm could be obtained by 24 hr run at 1300°C. The measurements of crystallographic properties, optical transmission, electrical conductivity and Hall effect were carried out with the grown single crystals. The crystals were found to be twins having {011} twinning plane. It was shown that the crystal is a typical n-type broad-band semiconductor having the value of the conductivity of a few Ω -1 ·cm -1 and the mobility of about 200 cm 2 ·volt -1 ·sec -1 at room temperature. The mobility of the crystals was found to change by the equation µ</w:instrText>
      </w:r>
      <w:r w:rsidR="004C0FAD" w:rsidRPr="005A536D">
        <w:rPr>
          <w:rFonts w:ascii="ＭＳ 明朝" w:eastAsia="ＭＳ 明朝" w:hAnsi="ＭＳ 明朝" w:hint="eastAsia"/>
          <w:szCs w:val="24"/>
        </w:rPr>
        <w:instrText>∝</w:instrText>
      </w:r>
      <w:r w:rsidR="004C0FAD" w:rsidRPr="005A536D">
        <w:rPr>
          <w:rFonts w:cs="Times New Roman"/>
          <w:szCs w:val="24"/>
        </w:rPr>
        <w:instrText xml:space="preserve"> T -2 above 250°K.","author":[{"dropping-particle":"","family":"Nagasawa","given":"Masahiro","non-dropping-particle":"","parse-names":false,"suffix":""},{"dropping-particle":"","family":"Shionoya","given":"Shigeo","non-dropping-particle":"","parse-names":false,"suffix":""},{"dropping-particle":"","family":"Makishima","given":"Shoji","non-dropping-particle":"","parse-names":false,"suffix":""}],"container-title":"Japanese Journal of Applied Physics","id":"ITEM-3","issue":"3","issued":{"date-parts":[["1965"]]},"page":"195-202","title":"Vapor Reaction Growth of SnO2 Single Crystals and Their Properties","type":"article-journal","volume":"4"},"uris":["http://www.mendeley.com/documents/?uuid=8470ed57-4c17-4738-b29b-d908720b3cca"]},{"id":"ITEM-4","itemData":{"author":[{"dropping-particle":"","family":"Kunkle","given":"H. F.","non-dropping-particle":"","parse-names":false,"suffix":""},{"dropping-particle":"","family":"Kohnke","given":"E. E.","non-dropping-particle":"","parse-names":false,"suffix":""}],"container-title":"Journal of Applied Physics","id":"ITEM-4","issue":"4","issued":{"date-parts":[["1965"]]},"page":"1489-1490","title":"Flux Growth of Stannic Oxide Crystals","type":"article-journal","volume":"36"},"uris":["http://www.mendeley.com/documents/?uuid=f357bc27-eb90-4a83-9fd2-8daa4b1fc65d"]},{"id":"ITEM-5","itemData":{"DOI":"10.1246/nikkashi.1974.1893","ISSN":"03694577","abstract":"Raw material, SnO2 powder mixed with graphite or tin powder, was placed in a porcelain crucible and heated at 1200°C in an electric furnace for 2hrs. Material containing 5 to 10 wt % of Sb2O3 was also used to obtain Sb-doped crystals. SnO2 needle crystals were grown above the raw material. It is supposed that SnO vapor was formed through the following reactions : and SnO2 crystals were subsequently deposited from the vapor phase with reoxidation of SnO. It was found that suitable contents of graphite were 5 to 7 wt %, and those of tin were 25 to 30 wt %. The considerable influence of a gap width between crucible and lid on the growth of SnO2 crystal was observed. Undoped SnO2 crystals which were colorless and transparent, were grown up to 50x0.06 × 0.06mm, and Sb-doped ones which were grayish blue and transparent, up to 30x1x0.1mm. Electrical resistivity of undoped crystals was 50 to 100Ω-cm at room temperature showing non-metallic conduction, and activation energy was 0.11 to 0.15 eV. On the other hand, electrical resistivity of Sb-doped crystals was 2.4X10-3Ω-cm at room temperature showing metallic conduction, and the temperature coefficient of the resistivity was 2.3×10-6 Ω-cm/°C. © 1974, The Chemical Society of Japan. All rights reserved.","author":[{"dropping-particle":"","family":"Fonstad","given":"C. G.","non-dropping-particle":"","parse-names":false,"suffix":""},{"dropping-particle":"","family":"Linz","given":"A.","non-dropping-particle":"","parse-names":false,"suffix":""},{"dropping-particle":"","family":"Rediker","given":"R. H.","non-dropping-particle":"","parse-names":false,"suffix":""}],"container-title":"Journal of The Electrochemical Society","id":"ITEM-5","issue":"9","issued":{"date-parts":[["1969"]]},"page":"1269-1271","title":"Vapor Phase Growth of Stannic Oxide Crystals","type":"article-journal","volume":"116"},"uris":["http://www.mendeley.com/documents/?uuid=b759b295-0294-4bf7-ab4c-c0fdd4dbbb64"]},{"id":"ITEM-6","itemData":{"author":[{"dropping-particle":"","family":"Goodrum","given":"John W.","non-dropping-particle":"","parse-names":false,"suffix":""}],"container-title":"Journal of Crystal Growth","id":"ITEM-6","issued":{"date-parts":[["1970"]]},"page":"254-256","title":"Top-Seeded Flux Growth of Tetragonal GeO2","type":"article-journal","volume":"7"},"uris":["http://www.mendeley.com/documents/?uuid=7a9b48ab-4edd-44bf-8bf6-c6c13bb7e415"]},{"id":"ITEM-7","itemData":{"author":[{"dropping-particle":"","family":"Agafonov","given":"V.","non-dropping-particle":"","parse-names":false,"suffix":""},{"dropping-particle":"","family":"Michel","given":"D.","non-dropping-particle":"","parse-names":false,"suffix":""},{"dropping-particle":"","family":"Perez y Jorba","given":"M.","non-dropping-particle":"","parse-names":false,"suffix":""},{"dropping-particle":"","family":"Fedoroff","given":"M.","non-dropping-particle":"","parse-names":false,"suffix":""}],"container-title":"Materials Research Bulletin","id":"ITEM-7","issue":"2","issued":{"date-parts":[["1984"]]},"page":"233-239","title":"Chemical and Crystallographic Characterization of Crystals Grown By Chemical Vapor Transport in The Fe2O3-GeO2 System","type":"article-journal","volume":"19"},"uris":["http://www.mendeley.com/documents/?uuid=2892d79c-21fa-498a-b380-e6fe4b669b58"]},{"id":"ITEM-8","itemData":{"DOI":"10.1002/pssa.201330020","ISSN":"18626300","abstract":"SnO2 is a semiconductor with a wide optical bandgap (3.5 eV), which makes it an attractive transparent semiconducting oxide (TSO) for electronic and opto-electronic applications. At elevated temperatures it is, however, much more unstable than other TSOs (such as ZnO, Ga2O 3, or In2O3). This leads to a rapid decomposition even under very high oxygen pressures. Our experiments showed that stoichiometric SnO2 does not melt up to 2100 °C, in contradiction to earlier published data. Bulk SnO2 single crystals, that could provide substrates for epitaxial growth, have not been reported so far. Hereby we report on truly bulk SnO2 single crystals of 1 inch diameter grown by physical vapor transport (PVT). The most volatile species during SnO2 decomposition is, in addition to oxygen, SnO, which is stable in the gas phase at high temperature and reacts again with oxygen at lower temperatures to form SnO2. We identified a relatively narrow temperature window, temperature gradients and a ratio of SnO/O2 for providing the best conditions for SnO2 single crystal growth. X-ray powder diffraction (XRD) proved the single SnO2 phase. Moreover, by selecting a suitable SnO/O2 ratio it was possible to obtain either n-type conductivity with electron concentrations up to 2 × 1018 cm-3 and electron mobilities up to 200 cm2 V-1 s-1, or insulating behavior. The crystals exhibited an optical absorption edge located at 330-355 nm, depending on the crystal orientation, and a good transparency over visible and near infrared (NIR) spectra. © 2014 WILEY-VCH Verlag GmbH &amp; Co. KGaA, Weinheim.","author":[{"dropping-particle":"","family":"Galazka","given":"Zbigniew","non-dropping-particle":"","parse-names":false,"suffix":""},{"dropping-particle":"","family":"Uecker","given":"Reinhard","non-dropping-particle":"","parse-names":false,"suffix":""},{"dropping-particle":"","family":"Klimm","given":"Detlef","non-dropping-particle":"","parse-names":false,"suffix":""},{"dropping-particle":"","family":"Irmscher","given":"Klaus","non-dropping-particle":"","parse-names":false,"suffix":""},{"dropping-particle":"","family":"Pietsch","given":"Mike","non-dropping-particle":"","parse-names":false,"suffix":""},{"dropping-particle":"","family":"Schewski","given":"Robert","non-dropping-particle":"","parse-names":false,"suffix":""},{"dropping-particle":"","family":"Albrecht","given":"Martin","non-dropping-particle":"","parse-names":false,"suffix":""},{"dropping-particle":"","family":"Kwasniewski","given":"Albert","non-dropping-particle":"","parse-names":false,"suffix":""},{"dropping-particle":"","family":"Ganschow","given":"Steffen","non-dropping-particle":"","parse-names":false,"suffix":""},{"dropping-particle":"","family":"Schulz","given":"Detlev","non-dropping-particle":"","parse-names":false,"suffix":""},{"dropping-particle":"","family":"Guguschev","given":"Christo","non-dropping-particle":"","parse-names":false,"suffix":""},{"dropping-particle":"","family":"Bertram","given":"Rainer","non-dropping-particle":"","parse-names":false,"suffix":""},{"dropping-particle":"","family":"Bickermann","given":"Matthias","non-dropping-particle":"","parse-names":false,"suffix":""},{"dropping-particle":"","family":"Fornari","given":"Roberto","non-dropping-particle":"","parse-names":false,"suffix":""}],"container-title":"Physica Status Solidi A","id":"ITEM-8","issue":"1","issued":{"date-parts":[["2014"]]},"page":"66-73","title":"Growth, characterization, and properties of bulk SnO2 single crystals","type":"article-journal","volume":"211"},"uris":["http://www.mendeley.com/documents/?uuid=5110a143-7725-498c-91ea-e13f29bdba26"]},{"id":"ITEM-9","itemData":{"DOI":"10.1021/acs.jpcc.0c07757","ISSN":"19327455","abstract":"GeO2 has an α-quartz-type crystal structure with a very wide fundamental band gap of 6.6 eV and is a good insulator. Here, we find that the stable rutile-GeO2 polymorph with a 4.6 eV band gap has a surprisingly low </w:instrText>
      </w:r>
      <w:r w:rsidR="004C0FAD" w:rsidRPr="005A536D">
        <w:rPr>
          <w:rFonts w:ascii="ＭＳ 明朝" w:eastAsia="ＭＳ 明朝" w:hAnsi="ＭＳ 明朝" w:hint="eastAsia"/>
          <w:szCs w:val="24"/>
        </w:rPr>
        <w:instrText>∼</w:instrText>
      </w:r>
      <w:r w:rsidR="004C0FAD" w:rsidRPr="005A536D">
        <w:rPr>
          <w:rFonts w:cs="Times New Roman"/>
          <w:szCs w:val="24"/>
        </w:rPr>
        <w:instrText>6.8 eV ionization potential, as predicted from the band alignment using first-principles calculations. Because of the short O-O distances in the rutile structure containing cations of small effective ionic radii such as Ge4+, the antibonding interaction between O 2p orbitals raises the valence band maximum energy level to an extent that hole doping appears feasible. Experimentally, we report the flux growth of 1.5 × 1.0 × 0.8 mm3 large rutile GeO2 single crystals and confirm the thermal stability for temperatures up to 1021 ± 10 °C. X-ray fluorescence spectroscopy shows the inclusion of unintentional Mo impurities from the Li2O-MoO3 flux, as well as the solubility of Ga in the r-GeO2 lattice as a prospective acceptor dopant. The resistance of the Ga- and Mo-codoped r-GeO2 single crystals is very high at room temperature, but it decreases by 2-3 orders of magnitude upon heating to 300 °C, which is attributed to thermally activated p-type conduction.","author":[{"dropping-particle":"","family":"Niedermeier","given":"Christian A.","non-dropping-particle":"","parse-names":false,"suffix":""},{"dropping-particle":"","family":"Ide","given":"Keisuke","non-dropping-particle":"","parse-names":false,"suffix":""},{"dropping-particle":"","family":"Katase","given":"Takayoshi","non-dropping-particle":"","parse-names":false,"suffix":""},{"dropping-particle":"","family":"Hosono","given":"Hideo","non-dropping-particle":"","parse-names":false,"suffix":""},{"dropping-particle":"","family":"Kamiya","given":"Toshio","non-dropping-particle":"","parse-names":false,"suffix":""}],"container-title":"The Journal of Physical Chemistry C","id":"ITEM-9","issue":"47","issued":{"date-parts":[["2020"]]},"page":"25721-25728","title":"Shallow valence band of rutile GeO2 and p-type doping","type":"article-journal","volume":"124"},"uris":["http://www.mendeley.com/documents/?uuid=b63f32bf-c947-40d3-97ea-e1e529b4fcbe"]},{"id":"ITEM-10","itemData":{"DOI":"10.1116/6.0002011","ISSN":"0734-2101","abstract":" Rutile compounds have exotic functional properties that can be applied for various electronic applications; however, the limited availability of epitaxial substrates has restricted the study of rutile thin films to a limited range of lattice parameters. Here, rutile GeO 2 is demonstrated as a new rutile substrate with lattice parameters of [Formula: see text] and [Formula: see text]. Rutile GeO 2 single crystals up to 4 mm in size are grown by the flux method. X-ray diffraction reveals high crystallinity with a rocking curve having a full width half-maximum of 0.0572°. After mechanical polishing, a surface roughness of less than 0.1 nm was obtained, and reflection high-energy electron diffraction shows a crystalline surface. Finally, epitaxial growth of (110)-oriented TiO 2 thin films on GeO 2 substrates was demonstrated using molecular beam epitaxy. Templated by rutile GeO 2 substrates, our findings open the possibility of stabilizing new rutile thin films and strain states for the tuning of physical properties. ","author":[{"dropping-particle":"","family":"Chae","given":"Sieun","non-dropping-particle":"","parse-names":false,"suffix":""},{"dropping-particle":"","family":"Pressley","given":"Lucas A.","non-dropping-particle":"","parse-names":false,"suffix":""},{"dropping-particle":"","family":"Paik","given":"Hanjong","non-dropping-particle":"","parse-names":false,"suffix":""},{"dropping-particle":"","family":"Gim","given":"Jiseok","non-dropping-particle":"","parse-names":false,"suffix":""},{"dropping-particle":"","family":"Werder","given":"Don","non-dropping-particle":"","parse-names":false,"suffix":""},{"dropping-particle":"","family":"Goodge","given":"Berit H.","non-dropping-particle":"","parse-names":false,"suffix":""},{"dropping-particle":"","family":"Kourkoutis","given":"Lena F.","non-dropping-particle":"","parse-names":false,"suffix":""},{"dropping-particle":"","family":"Hovden","given":"Robert","non-dropping-particle":"","parse-names":false,"suffix":""},{"dropping-particle":"","family":"McQueen","given":"Tyrel M.","non-dropping-particle":"","parse-names":false,"suffix":""},{"dropping-particle":"","family":"Kioupakis","given":"Emmanouil","non-dropping-particle":"","parse-names":false,"suffix":""},{"dropping-particle":"","family":"Heron","given":"John T.","non-dropping-particle":"","parse-names":false,"suffix":""}],"container-title":"Journal of Vacuum Science &amp; Technology A","id":"ITEM-10","issue":"5","issued":{"date-parts":[["2022"]]},"page":"050401","publisher":"American Vacuum Society","title":"Germanium dioxide: A new rutile substrate for epitaxial film growth","type":"article-journal","volume":"40"},"uris":["http://www.mendeley.com/documents/?uuid=9f4861bd-e266-4336-8749-57ef1b342210"]}],"mendeley":{"formattedCitation":"&lt;sup&gt;6,25–33)&lt;/sup&gt;","plainTextFormattedCitation":"6,25–33)","previouslyFormattedCitation":"&lt;sup&gt;6,25–33)&lt;/sup&gt;"},"properties":{"noteIndex":0},"schema":"https://github.com/citation-style-language/schema/raw/master/csl-citation.json"}</w:instrText>
      </w:r>
      <w:r w:rsidR="00C669C7" w:rsidRPr="005A536D">
        <w:rPr>
          <w:rFonts w:cs="Times New Roman"/>
          <w:szCs w:val="24"/>
        </w:rPr>
        <w:fldChar w:fldCharType="separate"/>
      </w:r>
      <w:r w:rsidR="004C0FAD" w:rsidRPr="005A536D">
        <w:rPr>
          <w:rFonts w:cs="Times New Roman"/>
          <w:noProof/>
          <w:szCs w:val="24"/>
          <w:vertAlign w:val="superscript"/>
        </w:rPr>
        <w:t>6,25–33)</w:t>
      </w:r>
      <w:r w:rsidR="00C669C7" w:rsidRPr="005A536D">
        <w:rPr>
          <w:rFonts w:cs="Times New Roman"/>
          <w:szCs w:val="24"/>
        </w:rPr>
        <w:fldChar w:fldCharType="end"/>
      </w:r>
      <w:r w:rsidRPr="005A536D">
        <w:rPr>
          <w:rFonts w:cs="Times New Roman"/>
          <w:szCs w:val="24"/>
        </w:rPr>
        <w:t xml:space="preserve"> the</w:t>
      </w:r>
      <w:r w:rsidR="00B64C54" w:rsidRPr="005A536D">
        <w:rPr>
          <w:rFonts w:cs="Times New Roman"/>
          <w:szCs w:val="24"/>
        </w:rPr>
        <w:t>se</w:t>
      </w:r>
      <w:r w:rsidRPr="005A536D">
        <w:rPr>
          <w:rFonts w:cs="Times New Roman"/>
          <w:szCs w:val="24"/>
        </w:rPr>
        <w:t xml:space="preserve"> </w:t>
      </w:r>
      <w:r w:rsidR="00B64C54" w:rsidRPr="005A536D">
        <w:rPr>
          <w:rFonts w:cs="Times New Roman"/>
          <w:szCs w:val="24"/>
        </w:rPr>
        <w:t>methods</w:t>
      </w:r>
      <w:r w:rsidRPr="005A536D">
        <w:t xml:space="preserve"> are still in </w:t>
      </w:r>
      <w:r w:rsidR="00B64C54" w:rsidRPr="005A536D">
        <w:rPr>
          <w:rFonts w:cs="Times New Roman"/>
          <w:szCs w:val="24"/>
        </w:rPr>
        <w:t>a</w:t>
      </w:r>
      <w:r w:rsidRPr="005A536D">
        <w:t xml:space="preserve"> trial stage</w:t>
      </w:r>
      <w:r w:rsidR="00B64C54" w:rsidRPr="005A536D">
        <w:rPr>
          <w:rFonts w:cs="Times New Roman"/>
          <w:szCs w:val="24"/>
        </w:rPr>
        <w:t>, making it</w:t>
      </w:r>
      <w:r w:rsidRPr="005A536D">
        <w:t xml:space="preserve"> difficult to produce low-cost</w:t>
      </w:r>
      <w:r w:rsidR="00B64C54" w:rsidRPr="005A536D">
        <w:rPr>
          <w:rFonts w:cs="Times New Roman"/>
          <w:szCs w:val="24"/>
        </w:rPr>
        <w:t>,</w:t>
      </w:r>
      <w:r w:rsidR="00B64C54" w:rsidRPr="005A536D">
        <w:t xml:space="preserve"> </w:t>
      </w:r>
      <w:r w:rsidRPr="005A536D">
        <w:t xml:space="preserve">reliable substrates for </w:t>
      </w:r>
      <w:r w:rsidR="002045C1" w:rsidRPr="005A536D">
        <w:rPr>
          <w:rFonts w:cs="Times New Roman"/>
          <w:szCs w:val="24"/>
        </w:rPr>
        <w:t>epitaxy</w:t>
      </w:r>
      <w:r w:rsidRPr="005A536D">
        <w:t>.</w:t>
      </w:r>
      <w:r w:rsidR="00CF3544" w:rsidRPr="005A536D">
        <w:rPr>
          <w:rFonts w:eastAsia="ＭＳ 明朝"/>
        </w:rPr>
        <w:t xml:space="preserve"> </w:t>
      </w:r>
      <w:r w:rsidRPr="005A536D">
        <w:t xml:space="preserve">Therefore, </w:t>
      </w:r>
      <w:r w:rsidR="00CF3544" w:rsidRPr="005A536D">
        <w:rPr>
          <w:rFonts w:eastAsiaTheme="minorEastAsia"/>
        </w:rPr>
        <w:t>r-GeO</w:t>
      </w:r>
      <w:r w:rsidR="00CF3544" w:rsidRPr="005A536D">
        <w:rPr>
          <w:rFonts w:eastAsiaTheme="minorEastAsia"/>
          <w:vertAlign w:val="subscript"/>
        </w:rPr>
        <w:t>2</w:t>
      </w:r>
      <w:r w:rsidR="00CF3544" w:rsidRPr="005A536D">
        <w:rPr>
          <w:rFonts w:eastAsiaTheme="minorEastAsia"/>
        </w:rPr>
        <w:t>, r-SnO</w:t>
      </w:r>
      <w:r w:rsidR="00CF3544" w:rsidRPr="005A536D">
        <w:rPr>
          <w:rFonts w:eastAsiaTheme="minorEastAsia"/>
          <w:vertAlign w:val="subscript"/>
        </w:rPr>
        <w:t>2</w:t>
      </w:r>
      <w:r w:rsidR="00CF3544" w:rsidRPr="005A536D">
        <w:rPr>
          <w:rFonts w:eastAsiaTheme="minorEastAsia"/>
        </w:rPr>
        <w:t xml:space="preserve">, and </w:t>
      </w:r>
      <w:r w:rsidR="00CF3544" w:rsidRPr="005A536D">
        <w:t>their alloys</w:t>
      </w:r>
      <w:r w:rsidR="00CF3544" w:rsidRPr="005A536D">
        <w:rPr>
          <w:rFonts w:eastAsiaTheme="minorEastAsia"/>
        </w:rPr>
        <w:t xml:space="preserve"> are routinely </w:t>
      </w:r>
      <w:proofErr w:type="spellStart"/>
      <w:r w:rsidR="00CF3544" w:rsidRPr="005A536D">
        <w:rPr>
          <w:rFonts w:eastAsiaTheme="minorEastAsia"/>
        </w:rPr>
        <w:t>heteroepitaxially</w:t>
      </w:r>
      <w:proofErr w:type="spellEnd"/>
      <w:r w:rsidR="00CF3544" w:rsidRPr="005A536D">
        <w:rPr>
          <w:rFonts w:eastAsiaTheme="minorEastAsia"/>
        </w:rPr>
        <w:t xml:space="preserve"> grown on sapphire substrates</w:t>
      </w:r>
      <w:r w:rsidR="00CF3544" w:rsidRPr="005A536D">
        <w:rPr>
          <w:rFonts w:eastAsiaTheme="minorEastAsia"/>
        </w:rPr>
        <w:fldChar w:fldCharType="begin" w:fldLock="1"/>
      </w:r>
      <w:r w:rsidR="004C0FAD" w:rsidRPr="005A536D">
        <w:rPr>
          <w:rFonts w:eastAsiaTheme="minorEastAsia" w:cs="Times New Roman"/>
          <w:szCs w:val="24"/>
        </w:rPr>
        <w:instrText xml:space="preserve">ADDIN CSL_CITATION {"citationItems":[{"id":"ITEM-1","itemData":{"DOI":"10.1063/1.1426245","ISSN":"00218979","abstract":"An ultrafast (100 fs) Ti sapphire laser (780 nm) was used for the deposition of SnO 2 thin films. The laser-induced plasma generated from the SnO 2 target was characterized by optical emission spectroscopy and electrostatic energy analysis. It was found that the ionic versus excited-neutral component ratio in the plasma plume depends strongly on the amount of background oxygen introduced to the deposition chamber. Epitaxial SnO 2 films with high quality and a very smooth surface were deposited on the (1̄012) sapphire substrate fabricated at 700°C with an oxygen background pressure of </w:instrText>
      </w:r>
      <w:r w:rsidR="004C0FAD" w:rsidRPr="005A536D">
        <w:rPr>
          <w:rFonts w:ascii="ＭＳ 明朝" w:eastAsia="ＭＳ 明朝" w:hAnsi="ＭＳ 明朝" w:hint="eastAsia"/>
          <w:szCs w:val="24"/>
        </w:rPr>
        <w:instrText>∼</w:instrText>
      </w:r>
      <w:r w:rsidR="004C0FAD" w:rsidRPr="005A536D">
        <w:rPr>
          <w:rFonts w:eastAsiaTheme="minorEastAsia" w:cs="Times New Roman"/>
          <w:szCs w:val="24"/>
        </w:rPr>
        <w:instrText>0.1 mTorr. The films are single crystalline with the rutile structure, resulting from the high similarity in oxygen octahedral configurations between the sapphire (1̄012) surface and the SnO 2 (101) surface. Hall effect measurements showed that the electron mobility of the SnO 2 film is lower than that of bulk single crystal SnO 2, which is caused by the scattering of conduction electrons at the film surface, substrate/film interface, and crystal defects. © 2002 American Institute of Physics.","author":[{"dropping-particle":"","family":"Dominguez","given":"J. E.","non-dropping-particle":"","parse-names":false,"suffix":""},{"dropping-particle":"","family":"Pan","given":"X. Q.","non-dropping-particle":"","parse-names":false,"suffix":""},{"dropping-particle":"","family":"Fu","given":"L.","non-dropping-particle":"","parse-names":false,"suffix":""},{"dropping-particle":"","family":"Rompay","given":"P. A.","non-dropping-particle":"Van","parse-names":false,"suffix":""},{"dropping-particle":"","family":"Zhang","given":"Z.","non-dropping-particle":"","parse-names":false,"suffix":""},{"dropping-particle":"","family":"Nees","given":"J. A.","non-dropping-particle":"","parse-names":false,"suffix":""},{"dropping-particle":"","family":"Pronko","given":"P. P.","non-dropping-particle":"","parse-names":false,"suffix":""}],"container-title":"Journal of Applied Physics","id":"ITEM-1","issue":"3","issued":{"date-parts":[["2002"]]},"page":"1060-1065","title":"Epitaxial SnO 2 thin films grown on (1̄012) sapphire by femtosecond pulsed laser deposition","type":"article-journal","volume":"91"},"uris":["http://www.mendeley.com/documents/?uuid=1d50ccae-c458-4b29-9379-c17b60f5f5d1"]},{"id":"ITEM-2","itemData":{"DOI":"10.1063/1.1651326","ISSN":"00036951","author":[{"dropping-particle":"","family":"Choudhary","given":"R. J.","non-dropping-particle":"","parse-names":false,"suffix":""},{"dropping-particle":"","family":"Ogale","given":"S. B.","non-dropping-particle":"","parse-names":false,"suffix":""},{"dropping-particle":"","family":"Shinde","given":"S. R.","non-dropping-particle":"","parse-names":false,"suffix":""},{"dropping-particle":"","family":"Kulkarni","given":"V. N.","non-dropping-particle":"","parse-names":false,"suffix":""},{"dropping-particle":"","family":"Venkatesan","given":"T.","non-dropping-particle":"","parse-names":false,"suffix":""},{"dropping-particle":"","family":"Harshavardhan","given":"K. S.","non-dropping-particle":"","parse-names":false,"suffix":""},{"dropping-particle":"","family":"Strikovski","given":"M.","non-dropping-particle":"","parse-names":false,"suffix":""},{"dropping-particle":"","family":"Hannoyer","given":"B.","non-dropping-particle":"","parse-names":false,"suffix":""}],"container-title":"Applied Physics Letters","id":"ITEM-2","issue":"9","issued":{"date-parts":[["2004"]]},"page":"1483-1485","title":"Pulsed-electron-beam deposition of transparent conducting SnO2 films and study of their properties","type":"article-journal","volume":"84"},"uris":["http://www.mendeley.com/documents/?uuid=934da086-ff8b-4157-8c02-58fd7ccc2ede"]},{"id":"ITEM-3","itemData":{"DOI":"10.1002/pssc.201000619","ISSN":"18626351","abstract":"Single crystalline tin oxide (SnO2) thin films, as a candidate for next generation novel and multifunctional transparent devices, have been grown by the mist chemical vapour deposition (CVD) method. Using water solution of tin dichloride as a source precursor, which was ultrasonically atomized to form mist particles being transferred to the reaction area by a carrier gas, the mist CVD allows safe and cost-effective growth of high-quality single crystalline films on sapphire substrates. The carrier concentration and mobility were 1.9×1017 cm-3 and 55 cm2/Vs, respectively, which were comparable to those of SnO2 films grown by molecular beam epitaxy. Growth of safe materials such as oxides by environmental-friendly technology, as we demonstrated in this paper, is one of the targets to which future compound semiconductor technology should be directed. © 2011 WILEY-VCH Verlag GmbH &amp; Co. KGaA, Weinheim.","author":[{"dropping-particle":"","family":"Okuno","given":"Takeya","non-dropping-particle":"","parse-names":false,"suffix":""},{"dropping-particle":"","family":"Oshima","given":"Takayoshi","non-dropping-particle":"","parse-names":false,"suffix":""},{"dropping-particle":"","family":"Lee","given":"Sam Dong","non-dropping-particle":"","parse-names":false,"suffix":""},{"dropping-particle":"","family":"Fujita","given":"Shizuo","non-dropping-particle":"","parse-names":false,"suffix":""}],"container-title":"Physica Status Solidi C","id":"ITEM-3","issue":"2","issued":{"date-parts":[["2011"]]},"page":"540-542","title":"Growth of SnO2 crystalline thin films by mist chemical vapour deposition method","type":"article-journal","volume":"8"},"uris":["http://www.mendeley.com/documents/?uuid=71eab25f-1164-4837-a99c-b790f992a217"]},{"id":"ITEM-4","itemData":{"DOI":"10.1103/PhysRevB.86.245315","author":[{"dropping-particle":"","family":"Farahani","given":"S K Vasheghani","non-dropping-particle":"","parse-names":false,"suffix":""},{"dropping-particle":"","family":"Veal","given":"T D","non-dropping-particle":"","parse-names":false,"suffix":""},{"dropping-particle":"","family":"Sanchez","given":"A M","non-dropping-particle":"","parse-names":false,"suffix":""},{"dropping-particle":"","family":"Bierwagen","given":"Oliver","non-dropping-particle":"","parse-names":false,"suffix":""},{"dropping-particle":"","family":"White","given":"M E","non-dropping-particle":"","parse-names":false,"suffix":""},{"dropping-particle":"","family":"Gorfman","given":"S","non-dropping-particle":"","parse-names":false,"suffix":""},{"dropping-particle":"","family":"Thomas","given":"P A","non-dropping-particle":"","parse-names":false,"suffix":""},{"dropping-particle":"","family":"Speck","given":"James S.","non-dropping-particle":"","parse-names":false,"suffix":""},{"dropping-particle":"","family":"Mcconville","given":"C F","non-dropping-particle":"","parse-names":false,"suffix":""}],"container-title":"Physical Review B","id":"ITEM-4","issue":"24","issued":{"date-parts":[["2012"]]},"page":"245315","title":"Influence of charged-dislocation density variations on carrier mobility in heteroepitaxial semiconductors: The case of SnO2 on sapphire","type":"article-journal","volume":"86"},"uris":["http://www.mendeley.com/documents/?uuid=91e091b7-a3cd-4d04-820a-b1bc84cdea0e"]},{"id":"ITEM-5","itemData":{"DOI":"10.1063/5.0018031","ISSN":"00036951","abstract":"Ultrawide bandgap (UWBG) semiconductors (Eg &gt;3 eV) have tremendous potential for power-electronic applications. The current state-of-the-art UWBG materials such as β-Ga2O3, diamond, and AlN/AlGaN, however, show fundamental doping and thermal conductivity limitations that complicate technological adaption and motivate the search for alternative materials with superior properties. Rutile GeO2 (r-GeO2) has been theoretically established to have an ultrawide bandgap (4.64 eV), high electron mobility, high thermal conductivity (51 W m-1 K-1), and ambipolar dopability. While single-crystal r-GeO2 has been synthesized in bulk, the synthesis of r-GeO2 thin films has not been previously reported but is critical to enable microelectronics applications. Here, we report the growth of single-crystalline r-GeO2 thin films on commercially available R-plane sapphire substrates using molecular beam epitaxy. Due to a deeply metastable glass phase and high vapor pressure of GeO, the growth reaction involves the competition between absorption and desorption as well as rutile and amorphous formation. We control the competing reactions and stabilize the rutile-phase growth by utilizing (1) a buffer layer with reduced lattice misfit to reduce epitaxial strain and (2) the growth condition that allows the condensation of the preoxidized molecular precursor yet provides sufficient adatom mobility. The findings advance the synthesis of single-crystalline films of materials prone to glass formation and provide opportunities to realize promising ultra-wide-bandgap semiconductors.","author":[{"dropping-particle":"","family":"Chae","given":"Sieun","non-dropping-particle":"","parse-names":false,"suffix":""},{"dropping-particle":"","family":"Paik","given":"Hanjong","non-dropping-particle":"","parse-names":false,"suffix":""},{"dropping-particle":"","family":"Vu","given":"N. M.","non-dropping-particle":"","parse-names":false,"suffix":""},{"dropping-particle":"","family":"Kioupakis","given":"Emmanouil","non-dropping-particle":"","parse-names":false,"suffix":""},{"dropping-particle":"","family":"Heron","given":"John T.","non-dropping-particle":"","parse-names":false,"suffix":""}],"container-title":"Applied Physics Letters","id":"ITEM-5","issue":"7","issued":{"date-parts":[["2020"]]},"page":"072105","title":"Epitaxial stabilization of rutile germanium oxide thin film by molecular beam epitaxy","type":"article-journal","volume":"117"},"uris":["http://www.mendeley.com/documents/?uuid=c01ea1ed-a71e-484c-8c32-56558fffa3ac"]},{"id":"ITEM-6","itemData":{"DOI":"10.1063/5.0071918","ISSN":"0003-6951","author":[{"dropping-particle":"","family":"Deng","given":"Gaofeng","non-dropping-particle":"","parse-names":false,"suffix":""},{"dropping-particle":"","family":"Saito","given":"Katsuhiko","non-dropping-particle":"","parse-names":false,"suffix":""},{"dropping-particle":"","family":"Tanaka","given":"Tooru","non-dropping-particle":"","parse-names":false,"suffix":""},{"dropping-particle":"","family":"Arita","given":"Makoto","non-dropping-particle":"","parse-names":false,"suffix":""},{"dropping-particle":"","family":"Guo","given":"Qixin","non-dropping-particle":"","parse-names":false,"suffix":""}],"container-title":"Applied Physics Letters","id":"ITEM-6","issue":"18","issued":{"date-parts":[["2021"]]},"page":"182101","publisher":"AIP Publishing LLC","title":"Pulsed laser deposition growth of ultra-wide bandgap GeO2 film and its optical properties","type":"article-journal","volume":"119"},"uris":["http://www.mendeley.com/documents/?uuid=c4c9a75c-9bca-4f1e-9b57-f6062ff93af1"]},{"id":"ITEM-7","itemData":{"DOI":"10.1016/j.matlet.2022.132945","ISSN":"0167-577X","author":[{"dropping-particle":"","family":"Deng","given":"Gaofeng","non-dropping-particle":"","parse-names":false,"suffix":""},{"dropping-particle":"","family":"Huang","given":"Yafei","non-dropping-particle":"","parse-names":false,"suffix":""},{"dropping-particle":"","family":"Chen","given":"Zewei","non-dropping-particle":"","parse-names":false,"suffix":""},{"dropping-particle":"","family":"Saito","given":"Katsuhiko","non-dropping-particle":"","parse-names":false,"suffix":""},{"dropping-particle":"","family":"Tanaka","given":"Tooru","non-dropping-particle":"","parse-names":false,"suffix":""},{"dropping-particle":"","family":"Arita","given":"Makoto","non-dropping-particle":"","parse-names":false,"suffix":""},{"dropping-particle":"","family":"Guo","given":"Qixin","non-dropping-particle":"","parse-names":false,"suffix":""}],"container-title":"Materials Letters","id":"ITEM-7","issue":"1","issued":{"date-parts":[["2022"]]},"page":"132945","publisher":"Elsevier B.V.","title":"Heteroepitaxy of (100) -oriented rutile GeO2 film on c-plane sapphire by pulsed laser deposition","type":"article-journal","volume":"326"},"uris":["http://www.mendeley.com/documents/?uuid=6ec3ad13-e6ae-4aa5-a051-2fc817de5feb"]},{"id":"ITEM-8","itemData":{"author":[{"dropping-particle":"","family":"Nagashima","given":"Yo","non-dropping-particle":"","parse-names":false,"suffix":""},{"dropping-particle":"","family":"Fukumoto","given":"Michitaka","non-dropping-particle":"","parse-names":false,"suffix":""},{"dropping-particle":"","family":"Tsuchii","given":"Masato","non-dropping-particle":"","parse-names":false,"suffix":""},{"dropping-particle":"","family":"Sugisawa","given":"Yuki","non-dropping-particle":"","parse-names":false,"suffix":""},{"dropping-particle":"","family":"Sekiba","given":"Daiichiro","non-dropping-particle":"","parse-names":false,"suffix":""},{"dropping-particle":"","family":"Hasegawa","given":"Tetsuya","non-dropping-particle":"","parse-names":false,"suffix":""},{"dropping-particle":"","family":"Hirose","given":"Yasushi","non-dropping-particle":"","parse-names":false,"suffix":""}],"container-title":"Chemistry of Materials","id":"ITEM-8","issue":"24","issued":{"date-parts":[["2022"]]},"page":"10842-10848","title":"Deep Ultraviolet Transparent Electrode: Ta-Doped Rutile Sn1–xGexO2","type":"article-journal","volume":"34"},"uris":["http://www.mendeley.com/documents/?uuid=d91104c4-0fb8-4f3c-adc3-39ba658fb9f9"]}],"mendeley":{"formattedCitation":"&lt;sup&gt;11,17,20,34–38)&lt;/sup&gt;","plainTextFormattedCitation":"11,17,20,34–38)","previouslyFormattedCitation":"&lt;sup&gt;11,17,20,34–38)&lt;/sup&gt;"},"properties":{"noteIndex":0},"schema":"https://github.com/citation-style-language/schema/raw/master/csl-citation.json"}</w:instrText>
      </w:r>
      <w:r w:rsidR="00CF3544" w:rsidRPr="005A536D">
        <w:rPr>
          <w:rFonts w:eastAsiaTheme="minorEastAsia"/>
        </w:rPr>
        <w:fldChar w:fldCharType="separate"/>
      </w:r>
      <w:r w:rsidR="004C0FAD" w:rsidRPr="005A536D">
        <w:rPr>
          <w:rFonts w:eastAsiaTheme="minorEastAsia"/>
          <w:noProof/>
          <w:vertAlign w:val="superscript"/>
        </w:rPr>
        <w:t>11,17,20,34–38)</w:t>
      </w:r>
      <w:r w:rsidR="00CF3544" w:rsidRPr="005A536D">
        <w:rPr>
          <w:rFonts w:eastAsiaTheme="minorEastAsia"/>
        </w:rPr>
        <w:fldChar w:fldCharType="end"/>
      </w:r>
      <w:r w:rsidR="00CF3544" w:rsidRPr="005A536D">
        <w:rPr>
          <w:rFonts w:eastAsiaTheme="minorEastAsia"/>
        </w:rPr>
        <w:t xml:space="preserve"> or r-TiO</w:t>
      </w:r>
      <w:r w:rsidR="00CF3544" w:rsidRPr="005A536D">
        <w:rPr>
          <w:rFonts w:eastAsiaTheme="minorEastAsia"/>
          <w:vertAlign w:val="subscript"/>
        </w:rPr>
        <w:t>2</w:t>
      </w:r>
      <w:r w:rsidR="00CF3544" w:rsidRPr="005A536D">
        <w:rPr>
          <w:rFonts w:eastAsiaTheme="minorEastAsia"/>
        </w:rPr>
        <w:t xml:space="preserve"> substrates</w:t>
      </w:r>
      <w:r w:rsidR="00726B7B" w:rsidRPr="005A536D">
        <w:rPr>
          <w:rFonts w:eastAsiaTheme="minorEastAsia"/>
        </w:rPr>
        <w:t>.</w:t>
      </w:r>
      <w:r w:rsidR="00CF3544" w:rsidRPr="005A536D">
        <w:rPr>
          <w:rFonts w:eastAsiaTheme="minorEastAsia"/>
        </w:rPr>
        <w:fldChar w:fldCharType="begin" w:fldLock="1"/>
      </w:r>
      <w:r w:rsidR="004C0FAD" w:rsidRPr="005A536D">
        <w:rPr>
          <w:rFonts w:eastAsiaTheme="minorEastAsia" w:cs="Times New Roman"/>
          <w:szCs w:val="24"/>
        </w:rPr>
        <w:instrText>ADDIN CSL_CITATION {"citationItems":[{"id":"ITEM-1","itemData":{"DOI":"10.1143/jjap.40.6081","ISSN":"00214922","abstract":"Heteroepitaxial SnO2 thin films were grown on rutile (100) TiO2 single crystal substrates by pulsed laser deposition. The defect structure and surface morphology were investigated by transmission electron microscopy, reflection high-energy electron diffraction, and atomic force microscopy. The misfit-induced large biaxial compressive stress in the 200-nm-thick SnO2 thin film was almost fully relaxed to yield the high-density interfacial misfit dislocations and related planar defects. The misfit dislocation network on the hetero-interface consisted of two types of partial edge dislocations with Burgers vectors of 1/2&lt;101&gt; and 1/2&lt;110&gt;, which involved {101} and {010} planar defects formed in the film, respectively. The evolution of the surface morphology and cross-sectional structure for thinner films suggested that the introduction of such defects occurs at the early growth stage, due to large lattice misfit, and is strongly affected by point defect condensation.","author":[{"dropping-particle":"","family":"Wakabayashi","given":"Hirotaka","non-dropping-particle":"","parse-names":false,"suffix":""},{"dropping-particle":"","family":"Suzuki","given":"Toshimasa","non-dropping-particle":"","parse-names":false,"suffix":""},{"dropping-particle":"","family":"Iwazaki","given":"Yoshiki","non-dropping-particle":"","parse-names":false,"suffix":""},{"dropping-particle":"","family":"Fujimoto","given":"Masayuki","non-dropping-particle":"","parse-names":false,"suffix":""}],"container-title":"Japanese Journal of Applied Physics","id":"ITEM-1","issue":"10","issued":{"date-parts":[["2001"]]},"page":"6081-6087","title":"Defect structure of heteroepitaxial SnO2 thin films grown on TiO2 substrates","type":"article-journal","volume":"40"},"uris":["http://www.mendeley.com/documents/?uuid=78a7ae20-2966-4434-bf5d-16afc4d73b35"]},{"id":"ITEM-2","itemData":{"DOI":"10.1016/j.jcrysgro.2008.06.062","ISSN":"00220248","abstract":"Epitaxial growth of SnO2 on TiO2 (1 1 0) substrates by plasma-assisted molecular beam epitaxy was studied under various growth conditions to explore the potential for high-quality single crystalline growth. Phase-pure (1 1 0)-oriented SnO2 films with an optimum on-axis X-ray rocking curve scan full-width at half-maximum equal to 0.612° were grown. The film epitaxy proceeded in the Volmer-Weber growth mode. We identified different growth regimes by measuring growth rate variations correlated with increasing tin fluxes at a fixed oxygen pressure. Beginning in the oxygen-rich growth regime, growth rates increased linearly as the tin flux increased. Atomically flat surfaces were observed in the oxygen-rich regime. Continued tin flux increases resulted in a maximum growth rate of 470 nm/h. Further tin flux increases prevented SnO2 formation on the growth surface and acted as a nucleation barrier of SnO2 on the TiO2 substrates identifying a metal-rich growth regime.","author":[{"dropping-particle":"","family":"Tsai","given":"M. Y.","non-dropping-particle":"","parse-names":false,"suffix":""},{"dropping-particle":"","family":"White","given":"M. E.","non-dropping-particle":"","parse-names":false,"suffix":""},{"dropping-particle":"","family":"Speck","given":"James S.","non-dropping-particle":"","parse-names":false,"suffix":""}],"container-title":"Journal of Crystal Growth","id":"ITEM-2","issue":"18","issued":{"date-parts":[["2008"]]},"page":"4256-4261","title":"Plasma-assisted molecular beam epitaxy of SnO2 on TiO2","type":"article-journal","volume":"310"},"uris":["http://www.mendeley.com/documents/?uuid=fcfd4a1e-e5bc-4fe1-8e09-ad62c42d74c8"]},{"id":"ITEM-3","itemData":{"DOI":"10.1038/s41598-020-63800-3","ISSN":"20452322","PMID":"32321972","abstract":"Achieving high mobility in SnO2, which is a typical wide gap oxide semiconductor, has been pursued extensively for device applications such as field effect transistors, gas sensors, and transparent electrodes. In this study, we investigated the transport properties of lightly Ta-doped SnO2 (Sn1−xTaxO2, TTO) thin films epitaxially grown on TiO2 (001) substrates by pulsed laser deposition. The carrier density (ne) of the TTO films was systematically controlled by x. Optimized TTO (x = 3 × 10−3) films with ne ~ 1 × 1020 cm−3 exhibited a very high Hall mobility (μH) of 130 cm2V−1s−1 at room temperature, which is the highest among SnO2 films thus far reported. The μH value coincided well with the intrinsic limit of μH calculated on the assumption that only phonon and ionized impurities contribute to the carrier scattering. The suppressed grain-boundary scattering might be explained by the reduced density of the {101} crystallographic shear planes.","author":[{"dropping-particle":"","family":"Fukumoto","given":"Michitaka","non-dropping-particle":"","parse-names":false,"suffix":""},{"dropping-particle":"","family":"Nakao","given":"Shoichiro","non-dropping-particle":"","parse-names":false,"suffix":""},{"dropping-particle":"","family":"Shigematsu","given":"Kei","non-dropping-particle":"","parse-names":false,"suffix":""},{"dropping-particle":"","family":"Ogawa","given":"Daisuke","non-dropping-particle":"","parse-names":false,"suffix":""},{"dropping-particle":"","family":"Morikawa","given":"Kazuo","non-dropping-particle":"","parse-names":false,"suffix":""},{"dropping-particle":"","family":"Hirose","given":"Yasushi","non-dropping-particle":"","parse-names":false,"suffix":""},{"dropping-particle":"","family":"Hasegawa","given":"Tetsuya","non-dropping-particle":"","parse-names":false,"suffix":""}],"container-title":"Scientific Reports","id":"ITEM-3","issued":{"date-parts":[["2020"]]},"page":"6844","title":"High mobility approaching the intrinsic limit in Ta-doped SnO2 films epitaxially grown on TiO2 (001) substrates","type":"article-journal","volume":"10"},"uris":["http://www.mendeley.com/documents/?uuid=67e10aeb-a623-4d04-9d19-c0fdae0128a5"]},{"id":"ITEM-4","itemData":{"DOI":"10.14723/tmrsj.45.173","ISSN":"1382-3469","abstract":"Tin dioxide (SnO2) films were epitaxially grown on m-plane sapphire and (001) plane titanium dioxide (TiO2) substrates using mist chemical vapor deposition. The quality of SnO2 film was evaluated by full width at half maximum (FWHM) of X-ray diffraction (XRD) ω-rocking curve. The lowest value of FWHM was 0.06° for the SnO2 film on TiO2 substrate, which was lower than the other reported values. Not only vertical lattice constant but also lateral one were measured by XRD reciprocal space mapping (RSM) and transmission electron microscopy (TEM). Then, the lattice constants of the SnO2 film on TiO2 substrate were the same as those of the bulk SnO2. From the results of TEM and electron backscattering diffraction (EBSD) observations, the quality of the SnO2 film was higher at upper portion of the SnO2 film. These results indicated that high-quality single crystal SnO2 film was formed on TiO2 substrate.","author":[{"dropping-particle":"","family":"Win","given":"Thant Zin","non-dropping-particle":"","parse-names":false,"suffix":""},{"dropping-particle":"","family":"Inaba","given":"Katsuhiko","non-dropping-particle":"","parse-names":false,"suffix":""},{"dropping-particle":"","family":"Kobayashi","given":"Shintaro","non-dropping-particle":"","parse-names":false,"suffix":""},{"dropping-particle":"","family":"Kanetake","given":"Yuki","non-dropping-particle":"","parse-names":false,"suffix":""},{"dropping-particle":"","family":"Nakamura","given":"Yusui","non-dropping-particle":"","parse-names":false,"suffix":""}],"container-title":"Transactions of the Materials Research Society of Japan","id":"ITEM-4","issue":"5","issued":{"date-parts":[["2020"]]},"page":"173-178","title":"Epitaxy of Tin Dioxide on Titanium Dioxide by Mist Chemical Vapor Deposition","type":"article-journal","volume":"45"},"uris":["http://www.mendeley.com/documents/?uuid=4c57902c-a39c-419a-9859-c61455cd8d1c"]},{"id":"ITEM-5","itemData":{"DOI":"10.1063/5.0060785","ISSN":"00036951","abstract":"Recently, rutile germanium dioxide (r-GeO2) has emerged as a novel ultra-wide bandgap semiconductor due to its theoretical excellent properties, that is, high thermal conductivity, ambipolar dopability, and high carrier mobility, in addition to its wide bandgap (4.44-4.68 eV). In this study, r-GeO2 thin films were grown on (001) r-TiO2 substrates by mist chemical vapor deposition. To optimize the growth conditions, we analyzed the decomposition processes of the Ge source (C6H10Ge2O7) by thermogravimetry-differential thermal analysis. It is found that GeO2 was synthesized from C6H10Ge2O7 at 553-783 °C in aqueous vapor. We accomplished fabrication of (001)-oriented r-GeO2 on r-TiO2 with a growth rate of 1.2-1.7 μm/h. On the other hand, under lower growth rate conditions (50 nm/h), the full width at half maximum of the r-GeO2 002 peak remarked a relatively small value of 560 arc sec. In addition, clear diffraction spots of r-GeO2 and r-TiO2 were observed at the r-GeO2/r-TiO2 interface, and the film was found to be significantly strained along the in-plane direction (</w:instrText>
      </w:r>
      <w:r w:rsidR="004C0FAD" w:rsidRPr="005A536D">
        <w:rPr>
          <w:rFonts w:ascii="ＭＳ 明朝" w:eastAsia="ＭＳ 明朝" w:hAnsi="ＭＳ 明朝" w:hint="eastAsia"/>
          <w:szCs w:val="24"/>
        </w:rPr>
        <w:instrText>∼</w:instrText>
      </w:r>
      <w:r w:rsidR="004C0FAD" w:rsidRPr="005A536D">
        <w:rPr>
          <w:rFonts w:eastAsiaTheme="minorEastAsia" w:cs="Times New Roman"/>
          <w:szCs w:val="24"/>
        </w:rPr>
        <w:instrText>2.3%) by cross-sectional transmission el</w:instrText>
      </w:r>
      <w:r w:rsidR="004C0FAD" w:rsidRPr="005A536D">
        <w:rPr>
          <w:rFonts w:eastAsiaTheme="minorEastAsia" w:cs="Times New Roman" w:hint="eastAsia"/>
          <w:szCs w:val="24"/>
        </w:rPr>
        <w:instrText xml:space="preserve">ectron microscopy. The growth rate of </w:instrText>
      </w:r>
      <w:r w:rsidR="004C0FAD" w:rsidRPr="005A536D">
        <w:rPr>
          <w:rFonts w:eastAsiaTheme="minorEastAsia" w:cs="Times New Roman" w:hint="eastAsia"/>
          <w:szCs w:val="24"/>
        </w:rPr>
        <w:instrText>≧</w:instrText>
      </w:r>
      <w:r w:rsidR="004C0FAD" w:rsidRPr="005A536D">
        <w:rPr>
          <w:rFonts w:eastAsiaTheme="minorEastAsia" w:cs="Times New Roman" w:hint="eastAsia"/>
          <w:szCs w:val="24"/>
        </w:rPr>
        <w:instrText xml:space="preserve">1 </w:instrText>
      </w:r>
      <w:r w:rsidR="004C0FAD" w:rsidRPr="005A536D">
        <w:rPr>
          <w:rFonts w:eastAsiaTheme="minorEastAsia" w:cs="Times New Roman" w:hint="eastAsia"/>
          <w:szCs w:val="24"/>
        </w:rPr>
        <w:instrText>μ</w:instrText>
      </w:r>
      <w:r w:rsidR="004C0FAD" w:rsidRPr="005A536D">
        <w:rPr>
          <w:rFonts w:eastAsiaTheme="minorEastAsia" w:cs="Times New Roman" w:hint="eastAsia"/>
          <w:szCs w:val="24"/>
        </w:rPr>
        <w:instrText>m/h must contribute to the fabrication of thick r-GeO2 films, which can be utilized as power electronics devices with high breakdown voltage.","author":[{"dropping-particle":"","family":"Takane","given":"Hitoshi",</w:instrText>
      </w:r>
      <w:r w:rsidR="004C0FAD" w:rsidRPr="005A536D">
        <w:rPr>
          <w:rFonts w:eastAsiaTheme="minorEastAsia" w:cs="Times New Roman"/>
          <w:szCs w:val="24"/>
        </w:rPr>
        <w:instrText>"non-dropping-particle":"","parse-names":false,"suffix":""},{"dropping-particle":"","family":"Kaneko","given":"Kentaro","non-dropping-particle":"","parse-names":false,"suffix":""}],"container-title":"Applied Physics Letters","id":"ITEM-5","issue":"6","iss</w:instrText>
      </w:r>
      <w:r w:rsidR="004C0FAD" w:rsidRPr="005A536D">
        <w:rPr>
          <w:rFonts w:eastAsiaTheme="minorEastAsia" w:cs="Times New Roman" w:hint="eastAsia"/>
          <w:szCs w:val="24"/>
        </w:rPr>
        <w:instrText>ued":{"date-parts":[["2021"]]},"page":"062104","publisher":"AIP Publishing LLC","title":"Establishment of a growth route of crystallized rutile GeO2 thin film (</w:instrText>
      </w:r>
      <w:r w:rsidR="004C0FAD" w:rsidRPr="005A536D">
        <w:rPr>
          <w:rFonts w:eastAsiaTheme="minorEastAsia" w:cs="Times New Roman" w:hint="eastAsia"/>
          <w:szCs w:val="24"/>
        </w:rPr>
        <w:instrText>≧</w:instrText>
      </w:r>
      <w:r w:rsidR="004C0FAD" w:rsidRPr="005A536D">
        <w:rPr>
          <w:rFonts w:eastAsiaTheme="minorEastAsia" w:cs="Times New Roman" w:hint="eastAsia"/>
          <w:szCs w:val="24"/>
        </w:rPr>
        <w:instrText xml:space="preserve">1 </w:instrText>
      </w:r>
      <w:r w:rsidR="004C0FAD" w:rsidRPr="005A536D">
        <w:rPr>
          <w:rFonts w:eastAsiaTheme="minorEastAsia" w:cs="Times New Roman" w:hint="eastAsia"/>
          <w:szCs w:val="24"/>
        </w:rPr>
        <w:instrText>μ</w:instrText>
      </w:r>
      <w:r w:rsidR="004C0FAD" w:rsidRPr="005A536D">
        <w:rPr>
          <w:rFonts w:eastAsiaTheme="minorEastAsia" w:cs="Times New Roman" w:hint="eastAsia"/>
          <w:szCs w:val="24"/>
        </w:rPr>
        <w:instrText>m/h) and its structural properties","type":"article-journal","volume":"119"},"uris":["http:</w:instrText>
      </w:r>
      <w:r w:rsidR="004C0FAD" w:rsidRPr="005A536D">
        <w:rPr>
          <w:rFonts w:eastAsiaTheme="minorEastAsia" w:cs="Times New Roman"/>
          <w:szCs w:val="24"/>
        </w:rPr>
        <w:instrText>//www.mendeley.com/documents/?uuid=ceaf5040-cb0c-436f-b684-45ed366d8254"]},{"id":"ITEM-6","itemData":{"DOI":"10.1103/PhysRevMaterials.6.084604","author":[{"dropping-particle":"","family":"Takane","given":"Hitoshi","non-dropping-particle":"","parse-names":false,"suffix":""},{"dropping-particle":"","family":"Ota","given":"Yuichi","non-dropping-particle":"","parse-names":false,"suffix":""},{"dropping-particle":"","family":"Wakamatsu","given":"Takeru","non-dropping-particle":"","parse-names":false,"suffix":""},{"dropping-particle":"","family":"Araki","given":"Tsutomu","non-dropping-particle":"","parse-names":false,"suffix":""},{"dropping-particle":"","family":"Tanaka","given":"Katsuhisa","non-dropping-particle":"","parse-names":false,"suffix":""},{"dropping-particle":"","family":"Kaneko","given":"Kentaro","non-dropping-particle":"","parse-names":false,"suffix":""}],"container-title":"Physical Review Materials","id":"ITEM-6","issue":"8","issued":{"date-parts":[["2022"]]},"page":"084604","title":"Band-gap engineering of rutile-structured SnO2-GeO2-SiO2 alloy system","type":"article-journal","volume":"6"},"uris":["http://www.mendeley.com/documents/?uuid=58e16a19-245c-442d-80ac-42475e6ea118"]},{"id":"ITEM-7","itemData":{"DOI":"10.1038/s43246-022-00290-y","ISBN":"4324602200290","ISSN":"26624443","abstract":"Germanium-based oxides such as rutile GeO2 are garnering attention owing to their wide band gaps and the prospects of ambipolar doping for application in high-power devices. Here, we present the use of germanium tetraisopropoxide (GTIP), a metal-organic chemical precursor, as a source of germanium for the demonstration of hybrid molecular beam epitaxy for germanium-containing compounds. We use Sn1-xGexO2 and SrSn1-xGexO3 as model systems to demonstrate our synthesis method. A combination of high-resolution X-ray diffraction, scanning transmission electron microscopy, and X-ray photoelectron spectroscopy confirms the successful growth of epitaxial rutile Sn1-xGexO2 on TiO2(001) substrates up to x = 0.54 and coherent perovskite SrSn1-xGexO3 on GdScO3(110) substrates up to x = 0.16. Characterization and first-principles calculations corroborate that germanium occupies the tin site, as opposed to the strontium site. These findings confirm the viability of the GTIP precursor for the growth of germanium-containing oxides by hybrid molecular beam epitaxy, thus providing a promising route to high-quality perovskite germanate films.","author":[{"dropping-particle":"","family":"Liu","given":"Fengdeng","non-dropping-particle":"","parse-names":false,"suffix":""},{"dropping-particle":"","family":"Truttmann","given":"Tristan K.","non-dropping-particle":"","parse-names":false,"suffix":""},{"dropping-particle":"","family":"Lee","given":"Dooyong","non-dropping-particle":"","parse-names":false,"suffix":""},{"dropping-particle":"","family":"Matthews","given":"Bethany E.","non-dropping-particle":"","parse-names":false,"suffix":""},{"dropping-particle":"","family":"Laraib","given":"Iflah","non-dropping-particle":"","parse-names":false,"suffix":""},{"dropping-particle":"","family":"Janotti","given":"Anderson","non-dropping-particle":"","parse-names":false,"suffix":""},{"dropping-particle":"","family":"Spurgeon","given":"Steven R.","non-dropping-particle":"","parse-names":false,"suffix":""},{"dropping-particle":"","family":"Chambers","given":"Scott A.","non-dropping-particle":"","parse-names":false,"suffix":""},{"dropping-particle":"","family":"Jalan","given":"Bharat","non-dropping-particle":"","parse-names":false,"suffix":""}],"container-title":"Communications Materials","id":"ITEM-7","issue":"1","issued":{"date-parts":[["2022"]]},"page":"69","title":"Hybrid molecular beam epitaxy of germanium-based oxides","type":"article-journal","volume":"3"},"uris":["http://www.mendeley.com/documents/?uuid=8dd00a9e-fd10-4e0a-8aeb-20db8892718a"]},{"id":"ITEM-8","itemData":{"author":[{"dropping-particle":"","family":"Nagashima","given":"Yo","non-dropping-particle":"","parse-names":false,"suffix":""},{"dropping-particle":"","family":"Fukumoto","given":"Michitaka","non-dropping-particle":"","parse-names":false,"suffix":""},{"dropping-particle":"","family":"Tsuchii","given":"Masato","non-dropping-particle":"","parse-names":false,"suffix":""},{"dropping-particle":"","family":"Sugisawa","given":"Yuki","non-dropping-particle":"","parse-names":false,"suffix":""},{"dropping-particle":"","family":"Sekiba","given":"Daiichiro","non-dropping-particle":"","parse-names":false,"suffix":""},{"dropping-particle":"","family":"Hasegawa","given":"Tetsuya","non-dropping-particle":"","parse-names":false,"suffix":""},{"dropping-particle":"","family":"Hirose","given":"Yasushi","non-dropping-particle":"","parse-names":false,"suffix":""}],"container-title":"Chemistry of Materials","id":"ITEM-8","issue":"24","issued":{"date-parts":[["2022"]]},"page":"10842-10848","title":"Deep Ultraviolet Transparent Electrode: Ta-Doped Rutile Sn1–xGexO2","type":"article-journal","volume":"34"},"uris":["http://www.mendeley.com/documents/?uuid=d91104c4-0fb8-4f3c-adc3-39ba658fb9f9"]}],"mendeley":{"formattedCitation":"&lt;sup&gt;18–20,39–43)&lt;/sup&gt;","plainTextFormattedCitation":"18–20,39–43)","previouslyFormattedCitation":"&lt;sup&gt;18–20,39–43)&lt;/sup&gt;"},"properties":{"noteIndex":0},"schema":"https://github.com/citation-style-language/schema/raw/master/csl-citation.json"}</w:instrText>
      </w:r>
      <w:r w:rsidR="00CF3544" w:rsidRPr="005A536D">
        <w:rPr>
          <w:rFonts w:eastAsiaTheme="minorEastAsia"/>
        </w:rPr>
        <w:fldChar w:fldCharType="separate"/>
      </w:r>
      <w:r w:rsidR="004C0FAD" w:rsidRPr="005A536D">
        <w:rPr>
          <w:rFonts w:eastAsiaTheme="minorEastAsia"/>
          <w:noProof/>
          <w:vertAlign w:val="superscript"/>
        </w:rPr>
        <w:t>18–20,39–43)</w:t>
      </w:r>
      <w:r w:rsidR="00CF3544" w:rsidRPr="005A536D">
        <w:rPr>
          <w:rFonts w:eastAsiaTheme="minorEastAsia"/>
        </w:rPr>
        <w:fldChar w:fldCharType="end"/>
      </w:r>
      <w:r w:rsidRPr="005A536D">
        <w:rPr>
          <w:rFonts w:eastAsiaTheme="minorEastAsia"/>
        </w:rPr>
        <w:t xml:space="preserve"> A</w:t>
      </w:r>
      <w:r w:rsidR="00CF3544" w:rsidRPr="005A536D">
        <w:rPr>
          <w:rFonts w:eastAsiaTheme="minorEastAsia"/>
        </w:rPr>
        <w:t xml:space="preserve">s a result of large lattice mismatches between the films and substrates, high-density crystal defects such as dislocations are introduced </w:t>
      </w:r>
      <w:r w:rsidR="00CF3544" w:rsidRPr="005A536D">
        <w:rPr>
          <w:rFonts w:eastAsiaTheme="minorEastAsia" w:cs="Times New Roman"/>
          <w:szCs w:val="24"/>
        </w:rPr>
        <w:t>in</w:t>
      </w:r>
      <w:r w:rsidR="00B64C54" w:rsidRPr="005A536D">
        <w:rPr>
          <w:rFonts w:eastAsiaTheme="minorEastAsia" w:cs="Times New Roman"/>
          <w:szCs w:val="24"/>
        </w:rPr>
        <w:t>to</w:t>
      </w:r>
      <w:r w:rsidR="00CF3544" w:rsidRPr="005A536D">
        <w:rPr>
          <w:rFonts w:eastAsiaTheme="minorEastAsia"/>
        </w:rPr>
        <w:t xml:space="preserve"> the films,</w:t>
      </w:r>
      <w:r w:rsidR="00CF3544" w:rsidRPr="005A536D">
        <w:rPr>
          <w:rFonts w:eastAsiaTheme="minorEastAsia"/>
        </w:rPr>
        <w:fldChar w:fldCharType="begin" w:fldLock="1"/>
      </w:r>
      <w:r w:rsidR="004C0FAD" w:rsidRPr="005A536D">
        <w:rPr>
          <w:rFonts w:eastAsiaTheme="minorEastAsia" w:cs="Times New Roman"/>
          <w:szCs w:val="24"/>
        </w:rPr>
        <w:instrText xml:space="preserve">ADDIN CSL_CITATION {"citationItems":[{"id":"ITEM-1","itemData":{"DOI":"10.1063/1.1651326","ISSN":"00036951","author":[{"dropping-particle":"","family":"Choudhary","given":"R. J.","non-dropping-particle":"","parse-names":false,"suffix":""},{"dropping-particle":"","family":"Ogale","given":"S. B.","non-dropping-particle":"","parse-names":false,"suffix":""},{"dropping-particle":"","family":"Shinde","given":"S. R.","non-dropping-particle":"","parse-names":false,"suffix":""},{"dropping-particle":"","family":"Kulkarni","given":"V. N.","non-dropping-particle":"","parse-names":false,"suffix":""},{"dropping-particle":"","family":"Venkatesan","given":"T.","non-dropping-particle":"","parse-names":false,"suffix":""},{"dropping-particle":"","family":"Harshavardhan","given":"K. S.","non-dropping-particle":"","parse-names":false,"suffix":""},{"dropping-particle":"","family":"Strikovski","given":"M.","non-dropping-particle":"","parse-names":false,"suffix":""},{"dropping-particle":"","family":"Hannoyer","given":"B.","non-dropping-particle":"","parse-names":false,"suffix":""}],"container-title":"Applied Physics Letters","id":"ITEM-1","issue":"9","issued":{"date-parts":[["2004"]]},"page":"1483-1485","title":"Pulsed-electron-beam deposition of transparent conducting SnO2 films and study of their properties","type":"article-journal","volume":"84"},"uris":["http://www.mendeley.com/documents/?uuid=934da086-ff8b-4157-8c02-58fd7ccc2ede"]},{"id":"ITEM-2","itemData":{"DOI":"10.1063/1.1426245","ISSN":"00218979","abstract":"An ultrafast (100 fs) Ti sapphire laser (780 nm) was used for the deposition of SnO 2 thin films. The laser-induced plasma generated from the SnO 2 target was characterized by optical emission spectroscopy and electrostatic energy analysis. It was found that the ionic versus excited-neutral component ratio in the plasma plume depends strongly on the amount of background oxygen introduced to the deposition chamber. Epitaxial SnO 2 films with high quality and a very smooth surface were deposited on the (1̄012) sapphire substrate fabricated at 700°C with an oxygen background pressure of </w:instrText>
      </w:r>
      <w:r w:rsidR="004C0FAD" w:rsidRPr="005A536D">
        <w:rPr>
          <w:rFonts w:ascii="ＭＳ 明朝" w:eastAsia="ＭＳ 明朝" w:hAnsi="ＭＳ 明朝" w:hint="eastAsia"/>
          <w:szCs w:val="24"/>
        </w:rPr>
        <w:instrText>∼</w:instrText>
      </w:r>
      <w:r w:rsidR="004C0FAD" w:rsidRPr="005A536D">
        <w:rPr>
          <w:rFonts w:eastAsiaTheme="minorEastAsia" w:cs="Times New Roman"/>
          <w:szCs w:val="24"/>
        </w:rPr>
        <w:instrText>0.1 mTorr. The films are single crystalline with the rutile structure, resulting from the high similarity in oxygen octahedral configurations between the sapphire (1̄012) surface and the SnO 2 (101) surface. Hall effect measurements showed that the electron mobility of the SnO 2 film is lower than that of bulk single crystal SnO 2, which is caused by the scattering of conduction electrons at the film surface, substrate/film interface, and crystal defects. © 2002 American Institute of Physics.","author":[{"dropping-particle":"","family":"Dominguez","given":"J. E.","non-dropping-particle":"","parse-names":false,"suffix":""},{"dropping-particle":"","family":"Pan","given":"X. Q.","non-dropping-particle":"","parse-names":false,"suffix":""},{"dropping-particle":"","family":"Fu","given":"L.","non-dropping-particle":"","parse-names":false,"suffix":""},{"dropping-particle":"","family":"Rompay","given":"P. A.","non-dropping-particle":"Van","parse-names":false,"suffix":""},{"dropping-particle":"","family":"Zhang","given":"Z.","non-dropping-particle":"","parse-names":false,"suffix":""},{"dropping-particle":"","family":"Nees","given":"J. A.","non-dropping-particle":"","parse-names":false,"suffix":""},{"dropping-particle":"","family":"Pronko","given":"P. P.","non-dropping-particle":"","parse-names":false,"suffix":""}],"container-title":"Journal of Applied Physics","id":"ITEM-2","issue":"3","issued":{"date-parts":[["2002"]]},"page":"1060-1065","title":"Epitaxial SnO 2 thin films grown on (1̄012) sapphire by femtosecond pulsed laser deposition","type":"article-journal","volume":"91"},"uris":["http://www.mendeley.com/documents/?uuid=1d50ccae-c458-4b29-9379-c17b60f5f5d1"]},{"id":"ITEM-3","itemData":{"DOI":"10.1103/PhysRevB.86.245315","author":[{"dropping-particle":"","family":"Farahani","given":"S K Vasheghani","non-dropping-particle":"","parse-names":false,"suffix":""},{"dropping-particle":"","family":"Veal","given":"T D","non-dropping-particle":"","parse-names":false,"suffix":""},{"dropping-particle":"","family":"Sanchez","given":"A M","non-dropping-particle":"","parse-names":false,"suffix":""},{"dropping-particle":"","family":"Bierwagen","given":"Oliver","non-dropping-particle":"","parse-names":false,"suffix":""},{"dropping-particle":"","family":"White","given":"M E","non-dropping-particle":"","parse-names":false,"suffix":""},{"dropping-particle":"","family":"Gorfman","given":"S","non-dropping-particle":"","parse-names":false,"suffix":""},{"dropping-particle":"","family":"Thomas","given":"P A","non-dropping-particle":"","parse-names":false,"suffix":""},{"dropping-particle":"","family":"Speck","given":"James S.","non-dropping-particle":"","parse-names":false,"suffix":""},{"dropping-particle":"","family":"Mcconville","given":"C F","non-dropping-particle":"","parse-names":false,"suffix":""}],"container-title":"Physical Review B","id":"ITEM-3","issue":"24","issued":{"date-parts":[["2012"]]},"page":"245315","title":"Influence of charged-dislocation density variations on carrier mobility in heteroepitaxial semiconductors: The case of SnO2 on sapphire","type":"article-journal","volume":"86"},"uris":["http://www.mendeley.com/documents/?uuid=91e091b7-a3cd-4d04-820a-b1bc84cdea0e"]},{"id":"ITEM-4","itemData":{"DOI":"10.1143/jjap.40.6081","ISSN":"00214922","abstract":"Heteroepitaxial SnO2 thin films were grown on rutile (100) TiO2 single crystal substrates by pulsed laser deposition. The defect structure and surface morphology were investigated by transmission electron microscopy, reflection high-energy electron diffraction, and atomic force microscopy. The misfit-induced large biaxial compressive stress in the 200-nm-thick SnO2 thin film was almost fully relaxed to yield the high-density interfacial misfit dislocations and related planar defects. The misfit dislocation network on the hetero-interface consisted of two types of partial edge dislocations with Burgers vectors of 1/2&lt;101&gt; and 1/2&lt;110&gt;, which involved {101} and {010} planar defects formed in the film, respectively. The evolution of the surface morphology and cross-sectional structure for thinner films suggested that the introduction of such defects occurs at the early growth stage, due to large lattice misfit, and is strongly affected by point defect condensation.","author":[{"dropping-particle":"","family":"Wakabayashi","given":"Hirotaka","non-dropping-particle":"","parse-names":false,"suffix":""},{"dropping-particle":"","family":"Suzuki","given":"Toshimasa","non-dropping-particle":"","parse-names":false,"suffix":""},{"dropping-particle":"","family":"Iwazaki","given":"Yoshiki","non-dropping-particle":"","parse-names":false,"suffix":""},{"dropping-particle":"","family":"Fujimoto","given":"Masayuki","non-dropping-particle":"","parse-names":false,"suffix":""}],"container-title":"Japanese Journal of Applied Physics","id":"ITEM-4","issue":"10","issued":{"date-parts":[["2001"]]},"page":"6081-6087","title":"Defect structure of heteroepitaxial SnO2 thin films grown on TiO2 substrates","type":"article-journal","volume":"40"},"uris":["http://www.mendeley.com/documents/?uuid=78a7ae20-2966-4434-bf5d-16afc4d73b35"]},{"id":"ITEM-5","itemData":{"DOI":"10.1038/s41598-020-63800-3","ISSN":"20452322","PMID":"32321972","abstract":"Achieving high mobility in SnO2, which is a typical wide gap oxide semiconductor, has been pursued extensively for device applications such as field effect transistors, gas sensors, and transparent electrodes. In this study, we investigated the transport properties of lightly Ta-doped SnO2 (Sn1−xTaxO2, TTO) thin films epitaxially grown on TiO2 (001) substrates by pulsed laser deposition. The carrier density (ne) of the TTO films was systematically controlled by x. Optimized TTO (x = 3 × 10−3) films with ne ~ 1 × 1020 cm−3 exhibited a very high Hall mobility (μH) of 130 cm2V−1s−1 at room temperature, which is the highest among SnO2 films thus far reported. The μH value coincided well with the intrinsic limit of μH calculated on the assumption that only phonon and ionized impurities contribute to the carrier scattering. The suppressed grain-boundary scattering might be explained by the reduced density of the {101} crystallographic shear planes.","author":[{"dropping-particle":"","family":"Fukumoto","given":"Michitaka","non-dropping-particle":"","parse-names":false,"suffix":""},{"dropping-particle":"","family":"Nakao","given":"Shoichiro","non-dropping-particle":"","parse-names":false,"suffix":""},{"dropping-particle":"","family":"Shigematsu","given":"Kei","non-dropping-particle":"","parse-names":false,"suffix":""},{"dropping-particle":"","family":"Ogawa","given":"Daisuke","non-dropping-particle":"","parse-names":false,"suffix":""},{"dropping-particle":"","family":"Morikawa","given":"Kazuo","non-dropping-particle":"","parse-names":false,"suffix":""},{"dropping-particle":"","family":"Hirose","given":"Yasushi","non-dropping-particle":"","parse-names":false,"suffix":""},{"dropping-particle":"","family":"Hasegawa","given":"Tetsuya","non-dropping-particle":"","parse-names":false,"suffix":""}],"container-title":"Scientific Reports","id":"ITEM-5","issued":{"date-parts":[["2020"]]},"page":"6844","title":"High mobility approaching the intrinsic limit in Ta-doped SnO2 films epitaxially grown on TiO2 (001) substrates","type":"article-journal","volume":"10"},"uris":["http://www.mendeley.com/documents/?uuid=67e10aeb-a623-4d04-9d19-c0fdae0128a5"]},{"id":"ITEM-6","itemData":{"DOI":"10.14723/tmrsj.45.173","ISSN":"1382-3469","abstract":"Tin dioxide (SnO2) films were epitaxially grown on m-plane sapphire and (001) plane titanium dioxide (TiO2) substrates using mist chemical vapor deposition. The quality of SnO2 film was evaluated by full width at half maximum (FWHM) of X-ray diffraction (XRD) ω-rocking curve. The lowest value of FWHM was 0.06° for the SnO2 film on TiO2 substrate, which was lower than the other reported values. Not only vertical lattice constant but also lateral one were measured by XRD reciprocal space mapping (RSM) and transmission electron microscopy (TEM). Then, the lattice constants of the SnO2 film on TiO2 substrate were the same as those of the bulk SnO2. From the results of TEM and electron backscattering diffraction (EBSD) observations, the quality of the SnO2 film was higher at upper portion of the SnO2 film. These results indicated that high-quality single crystal SnO2 film was formed on TiO2 substrate.","author":[{"dropping-particle":"","family":"Win","given":"Thant Zin","non-dropping-particle":"","parse-names":false,"suffix":""},{"dropping-particle":"","family":"Inaba","given":"Katsuhiko","non-dropping-particle":"","parse-names":false,"suffix":""},{"dropping-particle":"","family":"Kobayashi","given":"Shintaro","non-dropping-particle":"","parse-names":false,"suffix":""},{"dropping-particle":"","family":"Kanetake","given":"Yuki","non-dropping-particle":"","parse-names":false,"suffix":""},{"dropping-particle":"","family":"Nakamura","given":"Yusui","non-dropping-particle":"","parse-names":false,"suffix":""}],"container-title":"Transactions of the Materials Research Society of Japan","id":"ITEM-6","issue":"5","issued":{"date-parts":[["2020"]]},"page":"173-178","title":"Epitaxy of Tin Dioxide on Titanium Dioxide by Mist Chemical Vapor Deposition","type":"article-journal","volume":"45"},"uris":["http://www.mendeley.com/documents/?uuid=4c57902c-a39c-419a-9859-c61455cd8d1c"]},{"id":"ITEM-7","itemData":{"DOI":"10.1063/5.0060785","ISSN":"00036951","abstract":"Recently, rutile germanium dioxide (r-GeO2) has emerged as a novel ultra-wide bandgap semiconductor due to its theoretical excellent properties, that is, high thermal conductivity, ambipolar dopability, and high carrier mobility, in addition to its wide bandgap (4.44-4.68 eV). In this study, r-GeO2 thin films were grown on (001) r-TiO2 substrates by mist chemical vapor deposition. To optimize the growth conditions, we analyzed the decomposition processes of the Ge source (C6H10Ge2O7) by thermogravimetry-differential thermal analysis. It is found that GeO2 was synthesized from C6H10Ge2O7 at 553-783 °C in aqueous vapor. We accomplished fabrication of (001)-oriented r-GeO2 on r-TiO2 with a growth rate of 1.2-1.7 μm/h. On the other hand, under lower growth rate conditions (50 nm/h), the full width at half maximum of the r-GeO2 002 peak remarked a relatively small value of 560 arc sec. In addition, clear diffraction spots of r-GeO2 and r-TiO2 were observed at the r-GeO2/r-TiO2 interface, and the film was found to be significantly strained along the in-plane direction (</w:instrText>
      </w:r>
      <w:r w:rsidR="004C0FAD" w:rsidRPr="005A536D">
        <w:rPr>
          <w:rFonts w:ascii="ＭＳ 明朝" w:eastAsia="ＭＳ 明朝" w:hAnsi="ＭＳ 明朝" w:hint="eastAsia"/>
          <w:szCs w:val="24"/>
        </w:rPr>
        <w:instrText>∼</w:instrText>
      </w:r>
      <w:r w:rsidR="004C0FAD" w:rsidRPr="005A536D">
        <w:rPr>
          <w:rFonts w:eastAsiaTheme="minorEastAsia" w:cs="Times New Roman"/>
          <w:szCs w:val="24"/>
        </w:rPr>
        <w:instrText>2.3%) by cross-sectional transmission electron microscopy. The growth rate of</w:instrText>
      </w:r>
      <w:r w:rsidR="004C0FAD" w:rsidRPr="005A536D">
        <w:rPr>
          <w:rFonts w:eastAsiaTheme="minorEastAsia" w:cs="Times New Roman" w:hint="eastAsia"/>
          <w:szCs w:val="24"/>
        </w:rPr>
        <w:instrText xml:space="preserve"> </w:instrText>
      </w:r>
      <w:r w:rsidR="004C0FAD" w:rsidRPr="005A536D">
        <w:rPr>
          <w:rFonts w:eastAsiaTheme="minorEastAsia" w:cs="Times New Roman" w:hint="eastAsia"/>
          <w:szCs w:val="24"/>
        </w:rPr>
        <w:instrText>≧</w:instrText>
      </w:r>
      <w:r w:rsidR="004C0FAD" w:rsidRPr="005A536D">
        <w:rPr>
          <w:rFonts w:eastAsiaTheme="minorEastAsia" w:cs="Times New Roman" w:hint="eastAsia"/>
          <w:szCs w:val="24"/>
        </w:rPr>
        <w:instrText xml:space="preserve">1 </w:instrText>
      </w:r>
      <w:r w:rsidR="004C0FAD" w:rsidRPr="005A536D">
        <w:rPr>
          <w:rFonts w:eastAsiaTheme="minorEastAsia" w:cs="Times New Roman" w:hint="eastAsia"/>
          <w:szCs w:val="24"/>
        </w:rPr>
        <w:instrText>μ</w:instrText>
      </w:r>
      <w:r w:rsidR="004C0FAD" w:rsidRPr="005A536D">
        <w:rPr>
          <w:rFonts w:eastAsiaTheme="minorEastAsia" w:cs="Times New Roman" w:hint="eastAsia"/>
          <w:szCs w:val="24"/>
        </w:rPr>
        <w:instrText>m/h must contribute to the fabrication of thick r-GeO2 films, which can be utilized as power electronics devices with high breakdown voltage.","author":[{"dropping-particle":"","family":"Takane","given":"Hitoshi","non-dropping-particle":"","parse-nam</w:instrText>
      </w:r>
      <w:r w:rsidR="004C0FAD" w:rsidRPr="005A536D">
        <w:rPr>
          <w:rFonts w:eastAsiaTheme="minorEastAsia" w:cs="Times New Roman"/>
          <w:szCs w:val="24"/>
        </w:rPr>
        <w:instrText>es":false,"suffix":""},{"dropping-particle":"","family":"Kaneko","given":"Kentaro","non-dropping-particle":"","parse-names":false,"suffix":""}],"container-title":"Applied Physics Letters","id":"ITEM-7","issue":"6","issued":{"date-parts":[["2021"]]},"page"</w:instrText>
      </w:r>
      <w:r w:rsidR="004C0FAD" w:rsidRPr="005A536D">
        <w:rPr>
          <w:rFonts w:eastAsiaTheme="minorEastAsia" w:cs="Times New Roman" w:hint="eastAsia"/>
          <w:szCs w:val="24"/>
        </w:rPr>
        <w:instrText>:"062104","publisher":"AIP Publishing LLC","title":"Establishment of a growth route of crystallized rutile GeO2 thin film (</w:instrText>
      </w:r>
      <w:r w:rsidR="004C0FAD" w:rsidRPr="005A536D">
        <w:rPr>
          <w:rFonts w:eastAsiaTheme="minorEastAsia" w:cs="Times New Roman" w:hint="eastAsia"/>
          <w:szCs w:val="24"/>
        </w:rPr>
        <w:instrText>≧</w:instrText>
      </w:r>
      <w:r w:rsidR="004C0FAD" w:rsidRPr="005A536D">
        <w:rPr>
          <w:rFonts w:eastAsiaTheme="minorEastAsia" w:cs="Times New Roman" w:hint="eastAsia"/>
          <w:szCs w:val="24"/>
        </w:rPr>
        <w:instrText xml:space="preserve">1 </w:instrText>
      </w:r>
      <w:r w:rsidR="004C0FAD" w:rsidRPr="005A536D">
        <w:rPr>
          <w:rFonts w:eastAsiaTheme="minorEastAsia" w:cs="Times New Roman" w:hint="eastAsia"/>
          <w:szCs w:val="24"/>
        </w:rPr>
        <w:instrText>μ</w:instrText>
      </w:r>
      <w:r w:rsidR="004C0FAD" w:rsidRPr="005A536D">
        <w:rPr>
          <w:rFonts w:eastAsiaTheme="minorEastAsia" w:cs="Times New Roman" w:hint="eastAsia"/>
          <w:szCs w:val="24"/>
        </w:rPr>
        <w:instrText>m/h) and its structural properties","type":"article-journal","volume":"119"},"uris":["http://www.mendeley.com/documents/?uuid=ce</w:instrText>
      </w:r>
      <w:r w:rsidR="004C0FAD" w:rsidRPr="005A536D">
        <w:rPr>
          <w:rFonts w:eastAsiaTheme="minorEastAsia" w:cs="Times New Roman"/>
          <w:szCs w:val="24"/>
        </w:rPr>
        <w:instrText>af5040-cb0c-436f-b684-45ed366d8254"]},{"id":"ITEM-8","itemData":{"DOI":"10.1103/PhysRevMaterials.6.084604","author":[{"dropping-particle":"","family":"Takane","given":"Hitoshi","non-dropping-particle":"","parse-names":false,"suffix":""},{"dropping-particle":"","family":"Ota","given":"Yuichi","non-dropping-particle":"","parse-names":false,"suffix":""},{"dropping-particle":"","family":"Wakamatsu","given":"Takeru","non-dropping-particle":"","parse-names":false,"suffix":""},{"dropping-particle":"","family":"Araki","given":"Tsutomu","non-dropping-particle":"","parse-names":false,"suffix":""},{"dropping-particle":"","family":"Tanaka","given":"Katsuhisa","non-dropping-particle":"","parse-names":false,"suffix":""},{"dropping-particle":"","family":"Kaneko","given":"Kentaro","non-dropping-particle":"","parse-names":false,"suffix":""}],"container-title":"Physical Review Materials","id":"ITEM-8","issue":"8","issued":{"date-parts":[["2022"]]},"page":"084604","title":"Band-gap engineering of rutile-structured SnO2-GeO2-SiO2 alloy system","type":"article-journal","volume":"6"},"uris":["http://www.mendeley.com/documents/?uuid=58e16a19-245c-442d-80ac-42475e6ea118"]}],"mendeley":{"formattedCitation":"&lt;sup&gt;11,18,34,36,39,41–43)&lt;/sup&gt;","plainTextFormattedCitation":"11,18,34,36,39,41–43)","previouslyFormattedCitation":"&lt;sup&gt;11,18,34,36,39,41–43)&lt;/sup&gt;"},"properties":{"noteIndex":0},"schema":"https://github.com/citation-style-language/schema/raw/master/csl-citation.json"}</w:instrText>
      </w:r>
      <w:r w:rsidR="00CF3544" w:rsidRPr="005A536D">
        <w:rPr>
          <w:rFonts w:eastAsiaTheme="minorEastAsia"/>
        </w:rPr>
        <w:fldChar w:fldCharType="separate"/>
      </w:r>
      <w:r w:rsidR="00C669C7" w:rsidRPr="005A536D">
        <w:rPr>
          <w:rFonts w:eastAsiaTheme="minorEastAsia"/>
          <w:noProof/>
          <w:vertAlign w:val="superscript"/>
        </w:rPr>
        <w:t>11,18,34,36,39,41</w:t>
      </w:r>
      <w:r w:rsidR="00C669C7" w:rsidRPr="005A536D">
        <w:rPr>
          <w:rFonts w:eastAsiaTheme="minorEastAsia" w:cs="Times New Roman"/>
          <w:noProof/>
          <w:szCs w:val="24"/>
          <w:vertAlign w:val="superscript"/>
          <w:lang w:val="en"/>
        </w:rPr>
        <w:t>–</w:t>
      </w:r>
      <w:r w:rsidR="00C669C7" w:rsidRPr="005A536D">
        <w:rPr>
          <w:rFonts w:eastAsiaTheme="minorEastAsia"/>
          <w:noProof/>
          <w:vertAlign w:val="superscript"/>
        </w:rPr>
        <w:t>43)</w:t>
      </w:r>
      <w:r w:rsidR="00CF3544" w:rsidRPr="005A536D">
        <w:rPr>
          <w:rFonts w:eastAsiaTheme="minorEastAsia"/>
        </w:rPr>
        <w:fldChar w:fldCharType="end"/>
      </w:r>
      <w:r w:rsidR="003F4494" w:rsidRPr="005A536D">
        <w:rPr>
          <w:rFonts w:eastAsiaTheme="minorEastAsia"/>
        </w:rPr>
        <w:t xml:space="preserve"> </w:t>
      </w:r>
      <w:r w:rsidR="006E2EAD" w:rsidRPr="005A536D">
        <w:rPr>
          <w:rFonts w:eastAsiaTheme="minorEastAsia" w:cs="Times New Roman"/>
          <w:szCs w:val="24"/>
        </w:rPr>
        <w:t>deteriorat</w:t>
      </w:r>
      <w:r w:rsidR="00B64C54" w:rsidRPr="005A536D">
        <w:rPr>
          <w:rFonts w:eastAsiaTheme="minorEastAsia" w:cs="Times New Roman"/>
          <w:szCs w:val="24"/>
        </w:rPr>
        <w:t>ing their</w:t>
      </w:r>
      <w:r w:rsidR="003F4494" w:rsidRPr="005A536D">
        <w:rPr>
          <w:rFonts w:eastAsiaTheme="minorEastAsia"/>
        </w:rPr>
        <w:t xml:space="preserve"> </w:t>
      </w:r>
      <w:r w:rsidR="00CF3544" w:rsidRPr="005A536D">
        <w:rPr>
          <w:rFonts w:eastAsiaTheme="minorEastAsia"/>
        </w:rPr>
        <w:t>electrical properties</w:t>
      </w:r>
      <w:r w:rsidR="00CF3544" w:rsidRPr="005A536D">
        <w:rPr>
          <w:rFonts w:eastAsiaTheme="minorEastAsia" w:cs="Times New Roman"/>
          <w:szCs w:val="24"/>
        </w:rPr>
        <w:t xml:space="preserve"> </w:t>
      </w:r>
      <w:r w:rsidR="00B64C54" w:rsidRPr="005A536D">
        <w:rPr>
          <w:rFonts w:eastAsiaTheme="minorEastAsia" w:cs="Times New Roman"/>
          <w:szCs w:val="24"/>
        </w:rPr>
        <w:t>(</w:t>
      </w:r>
      <w:r w:rsidR="00CF3544" w:rsidRPr="005A536D">
        <w:rPr>
          <w:rFonts w:eastAsiaTheme="minorEastAsia" w:cs="Times New Roman"/>
          <w:szCs w:val="24"/>
        </w:rPr>
        <w:t>particular</w:t>
      </w:r>
      <w:r w:rsidR="00B64C54" w:rsidRPr="005A536D">
        <w:rPr>
          <w:rFonts w:eastAsiaTheme="minorEastAsia" w:cs="Times New Roman"/>
          <w:szCs w:val="24"/>
        </w:rPr>
        <w:t>ly</w:t>
      </w:r>
      <w:r w:rsidR="00CF3544" w:rsidRPr="005A536D">
        <w:rPr>
          <w:rFonts w:eastAsiaTheme="minorEastAsia" w:cs="Times New Roman"/>
          <w:szCs w:val="24"/>
        </w:rPr>
        <w:t xml:space="preserve">, </w:t>
      </w:r>
      <w:r w:rsidR="00B64C54" w:rsidRPr="005A536D">
        <w:rPr>
          <w:rFonts w:eastAsiaTheme="minorEastAsia" w:cs="Times New Roman"/>
          <w:szCs w:val="24"/>
        </w:rPr>
        <w:t>the</w:t>
      </w:r>
      <w:r w:rsidR="00B64C54" w:rsidRPr="005A536D">
        <w:rPr>
          <w:rFonts w:eastAsiaTheme="minorEastAsia"/>
        </w:rPr>
        <w:t xml:space="preserve"> </w:t>
      </w:r>
      <w:r w:rsidR="00CF3544" w:rsidRPr="005A536D">
        <w:rPr>
          <w:rFonts w:eastAsiaTheme="minorEastAsia"/>
        </w:rPr>
        <w:t>carrier mobility</w:t>
      </w:r>
      <w:r w:rsidR="00B64C54" w:rsidRPr="005A536D">
        <w:rPr>
          <w:rFonts w:eastAsiaTheme="minorEastAsia" w:cs="Times New Roman"/>
          <w:szCs w:val="24"/>
        </w:rPr>
        <w:t>)</w:t>
      </w:r>
      <w:r w:rsidR="00CF3544" w:rsidRPr="005A536D">
        <w:rPr>
          <w:rFonts w:eastAsiaTheme="minorEastAsia" w:cs="Times New Roman"/>
          <w:szCs w:val="24"/>
        </w:rPr>
        <w:t>.</w:t>
      </w:r>
      <w:r w:rsidR="00CF3544" w:rsidRPr="005A536D">
        <w:rPr>
          <w:rFonts w:eastAsiaTheme="minorEastAsia"/>
        </w:rPr>
        <w:fldChar w:fldCharType="begin" w:fldLock="1"/>
      </w:r>
      <w:r w:rsidR="004C0FAD" w:rsidRPr="005A536D">
        <w:rPr>
          <w:rFonts w:eastAsiaTheme="minorEastAsia" w:cs="Times New Roman"/>
          <w:szCs w:val="24"/>
        </w:rPr>
        <w:instrText>ADDIN CSL_CITATION {"citationItems":[{"id":"ITEM-1","itemData":{"DOI":"10.1103/PhysRevB.86.245315","author":[{"dropping-particle":"","family":"Farahani","given":"S K Vasheghani","non-dropping-particle":"","parse-names":false,"suffix":""},{"dropping-particle":"","family":"Veal","given":"T D","non-dropping-particle":"","parse-names":false,"suffix":""},{"dropping-particle":"","family":"Sanchez","given":"A M","non-dropping-particle":"","parse-names":false,"suffix":""},{"dropping-particle":"","family":"Bierwagen","given":"Oliver","non-dropping-particle":"","parse-names":false,"suffix":""},{"dropping-particle":"","family":"White","given":"M E","non-dropping-particle":"","parse-names":false,"suffix":""},{"dropping-particle":"","family":"Gorfman","given":"S","non-dropping-particle":"","parse-names":false,"suffix":""},{"dropping-particle":"","family":"Thomas","given":"P A","non-dropping-particle":"","parse-names":false,"suffix":""},{"dropping-particle":"","family":"Speck","given":"James S.","non-dropping-particle":"","parse-names":false,"suffix":""},{"dropping-particle":"","family":"Mcconville","given":"C F","non-dropping-particle":"","parse-names":false,"suffix":""}],"container-title":"Physical Review B","id":"ITEM-1","issue":"24","issued":{"date-parts":[["2012"]]},"page":"245315","title":"Influence of charged-dislocation density variations on carrier mobility in heteroepitaxial semiconductors: The case of SnO2 on sapphire","type":"article-journal","volume":"86"},"uris":["http://www.mendeley.com/documents/?uuid=91e091b7-a3cd-4d04-820a-b1bc84cdea0e"]},{"id":"ITEM-2","itemData":{"DOI":"10.1038/s41598-020-63800-3","ISSN":"20452322","PMID":"32321972","abstract":"Achieving high mobility in SnO2, which is a typical wide gap oxide semiconductor, has been pursued extensively for device applications such as field effect transistors, gas sensors, and transparent electrodes. In this study, we investigated the transport properties of lightly Ta-doped SnO2 (Sn1−xTaxO2, TTO) thin films epitaxially grown on TiO2 (001) substrates by pulsed laser deposition. The carrier density (ne) of the TTO films was systematically controlled by x. Optimized TTO (x = 3 × 10−3) films with ne ~ 1 × 1020 cm−3 exhibited a very high Hall mobility (μH) of 130 cm2V−1s−1 at room temperature, which is the highest among SnO2 films thus far reported. The μH value coincided well with the intrinsic limit of μH calculated on the assumption that only phonon and ionized impurities contribute to the carrier scattering. The suppressed grain-boundary scattering might be explained by the reduced density of the {101} crystallographic shear planes.","author":[{"dropping-particle":"","family":"Fukumoto","given":"Michitaka","non-dropping-particle":"","parse-names":false,"suffix":""},{"dropping-particle":"","family":"Nakao","given":"Shoichiro","non-dropping-particle":"","parse-names":false,"suffix":""},{"dropping-particle":"","family":"Shigematsu","given":"Kei","non-dropping-particle":"","parse-names":false,"suffix":""},{"dropping-particle":"","family":"Ogawa","given":"Daisuke","non-dropping-particle":"","parse-names":false,"suffix":""},{"dropping-particle":"","family":"Morikawa","given":"Kazuo","non-dropping-particle":"","parse-names":false,"suffix":""},{"dropping-particle":"","family":"Hirose","given":"Yasushi","non-dropping-particle":"","parse-names":false,"suffix":""},{"dropping-particle":"","family":"Hasegawa","given":"Tetsuya","non-dropping-particle":"","parse-names":false,"suffix":""}],"container-title":"Scientific Reports","id":"ITEM-2","issued":{"date-parts":[["2020"]]},"page":"6844","title":"High mobility approaching the intrinsic limit in Ta-doped SnO2 films epitaxially grown on TiO2 (001) substrates","type":"article-journal","volume":"10"},"uris":["http://www.mendeley.com/documents/?uuid=67e10aeb-a623-4d04-9d19-c0fdae0128a5"]}],"mendeley":{"formattedCitation":"&lt;sup&gt;36,41)&lt;/sup&gt;","plainTextFormattedCitation":"36,41)","previouslyFormattedCitation":"&lt;sup&gt;36,41)&lt;/sup&gt;"},"properties":{"noteIndex":0},"schema":"https://github.com/citation-style-language/schema/raw/master/csl-citation.json"}</w:instrText>
      </w:r>
      <w:r w:rsidR="00CF3544" w:rsidRPr="005A536D">
        <w:rPr>
          <w:rFonts w:eastAsiaTheme="minorEastAsia"/>
        </w:rPr>
        <w:fldChar w:fldCharType="separate"/>
      </w:r>
      <w:r w:rsidR="00C669C7" w:rsidRPr="005A536D">
        <w:rPr>
          <w:rFonts w:eastAsiaTheme="minorEastAsia"/>
          <w:noProof/>
          <w:vertAlign w:val="superscript"/>
        </w:rPr>
        <w:t>36,41)</w:t>
      </w:r>
      <w:r w:rsidR="00CF3544" w:rsidRPr="005A536D">
        <w:rPr>
          <w:rFonts w:eastAsiaTheme="minorEastAsia"/>
        </w:rPr>
        <w:fldChar w:fldCharType="end"/>
      </w:r>
      <w:r w:rsidR="00CF3544" w:rsidRPr="005A536D">
        <w:rPr>
          <w:rFonts w:eastAsiaTheme="minorEastAsia"/>
        </w:rPr>
        <w:t xml:space="preserve"> Furthermore, such dislocations could </w:t>
      </w:r>
      <w:r w:rsidR="00B64C54" w:rsidRPr="005A536D">
        <w:rPr>
          <w:rFonts w:eastAsiaTheme="minorEastAsia" w:cs="Times New Roman"/>
          <w:szCs w:val="24"/>
        </w:rPr>
        <w:t>form</w:t>
      </w:r>
      <w:r w:rsidR="00B64C54" w:rsidRPr="005A536D">
        <w:rPr>
          <w:rFonts w:eastAsiaTheme="minorEastAsia"/>
        </w:rPr>
        <w:t xml:space="preserve"> leakage</w:t>
      </w:r>
      <w:r w:rsidR="00B64C54" w:rsidRPr="005A536D">
        <w:rPr>
          <w:rFonts w:eastAsiaTheme="minorEastAsia" w:cs="Times New Roman"/>
          <w:szCs w:val="24"/>
        </w:rPr>
        <w:t>-current</w:t>
      </w:r>
      <w:r w:rsidR="00CF3544" w:rsidRPr="005A536D">
        <w:rPr>
          <w:rFonts w:eastAsiaTheme="minorEastAsia" w:cs="Times New Roman"/>
          <w:szCs w:val="24"/>
        </w:rPr>
        <w:t xml:space="preserve"> paths</w:t>
      </w:r>
      <w:r w:rsidR="00CF3544" w:rsidRPr="005A536D">
        <w:rPr>
          <w:rFonts w:eastAsiaTheme="minorEastAsia"/>
        </w:rPr>
        <w:t xml:space="preserve">, causing </w:t>
      </w:r>
      <w:r w:rsidR="00B64C54" w:rsidRPr="005A536D">
        <w:rPr>
          <w:rFonts w:eastAsiaTheme="minorEastAsia" w:cs="Times New Roman"/>
          <w:szCs w:val="24"/>
        </w:rPr>
        <w:t xml:space="preserve">a </w:t>
      </w:r>
      <w:r w:rsidR="00CF3544" w:rsidRPr="005A536D">
        <w:rPr>
          <w:rFonts w:eastAsiaTheme="minorEastAsia"/>
        </w:rPr>
        <w:t>premature breakdown of high-</w:t>
      </w:r>
      <w:r w:rsidR="00CF3544" w:rsidRPr="005A536D">
        <w:rPr>
          <w:rFonts w:eastAsiaTheme="minorEastAsia"/>
        </w:rPr>
        <w:lastRenderedPageBreak/>
        <w:t>voltage devices. Therefore, th</w:t>
      </w:r>
      <w:r w:rsidR="003F4494" w:rsidRPr="005A536D">
        <w:rPr>
          <w:rFonts w:eastAsiaTheme="minorEastAsia"/>
        </w:rPr>
        <w:t xml:space="preserve">e </w:t>
      </w:r>
      <w:r w:rsidR="00CF3544" w:rsidRPr="005A536D">
        <w:rPr>
          <w:rFonts w:eastAsiaTheme="minorEastAsia"/>
        </w:rPr>
        <w:t>dislocation</w:t>
      </w:r>
      <w:r w:rsidR="006E2EAD" w:rsidRPr="005A536D">
        <w:rPr>
          <w:rFonts w:eastAsiaTheme="minorEastAsia"/>
        </w:rPr>
        <w:t xml:space="preserve"> density</w:t>
      </w:r>
      <w:r w:rsidR="00CF3544" w:rsidRPr="005A536D">
        <w:rPr>
          <w:rFonts w:eastAsiaTheme="minorEastAsia"/>
        </w:rPr>
        <w:t xml:space="preserve"> in heteroepitaxial films should be reduced for such potential power</w:t>
      </w:r>
      <w:r w:rsidR="00BD5B05" w:rsidRPr="005A536D">
        <w:rPr>
          <w:rFonts w:eastAsiaTheme="minorEastAsia" w:cs="Times New Roman"/>
          <w:szCs w:val="24"/>
        </w:rPr>
        <w:t>-</w:t>
      </w:r>
      <w:r w:rsidR="00CF3544" w:rsidRPr="005A536D">
        <w:rPr>
          <w:rFonts w:eastAsiaTheme="minorEastAsia"/>
        </w:rPr>
        <w:t>device applications.</w:t>
      </w:r>
    </w:p>
    <w:p w14:paraId="21257E7B" w14:textId="14833D8E" w:rsidR="00CF3544" w:rsidRPr="005A536D" w:rsidRDefault="00CF3544" w:rsidP="00EC7F10">
      <w:pPr>
        <w:pStyle w:val="MainText151510"/>
        <w:adjustRightInd w:val="0"/>
        <w:spacing w:line="360" w:lineRule="auto"/>
        <w:ind w:firstLineChars="100" w:firstLine="240"/>
        <w:rPr>
          <w:rFonts w:eastAsiaTheme="minorEastAsia"/>
        </w:rPr>
      </w:pPr>
      <w:r w:rsidRPr="005A536D">
        <w:rPr>
          <w:rFonts w:eastAsiaTheme="minorEastAsia"/>
        </w:rPr>
        <w:t>Selective</w:t>
      </w:r>
      <w:r w:rsidR="008F4889" w:rsidRPr="005A536D">
        <w:rPr>
          <w:rFonts w:eastAsiaTheme="minorEastAsia" w:cs="Times New Roman"/>
          <w:szCs w:val="24"/>
        </w:rPr>
        <w:t>-</w:t>
      </w:r>
      <w:r w:rsidR="008F4889" w:rsidRPr="005A536D">
        <w:rPr>
          <w:rFonts w:eastAsiaTheme="minorEastAsia"/>
        </w:rPr>
        <w:t>area</w:t>
      </w:r>
      <w:r w:rsidRPr="005A536D">
        <w:rPr>
          <w:rFonts w:eastAsiaTheme="minorEastAsia"/>
        </w:rPr>
        <w:t xml:space="preserve"> growth (SAG) or epitaxial lateral overgrowth (ELO) is an effective growth technique for improving the crystalline quality of heteroepitaxial films. As observed in the SAG/ELO of </w:t>
      </w:r>
      <w:proofErr w:type="spellStart"/>
      <w:r w:rsidRPr="005A536D">
        <w:rPr>
          <w:rFonts w:eastAsiaTheme="minorEastAsia"/>
        </w:rPr>
        <w:t>GaN</w:t>
      </w:r>
      <w:proofErr w:type="spellEnd"/>
      <w:r w:rsidRPr="005A536D">
        <w:rPr>
          <w:rFonts w:eastAsiaTheme="minorEastAsia"/>
        </w:rPr>
        <w:t xml:space="preserve"> and α-Ga</w:t>
      </w:r>
      <w:r w:rsidRPr="005A536D">
        <w:rPr>
          <w:rFonts w:eastAsiaTheme="minorEastAsia"/>
          <w:vertAlign w:val="subscript"/>
        </w:rPr>
        <w:t>2</w:t>
      </w:r>
      <w:r w:rsidRPr="005A536D">
        <w:rPr>
          <w:rFonts w:eastAsiaTheme="minorEastAsia"/>
        </w:rPr>
        <w:t>O</w:t>
      </w:r>
      <w:r w:rsidRPr="005A536D">
        <w:rPr>
          <w:rFonts w:eastAsiaTheme="minorEastAsia"/>
          <w:vertAlign w:val="subscript"/>
        </w:rPr>
        <w:t>3</w:t>
      </w:r>
      <w:r w:rsidRPr="005A536D">
        <w:rPr>
          <w:rFonts w:eastAsiaTheme="minorEastAsia"/>
        </w:rPr>
        <w:t xml:space="preserve"> on foreign substrates, the SAG/ELO is capable of bending the propagation direction of dislocations in accordance with the facet growth to reduce </w:t>
      </w:r>
      <w:r w:rsidR="00BD5B05" w:rsidRPr="005A536D">
        <w:rPr>
          <w:rFonts w:eastAsiaTheme="minorEastAsia" w:cs="Times New Roman"/>
          <w:szCs w:val="24"/>
        </w:rPr>
        <w:t xml:space="preserve">the </w:t>
      </w:r>
      <w:r w:rsidRPr="005A536D">
        <w:rPr>
          <w:rFonts w:eastAsiaTheme="minorEastAsia"/>
        </w:rPr>
        <w:t>dislocations.</w:t>
      </w:r>
      <w:r w:rsidRPr="005A536D">
        <w:rPr>
          <w:rFonts w:eastAsiaTheme="minorEastAsia"/>
        </w:rPr>
        <w:fldChar w:fldCharType="begin" w:fldLock="1"/>
      </w:r>
      <w:r w:rsidR="004C0FAD" w:rsidRPr="005A536D">
        <w:rPr>
          <w:rFonts w:eastAsiaTheme="minorEastAsia" w:cs="Times New Roman"/>
          <w:szCs w:val="24"/>
        </w:rPr>
        <w:instrText>ADDIN CSL_CITATION {"citationItems":[{"id":"ITEM-1","itemData":{"DOI":"10.1143/jjap.36.l899","ISSN":"00214922","abstract":"Thick GaN layers were grown by hydride vapor phase epitaxy (HVPE) with the aim of using these layers as a homoepitaxial substrate to improve device quality of laser diodes or light emitting diodes. HVPE is very useful for thick layer growth since the growth rate can reach from several ten up to one hundred micron per hour. In this experiment, the growth began as selective growth through openings formed in a SiO2 mask. Facets consisting of {11̄01} planes were formed in the early stage and a continuous film developed from the coalescence of these facets on the SiO2 mask. As a result, GaN layers with a dislocation density as low as 6 × 107 cm-2 were grown on 2-inch-diameter sapphire wafers. These GaN layers were crack-free and had mirror-like surface.","author":[{"dropping-particle":"","family":"Usui","given":"Akira","non-dropping-particle":"","parse-names":false,"suffix":""},{"dropping-particle":"","family":"Sunakawa","given":"Haruo","non-dropping-particle":"","parse-names":false,"suffix":""},{"dropping-particle":"","family":"Sakai","given":"Akira","non-dropping-particle":"","parse-names":false,"suffix":""},{"dropping-particle":"","family":"Yamaguchi","given":"A. Atsushi","non-dropping-particle":"","parse-names":false,"suffix":""}],"container-title":"Japanese Journal of Applied Physics","id":"ITEM-1","issue":"7B","issued":{"date-parts":[["1997"]]},"page":"L899-L902","title":"Thick GaN epitaxial growth with low dislocation density by hydride vapor phase epitaxy","type":"article-journal","volume":"36"},"uris":["http://www.mendeley.com/documents/?uuid=9c7eb6f8-3781-4852-ac75-2e49dc7a8198"]},{"id":"ITEM-2","itemData":{"DOI":"10.1557/proc-482-301","ISSN":"02729172","abstract":"Lateral epitaxial overgrowth (LEO) of GaN layers has been achieved on 3 μm wide and 7 μm spaced stripe windows contained in SiO2 masks on GaN/AlN/6H-SiC(0001) substrates via organometallic vapor phase epitaxy (OMVPE). The extent and microstructural characteristics of lateral overgrowth were a complex function of stripe orientation, growth temperature and triethylgallium (TEG) flow rate. A high density of threading dislocations, originating from the interface of the underlying GaN with the AlN buffer layer, were contained in the GaN grown in the window regions. The overgrowth regions, by contrast, contained a very low density of dislocations. The second lateral epitaxial overgrowth layers were obtained on the first laterally grown layers by the repetition of SiO2 deposition, lithography and lateral epitaxy.","author":[{"dropping-particle":"","family":"Nam","given":"Ok-Hyun","non-dropping-particle":"","parse-names":false,"suffix":""},{"dropping-particle":"","family":"Bremser","given":"Michael D.","non-dropping-particle":"","parse-names":false,"suffix":""},{"dropping-particle":"","family":"Zhelava","given":"Tsvetanka S.","non-dropping-particle":"","parse-names":false,"suffix":""},{"dropping-particle":"","family":"Davis","given":"Robert F.","non-dropping-particle":"","parse-names":false,"suffix":""}],"container-title":"Applied Physics Letters","id":"ITEM-2","issue":"June 1997","issued":{"date-parts":[["1997"]]},"page":"2638-2640","title":"Lateral epitaxy of low defect density GaN layers via organometallic vapor phase epitaxy","type":"article-journal","volume":"482"},"uris":["http://www.mendeley.com/documents/?uuid=42167400-384b-499d-a05b-fa569149cb91"]},{"id":"ITEM-3","itemData":{"DOI":"10.1063/1.5051058","ISSN":"2166532X","abstract":"We demonstrate the epitaxial lateral overgrowth of α-Ga2O3 by halide vapor phase epitaxy. We prepared patterned SiO2 masks on a (0001) α-Ga2O3/sapphire template, and then α-Ga2O3 islands were regrown selectively on the mask windows. The islands grew vertically and laterally to coalesce with each other. Facet control of the α-Ga2O3 islands was achieved by controlling the growth temperature, and inclined facets developed by decreasing the temperature. Transmission electron microscopy revealed that the crystal quality of the regrown α-Ga2O3 was improved owing to both the blocking of dislocations by the mask and the dislocation bending by the inclined facets.","author":[{"dropping-particle":"","family":"Oshima","given":"Yuichi","non-dropping-particle":"","parse-names":false,"suffix":""},{"dropping-particle":"","family":"Kawara","given":"Katsuaki","non-dropping-particle":"","parse-names":false,"suffix":""},{"dropping-particle":"","family":"Shinohe","given":"Takashi","non-dropping-particle":"","parse-names":false,"suffix":""},{"dropping-particle":"","family":"Hitora","given":"Toshimi","non-dropping-particle":"","parse-names":false,"suffix":""},{"dropping-particle":"","family":"Kasu","given":"Makoto","non-dropping-particle":"","parse-names":false,"suffix":""},{"dropping-particle":"","family":"Fujita","given":"Shizuo","non-dropping-particle":"","parse-names":false,"suffix":""}],"container-title":"APL Materials","id":"ITEM-3","issue":"2","issued":{"date-parts":[["2019"]]},"page":"022503","title":"Epitaxial lateral overgrowth of α-Ga2O3 by halide vapor phase epitaxy","type":"article-journal","volume":"7"},"uris":["http://www.mendeley.com/documents/?uuid=1db25f10-e921-4a05-8ecf-9e3b0103e3df"]},{"id":"ITEM-4","itemData":{"DOI":"10.7567/1347-4065/ab55c6","ISSN":"13474065","abstract":"Selective area growths of α-Ga2O3 were demonstrated on c-, m-, and a-plane sapphire substrates by the mist-CVD method using SiO2 as a mask material. We successfully achieved the coalescence of the α-Ga2O3 on the mask with the «101̄0» stripe on an a-plane sapphire substrate by epitaxial lateral overgrowths, owing to the enhanced lateral overgrowth, that is, the largest ratio of the lateral to vertical growth rates of 0.87 among the substrate orientation and the stripe direction investigated. In cross-sectional transmission electron microscopy images, dislocations were not observed in the α-Ga2O3 layer on the mask, while the dislocations on the window area were propagated without bending.","author":[{"dropping-particle":"","family":"Jinno","given":"Riena","non-dropping-particle":"","parse-names":false,"suffix":""},{"dropping-particle":"","family":"Yoshimura","given":"Nobuhiro","non-dropping-particle":"","parse-names":false,"suffix":""},{"dropping-particle":"","family":"Kaneko","given":"Kentaro","non-dropping-particle":"","parse-names":false,"suffix":""},{"dropping-particle":"","family":"Fujita","given":"Shizuo","non-dropping-particle":"","parse-names":false,"suffix":""}],"container-title":"Japanese Journal of Applied Physics","id":"ITEM-4","issue":"12","issued":{"date-parts":[["2019"]]},"page":"120912","publisher":"IOP Publishing","title":"Enhancement of epitaxial lateral overgrowth in the mist chemical vapor deposition of α-Ga2O3 by using a-plane sapphire substrate","type":"article-journal","volume":"58"},"uris":["http://www.mendeley.com/documents/?uuid=c5d54a86-3b10-489c-9dad-1d04a8536f0f"]}],"mendeley":{"formattedCitation":"&lt;sup&gt;44–47)&lt;/sup&gt;","plainTextFormattedCitation":"44–47)","previouslyFormattedCitation":"&lt;sup&gt;44–47)&lt;/sup&gt;"},"properties":{"noteIndex":0},"schema":"https://github.com/citation-style-language/schema/raw/master/csl-citation.json"}</w:instrText>
      </w:r>
      <w:r w:rsidRPr="005A536D">
        <w:rPr>
          <w:rFonts w:eastAsiaTheme="minorEastAsia"/>
        </w:rPr>
        <w:fldChar w:fldCharType="separate"/>
      </w:r>
      <w:r w:rsidR="004C0FAD" w:rsidRPr="005A536D">
        <w:rPr>
          <w:rFonts w:eastAsiaTheme="minorEastAsia"/>
          <w:noProof/>
          <w:vertAlign w:val="superscript"/>
        </w:rPr>
        <w:t>44–47)</w:t>
      </w:r>
      <w:r w:rsidRPr="005A536D">
        <w:rPr>
          <w:rFonts w:eastAsiaTheme="minorEastAsia"/>
        </w:rPr>
        <w:fldChar w:fldCharType="end"/>
      </w:r>
      <w:r w:rsidRPr="005A536D">
        <w:rPr>
          <w:rFonts w:eastAsiaTheme="minorEastAsia"/>
        </w:rPr>
        <w:t xml:space="preserve"> However, despite its demonstrated </w:t>
      </w:r>
      <w:r w:rsidR="006E2EAD" w:rsidRPr="005A536D">
        <w:rPr>
          <w:rFonts w:eastAsiaTheme="minorEastAsia"/>
        </w:rPr>
        <w:t>effectiveness</w:t>
      </w:r>
      <w:r w:rsidRPr="005A536D">
        <w:rPr>
          <w:rFonts w:eastAsiaTheme="minorEastAsia"/>
        </w:rPr>
        <w:t>, the SAG/ELO technique has never been attempted</w:t>
      </w:r>
      <w:r w:rsidR="00BD5B05" w:rsidRPr="005A536D">
        <w:rPr>
          <w:rFonts w:eastAsiaTheme="minorEastAsia" w:cs="Times New Roman"/>
          <w:szCs w:val="24"/>
        </w:rPr>
        <w:t>,</w:t>
      </w:r>
      <w:r w:rsidRPr="005A536D">
        <w:rPr>
          <w:rFonts w:eastAsiaTheme="minorEastAsia" w:cs="Times New Roman"/>
          <w:szCs w:val="24"/>
        </w:rPr>
        <w:t xml:space="preserve"> </w:t>
      </w:r>
      <w:r w:rsidR="00BD5B05" w:rsidRPr="005A536D">
        <w:rPr>
          <w:rFonts w:eastAsiaTheme="minorEastAsia" w:cs="Times New Roman"/>
          <w:szCs w:val="24"/>
        </w:rPr>
        <w:t>to the best of our knowledge,</w:t>
      </w:r>
      <w:r w:rsidR="00BD5B05" w:rsidRPr="005A536D">
        <w:rPr>
          <w:rFonts w:eastAsiaTheme="minorEastAsia"/>
        </w:rPr>
        <w:t xml:space="preserve"> </w:t>
      </w:r>
      <w:r w:rsidRPr="005A536D">
        <w:rPr>
          <w:rFonts w:eastAsiaTheme="minorEastAsia"/>
        </w:rPr>
        <w:t xml:space="preserve">for the heteroepitaxial growth of </w:t>
      </w:r>
      <w:r w:rsidRPr="005A536D">
        <w:rPr>
          <w:rFonts w:eastAsiaTheme="minorEastAsia" w:cs="Times New Roman"/>
          <w:szCs w:val="24"/>
          <w:lang w:val="en"/>
        </w:rPr>
        <w:t xml:space="preserve">rutile-type </w:t>
      </w:r>
      <w:r w:rsidRPr="005A536D">
        <w:rPr>
          <w:rFonts w:eastAsiaTheme="minorEastAsia"/>
        </w:rPr>
        <w:t>oxide films</w:t>
      </w:r>
      <w:r w:rsidRPr="005A536D">
        <w:rPr>
          <w:rFonts w:eastAsiaTheme="minorEastAsia" w:cs="Times New Roman"/>
          <w:szCs w:val="24"/>
        </w:rPr>
        <w:t xml:space="preserve">. </w:t>
      </w:r>
      <w:r w:rsidR="00BD5B05" w:rsidRPr="005A536D">
        <w:rPr>
          <w:rFonts w:eastAsiaTheme="minorEastAsia" w:cs="Times New Roman"/>
          <w:szCs w:val="24"/>
        </w:rPr>
        <w:t>Herein</w:t>
      </w:r>
      <w:r w:rsidRPr="005A536D">
        <w:rPr>
          <w:rFonts w:eastAsiaTheme="minorEastAsia"/>
        </w:rPr>
        <w:t xml:space="preserve">, we demonstrate </w:t>
      </w:r>
      <w:r w:rsidR="00BD5B05" w:rsidRPr="005A536D">
        <w:rPr>
          <w:rFonts w:eastAsiaTheme="minorEastAsia" w:cs="Times New Roman"/>
          <w:szCs w:val="24"/>
        </w:rPr>
        <w:t xml:space="preserve">the </w:t>
      </w:r>
      <w:r w:rsidRPr="005A536D">
        <w:rPr>
          <w:rFonts w:eastAsiaTheme="minorEastAsia"/>
        </w:rPr>
        <w:t>SAG of r-SnO</w:t>
      </w:r>
      <w:r w:rsidRPr="005A536D">
        <w:rPr>
          <w:rFonts w:eastAsiaTheme="minorEastAsia"/>
          <w:vertAlign w:val="subscript"/>
        </w:rPr>
        <w:t>2</w:t>
      </w:r>
      <w:r w:rsidRPr="005A536D">
        <w:rPr>
          <w:rFonts w:eastAsiaTheme="minorEastAsia"/>
        </w:rPr>
        <w:t xml:space="preserve"> on an isostructural r-TiO</w:t>
      </w:r>
      <w:r w:rsidRPr="005A536D">
        <w:rPr>
          <w:rFonts w:eastAsiaTheme="minorEastAsia"/>
          <w:vertAlign w:val="subscript"/>
        </w:rPr>
        <w:t>2</w:t>
      </w:r>
      <w:r w:rsidRPr="005A536D">
        <w:rPr>
          <w:rFonts w:eastAsiaTheme="minorEastAsia"/>
        </w:rPr>
        <w:t xml:space="preserve"> (110) substrate and </w:t>
      </w:r>
      <w:r w:rsidR="006E2EAD" w:rsidRPr="005A536D">
        <w:rPr>
          <w:rFonts w:eastAsiaTheme="minorEastAsia"/>
        </w:rPr>
        <w:t>clarify</w:t>
      </w:r>
      <w:r w:rsidRPr="005A536D">
        <w:rPr>
          <w:rFonts w:eastAsiaTheme="minorEastAsia"/>
        </w:rPr>
        <w:t xml:space="preserve"> SAG dynamics, including dislocation-propagation mechanisms of </w:t>
      </w:r>
      <w:r w:rsidRPr="005A536D">
        <w:rPr>
          <w:rFonts w:eastAsiaTheme="minorEastAsia" w:cs="Times New Roman"/>
          <w:szCs w:val="24"/>
          <w:lang w:val="en"/>
        </w:rPr>
        <w:t xml:space="preserve">rutile-type </w:t>
      </w:r>
      <w:r w:rsidRPr="005A536D">
        <w:rPr>
          <w:rFonts w:eastAsiaTheme="minorEastAsia"/>
        </w:rPr>
        <w:t>oxides on lattice-mismatched substrates.</w:t>
      </w:r>
    </w:p>
    <w:p w14:paraId="3671F9B2" w14:textId="27143BDF" w:rsidR="00CF3544" w:rsidRPr="005A536D" w:rsidRDefault="004E67C5" w:rsidP="00EC7F10">
      <w:pPr>
        <w:pStyle w:val="MainText151510"/>
        <w:adjustRightInd w:val="0"/>
        <w:spacing w:line="360" w:lineRule="auto"/>
        <w:ind w:firstLineChars="100" w:firstLine="240"/>
        <w:rPr>
          <w:rFonts w:eastAsiaTheme="minorEastAsia"/>
        </w:rPr>
      </w:pPr>
      <w:r w:rsidRPr="005A536D">
        <w:rPr>
          <w:rFonts w:eastAsiaTheme="minorEastAsia" w:cs="Times New Roman"/>
          <w:szCs w:val="24"/>
        </w:rPr>
        <w:t>A</w:t>
      </w:r>
      <w:r w:rsidR="00BD5B05" w:rsidRPr="005A536D">
        <w:rPr>
          <w:rFonts w:eastAsiaTheme="minorEastAsia" w:cs="Times New Roman"/>
          <w:szCs w:val="24"/>
        </w:rPr>
        <w:t xml:space="preserve"> </w:t>
      </w:r>
      <w:r w:rsidR="006E2EAD" w:rsidRPr="005A536D">
        <w:rPr>
          <w:rFonts w:eastAsiaTheme="minorEastAsia"/>
        </w:rPr>
        <w:t>SiO</w:t>
      </w:r>
      <w:r w:rsidR="006E2EAD" w:rsidRPr="005A536D">
        <w:rPr>
          <w:rFonts w:eastAsiaTheme="minorEastAsia"/>
          <w:vertAlign w:val="subscript"/>
        </w:rPr>
        <w:t>2</w:t>
      </w:r>
      <w:r w:rsidR="006E2EAD" w:rsidRPr="005A536D">
        <w:rPr>
          <w:rFonts w:eastAsiaTheme="minorEastAsia"/>
        </w:rPr>
        <w:t xml:space="preserve"> mask with circular or striped windows </w:t>
      </w:r>
      <w:r w:rsidR="00F05D4C" w:rsidRPr="005A536D">
        <w:rPr>
          <w:rFonts w:eastAsiaTheme="minorEastAsia"/>
        </w:rPr>
        <w:t>was</w:t>
      </w:r>
      <w:r w:rsidR="00CF3544" w:rsidRPr="005A536D">
        <w:rPr>
          <w:rFonts w:eastAsiaTheme="minorEastAsia"/>
        </w:rPr>
        <w:t xml:space="preserve"> prepared on a r-TiO</w:t>
      </w:r>
      <w:r w:rsidR="00CF3544" w:rsidRPr="005A536D">
        <w:rPr>
          <w:rFonts w:eastAsiaTheme="minorEastAsia"/>
          <w:vertAlign w:val="subscript"/>
        </w:rPr>
        <w:t>2</w:t>
      </w:r>
      <w:r w:rsidR="00CF3544" w:rsidRPr="005A536D">
        <w:rPr>
          <w:rFonts w:eastAsiaTheme="minorEastAsia"/>
        </w:rPr>
        <w:t xml:space="preserve"> (110) substrate. The (110) plane was chosen because</w:t>
      </w:r>
      <w:r w:rsidR="00BD5B05" w:rsidRPr="005A536D">
        <w:rPr>
          <w:rFonts w:eastAsiaTheme="minorEastAsia"/>
        </w:rPr>
        <w:t xml:space="preserve"> energetically</w:t>
      </w:r>
      <w:r w:rsidR="00CF3544" w:rsidRPr="005A536D">
        <w:rPr>
          <w:rFonts w:eastAsiaTheme="minorEastAsia"/>
        </w:rPr>
        <w:t xml:space="preserve"> </w:t>
      </w:r>
      <w:r w:rsidR="00CF3544" w:rsidRPr="005A536D">
        <w:rPr>
          <w:rFonts w:eastAsiaTheme="minorEastAsia" w:cs="Times New Roman"/>
          <w:szCs w:val="24"/>
        </w:rPr>
        <w:t xml:space="preserve">it is the </w:t>
      </w:r>
      <w:r w:rsidR="00CF3544" w:rsidRPr="005A536D">
        <w:rPr>
          <w:rFonts w:eastAsiaTheme="minorEastAsia"/>
        </w:rPr>
        <w:t xml:space="preserve">most stable plane for </w:t>
      </w:r>
      <w:r w:rsidR="00CF3544" w:rsidRPr="005A536D">
        <w:rPr>
          <w:rFonts w:eastAsiaTheme="minorEastAsia" w:cs="Times New Roman"/>
          <w:szCs w:val="24"/>
          <w:lang w:val="en"/>
        </w:rPr>
        <w:t xml:space="preserve">rutile </w:t>
      </w:r>
      <w:r w:rsidR="00CF3544" w:rsidRPr="005A536D">
        <w:rPr>
          <w:rFonts w:eastAsiaTheme="minorEastAsia"/>
        </w:rPr>
        <w:t>oxides. T</w:t>
      </w:r>
      <w:r w:rsidR="00CF3544" w:rsidRPr="005A536D">
        <w:t>he calculated surface energy densities of major low-index crystal planes of r-GeO</w:t>
      </w:r>
      <w:r w:rsidR="00CF3544" w:rsidRPr="005A536D">
        <w:rPr>
          <w:vertAlign w:val="subscript"/>
        </w:rPr>
        <w:t>2</w:t>
      </w:r>
      <w:r w:rsidR="00CF3544" w:rsidRPr="005A536D">
        <w:t>, r-SnO</w:t>
      </w:r>
      <w:r w:rsidR="00CF3544" w:rsidRPr="005A536D">
        <w:rPr>
          <w:vertAlign w:val="subscript"/>
        </w:rPr>
        <w:t>2</w:t>
      </w:r>
      <w:r w:rsidR="00CF3544" w:rsidRPr="005A536D">
        <w:t>, and r-TiO</w:t>
      </w:r>
      <w:r w:rsidR="00CF3544" w:rsidRPr="005A536D">
        <w:rPr>
          <w:vertAlign w:val="subscript"/>
        </w:rPr>
        <w:t>2</w:t>
      </w:r>
      <w:r w:rsidR="00CF3544" w:rsidRPr="005A536D">
        <w:t xml:space="preserve"> </w:t>
      </w:r>
      <w:r w:rsidR="00BD5B05" w:rsidRPr="005A536D">
        <w:rPr>
          <w:rFonts w:cs="Times New Roman"/>
          <w:szCs w:val="24"/>
        </w:rPr>
        <w:t>follow</w:t>
      </w:r>
      <w:r w:rsidR="00CF3544" w:rsidRPr="005A536D">
        <w:t xml:space="preserve"> the order of </w:t>
      </w:r>
      <w:r w:rsidR="00CF3544" w:rsidRPr="005A536D">
        <w:rPr>
          <w:rFonts w:eastAsia="ＭＳ 明朝"/>
        </w:rPr>
        <w:t>{</w:t>
      </w:r>
      <w:r w:rsidR="00CF3544" w:rsidRPr="005A536D">
        <w:t>110} &lt; {100} &lt; {011} &lt; {001}.</w:t>
      </w:r>
      <w:r w:rsidR="00CF3544" w:rsidRPr="005A536D">
        <w:fldChar w:fldCharType="begin" w:fldLock="1"/>
      </w:r>
      <w:r w:rsidR="004C0FAD" w:rsidRPr="005A536D">
        <w:rPr>
          <w:rFonts w:cs="Times New Roman"/>
          <w:szCs w:val="24"/>
        </w:rPr>
        <w:instrText>ADDIN CSL_CITATION {"citationItems":[{"id":"ITEM-1","itemData":{"ISBN":"0163-1829","ISSN":"0163-1829","PMID":"10010831","abstract":"We present self-consistent ab initio total-energy calculations of the equilibrium relaxed structures and surface energies of the stoichiometric (1x1) (110), (100), (001), and (011) surfaces of TiO2. The relaxations of atoms on these surfaces are found to be substantial, and are responsible for a large reduction of the calculated surface energies. A Wulff construction is used to display the relative energetics of these surfaces. The (100) surface is found to be stable with respect to forming macroscopic (110) facets, while the (001) surface is nearly unstable with respect to forming macroscopic (1x1) (011) facets. These results shed light on published experimental results on the structures of these surfaces.","author":[{"dropping-particle":"","family":"Ramamoorthy","given":"Madhavan","non-dropping-particle":"","parse-names":false,"suffix":""},{"dropping-particle":"","family":"Vanderbilt","given":"David","non-dropping-particle":"","parse-names":false,"suffix":""},{"dropping-particle":"","family":"King-Smith","given":"R. D.","non-dropping-particle":"","parse-names":false,"suffix":""}],"container-title":"Physical Review B","id":"ITEM-1","issue":"23","issued":{"date-parts":[["1994"]]},"page":"16721-16727","title":"First-principles calculations of the energetics of stoichiometric TiO2 surfaces","type":"article-journal","volume":"49"},"uris":["http://www.mendeley.com/documents/?uuid=01360c2f-433f-498e-9e7c-3ce9f7fb4067"]},{"id":"ITEM-2","itemData":{"DOI":"10.1021/jp801604n","ISSN":"10895639","abstract":"The present study is concerned with the structural and electronic properties of the TiO2/SnO2/TiO2 and SnO 2/TiO2/SnO2 composite systems. Periodic quantum mechanical method with density functional theory at the B3LYP level has been carried out. Relaxed surface energies, structural characteristics and electronic properties of the (110), (010), (101) and (00) low-index rutile surfaces for TiO2/SnO2/TiO2 and SnO2/TiO 2/SnO2 models are studied. For comparison purposes, the bare rutile TiO2 and SnO2 structures are also analyzed and compared with previous theoretical and experimental data. The calculated surface energy for both rutile TiO2 and SnO2 surfaces follows the sequence (110) &lt; (010) &lt; (101) &lt; (001) and the energy increases as (010) &lt; (101) &lt; (110) &lt; (001) and (010) ≈(110) &lt; (101) &lt; (001) for SnO2Z TiO2/SnO2 and TiO 2/SnO2/TiO2 composite systems, respectively. SnO2/TiO2/SnO2 presents larger values of surface energy than the individual SnO2 and TiO2 metal oxides and the TiO2/SnO2/TiO2 system renders surface energy values of the same order that the TiO2 and lower than the SnO2. An analysis of the electronic structure of the TiO 2/SnO2/TiO2 and SnO2/TiO 2/SnO2 systems shows that the main characteristics of the upper part of the valence bands for all the studied surfaces are dominated by the external layers, i.e., by the TiO2 and the SnO2, respectively, and the topology of the lower part of the conduction bands looks like the core layers. There is an energy stabilization of both valence band top and conduction band bottom for (110) and (010) surfaces of the SnO 2/TiO2/SnO2 composite system in relation to their core TiO2, whereas an opposite trend is found for the same surfaces of the TiO2/SnO2/TiO2 composite system in relation to the bare SnO2. The present theoretical results may explain the growth of TiO2@SnO2 bimorph composite nanotape. © 2008 American Chemical Society.","author":[{"dropping-particle":"","family":"Beltrán","given":"A.","non-dropping-particle":"","parse-names":false,"suffix":""},{"dropping-particle":"","family":"Andrés","given":"J.","non-dropping-particle":"","parse-names":false,"suffix":""},{"dropping-particle":"","family":"Sambrano","given":"J. R.","non-dropping-particle":"","parse-names":false,"suffix":""},{"dropping-particle":"","family":"Longo","given":"E.","non-dropping-particle":"","parse-names":false,"suffix":""}],"container-title":"The Journal of Physical Chemistry A","id":"ITEM-2","issue":"38","issued":{"date-parts":[["2008"]]},"page":"8943-8952","title":"Density functional theory study on the structural and electronic properties of low index rutile surfaces for TiO2/SnO2/TiO 2 and SnO2/TiO2/SnO2 composite systems","type":"article-journal","volume":"112"},"uris":["http://www.mendeley.com/documents/?uuid=bbb708f4-d96f-46e0-bd1f-e97c639eb342"]},{"id":"ITEM-3","itemData":{"DOI":"10.1016/j.apsusc.2022.155321","ISSN":"01694332","abstract":"Recently, the knowledge of surface-dependent properties has attracted a lot of attention since it is crucial for materials functionalization based on the morphological control of nanoparticles (NPs). This study describes the surface-dependent properties and morphological transformation routes of rutile germanium dioxide (r-GeO2) using the density functional theory (DFT) and the Wulff construction procedure. The calculations revealed the following order of relative surface stability: (1 1 0) &gt; (1 0 0) &gt; (3 2 1) &gt; (3 1 1) &gt; (2 0 1) &gt; (2 1 1) &gt; (1 0 1) &gt; (1 0 3) &gt; (0 0 1) &gt; (1 1 1), with the Ge-O bonds being attributed to Ge4p-O2p and Ge4s-O2p interactions. The results demonstrate that the different coordination breakages on the outermost polyhedra are related to atomic charges, band gap, relative stability, and Fermi energy. Additionally, a map of the morphological transformation routes and the band alignment were elaborated, showing that cubic, octahedral, or hexadecahedral morphologies can have photocatalytic activity for H2 production via water splitting. The methodology and results reported herein can help target the synthesis and functionalization of rutile-type materials.","author":[{"dropping-particle":"","family":"Laranjeira","given":"José A.S.","non-dropping-particle":"","parse-names":false,"suffix":""},{"dropping-particle":"","family":"Azevedo","given":"Sérgio A.","non-dropping-particle":"","parse-names":false,"suffix":""},{"dropping-particle":"","family":"Fabris","given":"Guilherme S.L.","non-dropping-particle":"","parse-names":false,"suffix":""},{"dropping-particle":"","family":"Albuquerque","given":"Anderson R.","non-dropping-particle":"","parse-names":false,"suffix":""},{"dropping-particle":"","family":"Ferrer","given":"Mateus M.","non-dropping-particle":"","parse-names":false,"suffix":""},{"dropping-particle":"","family":"Sambrano","given":"Julio R.","non-dropping-particle":"","parse-names":false,"suffix":""}],"container-title":"Applied Surface Science","id":"ITEM-3","issued":{"date-parts":[["2023"]]},"page":"155321","title":"Surface-dependent properties and morphological transformations of rutile GeO2 nanoparticles","type":"article-journal","volume":"609"},"uris":["http://www.mendeley.com/documents/?uuid=0c2a2c60-726c-4757-9d6a-b4bf431969cc"]}],"mendeley":{"formattedCitation":"&lt;sup&gt;48–50)&lt;/sup&gt;","plainTextFormattedCitation":"48–50)","previouslyFormattedCitation":"&lt;sup&gt;48–50)&lt;/sup&gt;"},"properties":{"noteIndex":0},"schema":"https://github.com/citation-style-language/schema/raw/master/csl-citation.json"}</w:instrText>
      </w:r>
      <w:r w:rsidR="00CF3544" w:rsidRPr="005A536D">
        <w:fldChar w:fldCharType="separate"/>
      </w:r>
      <w:r w:rsidR="004C0FAD" w:rsidRPr="005A536D">
        <w:rPr>
          <w:noProof/>
          <w:vertAlign w:val="superscript"/>
        </w:rPr>
        <w:t>48–50)</w:t>
      </w:r>
      <w:r w:rsidR="00CF3544" w:rsidRPr="005A536D">
        <w:fldChar w:fldCharType="end"/>
      </w:r>
      <w:r w:rsidR="00CF3544" w:rsidRPr="005A536D">
        <w:t xml:space="preserve"> A SiO</w:t>
      </w:r>
      <w:r w:rsidR="00CF3544" w:rsidRPr="005A536D">
        <w:rPr>
          <w:vertAlign w:val="subscript"/>
        </w:rPr>
        <w:t>2</w:t>
      </w:r>
      <w:r w:rsidR="00CF3544" w:rsidRPr="005A536D">
        <w:t xml:space="preserve"> layer with a thickness of 100 nm was deposited on the substrate </w:t>
      </w:r>
      <w:r w:rsidR="00BD5B05" w:rsidRPr="005A536D">
        <w:rPr>
          <w:rFonts w:cs="Times New Roman"/>
          <w:szCs w:val="24"/>
        </w:rPr>
        <w:t>using</w:t>
      </w:r>
      <w:r w:rsidR="00CF3544" w:rsidRPr="005A536D">
        <w:t xml:space="preserve"> plasma-enhanced chemical vapor deposition (CVD</w:t>
      </w:r>
      <w:r w:rsidR="00CF3544" w:rsidRPr="005A536D">
        <w:rPr>
          <w:rFonts w:cs="Times New Roman"/>
          <w:szCs w:val="24"/>
        </w:rPr>
        <w:t>)</w:t>
      </w:r>
      <w:r w:rsidR="00BD5B05" w:rsidRPr="005A536D">
        <w:rPr>
          <w:rFonts w:cs="Times New Roman"/>
          <w:szCs w:val="24"/>
        </w:rPr>
        <w:t>,</w:t>
      </w:r>
      <w:r w:rsidR="00CF3544" w:rsidRPr="005A536D">
        <w:t xml:space="preserve"> with </w:t>
      </w:r>
      <w:proofErr w:type="spellStart"/>
      <w:r w:rsidR="00CF3544" w:rsidRPr="005A536D">
        <w:t>tetraethoxysilane</w:t>
      </w:r>
      <w:proofErr w:type="spellEnd"/>
      <w:r w:rsidR="00CF3544" w:rsidRPr="005A536D">
        <w:t xml:space="preserve"> as the precursor. The conventional photolithography</w:t>
      </w:r>
      <w:r w:rsidR="00BD5B05" w:rsidRPr="005A536D">
        <w:rPr>
          <w:rFonts w:cs="Times New Roman"/>
          <w:szCs w:val="24"/>
        </w:rPr>
        <w:t>, which</w:t>
      </w:r>
      <w:r w:rsidR="00CF3544" w:rsidRPr="005A536D">
        <w:rPr>
          <w:rFonts w:cs="Times New Roman"/>
          <w:szCs w:val="24"/>
        </w:rPr>
        <w:t xml:space="preserve"> us</w:t>
      </w:r>
      <w:r w:rsidR="00BD5B05" w:rsidRPr="005A536D">
        <w:rPr>
          <w:rFonts w:cs="Times New Roman"/>
          <w:szCs w:val="24"/>
        </w:rPr>
        <w:t>es</w:t>
      </w:r>
      <w:r w:rsidR="00CF3544" w:rsidRPr="005A536D">
        <w:t xml:space="preserve"> buffered hydrogen fluoride as the etchant</w:t>
      </w:r>
      <w:r w:rsidR="00BD5B05" w:rsidRPr="005A536D">
        <w:rPr>
          <w:rFonts w:cs="Times New Roman"/>
          <w:szCs w:val="24"/>
        </w:rPr>
        <w:t>,</w:t>
      </w:r>
      <w:r w:rsidR="00CF3544" w:rsidRPr="005A536D">
        <w:t xml:space="preserve"> was employed to fabricate </w:t>
      </w:r>
      <w:r w:rsidR="00CF3544" w:rsidRPr="005A536D">
        <w:rPr>
          <w:rFonts w:eastAsiaTheme="minorEastAsia"/>
        </w:rPr>
        <w:t>patterned windows</w:t>
      </w:r>
      <w:r w:rsidR="00CF3544" w:rsidRPr="005A536D">
        <w:t>. Using acetone</w:t>
      </w:r>
      <w:r w:rsidR="004878D7" w:rsidRPr="005A536D">
        <w:rPr>
          <w:rFonts w:cs="Times New Roman"/>
          <w:szCs w:val="24"/>
        </w:rPr>
        <w:t>-</w:t>
      </w:r>
      <w:r w:rsidR="00CF3544" w:rsidRPr="005A536D">
        <w:t xml:space="preserve"> and </w:t>
      </w:r>
      <w:r w:rsidR="00CF3544" w:rsidRPr="005A536D">
        <w:rPr>
          <w:rFonts w:eastAsiaTheme="minorEastAsia"/>
        </w:rPr>
        <w:t>O</w:t>
      </w:r>
      <w:r w:rsidR="00CF3544" w:rsidRPr="005A536D">
        <w:rPr>
          <w:rFonts w:eastAsiaTheme="minorEastAsia"/>
          <w:vertAlign w:val="subscript"/>
        </w:rPr>
        <w:t>2</w:t>
      </w:r>
      <w:r w:rsidR="004878D7" w:rsidRPr="005A536D">
        <w:rPr>
          <w:rFonts w:eastAsiaTheme="minorEastAsia" w:cs="Times New Roman"/>
          <w:szCs w:val="24"/>
        </w:rPr>
        <w:t>-</w:t>
      </w:r>
      <w:r w:rsidR="00CF3544" w:rsidRPr="005A536D">
        <w:rPr>
          <w:rFonts w:eastAsiaTheme="minorEastAsia"/>
        </w:rPr>
        <w:t>plasma ashing</w:t>
      </w:r>
      <w:r w:rsidR="00CF3544" w:rsidRPr="005A536D">
        <w:t xml:space="preserve">, all traces of </w:t>
      </w:r>
      <w:r w:rsidR="004878D7" w:rsidRPr="005A536D">
        <w:rPr>
          <w:rFonts w:cs="Times New Roman"/>
          <w:szCs w:val="24"/>
        </w:rPr>
        <w:t xml:space="preserve">the </w:t>
      </w:r>
      <w:r w:rsidR="00CF3544" w:rsidRPr="005A536D">
        <w:t>photoresist were eliminated.</w:t>
      </w:r>
      <w:r w:rsidR="00CF3544" w:rsidRPr="005A536D">
        <w:rPr>
          <w:rFonts w:eastAsiaTheme="minorEastAsia"/>
        </w:rPr>
        <w:t xml:space="preserve"> The diameter of the </w:t>
      </w:r>
      <w:r w:rsidR="00723882" w:rsidRPr="005A536D">
        <w:rPr>
          <w:rFonts w:eastAsiaTheme="minorEastAsia"/>
        </w:rPr>
        <w:t>circular</w:t>
      </w:r>
      <w:r w:rsidR="00CF3544" w:rsidRPr="005A536D">
        <w:rPr>
          <w:rFonts w:eastAsiaTheme="minorEastAsia"/>
        </w:rPr>
        <w:t xml:space="preserve"> window</w:t>
      </w:r>
      <w:r w:rsidR="00723882" w:rsidRPr="005A536D">
        <w:rPr>
          <w:rFonts w:eastAsiaTheme="minorEastAsia"/>
        </w:rPr>
        <w:t>s</w:t>
      </w:r>
      <w:r w:rsidR="00CF3544" w:rsidRPr="005A536D">
        <w:rPr>
          <w:rFonts w:eastAsiaTheme="minorEastAsia"/>
        </w:rPr>
        <w:t xml:space="preserve"> was </w:t>
      </w:r>
      <w:r w:rsidR="004878D7" w:rsidRPr="005A536D">
        <w:rPr>
          <w:rFonts w:eastAsiaTheme="minorEastAsia" w:cs="Times New Roman"/>
          <w:szCs w:val="24"/>
        </w:rPr>
        <w:t xml:space="preserve">approximately </w:t>
      </w:r>
      <w:r w:rsidR="00CF3544" w:rsidRPr="005A536D">
        <w:rPr>
          <w:rFonts w:eastAsiaTheme="minorEastAsia"/>
        </w:rPr>
        <w:t xml:space="preserve">1.7 </w:t>
      </w:r>
      <w:proofErr w:type="spellStart"/>
      <w:r w:rsidR="00CF3544" w:rsidRPr="005A536D">
        <w:rPr>
          <w:rFonts w:eastAsiaTheme="minorEastAsia"/>
        </w:rPr>
        <w:t>μm</w:t>
      </w:r>
      <w:proofErr w:type="spellEnd"/>
      <w:r w:rsidR="00CF3544" w:rsidRPr="005A536D">
        <w:rPr>
          <w:rFonts w:eastAsiaTheme="minorEastAsia"/>
        </w:rPr>
        <w:t xml:space="preserve">. The </w:t>
      </w:r>
      <w:r w:rsidR="00723882" w:rsidRPr="005A536D">
        <w:rPr>
          <w:rFonts w:eastAsiaTheme="minorEastAsia"/>
        </w:rPr>
        <w:t>striped window</w:t>
      </w:r>
      <w:r w:rsidR="00CF3544" w:rsidRPr="005A536D">
        <w:rPr>
          <w:rFonts w:eastAsiaTheme="minorEastAsia"/>
        </w:rPr>
        <w:t>s were along [00</w:t>
      </w:r>
      <w:r w:rsidR="002E1273" w:rsidRPr="005A536D">
        <w:rPr>
          <w:rFonts w:eastAsiaTheme="minorEastAsia"/>
        </w:rPr>
        <w:t>1</w:t>
      </w:r>
      <w:r w:rsidR="00CF3544" w:rsidRPr="005A536D">
        <w:rPr>
          <w:rFonts w:eastAsiaTheme="minorEastAsia"/>
        </w:rPr>
        <w:t>],</w:t>
      </w:r>
      <w:r w:rsidR="002E1273" w:rsidRPr="005A536D">
        <w:rPr>
          <w:rFonts w:eastAsiaTheme="minorEastAsia"/>
        </w:rPr>
        <w:t xml:space="preserve">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1</w:t>
      </w:r>
      <w:r w:rsidR="002E1273" w:rsidRPr="005A536D">
        <w:rPr>
          <w:rFonts w:eastAsiaTheme="minorEastAsia"/>
        </w:rPr>
        <w:t>],</w:t>
      </w:r>
      <w:r w:rsidR="00CF3544" w:rsidRPr="005A536D">
        <w:rPr>
          <w:rFonts w:eastAsiaTheme="minorEastAsia"/>
        </w:rPr>
        <w:t xml:space="preserve"> and </w:t>
      </w:r>
      <w:r w:rsidR="002E1273" w:rsidRPr="005A536D">
        <w:rPr>
          <w:rFonts w:eastAsiaTheme="minorEastAsia"/>
        </w:rPr>
        <w:t>[</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002E1273" w:rsidRPr="005A536D">
        <w:rPr>
          <w:rFonts w:eastAsiaTheme="minorEastAsia"/>
        </w:rPr>
        <w:t>]</w:t>
      </w:r>
      <w:r w:rsidR="00CF3544" w:rsidRPr="005A536D">
        <w:rPr>
          <w:rFonts w:eastAsiaTheme="minorEastAsia"/>
        </w:rPr>
        <w:t>, which represent three major in-plane directions on the (110) substrate surface. Th</w:t>
      </w:r>
      <w:r w:rsidR="004878D7" w:rsidRPr="005A536D">
        <w:rPr>
          <w:rFonts w:eastAsiaTheme="minorEastAsia"/>
        </w:rPr>
        <w:t xml:space="preserve">e </w:t>
      </w:r>
      <w:r w:rsidR="00CF3544" w:rsidRPr="005A536D">
        <w:rPr>
          <w:rFonts w:eastAsiaTheme="minorEastAsia"/>
        </w:rPr>
        <w:t>width</w:t>
      </w:r>
      <w:r w:rsidR="004878D7" w:rsidRPr="005A536D">
        <w:rPr>
          <w:rFonts w:eastAsiaTheme="minorEastAsia"/>
        </w:rPr>
        <w:t>s</w:t>
      </w:r>
      <w:r w:rsidR="00CF3544" w:rsidRPr="005A536D">
        <w:rPr>
          <w:rFonts w:eastAsiaTheme="minorEastAsia"/>
        </w:rPr>
        <w:t xml:space="preserve"> of the </w:t>
      </w:r>
      <w:r w:rsidR="00CF3544" w:rsidRPr="005A536D">
        <w:rPr>
          <w:rFonts w:eastAsiaTheme="minorEastAsia" w:cs="Times New Roman"/>
          <w:szCs w:val="24"/>
        </w:rPr>
        <w:t>st</w:t>
      </w:r>
      <w:r w:rsidR="004878D7" w:rsidRPr="005A536D">
        <w:rPr>
          <w:rFonts w:eastAsiaTheme="minorEastAsia" w:cs="Times New Roman"/>
          <w:szCs w:val="24"/>
        </w:rPr>
        <w:t>ri</w:t>
      </w:r>
      <w:r w:rsidR="00CF3544" w:rsidRPr="005A536D">
        <w:rPr>
          <w:rFonts w:eastAsiaTheme="minorEastAsia" w:cs="Times New Roman"/>
          <w:szCs w:val="24"/>
        </w:rPr>
        <w:t>pe</w:t>
      </w:r>
      <w:r w:rsidR="004878D7" w:rsidRPr="005A536D">
        <w:rPr>
          <w:rFonts w:eastAsiaTheme="minorEastAsia" w:cs="Times New Roman"/>
          <w:szCs w:val="24"/>
        </w:rPr>
        <w:t>d windows</w:t>
      </w:r>
      <w:r w:rsidR="00CF3544" w:rsidRPr="005A536D">
        <w:rPr>
          <w:rFonts w:eastAsiaTheme="minorEastAsia"/>
        </w:rPr>
        <w:t xml:space="preserve"> were </w:t>
      </w:r>
      <w:r w:rsidR="004878D7" w:rsidRPr="005A536D">
        <w:rPr>
          <w:rFonts w:eastAsiaTheme="minorEastAsia" w:cs="Times New Roman"/>
          <w:szCs w:val="24"/>
        </w:rPr>
        <w:t xml:space="preserve">approximately </w:t>
      </w:r>
      <w:r w:rsidR="00CF3544" w:rsidRPr="005A536D">
        <w:rPr>
          <w:rFonts w:eastAsiaTheme="minorEastAsia"/>
        </w:rPr>
        <w:t xml:space="preserve">1.7 </w:t>
      </w:r>
      <w:proofErr w:type="spellStart"/>
      <w:r w:rsidR="00CF3544" w:rsidRPr="005A536D">
        <w:rPr>
          <w:rFonts w:eastAsiaTheme="minorEastAsia"/>
        </w:rPr>
        <w:t>μm</w:t>
      </w:r>
      <w:proofErr w:type="spellEnd"/>
      <w:r w:rsidR="00CF3544" w:rsidRPr="005A536D">
        <w:rPr>
          <w:rFonts w:eastAsiaTheme="minorEastAsia"/>
        </w:rPr>
        <w:t>.</w:t>
      </w:r>
    </w:p>
    <w:p w14:paraId="29D6B9FC" w14:textId="76FE9BA7" w:rsidR="00CF3544" w:rsidRPr="005A536D" w:rsidRDefault="004878D7" w:rsidP="0048545A">
      <w:pPr>
        <w:pStyle w:val="MainText151510"/>
        <w:adjustRightInd w:val="0"/>
        <w:spacing w:line="360" w:lineRule="auto"/>
        <w:ind w:firstLineChars="100" w:firstLine="240"/>
        <w:rPr>
          <w:rFonts w:eastAsiaTheme="minorEastAsia"/>
        </w:rPr>
      </w:pPr>
      <w:r w:rsidRPr="005A536D">
        <w:rPr>
          <w:rFonts w:eastAsiaTheme="minorEastAsia" w:cs="Times New Roman"/>
          <w:szCs w:val="24"/>
        </w:rPr>
        <w:t xml:space="preserve">The </w:t>
      </w:r>
      <w:r w:rsidR="00CF3544" w:rsidRPr="005A536D">
        <w:rPr>
          <w:rFonts w:eastAsiaTheme="minorEastAsia"/>
        </w:rPr>
        <w:t>SAG of r-SnO</w:t>
      </w:r>
      <w:r w:rsidR="00CF3544" w:rsidRPr="005A536D">
        <w:rPr>
          <w:rFonts w:eastAsiaTheme="minorEastAsia"/>
          <w:vertAlign w:val="subscript"/>
        </w:rPr>
        <w:t>2</w:t>
      </w:r>
      <w:r w:rsidR="00CF3544" w:rsidRPr="005A536D">
        <w:rPr>
          <w:rFonts w:eastAsiaTheme="minorEastAsia"/>
        </w:rPr>
        <w:t xml:space="preserve"> was performed </w:t>
      </w:r>
      <w:r w:rsidRPr="005A536D">
        <w:rPr>
          <w:rFonts w:eastAsiaTheme="minorEastAsia" w:cs="Times New Roman"/>
          <w:szCs w:val="24"/>
        </w:rPr>
        <w:t>using</w:t>
      </w:r>
      <w:r w:rsidR="00CF3544" w:rsidRPr="005A536D">
        <w:rPr>
          <w:rFonts w:eastAsiaTheme="minorEastAsia"/>
        </w:rPr>
        <w:t xml:space="preserve"> a hot-wall-type mist CVD. </w:t>
      </w:r>
      <w:r w:rsidR="004E67C5" w:rsidRPr="005A536D">
        <w:rPr>
          <w:rFonts w:eastAsiaTheme="minorEastAsia" w:cs="Times New Roman"/>
          <w:szCs w:val="24"/>
        </w:rPr>
        <w:t xml:space="preserve">A </w:t>
      </w:r>
      <w:r w:rsidR="004D4B39" w:rsidRPr="005A536D">
        <w:rPr>
          <w:rFonts w:cs="Times New Roman"/>
          <w:szCs w:val="24"/>
        </w:rPr>
        <w:t>SnCl</w:t>
      </w:r>
      <w:r w:rsidR="004D4B39" w:rsidRPr="005A536D">
        <w:rPr>
          <w:rFonts w:cs="Times New Roman"/>
          <w:szCs w:val="24"/>
          <w:vertAlign w:val="subscript"/>
        </w:rPr>
        <w:t>2</w:t>
      </w:r>
      <w:r w:rsidR="004D4B39" w:rsidRPr="005A536D">
        <w:rPr>
          <w:rFonts w:cs="Times New Roman"/>
          <w:szCs w:val="24"/>
        </w:rPr>
        <w:t xml:space="preserve"> (&gt;99.9%)-dissolved aqueous solution with a small amount of hydrochloric acid additive (0.01</w:t>
      </w:r>
      <w:r w:rsidRPr="005A536D">
        <w:rPr>
          <w:rFonts w:cs="Times New Roman"/>
          <w:szCs w:val="24"/>
        </w:rPr>
        <w:t>-</w:t>
      </w:r>
      <w:r w:rsidR="004D4B39" w:rsidRPr="005A536D">
        <w:rPr>
          <w:rFonts w:cs="Times New Roman"/>
          <w:szCs w:val="24"/>
        </w:rPr>
        <w:t xml:space="preserve">mol/L Sn concentration) was used as a reactant. </w:t>
      </w:r>
      <w:r w:rsidR="004D4B39" w:rsidRPr="005A536D">
        <w:rPr>
          <w:rFonts w:eastAsiaTheme="minorEastAsia"/>
        </w:rPr>
        <w:t>Note that</w:t>
      </w:r>
      <w:r w:rsidR="004D4B39" w:rsidRPr="005A536D">
        <w:rPr>
          <w:rFonts w:eastAsiaTheme="minorEastAsia" w:cs="Times New Roman"/>
          <w:szCs w:val="24"/>
        </w:rPr>
        <w:t xml:space="preserve"> </w:t>
      </w:r>
      <w:r w:rsidR="004E67C5" w:rsidRPr="005A536D">
        <w:rPr>
          <w:rFonts w:eastAsiaTheme="minorEastAsia" w:cs="Times New Roman"/>
          <w:szCs w:val="24"/>
        </w:rPr>
        <w:t>the</w:t>
      </w:r>
      <w:r w:rsidR="004E67C5" w:rsidRPr="005A536D">
        <w:rPr>
          <w:rFonts w:eastAsiaTheme="minorEastAsia"/>
        </w:rPr>
        <w:t xml:space="preserve"> </w:t>
      </w:r>
      <w:r w:rsidR="004D4B39" w:rsidRPr="005A536D">
        <w:rPr>
          <w:rFonts w:eastAsiaTheme="minorEastAsia"/>
        </w:rPr>
        <w:t xml:space="preserve">hydrochloric acid was necessary to completely dissolve </w:t>
      </w:r>
      <w:r w:rsidR="004D4B39" w:rsidRPr="005A536D">
        <w:rPr>
          <w:rFonts w:cs="Times New Roman"/>
          <w:szCs w:val="24"/>
        </w:rPr>
        <w:t>SnCl</w:t>
      </w:r>
      <w:r w:rsidR="004D4B39" w:rsidRPr="005A536D">
        <w:rPr>
          <w:rFonts w:cs="Times New Roman"/>
          <w:szCs w:val="24"/>
          <w:vertAlign w:val="subscript"/>
        </w:rPr>
        <w:t xml:space="preserve">2 </w:t>
      </w:r>
      <w:r w:rsidR="004D4B39" w:rsidRPr="005A536D">
        <w:rPr>
          <w:rFonts w:eastAsiaTheme="minorEastAsia"/>
        </w:rPr>
        <w:t xml:space="preserve">powder in the </w:t>
      </w:r>
      <w:r w:rsidR="004D4B39" w:rsidRPr="005A536D">
        <w:rPr>
          <w:rFonts w:cs="Times New Roman"/>
          <w:szCs w:val="24"/>
        </w:rPr>
        <w:t xml:space="preserve">aqueous </w:t>
      </w:r>
      <w:r w:rsidR="004D4B39" w:rsidRPr="005A536D">
        <w:rPr>
          <w:rFonts w:eastAsiaTheme="minorEastAsia"/>
        </w:rPr>
        <w:t>solution.</w:t>
      </w:r>
      <w:r w:rsidR="00CF3544" w:rsidRPr="005A536D">
        <w:rPr>
          <w:rFonts w:eastAsiaTheme="minorEastAsia"/>
        </w:rPr>
        <w:t xml:space="preserve"> The source aqueous solution was atomized using ultrasonic transducers</w:t>
      </w:r>
      <w:r w:rsidR="00F402F2" w:rsidRPr="005A536D">
        <w:rPr>
          <w:rFonts w:eastAsiaTheme="minorEastAsia"/>
        </w:rPr>
        <w:t>.</w:t>
      </w:r>
      <w:r w:rsidR="00CF3544" w:rsidRPr="005A536D">
        <w:rPr>
          <w:rFonts w:eastAsiaTheme="minorEastAsia"/>
        </w:rPr>
        <w:t xml:space="preserve"> The precursor mist was supplied to a horizontal quartz reactor heated at 750°C using O</w:t>
      </w:r>
      <w:r w:rsidR="00CF3544" w:rsidRPr="005A536D">
        <w:rPr>
          <w:rFonts w:eastAsiaTheme="minorEastAsia"/>
          <w:vertAlign w:val="subscript"/>
        </w:rPr>
        <w:t>2</w:t>
      </w:r>
      <w:r w:rsidR="00CF3544" w:rsidRPr="005A536D">
        <w:rPr>
          <w:rFonts w:eastAsiaTheme="minorEastAsia"/>
        </w:rPr>
        <w:t xml:space="preserve"> gas through carrier and dilution lines at flow rates of 3.0 and 0.5 L/min, respectively. The SiO</w:t>
      </w:r>
      <w:r w:rsidR="00CF3544" w:rsidRPr="005A536D">
        <w:rPr>
          <w:rFonts w:eastAsiaTheme="minorEastAsia"/>
          <w:vertAlign w:val="subscript"/>
        </w:rPr>
        <w:t>2</w:t>
      </w:r>
      <w:r w:rsidR="00CF3544" w:rsidRPr="005A536D">
        <w:rPr>
          <w:rFonts w:eastAsiaTheme="minorEastAsia"/>
        </w:rPr>
        <w:t>-masked TiO</w:t>
      </w:r>
      <w:r w:rsidR="00CF3544" w:rsidRPr="005A536D">
        <w:rPr>
          <w:rFonts w:eastAsiaTheme="minorEastAsia"/>
          <w:vertAlign w:val="subscript"/>
        </w:rPr>
        <w:t>2</w:t>
      </w:r>
      <w:r w:rsidR="00CF3544" w:rsidRPr="005A536D">
        <w:rPr>
          <w:rFonts w:eastAsiaTheme="minorEastAsia"/>
        </w:rPr>
        <w:t xml:space="preserve"> substrate was placed face down in the quartz reactor to avoid polycrystal deposition on the mask surface. In this configuration, the growth rate of r-SnO</w:t>
      </w:r>
      <w:r w:rsidR="00CF3544" w:rsidRPr="005A536D">
        <w:rPr>
          <w:rFonts w:eastAsiaTheme="minorEastAsia"/>
          <w:vertAlign w:val="subscript"/>
        </w:rPr>
        <w:t>2</w:t>
      </w:r>
      <w:r w:rsidR="00CF3544" w:rsidRPr="005A536D">
        <w:rPr>
          <w:rFonts w:eastAsiaTheme="minorEastAsia"/>
        </w:rPr>
        <w:t xml:space="preserve"> was heterogeneous across its entire surface. However, the heterogeneity of the growth rate enabled</w:t>
      </w:r>
      <w:r w:rsidR="004E67C5" w:rsidRPr="005A536D">
        <w:rPr>
          <w:rFonts w:eastAsiaTheme="minorEastAsia"/>
        </w:rPr>
        <w:t xml:space="preserve"> </w:t>
      </w:r>
      <w:r w:rsidR="004E67C5" w:rsidRPr="005A536D">
        <w:rPr>
          <w:rFonts w:eastAsiaTheme="minorEastAsia" w:cs="Times New Roman"/>
          <w:szCs w:val="24"/>
        </w:rPr>
        <w:t>a comprehensive understanding</w:t>
      </w:r>
      <w:r w:rsidR="004E67C5" w:rsidRPr="005A536D">
        <w:rPr>
          <w:rFonts w:eastAsiaTheme="minorEastAsia"/>
        </w:rPr>
        <w:t xml:space="preserve"> </w:t>
      </w:r>
      <w:r w:rsidR="00CF3544" w:rsidRPr="005A536D">
        <w:rPr>
          <w:rFonts w:eastAsiaTheme="minorEastAsia"/>
        </w:rPr>
        <w:t xml:space="preserve">of the evolution </w:t>
      </w:r>
      <w:r w:rsidR="00DE2505" w:rsidRPr="005A536D">
        <w:rPr>
          <w:rFonts w:eastAsiaTheme="minorEastAsia"/>
        </w:rPr>
        <w:t>of</w:t>
      </w:r>
      <w:r w:rsidR="00CF3544" w:rsidRPr="005A536D">
        <w:rPr>
          <w:rFonts w:eastAsiaTheme="minorEastAsia"/>
        </w:rPr>
        <w:t xml:space="preserve"> </w:t>
      </w:r>
      <w:r w:rsidR="004E67C5" w:rsidRPr="005A536D">
        <w:rPr>
          <w:rFonts w:eastAsiaTheme="minorEastAsia"/>
        </w:rPr>
        <w:t xml:space="preserve">SAG </w:t>
      </w:r>
      <w:r w:rsidR="00CF3544" w:rsidRPr="005A536D">
        <w:rPr>
          <w:rFonts w:eastAsiaTheme="minorEastAsia"/>
        </w:rPr>
        <w:t>r-SnO</w:t>
      </w:r>
      <w:r w:rsidR="00CF3544" w:rsidRPr="005A536D">
        <w:rPr>
          <w:rFonts w:eastAsiaTheme="minorEastAsia"/>
          <w:vertAlign w:val="subscript"/>
        </w:rPr>
        <w:t>2</w:t>
      </w:r>
      <w:r w:rsidR="00CF3544" w:rsidRPr="005A536D">
        <w:rPr>
          <w:rFonts w:eastAsiaTheme="minorEastAsia"/>
        </w:rPr>
        <w:t xml:space="preserve"> solely by observing a single sample</w:t>
      </w:r>
      <w:r w:rsidR="00CF3544" w:rsidRPr="005A536D">
        <w:rPr>
          <w:rFonts w:eastAsiaTheme="minorEastAsia" w:cs="Times New Roman"/>
          <w:szCs w:val="24"/>
        </w:rPr>
        <w:t>.</w:t>
      </w:r>
      <w:r w:rsidR="004D4B39" w:rsidRPr="005A536D">
        <w:rPr>
          <w:rFonts w:eastAsiaTheme="minorEastAsia" w:cs="Times New Roman"/>
          <w:szCs w:val="24"/>
        </w:rPr>
        <w:t xml:space="preserve"> </w:t>
      </w:r>
      <w:r w:rsidR="00E46441" w:rsidRPr="005A536D">
        <w:rPr>
          <w:rFonts w:eastAsiaTheme="minorEastAsia" w:cs="Times New Roman"/>
          <w:szCs w:val="24"/>
        </w:rPr>
        <w:t>Notably,</w:t>
      </w:r>
      <w:r w:rsidR="004D4B39" w:rsidRPr="005A536D">
        <w:rPr>
          <w:rFonts w:eastAsiaTheme="minorEastAsia"/>
        </w:rPr>
        <w:t xml:space="preserve"> different growth </w:t>
      </w:r>
      <w:r w:rsidR="004D4B39" w:rsidRPr="005A536D">
        <w:rPr>
          <w:rFonts w:eastAsiaTheme="minorEastAsia" w:cs="Times New Roman"/>
          <w:szCs w:val="24"/>
        </w:rPr>
        <w:t>rate</w:t>
      </w:r>
      <w:r w:rsidR="00E46441" w:rsidRPr="005A536D">
        <w:rPr>
          <w:rFonts w:eastAsiaTheme="minorEastAsia" w:cs="Times New Roman"/>
          <w:szCs w:val="24"/>
        </w:rPr>
        <w:t>s</w:t>
      </w:r>
      <w:r w:rsidR="004D4B39" w:rsidRPr="005A536D">
        <w:rPr>
          <w:rFonts w:eastAsiaTheme="minorEastAsia" w:cs="Times New Roman"/>
          <w:szCs w:val="24"/>
        </w:rPr>
        <w:t xml:space="preserve"> cause</w:t>
      </w:r>
      <w:r w:rsidR="004D4B39" w:rsidRPr="005A536D">
        <w:rPr>
          <w:rFonts w:eastAsiaTheme="minorEastAsia"/>
        </w:rPr>
        <w:t xml:space="preserve"> </w:t>
      </w:r>
      <w:r w:rsidR="004D4B39" w:rsidRPr="005A536D">
        <w:rPr>
          <w:rFonts w:eastAsiaTheme="minorEastAsia"/>
        </w:rPr>
        <w:lastRenderedPageBreak/>
        <w:t xml:space="preserve">different </w:t>
      </w:r>
      <w:r w:rsidR="004D4B39" w:rsidRPr="005A536D">
        <w:rPr>
          <w:rFonts w:eastAsiaTheme="minorEastAsia" w:cs="Times New Roman"/>
          <w:szCs w:val="24"/>
        </w:rPr>
        <w:t>degree</w:t>
      </w:r>
      <w:r w:rsidR="00E46441" w:rsidRPr="005A536D">
        <w:rPr>
          <w:rFonts w:eastAsiaTheme="minorEastAsia" w:cs="Times New Roman"/>
          <w:szCs w:val="24"/>
        </w:rPr>
        <w:t>s</w:t>
      </w:r>
      <w:r w:rsidR="004D4B39" w:rsidRPr="005A536D">
        <w:rPr>
          <w:rFonts w:eastAsiaTheme="minorEastAsia"/>
        </w:rPr>
        <w:t xml:space="preserve"> of surface supersaturation. Therefore, </w:t>
      </w:r>
      <w:r w:rsidR="00E46441" w:rsidRPr="005A536D">
        <w:rPr>
          <w:rFonts w:eastAsiaTheme="minorEastAsia" w:cs="Times New Roman"/>
          <w:szCs w:val="24"/>
        </w:rPr>
        <w:t xml:space="preserve">the </w:t>
      </w:r>
      <w:r w:rsidR="004D4B39" w:rsidRPr="005A536D">
        <w:rPr>
          <w:rFonts w:eastAsiaTheme="minorEastAsia"/>
        </w:rPr>
        <w:t xml:space="preserve">island density, </w:t>
      </w:r>
      <w:r w:rsidR="00E46441" w:rsidRPr="005A536D">
        <w:rPr>
          <w:rFonts w:eastAsiaTheme="minorEastAsia" w:cs="Times New Roman"/>
          <w:szCs w:val="24"/>
        </w:rPr>
        <w:t xml:space="preserve">the </w:t>
      </w:r>
      <w:r w:rsidR="004D4B39" w:rsidRPr="005A536D">
        <w:rPr>
          <w:rFonts w:eastAsiaTheme="minorEastAsia"/>
        </w:rPr>
        <w:t xml:space="preserve">island size, and even the growth shape </w:t>
      </w:r>
      <w:r w:rsidR="00E46441" w:rsidRPr="005A536D">
        <w:rPr>
          <w:rFonts w:eastAsiaTheme="minorEastAsia" w:cs="Times New Roman"/>
          <w:szCs w:val="24"/>
        </w:rPr>
        <w:t>for</w:t>
      </w:r>
      <w:r w:rsidR="004D4B39" w:rsidRPr="005A536D">
        <w:rPr>
          <w:rFonts w:eastAsiaTheme="minorEastAsia"/>
        </w:rPr>
        <w:t xml:space="preserve"> the slow-growth-rate part </w:t>
      </w:r>
      <w:r w:rsidR="0048545A" w:rsidRPr="0048545A">
        <w:rPr>
          <w:rFonts w:eastAsiaTheme="minorEastAsia"/>
        </w:rPr>
        <w:t>may not exactly be the same as those for the past of the</w:t>
      </w:r>
      <w:r w:rsidR="0048545A">
        <w:rPr>
          <w:rFonts w:eastAsiaTheme="minorEastAsia" w:hint="eastAsia"/>
        </w:rPr>
        <w:t xml:space="preserve"> </w:t>
      </w:r>
      <w:r w:rsidR="0048545A" w:rsidRPr="0048545A">
        <w:rPr>
          <w:rFonts w:eastAsiaTheme="minorEastAsia"/>
        </w:rPr>
        <w:t>high-growth-rate part</w:t>
      </w:r>
      <w:r w:rsidR="004D4B39" w:rsidRPr="005A536D">
        <w:rPr>
          <w:rFonts w:eastAsiaTheme="minorEastAsia"/>
        </w:rPr>
        <w:t xml:space="preserve">. However, our experimental method </w:t>
      </w:r>
      <w:r w:rsidR="00E46441" w:rsidRPr="005A536D">
        <w:rPr>
          <w:rFonts w:eastAsiaTheme="minorEastAsia" w:cs="Times New Roman"/>
          <w:szCs w:val="24"/>
        </w:rPr>
        <w:t xml:space="preserve">can </w:t>
      </w:r>
      <w:r w:rsidR="004D4B39" w:rsidRPr="005A536D">
        <w:rPr>
          <w:rFonts w:eastAsiaTheme="minorEastAsia"/>
        </w:rPr>
        <w:t xml:space="preserve">still be effective to roughly understand the </w:t>
      </w:r>
      <w:r w:rsidR="00E46441" w:rsidRPr="005A536D">
        <w:rPr>
          <w:rFonts w:eastAsiaTheme="minorEastAsia" w:cs="Times New Roman"/>
          <w:szCs w:val="24"/>
        </w:rPr>
        <w:t xml:space="preserve">growth </w:t>
      </w:r>
      <w:r w:rsidR="004D4B39" w:rsidRPr="005A536D">
        <w:rPr>
          <w:rFonts w:eastAsiaTheme="minorEastAsia"/>
        </w:rPr>
        <w:t>evolution</w:t>
      </w:r>
      <w:r w:rsidR="004D4B39" w:rsidRPr="005A536D">
        <w:rPr>
          <w:rFonts w:eastAsiaTheme="minorEastAsia" w:cs="Times New Roman"/>
          <w:szCs w:val="24"/>
        </w:rPr>
        <w:t>.</w:t>
      </w:r>
      <w:r w:rsidR="004D4B39" w:rsidRPr="005A536D">
        <w:rPr>
          <w:rFonts w:eastAsiaTheme="minorEastAsia"/>
        </w:rPr>
        <w:t xml:space="preserve"> </w:t>
      </w:r>
      <w:r w:rsidR="00CF3544" w:rsidRPr="005A536D">
        <w:rPr>
          <w:rFonts w:eastAsiaTheme="minorEastAsia"/>
        </w:rPr>
        <w:t xml:space="preserve">The crystal shape </w:t>
      </w:r>
      <w:r w:rsidR="00E46441" w:rsidRPr="005A536D">
        <w:rPr>
          <w:rFonts w:eastAsiaTheme="minorEastAsia" w:cs="Times New Roman"/>
          <w:szCs w:val="24"/>
        </w:rPr>
        <w:t>for</w:t>
      </w:r>
      <w:r w:rsidR="00CF3544" w:rsidRPr="005A536D">
        <w:rPr>
          <w:rFonts w:eastAsiaTheme="minorEastAsia"/>
        </w:rPr>
        <w:t xml:space="preserve"> the SAG r-SnO</w:t>
      </w:r>
      <w:r w:rsidR="00CF3544" w:rsidRPr="005A536D">
        <w:rPr>
          <w:rFonts w:eastAsiaTheme="minorEastAsia"/>
          <w:vertAlign w:val="subscript"/>
        </w:rPr>
        <w:t>2</w:t>
      </w:r>
      <w:r w:rsidR="00CF3544" w:rsidRPr="005A536D">
        <w:rPr>
          <w:rFonts w:eastAsiaTheme="minorEastAsia"/>
        </w:rPr>
        <w:t xml:space="preserve"> </w:t>
      </w:r>
      <w:r w:rsidR="00CF3544" w:rsidRPr="005A536D">
        <w:rPr>
          <w:rFonts w:eastAsiaTheme="minorEastAsia" w:cs="Times New Roman"/>
          <w:szCs w:val="24"/>
        </w:rPr>
        <w:t>w</w:t>
      </w:r>
      <w:r w:rsidR="00E46441" w:rsidRPr="005A536D">
        <w:rPr>
          <w:rFonts w:eastAsiaTheme="minorEastAsia" w:cs="Times New Roman"/>
          <w:szCs w:val="24"/>
        </w:rPr>
        <w:t>as</w:t>
      </w:r>
      <w:r w:rsidR="00CF3544" w:rsidRPr="005A536D">
        <w:rPr>
          <w:rFonts w:eastAsiaTheme="minorEastAsia"/>
        </w:rPr>
        <w:t xml:space="preserve"> examined using scanning electron microscopy (SEM). The dislocation distribution was visualized using transmission electron microscopy (TEM) with an acceleration voltage of 200 kV. The TEM specimen was prepared by deposition of a carbon protective layer and successive Ga</w:t>
      </w:r>
      <w:r w:rsidR="00E46441" w:rsidRPr="005A536D">
        <w:rPr>
          <w:rFonts w:eastAsiaTheme="minorEastAsia"/>
        </w:rPr>
        <w:t xml:space="preserve"> </w:t>
      </w:r>
      <w:r w:rsidR="00CF3544" w:rsidRPr="005A536D">
        <w:rPr>
          <w:rFonts w:eastAsiaTheme="minorEastAsia"/>
        </w:rPr>
        <w:t>focused</w:t>
      </w:r>
      <w:r w:rsidR="00E46441" w:rsidRPr="005A536D">
        <w:rPr>
          <w:rFonts w:eastAsiaTheme="minorEastAsia" w:cs="Times New Roman"/>
          <w:szCs w:val="24"/>
        </w:rPr>
        <w:t>-</w:t>
      </w:r>
      <w:r w:rsidR="00CF3544" w:rsidRPr="005A536D">
        <w:rPr>
          <w:rFonts w:eastAsiaTheme="minorEastAsia"/>
        </w:rPr>
        <w:t>ion</w:t>
      </w:r>
      <w:r w:rsidR="00E46441" w:rsidRPr="005A536D">
        <w:rPr>
          <w:rFonts w:eastAsiaTheme="minorEastAsia" w:cs="Times New Roman"/>
          <w:szCs w:val="24"/>
        </w:rPr>
        <w:t>-</w:t>
      </w:r>
      <w:r w:rsidR="00CF3544" w:rsidRPr="005A536D">
        <w:rPr>
          <w:rFonts w:eastAsiaTheme="minorEastAsia"/>
        </w:rPr>
        <w:t>beam milling.</w:t>
      </w:r>
    </w:p>
    <w:p w14:paraId="3242694D" w14:textId="3253E1EA" w:rsidR="00913520" w:rsidRPr="005A536D" w:rsidRDefault="00CF3544" w:rsidP="00827621">
      <w:pPr>
        <w:pStyle w:val="MainText151510"/>
        <w:adjustRightInd w:val="0"/>
        <w:spacing w:line="360" w:lineRule="auto"/>
        <w:ind w:firstLineChars="100" w:firstLine="240"/>
        <w:rPr>
          <w:rFonts w:eastAsiaTheme="minorEastAsia"/>
        </w:rPr>
      </w:pPr>
      <w:r w:rsidRPr="005A536D">
        <w:rPr>
          <w:rFonts w:eastAsiaTheme="minorEastAsia"/>
        </w:rPr>
        <w:t>We observed an isolated SAG r-SnO</w:t>
      </w:r>
      <w:r w:rsidRPr="005A536D">
        <w:rPr>
          <w:rFonts w:eastAsiaTheme="minorEastAsia"/>
          <w:vertAlign w:val="subscript"/>
        </w:rPr>
        <w:t>2</w:t>
      </w:r>
      <w:r w:rsidRPr="005A536D">
        <w:rPr>
          <w:rFonts w:eastAsiaTheme="minorEastAsia" w:cs="Times New Roman"/>
          <w:szCs w:val="24"/>
        </w:rPr>
        <w:t xml:space="preserve"> </w:t>
      </w:r>
      <w:r w:rsidRPr="005A536D">
        <w:rPr>
          <w:rFonts w:eastAsiaTheme="minorEastAsia"/>
        </w:rPr>
        <w:t>island to understand its growth shape. Figure 1 presents the SEM images of a SAG r-SnO</w:t>
      </w:r>
      <w:r w:rsidRPr="005A536D">
        <w:rPr>
          <w:rFonts w:eastAsiaTheme="minorEastAsia"/>
          <w:vertAlign w:val="subscript"/>
        </w:rPr>
        <w:t>2</w:t>
      </w:r>
      <w:r w:rsidRPr="005A536D">
        <w:rPr>
          <w:rFonts w:eastAsiaTheme="minorEastAsia"/>
        </w:rPr>
        <w:t xml:space="preserve"> island grown through the </w:t>
      </w:r>
      <w:r w:rsidR="00723882" w:rsidRPr="005A536D">
        <w:rPr>
          <w:rFonts w:eastAsiaTheme="minorEastAsia"/>
        </w:rPr>
        <w:t>circular</w:t>
      </w:r>
      <w:r w:rsidRPr="005A536D">
        <w:rPr>
          <w:rFonts w:eastAsiaTheme="minorEastAsia"/>
        </w:rPr>
        <w:t xml:space="preserve"> window. The hexagon-shape of the SAG island was produced by surrounding crystal facets. As indicated, the sidewall facets were determined to be </w:t>
      </w:r>
      <w:r w:rsidRPr="005A536D">
        <w:rPr>
          <w:rFonts w:eastAsia="ＭＳ 明朝" w:cs="Times New Roman"/>
          <w:szCs w:val="24"/>
        </w:rPr>
        <w:t>{100},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ＭＳ 明朝" w:cs="Times New Roman"/>
          <w:szCs w:val="24"/>
        </w:rPr>
        <w:t>}, and {011</w:t>
      </w:r>
      <w:r w:rsidRPr="005A536D">
        <w:rPr>
          <w:rFonts w:eastAsiaTheme="minorEastAsia"/>
        </w:rPr>
        <w:t xml:space="preserve">} because the geometry </w:t>
      </w:r>
      <w:r w:rsidR="00E46441" w:rsidRPr="005A536D">
        <w:rPr>
          <w:rFonts w:eastAsiaTheme="minorEastAsia" w:cs="Times New Roman"/>
          <w:szCs w:val="24"/>
        </w:rPr>
        <w:t xml:space="preserve">was </w:t>
      </w:r>
      <w:r w:rsidRPr="005A536D">
        <w:rPr>
          <w:rFonts w:eastAsiaTheme="minorEastAsia"/>
        </w:rPr>
        <w:t>closely similar to the equilibrium shape of</w:t>
      </w:r>
      <w:r w:rsidRPr="005A536D">
        <w:t xml:space="preserve"> an r-TiO</w:t>
      </w:r>
      <w:r w:rsidRPr="005A536D">
        <w:rPr>
          <w:vertAlign w:val="subscript"/>
        </w:rPr>
        <w:t>2</w:t>
      </w:r>
      <w:r w:rsidRPr="005A536D">
        <w:rPr>
          <w:rFonts w:cs="Times New Roman"/>
          <w:szCs w:val="24"/>
        </w:rPr>
        <w:t xml:space="preserve"> crystal</w:t>
      </w:r>
      <w:r w:rsidRPr="005A536D">
        <w:t xml:space="preserve"> </w:t>
      </w:r>
      <w:r w:rsidRPr="005A536D">
        <w:rPr>
          <w:rFonts w:eastAsiaTheme="minorEastAsia"/>
        </w:rPr>
        <w:t>illustrated based on the Wulff construction</w:t>
      </w:r>
      <w:r w:rsidR="00FE2458" w:rsidRPr="005A536D">
        <w:rPr>
          <w:rFonts w:eastAsiaTheme="minorEastAsia" w:cs="Times New Roman"/>
          <w:szCs w:val="24"/>
        </w:rPr>
        <w:t>.</w:t>
      </w:r>
      <w:r w:rsidRPr="005A536D">
        <w:fldChar w:fldCharType="begin" w:fldLock="1"/>
      </w:r>
      <w:r w:rsidR="004C0FAD" w:rsidRPr="005A536D">
        <w:rPr>
          <w:rFonts w:cs="Times New Roman"/>
          <w:szCs w:val="24"/>
        </w:rPr>
        <w:instrText>ADDIN CSL_CITATION {"citationItems":[{"id":"ITEM-1","itemData":{"ISBN":"0163-1829","ISSN":"0163-1829","PMID":"10010831","abstract":"We present self-consistent ab initio total-energy calculations of the equilibrium relaxed structures and surface energies of the stoichiometric (1x1) (110), (100), (001), and (011) surfaces of TiO2. The relaxations of atoms on these surfaces are found to be substantial, and are responsible for a large reduction of the calculated surface energies. A Wulff construction is used to display the relative energetics of these surfaces. The (100) surface is found to be stable with respect to forming macroscopic (110) facets, while the (001) surface is nearly unstable with respect to forming macroscopic (1x1) (011) facets. These results shed light on published experimental results on the structures of these surfaces.","author":[{"dropping-particle":"","family":"Ramamoorthy","given":"Madhavan","non-dropping-particle":"","parse-names":false,"suffix":""},{"dropping-particle":"","family":"Vanderbilt","given":"David","non-dropping-particle":"","parse-names":false,"suffix":""},{"dropping-particle":"","family":"King-Smith","given":"R. D.","non-dropping-particle":"","parse-names":false,"suffix":""}],"container-title":"Physical Review B","id":"ITEM-1","issue":"23","issued":{"date-parts":[["1994"]]},"page":"16721-16727","title":"First-principles calculations of the energetics of stoichiometric TiO2 surfaces","type":"article-journal","volume":"49"},"uris":["http://www.mendeley.com/documents/?uuid=01360c2f-433f-498e-9e7c-3ce9f7fb4067"]}],"mendeley":{"formattedCitation":"&lt;sup&gt;48)&lt;/sup&gt;","plainTextFormattedCitation":"48)","previouslyFormattedCitation":"&lt;sup&gt;48)&lt;/sup&gt;"},"properties":{"noteIndex":0},"schema":"https://github.com/citation-style-language/schema/raw/master/csl-citation.json"}</w:instrText>
      </w:r>
      <w:r w:rsidRPr="005A536D">
        <w:fldChar w:fldCharType="separate"/>
      </w:r>
      <w:r w:rsidR="00C669C7" w:rsidRPr="005A536D">
        <w:rPr>
          <w:noProof/>
          <w:vertAlign w:val="superscript"/>
        </w:rPr>
        <w:t>48)</w:t>
      </w:r>
      <w:r w:rsidRPr="005A536D">
        <w:fldChar w:fldCharType="end"/>
      </w:r>
      <w:r w:rsidRPr="005A536D">
        <w:rPr>
          <w:rFonts w:cs="Times New Roman"/>
          <w:szCs w:val="24"/>
        </w:rPr>
        <w:t xml:space="preserve"> </w:t>
      </w:r>
      <w:r w:rsidRPr="005A536D">
        <w:t xml:space="preserve">This result suggests that facet formation of </w:t>
      </w:r>
      <w:r w:rsidR="00E46441" w:rsidRPr="005A536D">
        <w:rPr>
          <w:rFonts w:cs="Times New Roman"/>
          <w:szCs w:val="24"/>
        </w:rPr>
        <w:t xml:space="preserve">the </w:t>
      </w:r>
      <w:r w:rsidRPr="005A536D">
        <w:t xml:space="preserve">SAG </w:t>
      </w:r>
      <w:r w:rsidRPr="005A536D">
        <w:rPr>
          <w:rFonts w:eastAsiaTheme="minorEastAsia"/>
        </w:rPr>
        <w:t>r-SnO</w:t>
      </w:r>
      <w:r w:rsidRPr="005A536D">
        <w:rPr>
          <w:rFonts w:eastAsiaTheme="minorEastAsia"/>
          <w:vertAlign w:val="subscript"/>
        </w:rPr>
        <w:t>2</w:t>
      </w:r>
      <w:r w:rsidRPr="005A536D">
        <w:rPr>
          <w:rFonts w:eastAsiaTheme="minorEastAsia" w:cs="Times New Roman"/>
          <w:szCs w:val="24"/>
        </w:rPr>
        <w:t xml:space="preserve"> </w:t>
      </w:r>
      <w:r w:rsidRPr="005A536D">
        <w:t xml:space="preserve">reflected </w:t>
      </w:r>
      <w:r w:rsidRPr="005A536D">
        <w:rPr>
          <w:rFonts w:eastAsiaTheme="minorEastAsia"/>
        </w:rPr>
        <w:t xml:space="preserve">the </w:t>
      </w:r>
      <w:r w:rsidRPr="005A536D">
        <w:rPr>
          <w:rFonts w:eastAsiaTheme="minorEastAsia" w:cs="Times New Roman"/>
          <w:szCs w:val="24"/>
        </w:rPr>
        <w:t>difference</w:t>
      </w:r>
      <w:r w:rsidR="00E46441" w:rsidRPr="005A536D">
        <w:rPr>
          <w:rFonts w:eastAsiaTheme="minorEastAsia" w:cs="Times New Roman"/>
          <w:szCs w:val="24"/>
        </w:rPr>
        <w:t>s</w:t>
      </w:r>
      <w:r w:rsidRPr="005A536D">
        <w:rPr>
          <w:rFonts w:eastAsiaTheme="minorEastAsia"/>
        </w:rPr>
        <w:t xml:space="preserve"> in </w:t>
      </w:r>
      <w:r w:rsidR="00E46441" w:rsidRPr="005A536D">
        <w:rPr>
          <w:rFonts w:eastAsiaTheme="minorEastAsia" w:cs="Times New Roman"/>
          <w:szCs w:val="24"/>
        </w:rPr>
        <w:t xml:space="preserve">the </w:t>
      </w:r>
      <w:r w:rsidRPr="005A536D">
        <w:t xml:space="preserve">equilibrium </w:t>
      </w:r>
      <w:r w:rsidRPr="005A536D">
        <w:rPr>
          <w:rFonts w:eastAsiaTheme="minorEastAsia"/>
        </w:rPr>
        <w:t>surface energy densities of different planes of the rutile structure.</w:t>
      </w:r>
      <w:r w:rsidRPr="005A536D">
        <w:t xml:space="preserve"> </w:t>
      </w:r>
      <w:r w:rsidRPr="005A536D">
        <w:rPr>
          <w:rFonts w:eastAsiaTheme="minorEastAsia"/>
        </w:rPr>
        <w:t>It is important to note that {</w:t>
      </w:r>
      <w:r w:rsidRPr="005A536D">
        <w:t xml:space="preserve">001} facets did not appear as sidewalls because </w:t>
      </w:r>
      <w:r w:rsidRPr="005A536D">
        <w:rPr>
          <w:rFonts w:eastAsia="ＭＳ 明朝" w:cs="Times New Roman"/>
          <w:szCs w:val="24"/>
        </w:rPr>
        <w:t>{011</w:t>
      </w:r>
      <w:r w:rsidRPr="005A536D">
        <w:rPr>
          <w:rFonts w:eastAsiaTheme="minorEastAsia"/>
        </w:rPr>
        <w:t>} facets with lower surface energy densities developed preferentially.</w:t>
      </w:r>
    </w:p>
    <w:p w14:paraId="3EC0BB14" w14:textId="64255139" w:rsidR="00913520" w:rsidRPr="005A536D" w:rsidRDefault="00913520" w:rsidP="00827621">
      <w:pPr>
        <w:pStyle w:val="MainText151510"/>
        <w:adjustRightInd w:val="0"/>
        <w:spacing w:line="360" w:lineRule="auto"/>
        <w:ind w:firstLineChars="100" w:firstLine="240"/>
        <w:rPr>
          <w:rFonts w:eastAsiaTheme="minorEastAsia"/>
        </w:rPr>
      </w:pPr>
      <w:r w:rsidRPr="005A536D">
        <w:rPr>
          <w:rFonts w:eastAsiaTheme="minorEastAsia"/>
        </w:rPr>
        <w:t>The evolution of the growth of SAG r-SnO</w:t>
      </w:r>
      <w:r w:rsidRPr="005A536D">
        <w:rPr>
          <w:rFonts w:eastAsiaTheme="minorEastAsia"/>
          <w:vertAlign w:val="subscript"/>
        </w:rPr>
        <w:t>2</w:t>
      </w:r>
      <w:r w:rsidRPr="005A536D">
        <w:rPr>
          <w:rFonts w:eastAsiaTheme="minorEastAsia"/>
        </w:rPr>
        <w:t xml:space="preserve"> on </w:t>
      </w:r>
      <w:r w:rsidR="00182C56" w:rsidRPr="005A536D">
        <w:rPr>
          <w:rFonts w:eastAsiaTheme="minorEastAsia"/>
        </w:rPr>
        <w:t>stripe</w:t>
      </w:r>
      <w:r w:rsidR="00E46441" w:rsidRPr="005A536D">
        <w:rPr>
          <w:rFonts w:eastAsiaTheme="minorEastAsia"/>
        </w:rPr>
        <w:t>d</w:t>
      </w:r>
      <w:r w:rsidR="00182C56" w:rsidRPr="005A536D">
        <w:rPr>
          <w:rFonts w:eastAsiaTheme="minorEastAsia"/>
        </w:rPr>
        <w:t xml:space="preserve"> windows</w:t>
      </w:r>
      <w:r w:rsidRPr="005A536D">
        <w:rPr>
          <w:rFonts w:eastAsiaTheme="minorEastAsia"/>
        </w:rPr>
        <w:t xml:space="preserve"> was further investigated. Figure 2 presents the SEM images of SAG r-SnO</w:t>
      </w:r>
      <w:r w:rsidRPr="005A536D">
        <w:rPr>
          <w:rFonts w:eastAsiaTheme="minorEastAsia"/>
          <w:vertAlign w:val="subscript"/>
        </w:rPr>
        <w:t>2</w:t>
      </w:r>
      <w:r w:rsidRPr="005A536D">
        <w:rPr>
          <w:rFonts w:eastAsiaTheme="minorEastAsia"/>
        </w:rPr>
        <w:t xml:space="preserve"> on </w:t>
      </w:r>
      <w:r w:rsidR="00723882" w:rsidRPr="005A536D">
        <w:rPr>
          <w:rFonts w:eastAsiaTheme="minorEastAsia"/>
        </w:rPr>
        <w:t xml:space="preserve">striped </w:t>
      </w:r>
      <w:r w:rsidRPr="005A536D">
        <w:rPr>
          <w:rFonts w:eastAsiaTheme="minorEastAsia"/>
        </w:rPr>
        <w:t>window</w:t>
      </w:r>
      <w:r w:rsidR="00182C56" w:rsidRPr="005A536D">
        <w:rPr>
          <w:rFonts w:eastAsiaTheme="minorEastAsia"/>
        </w:rPr>
        <w:t>s</w:t>
      </w:r>
      <w:r w:rsidRPr="005A536D">
        <w:rPr>
          <w:rFonts w:eastAsiaTheme="minorEastAsia"/>
        </w:rPr>
        <w:t xml:space="preserve"> along [001] acquired at various locations on the sample. The micrographs were categorized to facilitate understanding of the different growth stages. During the first stage of development, a 3D island nucleated on the window, and </w:t>
      </w:r>
      <w:r w:rsidRPr="005A536D">
        <w:rPr>
          <w:rFonts w:eastAsiaTheme="minorEastAsia" w:cs="Times New Roman"/>
          <w:szCs w:val="24"/>
          <w:lang w:val="en"/>
        </w:rPr>
        <w:t>facet</w:t>
      </w:r>
      <w:r w:rsidR="00E46441" w:rsidRPr="005A536D">
        <w:rPr>
          <w:rFonts w:eastAsiaTheme="minorEastAsia"/>
        </w:rPr>
        <w:t xml:space="preserve"> </w:t>
      </w:r>
      <w:r w:rsidRPr="005A536D">
        <w:rPr>
          <w:rFonts w:eastAsiaTheme="minorEastAsia"/>
        </w:rPr>
        <w:t>growth</w:t>
      </w:r>
      <w:r w:rsidR="00E46441" w:rsidRPr="005A536D">
        <w:rPr>
          <w:rFonts w:eastAsiaTheme="minorEastAsia"/>
        </w:rPr>
        <w:t xml:space="preserve"> </w:t>
      </w:r>
      <w:r w:rsidRPr="005A536D">
        <w:rPr>
          <w:rFonts w:eastAsiaTheme="minorEastAsia"/>
        </w:rPr>
        <w:t xml:space="preserve">started. The observed facets are similar to those previously described. This island growth can be characterized by the </w:t>
      </w:r>
      <w:bookmarkStart w:id="0" w:name="_Hlk118285388"/>
      <w:r w:rsidRPr="005A536D">
        <w:rPr>
          <w:rFonts w:eastAsiaTheme="minorEastAsia"/>
        </w:rPr>
        <w:t>Volmer</w:t>
      </w:r>
      <w:r w:rsidR="00E46441" w:rsidRPr="005A536D">
        <w:rPr>
          <w:rFonts w:eastAsiaTheme="minorEastAsia"/>
        </w:rPr>
        <w:t>–</w:t>
      </w:r>
      <w:r w:rsidRPr="005A536D">
        <w:rPr>
          <w:rFonts w:eastAsiaTheme="minorEastAsia"/>
        </w:rPr>
        <w:t>Weber growth mode</w:t>
      </w:r>
      <w:bookmarkEnd w:id="0"/>
      <w:r w:rsidRPr="005A536D">
        <w:rPr>
          <w:rFonts w:eastAsiaTheme="minorEastAsia"/>
        </w:rPr>
        <w:t>, which is widely found in heteroepitaxy in large lattice-mismatch systems. A significant in-plane lattice mismatch of 3.1 and 7.7% along &lt;</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Theme="minorEastAsia"/>
        </w:rPr>
        <w:t>&gt; and &lt;001&gt;</w:t>
      </w:r>
      <w:r w:rsidRPr="005A536D">
        <w:rPr>
          <w:rFonts w:eastAsiaTheme="minorEastAsia"/>
        </w:rPr>
        <w:fldChar w:fldCharType="begin" w:fldLock="1"/>
      </w:r>
      <w:r w:rsidR="004C0FAD" w:rsidRPr="005A536D">
        <w:rPr>
          <w:rFonts w:eastAsiaTheme="minorEastAsia"/>
        </w:rPr>
        <w:instrText>ADDIN CSL_CITATION {"citationItems":[{"id":"ITEM-1","itemData":{"DOI":"10.1107/s0567740871005466","ISBN":"6666666666","ISSN":"05677408","author":[{"dropping-particle":"","family":"Baur","given":"Werner H.","non-dropping-particle":"","parse-names":false,"suffix":""},{"dropping-particle":"","family":"Khan","given":"Auaz A.","non-dropping-particle":"","parse-names":false,"suffix":""}],"container-title":"Acta Crystallographica Section B","id":"ITEM-1","issue":"11","issued":{"date-parts":[["1971"]]},"page":"2133-2139","publisher":"International Union of Crystallography","title":"Rutile-type compounds. IV. SiO2, GeO2 and a comparison with other rutile-type structures","type":"article-journal","volume":"27"},"uris":["http://www.mendeley.com/documents/?uuid=a544443a-45af-40dc-b30b-699fda2b4016"]}],"mendeley":{"formattedCitation":"&lt;sup&gt;51)&lt;/sup&gt;","plainTextFormattedCitation":"51)","previouslyFormattedCitation":"&lt;sup&gt;51)&lt;/sup&gt;"},"properties":{"noteIndex":0},"schema":"https://github.com/citation-style-language/schema/raw/master/csl-citation.json"}</w:instrText>
      </w:r>
      <w:r w:rsidRPr="005A536D">
        <w:rPr>
          <w:rFonts w:eastAsiaTheme="minorEastAsia"/>
        </w:rPr>
        <w:fldChar w:fldCharType="separate"/>
      </w:r>
      <w:r w:rsidR="00C669C7" w:rsidRPr="005A536D">
        <w:rPr>
          <w:rFonts w:eastAsiaTheme="minorEastAsia"/>
          <w:noProof/>
          <w:vertAlign w:val="superscript"/>
        </w:rPr>
        <w:t>51)</w:t>
      </w:r>
      <w:r w:rsidRPr="005A536D">
        <w:rPr>
          <w:rFonts w:eastAsiaTheme="minorEastAsia"/>
        </w:rPr>
        <w:fldChar w:fldCharType="end"/>
      </w:r>
      <w:r w:rsidRPr="005A536D">
        <w:rPr>
          <w:rFonts w:eastAsiaTheme="minorEastAsia"/>
        </w:rPr>
        <w:t xml:space="preserve"> </w:t>
      </w:r>
      <w:r w:rsidR="00156FE7" w:rsidRPr="005A536D">
        <w:rPr>
          <w:rFonts w:eastAsiaTheme="minorEastAsia"/>
        </w:rPr>
        <w:t>p</w:t>
      </w:r>
      <w:r w:rsidR="004E67C5" w:rsidRPr="005A536D">
        <w:rPr>
          <w:rFonts w:eastAsiaTheme="minorEastAsia"/>
        </w:rPr>
        <w:t>robably</w:t>
      </w:r>
      <w:r w:rsidR="00156FE7" w:rsidRPr="005A536D">
        <w:rPr>
          <w:rFonts w:eastAsiaTheme="minorEastAsia"/>
        </w:rPr>
        <w:t xml:space="preserve"> </w:t>
      </w:r>
      <w:r w:rsidRPr="005A536D">
        <w:rPr>
          <w:rFonts w:eastAsiaTheme="minorEastAsia"/>
        </w:rPr>
        <w:t>prevented the creation of a 2D layer on the surface of r-TiO</w:t>
      </w:r>
      <w:r w:rsidRPr="005A536D">
        <w:rPr>
          <w:rFonts w:eastAsiaTheme="minorEastAsia"/>
          <w:vertAlign w:val="subscript"/>
        </w:rPr>
        <w:t>2</w:t>
      </w:r>
      <w:r w:rsidRPr="005A536D">
        <w:rPr>
          <w:rFonts w:eastAsiaTheme="minorEastAsia"/>
        </w:rPr>
        <w:t xml:space="preserve"> (110), allowing r-SnO</w:t>
      </w:r>
      <w:r w:rsidRPr="005A536D">
        <w:rPr>
          <w:rFonts w:eastAsiaTheme="minorEastAsia"/>
          <w:vertAlign w:val="subscript"/>
        </w:rPr>
        <w:t>2</w:t>
      </w:r>
      <w:r w:rsidRPr="005A536D">
        <w:rPr>
          <w:rFonts w:eastAsiaTheme="minorEastAsia"/>
        </w:rPr>
        <w:t xml:space="preserve"> clusters to form 3D islands. As the facet growth progressed, the islands merged to become larger, eventually covering the window areas, completely and ultimately leading to the formation of the SAG r-SnO</w:t>
      </w:r>
      <w:r w:rsidRPr="005A536D">
        <w:rPr>
          <w:rFonts w:eastAsiaTheme="minorEastAsia"/>
          <w:vertAlign w:val="subscript"/>
        </w:rPr>
        <w:t>2</w:t>
      </w:r>
      <w:r w:rsidRPr="005A536D">
        <w:rPr>
          <w:rFonts w:eastAsiaTheme="minorEastAsia"/>
        </w:rPr>
        <w:t xml:space="preserve"> stripe. It should be noted that r-SnO</w:t>
      </w:r>
      <w:r w:rsidRPr="005A536D">
        <w:rPr>
          <w:rFonts w:eastAsiaTheme="minorEastAsia"/>
          <w:vertAlign w:val="subscript"/>
        </w:rPr>
        <w:t>2</w:t>
      </w:r>
      <w:r w:rsidRPr="005A536D">
        <w:rPr>
          <w:rFonts w:eastAsiaTheme="minorEastAsia"/>
        </w:rPr>
        <w:t xml:space="preserve"> islands</w:t>
      </w:r>
      <w:r w:rsidR="00156FE7" w:rsidRPr="005A536D">
        <w:rPr>
          <w:rFonts w:eastAsiaTheme="minorEastAsia"/>
        </w:rPr>
        <w:t xml:space="preserve"> </w:t>
      </w:r>
      <w:r w:rsidR="00C11CB5" w:rsidRPr="005A536D">
        <w:rPr>
          <w:rFonts w:eastAsiaTheme="minorEastAsia"/>
        </w:rPr>
        <w:t xml:space="preserve">probably </w:t>
      </w:r>
      <w:r w:rsidRPr="005A536D">
        <w:rPr>
          <w:rFonts w:eastAsiaTheme="minorEastAsia"/>
        </w:rPr>
        <w:t>preferred covering the window area rather than growing laterally on the mask because of a high interface energy between r-SnO</w:t>
      </w:r>
      <w:r w:rsidRPr="005A536D">
        <w:rPr>
          <w:rFonts w:eastAsiaTheme="minorEastAsia"/>
          <w:vertAlign w:val="subscript"/>
        </w:rPr>
        <w:t>2</w:t>
      </w:r>
      <w:r w:rsidRPr="005A536D">
        <w:rPr>
          <w:rFonts w:eastAsiaTheme="minorEastAsia"/>
        </w:rPr>
        <w:t xml:space="preserve"> (110) and the mask surfaces. We also noticed that multiple coalescence of the 3D islands with various sizes gradually generated a flat (110) facet on top of each elongate</w:t>
      </w:r>
      <w:r w:rsidR="007557C0" w:rsidRPr="005A536D">
        <w:rPr>
          <w:rFonts w:eastAsiaTheme="minorEastAsia"/>
        </w:rPr>
        <w:t>d</w:t>
      </w:r>
      <w:r w:rsidRPr="005A536D">
        <w:rPr>
          <w:rFonts w:eastAsiaTheme="minorEastAsia"/>
        </w:rPr>
        <w:t xml:space="preserve"> r-SnO</w:t>
      </w:r>
      <w:r w:rsidRPr="005A536D">
        <w:rPr>
          <w:rFonts w:eastAsiaTheme="minorEastAsia"/>
          <w:vertAlign w:val="subscript"/>
        </w:rPr>
        <w:t>2</w:t>
      </w:r>
      <w:r w:rsidRPr="005A536D">
        <w:rPr>
          <w:rFonts w:eastAsiaTheme="minorEastAsia"/>
        </w:rPr>
        <w:t xml:space="preserve"> due to the small vertical growth rate ascribed to its lowest surface energy density. This surface flattening is also reported for</w:t>
      </w:r>
      <w:r w:rsidR="007557C0" w:rsidRPr="005A536D">
        <w:rPr>
          <w:rFonts w:eastAsiaTheme="minorEastAsia"/>
        </w:rPr>
        <w:t xml:space="preserve"> the</w:t>
      </w:r>
      <w:r w:rsidRPr="005A536D">
        <w:rPr>
          <w:rFonts w:eastAsiaTheme="minorEastAsia"/>
        </w:rPr>
        <w:t xml:space="preserve"> epitaxial growth of r-SnO</w:t>
      </w:r>
      <w:r w:rsidRPr="005A536D">
        <w:rPr>
          <w:rFonts w:eastAsiaTheme="minorEastAsia"/>
          <w:vertAlign w:val="subscript"/>
        </w:rPr>
        <w:t>2</w:t>
      </w:r>
      <w:r w:rsidRPr="005A536D">
        <w:rPr>
          <w:rFonts w:eastAsiaTheme="minorEastAsia"/>
        </w:rPr>
        <w:t xml:space="preserve"> layers on </w:t>
      </w:r>
      <w:r w:rsidRPr="005A536D">
        <w:rPr>
          <w:rFonts w:eastAsiaTheme="minorEastAsia"/>
        </w:rPr>
        <w:lastRenderedPageBreak/>
        <w:t>r-TiO</w:t>
      </w:r>
      <w:r w:rsidRPr="005A536D">
        <w:rPr>
          <w:rFonts w:eastAsiaTheme="minorEastAsia"/>
          <w:vertAlign w:val="subscript"/>
        </w:rPr>
        <w:t>2</w:t>
      </w:r>
      <w:r w:rsidRPr="005A536D">
        <w:rPr>
          <w:rFonts w:eastAsiaTheme="minorEastAsia"/>
        </w:rPr>
        <w:t xml:space="preserve"> (110) substrates by molecular beam epitaxy,</w:t>
      </w:r>
      <w:r w:rsidRPr="005A536D">
        <w:rPr>
          <w:rFonts w:eastAsiaTheme="minorEastAsia"/>
        </w:rPr>
        <w:fldChar w:fldCharType="begin" w:fldLock="1"/>
      </w:r>
      <w:r w:rsidR="004C0FAD" w:rsidRPr="005A536D">
        <w:rPr>
          <w:rFonts w:eastAsiaTheme="minorEastAsia"/>
        </w:rPr>
        <w:instrText>ADDIN CSL_CITATION {"citationItems":[{"id":"ITEM-1","itemData":{"DOI":"10.1016/j.jcrysgro.2008.06.062","ISSN":"00220248","abstract":"Epitaxial growth of SnO2 on TiO2 (1 1 0) substrates by plasma-assisted molecular beam epitaxy was studied under various growth conditions to explore the potential for high-quality single crystalline growth. Phase-pure (1 1 0)-oriented SnO2 films with an optimum on-axis X-ray rocking curve scan full-width at half-maximum equal to 0.612° were grown. The film epitaxy proceeded in the Volmer-Weber growth mode. We identified different growth regimes by measuring growth rate variations correlated with increasing tin fluxes at a fixed oxygen pressure. Beginning in the oxygen-rich growth regime, growth rates increased linearly as the tin flux increased. Atomically flat surfaces were observed in the oxygen-rich regime. Continued tin flux increases resulted in a maximum growth rate of 470 nm/h. Further tin flux increases prevented SnO2 formation on the growth surface and acted as a nucleation barrier of SnO2 on the TiO2 substrates identifying a metal-rich growth regime.","author":[{"dropping-particle":"","family":"Tsai","given":"M. Y.","non-dropping-particle":"","parse-names":false,"suffix":""},{"dropping-particle":"","family":"White","given":"M. E.","non-dropping-particle":"","parse-names":false,"suffix":""},{"dropping-particle":"","family":"Speck","given":"James S.","non-dropping-particle":"","parse-names":false,"suffix":""}],"container-title":"Journal of Crystal Growth","id":"ITEM-1","issue":"18","issued":{"date-parts":[["2008"]]},"page":"4256-4261","title":"Plasma-assisted molecular beam epitaxy of SnO2 on TiO2","type":"article-journal","volume":"310"},"uris":["http://www.mendeley.com/documents/?uuid=fcfd4a1e-e5bc-4fe1-8e09-ad62c42d74c8"]}],"mendeley":{"formattedCitation":"&lt;sup&gt;40)&lt;/sup&gt;","plainTextFormattedCitation":"40)","previouslyFormattedCitation":"&lt;sup&gt;40)&lt;/sup&gt;"},"properties":{"noteIndex":0},"schema":"https://github.com/citation-style-language/schema/raw/master/csl-citation.json"}</w:instrText>
      </w:r>
      <w:r w:rsidRPr="005A536D">
        <w:rPr>
          <w:rFonts w:eastAsiaTheme="minorEastAsia"/>
        </w:rPr>
        <w:fldChar w:fldCharType="separate"/>
      </w:r>
      <w:r w:rsidR="00C669C7" w:rsidRPr="005A536D">
        <w:rPr>
          <w:rFonts w:eastAsiaTheme="minorEastAsia"/>
          <w:noProof/>
          <w:vertAlign w:val="superscript"/>
        </w:rPr>
        <w:t>40)</w:t>
      </w:r>
      <w:r w:rsidRPr="005A536D">
        <w:rPr>
          <w:rFonts w:eastAsiaTheme="minorEastAsia"/>
        </w:rPr>
        <w:fldChar w:fldCharType="end"/>
      </w:r>
      <w:r w:rsidRPr="005A536D">
        <w:rPr>
          <w:rFonts w:eastAsiaTheme="minorEastAsia"/>
        </w:rPr>
        <w:t xml:space="preserve"> in which initial 3D island growth transf</w:t>
      </w:r>
      <w:r w:rsidR="007557C0" w:rsidRPr="005A536D">
        <w:rPr>
          <w:rFonts w:eastAsiaTheme="minorEastAsia"/>
        </w:rPr>
        <w:t>ormed</w:t>
      </w:r>
      <w:r w:rsidRPr="005A536D">
        <w:rPr>
          <w:rFonts w:eastAsiaTheme="minorEastAsia"/>
        </w:rPr>
        <w:t xml:space="preserve"> </w:t>
      </w:r>
      <w:r w:rsidR="007557C0" w:rsidRPr="005A536D">
        <w:rPr>
          <w:rFonts w:eastAsiaTheme="minorEastAsia"/>
        </w:rPr>
        <w:t>in</w:t>
      </w:r>
      <w:r w:rsidRPr="005A536D">
        <w:rPr>
          <w:rFonts w:eastAsiaTheme="minorEastAsia"/>
        </w:rPr>
        <w:t xml:space="preserve">to </w:t>
      </w:r>
      <w:r w:rsidR="007557C0" w:rsidRPr="005A536D">
        <w:rPr>
          <w:rFonts w:eastAsiaTheme="minorEastAsia"/>
        </w:rPr>
        <w:t xml:space="preserve">a </w:t>
      </w:r>
      <w:r w:rsidRPr="005A536D">
        <w:rPr>
          <w:rFonts w:eastAsiaTheme="minorEastAsia"/>
        </w:rPr>
        <w:t xml:space="preserve">2D layer growth at the end of </w:t>
      </w:r>
      <w:r w:rsidR="007557C0" w:rsidRPr="005A536D">
        <w:rPr>
          <w:rFonts w:eastAsiaTheme="minorEastAsia"/>
        </w:rPr>
        <w:t xml:space="preserve">the </w:t>
      </w:r>
      <w:r w:rsidRPr="005A536D">
        <w:rPr>
          <w:rFonts w:eastAsiaTheme="minorEastAsia"/>
        </w:rPr>
        <w:t>coalescence process. After the formation of the r-SnO</w:t>
      </w:r>
      <w:r w:rsidRPr="005A536D">
        <w:rPr>
          <w:rFonts w:eastAsiaTheme="minorEastAsia"/>
          <w:vertAlign w:val="subscript"/>
        </w:rPr>
        <w:t>2</w:t>
      </w:r>
      <w:r w:rsidRPr="005A536D">
        <w:rPr>
          <w:rFonts w:eastAsiaTheme="minorEastAsia"/>
        </w:rPr>
        <w:t xml:space="preserve"> stripe, </w:t>
      </w:r>
      <w:r w:rsidR="007557C0" w:rsidRPr="005A536D">
        <w:rPr>
          <w:rFonts w:eastAsiaTheme="minorEastAsia"/>
        </w:rPr>
        <w:t xml:space="preserve">finally, the </w:t>
      </w:r>
      <w:r w:rsidRPr="005A536D">
        <w:rPr>
          <w:rFonts w:eastAsiaTheme="minorEastAsia"/>
        </w:rPr>
        <w:t xml:space="preserve">lateral </w:t>
      </w:r>
      <w:r w:rsidRPr="005A536D">
        <w:rPr>
          <w:rFonts w:eastAsiaTheme="minorEastAsia" w:cs="Times New Roman"/>
          <w:szCs w:val="24"/>
        </w:rPr>
        <w:t>overgrowth</w:t>
      </w:r>
      <w:r w:rsidR="007557C0" w:rsidRPr="005A536D">
        <w:rPr>
          <w:rFonts w:eastAsiaTheme="minorEastAsia" w:cs="Times New Roman"/>
          <w:szCs w:val="24"/>
        </w:rPr>
        <w:t xml:space="preserve"> started </w:t>
      </w:r>
      <w:r w:rsidRPr="005A536D">
        <w:rPr>
          <w:rFonts w:eastAsiaTheme="minorEastAsia" w:cs="Times New Roman"/>
          <w:szCs w:val="24"/>
        </w:rPr>
        <w:t>according to the continued facet growth.</w:t>
      </w:r>
    </w:p>
    <w:p w14:paraId="045FB0EC" w14:textId="6B34E8CA" w:rsidR="00913520" w:rsidRPr="005A536D" w:rsidRDefault="00913520" w:rsidP="00827621">
      <w:pPr>
        <w:pStyle w:val="MainText151510"/>
        <w:adjustRightInd w:val="0"/>
        <w:spacing w:line="360" w:lineRule="auto"/>
        <w:ind w:firstLineChars="100" w:firstLine="240"/>
        <w:rPr>
          <w:rFonts w:eastAsiaTheme="minorEastAsia"/>
        </w:rPr>
      </w:pPr>
      <w:r w:rsidRPr="005A536D">
        <w:rPr>
          <w:rFonts w:eastAsiaTheme="minorEastAsia"/>
        </w:rPr>
        <w:t>The facet structures of SAG r-SnO</w:t>
      </w:r>
      <w:r w:rsidRPr="005A536D">
        <w:rPr>
          <w:rFonts w:eastAsiaTheme="minorEastAsia"/>
          <w:vertAlign w:val="subscript"/>
        </w:rPr>
        <w:t>2</w:t>
      </w:r>
      <w:r w:rsidRPr="005A536D">
        <w:rPr>
          <w:rFonts w:eastAsiaTheme="minorEastAsia"/>
        </w:rPr>
        <w:t xml:space="preserve"> stripes in various directions were evaluated</w:t>
      </w:r>
      <w:r w:rsidR="00C31B2F" w:rsidRPr="005A536D">
        <w:rPr>
          <w:rFonts w:eastAsiaTheme="minorEastAsia"/>
        </w:rPr>
        <w:t xml:space="preserve">. </w:t>
      </w:r>
      <w:r w:rsidR="005E12A0" w:rsidRPr="005A536D">
        <w:rPr>
          <w:rFonts w:eastAsiaTheme="minorEastAsia" w:cs="Times New Roman"/>
          <w:szCs w:val="24"/>
        </w:rPr>
        <w:t>F</w:t>
      </w:r>
      <w:r w:rsidRPr="005A536D">
        <w:rPr>
          <w:rFonts w:eastAsiaTheme="minorEastAsia" w:cs="Times New Roman"/>
          <w:szCs w:val="24"/>
        </w:rPr>
        <w:t>igure</w:t>
      </w:r>
      <w:r w:rsidR="00B32617" w:rsidRPr="005A536D">
        <w:rPr>
          <w:rFonts w:eastAsiaTheme="minorEastAsia" w:cs="Times New Roman"/>
          <w:szCs w:val="24"/>
        </w:rPr>
        <w:t xml:space="preserve"> </w:t>
      </w:r>
      <w:r w:rsidR="005E12A0" w:rsidRPr="005A536D">
        <w:rPr>
          <w:rFonts w:eastAsiaTheme="minorEastAsia" w:cs="Times New Roman"/>
          <w:szCs w:val="24"/>
        </w:rPr>
        <w:t>3</w:t>
      </w:r>
      <w:r w:rsidRPr="005A536D">
        <w:rPr>
          <w:rFonts w:eastAsiaTheme="minorEastAsia"/>
        </w:rPr>
        <w:t xml:space="preserve"> shows the SEM images of the r-SnO</w:t>
      </w:r>
      <w:r w:rsidRPr="005A536D">
        <w:rPr>
          <w:rFonts w:eastAsiaTheme="minorEastAsia"/>
          <w:vertAlign w:val="subscript"/>
        </w:rPr>
        <w:t>2</w:t>
      </w:r>
      <w:r w:rsidRPr="005A536D">
        <w:rPr>
          <w:rFonts w:eastAsiaTheme="minorEastAsia"/>
        </w:rPr>
        <w:t xml:space="preserve"> stripes along [001],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1</w:t>
      </w:r>
      <w:r w:rsidRPr="005A536D">
        <w:rPr>
          <w:rFonts w:eastAsiaTheme="minorEastAsia"/>
        </w:rPr>
        <w:t>], and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Theme="minorEastAsia"/>
        </w:rPr>
        <w:t xml:space="preserve">]. The top </w:t>
      </w:r>
      <w:r w:rsidRPr="005A536D">
        <w:rPr>
          <w:rFonts w:eastAsiaTheme="minorEastAsia" w:cs="Times New Roman"/>
          <w:szCs w:val="24"/>
        </w:rPr>
        <w:t>surfac</w:t>
      </w:r>
      <w:r w:rsidR="00B32617" w:rsidRPr="005A536D">
        <w:rPr>
          <w:rFonts w:eastAsiaTheme="minorEastAsia" w:cs="Times New Roman"/>
          <w:szCs w:val="24"/>
        </w:rPr>
        <w:t>es</w:t>
      </w:r>
      <w:r w:rsidRPr="005A536D">
        <w:rPr>
          <w:rFonts w:eastAsiaTheme="minorEastAsia"/>
        </w:rPr>
        <w:t xml:space="preserve"> of all </w:t>
      </w:r>
      <w:r w:rsidRPr="005A536D">
        <w:rPr>
          <w:rFonts w:eastAsiaTheme="minorEastAsia" w:cs="Times New Roman"/>
          <w:szCs w:val="24"/>
        </w:rPr>
        <w:t>st</w:t>
      </w:r>
      <w:r w:rsidR="00B32617" w:rsidRPr="005A536D">
        <w:rPr>
          <w:rFonts w:eastAsiaTheme="minorEastAsia" w:cs="Times New Roman"/>
          <w:szCs w:val="24"/>
        </w:rPr>
        <w:t>r</w:t>
      </w:r>
      <w:r w:rsidRPr="005A536D">
        <w:rPr>
          <w:rFonts w:eastAsiaTheme="minorEastAsia" w:cs="Times New Roman"/>
          <w:szCs w:val="24"/>
        </w:rPr>
        <w:t>ipes</w:t>
      </w:r>
      <w:r w:rsidRPr="005A536D">
        <w:rPr>
          <w:rFonts w:eastAsiaTheme="minorEastAsia"/>
        </w:rPr>
        <w:t xml:space="preserve"> were formed with flat (110) facets. Although </w:t>
      </w:r>
      <w:r w:rsidRPr="005A536D">
        <w:rPr>
          <w:rFonts w:eastAsia="ＭＳ 明朝" w:cs="Times New Roman"/>
          <w:szCs w:val="24"/>
        </w:rPr>
        <w:t>the sidewall morphologies of the stripes were dominated by {100},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Theme="minorEastAsia"/>
        </w:rPr>
        <w:t>}</w:t>
      </w:r>
      <w:r w:rsidRPr="005A536D">
        <w:rPr>
          <w:rFonts w:eastAsia="ＭＳ 明朝" w:cs="Times New Roman"/>
          <w:szCs w:val="24"/>
        </w:rPr>
        <w:t>, and {011} facets, they were dependent on the stripe directions. The sidewalls were typically smooth when</w:t>
      </w:r>
      <w:r w:rsidRPr="005A536D">
        <w:rPr>
          <w:rFonts w:eastAsiaTheme="minorEastAsia"/>
        </w:rPr>
        <w:t xml:space="preserve"> the stripe direction was parallel to [001] and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1</w:t>
      </w:r>
      <w:r w:rsidRPr="005A536D">
        <w:rPr>
          <w:rFonts w:eastAsiaTheme="minorEastAsia"/>
        </w:rPr>
        <w:t>], because a set of {100} and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Theme="minorEastAsia"/>
        </w:rPr>
        <w:t xml:space="preserve">} facets and </w:t>
      </w:r>
      <w:r w:rsidRPr="005A536D">
        <w:rPr>
          <w:rFonts w:eastAsia="ＭＳ 明朝" w:cs="Times New Roman"/>
          <w:szCs w:val="24"/>
        </w:rPr>
        <w:t>{011} facet that are parallel to the corresponding stripe directions formed as sidewall facets</w:t>
      </w:r>
      <w:r w:rsidR="00B32617" w:rsidRPr="005A536D">
        <w:rPr>
          <w:rFonts w:eastAsia="ＭＳ 明朝" w:cs="Times New Roman"/>
          <w:szCs w:val="24"/>
        </w:rPr>
        <w:t>,</w:t>
      </w:r>
      <w:r w:rsidRPr="005A536D">
        <w:rPr>
          <w:rFonts w:eastAsia="ＭＳ 明朝" w:cs="Times New Roman"/>
          <w:szCs w:val="24"/>
        </w:rPr>
        <w:t xml:space="preserve"> as shown in Fig</w:t>
      </w:r>
      <w:r w:rsidR="00B32617" w:rsidRPr="005A536D">
        <w:rPr>
          <w:rFonts w:eastAsia="ＭＳ 明朝" w:cs="Times New Roman"/>
          <w:szCs w:val="24"/>
        </w:rPr>
        <w:t>s</w:t>
      </w:r>
      <w:r w:rsidRPr="005A536D">
        <w:rPr>
          <w:rFonts w:eastAsia="ＭＳ 明朝" w:cs="Times New Roman"/>
          <w:szCs w:val="24"/>
        </w:rPr>
        <w:t xml:space="preserve">. 3(a) and 3(b), respectively. </w:t>
      </w:r>
      <w:r w:rsidR="00222ED1" w:rsidRPr="005A536D">
        <w:rPr>
          <w:rFonts w:cs="Times New Roman"/>
          <w:szCs w:val="24"/>
        </w:rPr>
        <w:t>N</w:t>
      </w:r>
      <w:r w:rsidR="004D4B39" w:rsidRPr="005A536D">
        <w:rPr>
          <w:rFonts w:cs="Times New Roman"/>
          <w:szCs w:val="24"/>
        </w:rPr>
        <w:t>ote that the sidewalls of the stripes along</w:t>
      </w:r>
      <w:r w:rsidR="004D4B39" w:rsidRPr="005A536D">
        <w:rPr>
          <w:rFonts w:eastAsiaTheme="minorEastAsia"/>
        </w:rPr>
        <w:t xml:space="preserve"> [001] and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1</w:t>
      </w:r>
      <w:r w:rsidR="004D4B39" w:rsidRPr="005A536D">
        <w:rPr>
          <w:rFonts w:eastAsiaTheme="minorEastAsia"/>
        </w:rPr>
        <w:t>] were not exactly smooth but contained defects (</w:t>
      </w:r>
      <w:r w:rsidR="004D4B39" w:rsidRPr="005A536D">
        <w:rPr>
          <w:rFonts w:eastAsiaTheme="minorEastAsia" w:cs="Times New Roman"/>
          <w:szCs w:val="24"/>
        </w:rPr>
        <w:t>macro</w:t>
      </w:r>
      <w:r w:rsidR="002045C1" w:rsidRPr="005A536D">
        <w:rPr>
          <w:rFonts w:eastAsiaTheme="minorEastAsia" w:cs="Times New Roman"/>
          <w:szCs w:val="24"/>
        </w:rPr>
        <w:t>-</w:t>
      </w:r>
      <w:r w:rsidR="004D4B39" w:rsidRPr="005A536D">
        <w:rPr>
          <w:rFonts w:eastAsiaTheme="minorEastAsia" w:cs="Times New Roman"/>
          <w:szCs w:val="24"/>
        </w:rPr>
        <w:t>steps</w:t>
      </w:r>
      <w:r w:rsidR="004D4B39" w:rsidRPr="005A536D">
        <w:rPr>
          <w:rFonts w:eastAsiaTheme="minorEastAsia"/>
        </w:rPr>
        <w:t xml:space="preserve"> and </w:t>
      </w:r>
      <w:r w:rsidR="002045C1" w:rsidRPr="005A536D">
        <w:rPr>
          <w:rFonts w:eastAsiaTheme="minorEastAsia"/>
        </w:rPr>
        <w:t>-</w:t>
      </w:r>
      <w:r w:rsidR="004D4B39" w:rsidRPr="005A536D">
        <w:rPr>
          <w:rFonts w:eastAsiaTheme="minorEastAsia"/>
        </w:rPr>
        <w:t>kinks)</w:t>
      </w:r>
      <w:r w:rsidR="004D4B39" w:rsidRPr="005A536D">
        <w:rPr>
          <w:rFonts w:cs="Times New Roman"/>
          <w:iCs/>
          <w:szCs w:val="24"/>
        </w:rPr>
        <w:t xml:space="preserve"> </w:t>
      </w:r>
      <w:r w:rsidR="00FB3663" w:rsidRPr="005A536D">
        <w:rPr>
          <w:rFonts w:cs="Times New Roman"/>
          <w:iCs/>
          <w:szCs w:val="24"/>
        </w:rPr>
        <w:t xml:space="preserve">probably </w:t>
      </w:r>
      <w:r w:rsidR="000146D0" w:rsidRPr="005A536D">
        <w:rPr>
          <w:rFonts w:cs="Times New Roman"/>
          <w:iCs/>
          <w:szCs w:val="24"/>
        </w:rPr>
        <w:t>at</w:t>
      </w:r>
      <w:r w:rsidR="004D4B39" w:rsidRPr="005A536D">
        <w:rPr>
          <w:rFonts w:cs="Times New Roman"/>
          <w:iCs/>
          <w:szCs w:val="24"/>
        </w:rPr>
        <w:t xml:space="preserve"> the </w:t>
      </w:r>
      <w:r w:rsidR="000146D0" w:rsidRPr="005A536D">
        <w:rPr>
          <w:rFonts w:cs="Times New Roman"/>
          <w:iCs/>
          <w:szCs w:val="24"/>
        </w:rPr>
        <w:t>boundaries</w:t>
      </w:r>
      <w:r w:rsidR="004D4B39" w:rsidRPr="005A536D">
        <w:rPr>
          <w:rFonts w:cs="Times New Roman"/>
          <w:szCs w:val="24"/>
        </w:rPr>
        <w:t xml:space="preserve"> of</w:t>
      </w:r>
      <w:r w:rsidR="000146D0" w:rsidRPr="005A536D">
        <w:rPr>
          <w:rFonts w:cs="Times New Roman"/>
          <w:szCs w:val="24"/>
        </w:rPr>
        <w:t xml:space="preserve"> the coalesced</w:t>
      </w:r>
      <w:r w:rsidR="004D4B39" w:rsidRPr="005A536D">
        <w:rPr>
          <w:rFonts w:cs="Times New Roman"/>
          <w:szCs w:val="24"/>
        </w:rPr>
        <w:t xml:space="preserve"> islands</w:t>
      </w:r>
      <w:r w:rsidR="004D4B39" w:rsidRPr="005A536D">
        <w:rPr>
          <w:rFonts w:eastAsiaTheme="minorEastAsia"/>
        </w:rPr>
        <w:t>.</w:t>
      </w:r>
      <w:r w:rsidRPr="005A536D">
        <w:rPr>
          <w:rFonts w:eastAsiaTheme="minorEastAsia"/>
        </w:rPr>
        <w:t xml:space="preserve"> When the stripe direction was parallel to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Theme="minorEastAsia"/>
        </w:rPr>
        <w:t>], which is not parallel to any of the dominant facets, {011} facets appeared to form zig-zag</w:t>
      </w:r>
      <w:r w:rsidR="00222ED1" w:rsidRPr="005A536D">
        <w:rPr>
          <w:rFonts w:eastAsiaTheme="minorEastAsia" w:cs="Times New Roman"/>
          <w:szCs w:val="24"/>
        </w:rPr>
        <w:t>-</w:t>
      </w:r>
      <w:r w:rsidRPr="005A536D">
        <w:rPr>
          <w:rFonts w:eastAsiaTheme="minorEastAsia"/>
        </w:rPr>
        <w:t xml:space="preserve">shaped sidewalls </w:t>
      </w:r>
      <w:r w:rsidR="00222ED1" w:rsidRPr="005A536D">
        <w:rPr>
          <w:rFonts w:eastAsiaTheme="minorEastAsia" w:cs="Times New Roman"/>
          <w:szCs w:val="24"/>
        </w:rPr>
        <w:t>(</w:t>
      </w:r>
      <w:r w:rsidRPr="005A536D">
        <w:rPr>
          <w:rFonts w:eastAsiaTheme="minorEastAsia"/>
        </w:rPr>
        <w:t>Fig. 3(c</w:t>
      </w:r>
      <w:r w:rsidRPr="005A536D">
        <w:rPr>
          <w:rFonts w:eastAsiaTheme="minorEastAsia" w:cs="Times New Roman"/>
          <w:szCs w:val="24"/>
        </w:rPr>
        <w:t>)</w:t>
      </w:r>
      <w:r w:rsidR="00222ED1" w:rsidRPr="005A536D">
        <w:rPr>
          <w:rFonts w:eastAsiaTheme="minorEastAsia" w:cs="Times New Roman"/>
          <w:szCs w:val="24"/>
        </w:rPr>
        <w:t>)</w:t>
      </w:r>
      <w:r w:rsidRPr="005A536D">
        <w:rPr>
          <w:rFonts w:eastAsiaTheme="minorEastAsia" w:cs="Times New Roman"/>
          <w:szCs w:val="24"/>
        </w:rPr>
        <w:t>.</w:t>
      </w:r>
      <w:r w:rsidRPr="005A536D">
        <w:rPr>
          <w:rFonts w:eastAsiaTheme="minorEastAsia"/>
        </w:rPr>
        <w:t xml:space="preserve"> Therefore, the window direction should be [001] or &lt;</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1</w:t>
      </w:r>
      <w:r w:rsidRPr="005A536D">
        <w:rPr>
          <w:rFonts w:eastAsiaTheme="minorEastAsia" w:cs="Times New Roman"/>
          <w:szCs w:val="24"/>
        </w:rPr>
        <w:t>&gt;</w:t>
      </w:r>
      <w:r w:rsidRPr="005A536D">
        <w:rPr>
          <w:rFonts w:eastAsiaTheme="minorEastAsia"/>
        </w:rPr>
        <w:t xml:space="preserve"> to create SAG r-SnO</w:t>
      </w:r>
      <w:r w:rsidRPr="005A536D">
        <w:rPr>
          <w:rFonts w:eastAsiaTheme="minorEastAsia"/>
          <w:vertAlign w:val="subscript"/>
        </w:rPr>
        <w:t>2</w:t>
      </w:r>
      <w:r w:rsidRPr="005A536D">
        <w:rPr>
          <w:rFonts w:eastAsiaTheme="minorEastAsia"/>
        </w:rPr>
        <w:t xml:space="preserve"> with </w:t>
      </w:r>
      <w:r w:rsidR="000A4A24" w:rsidRPr="005A536D">
        <w:rPr>
          <w:rFonts w:eastAsiaTheme="minorEastAsia"/>
        </w:rPr>
        <w:t xml:space="preserve">relatively </w:t>
      </w:r>
      <w:r w:rsidRPr="005A536D">
        <w:rPr>
          <w:rFonts w:eastAsiaTheme="minorEastAsia"/>
        </w:rPr>
        <w:t>smooth sidewalls on the (110) substrate. If bisymmetrical wings are required, the direction should be [001].</w:t>
      </w:r>
    </w:p>
    <w:p w14:paraId="0273095E" w14:textId="0BA09457" w:rsidR="00913520" w:rsidRPr="005A536D" w:rsidRDefault="00913520" w:rsidP="00827621">
      <w:pPr>
        <w:pStyle w:val="MainText151510"/>
        <w:adjustRightInd w:val="0"/>
        <w:spacing w:line="360" w:lineRule="auto"/>
        <w:ind w:firstLineChars="100" w:firstLine="240"/>
        <w:rPr>
          <w:rFonts w:eastAsiaTheme="minorEastAsia"/>
        </w:rPr>
      </w:pPr>
      <w:r w:rsidRPr="005A536D">
        <w:rPr>
          <w:rFonts w:eastAsiaTheme="minorEastAsia"/>
        </w:rPr>
        <w:t>Finally, we investigated the dislocation behavior in the SAG r-SnO</w:t>
      </w:r>
      <w:r w:rsidRPr="005A536D">
        <w:rPr>
          <w:rFonts w:eastAsiaTheme="minorEastAsia"/>
          <w:vertAlign w:val="subscript"/>
        </w:rPr>
        <w:t>2</w:t>
      </w:r>
      <w:r w:rsidRPr="005A536D">
        <w:rPr>
          <w:rFonts w:eastAsiaTheme="minorEastAsia"/>
        </w:rPr>
        <w:t xml:space="preserve"> stripe by cross-sectional TEM observation. Here, the TEM was performed for </w:t>
      </w:r>
      <w:r w:rsidRPr="005A536D">
        <w:rPr>
          <w:rFonts w:eastAsiaTheme="minorEastAsia" w:cs="Times New Roman"/>
          <w:szCs w:val="24"/>
        </w:rPr>
        <w:t>a</w:t>
      </w:r>
      <w:r w:rsidR="00222ED1" w:rsidRPr="005A536D">
        <w:rPr>
          <w:rFonts w:eastAsiaTheme="minorEastAsia" w:cs="Times New Roman"/>
          <w:szCs w:val="24"/>
        </w:rPr>
        <w:t>n</w:t>
      </w:r>
      <w:r w:rsidRPr="005A536D">
        <w:rPr>
          <w:rFonts w:eastAsiaTheme="minorEastAsia"/>
        </w:rPr>
        <w:t xml:space="preserve"> SAG r-SnO</w:t>
      </w:r>
      <w:r w:rsidRPr="005A536D">
        <w:rPr>
          <w:rFonts w:eastAsiaTheme="minorEastAsia"/>
          <w:vertAlign w:val="subscript"/>
        </w:rPr>
        <w:t>2</w:t>
      </w:r>
      <w:r w:rsidRPr="005A536D">
        <w:rPr>
          <w:rFonts w:eastAsiaTheme="minorEastAsia"/>
        </w:rPr>
        <w:t xml:space="preserve"> </w:t>
      </w:r>
      <w:r w:rsidR="00222ED1" w:rsidRPr="005A536D">
        <w:rPr>
          <w:rFonts w:eastAsiaTheme="minorEastAsia" w:cs="Times New Roman"/>
          <w:szCs w:val="24"/>
        </w:rPr>
        <w:t xml:space="preserve">sample </w:t>
      </w:r>
      <w:r w:rsidR="00222ED1" w:rsidRPr="005A536D">
        <w:rPr>
          <w:rFonts w:eastAsiaTheme="minorEastAsia"/>
        </w:rPr>
        <w:t>p</w:t>
      </w:r>
      <w:r w:rsidRPr="005A536D">
        <w:rPr>
          <w:rFonts w:eastAsiaTheme="minorEastAsia"/>
        </w:rPr>
        <w:t xml:space="preserve">icked up from the stripe along [001] having sufficiently large wings on </w:t>
      </w:r>
      <w:r w:rsidR="00222ED1" w:rsidRPr="005A536D">
        <w:rPr>
          <w:rFonts w:eastAsiaTheme="minorEastAsia" w:cs="Times New Roman"/>
          <w:szCs w:val="24"/>
        </w:rPr>
        <w:t>either</w:t>
      </w:r>
      <w:r w:rsidRPr="005A536D">
        <w:rPr>
          <w:rFonts w:eastAsiaTheme="minorEastAsia" w:cs="Times New Roman"/>
          <w:szCs w:val="24"/>
        </w:rPr>
        <w:t xml:space="preserve"> side</w:t>
      </w:r>
      <w:r w:rsidRPr="005A536D">
        <w:rPr>
          <w:rFonts w:eastAsiaTheme="minorEastAsia"/>
        </w:rPr>
        <w:t xml:space="preserve"> to reveal</w:t>
      </w:r>
      <w:r w:rsidRPr="005A536D">
        <w:rPr>
          <w:rFonts w:eastAsiaTheme="minorEastAsia" w:cs="Times New Roman"/>
          <w:szCs w:val="24"/>
        </w:rPr>
        <w:t xml:space="preserve"> </w:t>
      </w:r>
      <w:r w:rsidR="00222ED1" w:rsidRPr="005A536D">
        <w:rPr>
          <w:rFonts w:eastAsiaTheme="minorEastAsia" w:cs="Times New Roman"/>
          <w:szCs w:val="24"/>
        </w:rPr>
        <w:t>the</w:t>
      </w:r>
      <w:r w:rsidR="00222ED1" w:rsidRPr="005A536D">
        <w:rPr>
          <w:rFonts w:eastAsiaTheme="minorEastAsia"/>
        </w:rPr>
        <w:t xml:space="preserve"> </w:t>
      </w:r>
      <w:r w:rsidRPr="005A536D">
        <w:rPr>
          <w:rFonts w:eastAsiaTheme="minorEastAsia"/>
        </w:rPr>
        <w:t xml:space="preserve">lateral-overgrowth effect. Figure 4(a) shows the selected-area electron diffraction </w:t>
      </w:r>
      <w:bookmarkStart w:id="1" w:name="_Hlk118228915"/>
      <w:r w:rsidRPr="005A536D">
        <w:rPr>
          <w:rFonts w:eastAsiaTheme="minorEastAsia"/>
        </w:rPr>
        <w:t>(SAED) pattern of the r-SnO</w:t>
      </w:r>
      <w:r w:rsidRPr="005A536D">
        <w:rPr>
          <w:rFonts w:eastAsiaTheme="minorEastAsia"/>
          <w:vertAlign w:val="subscript"/>
        </w:rPr>
        <w:t>2</w:t>
      </w:r>
      <w:r w:rsidRPr="005A536D">
        <w:rPr>
          <w:rFonts w:eastAsiaTheme="minorEastAsia"/>
        </w:rPr>
        <w:t>/r-TiO</w:t>
      </w:r>
      <w:r w:rsidRPr="005A536D">
        <w:rPr>
          <w:rFonts w:eastAsiaTheme="minorEastAsia"/>
          <w:vertAlign w:val="subscript"/>
        </w:rPr>
        <w:t>2</w:t>
      </w:r>
      <w:r w:rsidRPr="005A536D">
        <w:rPr>
          <w:rFonts w:eastAsiaTheme="minorEastAsia"/>
        </w:rPr>
        <w:t xml:space="preserve"> interface in the window area.</w:t>
      </w:r>
      <w:bookmarkEnd w:id="1"/>
      <w:r w:rsidRPr="005A536D">
        <w:rPr>
          <w:rFonts w:eastAsiaTheme="minorEastAsia"/>
        </w:rPr>
        <w:t xml:space="preserve"> The pattern of </w:t>
      </w:r>
      <w:r w:rsidR="000341A5" w:rsidRPr="005A536D">
        <w:rPr>
          <w:rFonts w:eastAsiaTheme="minorEastAsia"/>
        </w:rPr>
        <w:t xml:space="preserve">the diffraction spots of </w:t>
      </w:r>
      <w:r w:rsidRPr="005A536D">
        <w:rPr>
          <w:rFonts w:eastAsiaTheme="minorEastAsia"/>
        </w:rPr>
        <w:t>SAG r-SnO</w:t>
      </w:r>
      <w:r w:rsidRPr="005A536D">
        <w:rPr>
          <w:rFonts w:eastAsiaTheme="minorEastAsia"/>
          <w:vertAlign w:val="subscript"/>
        </w:rPr>
        <w:t>2</w:t>
      </w:r>
      <w:r w:rsidRPr="005A536D">
        <w:rPr>
          <w:rFonts w:eastAsiaTheme="minorEastAsia"/>
        </w:rPr>
        <w:t xml:space="preserve"> was comparable to, but slightly smaller than</w:t>
      </w:r>
      <w:r w:rsidR="00222ED1" w:rsidRPr="005A536D">
        <w:rPr>
          <w:rFonts w:eastAsiaTheme="minorEastAsia" w:cs="Times New Roman"/>
          <w:sz w:val="20"/>
        </w:rPr>
        <w:t>,</w:t>
      </w:r>
      <w:r w:rsidRPr="005A536D">
        <w:rPr>
          <w:rFonts w:eastAsiaTheme="minorEastAsia" w:cs="Times New Roman"/>
          <w:szCs w:val="24"/>
        </w:rPr>
        <w:t xml:space="preserve"> th</w:t>
      </w:r>
      <w:r w:rsidR="00222ED1" w:rsidRPr="005A536D">
        <w:rPr>
          <w:rFonts w:eastAsiaTheme="minorEastAsia" w:cs="Times New Roman"/>
          <w:szCs w:val="24"/>
        </w:rPr>
        <w:t>at</w:t>
      </w:r>
      <w:r w:rsidRPr="005A536D">
        <w:rPr>
          <w:rFonts w:eastAsiaTheme="minorEastAsia"/>
        </w:rPr>
        <w:t xml:space="preserve"> of the r-TiO</w:t>
      </w:r>
      <w:r w:rsidRPr="005A536D">
        <w:rPr>
          <w:rFonts w:eastAsiaTheme="minorEastAsia"/>
          <w:vertAlign w:val="subscript"/>
        </w:rPr>
        <w:t>2</w:t>
      </w:r>
      <w:r w:rsidRPr="005A536D">
        <w:rPr>
          <w:rFonts w:eastAsiaTheme="minorEastAsia"/>
        </w:rPr>
        <w:t xml:space="preserve"> substrate, indicating the full relaxation of the SAG r-SnO</w:t>
      </w:r>
      <w:r w:rsidRPr="005A536D">
        <w:rPr>
          <w:rFonts w:eastAsiaTheme="minorEastAsia"/>
          <w:vertAlign w:val="subscript"/>
        </w:rPr>
        <w:t>2</w:t>
      </w:r>
      <w:r w:rsidRPr="005A536D">
        <w:rPr>
          <w:rFonts w:eastAsiaTheme="minorEastAsia"/>
        </w:rPr>
        <w:t>. This relaxation can be attributed to the introduction of a significant number of dislocations emerging from the lattice-mismatched interface, as observed in the bright field (BF-) and dark field (DF-) TEM images in Figs. 4(b) and 4(c), respectively. The dislocation density in the region of the interface was measured to be as high as</w:t>
      </w:r>
      <w:r w:rsidR="00222ED1" w:rsidRPr="005A536D">
        <w:rPr>
          <w:rFonts w:eastAsiaTheme="minorEastAsia"/>
        </w:rPr>
        <w:t xml:space="preserve"> </w:t>
      </w:r>
      <w:r w:rsidR="00222ED1" w:rsidRPr="005A536D">
        <w:rPr>
          <w:rFonts w:eastAsiaTheme="minorEastAsia" w:cs="Times New Roman"/>
          <w:szCs w:val="24"/>
        </w:rPr>
        <w:t xml:space="preserve">approximately </w:t>
      </w:r>
      <w:r w:rsidRPr="005A536D">
        <w:rPr>
          <w:rFonts w:eastAsiaTheme="minorEastAsia"/>
        </w:rPr>
        <w:t>10</w:t>
      </w:r>
      <w:r w:rsidRPr="005A536D">
        <w:rPr>
          <w:rFonts w:eastAsiaTheme="minorEastAsia"/>
          <w:vertAlign w:val="superscript"/>
        </w:rPr>
        <w:t>11</w:t>
      </w:r>
      <w:r w:rsidRPr="005A536D">
        <w:rPr>
          <w:rFonts w:eastAsiaTheme="minorEastAsia"/>
        </w:rPr>
        <w:t xml:space="preserve"> cm</w:t>
      </w:r>
      <w:r w:rsidRPr="005A536D">
        <w:rPr>
          <w:rFonts w:ascii="Symbol" w:eastAsiaTheme="minorEastAsia" w:hAnsi="Symbol"/>
          <w:vertAlign w:val="superscript"/>
        </w:rPr>
        <w:t></w:t>
      </w:r>
      <w:r w:rsidRPr="005A536D">
        <w:rPr>
          <w:rFonts w:eastAsiaTheme="minorEastAsia"/>
          <w:vertAlign w:val="superscript"/>
        </w:rPr>
        <w:t>2</w:t>
      </w:r>
      <w:r w:rsidR="00F05606" w:rsidRPr="005A536D">
        <w:rPr>
          <w:rFonts w:eastAsiaTheme="minorEastAsia"/>
        </w:rPr>
        <w:t xml:space="preserve"> using the Ham method.</w:t>
      </w:r>
      <w:r w:rsidRPr="005A536D">
        <w:rPr>
          <w:rFonts w:eastAsiaTheme="minorEastAsia"/>
        </w:rPr>
        <w:fldChar w:fldCharType="begin" w:fldLock="1"/>
      </w:r>
      <w:r w:rsidR="004C0FAD" w:rsidRPr="005A536D">
        <w:rPr>
          <w:rFonts w:eastAsiaTheme="minorEastAsia"/>
        </w:rPr>
        <w:instrText>ADDIN CSL_CITATION {"citationItems":[{"id":"ITEM-1","itemData":{"DOI":"10.1080/14786436108239679","ISSN":"00318086","author":[{"dropping-particle":"","family":"Ham","given":"R. K.","non-dropping-particle":"","parse-names":false,"suffix":""}],"container-title":"Philosophical Magazine","id":"ITEM-1","issue":"69","issued":{"date-parts":[["1961"]]},"page":"1183-1184","title":"The determination of dislocation densities in thin films","type":"article-journal","volume":"6"},"uris":["http://www.mendeley.com/documents/?uuid=ac7a7507-f9ca-4ff2-a43f-afab1225f6fb"]}],"mendeley":{"formattedCitation":"&lt;sup&gt;52)&lt;/sup&gt;","plainTextFormattedCitation":"52)","previouslyFormattedCitation":"&lt;sup&gt;52)&lt;/sup&gt;"},"properties":{"noteIndex":0},"schema":"https://github.com/citation-style-language/schema/raw/master/csl-citation.json"}</w:instrText>
      </w:r>
      <w:r w:rsidRPr="005A536D">
        <w:rPr>
          <w:rFonts w:eastAsiaTheme="minorEastAsia"/>
        </w:rPr>
        <w:fldChar w:fldCharType="separate"/>
      </w:r>
      <w:r w:rsidR="00C669C7" w:rsidRPr="005A536D">
        <w:rPr>
          <w:rFonts w:eastAsiaTheme="minorEastAsia"/>
          <w:noProof/>
          <w:vertAlign w:val="superscript"/>
        </w:rPr>
        <w:t>52)</w:t>
      </w:r>
      <w:r w:rsidRPr="005A536D">
        <w:rPr>
          <w:rFonts w:eastAsiaTheme="minorEastAsia"/>
        </w:rPr>
        <w:fldChar w:fldCharType="end"/>
      </w:r>
      <w:r w:rsidR="00FE2458" w:rsidRPr="005A536D">
        <w:rPr>
          <w:rFonts w:eastAsiaTheme="minorEastAsia"/>
        </w:rPr>
        <w:t xml:space="preserve"> </w:t>
      </w:r>
      <w:r w:rsidR="00222ED1" w:rsidRPr="005A536D">
        <w:rPr>
          <w:rFonts w:eastAsiaTheme="minorEastAsia" w:cs="Times New Roman"/>
          <w:szCs w:val="24"/>
        </w:rPr>
        <w:t>A</w:t>
      </w:r>
      <w:r w:rsidRPr="005A536D">
        <w:rPr>
          <w:rFonts w:eastAsiaTheme="minorEastAsia" w:cs="Times New Roman"/>
          <w:szCs w:val="24"/>
        </w:rPr>
        <w:t>ddition</w:t>
      </w:r>
      <w:r w:rsidR="00222ED1" w:rsidRPr="005A536D">
        <w:rPr>
          <w:rFonts w:eastAsiaTheme="minorEastAsia" w:cs="Times New Roman"/>
          <w:szCs w:val="24"/>
        </w:rPr>
        <w:t>ally</w:t>
      </w:r>
      <w:r w:rsidRPr="005A536D">
        <w:rPr>
          <w:rFonts w:eastAsiaTheme="minorEastAsia"/>
        </w:rPr>
        <w:t xml:space="preserve">, we discovered that dislocations </w:t>
      </w:r>
      <w:r w:rsidR="00480497" w:rsidRPr="005A536D">
        <w:rPr>
          <w:rFonts w:eastAsiaTheme="minorEastAsia"/>
        </w:rPr>
        <w:t>observed in</w:t>
      </w:r>
      <w:r w:rsidRPr="005A536D">
        <w:rPr>
          <w:rFonts w:eastAsiaTheme="minorEastAsia"/>
        </w:rPr>
        <w:t xml:space="preserve"> the window and wing regions behave differently</w:t>
      </w:r>
      <w:r w:rsidR="007C2B3D" w:rsidRPr="005A536D">
        <w:rPr>
          <w:rFonts w:eastAsiaTheme="minorEastAsia"/>
        </w:rPr>
        <w:t xml:space="preserve"> (see</w:t>
      </w:r>
      <w:r w:rsidR="0021254F" w:rsidRPr="005A536D">
        <w:rPr>
          <w:rFonts w:eastAsiaTheme="minorEastAsia"/>
        </w:rPr>
        <w:t xml:space="preserve"> </w:t>
      </w:r>
      <w:r w:rsidR="007C2B3D" w:rsidRPr="005A536D">
        <w:rPr>
          <w:rFonts w:eastAsiaTheme="minorEastAsia"/>
        </w:rPr>
        <w:t>Fig. 4 (d))</w:t>
      </w:r>
      <w:r w:rsidRPr="005A536D">
        <w:rPr>
          <w:rFonts w:eastAsiaTheme="minorEastAsia"/>
        </w:rPr>
        <w:t xml:space="preserve">. </w:t>
      </w:r>
      <w:r w:rsidR="00222ED1" w:rsidRPr="005A536D">
        <w:rPr>
          <w:rFonts w:eastAsiaTheme="minorEastAsia" w:cs="Times New Roman"/>
          <w:szCs w:val="24"/>
        </w:rPr>
        <w:t>Although</w:t>
      </w:r>
      <w:r w:rsidRPr="005A536D">
        <w:rPr>
          <w:rFonts w:eastAsiaTheme="minorEastAsia" w:cs="Times New Roman"/>
          <w:szCs w:val="24"/>
        </w:rPr>
        <w:t xml:space="preserve"> </w:t>
      </w:r>
      <w:r w:rsidR="00222ED1" w:rsidRPr="005A536D">
        <w:rPr>
          <w:rFonts w:eastAsiaTheme="minorEastAsia" w:cs="Times New Roman"/>
          <w:szCs w:val="24"/>
        </w:rPr>
        <w:t>the</w:t>
      </w:r>
      <w:r w:rsidR="00222ED1" w:rsidRPr="005A536D">
        <w:rPr>
          <w:rFonts w:eastAsiaTheme="minorEastAsia"/>
        </w:rPr>
        <w:t xml:space="preserve"> </w:t>
      </w:r>
      <w:r w:rsidRPr="005A536D">
        <w:rPr>
          <w:rFonts w:eastAsiaTheme="minorEastAsia"/>
        </w:rPr>
        <w:t xml:space="preserve">dislocations in the window region propagated </w:t>
      </w:r>
      <w:r w:rsidR="00222ED1" w:rsidRPr="005A536D">
        <w:rPr>
          <w:rFonts w:eastAsiaTheme="minorEastAsia" w:cs="Times New Roman"/>
          <w:szCs w:val="24"/>
        </w:rPr>
        <w:t>along</w:t>
      </w:r>
      <w:r w:rsidR="00222ED1" w:rsidRPr="005A536D">
        <w:rPr>
          <w:rFonts w:eastAsiaTheme="minorEastAsia"/>
        </w:rPr>
        <w:t xml:space="preserve"> </w:t>
      </w:r>
      <w:r w:rsidRPr="005A536D">
        <w:rPr>
          <w:rFonts w:eastAsiaTheme="minorEastAsia"/>
        </w:rPr>
        <w:t>directions, including [110] (surface normal), [100</w:t>
      </w:r>
      <w:r w:rsidRPr="005A536D">
        <w:rPr>
          <w:rFonts w:eastAsiaTheme="minorEastAsia" w:cs="Times New Roman"/>
          <w:szCs w:val="24"/>
        </w:rPr>
        <w:t>]</w:t>
      </w:r>
      <w:r w:rsidR="00222ED1" w:rsidRPr="005A536D">
        <w:rPr>
          <w:rFonts w:eastAsiaTheme="minorEastAsia" w:cs="Times New Roman"/>
          <w:szCs w:val="24"/>
        </w:rPr>
        <w:t>,</w:t>
      </w:r>
      <w:r w:rsidRPr="005A536D">
        <w:rPr>
          <w:rFonts w:eastAsiaTheme="minorEastAsia"/>
        </w:rPr>
        <w:t xml:space="preserve"> and [010] (inclined to the surface normal),</w:t>
      </w:r>
      <w:r w:rsidR="00222ED1" w:rsidRPr="005A536D">
        <w:rPr>
          <w:rFonts w:eastAsiaTheme="minorEastAsia" w:cs="Times New Roman"/>
          <w:szCs w:val="24"/>
        </w:rPr>
        <w:t xml:space="preserve"> the</w:t>
      </w:r>
      <w:r w:rsidRPr="005A536D">
        <w:rPr>
          <w:rFonts w:eastAsiaTheme="minorEastAsia"/>
        </w:rPr>
        <w:t xml:space="preserve"> dislocations in the wing region propagated along [100] or [010] on the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Theme="minorEastAsia"/>
        </w:rPr>
        <w:t>] or [</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10</w:t>
      </w:r>
      <w:r w:rsidRPr="005A536D">
        <w:rPr>
          <w:rFonts w:eastAsiaTheme="minorEastAsia"/>
        </w:rPr>
        <w:t xml:space="preserve">] </w:t>
      </w:r>
      <w:r w:rsidRPr="005A536D">
        <w:rPr>
          <w:rFonts w:eastAsiaTheme="minorEastAsia" w:cs="Times New Roman"/>
          <w:szCs w:val="24"/>
        </w:rPr>
        <w:t>side</w:t>
      </w:r>
      <w:r w:rsidR="00222ED1" w:rsidRPr="005A536D">
        <w:rPr>
          <w:rFonts w:eastAsiaTheme="minorEastAsia" w:cs="Times New Roman"/>
          <w:szCs w:val="24"/>
        </w:rPr>
        <w:t>s</w:t>
      </w:r>
      <w:r w:rsidRPr="005A536D">
        <w:rPr>
          <w:rFonts w:eastAsiaTheme="minorEastAsia"/>
        </w:rPr>
        <w:t xml:space="preserve">, </w:t>
      </w:r>
      <w:r w:rsidRPr="005A536D">
        <w:rPr>
          <w:rFonts w:eastAsiaTheme="minorEastAsia"/>
        </w:rPr>
        <w:lastRenderedPageBreak/>
        <w:t xml:space="preserve">respectively. These different dislocation-propagation tendencies are </w:t>
      </w:r>
      <w:r w:rsidRPr="005A536D">
        <w:rPr>
          <w:rFonts w:eastAsiaTheme="minorEastAsia" w:cs="Times New Roman"/>
          <w:szCs w:val="24"/>
        </w:rPr>
        <w:t>p</w:t>
      </w:r>
      <w:r w:rsidR="00222ED1" w:rsidRPr="005A536D">
        <w:rPr>
          <w:rFonts w:eastAsiaTheme="minorEastAsia" w:cs="Times New Roman"/>
          <w:szCs w:val="24"/>
        </w:rPr>
        <w:t>erhaps</w:t>
      </w:r>
      <w:r w:rsidRPr="005A536D">
        <w:rPr>
          <w:rFonts w:eastAsiaTheme="minorEastAsia" w:cs="Times New Roman"/>
          <w:szCs w:val="24"/>
        </w:rPr>
        <w:t xml:space="preserve"> </w:t>
      </w:r>
      <w:r w:rsidR="00222ED1" w:rsidRPr="005A536D">
        <w:rPr>
          <w:rFonts w:eastAsiaTheme="minorEastAsia" w:cs="Times New Roman"/>
          <w:szCs w:val="24"/>
        </w:rPr>
        <w:t>owing</w:t>
      </w:r>
      <w:r w:rsidR="00222ED1" w:rsidRPr="005A536D">
        <w:rPr>
          <w:rFonts w:eastAsiaTheme="minorEastAsia"/>
        </w:rPr>
        <w:t xml:space="preserve"> to</w:t>
      </w:r>
      <w:r w:rsidR="00222ED1" w:rsidRPr="005A536D">
        <w:rPr>
          <w:rFonts w:eastAsiaTheme="minorEastAsia" w:cs="Times New Roman"/>
          <w:szCs w:val="24"/>
        </w:rPr>
        <w:t xml:space="preserve"> </w:t>
      </w:r>
      <w:r w:rsidRPr="005A536D">
        <w:rPr>
          <w:rFonts w:eastAsiaTheme="minorEastAsia"/>
        </w:rPr>
        <w:t>the results of</w:t>
      </w:r>
      <w:r w:rsidRPr="005A536D">
        <w:rPr>
          <w:rFonts w:eastAsiaTheme="minorEastAsia" w:cs="Times New Roman"/>
          <w:szCs w:val="24"/>
        </w:rPr>
        <w:t xml:space="preserve"> </w:t>
      </w:r>
      <w:r w:rsidR="00222ED1" w:rsidRPr="005A536D">
        <w:rPr>
          <w:rFonts w:eastAsiaTheme="minorEastAsia" w:cs="Times New Roman"/>
          <w:szCs w:val="24"/>
        </w:rPr>
        <w:t>the</w:t>
      </w:r>
      <w:r w:rsidR="00222ED1" w:rsidRPr="005A536D">
        <w:rPr>
          <w:rFonts w:eastAsiaTheme="minorEastAsia"/>
        </w:rPr>
        <w:t xml:space="preserve"> </w:t>
      </w:r>
      <w:r w:rsidRPr="005A536D">
        <w:rPr>
          <w:rFonts w:eastAsiaTheme="minorEastAsia"/>
        </w:rPr>
        <w:t xml:space="preserve">events that occurred in the window and mask regions, respectively, because dislocations tend to propagate perpendicular to the facet surfaces by the image force effect during facet growth </w:t>
      </w:r>
      <w:r w:rsidR="00222ED1" w:rsidRPr="005A536D">
        <w:rPr>
          <w:rFonts w:eastAsiaTheme="minorEastAsia" w:cs="Times New Roman"/>
          <w:szCs w:val="24"/>
        </w:rPr>
        <w:t>for</w:t>
      </w:r>
      <w:r w:rsidRPr="005A536D">
        <w:rPr>
          <w:rFonts w:eastAsiaTheme="minorEastAsia" w:cs="Times New Roman"/>
          <w:szCs w:val="24"/>
        </w:rPr>
        <w:t xml:space="preserve"> achiev</w:t>
      </w:r>
      <w:r w:rsidR="00222ED1" w:rsidRPr="005A536D">
        <w:rPr>
          <w:rFonts w:eastAsiaTheme="minorEastAsia" w:cs="Times New Roman"/>
          <w:szCs w:val="24"/>
        </w:rPr>
        <w:t>ing</w:t>
      </w:r>
      <w:r w:rsidRPr="005A536D">
        <w:rPr>
          <w:rFonts w:eastAsiaTheme="minorEastAsia"/>
        </w:rPr>
        <w:t xml:space="preserve"> the minimum energy.</w:t>
      </w:r>
      <w:r w:rsidRPr="005A536D">
        <w:rPr>
          <w:rFonts w:eastAsiaTheme="minorEastAsia"/>
        </w:rPr>
        <w:fldChar w:fldCharType="begin" w:fldLock="1"/>
      </w:r>
      <w:r w:rsidR="004C0FAD" w:rsidRPr="005A536D">
        <w:rPr>
          <w:rFonts w:eastAsiaTheme="minorEastAsia"/>
        </w:rPr>
        <w:instrText>ADDIN CSL_CITATION {"citationItems":[{"id":"ITEM-1","itemData":{"DOI":"10.1063/1.373048","ISSN":"00218979","abstract":"A transmission electron microscopy study of the reduction mechanisms for defect densities in epitaxial lateral overgrown (ELO) GaN films is presented. In the standard one step ELO, the propagation of defects under the mask is blocked, whereas the defects in the window regions thread up to the surface. We propose an alternative two step ELO method. In a first step, dislocations close to the edge of the (0001) top facet bend at 90°, thereby producing a drastic reduction in the density of defects above the window. After the coalescence, induced by lateral growth in a second step, dislocations are mainly observed in the coalescence boundaries. The density of defects is decreased to 2×10-7 cm-2 over the entire surface and areas nearly 5 μm wide with 5×106 cm-2 dislocations between the center of the windows and the coalescence boundaries are obtained. © 2000 American Institute of Physics.","author":[{"dropping-particle":"","family":"Vennéguès","given":"P.","non-dropping-particle":"","parse-names":false,"suffix":""},{"dropping-particle":"","family":"Beaumont","given":"B.","non-dropping-particle":"","parse-names":false,"suffix":""},{"dropping-particle":"","family":"Bousquet","given":"V.","non-dropping-particle":"","parse-names":false,"suffix":""},{"dropping-particle":"","family":"Vaille","given":"M.","non-dropping-particle":"","parse-names":false,"suffix":""},{"dropping-particle":"","family":"Gibart","given":"P.","non-dropping-particle":"","parse-names":false,"suffix":""}],"container-title":"Journal of Applied Physics","id":"ITEM-1","issue":"9","issued":{"date-parts":[["2000"]]},"page":"4175-4181","title":"Reduction mechanisms for defect densities in GaN using one- or two-step epitaxial lateral overgrowth methods","type":"article-journal","volume":"87"},"uris":["http://www.mendeley.com/documents/?uuid=70ad4d05-1540-4ab2-8897-0044c4ba8cd4"]},{"id":"ITEM-2","itemData":{"DOI":"10.1063/1.1823593","ISSN":"00036951","abstract":"Bending of dislocations in GaN during epitaxial lateral overgrowth (ELO) has been experimentally studied using transmission electron microscopy. The orientational dependence of the dislocation energy factor K has been calculated on the basis of anisotropic elasticity theory for different types of perfect dislocation in GaN. Image forces act on dislocations during the growth and dislocations bend to achieve the minimum energy. Bending behavior depends on a dislocation type and we show that the measured bending angles correspond to the calculated energy minima. The results allow us to quantitatively discuss the most advantageous ELO GaN mask direction for the largest dislocation density reduction. © 2004 American Institute of Physics.","author":[{"dropping-particle":"","family":"Gradečak","given":"S.","non-dropping-particle":"","parse-names":false,"suffix":""},{"dropping-particle":"","family":"Stadelmann","given":"P.","non-dropping-particle":"","parse-names":false,"suffix":""},{"dropping-particle":"","family":"Wagner","given":"V.","non-dropping-particle":"","parse-names":false,"suffix":""},{"dropping-particle":"","family":"Ilegems","given":"M.","non-dropping-particle":"","parse-names":false,"suffix":""}],"container-title":"Applied Physics Letters","id":"ITEM-2","issue":"20","issued":{"date-parts":[["2004"]]},"page":"4648-4650","title":"Bending of dislocations in GaN during epitaxial lateral overgrowth","type":"article-journal","volume":"85"},"uris":["http://www.mendeley.com/documents/?uuid=bab01687-0d5d-4285-8d83-9acd5d785642"]}],"mendeley":{"formattedCitation":"&lt;sup&gt;53,54)&lt;/sup&gt;","plainTextFormattedCitation":"53,54)","previouslyFormattedCitation":"&lt;sup&gt;53,54)&lt;/sup&gt;"},"properties":{"noteIndex":0},"schema":"https://github.com/citation-style-language/schema/raw/master/csl-citation.json"}</w:instrText>
      </w:r>
      <w:r w:rsidRPr="005A536D">
        <w:rPr>
          <w:rFonts w:eastAsiaTheme="minorEastAsia"/>
        </w:rPr>
        <w:fldChar w:fldCharType="separate"/>
      </w:r>
      <w:r w:rsidR="00C669C7" w:rsidRPr="005A536D">
        <w:rPr>
          <w:rFonts w:eastAsiaTheme="minorEastAsia"/>
          <w:noProof/>
          <w:vertAlign w:val="superscript"/>
        </w:rPr>
        <w:t>53,54)</w:t>
      </w:r>
      <w:r w:rsidRPr="005A536D">
        <w:rPr>
          <w:rFonts w:eastAsiaTheme="minorEastAsia"/>
        </w:rPr>
        <w:fldChar w:fldCharType="end"/>
      </w:r>
      <w:r w:rsidRPr="005A536D">
        <w:rPr>
          <w:rFonts w:eastAsiaTheme="minorEastAsia"/>
        </w:rPr>
        <w:t xml:space="preserve"> Considering the following growth progression, it is easy to understand the cross-sectional dislocation distribution</w:t>
      </w:r>
      <w:r w:rsidR="00222ED1" w:rsidRPr="005A536D">
        <w:rPr>
          <w:rFonts w:eastAsiaTheme="minorEastAsia" w:cs="Times New Roman"/>
          <w:szCs w:val="24"/>
        </w:rPr>
        <w:t>.</w:t>
      </w:r>
      <w:r w:rsidRPr="005A536D">
        <w:rPr>
          <w:rFonts w:eastAsiaTheme="minorEastAsia"/>
        </w:rPr>
        <w:t xml:space="preserve"> As the islands grew, dislocations in small islands with (110), (100), and (010) facets</w:t>
      </w:r>
      <w:r w:rsidRPr="005A536D">
        <w:rPr>
          <w:rFonts w:cs="Times New Roman"/>
          <w:szCs w:val="24"/>
        </w:rPr>
        <w:t xml:space="preserve"> </w:t>
      </w:r>
      <w:r w:rsidRPr="005A536D">
        <w:rPr>
          <w:rFonts w:eastAsiaTheme="minorEastAsia"/>
        </w:rPr>
        <w:t>propagated perpendicular to these facets, or along [110], [100], and [010], respectively. The dislocation</w:t>
      </w:r>
      <w:r w:rsidR="00726B7B" w:rsidRPr="005A536D">
        <w:rPr>
          <w:rFonts w:eastAsiaTheme="minorEastAsia"/>
        </w:rPr>
        <w:t xml:space="preserve"> density</w:t>
      </w:r>
      <w:r w:rsidRPr="005A536D">
        <w:rPr>
          <w:rFonts w:eastAsiaTheme="minorEastAsia"/>
        </w:rPr>
        <w:t xml:space="preserve"> </w:t>
      </w:r>
      <w:r w:rsidR="00222ED1" w:rsidRPr="005A536D">
        <w:rPr>
          <w:rFonts w:eastAsiaTheme="minorEastAsia" w:cs="Times New Roman"/>
          <w:szCs w:val="24"/>
        </w:rPr>
        <w:t xml:space="preserve">along [110] </w:t>
      </w:r>
      <w:r w:rsidRPr="005A536D">
        <w:rPr>
          <w:rFonts w:eastAsiaTheme="minorEastAsia"/>
        </w:rPr>
        <w:t>gradually reduced as the islands coalesced with each other. However, a large majority of them still remained in the window region even after the formation of a single SAG r-SnO</w:t>
      </w:r>
      <w:r w:rsidRPr="005A536D">
        <w:rPr>
          <w:rFonts w:eastAsiaTheme="minorEastAsia"/>
          <w:vertAlign w:val="subscript"/>
        </w:rPr>
        <w:t>2</w:t>
      </w:r>
      <w:r w:rsidRPr="005A536D">
        <w:rPr>
          <w:rFonts w:eastAsiaTheme="minorEastAsia"/>
        </w:rPr>
        <w:t xml:space="preserve"> with an isosceles trapezoid profile defined by (110), (100), and (010) facets. Due to lateral overgrowth in the mask region, the wings gradually expanded with the (100) and (010) facets on the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Theme="minorEastAsia"/>
        </w:rPr>
        <w:t>] and [</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10</w:t>
      </w:r>
      <w:r w:rsidRPr="005A536D">
        <w:rPr>
          <w:rFonts w:eastAsiaTheme="minorEastAsia"/>
        </w:rPr>
        <w:t>] sides, respectively. The fact that dislocations only propagated vertically during the lateral overgrowth to these (100) and (010) facets, resulted in the formation of dislocation-free zones beneath the dislocations in the respective wings.</w:t>
      </w:r>
      <w:r w:rsidR="00B45274" w:rsidRPr="005A536D">
        <w:rPr>
          <w:rFonts w:cs="Times New Roman"/>
          <w:szCs w:val="24"/>
        </w:rPr>
        <w:t xml:space="preserve"> </w:t>
      </w:r>
      <w:bookmarkStart w:id="2" w:name="_Hlk130549640"/>
      <w:r w:rsidRPr="005A536D">
        <w:rPr>
          <w:rFonts w:eastAsiaTheme="minorEastAsia"/>
        </w:rPr>
        <w:t xml:space="preserve">The dislocation density was </w:t>
      </w:r>
      <w:r w:rsidR="00084BCE" w:rsidRPr="005A536D">
        <w:rPr>
          <w:rFonts w:eastAsiaTheme="minorEastAsia" w:hint="eastAsia"/>
        </w:rPr>
        <w:t>e</w:t>
      </w:r>
      <w:r w:rsidR="00084BCE" w:rsidRPr="005A536D">
        <w:rPr>
          <w:rFonts w:eastAsiaTheme="minorEastAsia"/>
        </w:rPr>
        <w:t>stimated</w:t>
      </w:r>
      <w:r w:rsidRPr="005A536D">
        <w:rPr>
          <w:rFonts w:eastAsiaTheme="minorEastAsia"/>
        </w:rPr>
        <w:t xml:space="preserve"> to be less than 5</w:t>
      </w:r>
      <w:r w:rsidR="00FE2458" w:rsidRPr="005A536D">
        <w:rPr>
          <w:rFonts w:eastAsiaTheme="minorEastAsia" w:cs="Times New Roman"/>
          <w:szCs w:val="24"/>
        </w:rPr>
        <w:t xml:space="preserve"> </w:t>
      </w:r>
      <w:r w:rsidRPr="005A536D">
        <w:rPr>
          <w:rFonts w:eastAsiaTheme="minorEastAsia" w:cs="Times New Roman"/>
          <w:szCs w:val="24"/>
        </w:rPr>
        <w:t>×</w:t>
      </w:r>
      <w:r w:rsidR="00FE2458" w:rsidRPr="005A536D">
        <w:rPr>
          <w:rFonts w:eastAsiaTheme="minorEastAsia" w:cs="Times New Roman"/>
          <w:szCs w:val="24"/>
        </w:rPr>
        <w:t xml:space="preserve"> </w:t>
      </w:r>
      <w:r w:rsidRPr="005A536D">
        <w:rPr>
          <w:rFonts w:eastAsiaTheme="minorEastAsia"/>
        </w:rPr>
        <w:t>10</w:t>
      </w:r>
      <w:r w:rsidRPr="005A536D">
        <w:rPr>
          <w:rFonts w:eastAsiaTheme="minorEastAsia"/>
          <w:vertAlign w:val="superscript"/>
        </w:rPr>
        <w:t>8</w:t>
      </w:r>
      <w:r w:rsidRPr="005A536D">
        <w:rPr>
          <w:rFonts w:eastAsiaTheme="minorEastAsia"/>
        </w:rPr>
        <w:t xml:space="preserve"> cm</w:t>
      </w:r>
      <w:r w:rsidRPr="005A536D">
        <w:rPr>
          <w:rFonts w:ascii="Symbol" w:eastAsiaTheme="minorEastAsia" w:hAnsi="Symbol"/>
          <w:vertAlign w:val="superscript"/>
        </w:rPr>
        <w:t></w:t>
      </w:r>
      <w:r w:rsidRPr="005A536D">
        <w:rPr>
          <w:rFonts w:eastAsiaTheme="minorEastAsia"/>
          <w:vertAlign w:val="superscript"/>
        </w:rPr>
        <w:t>2</w:t>
      </w:r>
      <w:r w:rsidRPr="005A536D">
        <w:rPr>
          <w:rFonts w:eastAsiaTheme="minorEastAsia"/>
        </w:rPr>
        <w:t xml:space="preserve"> </w:t>
      </w:r>
      <w:r w:rsidR="00084BCE" w:rsidRPr="005A536D">
        <w:rPr>
          <w:rFonts w:eastAsiaTheme="minorEastAsia"/>
        </w:rPr>
        <w:t xml:space="preserve">on the basis that there was no dislocation in </w:t>
      </w:r>
      <w:r w:rsidRPr="005A536D">
        <w:rPr>
          <w:rFonts w:eastAsiaTheme="minorEastAsia"/>
        </w:rPr>
        <w:t>the larger dislocation-free zone on the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Theme="minorEastAsia"/>
        </w:rPr>
        <w:t>] side, demonstrating a considerable decrease in dislocations.</w:t>
      </w:r>
      <w:bookmarkEnd w:id="2"/>
      <w:r w:rsidRPr="005A536D">
        <w:rPr>
          <w:rFonts w:eastAsiaTheme="minorEastAsia"/>
        </w:rPr>
        <w:t xml:space="preserve"> The dislocation-free regions remain too small for device applications</w:t>
      </w:r>
      <w:r w:rsidR="00457CC5" w:rsidRPr="005A536D">
        <w:rPr>
          <w:rFonts w:eastAsiaTheme="minorEastAsia" w:cs="Times New Roman"/>
          <w:szCs w:val="24"/>
        </w:rPr>
        <w:t>;</w:t>
      </w:r>
      <w:r w:rsidRPr="005A536D">
        <w:rPr>
          <w:rFonts w:eastAsiaTheme="minorEastAsia"/>
        </w:rPr>
        <w:t xml:space="preserve"> however, they could be enlarged with </w:t>
      </w:r>
      <w:r w:rsidR="00457CC5" w:rsidRPr="005A536D">
        <w:rPr>
          <w:rFonts w:eastAsiaTheme="minorEastAsia" w:cs="Times New Roman"/>
          <w:szCs w:val="24"/>
        </w:rPr>
        <w:t xml:space="preserve">a </w:t>
      </w:r>
      <w:r w:rsidRPr="005A536D">
        <w:rPr>
          <w:rFonts w:eastAsiaTheme="minorEastAsia"/>
        </w:rPr>
        <w:t>continued growth, which should be our future work</w:t>
      </w:r>
      <w:r w:rsidR="00457CC5" w:rsidRPr="005A536D">
        <w:rPr>
          <w:rFonts w:eastAsiaTheme="minorEastAsia"/>
        </w:rPr>
        <w:t xml:space="preserve"> </w:t>
      </w:r>
      <w:r w:rsidRPr="005A536D">
        <w:rPr>
          <w:rFonts w:eastAsiaTheme="minorEastAsia"/>
        </w:rPr>
        <w:t>focusing on ELO.</w:t>
      </w:r>
      <w:r w:rsidR="00CB0A23" w:rsidRPr="005A536D">
        <w:rPr>
          <w:rFonts w:eastAsiaTheme="minorEastAsia"/>
        </w:rPr>
        <w:t xml:space="preserve"> </w:t>
      </w:r>
    </w:p>
    <w:p w14:paraId="5449CB98" w14:textId="65E07E49" w:rsidR="00913520" w:rsidRPr="005A536D" w:rsidRDefault="00913520" w:rsidP="00EC7F10">
      <w:pPr>
        <w:pStyle w:val="MainText151510"/>
        <w:adjustRightInd w:val="0"/>
        <w:spacing w:line="360" w:lineRule="auto"/>
        <w:ind w:firstLineChars="100" w:firstLine="240"/>
      </w:pPr>
      <w:r w:rsidRPr="005A536D">
        <w:t>In conclusion, we demonstrated</w:t>
      </w:r>
      <w:r w:rsidR="00457CC5" w:rsidRPr="005A536D">
        <w:t xml:space="preserve"> </w:t>
      </w:r>
      <w:r w:rsidR="00457CC5" w:rsidRPr="005A536D">
        <w:rPr>
          <w:rFonts w:cs="Times New Roman"/>
          <w:szCs w:val="24"/>
        </w:rPr>
        <w:t>the</w:t>
      </w:r>
      <w:r w:rsidRPr="005A536D">
        <w:rPr>
          <w:rFonts w:cs="Times New Roman"/>
          <w:szCs w:val="24"/>
        </w:rPr>
        <w:t xml:space="preserve"> </w:t>
      </w:r>
      <w:r w:rsidRPr="005A536D">
        <w:t>SAG of r-SnO</w:t>
      </w:r>
      <w:r w:rsidRPr="005A536D">
        <w:rPr>
          <w:vertAlign w:val="subscript"/>
        </w:rPr>
        <w:t>2</w:t>
      </w:r>
      <w:r w:rsidRPr="005A536D">
        <w:t xml:space="preserve"> on</w:t>
      </w:r>
      <w:r w:rsidRPr="005A536D">
        <w:rPr>
          <w:rFonts w:cs="Times New Roman"/>
          <w:szCs w:val="24"/>
        </w:rPr>
        <w:t xml:space="preserve"> </w:t>
      </w:r>
      <w:r w:rsidR="00457CC5" w:rsidRPr="005A536D">
        <w:rPr>
          <w:rFonts w:cs="Times New Roman"/>
          <w:szCs w:val="24"/>
        </w:rPr>
        <w:t>a</w:t>
      </w:r>
      <w:r w:rsidR="00457CC5" w:rsidRPr="005A536D">
        <w:t xml:space="preserve"> </w:t>
      </w:r>
      <w:r w:rsidRPr="005A536D">
        <w:t>r-TiO</w:t>
      </w:r>
      <w:r w:rsidRPr="005A536D">
        <w:rPr>
          <w:vertAlign w:val="subscript"/>
        </w:rPr>
        <w:t>2</w:t>
      </w:r>
      <w:r w:rsidRPr="005A536D">
        <w:t xml:space="preserve"> (110) substrate to elucidate its growth dynamics. A systematic SEM and TEM analysis of SAG r-SnO</w:t>
      </w:r>
      <w:r w:rsidRPr="005A536D">
        <w:rPr>
          <w:vertAlign w:val="subscript"/>
        </w:rPr>
        <w:t>2</w:t>
      </w:r>
      <w:r w:rsidRPr="005A536D">
        <w:t xml:space="preserve"> on various window patterns at various growth phases yielded the following results: (</w:t>
      </w:r>
      <w:proofErr w:type="spellStart"/>
      <w:r w:rsidRPr="005A536D">
        <w:t>i</w:t>
      </w:r>
      <w:proofErr w:type="spellEnd"/>
      <w:r w:rsidRPr="005A536D">
        <w:t xml:space="preserve">) The </w:t>
      </w:r>
      <w:r w:rsidRPr="005A536D">
        <w:rPr>
          <w:rFonts w:eastAsia="ＭＳ 明朝" w:cs="Times New Roman"/>
          <w:szCs w:val="24"/>
        </w:rPr>
        <w:t>{100}, {</w:t>
      </w:r>
      <w:r w:rsidR="002E1273"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2E1273" w:rsidRPr="005A536D">
        <w:rPr>
          <w:kern w:val="0"/>
        </w:rPr>
        <w:t>0</w:t>
      </w:r>
      <w:r w:rsidRPr="005A536D">
        <w:rPr>
          <w:rFonts w:eastAsia="ＭＳ 明朝" w:cs="Times New Roman"/>
          <w:szCs w:val="24"/>
        </w:rPr>
        <w:t>}, and {011</w:t>
      </w:r>
      <w:r w:rsidRPr="005A536D">
        <w:rPr>
          <w:rFonts w:eastAsiaTheme="minorEastAsia"/>
        </w:rPr>
        <w:t>}</w:t>
      </w:r>
      <w:r w:rsidRPr="005A536D">
        <w:t xml:space="preserve"> facets, which are all consistent with the equilibrium shape, were used to define the growth shape of the SAG islands. (ii) The early growth was characterized </w:t>
      </w:r>
      <w:r w:rsidR="00457CC5" w:rsidRPr="005A536D">
        <w:rPr>
          <w:rFonts w:cs="Times New Roman"/>
          <w:szCs w:val="24"/>
        </w:rPr>
        <w:t>by</w:t>
      </w:r>
      <w:r w:rsidR="00457CC5" w:rsidRPr="005A536D">
        <w:t xml:space="preserve"> </w:t>
      </w:r>
      <w:r w:rsidRPr="005A536D">
        <w:t>the</w:t>
      </w:r>
      <w:r w:rsidRPr="005A536D">
        <w:rPr>
          <w:rFonts w:eastAsiaTheme="minorEastAsia"/>
        </w:rPr>
        <w:t xml:space="preserve"> Volmer</w:t>
      </w:r>
      <w:r w:rsidR="00457CC5" w:rsidRPr="005A536D">
        <w:rPr>
          <w:rFonts w:eastAsiaTheme="minorEastAsia" w:cs="Times New Roman"/>
          <w:szCs w:val="24"/>
        </w:rPr>
        <w:t>–</w:t>
      </w:r>
      <w:r w:rsidRPr="005A536D">
        <w:rPr>
          <w:rFonts w:eastAsiaTheme="minorEastAsia"/>
        </w:rPr>
        <w:t xml:space="preserve">Weber growth mode (island growth mode), which is reasonable </w:t>
      </w:r>
      <w:r w:rsidR="00457CC5" w:rsidRPr="005A536D">
        <w:rPr>
          <w:rFonts w:eastAsiaTheme="minorEastAsia" w:cs="Times New Roman"/>
          <w:szCs w:val="24"/>
        </w:rPr>
        <w:t xml:space="preserve">by </w:t>
      </w:r>
      <w:r w:rsidRPr="005A536D">
        <w:rPr>
          <w:rFonts w:eastAsiaTheme="minorEastAsia"/>
        </w:rPr>
        <w:t xml:space="preserve">taking the large lattice mismatch into account. (iii) Several growth events </w:t>
      </w:r>
      <w:r w:rsidR="00457CC5" w:rsidRPr="005A536D">
        <w:rPr>
          <w:rFonts w:eastAsiaTheme="minorEastAsia" w:cs="Times New Roman"/>
          <w:szCs w:val="24"/>
        </w:rPr>
        <w:t xml:space="preserve">occurred </w:t>
      </w:r>
      <w:r w:rsidRPr="005A536D">
        <w:rPr>
          <w:rFonts w:eastAsiaTheme="minorEastAsia"/>
        </w:rPr>
        <w:t>on</w:t>
      </w:r>
      <w:r w:rsidR="00457CC5" w:rsidRPr="005A536D">
        <w:rPr>
          <w:rFonts w:eastAsiaTheme="minorEastAsia"/>
        </w:rPr>
        <w:t xml:space="preserve"> </w:t>
      </w:r>
      <w:r w:rsidR="00457CC5" w:rsidRPr="005A536D">
        <w:rPr>
          <w:rFonts w:eastAsiaTheme="minorEastAsia" w:cs="Times New Roman"/>
          <w:szCs w:val="24"/>
        </w:rPr>
        <w:t>the</w:t>
      </w:r>
      <w:r w:rsidRPr="005A536D">
        <w:rPr>
          <w:rFonts w:eastAsiaTheme="minorEastAsia" w:cs="Times New Roman"/>
          <w:szCs w:val="24"/>
        </w:rPr>
        <w:t xml:space="preserve"> </w:t>
      </w:r>
      <w:r w:rsidRPr="005A536D">
        <w:rPr>
          <w:rFonts w:eastAsiaTheme="minorEastAsia"/>
        </w:rPr>
        <w:t xml:space="preserve">striped windows in </w:t>
      </w:r>
      <w:r w:rsidRPr="005A536D">
        <w:rPr>
          <w:rFonts w:eastAsiaTheme="minorEastAsia" w:cs="Times New Roman"/>
          <w:szCs w:val="24"/>
        </w:rPr>
        <w:t>th</w:t>
      </w:r>
      <w:r w:rsidR="00457CC5" w:rsidRPr="005A536D">
        <w:rPr>
          <w:rFonts w:eastAsiaTheme="minorEastAsia" w:cs="Times New Roman"/>
          <w:szCs w:val="24"/>
        </w:rPr>
        <w:t>e following</w:t>
      </w:r>
      <w:r w:rsidRPr="005A536D">
        <w:rPr>
          <w:rFonts w:eastAsiaTheme="minorEastAsia"/>
        </w:rPr>
        <w:t xml:space="preserve"> order: the island growth; coalescence of the islands; formation of striped </w:t>
      </w:r>
      <w:r w:rsidRPr="005A536D">
        <w:t>r-SnO</w:t>
      </w:r>
      <w:r w:rsidRPr="005A536D">
        <w:rPr>
          <w:vertAlign w:val="subscript"/>
        </w:rPr>
        <w:t>2</w:t>
      </w:r>
      <w:r w:rsidRPr="005A536D">
        <w:rPr>
          <w:rFonts w:eastAsiaTheme="minorEastAsia"/>
        </w:rPr>
        <w:t xml:space="preserve"> at the end of the coalescence; and lateral overgrowth on the mask. (iv) During facet growth, dislocations propagate perpendicular to facet surfaces due to the image force </w:t>
      </w:r>
      <w:r w:rsidR="005E12A0" w:rsidRPr="005A536D">
        <w:rPr>
          <w:rFonts w:eastAsiaTheme="minorEastAsia"/>
        </w:rPr>
        <w:t>effect</w:t>
      </w:r>
      <w:r w:rsidRPr="005A536D">
        <w:rPr>
          <w:rFonts w:eastAsiaTheme="minorEastAsia"/>
        </w:rPr>
        <w:t>. As a result, no-dislocation zones in the wing portions became visible. We believe that our results should serve as the foundation for further research into the SAG and ELO of rutile-type oxide semiconductors, such as r-Ge</w:t>
      </w:r>
      <w:r w:rsidRPr="005A536D">
        <w:rPr>
          <w:rFonts w:eastAsiaTheme="minorEastAsia"/>
          <w:vertAlign w:val="subscript"/>
        </w:rPr>
        <w:t>x</w:t>
      </w:r>
      <w:r w:rsidRPr="005A536D">
        <w:rPr>
          <w:rFonts w:eastAsiaTheme="minorEastAsia"/>
        </w:rPr>
        <w:t>Sn</w:t>
      </w:r>
      <w:r w:rsidRPr="005A536D">
        <w:rPr>
          <w:rFonts w:eastAsiaTheme="minorEastAsia"/>
          <w:vertAlign w:val="subscript"/>
        </w:rPr>
        <w:t>1-x</w:t>
      </w:r>
      <w:r w:rsidRPr="005A536D">
        <w:rPr>
          <w:rFonts w:eastAsiaTheme="minorEastAsia"/>
        </w:rPr>
        <w:t>O</w:t>
      </w:r>
      <w:r w:rsidRPr="005A536D">
        <w:rPr>
          <w:rFonts w:eastAsiaTheme="minorEastAsia"/>
          <w:vertAlign w:val="subscript"/>
        </w:rPr>
        <w:t>2</w:t>
      </w:r>
      <w:r w:rsidRPr="005A536D">
        <w:rPr>
          <w:rFonts w:eastAsiaTheme="minorEastAsia"/>
        </w:rPr>
        <w:t>, even if the original research barely revealed the SAG characteristics of r-SnO</w:t>
      </w:r>
      <w:r w:rsidRPr="005A536D">
        <w:rPr>
          <w:rFonts w:eastAsiaTheme="minorEastAsia"/>
          <w:vertAlign w:val="subscript"/>
        </w:rPr>
        <w:t>2</w:t>
      </w:r>
      <w:r w:rsidRPr="005A536D">
        <w:t>.</w:t>
      </w:r>
    </w:p>
    <w:p w14:paraId="2E146095" w14:textId="77777777" w:rsidR="00913520" w:rsidRPr="005A536D" w:rsidRDefault="00913520" w:rsidP="00EC7F10">
      <w:pPr>
        <w:pStyle w:val="MainText151510"/>
        <w:adjustRightInd w:val="0"/>
        <w:spacing w:line="360" w:lineRule="auto"/>
        <w:ind w:firstLineChars="0" w:firstLine="0"/>
      </w:pPr>
    </w:p>
    <w:p w14:paraId="40FD6964" w14:textId="6C61E4C1" w:rsidR="00CC1CE6" w:rsidRPr="005A536D" w:rsidRDefault="00CC1CE6" w:rsidP="00EC7F10">
      <w:pPr>
        <w:pStyle w:val="MainText151510"/>
        <w:adjustRightInd w:val="0"/>
        <w:spacing w:line="360" w:lineRule="auto"/>
        <w:ind w:firstLineChars="0" w:firstLine="0"/>
        <w:rPr>
          <w:rFonts w:eastAsiaTheme="minorEastAsia" w:cs="Times New Roman"/>
          <w:szCs w:val="24"/>
        </w:rPr>
      </w:pPr>
      <w:r w:rsidRPr="005A536D">
        <w:rPr>
          <w:rFonts w:cs="Times New Roman"/>
          <w:b/>
          <w:szCs w:val="24"/>
        </w:rPr>
        <w:lastRenderedPageBreak/>
        <w:t>Acknowledgments</w:t>
      </w:r>
    </w:p>
    <w:p w14:paraId="7EDB28F5" w14:textId="19AA4EDA" w:rsidR="00913520" w:rsidRPr="005A536D" w:rsidRDefault="00913520" w:rsidP="00EC7F10">
      <w:pPr>
        <w:pStyle w:val="MainText151510"/>
        <w:adjustRightInd w:val="0"/>
        <w:spacing w:line="360" w:lineRule="auto"/>
        <w:ind w:firstLineChars="0" w:firstLine="0"/>
      </w:pPr>
      <w:r w:rsidRPr="005A536D">
        <w:t>This work was</w:t>
      </w:r>
      <w:r w:rsidRPr="005A536D">
        <w:rPr>
          <w:rFonts w:cs="Times New Roman"/>
          <w:szCs w:val="24"/>
        </w:rPr>
        <w:t xml:space="preserve"> supported</w:t>
      </w:r>
      <w:r w:rsidR="002871E8" w:rsidRPr="005A536D">
        <w:t>, in part,</w:t>
      </w:r>
      <w:r w:rsidRPr="005A536D">
        <w:t xml:space="preserve"> by the Nippon Sheet Glass Foundation for Materials Science and Engineering and </w:t>
      </w:r>
      <w:r w:rsidR="00277B2C" w:rsidRPr="005A536D">
        <w:t>Japan Science and Technology Agency (</w:t>
      </w:r>
      <w:r w:rsidRPr="005A536D">
        <w:t>JST</w:t>
      </w:r>
      <w:r w:rsidR="00277B2C" w:rsidRPr="005A536D">
        <w:t>)</w:t>
      </w:r>
      <w:r w:rsidRPr="005A536D">
        <w:rPr>
          <w:rFonts w:cs="Times New Roman"/>
          <w:szCs w:val="24"/>
        </w:rPr>
        <w:t>,</w:t>
      </w:r>
      <w:r w:rsidRPr="005A536D">
        <w:t xml:space="preserve"> the Establishment of University Fellowships </w:t>
      </w:r>
      <w:r w:rsidRPr="005A536D">
        <w:rPr>
          <w:rFonts w:cs="Times New Roman"/>
          <w:szCs w:val="24"/>
        </w:rPr>
        <w:t>toward</w:t>
      </w:r>
      <w:r w:rsidRPr="005A536D">
        <w:t xml:space="preserve"> the Creation of Science and Technology Innovation</w:t>
      </w:r>
      <w:r w:rsidR="00C26F41" w:rsidRPr="005A536D">
        <w:rPr>
          <w:rFonts w:ascii="ＭＳ 明朝" w:eastAsia="ＭＳ 明朝" w:hAnsi="ＭＳ 明朝"/>
        </w:rPr>
        <w:t xml:space="preserve"> </w:t>
      </w:r>
      <w:r w:rsidR="00C26F41" w:rsidRPr="005A536D">
        <w:rPr>
          <w:rFonts w:cs="Times New Roman"/>
          <w:szCs w:val="24"/>
        </w:rPr>
        <w:t>(No. JPMJFS2123)</w:t>
      </w:r>
      <w:r w:rsidRPr="005A536D">
        <w:rPr>
          <w:rFonts w:cs="Times New Roman"/>
          <w:szCs w:val="24"/>
        </w:rPr>
        <w:t>.</w:t>
      </w:r>
      <w:r w:rsidRPr="005A536D">
        <w:t xml:space="preserve"> </w:t>
      </w:r>
      <w:r w:rsidR="009B301E" w:rsidRPr="005A536D">
        <w:t>Part of the experiments we</w:t>
      </w:r>
      <w:r w:rsidRPr="005A536D">
        <w:t xml:space="preserve">re conducted at the Namiki Foundry, Nanofabrication Platform, and Electron Microscopy Analysis Station </w:t>
      </w:r>
      <w:r w:rsidR="002871E8" w:rsidRPr="005A536D">
        <w:rPr>
          <w:rFonts w:cs="Times New Roman"/>
          <w:szCs w:val="24"/>
        </w:rPr>
        <w:t>of</w:t>
      </w:r>
      <w:r w:rsidRPr="005A536D">
        <w:t xml:space="preserve"> the National Institute for Materials Science (No. 22NM5110).</w:t>
      </w:r>
    </w:p>
    <w:p w14:paraId="7FC96750" w14:textId="187BE4E0" w:rsidR="005464B6" w:rsidRPr="005A536D" w:rsidRDefault="005464B6">
      <w:pPr>
        <w:widowControl/>
        <w:jc w:val="left"/>
      </w:pPr>
      <w:r w:rsidRPr="005A536D">
        <w:br w:type="page"/>
      </w:r>
    </w:p>
    <w:p w14:paraId="557672C9" w14:textId="254D98E2" w:rsidR="00734612" w:rsidRPr="005A536D" w:rsidRDefault="00734612" w:rsidP="00EC7F10">
      <w:pPr>
        <w:spacing w:line="360" w:lineRule="auto"/>
        <w:rPr>
          <w:rFonts w:asciiTheme="majorHAnsi" w:hAnsiTheme="majorHAnsi"/>
          <w:b/>
          <w:sz w:val="28"/>
          <w:szCs w:val="28"/>
        </w:rPr>
      </w:pPr>
      <w:r w:rsidRPr="005A536D">
        <w:rPr>
          <w:rFonts w:asciiTheme="majorHAnsi" w:hAnsiTheme="majorHAnsi"/>
          <w:b/>
          <w:sz w:val="28"/>
          <w:szCs w:val="28"/>
        </w:rPr>
        <w:lastRenderedPageBreak/>
        <w:t>References</w:t>
      </w:r>
    </w:p>
    <w:p w14:paraId="61AED0DE" w14:textId="0B5E1645" w:rsidR="00734612" w:rsidRPr="005A536D" w:rsidRDefault="00734612" w:rsidP="00EC7F10">
      <w:pPr>
        <w:pStyle w:val="References"/>
        <w:numPr>
          <w:ilvl w:val="0"/>
          <w:numId w:val="0"/>
        </w:numPr>
        <w:spacing w:line="360" w:lineRule="auto"/>
        <w:rPr>
          <w:sz w:val="24"/>
        </w:rPr>
        <w:sectPr w:rsidR="00734612" w:rsidRPr="005A536D" w:rsidSect="00D05662">
          <w:headerReference w:type="default" r:id="rId9"/>
          <w:footerReference w:type="even" r:id="rId10"/>
          <w:footerReference w:type="default" r:id="rId11"/>
          <w:type w:val="continuous"/>
          <w:pgSz w:w="11906" w:h="16838" w:code="9"/>
          <w:pgMar w:top="1304" w:right="1588" w:bottom="1304" w:left="1531" w:header="567" w:footer="907" w:gutter="0"/>
          <w:cols w:space="720"/>
          <w:docGrid w:linePitch="360"/>
        </w:sectPr>
      </w:pPr>
    </w:p>
    <w:p w14:paraId="7777E54E" w14:textId="667243E5" w:rsidR="004C0FAD" w:rsidRPr="005A536D" w:rsidRDefault="00913520"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eastAsiaTheme="minorEastAsia" w:hAnsi="Times New Roman"/>
          <w:sz w:val="24"/>
        </w:rPr>
        <w:fldChar w:fldCharType="begin" w:fldLock="1"/>
      </w:r>
      <w:r w:rsidRPr="005A536D">
        <w:rPr>
          <w:rFonts w:ascii="Times New Roman" w:eastAsiaTheme="minorEastAsia" w:hAnsi="Times New Roman"/>
          <w:sz w:val="24"/>
        </w:rPr>
        <w:instrText xml:space="preserve">ADDIN Mendeley Bibliography CSL_BIBLIOGRAPHY </w:instrText>
      </w:r>
      <w:r w:rsidRPr="005A536D">
        <w:rPr>
          <w:rFonts w:ascii="Times New Roman" w:eastAsiaTheme="minorEastAsia" w:hAnsi="Times New Roman"/>
          <w:sz w:val="24"/>
        </w:rPr>
        <w:fldChar w:fldCharType="separate"/>
      </w:r>
      <w:r w:rsidR="004C0FAD" w:rsidRPr="005A536D">
        <w:rPr>
          <w:rFonts w:ascii="Times New Roman" w:hAnsi="Times New Roman"/>
          <w:noProof/>
          <w:kern w:val="0"/>
          <w:sz w:val="24"/>
        </w:rPr>
        <w:t>1)</w:t>
      </w:r>
      <w:r w:rsidR="004C0FAD" w:rsidRPr="005A536D">
        <w:rPr>
          <w:rFonts w:ascii="Times New Roman" w:hAnsi="Times New Roman"/>
          <w:noProof/>
          <w:kern w:val="0"/>
          <w:sz w:val="24"/>
        </w:rPr>
        <w:tab/>
        <w:t xml:space="preserve">J. Shi, J. Zhang, L. Yang, M. Qu, D. C. Qi and K. H. L. Zhang, Adv. Mater. </w:t>
      </w:r>
      <w:r w:rsidR="004C0FAD" w:rsidRPr="005A536D">
        <w:rPr>
          <w:rFonts w:ascii="Times New Roman" w:hAnsi="Times New Roman"/>
          <w:b/>
          <w:bCs/>
          <w:noProof/>
          <w:kern w:val="0"/>
          <w:sz w:val="24"/>
        </w:rPr>
        <w:t>33</w:t>
      </w:r>
      <w:r w:rsidR="004C0FAD" w:rsidRPr="005A536D">
        <w:rPr>
          <w:rFonts w:ascii="Times New Roman" w:hAnsi="Times New Roman"/>
          <w:noProof/>
          <w:kern w:val="0"/>
          <w:sz w:val="24"/>
        </w:rPr>
        <w:t>, 2006230 (2021).</w:t>
      </w:r>
    </w:p>
    <w:p w14:paraId="4DA4E98F"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w:t>
      </w:r>
      <w:r w:rsidRPr="005A536D">
        <w:rPr>
          <w:rFonts w:ascii="Times New Roman" w:hAnsi="Times New Roman"/>
          <w:noProof/>
          <w:kern w:val="0"/>
          <w:sz w:val="24"/>
        </w:rPr>
        <w:tab/>
        <w:t xml:space="preserve">S. Chae, K. A. Mengle, K. Bushick, J. Lee, N. Sanders, Z. Deng, Z. Mi, P. F. P. Poudeu, H. Paik, J. T. Heron and E. Kioupakis, Appl. Phys. Lett. </w:t>
      </w:r>
      <w:r w:rsidRPr="005A536D">
        <w:rPr>
          <w:rFonts w:ascii="Times New Roman" w:hAnsi="Times New Roman"/>
          <w:b/>
          <w:bCs/>
          <w:noProof/>
          <w:kern w:val="0"/>
          <w:sz w:val="24"/>
        </w:rPr>
        <w:t>118</w:t>
      </w:r>
      <w:r w:rsidRPr="005A536D">
        <w:rPr>
          <w:rFonts w:ascii="Times New Roman" w:hAnsi="Times New Roman"/>
          <w:noProof/>
          <w:kern w:val="0"/>
          <w:sz w:val="24"/>
        </w:rPr>
        <w:t>, 260501 (2021).</w:t>
      </w:r>
    </w:p>
    <w:p w14:paraId="4AA0E60B"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w:t>
      </w:r>
      <w:r w:rsidRPr="005A536D">
        <w:rPr>
          <w:rFonts w:ascii="Times New Roman" w:hAnsi="Times New Roman"/>
          <w:noProof/>
          <w:kern w:val="0"/>
          <w:sz w:val="24"/>
        </w:rPr>
        <w:tab/>
        <w:t xml:space="preserve">M. Stapelbroek and B. D. Evans, Solid State Commun. </w:t>
      </w:r>
      <w:r w:rsidRPr="005A536D">
        <w:rPr>
          <w:rFonts w:ascii="Times New Roman" w:hAnsi="Times New Roman"/>
          <w:b/>
          <w:bCs/>
          <w:noProof/>
          <w:kern w:val="0"/>
          <w:sz w:val="24"/>
        </w:rPr>
        <w:t>25</w:t>
      </w:r>
      <w:r w:rsidRPr="005A536D">
        <w:rPr>
          <w:rFonts w:ascii="Times New Roman" w:hAnsi="Times New Roman"/>
          <w:noProof/>
          <w:kern w:val="0"/>
          <w:sz w:val="24"/>
        </w:rPr>
        <w:t>, 959 (1978).</w:t>
      </w:r>
    </w:p>
    <w:p w14:paraId="19A61EB2"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w:t>
      </w:r>
      <w:r w:rsidRPr="005A536D">
        <w:rPr>
          <w:rFonts w:ascii="Times New Roman" w:hAnsi="Times New Roman"/>
          <w:noProof/>
          <w:kern w:val="0"/>
          <w:sz w:val="24"/>
        </w:rPr>
        <w:tab/>
        <w:t xml:space="preserve">T. Onuma, S. Saito, K. Sasaki, T. Masui, T. Yamaguchi, T. Honda and M. Higashiwaki, Jpn. J. Appl. Phys. </w:t>
      </w:r>
      <w:r w:rsidRPr="005A536D">
        <w:rPr>
          <w:rFonts w:ascii="Times New Roman" w:hAnsi="Times New Roman"/>
          <w:b/>
          <w:bCs/>
          <w:noProof/>
          <w:kern w:val="0"/>
          <w:sz w:val="24"/>
        </w:rPr>
        <w:t>54</w:t>
      </w:r>
      <w:r w:rsidRPr="005A536D">
        <w:rPr>
          <w:rFonts w:ascii="Times New Roman" w:hAnsi="Times New Roman"/>
          <w:noProof/>
          <w:kern w:val="0"/>
          <w:sz w:val="24"/>
        </w:rPr>
        <w:t>, 112601 (2015).</w:t>
      </w:r>
    </w:p>
    <w:p w14:paraId="14F45F52"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5)</w:t>
      </w:r>
      <w:r w:rsidRPr="005A536D">
        <w:rPr>
          <w:rFonts w:ascii="Times New Roman" w:hAnsi="Times New Roman"/>
          <w:noProof/>
          <w:kern w:val="0"/>
          <w:sz w:val="24"/>
        </w:rPr>
        <w:tab/>
        <w:t xml:space="preserve">S. Chae, J. Lee, K. A. Mengle, J. T. Heron and E. Kioupakis, Appl. Phys. Lett. </w:t>
      </w:r>
      <w:r w:rsidRPr="005A536D">
        <w:rPr>
          <w:rFonts w:ascii="Times New Roman" w:hAnsi="Times New Roman"/>
          <w:b/>
          <w:bCs/>
          <w:noProof/>
          <w:kern w:val="0"/>
          <w:sz w:val="24"/>
        </w:rPr>
        <w:t>114</w:t>
      </w:r>
      <w:r w:rsidRPr="005A536D">
        <w:rPr>
          <w:rFonts w:ascii="Times New Roman" w:hAnsi="Times New Roman"/>
          <w:noProof/>
          <w:kern w:val="0"/>
          <w:sz w:val="24"/>
        </w:rPr>
        <w:t>, 102104 (2019).</w:t>
      </w:r>
    </w:p>
    <w:p w14:paraId="7DF9794B"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6)</w:t>
      </w:r>
      <w:r w:rsidRPr="005A536D">
        <w:rPr>
          <w:rFonts w:ascii="Times New Roman" w:hAnsi="Times New Roman"/>
          <w:noProof/>
          <w:kern w:val="0"/>
          <w:sz w:val="24"/>
        </w:rPr>
        <w:tab/>
        <w:t xml:space="preserve">C. A. Niedermeier, K. Ide, T. Katase, H. Hosono and T. Kamiya, J. Phys. Chem. C </w:t>
      </w:r>
      <w:r w:rsidRPr="005A536D">
        <w:rPr>
          <w:rFonts w:ascii="Times New Roman" w:hAnsi="Times New Roman"/>
          <w:b/>
          <w:bCs/>
          <w:noProof/>
          <w:kern w:val="0"/>
          <w:sz w:val="24"/>
        </w:rPr>
        <w:t>124</w:t>
      </w:r>
      <w:r w:rsidRPr="005A536D">
        <w:rPr>
          <w:rFonts w:ascii="Times New Roman" w:hAnsi="Times New Roman"/>
          <w:noProof/>
          <w:kern w:val="0"/>
          <w:sz w:val="24"/>
        </w:rPr>
        <w:t>, 25721 (2020).</w:t>
      </w:r>
    </w:p>
    <w:p w14:paraId="66AF2E66"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7)</w:t>
      </w:r>
      <w:r w:rsidRPr="005A536D">
        <w:rPr>
          <w:rFonts w:ascii="Times New Roman" w:hAnsi="Times New Roman"/>
          <w:noProof/>
          <w:kern w:val="0"/>
          <w:sz w:val="24"/>
        </w:rPr>
        <w:tab/>
        <w:t xml:space="preserve">K. A. Mengle, S. Chae and E. Kioupakis, J. Appl. Phys. </w:t>
      </w:r>
      <w:r w:rsidRPr="005A536D">
        <w:rPr>
          <w:rFonts w:ascii="Times New Roman" w:hAnsi="Times New Roman"/>
          <w:b/>
          <w:bCs/>
          <w:noProof/>
          <w:kern w:val="0"/>
          <w:sz w:val="24"/>
        </w:rPr>
        <w:t>126</w:t>
      </w:r>
      <w:r w:rsidRPr="005A536D">
        <w:rPr>
          <w:rFonts w:ascii="Times New Roman" w:hAnsi="Times New Roman"/>
          <w:noProof/>
          <w:kern w:val="0"/>
          <w:sz w:val="24"/>
        </w:rPr>
        <w:t>, 085703 (2019).</w:t>
      </w:r>
    </w:p>
    <w:p w14:paraId="6993FE81"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8)</w:t>
      </w:r>
      <w:r w:rsidRPr="005A536D">
        <w:rPr>
          <w:rFonts w:ascii="Times New Roman" w:hAnsi="Times New Roman"/>
          <w:noProof/>
          <w:kern w:val="0"/>
          <w:sz w:val="24"/>
        </w:rPr>
        <w:tab/>
        <w:t xml:space="preserve">S. Chae, K. A. Mengle, R. Lu, A. Olvera, N. Sanders, J. Lee, P. F. P. Poudeu, J. T. Heron and E. Kioupakis, Appl. Phys. Lett. </w:t>
      </w:r>
      <w:r w:rsidRPr="005A536D">
        <w:rPr>
          <w:rFonts w:ascii="Times New Roman" w:hAnsi="Times New Roman"/>
          <w:b/>
          <w:bCs/>
          <w:noProof/>
          <w:kern w:val="0"/>
          <w:sz w:val="24"/>
        </w:rPr>
        <w:t>117</w:t>
      </w:r>
      <w:r w:rsidRPr="005A536D">
        <w:rPr>
          <w:rFonts w:ascii="Times New Roman" w:hAnsi="Times New Roman"/>
          <w:noProof/>
          <w:kern w:val="0"/>
          <w:sz w:val="24"/>
        </w:rPr>
        <w:t>, 102106 (2020).</w:t>
      </w:r>
    </w:p>
    <w:p w14:paraId="6D9799F0"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9)</w:t>
      </w:r>
      <w:r w:rsidRPr="005A536D">
        <w:rPr>
          <w:rFonts w:ascii="Times New Roman" w:hAnsi="Times New Roman"/>
          <w:noProof/>
          <w:kern w:val="0"/>
          <w:sz w:val="24"/>
        </w:rPr>
        <w:tab/>
        <w:t xml:space="preserve">N. Ma, N. Tanen, A. Verma, Z. Guo, T. Luo, H. G. Xing and D. Jena, Appl. Phys. Lett. </w:t>
      </w:r>
      <w:r w:rsidRPr="005A536D">
        <w:rPr>
          <w:rFonts w:ascii="Times New Roman" w:hAnsi="Times New Roman"/>
          <w:b/>
          <w:bCs/>
          <w:noProof/>
          <w:kern w:val="0"/>
          <w:sz w:val="24"/>
        </w:rPr>
        <w:t>109</w:t>
      </w:r>
      <w:r w:rsidRPr="005A536D">
        <w:rPr>
          <w:rFonts w:ascii="Times New Roman" w:hAnsi="Times New Roman"/>
          <w:noProof/>
          <w:kern w:val="0"/>
          <w:sz w:val="24"/>
        </w:rPr>
        <w:t>, 212101 (2016).</w:t>
      </w:r>
    </w:p>
    <w:p w14:paraId="6BF98EC9"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10)</w:t>
      </w:r>
      <w:r w:rsidRPr="005A536D">
        <w:rPr>
          <w:rFonts w:ascii="Times New Roman" w:hAnsi="Times New Roman"/>
          <w:noProof/>
          <w:kern w:val="0"/>
          <w:sz w:val="24"/>
        </w:rPr>
        <w:tab/>
        <w:t xml:space="preserve">Z. Guo, A. Verma, X. Wu, F. Sun, A. Hickman, T. Masui, A. Kuramata, M. Higashiwaki, D. Jena and T. Luo, Appl. Phys. Lett. </w:t>
      </w:r>
      <w:r w:rsidRPr="005A536D">
        <w:rPr>
          <w:rFonts w:ascii="Times New Roman" w:hAnsi="Times New Roman"/>
          <w:b/>
          <w:bCs/>
          <w:noProof/>
          <w:kern w:val="0"/>
          <w:sz w:val="24"/>
        </w:rPr>
        <w:t>106</w:t>
      </w:r>
      <w:r w:rsidRPr="005A536D">
        <w:rPr>
          <w:rFonts w:ascii="Times New Roman" w:hAnsi="Times New Roman"/>
          <w:noProof/>
          <w:kern w:val="0"/>
          <w:sz w:val="24"/>
        </w:rPr>
        <w:t>, 111909 (2015).</w:t>
      </w:r>
    </w:p>
    <w:p w14:paraId="5FE7A5EF"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11)</w:t>
      </w:r>
      <w:r w:rsidRPr="005A536D">
        <w:rPr>
          <w:rFonts w:ascii="Times New Roman" w:hAnsi="Times New Roman"/>
          <w:noProof/>
          <w:kern w:val="0"/>
          <w:sz w:val="24"/>
        </w:rPr>
        <w:tab/>
        <w:t xml:space="preserve">R. J. Choudhary, S. B. Ogale, S. R. Shinde, V. N. Kulkarni, T. Venkatesan, K. S. Harshavardhan, M. Strikovski and B. Hannoyer, Appl. Phys. Lett. </w:t>
      </w:r>
      <w:r w:rsidRPr="005A536D">
        <w:rPr>
          <w:rFonts w:ascii="Times New Roman" w:hAnsi="Times New Roman"/>
          <w:b/>
          <w:bCs/>
          <w:noProof/>
          <w:kern w:val="0"/>
          <w:sz w:val="24"/>
        </w:rPr>
        <w:t>84</w:t>
      </w:r>
      <w:r w:rsidRPr="005A536D">
        <w:rPr>
          <w:rFonts w:ascii="Times New Roman" w:hAnsi="Times New Roman"/>
          <w:noProof/>
          <w:kern w:val="0"/>
          <w:sz w:val="24"/>
        </w:rPr>
        <w:t>, 1483 (2004).</w:t>
      </w:r>
    </w:p>
    <w:p w14:paraId="54D5B7D6"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12)</w:t>
      </w:r>
      <w:r w:rsidRPr="005A536D">
        <w:rPr>
          <w:rFonts w:ascii="Times New Roman" w:hAnsi="Times New Roman"/>
          <w:noProof/>
          <w:kern w:val="0"/>
          <w:sz w:val="24"/>
        </w:rPr>
        <w:tab/>
        <w:t xml:space="preserve">T. Minami, Semicond. Sci. Technol. </w:t>
      </w:r>
      <w:r w:rsidRPr="005A536D">
        <w:rPr>
          <w:rFonts w:ascii="Times New Roman" w:hAnsi="Times New Roman"/>
          <w:b/>
          <w:bCs/>
          <w:noProof/>
          <w:kern w:val="0"/>
          <w:sz w:val="24"/>
        </w:rPr>
        <w:t>20</w:t>
      </w:r>
      <w:r w:rsidRPr="005A536D">
        <w:rPr>
          <w:rFonts w:ascii="Times New Roman" w:hAnsi="Times New Roman"/>
          <w:noProof/>
          <w:kern w:val="0"/>
          <w:sz w:val="24"/>
        </w:rPr>
        <w:t>, S35 (2005).</w:t>
      </w:r>
    </w:p>
    <w:p w14:paraId="25FA69CE"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13)</w:t>
      </w:r>
      <w:r w:rsidRPr="005A536D">
        <w:rPr>
          <w:rFonts w:ascii="Times New Roman" w:hAnsi="Times New Roman"/>
          <w:noProof/>
          <w:kern w:val="0"/>
          <w:sz w:val="24"/>
        </w:rPr>
        <w:tab/>
        <w:t xml:space="preserve">W. Göpel and K. D. Schierbaum, Sensors Actuators B </w:t>
      </w:r>
      <w:r w:rsidRPr="005A536D">
        <w:rPr>
          <w:rFonts w:ascii="Times New Roman" w:hAnsi="Times New Roman"/>
          <w:b/>
          <w:bCs/>
          <w:noProof/>
          <w:kern w:val="0"/>
          <w:sz w:val="24"/>
        </w:rPr>
        <w:t>26</w:t>
      </w:r>
      <w:r w:rsidRPr="005A536D">
        <w:rPr>
          <w:rFonts w:ascii="Times New Roman" w:hAnsi="Times New Roman"/>
          <w:noProof/>
          <w:kern w:val="0"/>
          <w:sz w:val="24"/>
        </w:rPr>
        <w:t>, 1 (1995).</w:t>
      </w:r>
    </w:p>
    <w:p w14:paraId="12B9CE3E"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14)</w:t>
      </w:r>
      <w:r w:rsidRPr="005A536D">
        <w:rPr>
          <w:rFonts w:ascii="Times New Roman" w:hAnsi="Times New Roman"/>
          <w:noProof/>
          <w:kern w:val="0"/>
          <w:sz w:val="24"/>
        </w:rPr>
        <w:tab/>
        <w:t xml:space="preserve">T. Oshima, T. Okuno and S. Fujita, Jpn. J. Appl. Phys. </w:t>
      </w:r>
      <w:r w:rsidRPr="005A536D">
        <w:rPr>
          <w:rFonts w:ascii="Times New Roman" w:hAnsi="Times New Roman"/>
          <w:b/>
          <w:bCs/>
          <w:noProof/>
          <w:kern w:val="0"/>
          <w:sz w:val="24"/>
        </w:rPr>
        <w:t>48</w:t>
      </w:r>
      <w:r w:rsidRPr="005A536D">
        <w:rPr>
          <w:rFonts w:ascii="Times New Roman" w:hAnsi="Times New Roman"/>
          <w:noProof/>
          <w:kern w:val="0"/>
          <w:sz w:val="24"/>
        </w:rPr>
        <w:t>, 120207 (2009).</w:t>
      </w:r>
    </w:p>
    <w:p w14:paraId="7D29E228"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15)</w:t>
      </w:r>
      <w:r w:rsidRPr="005A536D">
        <w:rPr>
          <w:rFonts w:ascii="Times New Roman" w:hAnsi="Times New Roman"/>
          <w:noProof/>
          <w:kern w:val="0"/>
          <w:sz w:val="24"/>
        </w:rPr>
        <w:tab/>
        <w:t xml:space="preserve">R. E. Presley, C. L. Munsee, C. H. Park, D. Hong, J. F. Wager and D. A. Keszler, J. Phys. D. Appl. Phys. </w:t>
      </w:r>
      <w:r w:rsidRPr="005A536D">
        <w:rPr>
          <w:rFonts w:ascii="Times New Roman" w:hAnsi="Times New Roman"/>
          <w:b/>
          <w:bCs/>
          <w:noProof/>
          <w:kern w:val="0"/>
          <w:sz w:val="24"/>
        </w:rPr>
        <w:t>37</w:t>
      </w:r>
      <w:r w:rsidRPr="005A536D">
        <w:rPr>
          <w:rFonts w:ascii="Times New Roman" w:hAnsi="Times New Roman"/>
          <w:noProof/>
          <w:kern w:val="0"/>
          <w:sz w:val="24"/>
        </w:rPr>
        <w:t>, 2810 (2004).</w:t>
      </w:r>
    </w:p>
    <w:p w14:paraId="4AD61D3B"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16)</w:t>
      </w:r>
      <w:r w:rsidRPr="005A536D">
        <w:rPr>
          <w:rFonts w:ascii="Times New Roman" w:hAnsi="Times New Roman"/>
          <w:noProof/>
          <w:kern w:val="0"/>
          <w:sz w:val="24"/>
        </w:rPr>
        <w:tab/>
        <w:t xml:space="preserve">G. T. Dang, T. Uchida, T. Kawaharamura, M. Furuta, A. R. Hyndman, R. Martinez, S. Fujita, R. J. Reeves and M. W. Allen, Appl. Phys. Express </w:t>
      </w:r>
      <w:r w:rsidRPr="005A536D">
        <w:rPr>
          <w:rFonts w:ascii="Times New Roman" w:hAnsi="Times New Roman"/>
          <w:b/>
          <w:bCs/>
          <w:noProof/>
          <w:kern w:val="0"/>
          <w:sz w:val="24"/>
        </w:rPr>
        <w:t>9</w:t>
      </w:r>
      <w:r w:rsidRPr="005A536D">
        <w:rPr>
          <w:rFonts w:ascii="Times New Roman" w:hAnsi="Times New Roman"/>
          <w:noProof/>
          <w:kern w:val="0"/>
          <w:sz w:val="24"/>
        </w:rPr>
        <w:t>, 041101 (2016).</w:t>
      </w:r>
    </w:p>
    <w:p w14:paraId="132C2E4A"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17)</w:t>
      </w:r>
      <w:r w:rsidRPr="005A536D">
        <w:rPr>
          <w:rFonts w:ascii="Times New Roman" w:hAnsi="Times New Roman"/>
          <w:noProof/>
          <w:kern w:val="0"/>
          <w:sz w:val="24"/>
        </w:rPr>
        <w:tab/>
        <w:t xml:space="preserve">S. Chae, H. Paik, N. M. Vu, E. Kioupakis and J. T. Heron, Appl. Phys. Lett. </w:t>
      </w:r>
      <w:r w:rsidRPr="005A536D">
        <w:rPr>
          <w:rFonts w:ascii="Times New Roman" w:hAnsi="Times New Roman"/>
          <w:b/>
          <w:bCs/>
          <w:noProof/>
          <w:kern w:val="0"/>
          <w:sz w:val="24"/>
        </w:rPr>
        <w:t>117</w:t>
      </w:r>
      <w:r w:rsidRPr="005A536D">
        <w:rPr>
          <w:rFonts w:ascii="Times New Roman" w:hAnsi="Times New Roman"/>
          <w:noProof/>
          <w:kern w:val="0"/>
          <w:sz w:val="24"/>
        </w:rPr>
        <w:t>, 072105 (2020).</w:t>
      </w:r>
    </w:p>
    <w:p w14:paraId="20F875CC"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18)</w:t>
      </w:r>
      <w:r w:rsidRPr="005A536D">
        <w:rPr>
          <w:rFonts w:ascii="Times New Roman" w:hAnsi="Times New Roman"/>
          <w:noProof/>
          <w:kern w:val="0"/>
          <w:sz w:val="24"/>
        </w:rPr>
        <w:tab/>
        <w:t xml:space="preserve">H. Takane, Y. Ota, T. Wakamatsu, T. Araki, K. Tanaka and K. Kaneko, Phys. Rev. Mater. </w:t>
      </w:r>
      <w:r w:rsidRPr="005A536D">
        <w:rPr>
          <w:rFonts w:ascii="Times New Roman" w:hAnsi="Times New Roman"/>
          <w:b/>
          <w:bCs/>
          <w:noProof/>
          <w:kern w:val="0"/>
          <w:sz w:val="24"/>
        </w:rPr>
        <w:t>6</w:t>
      </w:r>
      <w:r w:rsidRPr="005A536D">
        <w:rPr>
          <w:rFonts w:ascii="Times New Roman" w:hAnsi="Times New Roman"/>
          <w:noProof/>
          <w:kern w:val="0"/>
          <w:sz w:val="24"/>
        </w:rPr>
        <w:t>, 084604 (2022).</w:t>
      </w:r>
    </w:p>
    <w:p w14:paraId="76CBCD53"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19)</w:t>
      </w:r>
      <w:r w:rsidRPr="005A536D">
        <w:rPr>
          <w:rFonts w:ascii="Times New Roman" w:hAnsi="Times New Roman"/>
          <w:noProof/>
          <w:kern w:val="0"/>
          <w:sz w:val="24"/>
        </w:rPr>
        <w:tab/>
        <w:t xml:space="preserve">F. Liu, T. K. Truttmann, D. Lee, B. E. Matthews, I. Laraib, A. Janotti, S. R. </w:t>
      </w:r>
      <w:r w:rsidRPr="005A536D">
        <w:rPr>
          <w:rFonts w:ascii="Times New Roman" w:hAnsi="Times New Roman"/>
          <w:noProof/>
          <w:kern w:val="0"/>
          <w:sz w:val="24"/>
        </w:rPr>
        <w:lastRenderedPageBreak/>
        <w:t xml:space="preserve">Spurgeon, S. A. Chambers and B. Jalan, Commun. Mater. </w:t>
      </w:r>
      <w:r w:rsidRPr="005A536D">
        <w:rPr>
          <w:rFonts w:ascii="Times New Roman" w:hAnsi="Times New Roman"/>
          <w:b/>
          <w:bCs/>
          <w:noProof/>
          <w:kern w:val="0"/>
          <w:sz w:val="24"/>
        </w:rPr>
        <w:t>3</w:t>
      </w:r>
      <w:r w:rsidRPr="005A536D">
        <w:rPr>
          <w:rFonts w:ascii="Times New Roman" w:hAnsi="Times New Roman"/>
          <w:noProof/>
          <w:kern w:val="0"/>
          <w:sz w:val="24"/>
        </w:rPr>
        <w:t>, 69 (2022).</w:t>
      </w:r>
    </w:p>
    <w:p w14:paraId="0390EE87"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20)</w:t>
      </w:r>
      <w:r w:rsidRPr="005A536D">
        <w:rPr>
          <w:rFonts w:ascii="Times New Roman" w:hAnsi="Times New Roman"/>
          <w:noProof/>
          <w:kern w:val="0"/>
          <w:sz w:val="24"/>
        </w:rPr>
        <w:tab/>
        <w:t xml:space="preserve">Y. Nagashima, M. Fukumoto, M. Tsuchii, Y. Sugisawa, D. Sekiba, T. Hasegawa and Y. Hirose, Chem. Mater. </w:t>
      </w:r>
      <w:r w:rsidRPr="005A536D">
        <w:rPr>
          <w:rFonts w:ascii="Times New Roman" w:hAnsi="Times New Roman"/>
          <w:b/>
          <w:bCs/>
          <w:noProof/>
          <w:kern w:val="0"/>
          <w:sz w:val="24"/>
        </w:rPr>
        <w:t>34</w:t>
      </w:r>
      <w:r w:rsidRPr="005A536D">
        <w:rPr>
          <w:rFonts w:ascii="Times New Roman" w:hAnsi="Times New Roman"/>
          <w:noProof/>
          <w:kern w:val="0"/>
          <w:sz w:val="24"/>
        </w:rPr>
        <w:t>, 10842 (2022).</w:t>
      </w:r>
    </w:p>
    <w:p w14:paraId="6A1B70CE"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21)</w:t>
      </w:r>
      <w:r w:rsidRPr="005A536D">
        <w:rPr>
          <w:rFonts w:ascii="Times New Roman" w:hAnsi="Times New Roman"/>
          <w:noProof/>
          <w:kern w:val="0"/>
          <w:sz w:val="24"/>
        </w:rPr>
        <w:tab/>
        <w:t xml:space="preserve">D. Fröhlich, R. Kenklies and R. Helbig, Phys. Rev. Lett. </w:t>
      </w:r>
      <w:r w:rsidRPr="005A536D">
        <w:rPr>
          <w:rFonts w:ascii="Times New Roman" w:hAnsi="Times New Roman"/>
          <w:b/>
          <w:bCs/>
          <w:noProof/>
          <w:kern w:val="0"/>
          <w:sz w:val="24"/>
        </w:rPr>
        <w:t>41</w:t>
      </w:r>
      <w:r w:rsidRPr="005A536D">
        <w:rPr>
          <w:rFonts w:ascii="Times New Roman" w:hAnsi="Times New Roman"/>
          <w:noProof/>
          <w:kern w:val="0"/>
          <w:sz w:val="24"/>
        </w:rPr>
        <w:t>, 1750 (1978).</w:t>
      </w:r>
    </w:p>
    <w:p w14:paraId="39C37EC8"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22)</w:t>
      </w:r>
      <w:r w:rsidRPr="005A536D">
        <w:rPr>
          <w:rFonts w:ascii="Times New Roman" w:hAnsi="Times New Roman"/>
          <w:noProof/>
          <w:kern w:val="0"/>
          <w:sz w:val="24"/>
        </w:rPr>
        <w:tab/>
        <w:t xml:space="preserve">K. Reimann and M. Steube, Solid State Commun. </w:t>
      </w:r>
      <w:r w:rsidRPr="005A536D">
        <w:rPr>
          <w:rFonts w:ascii="Times New Roman" w:hAnsi="Times New Roman"/>
          <w:b/>
          <w:bCs/>
          <w:noProof/>
          <w:kern w:val="0"/>
          <w:sz w:val="24"/>
        </w:rPr>
        <w:t>105</w:t>
      </w:r>
      <w:r w:rsidRPr="005A536D">
        <w:rPr>
          <w:rFonts w:ascii="Times New Roman" w:hAnsi="Times New Roman"/>
          <w:noProof/>
          <w:kern w:val="0"/>
          <w:sz w:val="24"/>
        </w:rPr>
        <w:t>, 649 (1998).</w:t>
      </w:r>
    </w:p>
    <w:p w14:paraId="1BE3805F"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23)</w:t>
      </w:r>
      <w:r w:rsidRPr="005A536D">
        <w:rPr>
          <w:rFonts w:ascii="Times New Roman" w:hAnsi="Times New Roman"/>
          <w:noProof/>
          <w:kern w:val="0"/>
          <w:sz w:val="24"/>
        </w:rPr>
        <w:tab/>
        <w:t xml:space="preserve">U. K. Mishra, L. Shen, T. E. Kazior and Y. F. Wu, Proc. IEEE </w:t>
      </w:r>
      <w:r w:rsidRPr="005A536D">
        <w:rPr>
          <w:rFonts w:ascii="Times New Roman" w:hAnsi="Times New Roman"/>
          <w:b/>
          <w:bCs/>
          <w:noProof/>
          <w:kern w:val="0"/>
          <w:sz w:val="24"/>
        </w:rPr>
        <w:t>96</w:t>
      </w:r>
      <w:r w:rsidRPr="005A536D">
        <w:rPr>
          <w:rFonts w:ascii="Times New Roman" w:hAnsi="Times New Roman"/>
          <w:noProof/>
          <w:kern w:val="0"/>
          <w:sz w:val="24"/>
        </w:rPr>
        <w:t>, 287 (2008).</w:t>
      </w:r>
    </w:p>
    <w:p w14:paraId="01C07B75"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24)</w:t>
      </w:r>
      <w:r w:rsidRPr="005A536D">
        <w:rPr>
          <w:rFonts w:ascii="Times New Roman" w:hAnsi="Times New Roman"/>
          <w:noProof/>
          <w:kern w:val="0"/>
          <w:sz w:val="24"/>
        </w:rPr>
        <w:tab/>
        <w:t xml:space="preserve">S. J. Pearton, J. Yang, P. H. Cary, F. Ren, J. Kim, M. J. Tadjer and M. A. Mastro, Appl. Phys. Rev. </w:t>
      </w:r>
      <w:r w:rsidRPr="005A536D">
        <w:rPr>
          <w:rFonts w:ascii="Times New Roman" w:hAnsi="Times New Roman"/>
          <w:b/>
          <w:bCs/>
          <w:noProof/>
          <w:kern w:val="0"/>
          <w:sz w:val="24"/>
        </w:rPr>
        <w:t>5</w:t>
      </w:r>
      <w:r w:rsidRPr="005A536D">
        <w:rPr>
          <w:rFonts w:ascii="Times New Roman" w:hAnsi="Times New Roman"/>
          <w:noProof/>
          <w:kern w:val="0"/>
          <w:sz w:val="24"/>
        </w:rPr>
        <w:t>, 011301 (2018).</w:t>
      </w:r>
    </w:p>
    <w:p w14:paraId="504CDACB"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25)</w:t>
      </w:r>
      <w:r w:rsidRPr="005A536D">
        <w:rPr>
          <w:rFonts w:ascii="Times New Roman" w:hAnsi="Times New Roman"/>
          <w:noProof/>
          <w:kern w:val="0"/>
          <w:sz w:val="24"/>
        </w:rPr>
        <w:tab/>
        <w:t xml:space="preserve">J. A. Marley and T. C. MacAvoy, J. Appl. Phys. </w:t>
      </w:r>
      <w:r w:rsidRPr="005A536D">
        <w:rPr>
          <w:rFonts w:ascii="Times New Roman" w:hAnsi="Times New Roman"/>
          <w:b/>
          <w:bCs/>
          <w:noProof/>
          <w:kern w:val="0"/>
          <w:sz w:val="24"/>
        </w:rPr>
        <w:t>32</w:t>
      </w:r>
      <w:r w:rsidRPr="005A536D">
        <w:rPr>
          <w:rFonts w:ascii="Times New Roman" w:hAnsi="Times New Roman"/>
          <w:noProof/>
          <w:kern w:val="0"/>
          <w:sz w:val="24"/>
        </w:rPr>
        <w:t>, 2504 (1961).</w:t>
      </w:r>
    </w:p>
    <w:p w14:paraId="2F728CCB"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26)</w:t>
      </w:r>
      <w:r w:rsidRPr="005A536D">
        <w:rPr>
          <w:rFonts w:ascii="Times New Roman" w:hAnsi="Times New Roman"/>
          <w:noProof/>
          <w:kern w:val="0"/>
          <w:sz w:val="24"/>
        </w:rPr>
        <w:tab/>
        <w:t xml:space="preserve">T. B. Reed, J. T. Roddy and A. N. Mariano, J. Appl. Phys. </w:t>
      </w:r>
      <w:r w:rsidRPr="005A536D">
        <w:rPr>
          <w:rFonts w:ascii="Times New Roman" w:hAnsi="Times New Roman"/>
          <w:b/>
          <w:bCs/>
          <w:noProof/>
          <w:kern w:val="0"/>
          <w:sz w:val="24"/>
        </w:rPr>
        <w:t>33</w:t>
      </w:r>
      <w:r w:rsidRPr="005A536D">
        <w:rPr>
          <w:rFonts w:ascii="Times New Roman" w:hAnsi="Times New Roman"/>
          <w:noProof/>
          <w:kern w:val="0"/>
          <w:sz w:val="24"/>
        </w:rPr>
        <w:t>, 1014 (1962).</w:t>
      </w:r>
    </w:p>
    <w:p w14:paraId="58901991"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27)</w:t>
      </w:r>
      <w:r w:rsidRPr="005A536D">
        <w:rPr>
          <w:rFonts w:ascii="Times New Roman" w:hAnsi="Times New Roman"/>
          <w:noProof/>
          <w:kern w:val="0"/>
          <w:sz w:val="24"/>
        </w:rPr>
        <w:tab/>
        <w:t xml:space="preserve">M. Nagasawa, S. Shionoya and S. Makishima, Jpn. J. Appl. Phys. </w:t>
      </w:r>
      <w:r w:rsidRPr="005A536D">
        <w:rPr>
          <w:rFonts w:ascii="Times New Roman" w:hAnsi="Times New Roman"/>
          <w:b/>
          <w:bCs/>
          <w:noProof/>
          <w:kern w:val="0"/>
          <w:sz w:val="24"/>
        </w:rPr>
        <w:t>4</w:t>
      </w:r>
      <w:r w:rsidRPr="005A536D">
        <w:rPr>
          <w:rFonts w:ascii="Times New Roman" w:hAnsi="Times New Roman"/>
          <w:noProof/>
          <w:kern w:val="0"/>
          <w:sz w:val="24"/>
        </w:rPr>
        <w:t>, 195 (1965).</w:t>
      </w:r>
    </w:p>
    <w:p w14:paraId="2B31B701"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28)</w:t>
      </w:r>
      <w:r w:rsidRPr="005A536D">
        <w:rPr>
          <w:rFonts w:ascii="Times New Roman" w:hAnsi="Times New Roman"/>
          <w:noProof/>
          <w:kern w:val="0"/>
          <w:sz w:val="24"/>
        </w:rPr>
        <w:tab/>
        <w:t xml:space="preserve">H. F. Kunkle and E. E. Kohnke, J. Appl. Phys. </w:t>
      </w:r>
      <w:r w:rsidRPr="005A536D">
        <w:rPr>
          <w:rFonts w:ascii="Times New Roman" w:hAnsi="Times New Roman"/>
          <w:b/>
          <w:bCs/>
          <w:noProof/>
          <w:kern w:val="0"/>
          <w:sz w:val="24"/>
        </w:rPr>
        <w:t>36</w:t>
      </w:r>
      <w:r w:rsidRPr="005A536D">
        <w:rPr>
          <w:rFonts w:ascii="Times New Roman" w:hAnsi="Times New Roman"/>
          <w:noProof/>
          <w:kern w:val="0"/>
          <w:sz w:val="24"/>
        </w:rPr>
        <w:t>, 1489 (1965).</w:t>
      </w:r>
    </w:p>
    <w:p w14:paraId="2D466759"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29)</w:t>
      </w:r>
      <w:r w:rsidRPr="005A536D">
        <w:rPr>
          <w:rFonts w:ascii="Times New Roman" w:hAnsi="Times New Roman"/>
          <w:noProof/>
          <w:kern w:val="0"/>
          <w:sz w:val="24"/>
        </w:rPr>
        <w:tab/>
        <w:t xml:space="preserve">C. G. Fonstad, A. Linz and R. H. Rediker, J. Electrochem. Soc. </w:t>
      </w:r>
      <w:r w:rsidRPr="005A536D">
        <w:rPr>
          <w:rFonts w:ascii="Times New Roman" w:hAnsi="Times New Roman"/>
          <w:b/>
          <w:bCs/>
          <w:noProof/>
          <w:kern w:val="0"/>
          <w:sz w:val="24"/>
        </w:rPr>
        <w:t>116</w:t>
      </w:r>
      <w:r w:rsidRPr="005A536D">
        <w:rPr>
          <w:rFonts w:ascii="Times New Roman" w:hAnsi="Times New Roman"/>
          <w:noProof/>
          <w:kern w:val="0"/>
          <w:sz w:val="24"/>
        </w:rPr>
        <w:t>, 1269 (1969).</w:t>
      </w:r>
    </w:p>
    <w:p w14:paraId="00F78DD7"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30)</w:t>
      </w:r>
      <w:r w:rsidRPr="005A536D">
        <w:rPr>
          <w:rFonts w:ascii="Times New Roman" w:hAnsi="Times New Roman"/>
          <w:noProof/>
          <w:kern w:val="0"/>
          <w:sz w:val="24"/>
        </w:rPr>
        <w:tab/>
        <w:t xml:space="preserve">J. W. Goodrum, J. Cryst. Growth </w:t>
      </w:r>
      <w:r w:rsidRPr="005A536D">
        <w:rPr>
          <w:rFonts w:ascii="Times New Roman" w:hAnsi="Times New Roman"/>
          <w:b/>
          <w:bCs/>
          <w:noProof/>
          <w:kern w:val="0"/>
          <w:sz w:val="24"/>
        </w:rPr>
        <w:t>7</w:t>
      </w:r>
      <w:r w:rsidRPr="005A536D">
        <w:rPr>
          <w:rFonts w:ascii="Times New Roman" w:hAnsi="Times New Roman"/>
          <w:noProof/>
          <w:kern w:val="0"/>
          <w:sz w:val="24"/>
        </w:rPr>
        <w:t>, 254 (1970).</w:t>
      </w:r>
    </w:p>
    <w:p w14:paraId="34090FAD"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31)</w:t>
      </w:r>
      <w:r w:rsidRPr="005A536D">
        <w:rPr>
          <w:rFonts w:ascii="Times New Roman" w:hAnsi="Times New Roman"/>
          <w:noProof/>
          <w:kern w:val="0"/>
          <w:sz w:val="24"/>
        </w:rPr>
        <w:tab/>
        <w:t xml:space="preserve">V. Agafonov, D. Michel, M. Perez y Jorba and M. Fedoroff, Mater. Res. Bull. </w:t>
      </w:r>
      <w:r w:rsidRPr="005A536D">
        <w:rPr>
          <w:rFonts w:ascii="Times New Roman" w:hAnsi="Times New Roman"/>
          <w:b/>
          <w:bCs/>
          <w:noProof/>
          <w:kern w:val="0"/>
          <w:sz w:val="24"/>
        </w:rPr>
        <w:t>19</w:t>
      </w:r>
      <w:r w:rsidRPr="005A536D">
        <w:rPr>
          <w:rFonts w:ascii="Times New Roman" w:hAnsi="Times New Roman"/>
          <w:noProof/>
          <w:kern w:val="0"/>
          <w:sz w:val="24"/>
        </w:rPr>
        <w:t>, 233 (1984).</w:t>
      </w:r>
    </w:p>
    <w:p w14:paraId="5AAB3DE2"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32)</w:t>
      </w:r>
      <w:r w:rsidRPr="005A536D">
        <w:rPr>
          <w:rFonts w:ascii="Times New Roman" w:hAnsi="Times New Roman"/>
          <w:noProof/>
          <w:kern w:val="0"/>
          <w:sz w:val="24"/>
        </w:rPr>
        <w:tab/>
        <w:t xml:space="preserve">Z. Galazka, R. Uecker, D. Klimm, K. Irmscher, M. Pietsch, R. Schewski, M. Albrecht, A. Kwasniewski, S. Ganschow, D. Schulz, C. Guguschev, R. Bertram, M. Bickermann and R. Fornari, Phys. Status Solidi A </w:t>
      </w:r>
      <w:r w:rsidRPr="005A536D">
        <w:rPr>
          <w:rFonts w:ascii="Times New Roman" w:hAnsi="Times New Roman"/>
          <w:b/>
          <w:bCs/>
          <w:noProof/>
          <w:kern w:val="0"/>
          <w:sz w:val="24"/>
        </w:rPr>
        <w:t>211</w:t>
      </w:r>
      <w:r w:rsidRPr="005A536D">
        <w:rPr>
          <w:rFonts w:ascii="Times New Roman" w:hAnsi="Times New Roman"/>
          <w:noProof/>
          <w:kern w:val="0"/>
          <w:sz w:val="24"/>
        </w:rPr>
        <w:t>, 66 (2014).</w:t>
      </w:r>
    </w:p>
    <w:p w14:paraId="7671EADE"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33)</w:t>
      </w:r>
      <w:r w:rsidRPr="005A536D">
        <w:rPr>
          <w:rFonts w:ascii="Times New Roman" w:hAnsi="Times New Roman"/>
          <w:noProof/>
          <w:kern w:val="0"/>
          <w:sz w:val="24"/>
        </w:rPr>
        <w:tab/>
        <w:t xml:space="preserve">S. Chae, L. A. Pressley, H. Paik, J. Gim, D. Werder, B. H. Goodge, L. F. Kourkoutis, R. Hovden, T. M. McQueen, E. Kioupakis and J. T. Heron, J. Vac. Sci. Technol. A </w:t>
      </w:r>
      <w:r w:rsidRPr="005A536D">
        <w:rPr>
          <w:rFonts w:ascii="Times New Roman" w:hAnsi="Times New Roman"/>
          <w:b/>
          <w:bCs/>
          <w:noProof/>
          <w:kern w:val="0"/>
          <w:sz w:val="24"/>
        </w:rPr>
        <w:t>40</w:t>
      </w:r>
      <w:r w:rsidRPr="005A536D">
        <w:rPr>
          <w:rFonts w:ascii="Times New Roman" w:hAnsi="Times New Roman"/>
          <w:noProof/>
          <w:kern w:val="0"/>
          <w:sz w:val="24"/>
        </w:rPr>
        <w:t>, 050401 (2022).</w:t>
      </w:r>
    </w:p>
    <w:p w14:paraId="0B4C2E0E"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34)</w:t>
      </w:r>
      <w:r w:rsidRPr="005A536D">
        <w:rPr>
          <w:rFonts w:ascii="Times New Roman" w:hAnsi="Times New Roman"/>
          <w:noProof/>
          <w:kern w:val="0"/>
          <w:sz w:val="24"/>
        </w:rPr>
        <w:tab/>
        <w:t xml:space="preserve">J. E. Dominguez, X. Q. Pan, L. Fu, P. A. Van Rompay, Z. Zhang, J. A. Nees and P. P. Pronko, J. Appl. Phys. </w:t>
      </w:r>
      <w:r w:rsidRPr="005A536D">
        <w:rPr>
          <w:rFonts w:ascii="Times New Roman" w:hAnsi="Times New Roman"/>
          <w:b/>
          <w:bCs/>
          <w:noProof/>
          <w:kern w:val="0"/>
          <w:sz w:val="24"/>
        </w:rPr>
        <w:t>91</w:t>
      </w:r>
      <w:r w:rsidRPr="005A536D">
        <w:rPr>
          <w:rFonts w:ascii="Times New Roman" w:hAnsi="Times New Roman"/>
          <w:noProof/>
          <w:kern w:val="0"/>
          <w:sz w:val="24"/>
        </w:rPr>
        <w:t>, 1060 (2002).</w:t>
      </w:r>
    </w:p>
    <w:p w14:paraId="048F75AE"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35)</w:t>
      </w:r>
      <w:r w:rsidRPr="005A536D">
        <w:rPr>
          <w:rFonts w:ascii="Times New Roman" w:hAnsi="Times New Roman"/>
          <w:noProof/>
          <w:kern w:val="0"/>
          <w:sz w:val="24"/>
        </w:rPr>
        <w:tab/>
        <w:t xml:space="preserve">T. Okuno, T. Oshima, S. D. Lee and S. Fujita, Phys. Status Solidi C </w:t>
      </w:r>
      <w:r w:rsidRPr="005A536D">
        <w:rPr>
          <w:rFonts w:ascii="Times New Roman" w:hAnsi="Times New Roman"/>
          <w:b/>
          <w:bCs/>
          <w:noProof/>
          <w:kern w:val="0"/>
          <w:sz w:val="24"/>
        </w:rPr>
        <w:t>8</w:t>
      </w:r>
      <w:r w:rsidRPr="005A536D">
        <w:rPr>
          <w:rFonts w:ascii="Times New Roman" w:hAnsi="Times New Roman"/>
          <w:noProof/>
          <w:kern w:val="0"/>
          <w:sz w:val="24"/>
        </w:rPr>
        <w:t>, 540 (2011).</w:t>
      </w:r>
    </w:p>
    <w:p w14:paraId="0EA2363B"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36)</w:t>
      </w:r>
      <w:r w:rsidRPr="005A536D">
        <w:rPr>
          <w:rFonts w:ascii="Times New Roman" w:hAnsi="Times New Roman"/>
          <w:noProof/>
          <w:kern w:val="0"/>
          <w:sz w:val="24"/>
        </w:rPr>
        <w:tab/>
        <w:t xml:space="preserve">S. K. V. Farahani, T. D. Veal, A. M. Sanchez, O. Bierwagen, M. E. White, S. Gorfman, P. A. Thomas, J. S. Speck and C. F. Mcconville, Phys. Rev. B </w:t>
      </w:r>
      <w:r w:rsidRPr="005A536D">
        <w:rPr>
          <w:rFonts w:ascii="Times New Roman" w:hAnsi="Times New Roman"/>
          <w:b/>
          <w:bCs/>
          <w:noProof/>
          <w:kern w:val="0"/>
          <w:sz w:val="24"/>
        </w:rPr>
        <w:t>86</w:t>
      </w:r>
      <w:r w:rsidRPr="005A536D">
        <w:rPr>
          <w:rFonts w:ascii="Times New Roman" w:hAnsi="Times New Roman"/>
          <w:noProof/>
          <w:kern w:val="0"/>
          <w:sz w:val="24"/>
        </w:rPr>
        <w:t>, 245315 (2012).</w:t>
      </w:r>
    </w:p>
    <w:p w14:paraId="00073ABF"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37)</w:t>
      </w:r>
      <w:r w:rsidRPr="005A536D">
        <w:rPr>
          <w:rFonts w:ascii="Times New Roman" w:hAnsi="Times New Roman"/>
          <w:noProof/>
          <w:kern w:val="0"/>
          <w:sz w:val="24"/>
        </w:rPr>
        <w:tab/>
        <w:t xml:space="preserve">G. Deng, K. Saito, T. Tanaka, M. Arita and Q. Guo, Appl. Phys. Lett. </w:t>
      </w:r>
      <w:r w:rsidRPr="005A536D">
        <w:rPr>
          <w:rFonts w:ascii="Times New Roman" w:hAnsi="Times New Roman"/>
          <w:b/>
          <w:bCs/>
          <w:noProof/>
          <w:kern w:val="0"/>
          <w:sz w:val="24"/>
        </w:rPr>
        <w:t>119</w:t>
      </w:r>
      <w:r w:rsidRPr="005A536D">
        <w:rPr>
          <w:rFonts w:ascii="Times New Roman" w:hAnsi="Times New Roman"/>
          <w:noProof/>
          <w:kern w:val="0"/>
          <w:sz w:val="24"/>
        </w:rPr>
        <w:t>, 182101 (2021).</w:t>
      </w:r>
    </w:p>
    <w:p w14:paraId="3065658A"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38)</w:t>
      </w:r>
      <w:r w:rsidRPr="005A536D">
        <w:rPr>
          <w:rFonts w:ascii="Times New Roman" w:hAnsi="Times New Roman"/>
          <w:noProof/>
          <w:kern w:val="0"/>
          <w:sz w:val="24"/>
        </w:rPr>
        <w:tab/>
        <w:t xml:space="preserve">G. Deng, Y. Huang, Z. Chen, K. Saito, T. Tanaka, M. Arita and Q. Guo, Mater. Lett. </w:t>
      </w:r>
      <w:r w:rsidRPr="005A536D">
        <w:rPr>
          <w:rFonts w:ascii="Times New Roman" w:hAnsi="Times New Roman"/>
          <w:b/>
          <w:bCs/>
          <w:noProof/>
          <w:kern w:val="0"/>
          <w:sz w:val="24"/>
        </w:rPr>
        <w:lastRenderedPageBreak/>
        <w:t>326</w:t>
      </w:r>
      <w:r w:rsidRPr="005A536D">
        <w:rPr>
          <w:rFonts w:ascii="Times New Roman" w:hAnsi="Times New Roman"/>
          <w:noProof/>
          <w:kern w:val="0"/>
          <w:sz w:val="24"/>
        </w:rPr>
        <w:t>, 132945 (2022).</w:t>
      </w:r>
    </w:p>
    <w:p w14:paraId="3CF522CC"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39)</w:t>
      </w:r>
      <w:r w:rsidRPr="005A536D">
        <w:rPr>
          <w:rFonts w:ascii="Times New Roman" w:hAnsi="Times New Roman"/>
          <w:noProof/>
          <w:kern w:val="0"/>
          <w:sz w:val="24"/>
        </w:rPr>
        <w:tab/>
        <w:t xml:space="preserve">H. Wakabayashi, T. Suzuki, Y. Iwazaki and M. Fujimoto, Jpn. J. Appl. Phys. </w:t>
      </w:r>
      <w:r w:rsidRPr="005A536D">
        <w:rPr>
          <w:rFonts w:ascii="Times New Roman" w:hAnsi="Times New Roman"/>
          <w:b/>
          <w:bCs/>
          <w:noProof/>
          <w:kern w:val="0"/>
          <w:sz w:val="24"/>
        </w:rPr>
        <w:t>40</w:t>
      </w:r>
      <w:r w:rsidRPr="005A536D">
        <w:rPr>
          <w:rFonts w:ascii="Times New Roman" w:hAnsi="Times New Roman"/>
          <w:noProof/>
          <w:kern w:val="0"/>
          <w:sz w:val="24"/>
        </w:rPr>
        <w:t>, 6081 (2001).</w:t>
      </w:r>
    </w:p>
    <w:p w14:paraId="2344AE0C"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40)</w:t>
      </w:r>
      <w:r w:rsidRPr="005A536D">
        <w:rPr>
          <w:rFonts w:ascii="Times New Roman" w:hAnsi="Times New Roman"/>
          <w:noProof/>
          <w:kern w:val="0"/>
          <w:sz w:val="24"/>
        </w:rPr>
        <w:tab/>
        <w:t xml:space="preserve">M. Y. Tsai, M. E. White and J. S. Speck, J. Cryst. Growth </w:t>
      </w:r>
      <w:r w:rsidRPr="005A536D">
        <w:rPr>
          <w:rFonts w:ascii="Times New Roman" w:hAnsi="Times New Roman"/>
          <w:b/>
          <w:bCs/>
          <w:noProof/>
          <w:kern w:val="0"/>
          <w:sz w:val="24"/>
        </w:rPr>
        <w:t>310</w:t>
      </w:r>
      <w:r w:rsidRPr="005A536D">
        <w:rPr>
          <w:rFonts w:ascii="Times New Roman" w:hAnsi="Times New Roman"/>
          <w:noProof/>
          <w:kern w:val="0"/>
          <w:sz w:val="24"/>
        </w:rPr>
        <w:t>, 4256 (2008).</w:t>
      </w:r>
    </w:p>
    <w:p w14:paraId="1CD5D635"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41)</w:t>
      </w:r>
      <w:r w:rsidRPr="005A536D">
        <w:rPr>
          <w:rFonts w:ascii="Times New Roman" w:hAnsi="Times New Roman"/>
          <w:noProof/>
          <w:kern w:val="0"/>
          <w:sz w:val="24"/>
        </w:rPr>
        <w:tab/>
        <w:t xml:space="preserve">M. Fukumoto, S. Nakao, K. Shigematsu, D. Ogawa, K. Morikawa, Y. Hirose and T. Hasegawa, Sci. Rep. </w:t>
      </w:r>
      <w:r w:rsidRPr="005A536D">
        <w:rPr>
          <w:rFonts w:ascii="Times New Roman" w:hAnsi="Times New Roman"/>
          <w:b/>
          <w:bCs/>
          <w:noProof/>
          <w:kern w:val="0"/>
          <w:sz w:val="24"/>
        </w:rPr>
        <w:t>10</w:t>
      </w:r>
      <w:r w:rsidRPr="005A536D">
        <w:rPr>
          <w:rFonts w:ascii="Times New Roman" w:hAnsi="Times New Roman"/>
          <w:noProof/>
          <w:kern w:val="0"/>
          <w:sz w:val="24"/>
        </w:rPr>
        <w:t>, 6844 (2020).</w:t>
      </w:r>
    </w:p>
    <w:p w14:paraId="52876C8B"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42)</w:t>
      </w:r>
      <w:r w:rsidRPr="005A536D">
        <w:rPr>
          <w:rFonts w:ascii="Times New Roman" w:hAnsi="Times New Roman"/>
          <w:noProof/>
          <w:kern w:val="0"/>
          <w:sz w:val="24"/>
        </w:rPr>
        <w:tab/>
        <w:t xml:space="preserve">T. Z. Win, K. Inaba, S. Kobayashi, Y. Kanetake and Y. Nakamura, Trans. Mater. Res. Soc. Japan </w:t>
      </w:r>
      <w:r w:rsidRPr="005A536D">
        <w:rPr>
          <w:rFonts w:ascii="Times New Roman" w:hAnsi="Times New Roman"/>
          <w:b/>
          <w:bCs/>
          <w:noProof/>
          <w:kern w:val="0"/>
          <w:sz w:val="24"/>
        </w:rPr>
        <w:t>45</w:t>
      </w:r>
      <w:r w:rsidRPr="005A536D">
        <w:rPr>
          <w:rFonts w:ascii="Times New Roman" w:hAnsi="Times New Roman"/>
          <w:noProof/>
          <w:kern w:val="0"/>
          <w:sz w:val="24"/>
        </w:rPr>
        <w:t>, 173 (2020).</w:t>
      </w:r>
    </w:p>
    <w:p w14:paraId="305C00AA"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43)</w:t>
      </w:r>
      <w:r w:rsidRPr="005A536D">
        <w:rPr>
          <w:rFonts w:ascii="Times New Roman" w:hAnsi="Times New Roman"/>
          <w:noProof/>
          <w:kern w:val="0"/>
          <w:sz w:val="24"/>
        </w:rPr>
        <w:tab/>
        <w:t xml:space="preserve">H. Takane and K. Kaneko, Appl. Phys. Lett. </w:t>
      </w:r>
      <w:r w:rsidRPr="005A536D">
        <w:rPr>
          <w:rFonts w:ascii="Times New Roman" w:hAnsi="Times New Roman"/>
          <w:b/>
          <w:bCs/>
          <w:noProof/>
          <w:kern w:val="0"/>
          <w:sz w:val="24"/>
        </w:rPr>
        <w:t>119</w:t>
      </w:r>
      <w:r w:rsidRPr="005A536D">
        <w:rPr>
          <w:rFonts w:ascii="Times New Roman" w:hAnsi="Times New Roman"/>
          <w:noProof/>
          <w:kern w:val="0"/>
          <w:sz w:val="24"/>
        </w:rPr>
        <w:t>, 062104 (2021).</w:t>
      </w:r>
    </w:p>
    <w:p w14:paraId="54925060"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44)</w:t>
      </w:r>
      <w:r w:rsidRPr="005A536D">
        <w:rPr>
          <w:rFonts w:ascii="Times New Roman" w:hAnsi="Times New Roman"/>
          <w:noProof/>
          <w:kern w:val="0"/>
          <w:sz w:val="24"/>
        </w:rPr>
        <w:tab/>
        <w:t xml:space="preserve">A. Usui, H. Sunakawa, A. Sakai and A. A. Yamaguchi, Jpn. J. Appl. Phys. </w:t>
      </w:r>
      <w:r w:rsidRPr="005A536D">
        <w:rPr>
          <w:rFonts w:ascii="Times New Roman" w:hAnsi="Times New Roman"/>
          <w:b/>
          <w:bCs/>
          <w:noProof/>
          <w:kern w:val="0"/>
          <w:sz w:val="24"/>
        </w:rPr>
        <w:t>36</w:t>
      </w:r>
      <w:r w:rsidRPr="005A536D">
        <w:rPr>
          <w:rFonts w:ascii="Times New Roman" w:hAnsi="Times New Roman"/>
          <w:noProof/>
          <w:kern w:val="0"/>
          <w:sz w:val="24"/>
        </w:rPr>
        <w:t>, L899 (1997).</w:t>
      </w:r>
    </w:p>
    <w:p w14:paraId="0C224BD2"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45)</w:t>
      </w:r>
      <w:r w:rsidRPr="005A536D">
        <w:rPr>
          <w:rFonts w:ascii="Times New Roman" w:hAnsi="Times New Roman"/>
          <w:noProof/>
          <w:kern w:val="0"/>
          <w:sz w:val="24"/>
        </w:rPr>
        <w:tab/>
        <w:t xml:space="preserve">O.-H. Nam, M. D. Bremser, T. S. Zhelava and R. F. Davis, Appl. Phys. Lett. </w:t>
      </w:r>
      <w:r w:rsidRPr="005A536D">
        <w:rPr>
          <w:rFonts w:ascii="Times New Roman" w:hAnsi="Times New Roman"/>
          <w:b/>
          <w:bCs/>
          <w:noProof/>
          <w:kern w:val="0"/>
          <w:sz w:val="24"/>
        </w:rPr>
        <w:t>482</w:t>
      </w:r>
      <w:r w:rsidRPr="005A536D">
        <w:rPr>
          <w:rFonts w:ascii="Times New Roman" w:hAnsi="Times New Roman"/>
          <w:noProof/>
          <w:kern w:val="0"/>
          <w:sz w:val="24"/>
        </w:rPr>
        <w:t>, 2638 (1997).</w:t>
      </w:r>
    </w:p>
    <w:p w14:paraId="1AC35BB5"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46)</w:t>
      </w:r>
      <w:r w:rsidRPr="005A536D">
        <w:rPr>
          <w:rFonts w:ascii="Times New Roman" w:hAnsi="Times New Roman"/>
          <w:noProof/>
          <w:kern w:val="0"/>
          <w:sz w:val="24"/>
        </w:rPr>
        <w:tab/>
        <w:t xml:space="preserve">Y. Oshima, K. Kawara, T. Shinohe, T. Hitora, M. Kasu and S. Fujita, APL Mater. </w:t>
      </w:r>
      <w:r w:rsidRPr="005A536D">
        <w:rPr>
          <w:rFonts w:ascii="Times New Roman" w:hAnsi="Times New Roman"/>
          <w:b/>
          <w:bCs/>
          <w:noProof/>
          <w:kern w:val="0"/>
          <w:sz w:val="24"/>
        </w:rPr>
        <w:t>7</w:t>
      </w:r>
      <w:r w:rsidRPr="005A536D">
        <w:rPr>
          <w:rFonts w:ascii="Times New Roman" w:hAnsi="Times New Roman"/>
          <w:noProof/>
          <w:kern w:val="0"/>
          <w:sz w:val="24"/>
        </w:rPr>
        <w:t>, 022503 (2019).</w:t>
      </w:r>
    </w:p>
    <w:p w14:paraId="53A1ECDE"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47)</w:t>
      </w:r>
      <w:r w:rsidRPr="005A536D">
        <w:rPr>
          <w:rFonts w:ascii="Times New Roman" w:hAnsi="Times New Roman"/>
          <w:noProof/>
          <w:kern w:val="0"/>
          <w:sz w:val="24"/>
        </w:rPr>
        <w:tab/>
        <w:t xml:space="preserve">R. Jinno, N. Yoshimura, K. Kaneko and S. Fujita, Jpn. J. Appl. Phys. </w:t>
      </w:r>
      <w:r w:rsidRPr="005A536D">
        <w:rPr>
          <w:rFonts w:ascii="Times New Roman" w:hAnsi="Times New Roman"/>
          <w:b/>
          <w:bCs/>
          <w:noProof/>
          <w:kern w:val="0"/>
          <w:sz w:val="24"/>
        </w:rPr>
        <w:t>58</w:t>
      </w:r>
      <w:r w:rsidRPr="005A536D">
        <w:rPr>
          <w:rFonts w:ascii="Times New Roman" w:hAnsi="Times New Roman"/>
          <w:noProof/>
          <w:kern w:val="0"/>
          <w:sz w:val="24"/>
        </w:rPr>
        <w:t>, 120912 (2019).</w:t>
      </w:r>
    </w:p>
    <w:p w14:paraId="0608F0BF"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48)</w:t>
      </w:r>
      <w:r w:rsidRPr="005A536D">
        <w:rPr>
          <w:rFonts w:ascii="Times New Roman" w:hAnsi="Times New Roman"/>
          <w:noProof/>
          <w:kern w:val="0"/>
          <w:sz w:val="24"/>
        </w:rPr>
        <w:tab/>
        <w:t xml:space="preserve">M. Ramamoorthy, D. Vanderbilt and R. D. King-Smith, Phys. Rev. B </w:t>
      </w:r>
      <w:r w:rsidRPr="005A536D">
        <w:rPr>
          <w:rFonts w:ascii="Times New Roman" w:hAnsi="Times New Roman"/>
          <w:b/>
          <w:bCs/>
          <w:noProof/>
          <w:kern w:val="0"/>
          <w:sz w:val="24"/>
        </w:rPr>
        <w:t>49</w:t>
      </w:r>
      <w:r w:rsidRPr="005A536D">
        <w:rPr>
          <w:rFonts w:ascii="Times New Roman" w:hAnsi="Times New Roman"/>
          <w:noProof/>
          <w:kern w:val="0"/>
          <w:sz w:val="24"/>
        </w:rPr>
        <w:t>, 16721 (1994).</w:t>
      </w:r>
    </w:p>
    <w:p w14:paraId="200878AD"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49)</w:t>
      </w:r>
      <w:r w:rsidRPr="005A536D">
        <w:rPr>
          <w:rFonts w:ascii="Times New Roman" w:hAnsi="Times New Roman"/>
          <w:noProof/>
          <w:kern w:val="0"/>
          <w:sz w:val="24"/>
        </w:rPr>
        <w:tab/>
        <w:t xml:space="preserve">A. Beltrán, J. Andrés, J. R. Sambrano and E. Longo, J. Phys. Chem. A </w:t>
      </w:r>
      <w:r w:rsidRPr="005A536D">
        <w:rPr>
          <w:rFonts w:ascii="Times New Roman" w:hAnsi="Times New Roman"/>
          <w:b/>
          <w:bCs/>
          <w:noProof/>
          <w:kern w:val="0"/>
          <w:sz w:val="24"/>
        </w:rPr>
        <w:t>112</w:t>
      </w:r>
      <w:r w:rsidRPr="005A536D">
        <w:rPr>
          <w:rFonts w:ascii="Times New Roman" w:hAnsi="Times New Roman"/>
          <w:noProof/>
          <w:kern w:val="0"/>
          <w:sz w:val="24"/>
        </w:rPr>
        <w:t>, 8943 (2008).</w:t>
      </w:r>
    </w:p>
    <w:p w14:paraId="000A3B8D"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50)</w:t>
      </w:r>
      <w:r w:rsidRPr="005A536D">
        <w:rPr>
          <w:rFonts w:ascii="Times New Roman" w:hAnsi="Times New Roman"/>
          <w:noProof/>
          <w:kern w:val="0"/>
          <w:sz w:val="24"/>
        </w:rPr>
        <w:tab/>
        <w:t xml:space="preserve">J. A. S. Laranjeira, S. A. Azevedo, G. S. L. Fabris, A. R. Albuquerque, M. M. Ferrer and J. R. Sambrano, Appl. Surf. Sci. </w:t>
      </w:r>
      <w:r w:rsidRPr="005A536D">
        <w:rPr>
          <w:rFonts w:ascii="Times New Roman" w:hAnsi="Times New Roman"/>
          <w:b/>
          <w:bCs/>
          <w:noProof/>
          <w:kern w:val="0"/>
          <w:sz w:val="24"/>
        </w:rPr>
        <w:t>609</w:t>
      </w:r>
      <w:r w:rsidRPr="005A536D">
        <w:rPr>
          <w:rFonts w:ascii="Times New Roman" w:hAnsi="Times New Roman"/>
          <w:noProof/>
          <w:kern w:val="0"/>
          <w:sz w:val="24"/>
        </w:rPr>
        <w:t>, 155321 (2023).</w:t>
      </w:r>
    </w:p>
    <w:p w14:paraId="239B3444"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51)</w:t>
      </w:r>
      <w:r w:rsidRPr="005A536D">
        <w:rPr>
          <w:rFonts w:ascii="Times New Roman" w:hAnsi="Times New Roman"/>
          <w:noProof/>
          <w:kern w:val="0"/>
          <w:sz w:val="24"/>
        </w:rPr>
        <w:tab/>
        <w:t xml:space="preserve">W. H. Baur and A. A. Khan, Acta Crystallogr. Sect. B </w:t>
      </w:r>
      <w:r w:rsidRPr="005A536D">
        <w:rPr>
          <w:rFonts w:ascii="Times New Roman" w:hAnsi="Times New Roman"/>
          <w:b/>
          <w:bCs/>
          <w:noProof/>
          <w:kern w:val="0"/>
          <w:sz w:val="24"/>
        </w:rPr>
        <w:t>27</w:t>
      </w:r>
      <w:r w:rsidRPr="005A536D">
        <w:rPr>
          <w:rFonts w:ascii="Times New Roman" w:hAnsi="Times New Roman"/>
          <w:noProof/>
          <w:kern w:val="0"/>
          <w:sz w:val="24"/>
        </w:rPr>
        <w:t>, 2133 (1971).</w:t>
      </w:r>
    </w:p>
    <w:p w14:paraId="1430D658"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52)</w:t>
      </w:r>
      <w:r w:rsidRPr="005A536D">
        <w:rPr>
          <w:rFonts w:ascii="Times New Roman" w:hAnsi="Times New Roman"/>
          <w:noProof/>
          <w:kern w:val="0"/>
          <w:sz w:val="24"/>
        </w:rPr>
        <w:tab/>
        <w:t xml:space="preserve">R. K. Ham, Philos. Mag. </w:t>
      </w:r>
      <w:r w:rsidRPr="005A536D">
        <w:rPr>
          <w:rFonts w:ascii="Times New Roman" w:hAnsi="Times New Roman"/>
          <w:b/>
          <w:bCs/>
          <w:noProof/>
          <w:kern w:val="0"/>
          <w:sz w:val="24"/>
        </w:rPr>
        <w:t>6</w:t>
      </w:r>
      <w:r w:rsidRPr="005A536D">
        <w:rPr>
          <w:rFonts w:ascii="Times New Roman" w:hAnsi="Times New Roman"/>
          <w:noProof/>
          <w:kern w:val="0"/>
          <w:sz w:val="24"/>
        </w:rPr>
        <w:t>, 1183 (1961).</w:t>
      </w:r>
    </w:p>
    <w:p w14:paraId="309BB394"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kern w:val="0"/>
          <w:sz w:val="24"/>
        </w:rPr>
      </w:pPr>
      <w:r w:rsidRPr="005A536D">
        <w:rPr>
          <w:rFonts w:ascii="Times New Roman" w:hAnsi="Times New Roman"/>
          <w:noProof/>
          <w:kern w:val="0"/>
          <w:sz w:val="24"/>
        </w:rPr>
        <w:t>53)</w:t>
      </w:r>
      <w:r w:rsidRPr="005A536D">
        <w:rPr>
          <w:rFonts w:ascii="Times New Roman" w:hAnsi="Times New Roman"/>
          <w:noProof/>
          <w:kern w:val="0"/>
          <w:sz w:val="24"/>
        </w:rPr>
        <w:tab/>
        <w:t xml:space="preserve">P. Vennéguès, B. Beaumont, V. Bousquet, M. Vaille and P. Gibart, J. Appl. Phys. </w:t>
      </w:r>
      <w:r w:rsidRPr="005A536D">
        <w:rPr>
          <w:rFonts w:ascii="Times New Roman" w:hAnsi="Times New Roman"/>
          <w:b/>
          <w:bCs/>
          <w:noProof/>
          <w:kern w:val="0"/>
          <w:sz w:val="24"/>
        </w:rPr>
        <w:t>87</w:t>
      </w:r>
      <w:r w:rsidRPr="005A536D">
        <w:rPr>
          <w:rFonts w:ascii="Times New Roman" w:hAnsi="Times New Roman"/>
          <w:noProof/>
          <w:kern w:val="0"/>
          <w:sz w:val="24"/>
        </w:rPr>
        <w:t>, 4175 (2000).</w:t>
      </w:r>
    </w:p>
    <w:p w14:paraId="604504CA" w14:textId="77777777" w:rsidR="004C0FAD" w:rsidRPr="005A536D" w:rsidRDefault="004C0FAD" w:rsidP="004C0FAD">
      <w:pPr>
        <w:autoSpaceDE w:val="0"/>
        <w:autoSpaceDN w:val="0"/>
        <w:adjustRightInd w:val="0"/>
        <w:spacing w:line="360" w:lineRule="auto"/>
        <w:ind w:left="640" w:hanging="640"/>
        <w:jc w:val="left"/>
        <w:rPr>
          <w:rFonts w:ascii="Times New Roman" w:hAnsi="Times New Roman"/>
          <w:noProof/>
          <w:sz w:val="24"/>
        </w:rPr>
      </w:pPr>
      <w:r w:rsidRPr="005A536D">
        <w:rPr>
          <w:rFonts w:ascii="Times New Roman" w:hAnsi="Times New Roman"/>
          <w:noProof/>
          <w:kern w:val="0"/>
          <w:sz w:val="24"/>
        </w:rPr>
        <w:t>54)</w:t>
      </w:r>
      <w:r w:rsidRPr="005A536D">
        <w:rPr>
          <w:rFonts w:ascii="Times New Roman" w:hAnsi="Times New Roman"/>
          <w:noProof/>
          <w:kern w:val="0"/>
          <w:sz w:val="24"/>
        </w:rPr>
        <w:tab/>
        <w:t xml:space="preserve">S. Gradečak, P. Stadelmann, V. Wagner and M. Ilegems, Appl. Phys. Lett. </w:t>
      </w:r>
      <w:r w:rsidRPr="005A536D">
        <w:rPr>
          <w:rFonts w:ascii="Times New Roman" w:hAnsi="Times New Roman"/>
          <w:b/>
          <w:bCs/>
          <w:noProof/>
          <w:kern w:val="0"/>
          <w:sz w:val="24"/>
        </w:rPr>
        <w:t>85</w:t>
      </w:r>
      <w:r w:rsidRPr="005A536D">
        <w:rPr>
          <w:rFonts w:ascii="Times New Roman" w:hAnsi="Times New Roman"/>
          <w:noProof/>
          <w:kern w:val="0"/>
          <w:sz w:val="24"/>
        </w:rPr>
        <w:t>, 4648 (2004).</w:t>
      </w:r>
    </w:p>
    <w:p w14:paraId="26B18259" w14:textId="55C3744C" w:rsidR="005464B6" w:rsidRPr="005A536D" w:rsidRDefault="00913520" w:rsidP="00D60177">
      <w:pPr>
        <w:pStyle w:val="References"/>
        <w:numPr>
          <w:ilvl w:val="0"/>
          <w:numId w:val="0"/>
        </w:numPr>
        <w:spacing w:line="360" w:lineRule="auto"/>
        <w:rPr>
          <w:rFonts w:eastAsiaTheme="minorEastAsia"/>
          <w:sz w:val="24"/>
        </w:rPr>
      </w:pPr>
      <w:r w:rsidRPr="005A536D">
        <w:rPr>
          <w:rFonts w:eastAsiaTheme="minorEastAsia"/>
          <w:sz w:val="24"/>
        </w:rPr>
        <w:fldChar w:fldCharType="end"/>
      </w:r>
      <w:r w:rsidR="005464B6" w:rsidRPr="005A536D">
        <w:rPr>
          <w:rFonts w:eastAsiaTheme="minorEastAsia"/>
          <w:sz w:val="24"/>
        </w:rPr>
        <w:br w:type="page"/>
      </w:r>
    </w:p>
    <w:p w14:paraId="02BDC770" w14:textId="77777777" w:rsidR="00827621" w:rsidRPr="005A536D" w:rsidRDefault="00827621" w:rsidP="00827621">
      <w:pPr>
        <w:spacing w:line="360" w:lineRule="auto"/>
        <w:ind w:right="945"/>
        <w:rPr>
          <w:rFonts w:asciiTheme="majorHAnsi" w:hAnsiTheme="majorHAnsi" w:cstheme="majorHAnsi"/>
          <w:b/>
          <w:sz w:val="24"/>
        </w:rPr>
      </w:pPr>
      <w:r w:rsidRPr="005A536D">
        <w:rPr>
          <w:rFonts w:asciiTheme="majorHAnsi" w:eastAsia="ＭＳ ゴシック" w:hAnsiTheme="majorHAnsi" w:cstheme="majorHAnsi"/>
          <w:b/>
          <w:kern w:val="0"/>
          <w:sz w:val="28"/>
          <w:szCs w:val="28"/>
        </w:rPr>
        <w:lastRenderedPageBreak/>
        <w:t>Figure Captions</w:t>
      </w:r>
    </w:p>
    <w:p w14:paraId="4598BFAC" w14:textId="691D02F4" w:rsidR="00827621" w:rsidRPr="005A536D" w:rsidRDefault="00827621" w:rsidP="00D60177">
      <w:pPr>
        <w:spacing w:line="360" w:lineRule="auto"/>
        <w:ind w:right="-2"/>
        <w:rPr>
          <w:rFonts w:ascii="Times New Roman" w:hAnsi="Times New Roman"/>
          <w:sz w:val="24"/>
        </w:rPr>
      </w:pPr>
      <w:r w:rsidRPr="005A536D">
        <w:rPr>
          <w:rFonts w:ascii="Times New Roman" w:hAnsi="Times New Roman"/>
          <w:b/>
          <w:sz w:val="24"/>
        </w:rPr>
        <w:t>Fig. 1.</w:t>
      </w:r>
      <w:r w:rsidRPr="005A536D">
        <w:rPr>
          <w:rFonts w:ascii="Times New Roman" w:hAnsi="Times New Roman"/>
          <w:sz w:val="24"/>
        </w:rPr>
        <w:t xml:space="preserve"> </w:t>
      </w:r>
      <w:r w:rsidR="00457CC5" w:rsidRPr="005A536D">
        <w:rPr>
          <w:rFonts w:ascii="Times New Roman" w:hAnsi="Times New Roman"/>
          <w:sz w:val="24"/>
        </w:rPr>
        <w:t xml:space="preserve">Plane-view (left) and bird’s-eye-view (right) </w:t>
      </w:r>
      <w:r w:rsidRPr="005A536D">
        <w:rPr>
          <w:rFonts w:ascii="Times New Roman" w:hAnsi="Times New Roman"/>
          <w:sz w:val="24"/>
        </w:rPr>
        <w:t>SEM micrographs of the SAG r-SnO</w:t>
      </w:r>
      <w:r w:rsidRPr="005A536D">
        <w:rPr>
          <w:rFonts w:ascii="Times New Roman" w:hAnsi="Times New Roman"/>
          <w:sz w:val="24"/>
          <w:vertAlign w:val="subscript"/>
        </w:rPr>
        <w:t>2</w:t>
      </w:r>
      <w:r w:rsidRPr="005A536D">
        <w:rPr>
          <w:rFonts w:ascii="Times New Roman" w:hAnsi="Times New Roman"/>
          <w:sz w:val="24"/>
        </w:rPr>
        <w:t xml:space="preserve"> island grown on the </w:t>
      </w:r>
      <w:r w:rsidR="00907152" w:rsidRPr="005A536D">
        <w:rPr>
          <w:rFonts w:ascii="Times New Roman" w:hAnsi="Times New Roman"/>
          <w:sz w:val="24"/>
        </w:rPr>
        <w:t>circular</w:t>
      </w:r>
      <w:r w:rsidRPr="005A536D">
        <w:rPr>
          <w:rFonts w:ascii="Times New Roman" w:hAnsi="Times New Roman"/>
          <w:sz w:val="24"/>
        </w:rPr>
        <w:t xml:space="preserve"> window. </w:t>
      </w:r>
    </w:p>
    <w:p w14:paraId="12F3AB60" w14:textId="29023700" w:rsidR="00827621" w:rsidRPr="005A536D" w:rsidRDefault="00827621" w:rsidP="00827621">
      <w:pPr>
        <w:spacing w:line="360" w:lineRule="auto"/>
        <w:ind w:right="945"/>
        <w:rPr>
          <w:rFonts w:ascii="Times New Roman" w:hAnsi="Times New Roman"/>
          <w:sz w:val="24"/>
        </w:rPr>
      </w:pPr>
    </w:p>
    <w:p w14:paraId="5504CC85" w14:textId="4A36A9E0" w:rsidR="00827621" w:rsidRPr="005A536D" w:rsidRDefault="00827621" w:rsidP="00D60177">
      <w:pPr>
        <w:spacing w:line="360" w:lineRule="auto"/>
        <w:ind w:right="-2"/>
        <w:rPr>
          <w:rFonts w:ascii="Times New Roman" w:hAnsi="Times New Roman"/>
          <w:sz w:val="24"/>
        </w:rPr>
      </w:pPr>
      <w:r w:rsidRPr="005A536D">
        <w:rPr>
          <w:rFonts w:ascii="Times New Roman" w:hAnsi="Times New Roman"/>
          <w:b/>
          <w:sz w:val="24"/>
        </w:rPr>
        <w:t>Fig. 2.</w:t>
      </w:r>
      <w:r w:rsidRPr="005A536D">
        <w:rPr>
          <w:rFonts w:ascii="Times New Roman" w:hAnsi="Times New Roman"/>
          <w:sz w:val="24"/>
        </w:rPr>
        <w:t xml:space="preserve"> Plane-view (above) and bird</w:t>
      </w:r>
      <w:r w:rsidR="00457CC5" w:rsidRPr="005A536D">
        <w:rPr>
          <w:rFonts w:ascii="Times New Roman" w:hAnsi="Times New Roman"/>
          <w:sz w:val="24"/>
        </w:rPr>
        <w:t>’</w:t>
      </w:r>
      <w:r w:rsidRPr="005A536D">
        <w:rPr>
          <w:rFonts w:ascii="Times New Roman" w:hAnsi="Times New Roman"/>
          <w:sz w:val="24"/>
        </w:rPr>
        <w:t>s-eye-view (below) SEM images of SAG r-SnO</w:t>
      </w:r>
      <w:r w:rsidRPr="005A536D">
        <w:rPr>
          <w:rFonts w:ascii="Times New Roman" w:hAnsi="Times New Roman"/>
          <w:sz w:val="24"/>
          <w:vertAlign w:val="subscript"/>
        </w:rPr>
        <w:t>2</w:t>
      </w:r>
      <w:r w:rsidRPr="005A536D">
        <w:rPr>
          <w:rFonts w:ascii="Times New Roman" w:hAnsi="Times New Roman"/>
          <w:sz w:val="24"/>
        </w:rPr>
        <w:t xml:space="preserve"> on </w:t>
      </w:r>
      <w:r w:rsidR="00182C56" w:rsidRPr="005A536D">
        <w:rPr>
          <w:rFonts w:ascii="Times New Roman" w:hAnsi="Times New Roman"/>
          <w:sz w:val="24"/>
        </w:rPr>
        <w:t>striped windows</w:t>
      </w:r>
      <w:r w:rsidRPr="005A536D">
        <w:rPr>
          <w:rFonts w:ascii="Times New Roman" w:hAnsi="Times New Roman"/>
          <w:sz w:val="24"/>
        </w:rPr>
        <w:t xml:space="preserve"> along [001]</w:t>
      </w:r>
      <w:r w:rsidR="00457CC5" w:rsidRPr="005A536D">
        <w:rPr>
          <w:rFonts w:ascii="Times New Roman" w:hAnsi="Times New Roman"/>
          <w:sz w:val="24"/>
        </w:rPr>
        <w:t>,</w:t>
      </w:r>
      <w:r w:rsidRPr="005A536D">
        <w:rPr>
          <w:rFonts w:ascii="Times New Roman" w:hAnsi="Times New Roman"/>
          <w:sz w:val="24"/>
        </w:rPr>
        <w:t xml:space="preserve"> demonstrating growth progression (from left to right).</w:t>
      </w:r>
    </w:p>
    <w:p w14:paraId="01C78626" w14:textId="37BFBFAA" w:rsidR="00827621" w:rsidRPr="005A536D" w:rsidRDefault="00827621" w:rsidP="00827621">
      <w:pPr>
        <w:pStyle w:val="MainText151510"/>
        <w:adjustRightInd w:val="0"/>
        <w:spacing w:line="240" w:lineRule="auto"/>
        <w:ind w:firstLineChars="0" w:firstLine="0"/>
        <w:rPr>
          <w:rFonts w:eastAsiaTheme="minorEastAsia"/>
        </w:rPr>
      </w:pPr>
    </w:p>
    <w:p w14:paraId="5E721A66" w14:textId="4C91A94B" w:rsidR="00827621" w:rsidRPr="005A536D" w:rsidRDefault="00827621" w:rsidP="00827621">
      <w:pPr>
        <w:pStyle w:val="MainText151510"/>
        <w:adjustRightInd w:val="0"/>
        <w:spacing w:line="240" w:lineRule="auto"/>
        <w:ind w:firstLineChars="0" w:firstLine="0"/>
        <w:rPr>
          <w:rFonts w:eastAsiaTheme="minorEastAsia" w:cs="Times New Roman"/>
          <w:szCs w:val="24"/>
        </w:rPr>
      </w:pPr>
      <w:r w:rsidRPr="005A536D">
        <w:rPr>
          <w:rFonts w:eastAsiaTheme="minorEastAsia"/>
          <w:b/>
        </w:rPr>
        <w:t>Fig. 3.</w:t>
      </w:r>
      <w:r w:rsidRPr="005A536D">
        <w:rPr>
          <w:rFonts w:eastAsiaTheme="minorEastAsia"/>
        </w:rPr>
        <w:t xml:space="preserve"> </w:t>
      </w:r>
      <w:bookmarkStart w:id="3" w:name="_Hlk118208694"/>
      <w:r w:rsidRPr="005A536D">
        <w:rPr>
          <w:rFonts w:eastAsiaTheme="minorEastAsia"/>
        </w:rPr>
        <w:t>Plan</w:t>
      </w:r>
      <w:r w:rsidR="00907152" w:rsidRPr="005A536D">
        <w:rPr>
          <w:rFonts w:eastAsiaTheme="minorEastAsia"/>
        </w:rPr>
        <w:t>e-view</w:t>
      </w:r>
      <w:r w:rsidRPr="005A536D">
        <w:rPr>
          <w:rFonts w:eastAsiaTheme="minorEastAsia"/>
        </w:rPr>
        <w:t xml:space="preserve"> (left) and </w:t>
      </w:r>
      <w:r w:rsidR="00907152" w:rsidRPr="005A536D">
        <w:rPr>
          <w:rFonts w:eastAsiaTheme="minorEastAsia"/>
        </w:rPr>
        <w:t>bird’s-eye-view</w:t>
      </w:r>
      <w:r w:rsidRPr="005A536D">
        <w:rPr>
          <w:rFonts w:eastAsiaTheme="minorEastAsia"/>
        </w:rPr>
        <w:t xml:space="preserve"> (right) SEM images of SAG r-SnO</w:t>
      </w:r>
      <w:r w:rsidRPr="005A536D">
        <w:rPr>
          <w:rFonts w:eastAsiaTheme="minorEastAsia"/>
          <w:vertAlign w:val="subscript"/>
        </w:rPr>
        <w:t>2</w:t>
      </w:r>
      <w:r w:rsidRPr="005A536D">
        <w:rPr>
          <w:rFonts w:eastAsiaTheme="minorEastAsia"/>
        </w:rPr>
        <w:t xml:space="preserve"> on </w:t>
      </w:r>
      <w:r w:rsidR="00182C56" w:rsidRPr="005A536D">
        <w:rPr>
          <w:rFonts w:eastAsiaTheme="minorEastAsia"/>
        </w:rPr>
        <w:t>striped windows</w:t>
      </w:r>
      <w:r w:rsidRPr="005A536D">
        <w:rPr>
          <w:rFonts w:eastAsiaTheme="minorEastAsia"/>
        </w:rPr>
        <w:t xml:space="preserve"> along</w:t>
      </w:r>
      <w:r w:rsidR="00457CC5" w:rsidRPr="005A536D">
        <w:rPr>
          <w:rFonts w:eastAsiaTheme="minorEastAsia" w:cs="Times New Roman"/>
          <w:szCs w:val="24"/>
        </w:rPr>
        <w:t xml:space="preserve"> </w:t>
      </w:r>
      <w:r w:rsidRPr="005A536D">
        <w:rPr>
          <w:rFonts w:eastAsiaTheme="minorEastAsia"/>
        </w:rPr>
        <w:t>(a) [001], (b) [</w:t>
      </w:r>
      <w:r w:rsidR="00384520"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384520" w:rsidRPr="005A536D">
        <w:rPr>
          <w:kern w:val="0"/>
        </w:rPr>
        <w:t>1</w:t>
      </w:r>
      <w:r w:rsidRPr="005A536D">
        <w:rPr>
          <w:rFonts w:eastAsiaTheme="minorEastAsia"/>
        </w:rPr>
        <w:t xml:space="preserve">], and (c) </w:t>
      </w:r>
      <w:r w:rsidR="00D60177" w:rsidRPr="005A536D">
        <w:rPr>
          <w:rFonts w:eastAsiaTheme="minorEastAsia"/>
        </w:rPr>
        <w:t>[</w:t>
      </w:r>
      <w:r w:rsidR="00384520" w:rsidRPr="005A536D">
        <w:rPr>
          <w:kern w:val="0"/>
        </w:rPr>
        <w:t>1</w:t>
      </w:r>
      <m:oMath>
        <m:bar>
          <m:barPr>
            <m:pos m:val="top"/>
            <m:ctrlPr>
              <w:rPr>
                <w:rFonts w:ascii="Cambria Math" w:hAnsi="Cambria Math"/>
                <w:kern w:val="0"/>
                <w:lang w:val="en" w:eastAsia="en-US"/>
              </w:rPr>
            </m:ctrlPr>
          </m:barPr>
          <m:e>
            <m:r>
              <m:rPr>
                <m:sty m:val="p"/>
              </m:rPr>
              <w:rPr>
                <w:rFonts w:ascii="Cambria Math" w:hAnsi="Cambria Math"/>
                <w:kern w:val="0"/>
                <w:lang w:val="en" w:eastAsia="en-US"/>
              </w:rPr>
              <m:t>1</m:t>
            </m:r>
          </m:e>
        </m:bar>
      </m:oMath>
      <w:r w:rsidR="00384520" w:rsidRPr="005A536D">
        <w:rPr>
          <w:kern w:val="0"/>
        </w:rPr>
        <w:t>0</w:t>
      </w:r>
      <w:r w:rsidRPr="005A536D">
        <w:rPr>
          <w:rFonts w:eastAsiaTheme="minorEastAsia"/>
        </w:rPr>
        <w:t>] directions</w:t>
      </w:r>
      <w:bookmarkEnd w:id="3"/>
      <w:r w:rsidRPr="005A536D">
        <w:rPr>
          <w:rFonts w:eastAsiaTheme="minorEastAsia"/>
        </w:rPr>
        <w:t>.</w:t>
      </w:r>
      <w:r w:rsidRPr="005A536D">
        <w:rPr>
          <w:rFonts w:eastAsiaTheme="minorEastAsia" w:cs="Times New Roman"/>
          <w:noProof/>
          <w:szCs w:val="24"/>
        </w:rPr>
        <w:t xml:space="preserve"> </w:t>
      </w:r>
    </w:p>
    <w:p w14:paraId="498B3144" w14:textId="7BEDE16E" w:rsidR="00827621" w:rsidRPr="005A536D" w:rsidRDefault="00827621" w:rsidP="00827621">
      <w:pPr>
        <w:spacing w:line="360" w:lineRule="auto"/>
        <w:ind w:right="945"/>
        <w:rPr>
          <w:rFonts w:ascii="Times New Roman" w:hAnsi="Times New Roman"/>
          <w:sz w:val="24"/>
        </w:rPr>
      </w:pPr>
    </w:p>
    <w:p w14:paraId="7A85797F" w14:textId="7DF60BE5" w:rsidR="00827621" w:rsidRPr="005A536D" w:rsidRDefault="00827621" w:rsidP="00827621">
      <w:pPr>
        <w:pStyle w:val="MainText151510"/>
        <w:adjustRightInd w:val="0"/>
        <w:spacing w:line="240" w:lineRule="auto"/>
        <w:ind w:firstLineChars="0" w:firstLine="0"/>
        <w:rPr>
          <w:rFonts w:eastAsiaTheme="minorEastAsia"/>
        </w:rPr>
      </w:pPr>
      <w:r w:rsidRPr="005A536D">
        <w:rPr>
          <w:rFonts w:eastAsiaTheme="minorEastAsia"/>
          <w:b/>
        </w:rPr>
        <w:t>Fig. 4.</w:t>
      </w:r>
      <w:r w:rsidRPr="005A536D">
        <w:rPr>
          <w:rFonts w:eastAsiaTheme="minorEastAsia"/>
        </w:rPr>
        <w:t xml:space="preserve"> Summary of TEM observations of SAG r-SnO</w:t>
      </w:r>
      <w:r w:rsidRPr="005A536D">
        <w:rPr>
          <w:rFonts w:eastAsiaTheme="minorEastAsia"/>
          <w:vertAlign w:val="subscript"/>
        </w:rPr>
        <w:t>2</w:t>
      </w:r>
      <w:r w:rsidRPr="005A536D">
        <w:rPr>
          <w:rFonts w:eastAsiaTheme="minorEastAsia"/>
        </w:rPr>
        <w:t xml:space="preserve"> on a </w:t>
      </w:r>
      <w:r w:rsidR="00182C56" w:rsidRPr="005A536D">
        <w:rPr>
          <w:rFonts w:eastAsiaTheme="minorEastAsia"/>
        </w:rPr>
        <w:t>striped window</w:t>
      </w:r>
      <w:r w:rsidRPr="005A536D">
        <w:rPr>
          <w:rFonts w:eastAsiaTheme="minorEastAsia"/>
        </w:rPr>
        <w:t xml:space="preserve"> along [001]. (a) SAED</w:t>
      </w:r>
      <w:r w:rsidR="00457CC5" w:rsidRPr="005A536D">
        <w:rPr>
          <w:rFonts w:eastAsiaTheme="minorEastAsia" w:cs="Times New Roman"/>
          <w:szCs w:val="24"/>
        </w:rPr>
        <w:t xml:space="preserve"> and</w:t>
      </w:r>
      <w:r w:rsidRPr="005A536D">
        <w:rPr>
          <w:rFonts w:eastAsiaTheme="minorEastAsia"/>
        </w:rPr>
        <w:t xml:space="preserve"> (b) BF</w:t>
      </w:r>
      <w:r w:rsidRPr="005A536D">
        <w:rPr>
          <w:rFonts w:eastAsiaTheme="minorEastAsia" w:cs="Times New Roman"/>
          <w:szCs w:val="24"/>
        </w:rPr>
        <w:t>-</w:t>
      </w:r>
      <w:r w:rsidRPr="005A536D">
        <w:rPr>
          <w:rFonts w:eastAsiaTheme="minorEastAsia"/>
        </w:rPr>
        <w:t xml:space="preserve"> and (c) DF-TEM images of the SAG r-SnO</w:t>
      </w:r>
      <w:r w:rsidRPr="005A536D">
        <w:rPr>
          <w:rFonts w:eastAsiaTheme="minorEastAsia"/>
          <w:vertAlign w:val="subscript"/>
        </w:rPr>
        <w:t>2</w:t>
      </w:r>
      <w:r w:rsidRPr="005A536D">
        <w:rPr>
          <w:rFonts w:eastAsiaTheme="minorEastAsia"/>
        </w:rPr>
        <w:t>/seed r-TiO</w:t>
      </w:r>
      <w:r w:rsidRPr="005A536D">
        <w:rPr>
          <w:rFonts w:eastAsiaTheme="minorEastAsia"/>
          <w:vertAlign w:val="subscript"/>
        </w:rPr>
        <w:t>2</w:t>
      </w:r>
      <w:r w:rsidRPr="005A536D">
        <w:rPr>
          <w:rFonts w:eastAsiaTheme="minorEastAsia"/>
        </w:rPr>
        <w:t xml:space="preserve"> interface along the [001] zone axis.</w:t>
      </w:r>
      <w:r w:rsidR="000A4A24" w:rsidRPr="005A536D">
        <w:rPr>
          <w:rFonts w:eastAsiaTheme="minorEastAsia"/>
        </w:rPr>
        <w:t xml:space="preserve"> </w:t>
      </w:r>
      <w:r w:rsidR="000A4A24" w:rsidRPr="005A536D">
        <w:rPr>
          <w:szCs w:val="24"/>
        </w:rPr>
        <w:t>The dislocations were more clearly visible in the DF image than in the BF image.</w:t>
      </w:r>
      <w:r w:rsidR="00B45274" w:rsidRPr="005A536D">
        <w:rPr>
          <w:rFonts w:eastAsiaTheme="minorEastAsia"/>
        </w:rPr>
        <w:t xml:space="preserve"> (d) </w:t>
      </w:r>
      <w:bookmarkStart w:id="4" w:name="_Hlk129181928"/>
      <w:r w:rsidR="00B45274" w:rsidRPr="005A536D">
        <w:rPr>
          <w:rFonts w:eastAsiaTheme="minorEastAsia"/>
        </w:rPr>
        <w:t>Schematic</w:t>
      </w:r>
      <w:r w:rsidR="003F4494" w:rsidRPr="005A536D">
        <w:rPr>
          <w:rFonts w:eastAsiaTheme="minorEastAsia"/>
        </w:rPr>
        <w:t xml:space="preserve"> illustration of the TEM images ((b) and (</w:t>
      </w:r>
      <w:r w:rsidR="0021254F" w:rsidRPr="005A536D">
        <w:rPr>
          <w:rFonts w:eastAsiaTheme="minorEastAsia" w:cs="Times New Roman"/>
          <w:szCs w:val="24"/>
        </w:rPr>
        <w:t>c</w:t>
      </w:r>
      <w:r w:rsidR="003F4494" w:rsidRPr="005A536D">
        <w:rPr>
          <w:rFonts w:eastAsiaTheme="minorEastAsia"/>
        </w:rPr>
        <w:t xml:space="preserve">)) showing </w:t>
      </w:r>
      <w:r w:rsidR="00B57EF6" w:rsidRPr="005A536D">
        <w:rPr>
          <w:rFonts w:eastAsiaTheme="minorEastAsia" w:cs="Times New Roman"/>
          <w:szCs w:val="24"/>
        </w:rPr>
        <w:t xml:space="preserve">the mechanism of the </w:t>
      </w:r>
      <w:r w:rsidR="003F4494" w:rsidRPr="005A536D">
        <w:rPr>
          <w:rFonts w:eastAsiaTheme="minorEastAsia"/>
        </w:rPr>
        <w:t>dislocation distribution</w:t>
      </w:r>
      <w:bookmarkEnd w:id="4"/>
      <w:r w:rsidR="00B45274" w:rsidRPr="005A536D">
        <w:rPr>
          <w:rFonts w:eastAsiaTheme="minorEastAsia"/>
        </w:rPr>
        <w:t>.</w:t>
      </w:r>
    </w:p>
    <w:p w14:paraId="6D92EE6D" w14:textId="7477E8A9" w:rsidR="005464B6" w:rsidRPr="005A536D" w:rsidRDefault="005464B6">
      <w:pPr>
        <w:widowControl/>
        <w:jc w:val="left"/>
        <w:rPr>
          <w:rFonts w:ascii="Times New Roman" w:hAnsi="Times New Roman"/>
          <w:sz w:val="24"/>
        </w:rPr>
      </w:pPr>
      <w:r w:rsidRPr="005A536D">
        <w:rPr>
          <w:sz w:val="24"/>
        </w:rPr>
        <w:br w:type="page"/>
      </w:r>
    </w:p>
    <w:p w14:paraId="6146EA35" w14:textId="487BEE3E" w:rsidR="002871E8" w:rsidRPr="00184C9A" w:rsidRDefault="00C546CA" w:rsidP="00515B90">
      <w:pPr>
        <w:pStyle w:val="References"/>
        <w:numPr>
          <w:ilvl w:val="0"/>
          <w:numId w:val="0"/>
        </w:numPr>
        <w:spacing w:line="360" w:lineRule="auto"/>
        <w:jc w:val="center"/>
        <w:rPr>
          <w:rFonts w:eastAsiaTheme="minorEastAsia"/>
          <w:sz w:val="24"/>
        </w:rPr>
      </w:pPr>
      <w:r>
        <w:rPr>
          <w:rFonts w:eastAsiaTheme="minorEastAsia"/>
          <w:noProof/>
          <w:sz w:val="24"/>
        </w:rPr>
        <w:lastRenderedPageBreak/>
        <w:drawing>
          <wp:inline distT="0" distB="0" distL="0" distR="0" wp14:anchorId="57A730D2" wp14:editId="2019A8B1">
            <wp:extent cx="2628000" cy="1422773"/>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000" cy="1422773"/>
                    </a:xfrm>
                    <a:prstGeom prst="rect">
                      <a:avLst/>
                    </a:prstGeom>
                    <a:noFill/>
                    <a:ln>
                      <a:noFill/>
                    </a:ln>
                  </pic:spPr>
                </pic:pic>
              </a:graphicData>
            </a:graphic>
          </wp:inline>
        </w:drawing>
      </w:r>
    </w:p>
    <w:p w14:paraId="3B5C05FB" w14:textId="77777777" w:rsidR="003B4F97" w:rsidRPr="00184C9A" w:rsidRDefault="003B4F97" w:rsidP="00442AC7">
      <w:pPr>
        <w:pStyle w:val="References"/>
        <w:numPr>
          <w:ilvl w:val="0"/>
          <w:numId w:val="0"/>
        </w:numPr>
        <w:spacing w:line="360" w:lineRule="auto"/>
        <w:rPr>
          <w:rFonts w:eastAsiaTheme="minorEastAsia"/>
          <w:sz w:val="24"/>
        </w:rPr>
      </w:pPr>
    </w:p>
    <w:p w14:paraId="44704D88" w14:textId="365D1B27" w:rsidR="002871E8" w:rsidRPr="00184C9A" w:rsidRDefault="008565EE" w:rsidP="00EC7F10">
      <w:pPr>
        <w:pStyle w:val="References"/>
        <w:numPr>
          <w:ilvl w:val="0"/>
          <w:numId w:val="0"/>
        </w:numPr>
        <w:spacing w:line="360" w:lineRule="auto"/>
        <w:rPr>
          <w:rFonts w:eastAsiaTheme="minorEastAsia"/>
          <w:sz w:val="24"/>
        </w:rPr>
      </w:pPr>
      <w:r w:rsidRPr="00184C9A">
        <w:rPr>
          <w:rFonts w:eastAsiaTheme="minorEastAsia"/>
          <w:sz w:val="24"/>
        </w:rPr>
        <w:t>Fig.</w:t>
      </w:r>
      <w:r w:rsidR="005464B6" w:rsidRPr="00184C9A">
        <w:rPr>
          <w:rFonts w:eastAsiaTheme="minorEastAsia"/>
          <w:sz w:val="24"/>
        </w:rPr>
        <w:t xml:space="preserve"> </w:t>
      </w:r>
      <w:r w:rsidRPr="00184C9A">
        <w:rPr>
          <w:rFonts w:eastAsiaTheme="minorEastAsia"/>
          <w:sz w:val="24"/>
        </w:rPr>
        <w:t>1</w:t>
      </w:r>
      <w:r w:rsidR="003B4F97" w:rsidRPr="00184C9A">
        <w:rPr>
          <w:rFonts w:eastAsiaTheme="minorEastAsia"/>
          <w:sz w:val="24"/>
        </w:rPr>
        <w:t>.</w:t>
      </w:r>
    </w:p>
    <w:p w14:paraId="69C05E1A" w14:textId="60261814" w:rsidR="00827621" w:rsidRPr="002E4345" w:rsidRDefault="002871E8" w:rsidP="002E4345">
      <w:pPr>
        <w:rPr>
          <w:rFonts w:eastAsiaTheme="minorEastAsia"/>
          <w:sz w:val="24"/>
        </w:rPr>
      </w:pPr>
      <w:r w:rsidRPr="002E4345">
        <w:rPr>
          <w:rFonts w:eastAsiaTheme="minorEastAsia"/>
          <w:sz w:val="24"/>
        </w:rPr>
        <w:br w:type="page"/>
      </w:r>
    </w:p>
    <w:p w14:paraId="3EECA794" w14:textId="48E0A57C" w:rsidR="00C546CA" w:rsidRDefault="00C546CA" w:rsidP="00515B90">
      <w:pPr>
        <w:pStyle w:val="References"/>
        <w:numPr>
          <w:ilvl w:val="0"/>
          <w:numId w:val="0"/>
        </w:numPr>
        <w:spacing w:line="360" w:lineRule="auto"/>
        <w:jc w:val="center"/>
        <w:rPr>
          <w:rFonts w:eastAsiaTheme="minorEastAsia"/>
          <w:sz w:val="24"/>
        </w:rPr>
      </w:pPr>
      <w:r>
        <w:rPr>
          <w:rFonts w:eastAsiaTheme="minorEastAsia"/>
          <w:noProof/>
          <w:sz w:val="24"/>
        </w:rPr>
        <w:lastRenderedPageBreak/>
        <w:drawing>
          <wp:inline distT="0" distB="0" distL="0" distR="0" wp14:anchorId="76063948" wp14:editId="1B333C95">
            <wp:extent cx="2628000" cy="2753660"/>
            <wp:effectExtent l="0" t="0" r="127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000" cy="2753660"/>
                    </a:xfrm>
                    <a:prstGeom prst="rect">
                      <a:avLst/>
                    </a:prstGeom>
                    <a:noFill/>
                    <a:ln>
                      <a:noFill/>
                    </a:ln>
                  </pic:spPr>
                </pic:pic>
              </a:graphicData>
            </a:graphic>
          </wp:inline>
        </w:drawing>
      </w:r>
    </w:p>
    <w:p w14:paraId="64129E2F" w14:textId="77777777" w:rsidR="00C546CA" w:rsidRDefault="00C546CA" w:rsidP="00EC7F10">
      <w:pPr>
        <w:pStyle w:val="References"/>
        <w:numPr>
          <w:ilvl w:val="0"/>
          <w:numId w:val="0"/>
        </w:numPr>
        <w:spacing w:line="360" w:lineRule="auto"/>
        <w:rPr>
          <w:rFonts w:eastAsiaTheme="minorEastAsia"/>
          <w:sz w:val="24"/>
        </w:rPr>
      </w:pPr>
    </w:p>
    <w:p w14:paraId="1D5E4307" w14:textId="17E5C065" w:rsidR="002871E8" w:rsidRPr="00184C9A" w:rsidRDefault="008565EE" w:rsidP="00EC7F10">
      <w:pPr>
        <w:pStyle w:val="References"/>
        <w:numPr>
          <w:ilvl w:val="0"/>
          <w:numId w:val="0"/>
        </w:numPr>
        <w:spacing w:line="360" w:lineRule="auto"/>
        <w:rPr>
          <w:rFonts w:eastAsiaTheme="minorEastAsia"/>
          <w:sz w:val="24"/>
        </w:rPr>
      </w:pPr>
      <w:r w:rsidRPr="00184C9A">
        <w:rPr>
          <w:rFonts w:eastAsiaTheme="minorEastAsia"/>
          <w:sz w:val="24"/>
        </w:rPr>
        <w:t>Fig.</w:t>
      </w:r>
      <w:r w:rsidR="005464B6" w:rsidRPr="00184C9A">
        <w:rPr>
          <w:rFonts w:eastAsiaTheme="minorEastAsia"/>
          <w:sz w:val="24"/>
        </w:rPr>
        <w:t xml:space="preserve"> </w:t>
      </w:r>
      <w:r w:rsidRPr="00184C9A">
        <w:rPr>
          <w:rFonts w:eastAsiaTheme="minorEastAsia"/>
          <w:sz w:val="24"/>
        </w:rPr>
        <w:t>2</w:t>
      </w:r>
      <w:r w:rsidR="003B4F97" w:rsidRPr="00184C9A">
        <w:rPr>
          <w:rFonts w:eastAsiaTheme="minorEastAsia"/>
          <w:sz w:val="24"/>
        </w:rPr>
        <w:t>.</w:t>
      </w:r>
    </w:p>
    <w:p w14:paraId="2BD00636" w14:textId="77777777" w:rsidR="002871E8" w:rsidRPr="00184C9A" w:rsidRDefault="002871E8">
      <w:pPr>
        <w:widowControl/>
        <w:jc w:val="left"/>
        <w:rPr>
          <w:rFonts w:ascii="Times New Roman" w:eastAsiaTheme="minorEastAsia" w:hAnsi="Times New Roman"/>
          <w:sz w:val="24"/>
        </w:rPr>
      </w:pPr>
      <w:r w:rsidRPr="002E4345">
        <w:rPr>
          <w:rFonts w:eastAsiaTheme="minorEastAsia"/>
          <w:sz w:val="24"/>
        </w:rPr>
        <w:br w:type="page"/>
      </w:r>
    </w:p>
    <w:p w14:paraId="203EE760" w14:textId="4937DF42" w:rsidR="00827621" w:rsidRPr="00184C9A" w:rsidRDefault="00C546CA" w:rsidP="00515B90">
      <w:pPr>
        <w:pStyle w:val="References"/>
        <w:numPr>
          <w:ilvl w:val="0"/>
          <w:numId w:val="0"/>
        </w:numPr>
        <w:spacing w:line="360" w:lineRule="auto"/>
        <w:jc w:val="center"/>
        <w:rPr>
          <w:rFonts w:eastAsiaTheme="minorEastAsia"/>
          <w:sz w:val="24"/>
        </w:rPr>
      </w:pPr>
      <w:r>
        <w:rPr>
          <w:rFonts w:eastAsiaTheme="minorEastAsia"/>
          <w:noProof/>
          <w:sz w:val="24"/>
        </w:rPr>
        <w:lastRenderedPageBreak/>
        <w:drawing>
          <wp:inline distT="0" distB="0" distL="0" distR="0" wp14:anchorId="4CCD6552" wp14:editId="2F44021E">
            <wp:extent cx="2609215" cy="3442335"/>
            <wp:effectExtent l="0" t="0" r="635" b="571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9215" cy="3442335"/>
                    </a:xfrm>
                    <a:prstGeom prst="rect">
                      <a:avLst/>
                    </a:prstGeom>
                    <a:noFill/>
                    <a:ln>
                      <a:noFill/>
                    </a:ln>
                  </pic:spPr>
                </pic:pic>
              </a:graphicData>
            </a:graphic>
          </wp:inline>
        </w:drawing>
      </w:r>
    </w:p>
    <w:p w14:paraId="7915D2C5" w14:textId="77777777" w:rsidR="003B4F97" w:rsidRPr="00184C9A" w:rsidRDefault="003B4F97" w:rsidP="00442AC7">
      <w:pPr>
        <w:pStyle w:val="References"/>
        <w:numPr>
          <w:ilvl w:val="0"/>
          <w:numId w:val="0"/>
        </w:numPr>
        <w:spacing w:line="360" w:lineRule="auto"/>
        <w:rPr>
          <w:rFonts w:eastAsiaTheme="minorEastAsia"/>
          <w:sz w:val="24"/>
        </w:rPr>
      </w:pPr>
    </w:p>
    <w:p w14:paraId="150C80E5" w14:textId="0C404DB3" w:rsidR="002871E8" w:rsidRPr="00184C9A" w:rsidRDefault="008565EE" w:rsidP="00EC7F10">
      <w:pPr>
        <w:pStyle w:val="References"/>
        <w:numPr>
          <w:ilvl w:val="0"/>
          <w:numId w:val="0"/>
        </w:numPr>
        <w:spacing w:line="360" w:lineRule="auto"/>
        <w:rPr>
          <w:rFonts w:eastAsiaTheme="minorEastAsia"/>
          <w:sz w:val="24"/>
        </w:rPr>
      </w:pPr>
      <w:r w:rsidRPr="00184C9A">
        <w:rPr>
          <w:rFonts w:eastAsiaTheme="minorEastAsia"/>
          <w:sz w:val="24"/>
        </w:rPr>
        <w:t>Fig.</w:t>
      </w:r>
      <w:r w:rsidR="005464B6" w:rsidRPr="00184C9A">
        <w:rPr>
          <w:rFonts w:eastAsiaTheme="minorEastAsia"/>
          <w:sz w:val="24"/>
        </w:rPr>
        <w:t xml:space="preserve"> </w:t>
      </w:r>
      <w:r w:rsidRPr="00184C9A">
        <w:rPr>
          <w:rFonts w:eastAsiaTheme="minorEastAsia"/>
          <w:sz w:val="24"/>
        </w:rPr>
        <w:t>3</w:t>
      </w:r>
      <w:r w:rsidR="003B4F97" w:rsidRPr="00184C9A">
        <w:rPr>
          <w:rFonts w:eastAsiaTheme="minorEastAsia"/>
          <w:sz w:val="24"/>
        </w:rPr>
        <w:t>.</w:t>
      </w:r>
    </w:p>
    <w:p w14:paraId="7E7D0363" w14:textId="77777777" w:rsidR="002871E8" w:rsidRPr="00184C9A" w:rsidRDefault="002871E8">
      <w:pPr>
        <w:widowControl/>
        <w:jc w:val="left"/>
        <w:rPr>
          <w:rFonts w:ascii="Times New Roman" w:eastAsiaTheme="minorEastAsia" w:hAnsi="Times New Roman"/>
          <w:sz w:val="24"/>
        </w:rPr>
      </w:pPr>
      <w:r w:rsidRPr="002E4345">
        <w:rPr>
          <w:rFonts w:eastAsiaTheme="minorEastAsia"/>
          <w:sz w:val="24"/>
        </w:rPr>
        <w:br w:type="page"/>
      </w:r>
    </w:p>
    <w:p w14:paraId="37E7540A" w14:textId="5E6CC66F" w:rsidR="00B227C2" w:rsidRPr="00184C9A" w:rsidRDefault="00C546CA" w:rsidP="00515B90">
      <w:pPr>
        <w:pStyle w:val="References"/>
        <w:numPr>
          <w:ilvl w:val="0"/>
          <w:numId w:val="0"/>
        </w:numPr>
        <w:spacing w:line="360" w:lineRule="auto"/>
        <w:jc w:val="center"/>
        <w:rPr>
          <w:rFonts w:eastAsiaTheme="minorEastAsia"/>
          <w:sz w:val="24"/>
        </w:rPr>
      </w:pPr>
      <w:r>
        <w:rPr>
          <w:rFonts w:eastAsiaTheme="minorEastAsia"/>
          <w:noProof/>
          <w:sz w:val="24"/>
        </w:rPr>
        <w:lastRenderedPageBreak/>
        <w:drawing>
          <wp:inline distT="0" distB="0" distL="0" distR="0" wp14:anchorId="640D2BDB" wp14:editId="6C8F4702">
            <wp:extent cx="2644140" cy="7650480"/>
            <wp:effectExtent l="0" t="0" r="0" b="762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4140" cy="7650480"/>
                    </a:xfrm>
                    <a:prstGeom prst="rect">
                      <a:avLst/>
                    </a:prstGeom>
                    <a:noFill/>
                    <a:ln>
                      <a:noFill/>
                    </a:ln>
                  </pic:spPr>
                </pic:pic>
              </a:graphicData>
            </a:graphic>
          </wp:inline>
        </w:drawing>
      </w:r>
    </w:p>
    <w:p w14:paraId="1AA73327" w14:textId="4A7B2D5A" w:rsidR="003B4F97" w:rsidRPr="00184C9A" w:rsidRDefault="003B4F97" w:rsidP="000969C0">
      <w:pPr>
        <w:pStyle w:val="References"/>
        <w:numPr>
          <w:ilvl w:val="0"/>
          <w:numId w:val="0"/>
        </w:numPr>
        <w:spacing w:line="360" w:lineRule="auto"/>
        <w:rPr>
          <w:rFonts w:eastAsiaTheme="minorEastAsia"/>
          <w:sz w:val="24"/>
        </w:rPr>
      </w:pPr>
    </w:p>
    <w:p w14:paraId="63FD255B" w14:textId="4CF0A1CE" w:rsidR="00827621" w:rsidRPr="00442AC7" w:rsidRDefault="008565EE" w:rsidP="000969C0">
      <w:pPr>
        <w:pStyle w:val="References"/>
        <w:numPr>
          <w:ilvl w:val="0"/>
          <w:numId w:val="0"/>
        </w:numPr>
        <w:spacing w:line="360" w:lineRule="auto"/>
        <w:rPr>
          <w:rFonts w:eastAsiaTheme="minorEastAsia"/>
        </w:rPr>
      </w:pPr>
      <w:r w:rsidRPr="00184C9A">
        <w:rPr>
          <w:rFonts w:eastAsiaTheme="minorEastAsia"/>
          <w:sz w:val="24"/>
        </w:rPr>
        <w:t>Fig.</w:t>
      </w:r>
      <w:r w:rsidR="005464B6" w:rsidRPr="00184C9A">
        <w:rPr>
          <w:rFonts w:eastAsiaTheme="minorEastAsia"/>
          <w:sz w:val="24"/>
        </w:rPr>
        <w:t xml:space="preserve"> </w:t>
      </w:r>
      <w:r w:rsidRPr="00184C9A">
        <w:rPr>
          <w:rFonts w:eastAsiaTheme="minorEastAsia"/>
          <w:sz w:val="24"/>
        </w:rPr>
        <w:t>4</w:t>
      </w:r>
      <w:r w:rsidR="001146CF">
        <w:rPr>
          <w:rFonts w:eastAsiaTheme="minorEastAsia"/>
          <w:sz w:val="24"/>
        </w:rPr>
        <w:t>.</w:t>
      </w:r>
    </w:p>
    <w:sectPr w:rsidR="00827621" w:rsidRPr="00442AC7" w:rsidSect="00A24114">
      <w:headerReference w:type="even" r:id="rId16"/>
      <w:headerReference w:type="first" r:id="rId17"/>
      <w:footerReference w:type="first" r:id="rId18"/>
      <w:type w:val="continuous"/>
      <w:pgSz w:w="11906" w:h="16838" w:code="9"/>
      <w:pgMar w:top="2381" w:right="1588" w:bottom="1418" w:left="1531" w:header="1928"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42E8C" w14:textId="77777777" w:rsidR="001E3217" w:rsidRDefault="001E3217">
      <w:r>
        <w:separator/>
      </w:r>
    </w:p>
  </w:endnote>
  <w:endnote w:type="continuationSeparator" w:id="0">
    <w:p w14:paraId="682BB421" w14:textId="77777777" w:rsidR="001E3217" w:rsidRDefault="001E3217">
      <w:r>
        <w:continuationSeparator/>
      </w:r>
    </w:p>
  </w:endnote>
  <w:endnote w:type="continuationNotice" w:id="1">
    <w:p w14:paraId="74A54860" w14:textId="77777777" w:rsidR="001E3217" w:rsidRDefault="001E3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1C7C" w14:textId="77777777" w:rsidR="00222ED1" w:rsidRDefault="00222ED1" w:rsidP="00F1715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AA97665" w14:textId="77777777" w:rsidR="00222ED1" w:rsidRDefault="00222ED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4F5A" w14:textId="3F30114D" w:rsidR="00222ED1" w:rsidRDefault="00222ED1" w:rsidP="00686681">
    <w:pPr>
      <w:pStyle w:val="a3"/>
      <w:jc w:val="center"/>
    </w:pPr>
    <w:r>
      <w:fldChar w:fldCharType="begin"/>
    </w:r>
    <w:r>
      <w:instrText>PAGE   \* MERGEFORMAT</w:instrText>
    </w:r>
    <w:r>
      <w:fldChar w:fldCharType="separate"/>
    </w:r>
    <w:r w:rsidR="00442AC7" w:rsidRPr="00442AC7">
      <w:rPr>
        <w:noProof/>
        <w:lang w:val="ja-JP"/>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0CE9" w14:textId="77777777" w:rsidR="00222ED1" w:rsidRDefault="00222ED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8F8CD" w14:textId="77777777" w:rsidR="001E3217" w:rsidRDefault="001E3217">
      <w:r>
        <w:separator/>
      </w:r>
    </w:p>
  </w:footnote>
  <w:footnote w:type="continuationSeparator" w:id="0">
    <w:p w14:paraId="05CC3CE1" w14:textId="77777777" w:rsidR="001E3217" w:rsidRDefault="001E3217">
      <w:r>
        <w:continuationSeparator/>
      </w:r>
    </w:p>
  </w:footnote>
  <w:footnote w:type="continuationNotice" w:id="1">
    <w:p w14:paraId="77F9B078" w14:textId="77777777" w:rsidR="001E3217" w:rsidRDefault="001E3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34CCE" w14:textId="345AC483" w:rsidR="00222ED1" w:rsidRDefault="00222ED1">
    <w:pPr>
      <w:pStyle w:val="a6"/>
    </w:pPr>
    <w:r>
      <w:tab/>
    </w:r>
    <w:r>
      <w:tab/>
    </w:r>
    <w:r w:rsidRPr="00D05662">
      <w:t>Template for APEX (</w:t>
    </w:r>
    <w:r>
      <w:rPr>
        <w:rFonts w:hint="eastAsia"/>
      </w:rPr>
      <w:t>Mar</w:t>
    </w:r>
    <w:r w:rsidRPr="00D05662">
      <w:t>. 20</w:t>
    </w:r>
    <w:r>
      <w:rPr>
        <w:rFonts w:hint="eastAsia"/>
      </w:rPr>
      <w:t>22</w:t>
    </w:r>
    <w:r w:rsidRPr="00D05662">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931C" w14:textId="77777777" w:rsidR="00222ED1" w:rsidRDefault="00222ED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3841" w14:textId="77777777" w:rsidR="00222ED1" w:rsidRDefault="00222ED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7"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0"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84576308">
    <w:abstractNumId w:val="4"/>
  </w:num>
  <w:num w:numId="2" w16cid:durableId="1892498971">
    <w:abstractNumId w:val="11"/>
  </w:num>
  <w:num w:numId="3" w16cid:durableId="146633286">
    <w:abstractNumId w:val="10"/>
  </w:num>
  <w:num w:numId="4" w16cid:durableId="890380396">
    <w:abstractNumId w:val="0"/>
  </w:num>
  <w:num w:numId="5" w16cid:durableId="367218604">
    <w:abstractNumId w:val="9"/>
  </w:num>
  <w:num w:numId="6" w16cid:durableId="1775051024">
    <w:abstractNumId w:val="1"/>
  </w:num>
  <w:num w:numId="7" w16cid:durableId="1355035873">
    <w:abstractNumId w:val="8"/>
  </w:num>
  <w:num w:numId="8" w16cid:durableId="530848377">
    <w:abstractNumId w:val="7"/>
  </w:num>
  <w:num w:numId="9" w16cid:durableId="1188561364">
    <w:abstractNumId w:val="5"/>
  </w:num>
  <w:num w:numId="10" w16cid:durableId="1727027745">
    <w:abstractNumId w:val="2"/>
  </w:num>
  <w:num w:numId="11" w16cid:durableId="647831069">
    <w:abstractNumId w:val="3"/>
  </w:num>
  <w:num w:numId="12" w16cid:durableId="4290144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544"/>
    <w:rsid w:val="00000EE3"/>
    <w:rsid w:val="00001504"/>
    <w:rsid w:val="000017AE"/>
    <w:rsid w:val="0000265A"/>
    <w:rsid w:val="00003093"/>
    <w:rsid w:val="000047C8"/>
    <w:rsid w:val="00006FEC"/>
    <w:rsid w:val="000107A7"/>
    <w:rsid w:val="0001186E"/>
    <w:rsid w:val="00011C21"/>
    <w:rsid w:val="00014614"/>
    <w:rsid w:val="000146D0"/>
    <w:rsid w:val="00015F16"/>
    <w:rsid w:val="00017F43"/>
    <w:rsid w:val="00021EE3"/>
    <w:rsid w:val="0002359B"/>
    <w:rsid w:val="0002601C"/>
    <w:rsid w:val="0002624D"/>
    <w:rsid w:val="00026D5C"/>
    <w:rsid w:val="00030FC3"/>
    <w:rsid w:val="00031461"/>
    <w:rsid w:val="00033AE2"/>
    <w:rsid w:val="000341A5"/>
    <w:rsid w:val="00034609"/>
    <w:rsid w:val="00035212"/>
    <w:rsid w:val="000352ED"/>
    <w:rsid w:val="000362BE"/>
    <w:rsid w:val="00036544"/>
    <w:rsid w:val="000366C2"/>
    <w:rsid w:val="000369F8"/>
    <w:rsid w:val="00036C95"/>
    <w:rsid w:val="00041FA7"/>
    <w:rsid w:val="000467DC"/>
    <w:rsid w:val="00046B0B"/>
    <w:rsid w:val="00047CE0"/>
    <w:rsid w:val="00050B98"/>
    <w:rsid w:val="000511C7"/>
    <w:rsid w:val="000523E5"/>
    <w:rsid w:val="000531C5"/>
    <w:rsid w:val="000549F1"/>
    <w:rsid w:val="0005528B"/>
    <w:rsid w:val="0005625E"/>
    <w:rsid w:val="000571CE"/>
    <w:rsid w:val="00060948"/>
    <w:rsid w:val="000615D3"/>
    <w:rsid w:val="000632F9"/>
    <w:rsid w:val="000665E5"/>
    <w:rsid w:val="0006693D"/>
    <w:rsid w:val="00066D87"/>
    <w:rsid w:val="0006767D"/>
    <w:rsid w:val="00070E94"/>
    <w:rsid w:val="00071AA2"/>
    <w:rsid w:val="00071C08"/>
    <w:rsid w:val="00072E51"/>
    <w:rsid w:val="00073C8C"/>
    <w:rsid w:val="0007459E"/>
    <w:rsid w:val="00077476"/>
    <w:rsid w:val="00080958"/>
    <w:rsid w:val="00081ECE"/>
    <w:rsid w:val="000845EC"/>
    <w:rsid w:val="00084BCE"/>
    <w:rsid w:val="00086277"/>
    <w:rsid w:val="00086E7B"/>
    <w:rsid w:val="00087EF2"/>
    <w:rsid w:val="00091142"/>
    <w:rsid w:val="000969C0"/>
    <w:rsid w:val="00097806"/>
    <w:rsid w:val="00097CC0"/>
    <w:rsid w:val="000A1FE5"/>
    <w:rsid w:val="000A2331"/>
    <w:rsid w:val="000A2BA8"/>
    <w:rsid w:val="000A3880"/>
    <w:rsid w:val="000A4A24"/>
    <w:rsid w:val="000A50C6"/>
    <w:rsid w:val="000A7E15"/>
    <w:rsid w:val="000B0B89"/>
    <w:rsid w:val="000B127B"/>
    <w:rsid w:val="000B26E3"/>
    <w:rsid w:val="000B31E7"/>
    <w:rsid w:val="000B5046"/>
    <w:rsid w:val="000B50A3"/>
    <w:rsid w:val="000B6C4B"/>
    <w:rsid w:val="000B6EB7"/>
    <w:rsid w:val="000B74B3"/>
    <w:rsid w:val="000C08A3"/>
    <w:rsid w:val="000C47B8"/>
    <w:rsid w:val="000C5025"/>
    <w:rsid w:val="000C54AD"/>
    <w:rsid w:val="000C7889"/>
    <w:rsid w:val="000D1DC4"/>
    <w:rsid w:val="000D20AF"/>
    <w:rsid w:val="000D2ED2"/>
    <w:rsid w:val="000D4084"/>
    <w:rsid w:val="000D5A80"/>
    <w:rsid w:val="000D5F88"/>
    <w:rsid w:val="000D70F1"/>
    <w:rsid w:val="000D7D3D"/>
    <w:rsid w:val="000E0890"/>
    <w:rsid w:val="000E195A"/>
    <w:rsid w:val="000E2001"/>
    <w:rsid w:val="000E2036"/>
    <w:rsid w:val="000E232F"/>
    <w:rsid w:val="000E2C80"/>
    <w:rsid w:val="000E57FF"/>
    <w:rsid w:val="000E5AA9"/>
    <w:rsid w:val="000E5FDE"/>
    <w:rsid w:val="000E77F0"/>
    <w:rsid w:val="000E781E"/>
    <w:rsid w:val="000E7B0C"/>
    <w:rsid w:val="000F01B4"/>
    <w:rsid w:val="000F1644"/>
    <w:rsid w:val="000F213B"/>
    <w:rsid w:val="000F334E"/>
    <w:rsid w:val="000F4D49"/>
    <w:rsid w:val="000F5631"/>
    <w:rsid w:val="000F6FEC"/>
    <w:rsid w:val="0010005B"/>
    <w:rsid w:val="00101BD4"/>
    <w:rsid w:val="00105B4D"/>
    <w:rsid w:val="00105CC5"/>
    <w:rsid w:val="0010658E"/>
    <w:rsid w:val="00111AF2"/>
    <w:rsid w:val="001133CB"/>
    <w:rsid w:val="0011469F"/>
    <w:rsid w:val="001146CF"/>
    <w:rsid w:val="001164AD"/>
    <w:rsid w:val="00122283"/>
    <w:rsid w:val="001223AF"/>
    <w:rsid w:val="00125C5F"/>
    <w:rsid w:val="00125F96"/>
    <w:rsid w:val="00127238"/>
    <w:rsid w:val="0012734F"/>
    <w:rsid w:val="001325DB"/>
    <w:rsid w:val="00132AC4"/>
    <w:rsid w:val="0013551D"/>
    <w:rsid w:val="0013636B"/>
    <w:rsid w:val="00136EB7"/>
    <w:rsid w:val="00137EC3"/>
    <w:rsid w:val="00140498"/>
    <w:rsid w:val="0014066C"/>
    <w:rsid w:val="0014162B"/>
    <w:rsid w:val="0014425E"/>
    <w:rsid w:val="00144720"/>
    <w:rsid w:val="001451D9"/>
    <w:rsid w:val="0014587D"/>
    <w:rsid w:val="001479EE"/>
    <w:rsid w:val="00147AC9"/>
    <w:rsid w:val="0015138B"/>
    <w:rsid w:val="001520BA"/>
    <w:rsid w:val="00153B7E"/>
    <w:rsid w:val="0015414D"/>
    <w:rsid w:val="00155743"/>
    <w:rsid w:val="00156FE7"/>
    <w:rsid w:val="0016400A"/>
    <w:rsid w:val="00164328"/>
    <w:rsid w:val="00164EC2"/>
    <w:rsid w:val="00164F82"/>
    <w:rsid w:val="0016557E"/>
    <w:rsid w:val="00165B14"/>
    <w:rsid w:val="00165EB9"/>
    <w:rsid w:val="001675A9"/>
    <w:rsid w:val="001716AA"/>
    <w:rsid w:val="00172420"/>
    <w:rsid w:val="001730AE"/>
    <w:rsid w:val="00176047"/>
    <w:rsid w:val="00176B2F"/>
    <w:rsid w:val="00177344"/>
    <w:rsid w:val="00181095"/>
    <w:rsid w:val="0018136E"/>
    <w:rsid w:val="00182BA9"/>
    <w:rsid w:val="00182C56"/>
    <w:rsid w:val="001838CC"/>
    <w:rsid w:val="00183991"/>
    <w:rsid w:val="00184C9A"/>
    <w:rsid w:val="00187AC5"/>
    <w:rsid w:val="00187D93"/>
    <w:rsid w:val="00187F2C"/>
    <w:rsid w:val="001910D1"/>
    <w:rsid w:val="0019156A"/>
    <w:rsid w:val="00192F0B"/>
    <w:rsid w:val="001945C6"/>
    <w:rsid w:val="00196925"/>
    <w:rsid w:val="00197227"/>
    <w:rsid w:val="001A1CCE"/>
    <w:rsid w:val="001A576C"/>
    <w:rsid w:val="001A72D7"/>
    <w:rsid w:val="001A738B"/>
    <w:rsid w:val="001B1F99"/>
    <w:rsid w:val="001B2513"/>
    <w:rsid w:val="001B380A"/>
    <w:rsid w:val="001B4D37"/>
    <w:rsid w:val="001C242B"/>
    <w:rsid w:val="001C4F0D"/>
    <w:rsid w:val="001C4F7A"/>
    <w:rsid w:val="001C5475"/>
    <w:rsid w:val="001C5E01"/>
    <w:rsid w:val="001C62EC"/>
    <w:rsid w:val="001C7428"/>
    <w:rsid w:val="001D05C7"/>
    <w:rsid w:val="001D0CAC"/>
    <w:rsid w:val="001D0F95"/>
    <w:rsid w:val="001D41A7"/>
    <w:rsid w:val="001D4852"/>
    <w:rsid w:val="001D5FD2"/>
    <w:rsid w:val="001E0212"/>
    <w:rsid w:val="001E2193"/>
    <w:rsid w:val="001E2970"/>
    <w:rsid w:val="001E2BD2"/>
    <w:rsid w:val="001E3217"/>
    <w:rsid w:val="001E3E85"/>
    <w:rsid w:val="001E58CE"/>
    <w:rsid w:val="001F0355"/>
    <w:rsid w:val="001F068A"/>
    <w:rsid w:val="001F12E1"/>
    <w:rsid w:val="001F2602"/>
    <w:rsid w:val="001F4276"/>
    <w:rsid w:val="001F5715"/>
    <w:rsid w:val="00201490"/>
    <w:rsid w:val="00203988"/>
    <w:rsid w:val="002045C1"/>
    <w:rsid w:val="00205A17"/>
    <w:rsid w:val="0020759C"/>
    <w:rsid w:val="0021111F"/>
    <w:rsid w:val="0021254F"/>
    <w:rsid w:val="002128B9"/>
    <w:rsid w:val="002145A5"/>
    <w:rsid w:val="0021604B"/>
    <w:rsid w:val="002166F7"/>
    <w:rsid w:val="00222ED1"/>
    <w:rsid w:val="002239C5"/>
    <w:rsid w:val="002240E8"/>
    <w:rsid w:val="00224EC6"/>
    <w:rsid w:val="0022641B"/>
    <w:rsid w:val="002277C7"/>
    <w:rsid w:val="0023042F"/>
    <w:rsid w:val="002311DD"/>
    <w:rsid w:val="0023264F"/>
    <w:rsid w:val="00233F3D"/>
    <w:rsid w:val="00235B24"/>
    <w:rsid w:val="00236006"/>
    <w:rsid w:val="00236033"/>
    <w:rsid w:val="00236BF0"/>
    <w:rsid w:val="002410A2"/>
    <w:rsid w:val="00241D8B"/>
    <w:rsid w:val="002433C9"/>
    <w:rsid w:val="002438A6"/>
    <w:rsid w:val="00244C03"/>
    <w:rsid w:val="002450E5"/>
    <w:rsid w:val="0024518E"/>
    <w:rsid w:val="00246567"/>
    <w:rsid w:val="00246E21"/>
    <w:rsid w:val="00256615"/>
    <w:rsid w:val="00257752"/>
    <w:rsid w:val="00261811"/>
    <w:rsid w:val="00261A37"/>
    <w:rsid w:val="002628D6"/>
    <w:rsid w:val="002641FF"/>
    <w:rsid w:val="00264552"/>
    <w:rsid w:val="002645D0"/>
    <w:rsid w:val="002667F1"/>
    <w:rsid w:val="0027000F"/>
    <w:rsid w:val="00271C68"/>
    <w:rsid w:val="00272B14"/>
    <w:rsid w:val="00272E50"/>
    <w:rsid w:val="0027406C"/>
    <w:rsid w:val="00275343"/>
    <w:rsid w:val="00275F52"/>
    <w:rsid w:val="00276759"/>
    <w:rsid w:val="0027766F"/>
    <w:rsid w:val="0027780D"/>
    <w:rsid w:val="00277B2C"/>
    <w:rsid w:val="0028074F"/>
    <w:rsid w:val="00280A72"/>
    <w:rsid w:val="00281D4A"/>
    <w:rsid w:val="002828A1"/>
    <w:rsid w:val="00284054"/>
    <w:rsid w:val="00284A82"/>
    <w:rsid w:val="002871E8"/>
    <w:rsid w:val="002901F2"/>
    <w:rsid w:val="00291813"/>
    <w:rsid w:val="002919B9"/>
    <w:rsid w:val="00295296"/>
    <w:rsid w:val="00297070"/>
    <w:rsid w:val="00297F96"/>
    <w:rsid w:val="002A0BBD"/>
    <w:rsid w:val="002A0CDF"/>
    <w:rsid w:val="002A30DB"/>
    <w:rsid w:val="002A3C47"/>
    <w:rsid w:val="002A48FC"/>
    <w:rsid w:val="002A48FD"/>
    <w:rsid w:val="002A4C50"/>
    <w:rsid w:val="002A5D30"/>
    <w:rsid w:val="002B0FCA"/>
    <w:rsid w:val="002B17DF"/>
    <w:rsid w:val="002B296A"/>
    <w:rsid w:val="002B2C24"/>
    <w:rsid w:val="002B523D"/>
    <w:rsid w:val="002B5784"/>
    <w:rsid w:val="002B64C1"/>
    <w:rsid w:val="002B7F28"/>
    <w:rsid w:val="002C013E"/>
    <w:rsid w:val="002C0653"/>
    <w:rsid w:val="002C07F5"/>
    <w:rsid w:val="002C1A07"/>
    <w:rsid w:val="002C1F83"/>
    <w:rsid w:val="002C42AB"/>
    <w:rsid w:val="002C4337"/>
    <w:rsid w:val="002D24CD"/>
    <w:rsid w:val="002D75FF"/>
    <w:rsid w:val="002E0600"/>
    <w:rsid w:val="002E1273"/>
    <w:rsid w:val="002E1490"/>
    <w:rsid w:val="002E25B2"/>
    <w:rsid w:val="002E4345"/>
    <w:rsid w:val="002E5A7A"/>
    <w:rsid w:val="002E5DBF"/>
    <w:rsid w:val="002E5FCD"/>
    <w:rsid w:val="002F0215"/>
    <w:rsid w:val="002F1383"/>
    <w:rsid w:val="002F339B"/>
    <w:rsid w:val="002F33E6"/>
    <w:rsid w:val="002F442A"/>
    <w:rsid w:val="002F4E52"/>
    <w:rsid w:val="002F5C52"/>
    <w:rsid w:val="0030779A"/>
    <w:rsid w:val="003078AC"/>
    <w:rsid w:val="00310354"/>
    <w:rsid w:val="00310C98"/>
    <w:rsid w:val="00311D62"/>
    <w:rsid w:val="00311F94"/>
    <w:rsid w:val="00312F37"/>
    <w:rsid w:val="003142A2"/>
    <w:rsid w:val="003149EE"/>
    <w:rsid w:val="00315F7C"/>
    <w:rsid w:val="00317109"/>
    <w:rsid w:val="0031736E"/>
    <w:rsid w:val="003236A8"/>
    <w:rsid w:val="00324E80"/>
    <w:rsid w:val="00325EE1"/>
    <w:rsid w:val="00326D0F"/>
    <w:rsid w:val="003272CA"/>
    <w:rsid w:val="00327761"/>
    <w:rsid w:val="00330409"/>
    <w:rsid w:val="00332E4E"/>
    <w:rsid w:val="00337198"/>
    <w:rsid w:val="00341018"/>
    <w:rsid w:val="00341DF4"/>
    <w:rsid w:val="00341F2C"/>
    <w:rsid w:val="0034480E"/>
    <w:rsid w:val="003476F2"/>
    <w:rsid w:val="00350113"/>
    <w:rsid w:val="00350790"/>
    <w:rsid w:val="003514D9"/>
    <w:rsid w:val="00351A02"/>
    <w:rsid w:val="0035284B"/>
    <w:rsid w:val="00352DA3"/>
    <w:rsid w:val="00353059"/>
    <w:rsid w:val="0035313E"/>
    <w:rsid w:val="0035473C"/>
    <w:rsid w:val="00354BE3"/>
    <w:rsid w:val="00356C27"/>
    <w:rsid w:val="0036068B"/>
    <w:rsid w:val="0036137B"/>
    <w:rsid w:val="00361F93"/>
    <w:rsid w:val="00362955"/>
    <w:rsid w:val="00362DD9"/>
    <w:rsid w:val="00363073"/>
    <w:rsid w:val="00363FE3"/>
    <w:rsid w:val="00364013"/>
    <w:rsid w:val="003642FB"/>
    <w:rsid w:val="00366C82"/>
    <w:rsid w:val="0037167C"/>
    <w:rsid w:val="00372B2B"/>
    <w:rsid w:val="003736C6"/>
    <w:rsid w:val="00373924"/>
    <w:rsid w:val="0037613D"/>
    <w:rsid w:val="003764A1"/>
    <w:rsid w:val="0037694E"/>
    <w:rsid w:val="0038114E"/>
    <w:rsid w:val="00381C25"/>
    <w:rsid w:val="00383366"/>
    <w:rsid w:val="00383E08"/>
    <w:rsid w:val="00384520"/>
    <w:rsid w:val="00385506"/>
    <w:rsid w:val="00386EE7"/>
    <w:rsid w:val="003870AC"/>
    <w:rsid w:val="003870B7"/>
    <w:rsid w:val="003871D5"/>
    <w:rsid w:val="003901C1"/>
    <w:rsid w:val="00393933"/>
    <w:rsid w:val="00395A39"/>
    <w:rsid w:val="00397AB5"/>
    <w:rsid w:val="00397F9B"/>
    <w:rsid w:val="003A1203"/>
    <w:rsid w:val="003A4912"/>
    <w:rsid w:val="003A4EC3"/>
    <w:rsid w:val="003A5739"/>
    <w:rsid w:val="003A6004"/>
    <w:rsid w:val="003A6EB3"/>
    <w:rsid w:val="003A7597"/>
    <w:rsid w:val="003B22FA"/>
    <w:rsid w:val="003B3425"/>
    <w:rsid w:val="003B40B3"/>
    <w:rsid w:val="003B4468"/>
    <w:rsid w:val="003B4F97"/>
    <w:rsid w:val="003B5D42"/>
    <w:rsid w:val="003C0EB4"/>
    <w:rsid w:val="003C21C6"/>
    <w:rsid w:val="003C555B"/>
    <w:rsid w:val="003C6A7E"/>
    <w:rsid w:val="003D0022"/>
    <w:rsid w:val="003D00E1"/>
    <w:rsid w:val="003D0371"/>
    <w:rsid w:val="003D0918"/>
    <w:rsid w:val="003D0F3F"/>
    <w:rsid w:val="003D1375"/>
    <w:rsid w:val="003D2F8A"/>
    <w:rsid w:val="003E183B"/>
    <w:rsid w:val="003E3CA0"/>
    <w:rsid w:val="003E3F3D"/>
    <w:rsid w:val="003E437F"/>
    <w:rsid w:val="003E549E"/>
    <w:rsid w:val="003E6212"/>
    <w:rsid w:val="003E76AA"/>
    <w:rsid w:val="003E7B31"/>
    <w:rsid w:val="003F2186"/>
    <w:rsid w:val="003F37C5"/>
    <w:rsid w:val="003F4494"/>
    <w:rsid w:val="003F451E"/>
    <w:rsid w:val="003F4AFF"/>
    <w:rsid w:val="003F4B53"/>
    <w:rsid w:val="003F509F"/>
    <w:rsid w:val="003F6045"/>
    <w:rsid w:val="003F6046"/>
    <w:rsid w:val="003F6DF8"/>
    <w:rsid w:val="003F7B8B"/>
    <w:rsid w:val="00400971"/>
    <w:rsid w:val="004011F6"/>
    <w:rsid w:val="0040218A"/>
    <w:rsid w:val="0040227C"/>
    <w:rsid w:val="00402849"/>
    <w:rsid w:val="00402EE4"/>
    <w:rsid w:val="00406618"/>
    <w:rsid w:val="00407643"/>
    <w:rsid w:val="004104D1"/>
    <w:rsid w:val="00416734"/>
    <w:rsid w:val="004219D9"/>
    <w:rsid w:val="00422213"/>
    <w:rsid w:val="00422D52"/>
    <w:rsid w:val="00423D9D"/>
    <w:rsid w:val="004240E0"/>
    <w:rsid w:val="00425334"/>
    <w:rsid w:val="004254FA"/>
    <w:rsid w:val="00426C3C"/>
    <w:rsid w:val="00427530"/>
    <w:rsid w:val="004279B2"/>
    <w:rsid w:val="00431C80"/>
    <w:rsid w:val="00435BCD"/>
    <w:rsid w:val="004361E8"/>
    <w:rsid w:val="00437BEC"/>
    <w:rsid w:val="00440537"/>
    <w:rsid w:val="004406E0"/>
    <w:rsid w:val="0044072E"/>
    <w:rsid w:val="004414DF"/>
    <w:rsid w:val="004423A0"/>
    <w:rsid w:val="00442403"/>
    <w:rsid w:val="004424C2"/>
    <w:rsid w:val="0044298E"/>
    <w:rsid w:val="00442AC1"/>
    <w:rsid w:val="00442AC7"/>
    <w:rsid w:val="004434AB"/>
    <w:rsid w:val="00444421"/>
    <w:rsid w:val="00445D3D"/>
    <w:rsid w:val="00445EAE"/>
    <w:rsid w:val="004471C8"/>
    <w:rsid w:val="004500EE"/>
    <w:rsid w:val="00451246"/>
    <w:rsid w:val="00452B4D"/>
    <w:rsid w:val="00454C1D"/>
    <w:rsid w:val="004553EC"/>
    <w:rsid w:val="00455D4F"/>
    <w:rsid w:val="00456AB6"/>
    <w:rsid w:val="00457CC5"/>
    <w:rsid w:val="00462495"/>
    <w:rsid w:val="00462984"/>
    <w:rsid w:val="00462D24"/>
    <w:rsid w:val="00463B9A"/>
    <w:rsid w:val="00470624"/>
    <w:rsid w:val="00470E79"/>
    <w:rsid w:val="004768B0"/>
    <w:rsid w:val="00480497"/>
    <w:rsid w:val="00480BAD"/>
    <w:rsid w:val="0048307D"/>
    <w:rsid w:val="004850B6"/>
    <w:rsid w:val="0048545A"/>
    <w:rsid w:val="00485779"/>
    <w:rsid w:val="00487688"/>
    <w:rsid w:val="004878D7"/>
    <w:rsid w:val="00487B3A"/>
    <w:rsid w:val="00491B4A"/>
    <w:rsid w:val="004933DA"/>
    <w:rsid w:val="00497211"/>
    <w:rsid w:val="004A03AE"/>
    <w:rsid w:val="004A0DEC"/>
    <w:rsid w:val="004A0F51"/>
    <w:rsid w:val="004A1A51"/>
    <w:rsid w:val="004A34ED"/>
    <w:rsid w:val="004A391D"/>
    <w:rsid w:val="004B04D5"/>
    <w:rsid w:val="004B0721"/>
    <w:rsid w:val="004B272B"/>
    <w:rsid w:val="004B3290"/>
    <w:rsid w:val="004B5829"/>
    <w:rsid w:val="004B72ED"/>
    <w:rsid w:val="004B73F0"/>
    <w:rsid w:val="004C0FAD"/>
    <w:rsid w:val="004C1D23"/>
    <w:rsid w:val="004C2122"/>
    <w:rsid w:val="004C2467"/>
    <w:rsid w:val="004C2B9D"/>
    <w:rsid w:val="004C3FA0"/>
    <w:rsid w:val="004C4339"/>
    <w:rsid w:val="004C4702"/>
    <w:rsid w:val="004C73CC"/>
    <w:rsid w:val="004C79E2"/>
    <w:rsid w:val="004D0693"/>
    <w:rsid w:val="004D4B39"/>
    <w:rsid w:val="004D4C1F"/>
    <w:rsid w:val="004D7EDC"/>
    <w:rsid w:val="004E098B"/>
    <w:rsid w:val="004E1357"/>
    <w:rsid w:val="004E1FFB"/>
    <w:rsid w:val="004E3724"/>
    <w:rsid w:val="004E5166"/>
    <w:rsid w:val="004E67C5"/>
    <w:rsid w:val="004E6A79"/>
    <w:rsid w:val="004E6B79"/>
    <w:rsid w:val="004E71F9"/>
    <w:rsid w:val="004E721C"/>
    <w:rsid w:val="004F1127"/>
    <w:rsid w:val="004F1401"/>
    <w:rsid w:val="004F1D8A"/>
    <w:rsid w:val="004F2429"/>
    <w:rsid w:val="004F247F"/>
    <w:rsid w:val="004F24CD"/>
    <w:rsid w:val="004F4007"/>
    <w:rsid w:val="004F5EEA"/>
    <w:rsid w:val="004F66F0"/>
    <w:rsid w:val="00500A22"/>
    <w:rsid w:val="00500DAC"/>
    <w:rsid w:val="00500FE0"/>
    <w:rsid w:val="0050115F"/>
    <w:rsid w:val="00502092"/>
    <w:rsid w:val="005031B4"/>
    <w:rsid w:val="00504310"/>
    <w:rsid w:val="00504E60"/>
    <w:rsid w:val="00510E9A"/>
    <w:rsid w:val="00511475"/>
    <w:rsid w:val="00511EAE"/>
    <w:rsid w:val="00511FEC"/>
    <w:rsid w:val="00512500"/>
    <w:rsid w:val="00513200"/>
    <w:rsid w:val="00515B90"/>
    <w:rsid w:val="00516256"/>
    <w:rsid w:val="0052328D"/>
    <w:rsid w:val="00526C10"/>
    <w:rsid w:val="00530A6E"/>
    <w:rsid w:val="00531A6E"/>
    <w:rsid w:val="00532DFD"/>
    <w:rsid w:val="00533623"/>
    <w:rsid w:val="00533BEF"/>
    <w:rsid w:val="00535295"/>
    <w:rsid w:val="005377AE"/>
    <w:rsid w:val="005423C7"/>
    <w:rsid w:val="005428EB"/>
    <w:rsid w:val="00544F01"/>
    <w:rsid w:val="00546108"/>
    <w:rsid w:val="005462A3"/>
    <w:rsid w:val="005464B6"/>
    <w:rsid w:val="00547013"/>
    <w:rsid w:val="005473C9"/>
    <w:rsid w:val="00551C8D"/>
    <w:rsid w:val="005554A5"/>
    <w:rsid w:val="005561A4"/>
    <w:rsid w:val="00557AE0"/>
    <w:rsid w:val="005603FD"/>
    <w:rsid w:val="00563DD7"/>
    <w:rsid w:val="00564234"/>
    <w:rsid w:val="00567DB4"/>
    <w:rsid w:val="00571BE7"/>
    <w:rsid w:val="00572773"/>
    <w:rsid w:val="0057378C"/>
    <w:rsid w:val="00574D64"/>
    <w:rsid w:val="00580325"/>
    <w:rsid w:val="00582327"/>
    <w:rsid w:val="00583920"/>
    <w:rsid w:val="005857A6"/>
    <w:rsid w:val="00585B96"/>
    <w:rsid w:val="00585D87"/>
    <w:rsid w:val="005874E8"/>
    <w:rsid w:val="00587AC2"/>
    <w:rsid w:val="00587F2F"/>
    <w:rsid w:val="00590505"/>
    <w:rsid w:val="005905D4"/>
    <w:rsid w:val="005912D9"/>
    <w:rsid w:val="00591864"/>
    <w:rsid w:val="00594794"/>
    <w:rsid w:val="005949FB"/>
    <w:rsid w:val="00594C61"/>
    <w:rsid w:val="00596333"/>
    <w:rsid w:val="005964D8"/>
    <w:rsid w:val="005A1870"/>
    <w:rsid w:val="005A4EC4"/>
    <w:rsid w:val="005A536D"/>
    <w:rsid w:val="005A6D2C"/>
    <w:rsid w:val="005B43AB"/>
    <w:rsid w:val="005B442B"/>
    <w:rsid w:val="005B4800"/>
    <w:rsid w:val="005B50D0"/>
    <w:rsid w:val="005B5B23"/>
    <w:rsid w:val="005C144F"/>
    <w:rsid w:val="005C4157"/>
    <w:rsid w:val="005C4B36"/>
    <w:rsid w:val="005C56D7"/>
    <w:rsid w:val="005C6B46"/>
    <w:rsid w:val="005D2FE9"/>
    <w:rsid w:val="005D3E28"/>
    <w:rsid w:val="005D4405"/>
    <w:rsid w:val="005D478A"/>
    <w:rsid w:val="005D66ED"/>
    <w:rsid w:val="005E12A0"/>
    <w:rsid w:val="005E15D8"/>
    <w:rsid w:val="005E2156"/>
    <w:rsid w:val="005E3F21"/>
    <w:rsid w:val="005F05C9"/>
    <w:rsid w:val="005F06D0"/>
    <w:rsid w:val="005F142A"/>
    <w:rsid w:val="005F650F"/>
    <w:rsid w:val="005F7ADA"/>
    <w:rsid w:val="0060076A"/>
    <w:rsid w:val="00602436"/>
    <w:rsid w:val="0060787E"/>
    <w:rsid w:val="00611307"/>
    <w:rsid w:val="00612CF1"/>
    <w:rsid w:val="00613410"/>
    <w:rsid w:val="00616B3A"/>
    <w:rsid w:val="00621451"/>
    <w:rsid w:val="00621AE6"/>
    <w:rsid w:val="00621D84"/>
    <w:rsid w:val="00623CB8"/>
    <w:rsid w:val="00624486"/>
    <w:rsid w:val="00624B36"/>
    <w:rsid w:val="00624F58"/>
    <w:rsid w:val="00625F9A"/>
    <w:rsid w:val="00630CAE"/>
    <w:rsid w:val="00631716"/>
    <w:rsid w:val="00634A7B"/>
    <w:rsid w:val="00634F27"/>
    <w:rsid w:val="00635A3F"/>
    <w:rsid w:val="00635F91"/>
    <w:rsid w:val="00637107"/>
    <w:rsid w:val="006435FD"/>
    <w:rsid w:val="006436CF"/>
    <w:rsid w:val="00646431"/>
    <w:rsid w:val="0064717D"/>
    <w:rsid w:val="00647227"/>
    <w:rsid w:val="00651059"/>
    <w:rsid w:val="00652C14"/>
    <w:rsid w:val="00655838"/>
    <w:rsid w:val="00655858"/>
    <w:rsid w:val="006572AD"/>
    <w:rsid w:val="00657A89"/>
    <w:rsid w:val="00662A0C"/>
    <w:rsid w:val="00663B98"/>
    <w:rsid w:val="00664EDE"/>
    <w:rsid w:val="00665400"/>
    <w:rsid w:val="0066781D"/>
    <w:rsid w:val="00670B9E"/>
    <w:rsid w:val="006722CC"/>
    <w:rsid w:val="00672BBB"/>
    <w:rsid w:val="006730AB"/>
    <w:rsid w:val="0067380E"/>
    <w:rsid w:val="00673F93"/>
    <w:rsid w:val="006805C0"/>
    <w:rsid w:val="006813E3"/>
    <w:rsid w:val="006819B1"/>
    <w:rsid w:val="00682B3F"/>
    <w:rsid w:val="00686681"/>
    <w:rsid w:val="0068693F"/>
    <w:rsid w:val="00690339"/>
    <w:rsid w:val="006923EB"/>
    <w:rsid w:val="006954D0"/>
    <w:rsid w:val="00697F06"/>
    <w:rsid w:val="006A0A1C"/>
    <w:rsid w:val="006A5AC7"/>
    <w:rsid w:val="006A5EDE"/>
    <w:rsid w:val="006A61F7"/>
    <w:rsid w:val="006A7A77"/>
    <w:rsid w:val="006B1F33"/>
    <w:rsid w:val="006B25E1"/>
    <w:rsid w:val="006B32CF"/>
    <w:rsid w:val="006B3B6C"/>
    <w:rsid w:val="006B5BDD"/>
    <w:rsid w:val="006B68A0"/>
    <w:rsid w:val="006B7CAD"/>
    <w:rsid w:val="006C0A56"/>
    <w:rsid w:val="006C2162"/>
    <w:rsid w:val="006C66B1"/>
    <w:rsid w:val="006C728A"/>
    <w:rsid w:val="006D0D18"/>
    <w:rsid w:val="006D1279"/>
    <w:rsid w:val="006D31FC"/>
    <w:rsid w:val="006D3305"/>
    <w:rsid w:val="006D3BD7"/>
    <w:rsid w:val="006D3C7C"/>
    <w:rsid w:val="006D3E97"/>
    <w:rsid w:val="006D45FA"/>
    <w:rsid w:val="006D64C1"/>
    <w:rsid w:val="006D6956"/>
    <w:rsid w:val="006D6FAB"/>
    <w:rsid w:val="006E1EA1"/>
    <w:rsid w:val="006E2BE0"/>
    <w:rsid w:val="006E2EAD"/>
    <w:rsid w:val="006E6567"/>
    <w:rsid w:val="006F0609"/>
    <w:rsid w:val="006F0C0B"/>
    <w:rsid w:val="006F0C47"/>
    <w:rsid w:val="006F23F8"/>
    <w:rsid w:val="006F452E"/>
    <w:rsid w:val="007005D5"/>
    <w:rsid w:val="00700897"/>
    <w:rsid w:val="007022A7"/>
    <w:rsid w:val="00702CB2"/>
    <w:rsid w:val="00702DEE"/>
    <w:rsid w:val="0070324D"/>
    <w:rsid w:val="00703553"/>
    <w:rsid w:val="0070379C"/>
    <w:rsid w:val="00703EB5"/>
    <w:rsid w:val="00704EFA"/>
    <w:rsid w:val="00705B0E"/>
    <w:rsid w:val="007063A3"/>
    <w:rsid w:val="00706DAC"/>
    <w:rsid w:val="00713781"/>
    <w:rsid w:val="00713D97"/>
    <w:rsid w:val="00714FBC"/>
    <w:rsid w:val="00715AAF"/>
    <w:rsid w:val="007216C9"/>
    <w:rsid w:val="00723882"/>
    <w:rsid w:val="00726200"/>
    <w:rsid w:val="007264D6"/>
    <w:rsid w:val="00726B7B"/>
    <w:rsid w:val="00726FEF"/>
    <w:rsid w:val="00732471"/>
    <w:rsid w:val="00733BA8"/>
    <w:rsid w:val="00734612"/>
    <w:rsid w:val="00734FF4"/>
    <w:rsid w:val="007352BA"/>
    <w:rsid w:val="00742301"/>
    <w:rsid w:val="007423E3"/>
    <w:rsid w:val="00742906"/>
    <w:rsid w:val="00742ED0"/>
    <w:rsid w:val="0074309F"/>
    <w:rsid w:val="0074324A"/>
    <w:rsid w:val="00743ACC"/>
    <w:rsid w:val="00746BDC"/>
    <w:rsid w:val="00746BF2"/>
    <w:rsid w:val="007473F9"/>
    <w:rsid w:val="00747494"/>
    <w:rsid w:val="007503CE"/>
    <w:rsid w:val="0075108E"/>
    <w:rsid w:val="0075198C"/>
    <w:rsid w:val="007532F4"/>
    <w:rsid w:val="007538FF"/>
    <w:rsid w:val="00754CC4"/>
    <w:rsid w:val="00754E09"/>
    <w:rsid w:val="007557C0"/>
    <w:rsid w:val="007559A1"/>
    <w:rsid w:val="00756A18"/>
    <w:rsid w:val="0076051C"/>
    <w:rsid w:val="007627A9"/>
    <w:rsid w:val="00763333"/>
    <w:rsid w:val="0076379C"/>
    <w:rsid w:val="007645AD"/>
    <w:rsid w:val="00764ACC"/>
    <w:rsid w:val="00765DE4"/>
    <w:rsid w:val="0077073E"/>
    <w:rsid w:val="007711C3"/>
    <w:rsid w:val="00771877"/>
    <w:rsid w:val="00772943"/>
    <w:rsid w:val="00772AF3"/>
    <w:rsid w:val="007733BF"/>
    <w:rsid w:val="00776946"/>
    <w:rsid w:val="007808D9"/>
    <w:rsid w:val="00782A87"/>
    <w:rsid w:val="00782EE5"/>
    <w:rsid w:val="00783E93"/>
    <w:rsid w:val="007858BB"/>
    <w:rsid w:val="00786616"/>
    <w:rsid w:val="0078661E"/>
    <w:rsid w:val="007875EA"/>
    <w:rsid w:val="0078783A"/>
    <w:rsid w:val="007930DA"/>
    <w:rsid w:val="007935CB"/>
    <w:rsid w:val="007A1076"/>
    <w:rsid w:val="007A1953"/>
    <w:rsid w:val="007A1F70"/>
    <w:rsid w:val="007A26DB"/>
    <w:rsid w:val="007A310F"/>
    <w:rsid w:val="007A4943"/>
    <w:rsid w:val="007A5C0E"/>
    <w:rsid w:val="007A5CA4"/>
    <w:rsid w:val="007A63BD"/>
    <w:rsid w:val="007A7537"/>
    <w:rsid w:val="007B004D"/>
    <w:rsid w:val="007B3CEA"/>
    <w:rsid w:val="007B49BD"/>
    <w:rsid w:val="007B505F"/>
    <w:rsid w:val="007B7770"/>
    <w:rsid w:val="007C2B3D"/>
    <w:rsid w:val="007C5054"/>
    <w:rsid w:val="007C5514"/>
    <w:rsid w:val="007C56CA"/>
    <w:rsid w:val="007C589C"/>
    <w:rsid w:val="007D0F24"/>
    <w:rsid w:val="007D1FA2"/>
    <w:rsid w:val="007D22F0"/>
    <w:rsid w:val="007D3027"/>
    <w:rsid w:val="007D4AF3"/>
    <w:rsid w:val="007D4CC7"/>
    <w:rsid w:val="007D7072"/>
    <w:rsid w:val="007D7195"/>
    <w:rsid w:val="007D73DD"/>
    <w:rsid w:val="007E1F9E"/>
    <w:rsid w:val="007E23FC"/>
    <w:rsid w:val="007E3AF4"/>
    <w:rsid w:val="007E4487"/>
    <w:rsid w:val="007E7D19"/>
    <w:rsid w:val="007F016B"/>
    <w:rsid w:val="007F0C97"/>
    <w:rsid w:val="007F1F5E"/>
    <w:rsid w:val="007F228A"/>
    <w:rsid w:val="007F33D1"/>
    <w:rsid w:val="007F3A94"/>
    <w:rsid w:val="007F3E71"/>
    <w:rsid w:val="007F5198"/>
    <w:rsid w:val="0080235A"/>
    <w:rsid w:val="00803D49"/>
    <w:rsid w:val="0080569B"/>
    <w:rsid w:val="008060E5"/>
    <w:rsid w:val="00810209"/>
    <w:rsid w:val="00810331"/>
    <w:rsid w:val="00812488"/>
    <w:rsid w:val="00812D80"/>
    <w:rsid w:val="0081509B"/>
    <w:rsid w:val="00816CD7"/>
    <w:rsid w:val="00817599"/>
    <w:rsid w:val="00823242"/>
    <w:rsid w:val="00823297"/>
    <w:rsid w:val="008233DC"/>
    <w:rsid w:val="0082676E"/>
    <w:rsid w:val="00827621"/>
    <w:rsid w:val="00830681"/>
    <w:rsid w:val="00831106"/>
    <w:rsid w:val="008363F0"/>
    <w:rsid w:val="0083667D"/>
    <w:rsid w:val="008367F8"/>
    <w:rsid w:val="008369C0"/>
    <w:rsid w:val="00841249"/>
    <w:rsid w:val="00843270"/>
    <w:rsid w:val="00846713"/>
    <w:rsid w:val="0085010D"/>
    <w:rsid w:val="00850CCC"/>
    <w:rsid w:val="00851F89"/>
    <w:rsid w:val="00852261"/>
    <w:rsid w:val="00852A70"/>
    <w:rsid w:val="008565EE"/>
    <w:rsid w:val="00856A50"/>
    <w:rsid w:val="00857709"/>
    <w:rsid w:val="00860670"/>
    <w:rsid w:val="008615D0"/>
    <w:rsid w:val="008627E8"/>
    <w:rsid w:val="00863C9E"/>
    <w:rsid w:val="008660E6"/>
    <w:rsid w:val="00872B38"/>
    <w:rsid w:val="008742EB"/>
    <w:rsid w:val="00875092"/>
    <w:rsid w:val="008800A9"/>
    <w:rsid w:val="00882E47"/>
    <w:rsid w:val="008845A4"/>
    <w:rsid w:val="008849B9"/>
    <w:rsid w:val="00884F86"/>
    <w:rsid w:val="00885035"/>
    <w:rsid w:val="00885602"/>
    <w:rsid w:val="008867FC"/>
    <w:rsid w:val="00887AE0"/>
    <w:rsid w:val="00895FC6"/>
    <w:rsid w:val="008964A0"/>
    <w:rsid w:val="008A0797"/>
    <w:rsid w:val="008A1272"/>
    <w:rsid w:val="008A127C"/>
    <w:rsid w:val="008A1D56"/>
    <w:rsid w:val="008A24AB"/>
    <w:rsid w:val="008A34EB"/>
    <w:rsid w:val="008B305F"/>
    <w:rsid w:val="008B4A50"/>
    <w:rsid w:val="008B5E05"/>
    <w:rsid w:val="008B6A00"/>
    <w:rsid w:val="008B6CDA"/>
    <w:rsid w:val="008C0034"/>
    <w:rsid w:val="008C0C4A"/>
    <w:rsid w:val="008C1C1A"/>
    <w:rsid w:val="008C2425"/>
    <w:rsid w:val="008C4265"/>
    <w:rsid w:val="008C5BFB"/>
    <w:rsid w:val="008C7660"/>
    <w:rsid w:val="008D1C4F"/>
    <w:rsid w:val="008D2D76"/>
    <w:rsid w:val="008D5161"/>
    <w:rsid w:val="008E022D"/>
    <w:rsid w:val="008E09E8"/>
    <w:rsid w:val="008E133A"/>
    <w:rsid w:val="008E19A9"/>
    <w:rsid w:val="008E5B6B"/>
    <w:rsid w:val="008F06DE"/>
    <w:rsid w:val="008F0819"/>
    <w:rsid w:val="008F0933"/>
    <w:rsid w:val="008F2870"/>
    <w:rsid w:val="008F4889"/>
    <w:rsid w:val="009009C8"/>
    <w:rsid w:val="009009F1"/>
    <w:rsid w:val="00901D57"/>
    <w:rsid w:val="00902A0C"/>
    <w:rsid w:val="00907152"/>
    <w:rsid w:val="00907EE2"/>
    <w:rsid w:val="00911C82"/>
    <w:rsid w:val="0091226D"/>
    <w:rsid w:val="00912C9B"/>
    <w:rsid w:val="00913520"/>
    <w:rsid w:val="00913C7E"/>
    <w:rsid w:val="009148BA"/>
    <w:rsid w:val="00915B34"/>
    <w:rsid w:val="00916F01"/>
    <w:rsid w:val="009201F3"/>
    <w:rsid w:val="00921616"/>
    <w:rsid w:val="0092163B"/>
    <w:rsid w:val="009229D2"/>
    <w:rsid w:val="009252B7"/>
    <w:rsid w:val="00926397"/>
    <w:rsid w:val="00930A87"/>
    <w:rsid w:val="00931BA0"/>
    <w:rsid w:val="009329AC"/>
    <w:rsid w:val="00933473"/>
    <w:rsid w:val="00940738"/>
    <w:rsid w:val="00940F20"/>
    <w:rsid w:val="00941DB2"/>
    <w:rsid w:val="00942402"/>
    <w:rsid w:val="00947CF5"/>
    <w:rsid w:val="00950068"/>
    <w:rsid w:val="0095152B"/>
    <w:rsid w:val="00951882"/>
    <w:rsid w:val="00951949"/>
    <w:rsid w:val="009527CD"/>
    <w:rsid w:val="0095283F"/>
    <w:rsid w:val="00953E95"/>
    <w:rsid w:val="0095508E"/>
    <w:rsid w:val="00955D2C"/>
    <w:rsid w:val="0095619B"/>
    <w:rsid w:val="00957737"/>
    <w:rsid w:val="00960ABC"/>
    <w:rsid w:val="00960B03"/>
    <w:rsid w:val="00962B94"/>
    <w:rsid w:val="009657D8"/>
    <w:rsid w:val="00971E08"/>
    <w:rsid w:val="00972644"/>
    <w:rsid w:val="00973410"/>
    <w:rsid w:val="00973A83"/>
    <w:rsid w:val="00974F81"/>
    <w:rsid w:val="00974FED"/>
    <w:rsid w:val="00976003"/>
    <w:rsid w:val="009762A6"/>
    <w:rsid w:val="009765E3"/>
    <w:rsid w:val="00977413"/>
    <w:rsid w:val="009826FE"/>
    <w:rsid w:val="009843E8"/>
    <w:rsid w:val="00984474"/>
    <w:rsid w:val="0098568B"/>
    <w:rsid w:val="00985D4B"/>
    <w:rsid w:val="00985DC0"/>
    <w:rsid w:val="0098735A"/>
    <w:rsid w:val="00990FEB"/>
    <w:rsid w:val="00991294"/>
    <w:rsid w:val="00992A21"/>
    <w:rsid w:val="00992A8D"/>
    <w:rsid w:val="00992BA1"/>
    <w:rsid w:val="0099394C"/>
    <w:rsid w:val="00995EC1"/>
    <w:rsid w:val="0099746F"/>
    <w:rsid w:val="00997B87"/>
    <w:rsid w:val="009A1709"/>
    <w:rsid w:val="009A24E9"/>
    <w:rsid w:val="009A39F9"/>
    <w:rsid w:val="009A40C5"/>
    <w:rsid w:val="009A64FF"/>
    <w:rsid w:val="009A7DBA"/>
    <w:rsid w:val="009B015A"/>
    <w:rsid w:val="009B0DC9"/>
    <w:rsid w:val="009B22AB"/>
    <w:rsid w:val="009B301E"/>
    <w:rsid w:val="009B37EB"/>
    <w:rsid w:val="009B487D"/>
    <w:rsid w:val="009B5B94"/>
    <w:rsid w:val="009B62E6"/>
    <w:rsid w:val="009B737B"/>
    <w:rsid w:val="009C0E90"/>
    <w:rsid w:val="009C4CE2"/>
    <w:rsid w:val="009C7F06"/>
    <w:rsid w:val="009D3746"/>
    <w:rsid w:val="009D6B61"/>
    <w:rsid w:val="009E01F8"/>
    <w:rsid w:val="009E1B0A"/>
    <w:rsid w:val="009E4DB7"/>
    <w:rsid w:val="009E76DB"/>
    <w:rsid w:val="009E78E1"/>
    <w:rsid w:val="009E7DE4"/>
    <w:rsid w:val="009F2E3E"/>
    <w:rsid w:val="009F3065"/>
    <w:rsid w:val="009F4B32"/>
    <w:rsid w:val="009F5060"/>
    <w:rsid w:val="009F5AA7"/>
    <w:rsid w:val="009F744F"/>
    <w:rsid w:val="009F766A"/>
    <w:rsid w:val="009F78A5"/>
    <w:rsid w:val="009F7C0D"/>
    <w:rsid w:val="00A0016E"/>
    <w:rsid w:val="00A01347"/>
    <w:rsid w:val="00A03A67"/>
    <w:rsid w:val="00A04FE6"/>
    <w:rsid w:val="00A06777"/>
    <w:rsid w:val="00A101FC"/>
    <w:rsid w:val="00A10CE6"/>
    <w:rsid w:val="00A111C5"/>
    <w:rsid w:val="00A1791F"/>
    <w:rsid w:val="00A17FD5"/>
    <w:rsid w:val="00A205C2"/>
    <w:rsid w:val="00A21E61"/>
    <w:rsid w:val="00A236D8"/>
    <w:rsid w:val="00A24114"/>
    <w:rsid w:val="00A2597B"/>
    <w:rsid w:val="00A25CD6"/>
    <w:rsid w:val="00A265E4"/>
    <w:rsid w:val="00A27732"/>
    <w:rsid w:val="00A302E3"/>
    <w:rsid w:val="00A30E17"/>
    <w:rsid w:val="00A3190C"/>
    <w:rsid w:val="00A31EB8"/>
    <w:rsid w:val="00A336DE"/>
    <w:rsid w:val="00A347AE"/>
    <w:rsid w:val="00A367C8"/>
    <w:rsid w:val="00A37244"/>
    <w:rsid w:val="00A3731E"/>
    <w:rsid w:val="00A37832"/>
    <w:rsid w:val="00A37C6A"/>
    <w:rsid w:val="00A4041B"/>
    <w:rsid w:val="00A412F5"/>
    <w:rsid w:val="00A43976"/>
    <w:rsid w:val="00A4438E"/>
    <w:rsid w:val="00A447BF"/>
    <w:rsid w:val="00A44A26"/>
    <w:rsid w:val="00A44C6D"/>
    <w:rsid w:val="00A45C26"/>
    <w:rsid w:val="00A46DBC"/>
    <w:rsid w:val="00A5017F"/>
    <w:rsid w:val="00A50B7F"/>
    <w:rsid w:val="00A50F8C"/>
    <w:rsid w:val="00A5129F"/>
    <w:rsid w:val="00A514A0"/>
    <w:rsid w:val="00A51980"/>
    <w:rsid w:val="00A51B7E"/>
    <w:rsid w:val="00A52651"/>
    <w:rsid w:val="00A52F4C"/>
    <w:rsid w:val="00A53F8E"/>
    <w:rsid w:val="00A575D4"/>
    <w:rsid w:val="00A60E38"/>
    <w:rsid w:val="00A61E2E"/>
    <w:rsid w:val="00A62C8E"/>
    <w:rsid w:val="00A62DCF"/>
    <w:rsid w:val="00A633E9"/>
    <w:rsid w:val="00A653D9"/>
    <w:rsid w:val="00A661E5"/>
    <w:rsid w:val="00A66DE7"/>
    <w:rsid w:val="00A672C9"/>
    <w:rsid w:val="00A71A9E"/>
    <w:rsid w:val="00A72E98"/>
    <w:rsid w:val="00A75C14"/>
    <w:rsid w:val="00A76CDE"/>
    <w:rsid w:val="00A81EDC"/>
    <w:rsid w:val="00A85287"/>
    <w:rsid w:val="00A85B31"/>
    <w:rsid w:val="00A8637D"/>
    <w:rsid w:val="00A87993"/>
    <w:rsid w:val="00A935AA"/>
    <w:rsid w:val="00A9411C"/>
    <w:rsid w:val="00A946B1"/>
    <w:rsid w:val="00A95470"/>
    <w:rsid w:val="00A9642F"/>
    <w:rsid w:val="00A96507"/>
    <w:rsid w:val="00AA273A"/>
    <w:rsid w:val="00AA2E3E"/>
    <w:rsid w:val="00AA2F85"/>
    <w:rsid w:val="00AA3320"/>
    <w:rsid w:val="00AA7C04"/>
    <w:rsid w:val="00AA7DF4"/>
    <w:rsid w:val="00AB02F9"/>
    <w:rsid w:val="00AB1905"/>
    <w:rsid w:val="00AB1D8F"/>
    <w:rsid w:val="00AB2C8F"/>
    <w:rsid w:val="00AB3FA2"/>
    <w:rsid w:val="00AB52A4"/>
    <w:rsid w:val="00AC0683"/>
    <w:rsid w:val="00AC1502"/>
    <w:rsid w:val="00AC4807"/>
    <w:rsid w:val="00AC5B6A"/>
    <w:rsid w:val="00AC60AB"/>
    <w:rsid w:val="00AC61E8"/>
    <w:rsid w:val="00AC6D89"/>
    <w:rsid w:val="00AC6D96"/>
    <w:rsid w:val="00AC7F77"/>
    <w:rsid w:val="00AD182F"/>
    <w:rsid w:val="00AD1D2E"/>
    <w:rsid w:val="00AD6948"/>
    <w:rsid w:val="00AE0340"/>
    <w:rsid w:val="00AE07AF"/>
    <w:rsid w:val="00AE0CA6"/>
    <w:rsid w:val="00AE189F"/>
    <w:rsid w:val="00AE4B73"/>
    <w:rsid w:val="00AE57C8"/>
    <w:rsid w:val="00AE607A"/>
    <w:rsid w:val="00AE617A"/>
    <w:rsid w:val="00AE6D60"/>
    <w:rsid w:val="00AE7926"/>
    <w:rsid w:val="00AF1834"/>
    <w:rsid w:val="00AF2259"/>
    <w:rsid w:val="00AF3618"/>
    <w:rsid w:val="00AF3E32"/>
    <w:rsid w:val="00AF4ED4"/>
    <w:rsid w:val="00AF5486"/>
    <w:rsid w:val="00AF5726"/>
    <w:rsid w:val="00AF5809"/>
    <w:rsid w:val="00AF5CC0"/>
    <w:rsid w:val="00AF79FC"/>
    <w:rsid w:val="00B007A8"/>
    <w:rsid w:val="00B01498"/>
    <w:rsid w:val="00B01F3D"/>
    <w:rsid w:val="00B038E8"/>
    <w:rsid w:val="00B05BA8"/>
    <w:rsid w:val="00B06FFB"/>
    <w:rsid w:val="00B0789C"/>
    <w:rsid w:val="00B10649"/>
    <w:rsid w:val="00B117E8"/>
    <w:rsid w:val="00B12DA2"/>
    <w:rsid w:val="00B154DD"/>
    <w:rsid w:val="00B1751A"/>
    <w:rsid w:val="00B21A4B"/>
    <w:rsid w:val="00B227C2"/>
    <w:rsid w:val="00B2296E"/>
    <w:rsid w:val="00B2381B"/>
    <w:rsid w:val="00B23E68"/>
    <w:rsid w:val="00B23F07"/>
    <w:rsid w:val="00B2537E"/>
    <w:rsid w:val="00B26C91"/>
    <w:rsid w:val="00B30649"/>
    <w:rsid w:val="00B311C2"/>
    <w:rsid w:val="00B31396"/>
    <w:rsid w:val="00B32617"/>
    <w:rsid w:val="00B3418F"/>
    <w:rsid w:val="00B34359"/>
    <w:rsid w:val="00B34E49"/>
    <w:rsid w:val="00B35B7D"/>
    <w:rsid w:val="00B37D5E"/>
    <w:rsid w:val="00B45274"/>
    <w:rsid w:val="00B4661F"/>
    <w:rsid w:val="00B46EEC"/>
    <w:rsid w:val="00B476D6"/>
    <w:rsid w:val="00B476E5"/>
    <w:rsid w:val="00B5001D"/>
    <w:rsid w:val="00B518F4"/>
    <w:rsid w:val="00B55E4A"/>
    <w:rsid w:val="00B57488"/>
    <w:rsid w:val="00B57EF6"/>
    <w:rsid w:val="00B62AA5"/>
    <w:rsid w:val="00B638DF"/>
    <w:rsid w:val="00B64C54"/>
    <w:rsid w:val="00B650AF"/>
    <w:rsid w:val="00B67452"/>
    <w:rsid w:val="00B67DF5"/>
    <w:rsid w:val="00B71A9C"/>
    <w:rsid w:val="00B73CC5"/>
    <w:rsid w:val="00B74094"/>
    <w:rsid w:val="00B74BCF"/>
    <w:rsid w:val="00B75090"/>
    <w:rsid w:val="00B76A49"/>
    <w:rsid w:val="00B76A95"/>
    <w:rsid w:val="00B805BB"/>
    <w:rsid w:val="00B80726"/>
    <w:rsid w:val="00B8084F"/>
    <w:rsid w:val="00B82329"/>
    <w:rsid w:val="00B824E7"/>
    <w:rsid w:val="00B82555"/>
    <w:rsid w:val="00B82AFE"/>
    <w:rsid w:val="00B82E32"/>
    <w:rsid w:val="00B8431F"/>
    <w:rsid w:val="00B858FC"/>
    <w:rsid w:val="00B94D6B"/>
    <w:rsid w:val="00B95AE1"/>
    <w:rsid w:val="00B962B7"/>
    <w:rsid w:val="00B96724"/>
    <w:rsid w:val="00BA1499"/>
    <w:rsid w:val="00BA2522"/>
    <w:rsid w:val="00BA255D"/>
    <w:rsid w:val="00BA4BB2"/>
    <w:rsid w:val="00BA77E1"/>
    <w:rsid w:val="00BB265D"/>
    <w:rsid w:val="00BB3CD3"/>
    <w:rsid w:val="00BB3F99"/>
    <w:rsid w:val="00BB4962"/>
    <w:rsid w:val="00BB6597"/>
    <w:rsid w:val="00BC0091"/>
    <w:rsid w:val="00BC0466"/>
    <w:rsid w:val="00BC0BAA"/>
    <w:rsid w:val="00BC153D"/>
    <w:rsid w:val="00BC266B"/>
    <w:rsid w:val="00BC54FB"/>
    <w:rsid w:val="00BC5AE4"/>
    <w:rsid w:val="00BC761C"/>
    <w:rsid w:val="00BD2B8F"/>
    <w:rsid w:val="00BD5426"/>
    <w:rsid w:val="00BD5B05"/>
    <w:rsid w:val="00BD7B86"/>
    <w:rsid w:val="00BE0944"/>
    <w:rsid w:val="00BE0D59"/>
    <w:rsid w:val="00BE2434"/>
    <w:rsid w:val="00BE2AF4"/>
    <w:rsid w:val="00BE2D02"/>
    <w:rsid w:val="00BE3584"/>
    <w:rsid w:val="00BE3C73"/>
    <w:rsid w:val="00BE5749"/>
    <w:rsid w:val="00BE7529"/>
    <w:rsid w:val="00BF1489"/>
    <w:rsid w:val="00BF2AFA"/>
    <w:rsid w:val="00BF535A"/>
    <w:rsid w:val="00BF6095"/>
    <w:rsid w:val="00BF67EA"/>
    <w:rsid w:val="00C00690"/>
    <w:rsid w:val="00C00B5D"/>
    <w:rsid w:val="00C03523"/>
    <w:rsid w:val="00C044B4"/>
    <w:rsid w:val="00C04D06"/>
    <w:rsid w:val="00C07905"/>
    <w:rsid w:val="00C1112D"/>
    <w:rsid w:val="00C11CB5"/>
    <w:rsid w:val="00C120F8"/>
    <w:rsid w:val="00C1383D"/>
    <w:rsid w:val="00C14250"/>
    <w:rsid w:val="00C147C2"/>
    <w:rsid w:val="00C15500"/>
    <w:rsid w:val="00C16249"/>
    <w:rsid w:val="00C206E0"/>
    <w:rsid w:val="00C22F1B"/>
    <w:rsid w:val="00C246A4"/>
    <w:rsid w:val="00C26F41"/>
    <w:rsid w:val="00C31B2F"/>
    <w:rsid w:val="00C35F2D"/>
    <w:rsid w:val="00C36659"/>
    <w:rsid w:val="00C400C4"/>
    <w:rsid w:val="00C42B84"/>
    <w:rsid w:val="00C43A39"/>
    <w:rsid w:val="00C45D59"/>
    <w:rsid w:val="00C46E35"/>
    <w:rsid w:val="00C471A1"/>
    <w:rsid w:val="00C51190"/>
    <w:rsid w:val="00C51EA6"/>
    <w:rsid w:val="00C52D5B"/>
    <w:rsid w:val="00C5359F"/>
    <w:rsid w:val="00C53B9B"/>
    <w:rsid w:val="00C5428D"/>
    <w:rsid w:val="00C546CA"/>
    <w:rsid w:val="00C54FCB"/>
    <w:rsid w:val="00C56399"/>
    <w:rsid w:val="00C567CC"/>
    <w:rsid w:val="00C6345D"/>
    <w:rsid w:val="00C638C8"/>
    <w:rsid w:val="00C64125"/>
    <w:rsid w:val="00C64290"/>
    <w:rsid w:val="00C64351"/>
    <w:rsid w:val="00C64E13"/>
    <w:rsid w:val="00C6678F"/>
    <w:rsid w:val="00C669C7"/>
    <w:rsid w:val="00C67332"/>
    <w:rsid w:val="00C67714"/>
    <w:rsid w:val="00C711A1"/>
    <w:rsid w:val="00C71258"/>
    <w:rsid w:val="00C7132B"/>
    <w:rsid w:val="00C75A99"/>
    <w:rsid w:val="00C76574"/>
    <w:rsid w:val="00C76D3D"/>
    <w:rsid w:val="00C77170"/>
    <w:rsid w:val="00C80049"/>
    <w:rsid w:val="00C80538"/>
    <w:rsid w:val="00C81B1F"/>
    <w:rsid w:val="00C8447D"/>
    <w:rsid w:val="00C8507A"/>
    <w:rsid w:val="00C86CC4"/>
    <w:rsid w:val="00C9275D"/>
    <w:rsid w:val="00C9275F"/>
    <w:rsid w:val="00C94C13"/>
    <w:rsid w:val="00C95758"/>
    <w:rsid w:val="00C97B70"/>
    <w:rsid w:val="00CA1EA7"/>
    <w:rsid w:val="00CA20F1"/>
    <w:rsid w:val="00CA2A35"/>
    <w:rsid w:val="00CA3D28"/>
    <w:rsid w:val="00CA72AA"/>
    <w:rsid w:val="00CA750D"/>
    <w:rsid w:val="00CB0A23"/>
    <w:rsid w:val="00CB4B86"/>
    <w:rsid w:val="00CB623E"/>
    <w:rsid w:val="00CB7420"/>
    <w:rsid w:val="00CC1CE6"/>
    <w:rsid w:val="00CC1FD3"/>
    <w:rsid w:val="00CC2AF1"/>
    <w:rsid w:val="00CC3CA4"/>
    <w:rsid w:val="00CC582F"/>
    <w:rsid w:val="00CC5F07"/>
    <w:rsid w:val="00CC73F6"/>
    <w:rsid w:val="00CD0069"/>
    <w:rsid w:val="00CD03F8"/>
    <w:rsid w:val="00CD0F54"/>
    <w:rsid w:val="00CD12C8"/>
    <w:rsid w:val="00CD3687"/>
    <w:rsid w:val="00CE01D4"/>
    <w:rsid w:val="00CE0BC7"/>
    <w:rsid w:val="00CE16EF"/>
    <w:rsid w:val="00CE307F"/>
    <w:rsid w:val="00CE4AE2"/>
    <w:rsid w:val="00CE504E"/>
    <w:rsid w:val="00CE6CA7"/>
    <w:rsid w:val="00CF114E"/>
    <w:rsid w:val="00CF1522"/>
    <w:rsid w:val="00CF17B4"/>
    <w:rsid w:val="00CF30B0"/>
    <w:rsid w:val="00CF3544"/>
    <w:rsid w:val="00CF466E"/>
    <w:rsid w:val="00CF782E"/>
    <w:rsid w:val="00CF7BB0"/>
    <w:rsid w:val="00D023A3"/>
    <w:rsid w:val="00D040A6"/>
    <w:rsid w:val="00D05094"/>
    <w:rsid w:val="00D05662"/>
    <w:rsid w:val="00D06DB1"/>
    <w:rsid w:val="00D07CAA"/>
    <w:rsid w:val="00D10204"/>
    <w:rsid w:val="00D103C8"/>
    <w:rsid w:val="00D11990"/>
    <w:rsid w:val="00D12A68"/>
    <w:rsid w:val="00D15236"/>
    <w:rsid w:val="00D16E54"/>
    <w:rsid w:val="00D206DC"/>
    <w:rsid w:val="00D20E5E"/>
    <w:rsid w:val="00D232B4"/>
    <w:rsid w:val="00D27529"/>
    <w:rsid w:val="00D30F8A"/>
    <w:rsid w:val="00D31D8E"/>
    <w:rsid w:val="00D341C9"/>
    <w:rsid w:val="00D36159"/>
    <w:rsid w:val="00D409C8"/>
    <w:rsid w:val="00D41DA4"/>
    <w:rsid w:val="00D42368"/>
    <w:rsid w:val="00D43360"/>
    <w:rsid w:val="00D4383E"/>
    <w:rsid w:val="00D45178"/>
    <w:rsid w:val="00D46206"/>
    <w:rsid w:val="00D470C8"/>
    <w:rsid w:val="00D4717C"/>
    <w:rsid w:val="00D47319"/>
    <w:rsid w:val="00D47320"/>
    <w:rsid w:val="00D50138"/>
    <w:rsid w:val="00D5015D"/>
    <w:rsid w:val="00D51B3F"/>
    <w:rsid w:val="00D51EC7"/>
    <w:rsid w:val="00D52CFD"/>
    <w:rsid w:val="00D536BC"/>
    <w:rsid w:val="00D57DE7"/>
    <w:rsid w:val="00D60177"/>
    <w:rsid w:val="00D61A72"/>
    <w:rsid w:val="00D64388"/>
    <w:rsid w:val="00D66D06"/>
    <w:rsid w:val="00D73A63"/>
    <w:rsid w:val="00D750B8"/>
    <w:rsid w:val="00D75788"/>
    <w:rsid w:val="00D7621E"/>
    <w:rsid w:val="00D762DE"/>
    <w:rsid w:val="00D76B80"/>
    <w:rsid w:val="00D803C3"/>
    <w:rsid w:val="00D8087D"/>
    <w:rsid w:val="00D81266"/>
    <w:rsid w:val="00D81919"/>
    <w:rsid w:val="00D81F67"/>
    <w:rsid w:val="00D8643F"/>
    <w:rsid w:val="00D913E8"/>
    <w:rsid w:val="00D936FB"/>
    <w:rsid w:val="00DA2524"/>
    <w:rsid w:val="00DA4CAD"/>
    <w:rsid w:val="00DA7A57"/>
    <w:rsid w:val="00DB00C4"/>
    <w:rsid w:val="00DB35B9"/>
    <w:rsid w:val="00DB3DA4"/>
    <w:rsid w:val="00DB649D"/>
    <w:rsid w:val="00DB7084"/>
    <w:rsid w:val="00DB72B0"/>
    <w:rsid w:val="00DC1213"/>
    <w:rsid w:val="00DC172E"/>
    <w:rsid w:val="00DC2C7B"/>
    <w:rsid w:val="00DC577A"/>
    <w:rsid w:val="00DC6793"/>
    <w:rsid w:val="00DC68BF"/>
    <w:rsid w:val="00DC6A9E"/>
    <w:rsid w:val="00DC6B79"/>
    <w:rsid w:val="00DC7456"/>
    <w:rsid w:val="00DC7BDF"/>
    <w:rsid w:val="00DD0986"/>
    <w:rsid w:val="00DD0B9C"/>
    <w:rsid w:val="00DD1AE0"/>
    <w:rsid w:val="00DD2363"/>
    <w:rsid w:val="00DD424C"/>
    <w:rsid w:val="00DD4572"/>
    <w:rsid w:val="00DD67C9"/>
    <w:rsid w:val="00DD7DD0"/>
    <w:rsid w:val="00DE0653"/>
    <w:rsid w:val="00DE0F84"/>
    <w:rsid w:val="00DE2505"/>
    <w:rsid w:val="00DE44B4"/>
    <w:rsid w:val="00DE69FD"/>
    <w:rsid w:val="00DE753C"/>
    <w:rsid w:val="00DE78EA"/>
    <w:rsid w:val="00DE7939"/>
    <w:rsid w:val="00DF37FB"/>
    <w:rsid w:val="00DF3BEF"/>
    <w:rsid w:val="00DF5CC2"/>
    <w:rsid w:val="00DF6D5B"/>
    <w:rsid w:val="00DF6DAA"/>
    <w:rsid w:val="00DF7F11"/>
    <w:rsid w:val="00E013F5"/>
    <w:rsid w:val="00E01AD4"/>
    <w:rsid w:val="00E05B5C"/>
    <w:rsid w:val="00E0777A"/>
    <w:rsid w:val="00E077C7"/>
    <w:rsid w:val="00E107CA"/>
    <w:rsid w:val="00E1633F"/>
    <w:rsid w:val="00E164B9"/>
    <w:rsid w:val="00E17464"/>
    <w:rsid w:val="00E17622"/>
    <w:rsid w:val="00E202EF"/>
    <w:rsid w:val="00E22530"/>
    <w:rsid w:val="00E22563"/>
    <w:rsid w:val="00E22795"/>
    <w:rsid w:val="00E22B5E"/>
    <w:rsid w:val="00E24193"/>
    <w:rsid w:val="00E26884"/>
    <w:rsid w:val="00E271ED"/>
    <w:rsid w:val="00E27757"/>
    <w:rsid w:val="00E32174"/>
    <w:rsid w:val="00E37655"/>
    <w:rsid w:val="00E42484"/>
    <w:rsid w:val="00E45F04"/>
    <w:rsid w:val="00E46441"/>
    <w:rsid w:val="00E522AC"/>
    <w:rsid w:val="00E55F19"/>
    <w:rsid w:val="00E56404"/>
    <w:rsid w:val="00E57536"/>
    <w:rsid w:val="00E60A7C"/>
    <w:rsid w:val="00E6311D"/>
    <w:rsid w:val="00E642BE"/>
    <w:rsid w:val="00E650A2"/>
    <w:rsid w:val="00E65386"/>
    <w:rsid w:val="00E66C16"/>
    <w:rsid w:val="00E6766C"/>
    <w:rsid w:val="00E719F8"/>
    <w:rsid w:val="00E72EF0"/>
    <w:rsid w:val="00E753E4"/>
    <w:rsid w:val="00E76732"/>
    <w:rsid w:val="00E76735"/>
    <w:rsid w:val="00E8016E"/>
    <w:rsid w:val="00E81BE5"/>
    <w:rsid w:val="00E8229A"/>
    <w:rsid w:val="00E823AD"/>
    <w:rsid w:val="00E82DAE"/>
    <w:rsid w:val="00E8346B"/>
    <w:rsid w:val="00E84825"/>
    <w:rsid w:val="00E85CD1"/>
    <w:rsid w:val="00E86D64"/>
    <w:rsid w:val="00E87101"/>
    <w:rsid w:val="00E874A0"/>
    <w:rsid w:val="00E90005"/>
    <w:rsid w:val="00E90118"/>
    <w:rsid w:val="00E90ED1"/>
    <w:rsid w:val="00E914AD"/>
    <w:rsid w:val="00E921FA"/>
    <w:rsid w:val="00E92391"/>
    <w:rsid w:val="00E942AF"/>
    <w:rsid w:val="00E94A1D"/>
    <w:rsid w:val="00E94EF1"/>
    <w:rsid w:val="00E97900"/>
    <w:rsid w:val="00EA2D59"/>
    <w:rsid w:val="00EA3AD0"/>
    <w:rsid w:val="00EA49F9"/>
    <w:rsid w:val="00EA5261"/>
    <w:rsid w:val="00EB6C0C"/>
    <w:rsid w:val="00EC017F"/>
    <w:rsid w:val="00EC0CCC"/>
    <w:rsid w:val="00EC25A0"/>
    <w:rsid w:val="00EC3CFE"/>
    <w:rsid w:val="00EC62F3"/>
    <w:rsid w:val="00EC7F10"/>
    <w:rsid w:val="00EC7F3C"/>
    <w:rsid w:val="00ED1300"/>
    <w:rsid w:val="00ED2D0C"/>
    <w:rsid w:val="00ED4962"/>
    <w:rsid w:val="00ED4EAB"/>
    <w:rsid w:val="00ED57C5"/>
    <w:rsid w:val="00ED5CB0"/>
    <w:rsid w:val="00ED6BED"/>
    <w:rsid w:val="00ED7ADB"/>
    <w:rsid w:val="00EE0FEE"/>
    <w:rsid w:val="00EE1334"/>
    <w:rsid w:val="00EE21C3"/>
    <w:rsid w:val="00EE220B"/>
    <w:rsid w:val="00EE28C8"/>
    <w:rsid w:val="00EE2F33"/>
    <w:rsid w:val="00EE3BA7"/>
    <w:rsid w:val="00EE52CB"/>
    <w:rsid w:val="00EE5852"/>
    <w:rsid w:val="00EF3D13"/>
    <w:rsid w:val="00EF4AD4"/>
    <w:rsid w:val="00EF4B1E"/>
    <w:rsid w:val="00EF4BEC"/>
    <w:rsid w:val="00F00A21"/>
    <w:rsid w:val="00F02271"/>
    <w:rsid w:val="00F051FD"/>
    <w:rsid w:val="00F053D5"/>
    <w:rsid w:val="00F05606"/>
    <w:rsid w:val="00F05D4C"/>
    <w:rsid w:val="00F10E14"/>
    <w:rsid w:val="00F11822"/>
    <w:rsid w:val="00F1564F"/>
    <w:rsid w:val="00F17150"/>
    <w:rsid w:val="00F17602"/>
    <w:rsid w:val="00F22CCE"/>
    <w:rsid w:val="00F25A52"/>
    <w:rsid w:val="00F26C76"/>
    <w:rsid w:val="00F26D70"/>
    <w:rsid w:val="00F324EE"/>
    <w:rsid w:val="00F326F3"/>
    <w:rsid w:val="00F402F2"/>
    <w:rsid w:val="00F40D34"/>
    <w:rsid w:val="00F44265"/>
    <w:rsid w:val="00F451A9"/>
    <w:rsid w:val="00F50042"/>
    <w:rsid w:val="00F510C9"/>
    <w:rsid w:val="00F5187C"/>
    <w:rsid w:val="00F526CD"/>
    <w:rsid w:val="00F53594"/>
    <w:rsid w:val="00F5374A"/>
    <w:rsid w:val="00F609E5"/>
    <w:rsid w:val="00F6142A"/>
    <w:rsid w:val="00F61FCC"/>
    <w:rsid w:val="00F62988"/>
    <w:rsid w:val="00F62D42"/>
    <w:rsid w:val="00F63A79"/>
    <w:rsid w:val="00F65E0F"/>
    <w:rsid w:val="00F6629A"/>
    <w:rsid w:val="00F66340"/>
    <w:rsid w:val="00F708B8"/>
    <w:rsid w:val="00F73489"/>
    <w:rsid w:val="00F76730"/>
    <w:rsid w:val="00F76FC4"/>
    <w:rsid w:val="00F77F9A"/>
    <w:rsid w:val="00F80F80"/>
    <w:rsid w:val="00F82713"/>
    <w:rsid w:val="00F83230"/>
    <w:rsid w:val="00F832C1"/>
    <w:rsid w:val="00F8384B"/>
    <w:rsid w:val="00F83F66"/>
    <w:rsid w:val="00F84A92"/>
    <w:rsid w:val="00F84DC5"/>
    <w:rsid w:val="00F9252C"/>
    <w:rsid w:val="00F9272A"/>
    <w:rsid w:val="00F93B15"/>
    <w:rsid w:val="00F95CD0"/>
    <w:rsid w:val="00F96CE7"/>
    <w:rsid w:val="00F97109"/>
    <w:rsid w:val="00F97D10"/>
    <w:rsid w:val="00FA0333"/>
    <w:rsid w:val="00FA0565"/>
    <w:rsid w:val="00FA1021"/>
    <w:rsid w:val="00FA107E"/>
    <w:rsid w:val="00FA5587"/>
    <w:rsid w:val="00FB3663"/>
    <w:rsid w:val="00FB4B69"/>
    <w:rsid w:val="00FB65B3"/>
    <w:rsid w:val="00FC0848"/>
    <w:rsid w:val="00FC14D2"/>
    <w:rsid w:val="00FC39AD"/>
    <w:rsid w:val="00FC4E33"/>
    <w:rsid w:val="00FC64C5"/>
    <w:rsid w:val="00FC72DA"/>
    <w:rsid w:val="00FD2334"/>
    <w:rsid w:val="00FD249A"/>
    <w:rsid w:val="00FD55F0"/>
    <w:rsid w:val="00FD5B1A"/>
    <w:rsid w:val="00FD73A1"/>
    <w:rsid w:val="00FD76D6"/>
    <w:rsid w:val="00FE2458"/>
    <w:rsid w:val="00FE24C5"/>
    <w:rsid w:val="00FE34B6"/>
    <w:rsid w:val="00FE35F4"/>
    <w:rsid w:val="00FE592B"/>
    <w:rsid w:val="00FE5C1F"/>
    <w:rsid w:val="00FE5E38"/>
    <w:rsid w:val="00FF1C49"/>
    <w:rsid w:val="00FF21EA"/>
    <w:rsid w:val="00FF23F6"/>
    <w:rsid w:val="00FF28D5"/>
    <w:rsid w:val="00FF3805"/>
    <w:rsid w:val="00FF4392"/>
    <w:rsid w:val="00FF57D2"/>
    <w:rsid w:val="00FF5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EF7FC0"/>
  <w15:docId w15:val="{4F42D124-B439-40F8-9690-B4C4D45A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left="700"/>
      <w:outlineLvl w:val="0"/>
    </w:pPr>
    <w:rPr>
      <w:rFonts w:ascii="ＭＳ ゴシック" w:eastAsia="ＭＳ ゴシック" w:hAnsi="Times New Roman"/>
      <w:b/>
      <w:kern w:val="0"/>
      <w:sz w:val="28"/>
      <w:szCs w:val="20"/>
    </w:rPr>
  </w:style>
  <w:style w:type="paragraph" w:styleId="2">
    <w:name w:val="heading 2"/>
    <w:basedOn w:val="a"/>
    <w:next w:val="a"/>
    <w:qFormat/>
    <w:pPr>
      <w:keepNext/>
      <w:jc w:val="center"/>
      <w:outlineLvl w:val="1"/>
    </w:pPr>
    <w:rPr>
      <w:rFonts w:ascii="Times New Roman" w:hAnsi="Times New Roman"/>
      <w:i/>
      <w:iCs/>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rPr>
      <w:rFonts w:ascii="Times New Roman" w:hAnsi="Times New Roman"/>
      <w:kern w:val="0"/>
      <w:sz w:val="22"/>
      <w:szCs w:val="20"/>
    </w:rPr>
  </w:style>
  <w:style w:type="character" w:styleId="a5">
    <w:name w:val="page number"/>
    <w:basedOn w:val="a0"/>
    <w:rsid w:val="003A4EC3"/>
  </w:style>
  <w:style w:type="paragraph" w:styleId="a6">
    <w:name w:val="header"/>
    <w:basedOn w:val="a"/>
    <w:rsid w:val="003A4EC3"/>
    <w:pPr>
      <w:tabs>
        <w:tab w:val="center" w:pos="4252"/>
        <w:tab w:val="right" w:pos="8504"/>
      </w:tabs>
      <w:snapToGrid w:val="0"/>
    </w:pPr>
  </w:style>
  <w:style w:type="paragraph" w:customStyle="1" w:styleId="10">
    <w:name w:val="表題1"/>
    <w:basedOn w:val="a"/>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
    <w:rsid w:val="000A50C6"/>
    <w:pPr>
      <w:spacing w:line="240" w:lineRule="exact"/>
      <w:ind w:rightChars="450" w:right="450"/>
    </w:pPr>
    <w:rPr>
      <w:rFonts w:ascii="Times New Roman" w:eastAsia="Times New Roman" w:hAnsi="Times New Roman"/>
      <w:sz w:val="20"/>
    </w:rPr>
  </w:style>
  <w:style w:type="paragraph" w:customStyle="1" w:styleId="AUTHORS">
    <w:name w:val="AUTHORS"/>
    <w:basedOn w:val="a"/>
    <w:rsid w:val="008367F8"/>
    <w:pPr>
      <w:adjustRightInd w:val="0"/>
      <w:spacing w:line="280" w:lineRule="exact"/>
      <w:ind w:rightChars="450" w:right="450"/>
    </w:pPr>
    <w:rPr>
      <w:rFonts w:ascii="Times New Roman" w:eastAsia="Times New Roman" w:hAnsi="Times New Roman"/>
      <w:sz w:val="22"/>
    </w:rPr>
  </w:style>
  <w:style w:type="paragraph" w:customStyle="1" w:styleId="Affiliation">
    <w:name w:val="Affiliation"/>
    <w:basedOn w:val="a"/>
    <w:rsid w:val="00972644"/>
    <w:pPr>
      <w:adjustRightInd w:val="0"/>
      <w:ind w:rightChars="450" w:right="450"/>
    </w:pPr>
    <w:rPr>
      <w:rFonts w:eastAsia="Times New Roman"/>
      <w:i/>
    </w:rPr>
  </w:style>
  <w:style w:type="paragraph" w:styleId="a7">
    <w:name w:val="Balloon Text"/>
    <w:basedOn w:val="a"/>
    <w:semiHidden/>
    <w:rsid w:val="00673F93"/>
    <w:rPr>
      <w:rFonts w:ascii="Arial" w:eastAsia="ＭＳ ゴシック" w:hAnsi="Arial"/>
      <w:sz w:val="18"/>
      <w:szCs w:val="18"/>
    </w:rPr>
  </w:style>
  <w:style w:type="paragraph" w:customStyle="1" w:styleId="KEYWORDS">
    <w:name w:val="KEYWORDS"/>
    <w:basedOn w:val="a"/>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
    <w:rsid w:val="009C0E90"/>
    <w:pPr>
      <w:spacing w:line="120" w:lineRule="atLeast"/>
      <w:jc w:val="left"/>
    </w:pPr>
    <w:rPr>
      <w:rFonts w:ascii="Times New Roman" w:eastAsia="Times New Roman" w:hAnsi="Times New Roman" w:cs="ＭＳ 明朝"/>
      <w:sz w:val="20"/>
      <w:szCs w:val="20"/>
    </w:rPr>
  </w:style>
  <w:style w:type="paragraph" w:customStyle="1" w:styleId="AFFILIATIONS45">
    <w:name w:val="スタイル AFFILIATIONS + 右 :  4.5 字"/>
    <w:basedOn w:val="Affiliation"/>
    <w:rsid w:val="009C0E90"/>
    <w:pPr>
      <w:spacing w:line="240" w:lineRule="exact"/>
    </w:pPr>
    <w:rPr>
      <w:rFonts w:cs="ＭＳ 明朝"/>
      <w:iCs/>
      <w:sz w:val="20"/>
      <w:szCs w:val="20"/>
    </w:rPr>
  </w:style>
  <w:style w:type="paragraph" w:customStyle="1" w:styleId="AUTHORS45">
    <w:name w:val="スタイル AUTHORS + 右 :  4.5 字"/>
    <w:basedOn w:val="AUTHORS"/>
    <w:rsid w:val="001C5475"/>
    <w:pPr>
      <w:spacing w:line="240" w:lineRule="exact"/>
    </w:pPr>
    <w:rPr>
      <w:rFonts w:cs="ＭＳ 明朝"/>
      <w:szCs w:val="20"/>
    </w:rPr>
  </w:style>
  <w:style w:type="paragraph" w:customStyle="1" w:styleId="SectionTitle">
    <w:name w:val="SectionTitle"/>
    <w:basedOn w:val="a"/>
    <w:autoRedefine/>
    <w:rsid w:val="00341F2C"/>
    <w:pPr>
      <w:spacing w:line="360" w:lineRule="auto"/>
    </w:pPr>
    <w:rPr>
      <w:rFonts w:asciiTheme="majorHAnsi" w:hAnsiTheme="majorHAnsi"/>
      <w:b/>
      <w:sz w:val="28"/>
      <w:szCs w:val="28"/>
    </w:rPr>
  </w:style>
  <w:style w:type="paragraph" w:customStyle="1" w:styleId="MainText">
    <w:name w:val="MainText"/>
    <w:basedOn w:val="a"/>
    <w:rsid w:val="00363FE3"/>
    <w:pPr>
      <w:spacing w:line="260" w:lineRule="exact"/>
      <w:ind w:firstLineChars="150" w:firstLine="150"/>
    </w:pPr>
    <w:rPr>
      <w:rFonts w:ascii="Times New Roman" w:eastAsia="Times New Roman" w:hAnsi="Times New Roman"/>
      <w:sz w:val="22"/>
      <w:szCs w:val="22"/>
    </w:rPr>
  </w:style>
  <w:style w:type="paragraph" w:customStyle="1" w:styleId="SubSectionTitle">
    <w:name w:val="SubSectionTitle"/>
    <w:basedOn w:val="a"/>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
    <w:rsid w:val="00AF5809"/>
    <w:pPr>
      <w:numPr>
        <w:numId w:val="9"/>
      </w:numPr>
      <w:spacing w:line="240" w:lineRule="exact"/>
    </w:pPr>
    <w:rPr>
      <w:rFonts w:ascii="Times New Roman" w:eastAsia="Times New Roman" w:hAnsi="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
    <w:link w:val="Caption"/>
    <w:rsid w:val="00CA750D"/>
    <w:pPr>
      <w:snapToGrid w:val="0"/>
      <w:spacing w:line="240" w:lineRule="exact"/>
    </w:pPr>
    <w:rPr>
      <w:rFonts w:ascii="Times New Roman" w:eastAsia="Times New Roman" w:hAnsi="Times New Roman"/>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rFonts w:cs="ＭＳ 明朝"/>
      <w:iCs/>
      <w:szCs w:val="20"/>
    </w:rPr>
  </w:style>
  <w:style w:type="paragraph" w:customStyle="1" w:styleId="MainText15">
    <w:name w:val="スタイル MainText + 最初の行 :  1.5 字"/>
    <w:basedOn w:val="MainText"/>
    <w:rsid w:val="00363FE3"/>
    <w:pPr>
      <w:ind w:firstLine="330"/>
    </w:pPr>
    <w:rPr>
      <w:rFonts w:cs="ＭＳ 明朝"/>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rPr>
      <w:rFonts w:cs="ＭＳ 明朝"/>
      <w:szCs w:val="20"/>
    </w:r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rFonts w:cs="ＭＳ 明朝"/>
      <w:szCs w:val="20"/>
    </w:rPr>
  </w:style>
  <w:style w:type="paragraph" w:customStyle="1" w:styleId="MainText151510">
    <w:name w:val="スタイル スタイル スタイル スタイル MainText + 最初の行 :  1.5 字 + 最初の行 :  1.5 字 + 最初の...1"/>
    <w:basedOn w:val="MainText15150"/>
    <w:rsid w:val="000C54AD"/>
    <w:rPr>
      <w:rFonts w:cs="ＭＳ 明朝"/>
      <w:szCs w:val="20"/>
    </w:rPr>
  </w:style>
  <w:style w:type="character" w:customStyle="1" w:styleId="a4">
    <w:name w:val="フッター (文字)"/>
    <w:link w:val="a3"/>
    <w:uiPriority w:val="99"/>
    <w:rsid w:val="00686681"/>
    <w:rPr>
      <w:rFonts w:ascii="Times New Roman" w:hAnsi="Times New Roman"/>
      <w:sz w:val="22"/>
    </w:rPr>
  </w:style>
  <w:style w:type="character" w:styleId="a8">
    <w:name w:val="Placeholder Text"/>
    <w:basedOn w:val="a0"/>
    <w:uiPriority w:val="99"/>
    <w:semiHidden/>
    <w:rsid w:val="00354BE3"/>
    <w:rPr>
      <w:color w:val="808080"/>
    </w:rPr>
  </w:style>
  <w:style w:type="character" w:styleId="a9">
    <w:name w:val="Hyperlink"/>
    <w:basedOn w:val="a0"/>
    <w:uiPriority w:val="99"/>
    <w:unhideWhenUsed/>
    <w:rsid w:val="003236A8"/>
    <w:rPr>
      <w:color w:val="0000FF"/>
      <w:u w:val="single"/>
    </w:rPr>
  </w:style>
  <w:style w:type="paragraph" w:styleId="aa">
    <w:name w:val="List Paragraph"/>
    <w:basedOn w:val="a"/>
    <w:uiPriority w:val="34"/>
    <w:qFormat/>
    <w:rsid w:val="003236A8"/>
    <w:pPr>
      <w:ind w:leftChars="400" w:left="840"/>
    </w:pPr>
    <w:rPr>
      <w:rFonts w:asciiTheme="minorHAnsi" w:eastAsiaTheme="minorEastAsia" w:hAnsiTheme="minorHAnsi" w:cstheme="minorBidi"/>
      <w:szCs w:val="22"/>
    </w:rPr>
  </w:style>
  <w:style w:type="paragraph" w:styleId="Web">
    <w:name w:val="Normal (Web)"/>
    <w:basedOn w:val="a"/>
    <w:uiPriority w:val="99"/>
    <w:unhideWhenUsed/>
    <w:rsid w:val="00176B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Strong"/>
    <w:basedOn w:val="a0"/>
    <w:uiPriority w:val="22"/>
    <w:qFormat/>
    <w:rsid w:val="00176B2F"/>
    <w:rPr>
      <w:b/>
      <w:bCs/>
    </w:rPr>
  </w:style>
  <w:style w:type="character" w:styleId="ac">
    <w:name w:val="annotation reference"/>
    <w:basedOn w:val="a0"/>
    <w:unhideWhenUsed/>
    <w:rsid w:val="00CF3544"/>
    <w:rPr>
      <w:sz w:val="18"/>
      <w:szCs w:val="18"/>
    </w:rPr>
  </w:style>
  <w:style w:type="paragraph" w:styleId="ad">
    <w:name w:val="annotation text"/>
    <w:basedOn w:val="a"/>
    <w:link w:val="ae"/>
    <w:uiPriority w:val="99"/>
    <w:unhideWhenUsed/>
    <w:rsid w:val="00CF3544"/>
    <w:pPr>
      <w:jc w:val="left"/>
    </w:pPr>
  </w:style>
  <w:style w:type="character" w:customStyle="1" w:styleId="ae">
    <w:name w:val="コメント文字列 (文字)"/>
    <w:basedOn w:val="a0"/>
    <w:link w:val="ad"/>
    <w:uiPriority w:val="99"/>
    <w:rsid w:val="00CF3544"/>
    <w:rPr>
      <w:kern w:val="2"/>
      <w:sz w:val="21"/>
      <w:szCs w:val="24"/>
    </w:rPr>
  </w:style>
  <w:style w:type="paragraph" w:styleId="af">
    <w:name w:val="annotation subject"/>
    <w:basedOn w:val="ad"/>
    <w:next w:val="ad"/>
    <w:link w:val="af0"/>
    <w:semiHidden/>
    <w:unhideWhenUsed/>
    <w:rsid w:val="00CF3544"/>
    <w:rPr>
      <w:b/>
      <w:bCs/>
    </w:rPr>
  </w:style>
  <w:style w:type="character" w:customStyle="1" w:styleId="af0">
    <w:name w:val="コメント内容 (文字)"/>
    <w:basedOn w:val="ae"/>
    <w:link w:val="af"/>
    <w:semiHidden/>
    <w:rsid w:val="00CF3544"/>
    <w:rPr>
      <w:b/>
      <w:bCs/>
      <w:kern w:val="2"/>
      <w:sz w:val="21"/>
      <w:szCs w:val="24"/>
    </w:rPr>
  </w:style>
  <w:style w:type="character" w:customStyle="1" w:styleId="lrzxr">
    <w:name w:val="lrzxr"/>
    <w:basedOn w:val="a0"/>
    <w:rsid w:val="00CF3544"/>
  </w:style>
  <w:style w:type="paragraph" w:styleId="af1">
    <w:name w:val="Revision"/>
    <w:hidden/>
    <w:uiPriority w:val="99"/>
    <w:semiHidden/>
    <w:rsid w:val="005464B6"/>
    <w:rPr>
      <w:kern w:val="2"/>
      <w:sz w:val="21"/>
      <w:szCs w:val="24"/>
    </w:rPr>
  </w:style>
  <w:style w:type="character" w:styleId="af2">
    <w:name w:val="FollowedHyperlink"/>
    <w:basedOn w:val="a0"/>
    <w:semiHidden/>
    <w:unhideWhenUsed/>
    <w:rsid w:val="00DE06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CB120-4668-4034-A7A7-61A53615B0DA}">
  <ds:schemaRefs>
    <ds:schemaRef ds:uri="http://schemas.openxmlformats.org/officeDocument/2006/bibliography"/>
  </ds:schemaRefs>
</ds:datastoreItem>
</file>

<file path=customXml/itemProps2.xml><?xml version="1.0" encoding="utf-8"?>
<ds:datastoreItem xmlns:ds="http://schemas.openxmlformats.org/officeDocument/2006/customXml" ds:itemID="{AA8DC54D-ADE5-4C35-B71F-0375E2E82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24838</Words>
  <Characters>141582</Characters>
  <DocSecurity>0</DocSecurity>
  <Lines>1179</Lines>
  <Paragraphs>332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 of Paper Goes Here:</vt:lpstr>
      <vt:lpstr>Title of Paper Goes Here:</vt:lpstr>
    </vt:vector>
  </TitlesOfParts>
  <LinksUpToDate>false</LinksUpToDate>
  <CharactersWithSpaces>166088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2014-01-30T01:32:00Z</cp:lastPrinted>
  <dcterms:created xsi:type="dcterms:W3CDTF">2023-11-20T04:56:00Z</dcterms:created>
  <dcterms:modified xsi:type="dcterms:W3CDTF">2023-11-20T08:23:00Z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ff20fd44-562f-3c39-b1f4-299358c57424</vt:lpwstr>
  </property>
  <property fmtid="{D5CDD505-2E9C-101B-9397-08002B2CF9AE}" pid="4" name="Mendeley Citation Style_1">
    <vt:lpwstr>http://csl.mendeley.com/styles/592737061/japanese-journal-of-applied-physics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http://www.zotero.org/styles/applied-physics-letters</vt:lpwstr>
  </property>
  <property fmtid="{D5CDD505-2E9C-101B-9397-08002B2CF9AE}" pid="12" name="Mendeley Recent Style Name 3_1">
    <vt:lpwstr>Applied Physics Letters</vt:lpwstr>
  </property>
  <property fmtid="{D5CDD505-2E9C-101B-9397-08002B2CF9AE}" pid="13" name="Mendeley Recent Style Id 4_1">
    <vt:lpwstr>http://www.zotero.org/styles/computers-and-electrical-engineering</vt:lpwstr>
  </property>
  <property fmtid="{D5CDD505-2E9C-101B-9397-08002B2CF9AE}" pid="14" name="Mendeley Recent Style Name 4_1">
    <vt:lpwstr>Computers and Electrical Engineering</vt:lpwstr>
  </property>
  <property fmtid="{D5CDD505-2E9C-101B-9397-08002B2CF9AE}" pid="15" name="Mendeley Recent Style Id 5_1">
    <vt:lpwstr>https://csl.mendeley.com/styles/592737061/Electronic-Materials-Symposium-EMS</vt:lpwstr>
  </property>
  <property fmtid="{D5CDD505-2E9C-101B-9397-08002B2CF9AE}" pid="16" name="Mendeley Recent Style Name 5_1">
    <vt:lpwstr>Electronic Materials Symposium</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http://www.zotero.org/styles/japanese-journal-of-applied-physics</vt:lpwstr>
  </property>
  <property fmtid="{D5CDD505-2E9C-101B-9397-08002B2CF9AE}" pid="20" name="Mendeley Recent Style Name 7_1">
    <vt:lpwstr>Japanese Journal of Applied Physics</vt:lpwstr>
  </property>
  <property fmtid="{D5CDD505-2E9C-101B-9397-08002B2CF9AE}" pid="21" name="Mendeley Recent Style Id 8_1">
    <vt:lpwstr>http://csl.mendeley.com/styles/592737061/japanese-journal-of-applied-physics</vt:lpwstr>
  </property>
  <property fmtid="{D5CDD505-2E9C-101B-9397-08002B2CF9AE}" pid="22" name="Mendeley Recent Style Name 8_1">
    <vt:lpwstr>Japanese Journal of Applied Physics - Hitoshi Takane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ustomProp">
    <vt:lpwstr>0d8e4036fb994090804a22aace421202</vt:lpwstr>
  </property>
  <property fmtid="{D5CDD505-2E9C-101B-9397-08002B2CF9AE}" pid="26" name="GrammarlyDocumentId">
    <vt:lpwstr>796a36f6f5d3a6057d657c2278c7f2d345b6bfb03ecc22c9ce0585b6aaaeba34</vt:lpwstr>
  </property>
</Properties>
</file>