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CDC67" w14:textId="19B8D55B" w:rsidR="009246AD" w:rsidRPr="001F0131" w:rsidRDefault="00141621" w:rsidP="00B63EB2">
      <w:pPr>
        <w:pStyle w:val="BATitle"/>
      </w:pPr>
      <w:bookmarkStart w:id="0" w:name="_Hlk171603213"/>
      <w:r w:rsidRPr="001F0131">
        <w:t>Accelerating Materials Discovery of Novel Europium(II)-Activated Phosphors through Machine Learning Classification of Europium Valences</w:t>
      </w:r>
    </w:p>
    <w:p w14:paraId="75704151" w14:textId="1F8E8345" w:rsidR="009246AD" w:rsidRPr="001F0131" w:rsidRDefault="00141621" w:rsidP="00B63EB2">
      <w:pPr>
        <w:pStyle w:val="BBAuthorName"/>
      </w:pPr>
      <w:r w:rsidRPr="001F0131">
        <w:t>Yukinori Koyama,</w:t>
      </w:r>
      <w:r w:rsidR="00B63EB2" w:rsidRPr="001F0131">
        <w:rPr>
          <w:vertAlign w:val="superscript"/>
        </w:rPr>
        <w:t xml:space="preserve"> *</w:t>
      </w:r>
      <w:r w:rsidR="00B63EB2" w:rsidRPr="001F0131">
        <w:rPr>
          <w:rFonts w:hint="eastAsia"/>
          <w:vertAlign w:val="superscript"/>
          <w:lang w:eastAsia="ja-JP"/>
        </w:rPr>
        <w:t>, a</w:t>
      </w:r>
      <w:r w:rsidRPr="001F0131">
        <w:t xml:space="preserve"> Yukako Kohriki</w:t>
      </w:r>
      <w:r w:rsidR="00B63EB2" w:rsidRPr="001F0131">
        <w:rPr>
          <w:rFonts w:hint="eastAsia"/>
          <w:lang w:eastAsia="ja-JP"/>
        </w:rPr>
        <w:t>,</w:t>
      </w:r>
      <w:r w:rsidR="00E26923" w:rsidRPr="001F0131">
        <w:rPr>
          <w:rFonts w:hint="eastAsia"/>
          <w:vertAlign w:val="superscript"/>
          <w:lang w:eastAsia="ja-JP"/>
        </w:rPr>
        <w:t>b</w:t>
      </w:r>
      <w:r w:rsidRPr="001F0131">
        <w:t xml:space="preserve"> Masamichi Harada</w:t>
      </w:r>
      <w:r w:rsidR="00B63EB2" w:rsidRPr="001F0131">
        <w:rPr>
          <w:rFonts w:hint="eastAsia"/>
          <w:lang w:eastAsia="ja-JP"/>
        </w:rPr>
        <w:t>,</w:t>
      </w:r>
      <w:r w:rsidR="00E26923" w:rsidRPr="001F0131">
        <w:rPr>
          <w:rFonts w:hint="eastAsia"/>
          <w:vertAlign w:val="superscript"/>
          <w:lang w:eastAsia="ja-JP"/>
        </w:rPr>
        <w:t>b</w:t>
      </w:r>
      <w:r w:rsidRPr="001F0131">
        <w:t xml:space="preserve"> Naoto Hirosaki</w:t>
      </w:r>
      <w:r w:rsidR="00B63EB2" w:rsidRPr="001F0131">
        <w:rPr>
          <w:rFonts w:hint="eastAsia"/>
          <w:lang w:eastAsia="ja-JP"/>
        </w:rPr>
        <w:t>,</w:t>
      </w:r>
      <w:r w:rsidR="00E26923" w:rsidRPr="001F0131">
        <w:rPr>
          <w:rFonts w:hint="eastAsia"/>
          <w:vertAlign w:val="superscript"/>
          <w:lang w:eastAsia="ja-JP"/>
        </w:rPr>
        <w:t>b</w:t>
      </w:r>
      <w:r w:rsidRPr="001F0131">
        <w:t xml:space="preserve"> Takashi Takeda</w:t>
      </w:r>
      <w:r w:rsidR="00E26923" w:rsidRPr="001F0131">
        <w:rPr>
          <w:rFonts w:hint="eastAsia"/>
          <w:lang w:eastAsia="ja-JP"/>
        </w:rPr>
        <w:t xml:space="preserve"> </w:t>
      </w:r>
      <w:r w:rsidR="00E26923" w:rsidRPr="001F0131">
        <w:rPr>
          <w:rFonts w:hint="eastAsia"/>
          <w:vertAlign w:val="superscript"/>
          <w:lang w:eastAsia="ja-JP"/>
        </w:rPr>
        <w:t>b</w:t>
      </w:r>
    </w:p>
    <w:p w14:paraId="429618A1" w14:textId="6C402254" w:rsidR="00141621" w:rsidRPr="001F0131" w:rsidRDefault="00141621" w:rsidP="00B63EB2">
      <w:pPr>
        <w:pStyle w:val="BCAuthorAddress"/>
      </w:pPr>
      <w:r w:rsidRPr="001F0131">
        <w:rPr>
          <w:vertAlign w:val="superscript"/>
        </w:rPr>
        <w:t>a</w:t>
      </w:r>
      <w:r w:rsidRPr="001F0131">
        <w:t xml:space="preserve"> Center for Basic Research on Materials, National Institute for Materials Science, Tsukuba, Ibaraki 305-0047, Japan</w:t>
      </w:r>
    </w:p>
    <w:p w14:paraId="328D27E4" w14:textId="7371DBCF" w:rsidR="00141621" w:rsidRPr="001F0131" w:rsidRDefault="00141621" w:rsidP="00B63EB2">
      <w:pPr>
        <w:pStyle w:val="BCAuthorAddress"/>
      </w:pPr>
      <w:r w:rsidRPr="001F0131">
        <w:rPr>
          <w:vertAlign w:val="superscript"/>
        </w:rPr>
        <w:t>b</w:t>
      </w:r>
      <w:r w:rsidRPr="001F0131">
        <w:t xml:space="preserve"> Research Center for Electronic and Optical Materials, National Institute for Materials Science, Tsukuba, Ibaraki 305-0044, Japan.</w:t>
      </w:r>
    </w:p>
    <w:bookmarkEnd w:id="0"/>
    <w:p w14:paraId="41413A6F" w14:textId="2B2508D4" w:rsidR="00C0340A" w:rsidRPr="001F0131" w:rsidRDefault="00C0340A" w:rsidP="00B63EB2">
      <w:pPr>
        <w:rPr>
          <w:rFonts w:hint="eastAsia"/>
          <w:lang w:eastAsia="ja-JP"/>
        </w:rPr>
      </w:pPr>
    </w:p>
    <w:p w14:paraId="45F27256" w14:textId="3B8C4725" w:rsidR="00C0340A" w:rsidRPr="00C0340A" w:rsidRDefault="00C0340A" w:rsidP="00683131">
      <w:pPr>
        <w:pStyle w:val="BDAbstract"/>
        <w:rPr>
          <w:rFonts w:hint="eastAsia"/>
          <w:b/>
          <w:bCs/>
          <w:lang w:eastAsia="ja-JP"/>
        </w:rPr>
      </w:pPr>
      <w:r w:rsidRPr="00C0340A">
        <w:rPr>
          <w:rFonts w:hint="eastAsia"/>
          <w:b/>
          <w:bCs/>
          <w:lang w:eastAsia="ja-JP"/>
        </w:rPr>
        <w:t>Abstract</w:t>
      </w:r>
    </w:p>
    <w:p w14:paraId="390E13C0" w14:textId="46D073AC" w:rsidR="00683131" w:rsidRPr="001F0131" w:rsidRDefault="00141621" w:rsidP="00683131">
      <w:pPr>
        <w:pStyle w:val="BDAbstract"/>
        <w:rPr>
          <w:lang w:eastAsia="ja-JP"/>
        </w:rPr>
      </w:pPr>
      <w:r w:rsidRPr="001F0131">
        <w:rPr>
          <w:lang w:eastAsia="ja-JP"/>
        </w:rPr>
        <w:t>An approach is presented to accelerate the discovery of host compounds for novel Eu</w:t>
      </w:r>
      <w:r w:rsidRPr="001F0131">
        <w:rPr>
          <w:vertAlign w:val="superscript"/>
          <w:lang w:eastAsia="ja-JP"/>
        </w:rPr>
        <w:t>2+</w:t>
      </w:r>
      <w:r w:rsidRPr="001F0131">
        <w:rPr>
          <w:lang w:eastAsia="ja-JP"/>
        </w:rPr>
        <w:t>-activated phosphor materials by integrating systematic data collection, machine learning, and experimental validation. A dataset of Eu</w:t>
      </w:r>
      <w:r w:rsidRPr="001F0131">
        <w:rPr>
          <w:vertAlign w:val="superscript"/>
          <w:lang w:eastAsia="ja-JP"/>
        </w:rPr>
        <w:t>2+</w:t>
      </w:r>
      <w:r w:rsidRPr="001F0131">
        <w:rPr>
          <w:lang w:eastAsia="ja-JP"/>
        </w:rPr>
        <w:t>- and Eu</w:t>
      </w:r>
      <w:r w:rsidRPr="001F0131">
        <w:rPr>
          <w:vertAlign w:val="superscript"/>
          <w:lang w:eastAsia="ja-JP"/>
        </w:rPr>
        <w:t>3+</w:t>
      </w:r>
      <w:r w:rsidRPr="001F0131">
        <w:rPr>
          <w:lang w:eastAsia="ja-JP"/>
        </w:rPr>
        <w:t xml:space="preserve">-activated phosphors has been constructed using systematic data collection methodology from numerous academic articles. A machine-learning classification model has been developed using the collected dataset to predict the oxidation states of Eu ions in potential hosts regarding luminescence. The model considers the non-exclusive nature of the divalent and trivalent oxidation states of Eu ions in phosphor applications. A comprehensive </w:t>
      </w:r>
      <w:r w:rsidRPr="001F0131">
        <w:rPr>
          <w:lang w:eastAsia="ja-JP"/>
        </w:rPr>
        <w:lastRenderedPageBreak/>
        <w:t>exploration of a material database has been conducted to identify host candidates for novel Eu</w:t>
      </w:r>
      <w:r w:rsidRPr="001F0131">
        <w:rPr>
          <w:vertAlign w:val="superscript"/>
          <w:lang w:eastAsia="ja-JP"/>
        </w:rPr>
        <w:t>2+</w:t>
      </w:r>
      <w:r w:rsidRPr="001F0131">
        <w:rPr>
          <w:lang w:eastAsia="ja-JP"/>
        </w:rPr>
        <w:t>-activated phosphor materials, leading to attempts to synthesize them. Photoluminescence analysis has revealed the successful synthesis of 12 new Eu</w:t>
      </w:r>
      <w:r w:rsidRPr="001F0131">
        <w:rPr>
          <w:vertAlign w:val="superscript"/>
          <w:lang w:eastAsia="ja-JP"/>
        </w:rPr>
        <w:t>2+</w:t>
      </w:r>
      <w:r w:rsidRPr="001F0131">
        <w:rPr>
          <w:lang w:eastAsia="ja-JP"/>
        </w:rPr>
        <w:t>-activated phosphors, demonstrating the potential of the proposed approach for accelerating material discovery.</w:t>
      </w:r>
    </w:p>
    <w:p w14:paraId="6C188922" w14:textId="77777777" w:rsidR="00AB34C5" w:rsidRPr="001F0131" w:rsidRDefault="00AB34C5" w:rsidP="00B63EB2"/>
    <w:p w14:paraId="52A9160E" w14:textId="4A2DC4D9" w:rsidR="00153B2D" w:rsidRPr="001F0131" w:rsidRDefault="00153B2D" w:rsidP="00B84C7F">
      <w:pPr>
        <w:pStyle w:val="TAMainText"/>
        <w:numPr>
          <w:ilvl w:val="0"/>
          <w:numId w:val="11"/>
        </w:numPr>
        <w:rPr>
          <w:b/>
          <w:bCs/>
        </w:rPr>
      </w:pPr>
      <w:r w:rsidRPr="001F0131">
        <w:rPr>
          <w:b/>
          <w:bCs/>
        </w:rPr>
        <w:t>Introduction</w:t>
      </w:r>
    </w:p>
    <w:p w14:paraId="1F35F42D" w14:textId="75761833" w:rsidR="00B8339F" w:rsidRPr="001F0131" w:rsidRDefault="00153B2D" w:rsidP="00B8339F">
      <w:pPr>
        <w:pStyle w:val="TAMainText"/>
      </w:pPr>
      <w:r w:rsidRPr="001F0131">
        <w:t>Phosphors are materials capable of converting external energy, often induced by light or electron irradiation, into light. They typically consist of host materials with doped activators that serve as luminescent centers. Activators are commonly transition metals and lanthanoid elements, and their luminescent characteristics vary greatly depending on the activators. Among the transition metals and lanthanoid activators, intensive research has been conducted on Ce</w:t>
      </w:r>
      <w:r w:rsidRPr="001F0131">
        <w:rPr>
          <w:vertAlign w:val="superscript"/>
        </w:rPr>
        <w:t>3+</w:t>
      </w:r>
      <w:r w:rsidRPr="001F0131">
        <w:t xml:space="preserve"> and Eu</w:t>
      </w:r>
      <w:r w:rsidRPr="001F0131">
        <w:rPr>
          <w:vertAlign w:val="superscript"/>
        </w:rPr>
        <w:t>2+</w:t>
      </w:r>
      <w:r w:rsidRPr="001F0131">
        <w:t xml:space="preserve"> activators [1-6] because their luminescence utilizes parity-allowed 4f-5d transitions, which are characterized by strong absorption and emission intensities. The broad spatial distribution of 5d orbitals at the excited state strongly influences the luminescence properties of different host materials. Therefore, recent research includes data-driven exploration of novel hosts to design phosphors with the desired luminescent characteristics [7-15].</w:t>
      </w:r>
    </w:p>
    <w:p w14:paraId="6886B1E4" w14:textId="2CE2B348" w:rsidR="00B8339F" w:rsidRPr="001F0131" w:rsidRDefault="00153B2D" w:rsidP="00B8339F">
      <w:pPr>
        <w:pStyle w:val="TAMainText"/>
      </w:pPr>
      <w:r w:rsidRPr="001F0131">
        <w:t xml:space="preserve">In our previous study [15], we reported machine learning to predict </w:t>
      </w:r>
      <w:r w:rsidR="007E72B9" w:rsidRPr="001F0131">
        <w:rPr>
          <w:rFonts w:hint="eastAsia"/>
          <w:lang w:eastAsia="ja-JP"/>
        </w:rPr>
        <w:t xml:space="preserve">the </w:t>
      </w:r>
      <w:r w:rsidRPr="001F0131">
        <w:t xml:space="preserve">peak-top wavelengths of </w:t>
      </w:r>
      <w:r w:rsidR="007E72B9" w:rsidRPr="001F0131">
        <w:rPr>
          <w:rFonts w:hint="eastAsia"/>
          <w:lang w:eastAsia="ja-JP"/>
        </w:rPr>
        <w:t xml:space="preserve">the </w:t>
      </w:r>
      <w:r w:rsidRPr="001F0131">
        <w:t>emission spectra</w:t>
      </w:r>
      <w:r w:rsidR="007E72B9" w:rsidRPr="001F0131">
        <w:rPr>
          <w:rFonts w:hint="eastAsia"/>
          <w:lang w:eastAsia="ja-JP"/>
        </w:rPr>
        <w:t xml:space="preserve"> of Eu</w:t>
      </w:r>
      <w:r w:rsidR="007E72B9" w:rsidRPr="001F0131">
        <w:rPr>
          <w:rFonts w:hint="eastAsia"/>
          <w:vertAlign w:val="superscript"/>
          <w:lang w:eastAsia="ja-JP"/>
        </w:rPr>
        <w:t>2+</w:t>
      </w:r>
      <w:r w:rsidR="007E72B9" w:rsidRPr="001F0131">
        <w:rPr>
          <w:rFonts w:hint="eastAsia"/>
          <w:lang w:eastAsia="ja-JP"/>
        </w:rPr>
        <w:t>-activated phosphors</w:t>
      </w:r>
      <w:r w:rsidRPr="001F0131">
        <w:t xml:space="preserve">. Based on the machine learning predictions, three </w:t>
      </w:r>
      <w:r w:rsidR="007E72B9" w:rsidRPr="001F0131">
        <w:rPr>
          <w:rFonts w:hint="eastAsia"/>
          <w:lang w:eastAsia="ja-JP"/>
        </w:rPr>
        <w:t xml:space="preserve">new </w:t>
      </w:r>
      <w:r w:rsidRPr="001F0131">
        <w:t>Eu</w:t>
      </w:r>
      <w:r w:rsidRPr="001F0131">
        <w:rPr>
          <w:vertAlign w:val="superscript"/>
        </w:rPr>
        <w:t>2+</w:t>
      </w:r>
      <w:r w:rsidRPr="001F0131">
        <w:t>-activated phosphor materials exhibiting green luminescence were successfully discovered. However, issues arise with nonluminous compounds and luminescence originating from Eu</w:t>
      </w:r>
      <w:r w:rsidRPr="001F0131">
        <w:rPr>
          <w:vertAlign w:val="superscript"/>
        </w:rPr>
        <w:t>3+</w:t>
      </w:r>
      <w:r w:rsidRPr="001F0131">
        <w:t xml:space="preserve"> ions instead of Eu</w:t>
      </w:r>
      <w:r w:rsidRPr="001F0131">
        <w:rPr>
          <w:vertAlign w:val="superscript"/>
        </w:rPr>
        <w:t>2+</w:t>
      </w:r>
      <w:r w:rsidRPr="001F0131">
        <w:t>. The luminescence of Eu activators can be derived from both divalent and trivalent oxidation states. In contrast to Eu</w:t>
      </w:r>
      <w:r w:rsidRPr="001F0131">
        <w:rPr>
          <w:vertAlign w:val="superscript"/>
        </w:rPr>
        <w:t>2+</w:t>
      </w:r>
      <w:r w:rsidRPr="001F0131">
        <w:t xml:space="preserve"> activators, the absorption and emission originating from Eu</w:t>
      </w:r>
      <w:r w:rsidRPr="001F0131">
        <w:rPr>
          <w:vertAlign w:val="superscript"/>
        </w:rPr>
        <w:t>3+</w:t>
      </w:r>
      <w:r w:rsidRPr="001F0131">
        <w:t xml:space="preserve"> activators are weak because of the parity-forbidden 4f-4f transitions. </w:t>
      </w:r>
      <w:r w:rsidRPr="001F0131">
        <w:lastRenderedPageBreak/>
        <w:t>Additionally, the shielding effect of 5s and 5p electrons results in nearly constant emission wavelengths, irrespective of the host. Although different synthesis conditions can alter the oxidation states of doped Eu ions, many host materials tend to preferentially adopt one oxidation state. This may be due to limitations in the applicable synthesis conditions depending on the host materials, which could hinder precise control of the oxidation states of the Eu activators. Consequently, selecting suitable hosts is essential to achieve luminescence from a particular oxidation state. The ionic radii and oxidation states of ions substituted with Eu can be considered guidelines for host selection. However, the actual host dependence of the oxidation states of Eu activators is complex.</w:t>
      </w:r>
    </w:p>
    <w:p w14:paraId="0AD5D58B" w14:textId="2C655C77" w:rsidR="00B8339F" w:rsidRPr="001F0131" w:rsidRDefault="00FD1536" w:rsidP="00B8339F">
      <w:pPr>
        <w:pStyle w:val="TAMainText"/>
      </w:pPr>
      <w:r w:rsidRPr="001F0131">
        <w:rPr>
          <w:rFonts w:hint="eastAsia"/>
          <w:lang w:eastAsia="ja-JP"/>
        </w:rPr>
        <w:t>This study aims to accelerate the exploration of new Eu</w:t>
      </w:r>
      <w:r w:rsidRPr="001F0131">
        <w:rPr>
          <w:vertAlign w:val="superscript"/>
          <w:lang w:eastAsia="ja-JP"/>
        </w:rPr>
        <w:t>2+</w:t>
      </w:r>
      <w:r w:rsidRPr="001F0131">
        <w:rPr>
          <w:rFonts w:hint="eastAsia"/>
          <w:lang w:eastAsia="ja-JP"/>
        </w:rPr>
        <w:t>-activated phosphors using machine learning to predict the likelihood of Eu</w:t>
      </w:r>
      <w:r w:rsidRPr="001F0131">
        <w:rPr>
          <w:vertAlign w:val="superscript"/>
          <w:lang w:eastAsia="ja-JP"/>
        </w:rPr>
        <w:t>2+</w:t>
      </w:r>
      <w:r w:rsidRPr="001F0131">
        <w:rPr>
          <w:rFonts w:hint="eastAsia"/>
          <w:lang w:eastAsia="ja-JP"/>
        </w:rPr>
        <w:t xml:space="preserve">-derived luminescence in potential host crystals. Figure 1 illustrates a schematic of how this study proceeded. </w:t>
      </w:r>
      <w:r w:rsidR="00153B2D" w:rsidRPr="001F0131">
        <w:t xml:space="preserve">A dataset of Eu-activated phosphors </w:t>
      </w:r>
      <w:r w:rsidR="00437E4F" w:rsidRPr="001F0131">
        <w:rPr>
          <w:lang w:eastAsia="ja-JP"/>
        </w:rPr>
        <w:t>was</w:t>
      </w:r>
      <w:r w:rsidR="00437E4F" w:rsidRPr="001F0131">
        <w:t xml:space="preserve"> </w:t>
      </w:r>
      <w:r w:rsidR="00153B2D" w:rsidRPr="001F0131">
        <w:t xml:space="preserve">constructed by extracting host chemical formulae from academic articles. A machine learning classification model </w:t>
      </w:r>
      <w:r w:rsidR="00437E4F" w:rsidRPr="001F0131">
        <w:rPr>
          <w:lang w:eastAsia="ja-JP"/>
        </w:rPr>
        <w:t>was</w:t>
      </w:r>
      <w:r w:rsidR="00437E4F" w:rsidRPr="001F0131">
        <w:t xml:space="preserve"> </w:t>
      </w:r>
      <w:r w:rsidR="00153B2D" w:rsidRPr="001F0131">
        <w:t xml:space="preserve">trained to predict </w:t>
      </w:r>
      <w:r w:rsidRPr="001F0131">
        <w:t>whether luminescence was derived from Eu</w:t>
      </w:r>
      <w:r w:rsidRPr="001F0131">
        <w:rPr>
          <w:vertAlign w:val="superscript"/>
        </w:rPr>
        <w:t>2+</w:t>
      </w:r>
      <w:r w:rsidRPr="001F0131">
        <w:t xml:space="preserve"> or Eu</w:t>
      </w:r>
      <w:r w:rsidRPr="001F0131">
        <w:rPr>
          <w:vertAlign w:val="superscript"/>
        </w:rPr>
        <w:t>3+</w:t>
      </w:r>
      <w:r w:rsidR="00153B2D" w:rsidRPr="001F0131">
        <w:t xml:space="preserve">. </w:t>
      </w:r>
      <w:r w:rsidRPr="001F0131">
        <w:rPr>
          <w:lang w:eastAsia="ja-JP"/>
        </w:rPr>
        <w:t xml:space="preserve">This </w:t>
      </w:r>
      <w:r w:rsidR="00153B2D" w:rsidRPr="001F0131">
        <w:t xml:space="preserve">classification model </w:t>
      </w:r>
      <w:r w:rsidR="00437E4F" w:rsidRPr="001F0131">
        <w:rPr>
          <w:lang w:eastAsia="ja-JP"/>
        </w:rPr>
        <w:t xml:space="preserve">was applied </w:t>
      </w:r>
      <w:r w:rsidR="00153B2D" w:rsidRPr="001F0131">
        <w:t xml:space="preserve">to compounds registered in an inorganic material database, </w:t>
      </w:r>
      <w:r w:rsidR="00437E4F" w:rsidRPr="001F0131">
        <w:rPr>
          <w:lang w:eastAsia="ja-JP"/>
        </w:rPr>
        <w:t xml:space="preserve">and </w:t>
      </w:r>
      <w:r w:rsidR="00153B2D" w:rsidRPr="001F0131">
        <w:t xml:space="preserve">new host candidates </w:t>
      </w:r>
      <w:r w:rsidR="00437E4F" w:rsidRPr="001F0131">
        <w:rPr>
          <w:lang w:eastAsia="ja-JP"/>
        </w:rPr>
        <w:t>were</w:t>
      </w:r>
      <w:r w:rsidR="00437E4F" w:rsidRPr="001F0131">
        <w:t xml:space="preserve"> </w:t>
      </w:r>
      <w:r w:rsidR="00153B2D" w:rsidRPr="001F0131">
        <w:t>selected based on the likelihood of Eu</w:t>
      </w:r>
      <w:r w:rsidR="00153B2D" w:rsidRPr="001F0131">
        <w:rPr>
          <w:vertAlign w:val="superscript"/>
        </w:rPr>
        <w:t>2+</w:t>
      </w:r>
      <w:r w:rsidR="00153B2D" w:rsidRPr="001F0131">
        <w:t xml:space="preserve">-derived luminescence. Subsequently, the machine learning predictions </w:t>
      </w:r>
      <w:r w:rsidR="00437E4F" w:rsidRPr="001F0131">
        <w:rPr>
          <w:lang w:eastAsia="ja-JP"/>
        </w:rPr>
        <w:t>were</w:t>
      </w:r>
      <w:r w:rsidR="00437E4F" w:rsidRPr="001F0131">
        <w:t xml:space="preserve"> </w:t>
      </w:r>
      <w:r w:rsidR="00153B2D" w:rsidRPr="001F0131">
        <w:t xml:space="preserve">validated through synthesis and analysis experiments. </w:t>
      </w:r>
      <w:r w:rsidRPr="001F0131">
        <w:rPr>
          <w:lang w:eastAsia="ja-JP"/>
        </w:rPr>
        <w:t>T</w:t>
      </w:r>
      <w:r w:rsidRPr="001F0131">
        <w:t xml:space="preserve">his strategy </w:t>
      </w:r>
      <w:r w:rsidRPr="001F0131">
        <w:rPr>
          <w:lang w:eastAsia="ja-JP"/>
        </w:rPr>
        <w:t xml:space="preserve">successfully discovered </w:t>
      </w:r>
      <w:r w:rsidRPr="001F0131">
        <w:t>12 new Eu</w:t>
      </w:r>
      <w:r w:rsidRPr="001F0131">
        <w:rPr>
          <w:vertAlign w:val="superscript"/>
        </w:rPr>
        <w:t>2+</w:t>
      </w:r>
      <w:r w:rsidRPr="001F0131">
        <w:t xml:space="preserve">-activated phosphors. </w:t>
      </w:r>
      <w:r w:rsidR="00153B2D" w:rsidRPr="001F0131">
        <w:t>This outcome demonstrates the capability of machine learning to effectively avoid candidates prone to Eu</w:t>
      </w:r>
      <w:r w:rsidR="00153B2D" w:rsidRPr="001F0131">
        <w:rPr>
          <w:vertAlign w:val="superscript"/>
        </w:rPr>
        <w:t>3+</w:t>
      </w:r>
      <w:r w:rsidR="00153B2D" w:rsidRPr="001F0131">
        <w:t>-derived luminescence, thereby enhancing the discovery of new Eu</w:t>
      </w:r>
      <w:r w:rsidR="00153B2D" w:rsidRPr="001F0131">
        <w:rPr>
          <w:vertAlign w:val="superscript"/>
        </w:rPr>
        <w:t>2+</w:t>
      </w:r>
      <w:r w:rsidR="00153B2D" w:rsidRPr="001F0131">
        <w:t>-activated phosphors.</w:t>
      </w:r>
    </w:p>
    <w:p w14:paraId="3EB3F867" w14:textId="77777777" w:rsidR="00B84C7F" w:rsidRPr="001F0131" w:rsidRDefault="00B84C7F" w:rsidP="00B8339F">
      <w:pPr>
        <w:pStyle w:val="TAMainText"/>
        <w:rPr>
          <w:lang w:eastAsia="ja-JP"/>
        </w:rPr>
      </w:pPr>
    </w:p>
    <w:p w14:paraId="052B3C42" w14:textId="6CEBDFEB" w:rsidR="00BD0098" w:rsidRPr="001F0131" w:rsidRDefault="009205AE" w:rsidP="00F224CF">
      <w:pPr>
        <w:pStyle w:val="VAFigureCaption"/>
        <w:jc w:val="center"/>
        <w:rPr>
          <w:lang w:eastAsia="ja-JP"/>
        </w:rPr>
      </w:pPr>
      <w:r w:rsidRPr="001F0131">
        <w:rPr>
          <w:noProof/>
          <w:lang w:eastAsia="ja-JP"/>
        </w:rPr>
        <w:lastRenderedPageBreak/>
        <w:drawing>
          <wp:inline distT="0" distB="0" distL="0" distR="0" wp14:anchorId="798B5AB1" wp14:editId="48CD01E9">
            <wp:extent cx="5937250" cy="2349500"/>
            <wp:effectExtent l="0" t="0" r="6350" b="0"/>
            <wp:docPr id="180960740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250" cy="2349500"/>
                    </a:xfrm>
                    <a:prstGeom prst="rect">
                      <a:avLst/>
                    </a:prstGeom>
                    <a:noFill/>
                    <a:ln>
                      <a:noFill/>
                    </a:ln>
                  </pic:spPr>
                </pic:pic>
              </a:graphicData>
            </a:graphic>
          </wp:inline>
        </w:drawing>
      </w:r>
    </w:p>
    <w:p w14:paraId="00ABF422" w14:textId="12A025AE" w:rsidR="00B46A92" w:rsidRPr="001F0131" w:rsidRDefault="00BD0098" w:rsidP="00BD0098">
      <w:pPr>
        <w:pStyle w:val="VAFigureCaption"/>
        <w:rPr>
          <w:lang w:eastAsia="ja-JP"/>
        </w:rPr>
      </w:pPr>
      <w:r w:rsidRPr="001F0131">
        <w:rPr>
          <w:b/>
          <w:bCs/>
          <w:lang w:eastAsia="ja-JP"/>
        </w:rPr>
        <w:t xml:space="preserve">Figure </w:t>
      </w:r>
      <w:r w:rsidR="00B46A92" w:rsidRPr="001F0131">
        <w:rPr>
          <w:b/>
          <w:bCs/>
          <w:lang w:eastAsia="ja-JP"/>
        </w:rPr>
        <w:t>1</w:t>
      </w:r>
      <w:r w:rsidRPr="001F0131">
        <w:rPr>
          <w:b/>
          <w:bCs/>
          <w:lang w:eastAsia="ja-JP"/>
        </w:rPr>
        <w:t>.</w:t>
      </w:r>
      <w:r w:rsidRPr="001F0131">
        <w:rPr>
          <w:lang w:eastAsia="ja-JP"/>
        </w:rPr>
        <w:t xml:space="preserve"> </w:t>
      </w:r>
      <w:r w:rsidR="00B46A92" w:rsidRPr="001F0131">
        <w:rPr>
          <w:lang w:eastAsia="ja-JP"/>
        </w:rPr>
        <w:t xml:space="preserve">Schematic </w:t>
      </w:r>
      <w:r w:rsidR="00437E4F" w:rsidRPr="001F0131">
        <w:rPr>
          <w:rFonts w:hint="eastAsia"/>
          <w:lang w:eastAsia="ja-JP"/>
        </w:rPr>
        <w:t xml:space="preserve">diagram </w:t>
      </w:r>
      <w:r w:rsidR="00B46A92" w:rsidRPr="001F0131">
        <w:rPr>
          <w:lang w:eastAsia="ja-JP"/>
        </w:rPr>
        <w:t xml:space="preserve">of the </w:t>
      </w:r>
      <w:r w:rsidR="00437E4F" w:rsidRPr="001F0131">
        <w:rPr>
          <w:rFonts w:hint="eastAsia"/>
          <w:lang w:eastAsia="ja-JP"/>
        </w:rPr>
        <w:t>procedure</w:t>
      </w:r>
      <w:r w:rsidR="00B46A92" w:rsidRPr="001F0131">
        <w:rPr>
          <w:lang w:eastAsia="ja-JP"/>
        </w:rPr>
        <w:t xml:space="preserve"> </w:t>
      </w:r>
      <w:r w:rsidR="00437E4F" w:rsidRPr="001F0131">
        <w:rPr>
          <w:rFonts w:hint="eastAsia"/>
          <w:lang w:eastAsia="ja-JP"/>
        </w:rPr>
        <w:t>used in</w:t>
      </w:r>
      <w:r w:rsidR="00B46A92" w:rsidRPr="001F0131">
        <w:rPr>
          <w:lang w:eastAsia="ja-JP"/>
        </w:rPr>
        <w:t xml:space="preserve"> this </w:t>
      </w:r>
      <w:r w:rsidR="00437E4F" w:rsidRPr="001F0131">
        <w:rPr>
          <w:rFonts w:hint="eastAsia"/>
          <w:lang w:eastAsia="ja-JP"/>
        </w:rPr>
        <w:t>study</w:t>
      </w:r>
      <w:r w:rsidR="00B46A92" w:rsidRPr="001F0131">
        <w:rPr>
          <w:lang w:eastAsia="ja-JP"/>
        </w:rPr>
        <w:t xml:space="preserve"> to explore new Eu</w:t>
      </w:r>
      <w:r w:rsidR="00B46A92" w:rsidRPr="001F0131">
        <w:rPr>
          <w:vertAlign w:val="superscript"/>
          <w:lang w:eastAsia="ja-JP"/>
        </w:rPr>
        <w:t>2+</w:t>
      </w:r>
      <w:r w:rsidR="00B46A92" w:rsidRPr="001F0131">
        <w:rPr>
          <w:lang w:eastAsia="ja-JP"/>
        </w:rPr>
        <w:t>-activated phosphors using machine learning classification.</w:t>
      </w:r>
    </w:p>
    <w:p w14:paraId="006CBEAB" w14:textId="77777777" w:rsidR="00BD0098" w:rsidRPr="001F0131" w:rsidRDefault="00BD0098" w:rsidP="00BD0098">
      <w:pPr>
        <w:pStyle w:val="TAMainText"/>
        <w:rPr>
          <w:lang w:eastAsia="ja-JP"/>
        </w:rPr>
      </w:pPr>
    </w:p>
    <w:p w14:paraId="05DE9ADB" w14:textId="0D8F8185" w:rsidR="00B8339F" w:rsidRPr="001F0131" w:rsidRDefault="00153B2D" w:rsidP="00B84C7F">
      <w:pPr>
        <w:pStyle w:val="TAMainText"/>
        <w:numPr>
          <w:ilvl w:val="0"/>
          <w:numId w:val="11"/>
        </w:numPr>
        <w:rPr>
          <w:b/>
          <w:bCs/>
          <w:lang w:eastAsia="ja-JP"/>
        </w:rPr>
      </w:pPr>
      <w:r w:rsidRPr="001F0131">
        <w:rPr>
          <w:b/>
          <w:bCs/>
        </w:rPr>
        <w:t>Methods</w:t>
      </w:r>
    </w:p>
    <w:p w14:paraId="4360B441" w14:textId="34941940" w:rsidR="00153B2D" w:rsidRPr="001F0131" w:rsidRDefault="00153B2D" w:rsidP="00B84C7F">
      <w:pPr>
        <w:pStyle w:val="TAMainText"/>
        <w:numPr>
          <w:ilvl w:val="1"/>
          <w:numId w:val="12"/>
        </w:numPr>
        <w:rPr>
          <w:b/>
          <w:bCs/>
        </w:rPr>
      </w:pPr>
      <w:r w:rsidRPr="001F0131">
        <w:rPr>
          <w:b/>
          <w:bCs/>
        </w:rPr>
        <w:t>Data collection</w:t>
      </w:r>
    </w:p>
    <w:p w14:paraId="0F4502BD" w14:textId="77777777" w:rsidR="00B8339F" w:rsidRPr="001F0131" w:rsidRDefault="00153B2D" w:rsidP="00B8339F">
      <w:pPr>
        <w:pStyle w:val="TAMainText"/>
      </w:pPr>
      <w:r w:rsidRPr="001F0131">
        <w:t>Phosphor materials are commonly denoted in academic articles in the form ‘SrLiAl</w:t>
      </w:r>
      <w:r w:rsidRPr="001F0131">
        <w:rPr>
          <w:vertAlign w:val="subscript"/>
        </w:rPr>
        <w:t>3</w:t>
      </w:r>
      <w:r w:rsidRPr="001F0131">
        <w:t>N</w:t>
      </w:r>
      <w:r w:rsidRPr="001F0131">
        <w:rPr>
          <w:vertAlign w:val="subscript"/>
        </w:rPr>
        <w:t>4</w:t>
      </w:r>
      <w:r w:rsidRPr="001F0131">
        <w:t>:Eu</w:t>
      </w:r>
      <w:r w:rsidRPr="001F0131">
        <w:rPr>
          <w:vertAlign w:val="superscript"/>
        </w:rPr>
        <w:t>2+</w:t>
      </w:r>
      <w:r w:rsidRPr="001F0131">
        <w:t>’, where the host chemical formula (SrLiAl</w:t>
      </w:r>
      <w:r w:rsidRPr="001F0131">
        <w:rPr>
          <w:vertAlign w:val="subscript"/>
        </w:rPr>
        <w:t>3</w:t>
      </w:r>
      <w:r w:rsidRPr="001F0131">
        <w:t>N</w:t>
      </w:r>
      <w:r w:rsidRPr="001F0131">
        <w:rPr>
          <w:vertAlign w:val="subscript"/>
        </w:rPr>
        <w:t>4</w:t>
      </w:r>
      <w:r w:rsidRPr="001F0131">
        <w:t>) is separated from the luminescent center (Eu</w:t>
      </w:r>
      <w:r w:rsidRPr="001F0131">
        <w:rPr>
          <w:vertAlign w:val="superscript"/>
        </w:rPr>
        <w:t>2+</w:t>
      </w:r>
      <w:r w:rsidRPr="001F0131">
        <w:t>) by a colon. Based on this standard notation, the following methodology was used to construct a dataset of Eu</w:t>
      </w:r>
      <w:r w:rsidRPr="001F0131">
        <w:rPr>
          <w:vertAlign w:val="superscript"/>
        </w:rPr>
        <w:t>2+</w:t>
      </w:r>
      <w:r w:rsidRPr="001F0131">
        <w:t>- and Eu</w:t>
      </w:r>
      <w:r w:rsidRPr="001F0131">
        <w:rPr>
          <w:vertAlign w:val="superscript"/>
        </w:rPr>
        <w:t>3+</w:t>
      </w:r>
      <w:r w:rsidRPr="001F0131">
        <w:t>-activated phosphors:</w:t>
      </w:r>
    </w:p>
    <w:p w14:paraId="34EC4E78" w14:textId="5A086377" w:rsidR="00B8339F" w:rsidRPr="001F0131" w:rsidRDefault="00153B2D" w:rsidP="00B8339F">
      <w:pPr>
        <w:pStyle w:val="TAMainText"/>
      </w:pPr>
      <w:r w:rsidRPr="001F0131">
        <w:t xml:space="preserve">As the initial pool of academic articles on phosphor materials, papers containing the words ‘phosphor’ or ‘lumine’ in the title, abstract, or keywords were extracted using a citation database. </w:t>
      </w:r>
      <w:r w:rsidR="00E060FB" w:rsidRPr="001F0131">
        <w:rPr>
          <w:lang w:eastAsia="ja-JP"/>
        </w:rPr>
        <w:t xml:space="preserve">Titles and abstracts were obtained in plain text from the citation database. When articles were available in portable document format (PDF) from publisher's websites, the main body was extracted in plain text using robotic process automation </w:t>
      </w:r>
      <w:r w:rsidR="00613962" w:rsidRPr="001F0131">
        <w:rPr>
          <w:rFonts w:hint="eastAsia"/>
          <w:lang w:eastAsia="ja-JP"/>
        </w:rPr>
        <w:t>and</w:t>
      </w:r>
      <w:r w:rsidR="00E060FB" w:rsidRPr="001F0131">
        <w:rPr>
          <w:lang w:eastAsia="ja-JP"/>
        </w:rPr>
        <w:t xml:space="preserve"> a self-written Python program. When the Data for Text and Data Mining (TDM data) provided by National Institute for Materials Science (NIMS) </w:t>
      </w:r>
      <w:r w:rsidR="00E060FB" w:rsidRPr="001F0131">
        <w:rPr>
          <w:rFonts w:hint="eastAsia"/>
          <w:lang w:eastAsia="ja-JP"/>
        </w:rPr>
        <w:t>[</w:t>
      </w:r>
      <w:r w:rsidR="0048322E" w:rsidRPr="001F0131">
        <w:rPr>
          <w:rFonts w:hint="eastAsia"/>
          <w:lang w:eastAsia="ja-JP"/>
        </w:rPr>
        <w:t>16</w:t>
      </w:r>
      <w:r w:rsidR="00E060FB" w:rsidRPr="001F0131">
        <w:rPr>
          <w:rFonts w:hint="eastAsia"/>
          <w:lang w:eastAsia="ja-JP"/>
        </w:rPr>
        <w:t xml:space="preserve">] </w:t>
      </w:r>
      <w:r w:rsidR="00E060FB" w:rsidRPr="001F0131">
        <w:rPr>
          <w:lang w:eastAsia="ja-JP"/>
        </w:rPr>
        <w:t xml:space="preserve">were available, the main body was obtained in plain text. </w:t>
      </w:r>
      <w:r w:rsidR="00FD1536" w:rsidRPr="001F0131">
        <w:t xml:space="preserve">From </w:t>
      </w:r>
      <w:r w:rsidR="00FD1536" w:rsidRPr="001F0131">
        <w:rPr>
          <w:lang w:eastAsia="ja-JP"/>
        </w:rPr>
        <w:t xml:space="preserve">the </w:t>
      </w:r>
      <w:r w:rsidR="00FD1536" w:rsidRPr="001F0131">
        <w:rPr>
          <w:rFonts w:hint="eastAsia"/>
          <w:lang w:eastAsia="ja-JP"/>
        </w:rPr>
        <w:t xml:space="preserve">obtained </w:t>
      </w:r>
      <w:r w:rsidR="00FD1536" w:rsidRPr="001F0131">
        <w:lastRenderedPageBreak/>
        <w:t xml:space="preserve">titles, abstracts, and </w:t>
      </w:r>
      <w:r w:rsidR="00FD1536" w:rsidRPr="001F0131">
        <w:rPr>
          <w:lang w:eastAsia="ja-JP"/>
        </w:rPr>
        <w:t>main-body</w:t>
      </w:r>
      <w:r w:rsidR="00FD1536" w:rsidRPr="001F0131">
        <w:t xml:space="preserve"> texts, </w:t>
      </w:r>
      <w:r w:rsidRPr="001F0131">
        <w:t>notations in the format of chemical formula, colon, and luminescent center, or inversely, luminescent center, colon, and chemical formula were identified and extracted</w:t>
      </w:r>
      <w:r w:rsidR="00E060FB" w:rsidRPr="001F0131">
        <w:rPr>
          <w:lang w:eastAsia="ja-JP"/>
        </w:rPr>
        <w:t xml:space="preserve"> using a self-written rule-based Python program</w:t>
      </w:r>
      <w:r w:rsidRPr="001F0131">
        <w:t>. The luminescent centers considered were limited to Eu</w:t>
      </w:r>
      <w:r w:rsidRPr="001F0131">
        <w:rPr>
          <w:vertAlign w:val="superscript"/>
        </w:rPr>
        <w:t>2+</w:t>
      </w:r>
      <w:r w:rsidRPr="001F0131">
        <w:t xml:space="preserve"> and Eu</w:t>
      </w:r>
      <w:r w:rsidRPr="001F0131">
        <w:rPr>
          <w:vertAlign w:val="superscript"/>
        </w:rPr>
        <w:t>3+</w:t>
      </w:r>
      <w:r w:rsidRPr="001F0131">
        <w:t xml:space="preserve"> ions. Phosphors with codoped luminescent centers containing Eu</w:t>
      </w:r>
      <w:r w:rsidRPr="001F0131">
        <w:rPr>
          <w:vertAlign w:val="superscript"/>
        </w:rPr>
        <w:t>2+</w:t>
      </w:r>
      <w:r w:rsidRPr="001F0131">
        <w:t xml:space="preserve"> or Eu</w:t>
      </w:r>
      <w:r w:rsidRPr="001F0131">
        <w:rPr>
          <w:vertAlign w:val="superscript"/>
        </w:rPr>
        <w:t>3+</w:t>
      </w:r>
      <w:r w:rsidRPr="001F0131">
        <w:t xml:space="preserve"> were included in the dataset. Eu luminescent centers without oxidation states were excluded. Additional information associated with luminescent centers, such as Eu fractions, was disregarded.</w:t>
      </w:r>
    </w:p>
    <w:p w14:paraId="6402C8EF" w14:textId="7333BC7C" w:rsidR="00B8339F" w:rsidRPr="001F0131" w:rsidRDefault="00153B2D" w:rsidP="00B8339F">
      <w:pPr>
        <w:pStyle w:val="TAMainText"/>
      </w:pPr>
      <w:r w:rsidRPr="001F0131">
        <w:t>The following processing steps were undertaken to address data redundancy issues</w:t>
      </w:r>
      <w:r w:rsidR="008D6AD4" w:rsidRPr="001F0131">
        <w:rPr>
          <w:rFonts w:hint="eastAsia"/>
          <w:lang w:eastAsia="ja-JP"/>
        </w:rPr>
        <w:t xml:space="preserve"> for similar but not identical chemical compositions</w:t>
      </w:r>
      <w:r w:rsidRPr="001F0131">
        <w:t xml:space="preserve"> and </w:t>
      </w:r>
      <w:r w:rsidR="008D6AD4" w:rsidRPr="001F0131">
        <w:rPr>
          <w:rFonts w:hint="eastAsia"/>
          <w:lang w:eastAsia="ja-JP"/>
        </w:rPr>
        <w:t xml:space="preserve">to </w:t>
      </w:r>
      <w:r w:rsidRPr="001F0131">
        <w:t xml:space="preserve">eliminate potential errors arising from the </w:t>
      </w:r>
      <w:r w:rsidR="008D6AD4" w:rsidRPr="001F0131">
        <w:rPr>
          <w:rFonts w:hint="eastAsia"/>
          <w:lang w:eastAsia="ja-JP"/>
        </w:rPr>
        <w:t>simple mechanical</w:t>
      </w:r>
      <w:r w:rsidRPr="001F0131">
        <w:t xml:space="preserve"> approach to data extraction: (1) A comprehensive breakdown of all possible combinations was performed for chemical formulae listing multiple elements. (2) Compounds containing elements that served as luminescent centers were excluded. Specifically, transition metals Cr-Cu, Tc-Ag, and Re-Au; lanthanoid elements except La, Gd, and Lu; and elements with atomic numbers greater than or equal to Hg were designated luminescent center elements. (3) The variables in the chemical formulae were assigned a value of zero, and non-integer formulae were rounded to the nearest integers. (4) Compounds that violated charge neutrality were excluded. Oxidation states with closed-shell electron configurations, specifically 1s</w:t>
      </w:r>
      <w:r w:rsidRPr="001F0131">
        <w:rPr>
          <w:vertAlign w:val="superscript"/>
        </w:rPr>
        <w:t>2</w:t>
      </w:r>
      <w:r w:rsidRPr="001F0131">
        <w:t xml:space="preserve">, </w:t>
      </w:r>
      <w:r w:rsidRPr="001F0131">
        <w:rPr>
          <w:i/>
        </w:rPr>
        <w:t>n</w:t>
      </w:r>
      <w:r w:rsidRPr="001F0131">
        <w:t>s</w:t>
      </w:r>
      <w:r w:rsidRPr="001F0131">
        <w:rPr>
          <w:vertAlign w:val="superscript"/>
        </w:rPr>
        <w:t>2</w:t>
      </w:r>
      <w:r w:rsidRPr="001F0131">
        <w:t xml:space="preserve"> </w:t>
      </w:r>
      <w:r w:rsidRPr="001F0131">
        <w:rPr>
          <w:i/>
        </w:rPr>
        <w:t>n</w:t>
      </w:r>
      <w:r w:rsidRPr="001F0131">
        <w:t>p</w:t>
      </w:r>
      <w:r w:rsidRPr="001F0131">
        <w:rPr>
          <w:vertAlign w:val="superscript"/>
        </w:rPr>
        <w:t>6</w:t>
      </w:r>
      <w:r w:rsidRPr="001F0131">
        <w:t xml:space="preserve"> (</w:t>
      </w:r>
      <w:r w:rsidRPr="001F0131">
        <w:rPr>
          <w:i/>
        </w:rPr>
        <w:t>n</w:t>
      </w:r>
      <w:r w:rsidRPr="001F0131">
        <w:t xml:space="preserve"> = 2-5), </w:t>
      </w:r>
      <w:r w:rsidRPr="001F0131">
        <w:rPr>
          <w:i/>
        </w:rPr>
        <w:t>n</w:t>
      </w:r>
      <w:r w:rsidRPr="001F0131">
        <w:t>s</w:t>
      </w:r>
      <w:r w:rsidRPr="001F0131">
        <w:rPr>
          <w:vertAlign w:val="superscript"/>
        </w:rPr>
        <w:t>2</w:t>
      </w:r>
      <w:r w:rsidRPr="001F0131">
        <w:t xml:space="preserve"> </w:t>
      </w:r>
      <w:r w:rsidRPr="001F0131">
        <w:rPr>
          <w:i/>
        </w:rPr>
        <w:t>n</w:t>
      </w:r>
      <w:r w:rsidRPr="001F0131">
        <w:t>p</w:t>
      </w:r>
      <w:r w:rsidRPr="001F0131">
        <w:rPr>
          <w:vertAlign w:val="superscript"/>
        </w:rPr>
        <w:t>6</w:t>
      </w:r>
      <w:r w:rsidRPr="001F0131">
        <w:t xml:space="preserve"> </w:t>
      </w:r>
      <w:r w:rsidRPr="001F0131">
        <w:rPr>
          <w:i/>
        </w:rPr>
        <w:t>n</w:t>
      </w:r>
      <w:r w:rsidRPr="001F0131">
        <w:t>d</w:t>
      </w:r>
      <w:r w:rsidRPr="001F0131">
        <w:rPr>
          <w:vertAlign w:val="superscript"/>
        </w:rPr>
        <w:t>10</w:t>
      </w:r>
      <w:r w:rsidRPr="001F0131">
        <w:t xml:space="preserve"> (</w:t>
      </w:r>
      <w:r w:rsidRPr="001F0131">
        <w:rPr>
          <w:i/>
        </w:rPr>
        <w:t>n</w:t>
      </w:r>
      <w:r w:rsidRPr="001F0131">
        <w:t xml:space="preserve"> = 3, 4), and 5s</w:t>
      </w:r>
      <w:r w:rsidRPr="001F0131">
        <w:rPr>
          <w:vertAlign w:val="superscript"/>
        </w:rPr>
        <w:t>2</w:t>
      </w:r>
      <w:r w:rsidRPr="001F0131">
        <w:t xml:space="preserve"> 5p</w:t>
      </w:r>
      <w:r w:rsidRPr="001F0131">
        <w:rPr>
          <w:vertAlign w:val="superscript"/>
        </w:rPr>
        <w:t>6</w:t>
      </w:r>
      <w:r w:rsidRPr="001F0131">
        <w:t xml:space="preserve"> 4f</w:t>
      </w:r>
      <w:r w:rsidRPr="001F0131">
        <w:rPr>
          <w:vertAlign w:val="superscript"/>
        </w:rPr>
        <w:t>14</w:t>
      </w:r>
      <w:r w:rsidRPr="001F0131">
        <w:t>, were allowed except for the trivalent oxidation state of Gd. (5) To validate the appropriateness of the formula processing, the modified formulae were cross-referenced with compounds registered in the Inorganic Crystal Structure Database (ICSD) [</w:t>
      </w:r>
      <w:r w:rsidR="0048322E" w:rsidRPr="001F0131">
        <w:rPr>
          <w:lang w:eastAsia="ja-JP"/>
        </w:rPr>
        <w:t>17</w:t>
      </w:r>
      <w:r w:rsidRPr="001F0131">
        <w:t>]. Formulae that did not correspond to any ICSD entry were excluded. This comparison was conducted after applying the aforementioned processing steps to the formulae registered in ICSD.</w:t>
      </w:r>
    </w:p>
    <w:p w14:paraId="4A8D1C25" w14:textId="77777777" w:rsidR="00B84C7F" w:rsidRPr="001F0131" w:rsidRDefault="00B84C7F" w:rsidP="00B8339F">
      <w:pPr>
        <w:pStyle w:val="TAMainText"/>
      </w:pPr>
    </w:p>
    <w:p w14:paraId="23B1838A" w14:textId="550D48D1" w:rsidR="00153B2D" w:rsidRPr="001F0131" w:rsidRDefault="00153B2D" w:rsidP="00B84C7F">
      <w:pPr>
        <w:pStyle w:val="TAMainText"/>
        <w:numPr>
          <w:ilvl w:val="1"/>
          <w:numId w:val="12"/>
        </w:numPr>
        <w:rPr>
          <w:b/>
          <w:bCs/>
        </w:rPr>
      </w:pPr>
      <w:r w:rsidRPr="001F0131">
        <w:rPr>
          <w:b/>
          <w:bCs/>
        </w:rPr>
        <w:lastRenderedPageBreak/>
        <w:t>Machine learning</w:t>
      </w:r>
    </w:p>
    <w:p w14:paraId="42D883A9" w14:textId="77777777" w:rsidR="00B8339F" w:rsidRPr="001F0131" w:rsidRDefault="00153B2D" w:rsidP="00B8339F">
      <w:pPr>
        <w:pStyle w:val="TAMainText"/>
      </w:pPr>
      <w:r w:rsidRPr="001F0131">
        <w:t>Using the dataset of the collected Eu-activated phosphors, a classification model was developed to predict whether luminescence was derived from Eu</w:t>
      </w:r>
      <w:r w:rsidRPr="001F0131">
        <w:rPr>
          <w:vertAlign w:val="superscript"/>
        </w:rPr>
        <w:t>2+</w:t>
      </w:r>
      <w:r w:rsidRPr="001F0131">
        <w:t xml:space="preserve"> or Eu</w:t>
      </w:r>
      <w:r w:rsidRPr="001F0131">
        <w:rPr>
          <w:vertAlign w:val="superscript"/>
        </w:rPr>
        <w:t>3+</w:t>
      </w:r>
      <w:r w:rsidRPr="001F0131">
        <w:t xml:space="preserve"> ions based on their host compositions. In this study, Eu</w:t>
      </w:r>
      <w:r w:rsidRPr="001F0131">
        <w:rPr>
          <w:vertAlign w:val="superscript"/>
        </w:rPr>
        <w:t>2+</w:t>
      </w:r>
      <w:r w:rsidRPr="001F0131">
        <w:t>-derived luminescence was considered the positive class, and Eu</w:t>
      </w:r>
      <w:r w:rsidRPr="001F0131">
        <w:rPr>
          <w:vertAlign w:val="superscript"/>
        </w:rPr>
        <w:t>3+</w:t>
      </w:r>
      <w:r w:rsidRPr="001F0131">
        <w:t>-derived luminescence was considered the negative class. As will be discussed later, Eu</w:t>
      </w:r>
      <w:r w:rsidRPr="001F0131">
        <w:rPr>
          <w:vertAlign w:val="superscript"/>
        </w:rPr>
        <w:t>2+</w:t>
      </w:r>
      <w:r w:rsidRPr="001F0131">
        <w:t>- and Eu</w:t>
      </w:r>
      <w:r w:rsidRPr="001F0131">
        <w:rPr>
          <w:vertAlign w:val="superscript"/>
        </w:rPr>
        <w:t>3+</w:t>
      </w:r>
      <w:r w:rsidRPr="001F0131">
        <w:t>-derived luminescence is not necessarily exclusive. Therefore, both positive (Eu</w:t>
      </w:r>
      <w:r w:rsidRPr="001F0131">
        <w:rPr>
          <w:vertAlign w:val="superscript"/>
        </w:rPr>
        <w:t>2+</w:t>
      </w:r>
      <w:r w:rsidRPr="001F0131">
        <w:t>) and negative (Eu</w:t>
      </w:r>
      <w:r w:rsidRPr="001F0131">
        <w:rPr>
          <w:vertAlign w:val="superscript"/>
        </w:rPr>
        <w:t>3+</w:t>
      </w:r>
      <w:r w:rsidRPr="001F0131">
        <w:t>) instances were prepared for each host, and the sample weights were assigned based on the ratio of paper counts. The sum of the sample weights for the positive and negative instances was normalized to the unit weight.</w:t>
      </w:r>
    </w:p>
    <w:p w14:paraId="1DD055E0" w14:textId="17DDE421" w:rsidR="00B8339F" w:rsidRPr="001F0131" w:rsidRDefault="00153B2D" w:rsidP="00B8339F">
      <w:pPr>
        <w:pStyle w:val="TAMainText"/>
      </w:pPr>
      <w:r w:rsidRPr="001F0131">
        <w:t xml:space="preserve">The input to the classification model is the chemical composition of the host. However, it must be converted into a numerical representation for machine learning applications. In this study, general-purpose descriptors [15, </w:t>
      </w:r>
      <w:r w:rsidR="0048322E" w:rsidRPr="001F0131">
        <w:t>1</w:t>
      </w:r>
      <w:r w:rsidR="0048322E" w:rsidRPr="001F0131">
        <w:rPr>
          <w:lang w:eastAsia="ja-JP"/>
        </w:rPr>
        <w:t>8</w:t>
      </w:r>
      <w:r w:rsidRPr="001F0131">
        <w:t xml:space="preserve">, </w:t>
      </w:r>
      <w:r w:rsidR="0048322E" w:rsidRPr="001F0131">
        <w:t>1</w:t>
      </w:r>
      <w:r w:rsidR="0048322E" w:rsidRPr="001F0131">
        <w:rPr>
          <w:lang w:eastAsia="ja-JP"/>
        </w:rPr>
        <w:t>9</w:t>
      </w:r>
      <w:r w:rsidRPr="001F0131">
        <w:t>] were employed, which were statistical transformations of elemental features that consider atomic fractions of constituent elements. The elemental features used were atomic number; period and group in the periodic table; atomic mass; number of valence electrons of s/p/d/f/all states; number of unoccupied valence states of s/p/d/f/all states; atomic/covalent/van der Waals radii; electronegativity; electron affinity; ionization energy; Mendeleev number; and polarizability. The statistical metrics used were weighted arithmetic/geometric/harmonic means; weighted standard deviation; minimum, maximum, and range. After excluding features with nearly constant values, the features were standardized such that the means were zero and the standard deviations were one.</w:t>
      </w:r>
    </w:p>
    <w:p w14:paraId="4CAEF375" w14:textId="77777777" w:rsidR="00B8339F" w:rsidRPr="001F0131" w:rsidRDefault="00153B2D" w:rsidP="00B8339F">
      <w:pPr>
        <w:pStyle w:val="TAMainText"/>
      </w:pPr>
      <w:r w:rsidRPr="001F0131">
        <w:t xml:space="preserve">General-purpose descriptors are expected to capture various aspects of the chemical characteristics of the hosts. However, because these descriptors are derived systematically, some may be irrelevant to the target variable. Therefore, recursive feature elimination (RFE) was </w:t>
      </w:r>
      <w:r w:rsidRPr="001F0131">
        <w:lastRenderedPageBreak/>
        <w:t>employed for feature selection. RFE builds a machine learning model, evaluates feature importance, and iteratively removes less important features, narrowing them to useful features as a preprocessing step. The machine learning model used in the RFE step was the same as that in the final classification model. Logistic regression was used for classification, applying L2 regularization and using the logarithmic loss function.</w:t>
      </w:r>
    </w:p>
    <w:p w14:paraId="73610C8D" w14:textId="70F310A9" w:rsidR="00BB19A4" w:rsidRPr="001F0131" w:rsidRDefault="00153B2D" w:rsidP="00B8339F">
      <w:pPr>
        <w:pStyle w:val="TAMainText"/>
      </w:pPr>
      <w:r w:rsidRPr="001F0131">
        <w:t>In the machine learning pipeline, the number of features selected by the RFE and the (inverse) regularization strength of the logistic regression served as the parameters. These parameters were determined by a grid search to maximize the F-score for the validation data of the 10-fold cross-validation. To ensure that the positive and negative instances of each host were not split between the training and validation sets, the data were split per host in the cross-validation.</w:t>
      </w:r>
    </w:p>
    <w:p w14:paraId="5C22BCD1" w14:textId="0F22E82E" w:rsidR="00B8339F" w:rsidRPr="001F0131" w:rsidRDefault="00153B2D" w:rsidP="00B8339F">
      <w:pPr>
        <w:pStyle w:val="TAMainText"/>
      </w:pPr>
      <w:r w:rsidRPr="001F0131">
        <w:t>The pymatgen package [</w:t>
      </w:r>
      <w:r w:rsidR="0048322E" w:rsidRPr="001F0131">
        <w:rPr>
          <w:lang w:eastAsia="ja-JP"/>
        </w:rPr>
        <w:t>20</w:t>
      </w:r>
      <w:r w:rsidRPr="001F0131">
        <w:t>] and a customized version of the XenonPy package [</w:t>
      </w:r>
      <w:r w:rsidR="0048322E" w:rsidRPr="001F0131">
        <w:rPr>
          <w:lang w:eastAsia="ja-JP"/>
        </w:rPr>
        <w:t>21</w:t>
      </w:r>
      <w:r w:rsidRPr="001F0131">
        <w:t>] were used to calculate the features. The scikit-learn package [</w:t>
      </w:r>
      <w:r w:rsidR="0048322E" w:rsidRPr="001F0131">
        <w:rPr>
          <w:lang w:eastAsia="ja-JP"/>
        </w:rPr>
        <w:t>22</w:t>
      </w:r>
      <w:r w:rsidRPr="001F0131">
        <w:t>] was used for machine learning.</w:t>
      </w:r>
    </w:p>
    <w:p w14:paraId="51D56B9B" w14:textId="77777777" w:rsidR="00B8339F" w:rsidRPr="001F0131" w:rsidRDefault="00B8339F" w:rsidP="00B8339F">
      <w:pPr>
        <w:pStyle w:val="TAMainText"/>
        <w:rPr>
          <w:lang w:eastAsia="ja-JP"/>
        </w:rPr>
      </w:pPr>
    </w:p>
    <w:p w14:paraId="5BC90C17" w14:textId="7EDACFC0" w:rsidR="00B8339F" w:rsidRPr="001F0131" w:rsidRDefault="00153B2D" w:rsidP="00B84C7F">
      <w:pPr>
        <w:pStyle w:val="TAMainText"/>
        <w:numPr>
          <w:ilvl w:val="1"/>
          <w:numId w:val="12"/>
        </w:numPr>
        <w:rPr>
          <w:b/>
          <w:bCs/>
        </w:rPr>
      </w:pPr>
      <w:r w:rsidRPr="001F0131">
        <w:rPr>
          <w:b/>
          <w:bCs/>
        </w:rPr>
        <w:t>Host candidate selection</w:t>
      </w:r>
    </w:p>
    <w:p w14:paraId="7191D519" w14:textId="77777777" w:rsidR="00B8339F" w:rsidRPr="001F0131" w:rsidRDefault="00153B2D" w:rsidP="00B8339F">
      <w:pPr>
        <w:pStyle w:val="TAMainText"/>
      </w:pPr>
      <w:r w:rsidRPr="001F0131">
        <w:t>The developed classification model was used to select host candidates for new Eu</w:t>
      </w:r>
      <w:r w:rsidRPr="001F0131">
        <w:rPr>
          <w:vertAlign w:val="superscript"/>
        </w:rPr>
        <w:t>2+</w:t>
      </w:r>
      <w:r w:rsidRPr="001F0131">
        <w:t>-activated phosphors. This study focuses on phosphors with known compounds that have not been reported as hosts for Eu</w:t>
      </w:r>
      <w:r w:rsidRPr="001F0131">
        <w:rPr>
          <w:vertAlign w:val="superscript"/>
        </w:rPr>
        <w:t>2+</w:t>
      </w:r>
      <w:r w:rsidRPr="001F0131">
        <w:t>-activated phosphors.</w:t>
      </w:r>
    </w:p>
    <w:p w14:paraId="7F059C26" w14:textId="5852EFD0" w:rsidR="005F6B05" w:rsidRPr="001F0131" w:rsidRDefault="00153B2D" w:rsidP="00B8339F">
      <w:pPr>
        <w:pStyle w:val="TAMainText"/>
      </w:pPr>
      <w:r w:rsidRPr="001F0131">
        <w:t>As candidates for new hosts, compounds composed of elements in the collected Eu-activated phosphor dataset and met the charge neutrality criteria were selected from the AtomWork-Adv inorganic materials database [</w:t>
      </w:r>
      <w:r w:rsidR="0048322E" w:rsidRPr="001F0131">
        <w:rPr>
          <w:lang w:eastAsia="ja-JP"/>
        </w:rPr>
        <w:t>23</w:t>
      </w:r>
      <w:r w:rsidRPr="001F0131">
        <w:t xml:space="preserve">]. In AtomWork-Adv, records deemed to be in the same phase (with the same constituent elements and crystal structure type) are grouped into a single ‘substance.’ In this study, candidate compounds were extracted at the substance level to aggregate entries with similar compositions.  The probability of the positive class predicted by the machine learning </w:t>
      </w:r>
      <w:r w:rsidRPr="001F0131">
        <w:lastRenderedPageBreak/>
        <w:t>model was used to measure the likelihood of Eu</w:t>
      </w:r>
      <w:r w:rsidRPr="001F0131">
        <w:rPr>
          <w:vertAlign w:val="superscript"/>
        </w:rPr>
        <w:t>2+</w:t>
      </w:r>
      <w:r w:rsidRPr="001F0131">
        <w:t>-derived luminescence. Substances with 50% or higher Eu</w:t>
      </w:r>
      <w:r w:rsidRPr="001F0131">
        <w:rPr>
          <w:vertAlign w:val="superscript"/>
        </w:rPr>
        <w:t>2+</w:t>
      </w:r>
      <w:r w:rsidRPr="001F0131">
        <w:t>-probability were selected as candidates for new hosts. The candidates were further narrowed down for validation experiments. The details of the selection are described below.</w:t>
      </w:r>
    </w:p>
    <w:p w14:paraId="40D98ABE" w14:textId="77777777" w:rsidR="00B8339F" w:rsidRPr="001F0131" w:rsidRDefault="00B8339F" w:rsidP="00B8339F">
      <w:pPr>
        <w:pStyle w:val="TAMainText"/>
      </w:pPr>
    </w:p>
    <w:p w14:paraId="75E20EF5" w14:textId="5DC70665" w:rsidR="00B8339F" w:rsidRPr="001F0131" w:rsidRDefault="00153B2D" w:rsidP="00B84C7F">
      <w:pPr>
        <w:pStyle w:val="TAMainText"/>
        <w:numPr>
          <w:ilvl w:val="1"/>
          <w:numId w:val="12"/>
        </w:numPr>
        <w:rPr>
          <w:b/>
          <w:bCs/>
        </w:rPr>
      </w:pPr>
      <w:r w:rsidRPr="001F0131">
        <w:rPr>
          <w:b/>
          <w:bCs/>
        </w:rPr>
        <w:t>Experiments</w:t>
      </w:r>
    </w:p>
    <w:p w14:paraId="7442FBFE" w14:textId="0F4015D6" w:rsidR="00B8339F" w:rsidRPr="001F0131" w:rsidRDefault="00153B2D" w:rsidP="00B8339F">
      <w:pPr>
        <w:pStyle w:val="TAMainText"/>
      </w:pPr>
      <w:r w:rsidRPr="001F0131">
        <w:t xml:space="preserve">The candidate compounds were synthesized using a solid-state reaction method. Simple oxides, carbonates, sulfides, halides, </w:t>
      </w:r>
      <w:r w:rsidR="00264642" w:rsidRPr="001F0131">
        <w:rPr>
          <w:lang w:eastAsia="ja-JP"/>
        </w:rPr>
        <w:t xml:space="preserve">phosphates, </w:t>
      </w:r>
      <w:r w:rsidR="003C1C67" w:rsidRPr="001F0131">
        <w:rPr>
          <w:lang w:eastAsia="ja-JP"/>
        </w:rPr>
        <w:t xml:space="preserve">boron, sulfur, </w:t>
      </w:r>
      <w:r w:rsidRPr="001F0131">
        <w:t xml:space="preserve">and boric acid were used as starting materials. The starting materials were mixed in stoichiometric compositions with </w:t>
      </w:r>
      <w:r w:rsidR="00FD1536" w:rsidRPr="001F0131">
        <w:t xml:space="preserve">1 at% substitution of </w:t>
      </w:r>
      <w:r w:rsidRPr="001F0131">
        <w:t>Ca, Sr, or Ba with Eu by adding Eu</w:t>
      </w:r>
      <w:r w:rsidRPr="001F0131">
        <w:rPr>
          <w:vertAlign w:val="subscript"/>
        </w:rPr>
        <w:t>2</w:t>
      </w:r>
      <w:r w:rsidRPr="001F0131">
        <w:t>O</w:t>
      </w:r>
      <w:r w:rsidRPr="001F0131">
        <w:rPr>
          <w:vertAlign w:val="subscript"/>
        </w:rPr>
        <w:t>3</w:t>
      </w:r>
      <w:r w:rsidRPr="001F0131">
        <w:t xml:space="preserve">, EuS, or Eu halides. The mixed samples were </w:t>
      </w:r>
      <w:r w:rsidR="006E49CB" w:rsidRPr="001F0131">
        <w:rPr>
          <w:rFonts w:hint="eastAsia"/>
          <w:lang w:eastAsia="ja-JP"/>
        </w:rPr>
        <w:t>processed</w:t>
      </w:r>
      <w:r w:rsidR="006E49CB" w:rsidRPr="001F0131">
        <w:rPr>
          <w:lang w:eastAsia="ja-JP"/>
        </w:rPr>
        <w:t xml:space="preserve"> in several ways, namely </w:t>
      </w:r>
      <w:r w:rsidR="006E49CB" w:rsidRPr="001F0131">
        <w:t>fir</w:t>
      </w:r>
      <w:r w:rsidR="006E49CB" w:rsidRPr="001F0131">
        <w:rPr>
          <w:lang w:eastAsia="ja-JP"/>
        </w:rPr>
        <w:t>ing</w:t>
      </w:r>
      <w:r w:rsidR="006E49CB" w:rsidRPr="001F0131">
        <w:t xml:space="preserve"> </w:t>
      </w:r>
      <w:r w:rsidRPr="001F0131">
        <w:t>in ambient atmospheres followed by heat treatment post</w:t>
      </w:r>
      <w:r w:rsidR="00704126" w:rsidRPr="001F0131">
        <w:rPr>
          <w:lang w:eastAsia="ja-JP"/>
        </w:rPr>
        <w:t>-</w:t>
      </w:r>
      <w:r w:rsidRPr="001F0131">
        <w:t>processes under reducing atmospheres</w:t>
      </w:r>
      <w:r w:rsidR="003C1C67" w:rsidRPr="001F0131">
        <w:rPr>
          <w:lang w:eastAsia="ja-JP"/>
        </w:rPr>
        <w:t>,</w:t>
      </w:r>
      <w:r w:rsidRPr="001F0131">
        <w:t xml:space="preserve"> </w:t>
      </w:r>
      <w:r w:rsidR="003C1C67" w:rsidRPr="001F0131">
        <w:rPr>
          <w:lang w:eastAsia="ja-JP"/>
        </w:rPr>
        <w:t>firing</w:t>
      </w:r>
      <w:r w:rsidR="003C1C67" w:rsidRPr="001F0131">
        <w:t xml:space="preserve"> </w:t>
      </w:r>
      <w:r w:rsidRPr="001F0131">
        <w:t>under reducing conditions</w:t>
      </w:r>
      <w:r w:rsidR="003C1C67" w:rsidRPr="001F0131">
        <w:rPr>
          <w:lang w:eastAsia="ja-JP"/>
        </w:rPr>
        <w:t>, and heating with vacuum-sealed quartz ampoules</w:t>
      </w:r>
      <w:r w:rsidRPr="001F0131">
        <w:t xml:space="preserve">. The choice of </w:t>
      </w:r>
      <w:r w:rsidR="00202A9C" w:rsidRPr="001F0131">
        <w:rPr>
          <w:lang w:eastAsia="ja-JP"/>
        </w:rPr>
        <w:t xml:space="preserve">the </w:t>
      </w:r>
      <w:r w:rsidRPr="001F0131">
        <w:t xml:space="preserve">synthesis condition, temperature, and </w:t>
      </w:r>
      <w:r w:rsidR="00202A9C" w:rsidRPr="001F0131">
        <w:rPr>
          <w:lang w:eastAsia="ja-JP"/>
        </w:rPr>
        <w:t>time</w:t>
      </w:r>
      <w:r w:rsidR="00202A9C" w:rsidRPr="001F0131">
        <w:t xml:space="preserve"> </w:t>
      </w:r>
      <w:r w:rsidRPr="001F0131">
        <w:t>varied depending on the target compounds.</w:t>
      </w:r>
    </w:p>
    <w:p w14:paraId="178E1F53" w14:textId="77777777" w:rsidR="00B8339F" w:rsidRPr="001F0131" w:rsidRDefault="00153B2D" w:rsidP="00B8339F">
      <w:pPr>
        <w:pStyle w:val="TAMainText"/>
      </w:pPr>
      <w:r w:rsidRPr="001F0131">
        <w:t xml:space="preserve">The obtained products were characterized using a powder X-ray diffractometer (XRD) (Bruker, D8 ADVANCE, Cu Kα1 radiation) and a spectrofluorometer (JASCO, FP-8600). An airtight sample holder filled with nitrogen was used to protect air-sensitive samples. The phases and their fractions in the products were identified </w:t>
      </w:r>
      <w:bookmarkStart w:id="1" w:name="_Hlk179450826"/>
      <w:r w:rsidRPr="001F0131">
        <w:t>using the whole powder pattern fitting method (Rigaku, PDXL2)</w:t>
      </w:r>
      <w:bookmarkEnd w:id="1"/>
      <w:r w:rsidRPr="001F0131">
        <w:t>. The synthesis was considered successful if the fraction of the target phase was 70 wt% or more. Photoluminescence (PL) measurements were performed for samples with 70 wt% or higher purity. After the emission peak-top wavelengths were identified using excitation-emission matrix (EEM) fluorescence spectroscopy, PL and PL excitation (PLE) spectra were obtained. All measurements were performed at room temperature.</w:t>
      </w:r>
    </w:p>
    <w:p w14:paraId="1D693F0D" w14:textId="77777777" w:rsidR="00B8339F" w:rsidRPr="001F0131" w:rsidRDefault="00B8339F" w:rsidP="00B8339F">
      <w:pPr>
        <w:pStyle w:val="TAMainText"/>
      </w:pPr>
    </w:p>
    <w:p w14:paraId="1FD982E3" w14:textId="721DE5D7" w:rsidR="00B8339F" w:rsidRPr="001F0131" w:rsidRDefault="00153B2D" w:rsidP="00B84C7F">
      <w:pPr>
        <w:pStyle w:val="TAMainText"/>
        <w:numPr>
          <w:ilvl w:val="0"/>
          <w:numId w:val="12"/>
        </w:numPr>
        <w:rPr>
          <w:b/>
          <w:bCs/>
        </w:rPr>
      </w:pPr>
      <w:r w:rsidRPr="001F0131">
        <w:rPr>
          <w:b/>
          <w:bCs/>
        </w:rPr>
        <w:lastRenderedPageBreak/>
        <w:t>Results and Discussion</w:t>
      </w:r>
    </w:p>
    <w:p w14:paraId="68C7221B" w14:textId="2B19ABC6" w:rsidR="00B8339F" w:rsidRPr="001F0131" w:rsidRDefault="00153B2D" w:rsidP="00B84C7F">
      <w:pPr>
        <w:pStyle w:val="TAMainText"/>
        <w:numPr>
          <w:ilvl w:val="1"/>
          <w:numId w:val="12"/>
        </w:numPr>
        <w:rPr>
          <w:b/>
          <w:bCs/>
        </w:rPr>
      </w:pPr>
      <w:r w:rsidRPr="001F0131">
        <w:rPr>
          <w:b/>
          <w:bCs/>
        </w:rPr>
        <w:t>Data collection</w:t>
      </w:r>
    </w:p>
    <w:p w14:paraId="4296E018" w14:textId="1EB54E3C" w:rsidR="00B8339F" w:rsidRPr="001F0131" w:rsidRDefault="00153B2D" w:rsidP="00B8339F">
      <w:pPr>
        <w:pStyle w:val="TAMainText"/>
      </w:pPr>
      <w:r w:rsidRPr="001F0131">
        <w:t>From academic articles on phosphors, the notations for Eu</w:t>
      </w:r>
      <w:r w:rsidRPr="001F0131">
        <w:rPr>
          <w:vertAlign w:val="superscript"/>
        </w:rPr>
        <w:t>2+</w:t>
      </w:r>
      <w:r w:rsidRPr="001F0131">
        <w:t>- and Eu</w:t>
      </w:r>
      <w:r w:rsidRPr="001F0131">
        <w:rPr>
          <w:vertAlign w:val="superscript"/>
        </w:rPr>
        <w:t>3+</w:t>
      </w:r>
      <w:r w:rsidRPr="001F0131">
        <w:t>-activated phosphors were extracted, resulting in 831 host compositions from 21,607 papers on Eu</w:t>
      </w:r>
      <w:r w:rsidRPr="001F0131">
        <w:rPr>
          <w:vertAlign w:val="superscript"/>
        </w:rPr>
        <w:t>2+</w:t>
      </w:r>
      <w:r w:rsidRPr="001F0131">
        <w:t>-activated phosphors and 1,261 host compositions from 24,430 papers on Eu</w:t>
      </w:r>
      <w:r w:rsidRPr="001F0131">
        <w:rPr>
          <w:vertAlign w:val="superscript"/>
        </w:rPr>
        <w:t>3+</w:t>
      </w:r>
      <w:r w:rsidRPr="001F0131">
        <w:t>-activated phosphors. Among them, 387 hosts had papers on both Eu</w:t>
      </w:r>
      <w:r w:rsidRPr="001F0131">
        <w:rPr>
          <w:vertAlign w:val="superscript"/>
        </w:rPr>
        <w:t>2+</w:t>
      </w:r>
      <w:r w:rsidRPr="001F0131">
        <w:t>- and Eu</w:t>
      </w:r>
      <w:r w:rsidRPr="001F0131">
        <w:rPr>
          <w:vertAlign w:val="superscript"/>
        </w:rPr>
        <w:t>3+</w:t>
      </w:r>
      <w:r w:rsidRPr="001F0131">
        <w:t xml:space="preserve">-activated phosphors, resulting in a total of 1,705 hosts. It is essential to note that our host extraction method does not consider context. Given the nature of academic articles, we assumed that if a phosphor material was mentioned, it was likely to be successfully synthesized and observed for luminescence and that descriptions of failed synthesis or nonluminous behavior were infrequent. Despite the </w:t>
      </w:r>
      <w:r w:rsidR="006E49CB" w:rsidRPr="001F0131">
        <w:t xml:space="preserve">inaccuracy </w:t>
      </w:r>
      <w:r w:rsidRPr="001F0131">
        <w:t>introduced by ignoring context, we expected that collecting a large amount of data would mitigate its impact.</w:t>
      </w:r>
    </w:p>
    <w:p w14:paraId="50E27F2E" w14:textId="6657D9A6" w:rsidR="009C19D0" w:rsidRPr="001F0131" w:rsidRDefault="00153B2D" w:rsidP="009C19D0">
      <w:pPr>
        <w:pStyle w:val="TAMainText"/>
      </w:pPr>
      <w:r w:rsidRPr="001F0131">
        <w:t>The host with the most significant paper count was Y</w:t>
      </w:r>
      <w:r w:rsidRPr="001F0131">
        <w:rPr>
          <w:vertAlign w:val="subscript"/>
        </w:rPr>
        <w:t>2</w:t>
      </w:r>
      <w:r w:rsidRPr="001F0131">
        <w:t>O</w:t>
      </w:r>
      <w:r w:rsidRPr="001F0131">
        <w:rPr>
          <w:vertAlign w:val="subscript"/>
        </w:rPr>
        <w:t>3</w:t>
      </w:r>
      <w:r w:rsidRPr="001F0131">
        <w:t>, with 2,179 papers (eight on Eu</w:t>
      </w:r>
      <w:r w:rsidRPr="001F0131">
        <w:rPr>
          <w:vertAlign w:val="superscript"/>
        </w:rPr>
        <w:t>2+</w:t>
      </w:r>
      <w:r w:rsidRPr="001F0131">
        <w:t>-activated phosphor and 2,171 on Eu</w:t>
      </w:r>
      <w:r w:rsidRPr="001F0131">
        <w:rPr>
          <w:vertAlign w:val="superscript"/>
        </w:rPr>
        <w:t>3+</w:t>
      </w:r>
      <w:r w:rsidRPr="001F0131">
        <w:t>-activated phosphor). Six hosts, including Y</w:t>
      </w:r>
      <w:r w:rsidRPr="001F0131">
        <w:rPr>
          <w:vertAlign w:val="subscript"/>
        </w:rPr>
        <w:t>2</w:t>
      </w:r>
      <w:r w:rsidRPr="001F0131">
        <w:t>O</w:t>
      </w:r>
      <w:r w:rsidRPr="001F0131">
        <w:rPr>
          <w:vertAlign w:val="subscript"/>
        </w:rPr>
        <w:t>3</w:t>
      </w:r>
      <w:r w:rsidRPr="001F0131">
        <w:t>, had 1,000 papers or more, whereas 390 hosts had only one paper. To analyze the di</w:t>
      </w:r>
      <w:r w:rsidRPr="001F0131">
        <w:rPr>
          <w:rFonts w:hint="eastAsia"/>
        </w:rPr>
        <w:t>stribution of paper counts, the number of hosts for each paper count</w:t>
      </w:r>
      <w:r w:rsidR="00B8339F" w:rsidRPr="001F0131">
        <w:rPr>
          <w:rFonts w:hint="eastAsia"/>
          <w:lang w:eastAsia="ja-JP"/>
        </w:rPr>
        <w:t xml:space="preserve"> </w:t>
      </w:r>
      <m:oMath>
        <m:r>
          <w:rPr>
            <w:rFonts w:ascii="Cambria Math" w:hAnsi="Cambria Math"/>
            <w:lang w:eastAsia="ja-JP"/>
          </w:rPr>
          <m:t>f</m:t>
        </m:r>
        <m:d>
          <m:dPr>
            <m:ctrlPr>
              <w:rPr>
                <w:rFonts w:ascii="Cambria Math" w:hAnsi="Cambria Math"/>
                <w:i/>
                <w:lang w:eastAsia="ja-JP"/>
              </w:rPr>
            </m:ctrlPr>
          </m:dPr>
          <m:e>
            <m:r>
              <w:rPr>
                <w:rFonts w:ascii="Cambria Math" w:hAnsi="Cambria Math"/>
                <w:lang w:eastAsia="ja-JP"/>
              </w:rPr>
              <m:t>n</m:t>
            </m:r>
          </m:e>
        </m:d>
        <m:r>
          <w:rPr>
            <w:rFonts w:ascii="Cambria Math" w:hAnsi="Cambria Math"/>
            <w:lang w:eastAsia="ja-JP"/>
          </w:rPr>
          <m:t>=</m:t>
        </m:r>
        <m:d>
          <m:dPr>
            <m:begChr m:val="|"/>
            <m:endChr m:val="|"/>
            <m:ctrlPr>
              <w:rPr>
                <w:rFonts w:ascii="Cambria Math" w:hAnsi="Cambria Math"/>
                <w:i/>
                <w:lang w:eastAsia="ja-JP"/>
              </w:rPr>
            </m:ctrlPr>
          </m:dPr>
          <m:e>
            <m:d>
              <m:dPr>
                <m:begChr m:val="{"/>
                <m:endChr m:val="}"/>
                <m:ctrlPr>
                  <w:rPr>
                    <w:rFonts w:ascii="Cambria Math" w:hAnsi="Cambria Math"/>
                    <w:i/>
                    <w:lang w:eastAsia="ja-JP"/>
                  </w:rPr>
                </m:ctrlPr>
              </m:dPr>
              <m:e>
                <m:r>
                  <w:rPr>
                    <w:rFonts w:ascii="Cambria Math" w:hAnsi="Cambria Math"/>
                    <w:lang w:eastAsia="ja-JP"/>
                  </w:rPr>
                  <m:t>h∈H</m:t>
                </m:r>
              </m:e>
              <m:e>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h</m:t>
                    </m:r>
                  </m:sub>
                </m:sSub>
                <m:r>
                  <w:rPr>
                    <w:rFonts w:ascii="Cambria Math" w:hAnsi="Cambria Math"/>
                    <w:lang w:eastAsia="ja-JP"/>
                  </w:rPr>
                  <m:t>=n</m:t>
                </m:r>
              </m:e>
            </m:d>
          </m:e>
        </m:d>
      </m:oMath>
      <w:r w:rsidRPr="001F0131">
        <w:rPr>
          <w:rFonts w:hint="eastAsia"/>
        </w:rPr>
        <w:t xml:space="preserve">, where </w:t>
      </w:r>
      <w:r w:rsidRPr="001F0131">
        <w:rPr>
          <w:rFonts w:hint="eastAsia"/>
          <w:i/>
        </w:rPr>
        <w:t>H</w:t>
      </w:r>
      <w:r w:rsidRPr="001F0131">
        <w:rPr>
          <w:rFonts w:hint="eastAsia"/>
        </w:rPr>
        <w:t xml:space="preserve"> is the set of hosts and </w:t>
      </w:r>
      <w:r w:rsidRPr="001F0131">
        <w:rPr>
          <w:rFonts w:hint="eastAsia"/>
          <w:i/>
        </w:rPr>
        <w:t>N</w:t>
      </w:r>
      <w:r w:rsidRPr="001F0131">
        <w:rPr>
          <w:rFonts w:hint="eastAsia"/>
          <w:i/>
          <w:vertAlign w:val="subscript"/>
        </w:rPr>
        <w:t>h</w:t>
      </w:r>
      <w:r w:rsidRPr="001F0131">
        <w:rPr>
          <w:rFonts w:hint="eastAsia"/>
        </w:rPr>
        <w:t xml:space="preserve"> is the paper count of host </w:t>
      </w:r>
      <w:r w:rsidRPr="001F0131">
        <w:rPr>
          <w:rFonts w:hint="eastAsia"/>
          <w:i/>
        </w:rPr>
        <w:t>h</w:t>
      </w:r>
      <w:r w:rsidRPr="001F0131">
        <w:rPr>
          <w:rFonts w:hint="eastAsia"/>
        </w:rPr>
        <w:t xml:space="preserve">, is illustrated in </w:t>
      </w:r>
      <w:r w:rsidRPr="001F0131">
        <w:t xml:space="preserve">Fig. </w:t>
      </w:r>
      <w:r w:rsidR="00202A9C" w:rsidRPr="001F0131">
        <w:rPr>
          <w:lang w:eastAsia="ja-JP"/>
        </w:rPr>
        <w:t>2</w:t>
      </w:r>
      <w:r w:rsidR="00202A9C" w:rsidRPr="001F0131">
        <w:t>a</w:t>
      </w:r>
      <w:r w:rsidRPr="001F0131">
        <w:rPr>
          <w:rFonts w:hint="eastAsia"/>
        </w:rPr>
        <w:t>. In the region of fewer papers, roughly below 20, a nearly linear relationsh</w:t>
      </w:r>
      <w:r w:rsidRPr="001F0131">
        <w:t xml:space="preserve">ip was observed in the log-log plot. Linear regression in the range of 1-20 papers yielded a slope of -1.04 (standard error: 0.05), indicating an inverse proportionality between the number of hosts and paper count. In the larger paper count region, typically above 30, the scatter of the data points was larger. </w:t>
      </w:r>
      <w:r w:rsidR="00F7074E" w:rsidRPr="001F0131">
        <w:rPr>
          <w:rFonts w:hint="eastAsia"/>
          <w:lang w:eastAsia="ja-JP"/>
        </w:rPr>
        <w:t>To avoid the impact of the scattering of the data points in examination of the relationship between the number of hosts and the paper count, t</w:t>
      </w:r>
      <w:r w:rsidRPr="001F0131">
        <w:t>he number of hosts that exceeded the given paper count</w:t>
      </w:r>
      <w:r w:rsidR="00B8339F" w:rsidRPr="001F0131">
        <w:rPr>
          <w:rFonts w:hint="eastAsia"/>
          <w:lang w:eastAsia="ja-JP"/>
        </w:rPr>
        <w:t xml:space="preserve"> </w:t>
      </w:r>
      <m:oMath>
        <m:r>
          <w:rPr>
            <w:rFonts w:ascii="Cambria Math" w:hAnsi="Cambria Math"/>
            <w:lang w:eastAsia="ja-JP"/>
          </w:rPr>
          <m:t>g</m:t>
        </m:r>
        <m:d>
          <m:dPr>
            <m:ctrlPr>
              <w:rPr>
                <w:rFonts w:ascii="Cambria Math" w:hAnsi="Cambria Math"/>
                <w:i/>
                <w:lang w:eastAsia="ja-JP"/>
              </w:rPr>
            </m:ctrlPr>
          </m:dPr>
          <m:e>
            <m:r>
              <w:rPr>
                <w:rFonts w:ascii="Cambria Math" w:hAnsi="Cambria Math"/>
                <w:lang w:eastAsia="ja-JP"/>
              </w:rPr>
              <m:t>n</m:t>
            </m:r>
          </m:e>
        </m:d>
        <m:r>
          <w:rPr>
            <w:rFonts w:ascii="Cambria Math" w:hAnsi="Cambria Math"/>
            <w:lang w:eastAsia="ja-JP"/>
          </w:rPr>
          <m:t>=</m:t>
        </m:r>
        <m:d>
          <m:dPr>
            <m:begChr m:val="|"/>
            <m:endChr m:val="|"/>
            <m:ctrlPr>
              <w:rPr>
                <w:rFonts w:ascii="Cambria Math" w:hAnsi="Cambria Math"/>
                <w:i/>
                <w:lang w:eastAsia="ja-JP"/>
              </w:rPr>
            </m:ctrlPr>
          </m:dPr>
          <m:e>
            <m:d>
              <m:dPr>
                <m:begChr m:val="{"/>
                <m:endChr m:val="}"/>
                <m:ctrlPr>
                  <w:rPr>
                    <w:rFonts w:ascii="Cambria Math" w:hAnsi="Cambria Math"/>
                    <w:i/>
                    <w:lang w:eastAsia="ja-JP"/>
                  </w:rPr>
                </m:ctrlPr>
              </m:dPr>
              <m:e>
                <m:r>
                  <w:rPr>
                    <w:rFonts w:ascii="Cambria Math" w:hAnsi="Cambria Math"/>
                    <w:lang w:eastAsia="ja-JP"/>
                  </w:rPr>
                  <m:t>h∈H</m:t>
                </m:r>
              </m:e>
              <m:e>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h</m:t>
                    </m:r>
                  </m:sub>
                </m:sSub>
                <m:r>
                  <w:rPr>
                    <w:rFonts w:ascii="Cambria Math" w:hAnsi="Cambria Math"/>
                    <w:lang w:eastAsia="ja-JP"/>
                  </w:rPr>
                  <m:t>≥n</m:t>
                </m:r>
              </m:e>
            </m:d>
          </m:e>
        </m:d>
      </m:oMath>
      <w:r w:rsidRPr="001F0131">
        <w:t xml:space="preserve"> is illustrated in Fig. </w:t>
      </w:r>
      <w:r w:rsidR="00202A9C" w:rsidRPr="001F0131">
        <w:rPr>
          <w:lang w:eastAsia="ja-JP"/>
        </w:rPr>
        <w:t>2</w:t>
      </w:r>
      <w:r w:rsidR="00202A9C" w:rsidRPr="001F0131">
        <w:t>b</w:t>
      </w:r>
      <w:r w:rsidRPr="001F0131">
        <w:t xml:space="preserve">. Note that </w:t>
      </w:r>
      <w:r w:rsidRPr="001F0131">
        <w:rPr>
          <w:i/>
        </w:rPr>
        <w:t>f</w:t>
      </w:r>
      <w:r w:rsidRPr="001F0131">
        <w:t>(</w:t>
      </w:r>
      <w:r w:rsidRPr="001F0131">
        <w:rPr>
          <w:i/>
        </w:rPr>
        <w:t>n</w:t>
      </w:r>
      <w:r w:rsidRPr="001F0131">
        <w:t xml:space="preserve">) is derived from </w:t>
      </w:r>
      <w:r w:rsidRPr="001F0131">
        <w:rPr>
          <w:i/>
        </w:rPr>
        <w:t>g</w:t>
      </w:r>
      <w:r w:rsidRPr="001F0131">
        <w:t>(</w:t>
      </w:r>
      <w:r w:rsidRPr="001F0131">
        <w:rPr>
          <w:i/>
        </w:rPr>
        <w:t>n</w:t>
      </w:r>
      <w:r w:rsidRPr="001F0131">
        <w:t>) as</w:t>
      </w:r>
      <w:r w:rsidR="009C19D0" w:rsidRPr="001F0131">
        <w:rPr>
          <w:rFonts w:hint="eastAsia"/>
          <w:lang w:eastAsia="ja-JP"/>
        </w:rPr>
        <w:t xml:space="preserve"> </w:t>
      </w:r>
      <m:oMath>
        <m:r>
          <w:rPr>
            <w:rFonts w:ascii="Cambria Math" w:hAnsi="Cambria Math"/>
            <w:lang w:eastAsia="ja-JP"/>
          </w:rPr>
          <m:t>f</m:t>
        </m:r>
        <m:d>
          <m:dPr>
            <m:ctrlPr>
              <w:rPr>
                <w:rFonts w:ascii="Cambria Math" w:hAnsi="Cambria Math"/>
                <w:i/>
                <w:lang w:eastAsia="ja-JP"/>
              </w:rPr>
            </m:ctrlPr>
          </m:dPr>
          <m:e>
            <m:r>
              <w:rPr>
                <w:rFonts w:ascii="Cambria Math" w:hAnsi="Cambria Math"/>
                <w:lang w:eastAsia="ja-JP"/>
              </w:rPr>
              <m:t>n</m:t>
            </m:r>
          </m:e>
        </m:d>
        <m:r>
          <w:rPr>
            <w:rFonts w:ascii="Cambria Math" w:hAnsi="Cambria Math"/>
            <w:lang w:eastAsia="ja-JP"/>
          </w:rPr>
          <m:t>=g</m:t>
        </m:r>
        <m:d>
          <m:dPr>
            <m:ctrlPr>
              <w:rPr>
                <w:rFonts w:ascii="Cambria Math" w:hAnsi="Cambria Math"/>
                <w:i/>
                <w:lang w:eastAsia="ja-JP"/>
              </w:rPr>
            </m:ctrlPr>
          </m:dPr>
          <m:e>
            <m:r>
              <w:rPr>
                <w:rFonts w:ascii="Cambria Math" w:hAnsi="Cambria Math"/>
                <w:lang w:eastAsia="ja-JP"/>
              </w:rPr>
              <m:t>n</m:t>
            </m:r>
          </m:e>
        </m:d>
        <m:r>
          <w:rPr>
            <w:rFonts w:ascii="Cambria Math" w:hAnsi="Cambria Math"/>
            <w:lang w:eastAsia="ja-JP"/>
          </w:rPr>
          <m:t>-g</m:t>
        </m:r>
        <m:d>
          <m:dPr>
            <m:ctrlPr>
              <w:rPr>
                <w:rFonts w:ascii="Cambria Math" w:hAnsi="Cambria Math"/>
                <w:i/>
                <w:lang w:eastAsia="ja-JP"/>
              </w:rPr>
            </m:ctrlPr>
          </m:dPr>
          <m:e>
            <m:r>
              <w:rPr>
                <w:rFonts w:ascii="Cambria Math" w:hAnsi="Cambria Math"/>
                <w:lang w:eastAsia="ja-JP"/>
              </w:rPr>
              <m:t>n+1</m:t>
            </m:r>
          </m:e>
        </m:d>
        <m:r>
          <w:rPr>
            <w:rFonts w:ascii="Cambria Math" w:hAnsi="Cambria Math"/>
            <w:lang w:eastAsia="ja-JP"/>
          </w:rPr>
          <m:t>≈-</m:t>
        </m:r>
        <m:f>
          <m:fPr>
            <m:type m:val="lin"/>
            <m:ctrlPr>
              <w:rPr>
                <w:rFonts w:ascii="Cambria Math" w:hAnsi="Cambria Math"/>
                <w:i/>
                <w:lang w:eastAsia="ja-JP"/>
              </w:rPr>
            </m:ctrlPr>
          </m:fPr>
          <m:num>
            <m:r>
              <w:rPr>
                <w:rFonts w:ascii="Cambria Math" w:hAnsi="Cambria Math"/>
                <w:lang w:eastAsia="ja-JP"/>
              </w:rPr>
              <m:t>dg</m:t>
            </m:r>
          </m:num>
          <m:den>
            <m:r>
              <w:rPr>
                <w:rFonts w:ascii="Cambria Math" w:hAnsi="Cambria Math"/>
                <w:lang w:eastAsia="ja-JP"/>
              </w:rPr>
              <m:t>dn</m:t>
            </m:r>
          </m:den>
        </m:f>
      </m:oMath>
      <w:r w:rsidRPr="001F0131">
        <w:t xml:space="preserve">. </w:t>
      </w:r>
      <w:r w:rsidRPr="001F0131">
        <w:lastRenderedPageBreak/>
        <w:t xml:space="preserve">In the range of 30-1,000 papers, linear regression in the log-log plot of Fig. </w:t>
      </w:r>
      <w:r w:rsidR="00202A9C" w:rsidRPr="001F0131">
        <w:rPr>
          <w:lang w:eastAsia="ja-JP"/>
        </w:rPr>
        <w:t>2</w:t>
      </w:r>
      <w:r w:rsidR="00202A9C" w:rsidRPr="001F0131">
        <w:t xml:space="preserve">b </w:t>
      </w:r>
      <w:r w:rsidRPr="001F0131">
        <w:t xml:space="preserve">yielded a slope of -1.162 (standard error: 0.005). Therefore, the number of hosts for each paper count was approximately inversely proportional to the square of the paper count in this range. The significance of the shift in the exponent of the paper count from </w:t>
      </w:r>
      <w:r w:rsidR="009C19D0" w:rsidRPr="001F0131">
        <w:rPr>
          <w:rFonts w:hint="eastAsia"/>
          <w:lang w:eastAsia="ja-JP"/>
        </w:rPr>
        <w:t>-</w:t>
      </w:r>
      <w:r w:rsidRPr="001F0131">
        <w:t xml:space="preserve">1 to </w:t>
      </w:r>
      <w:r w:rsidR="009C19D0" w:rsidRPr="001F0131">
        <w:rPr>
          <w:rFonts w:hint="eastAsia"/>
          <w:lang w:eastAsia="ja-JP"/>
        </w:rPr>
        <w:t>-</w:t>
      </w:r>
      <w:r w:rsidRPr="001F0131">
        <w:t>2 and that of the boundary around 20-30 papers are unclear. However, the findings indicate that the paper counts of the hosts follow long-tailed power-law distributions in both regions of few and many papers. In other words, most hosts have a small number of papers, whereas a few hosts have a large number of papers.</w:t>
      </w:r>
    </w:p>
    <w:p w14:paraId="6F37F72E" w14:textId="776BAD13" w:rsidR="009C19D0" w:rsidRPr="001F0131" w:rsidRDefault="00153B2D" w:rsidP="009C19D0">
      <w:pPr>
        <w:pStyle w:val="TAMainText"/>
      </w:pPr>
      <w:r w:rsidRPr="001F0131">
        <w:t>The ratio of the paper count on Eu</w:t>
      </w:r>
      <w:r w:rsidRPr="001F0131">
        <w:rPr>
          <w:vertAlign w:val="superscript"/>
        </w:rPr>
        <w:t>2+</w:t>
      </w:r>
      <w:r w:rsidRPr="001F0131">
        <w:t>-activated phosphor (hereinafter referred to as the Eu</w:t>
      </w:r>
      <w:r w:rsidRPr="001F0131">
        <w:rPr>
          <w:vertAlign w:val="superscript"/>
        </w:rPr>
        <w:t>2+</w:t>
      </w:r>
      <w:r w:rsidRPr="001F0131">
        <w:t xml:space="preserve">-paper ratio) for each host, plotted against the paper count, is shown in Fig. </w:t>
      </w:r>
      <w:r w:rsidR="00202A9C" w:rsidRPr="001F0131">
        <w:rPr>
          <w:lang w:eastAsia="ja-JP"/>
        </w:rPr>
        <w:t>2</w:t>
      </w:r>
      <w:r w:rsidR="00202A9C" w:rsidRPr="001F0131">
        <w:t>c</w:t>
      </w:r>
      <w:r w:rsidRPr="001F0131">
        <w:t>. In the figure, the markers overlap, and many hosts belong exclusively to either Eu</w:t>
      </w:r>
      <w:r w:rsidRPr="001F0131">
        <w:rPr>
          <w:vertAlign w:val="superscript"/>
        </w:rPr>
        <w:t>2+</w:t>
      </w:r>
      <w:r w:rsidRPr="001F0131">
        <w:t>- or Eu</w:t>
      </w:r>
      <w:r w:rsidRPr="001F0131">
        <w:rPr>
          <w:vertAlign w:val="superscript"/>
        </w:rPr>
        <w:t>3+</w:t>
      </w:r>
      <w:r w:rsidRPr="001F0131">
        <w:t>-activated phosphors. However, as previously mentioned, 387 of 1,705 hosts (22.7%) have published papers on both Eu</w:t>
      </w:r>
      <w:r w:rsidRPr="001F0131">
        <w:rPr>
          <w:vertAlign w:val="superscript"/>
        </w:rPr>
        <w:t>2+</w:t>
      </w:r>
      <w:r w:rsidRPr="001F0131">
        <w:t>- and Eu</w:t>
      </w:r>
      <w:r w:rsidRPr="001F0131">
        <w:rPr>
          <w:vertAlign w:val="superscript"/>
        </w:rPr>
        <w:t>3+</w:t>
      </w:r>
      <w:r w:rsidRPr="001F0131">
        <w:t>-activated phosphors. Noise and mislabeling were probable in the data collected in this study. For hosts such as Y</w:t>
      </w:r>
      <w:r w:rsidRPr="001F0131">
        <w:rPr>
          <w:vertAlign w:val="subscript"/>
        </w:rPr>
        <w:t>2</w:t>
      </w:r>
      <w:r w:rsidRPr="001F0131">
        <w:t>O</w:t>
      </w:r>
      <w:r w:rsidRPr="001F0131">
        <w:rPr>
          <w:vertAlign w:val="subscript"/>
        </w:rPr>
        <w:t>3</w:t>
      </w:r>
      <w:r w:rsidRPr="001F0131">
        <w:t>, in which the paper counts are large and either Eu</w:t>
      </w:r>
      <w:r w:rsidRPr="001F0131">
        <w:rPr>
          <w:vertAlign w:val="superscript"/>
        </w:rPr>
        <w:t>2+</w:t>
      </w:r>
      <w:r w:rsidRPr="001F0131">
        <w:t>- or Eu</w:t>
      </w:r>
      <w:r w:rsidRPr="001F0131">
        <w:rPr>
          <w:vertAlign w:val="superscript"/>
        </w:rPr>
        <w:t>3+</w:t>
      </w:r>
      <w:r w:rsidRPr="001F0131">
        <w:t>-activated phosphors dominate, it seems reasonable to disregard papers on their minor counterparts, assuming that the minor counterparts are due to mislabeling. However, there are phosphors such as CaF</w:t>
      </w:r>
      <w:r w:rsidRPr="001F0131">
        <w:rPr>
          <w:vertAlign w:val="subscript"/>
        </w:rPr>
        <w:t>2</w:t>
      </w:r>
      <w:r w:rsidRPr="001F0131">
        <w:t>, in which numerous papers have reported both Eu</w:t>
      </w:r>
      <w:r w:rsidRPr="001F0131">
        <w:rPr>
          <w:vertAlign w:val="superscript"/>
        </w:rPr>
        <w:t>2+</w:t>
      </w:r>
      <w:r w:rsidRPr="001F0131">
        <w:t>-activated (115 papers) and Eu</w:t>
      </w:r>
      <w:r w:rsidRPr="001F0131">
        <w:rPr>
          <w:vertAlign w:val="superscript"/>
        </w:rPr>
        <w:t>3+</w:t>
      </w:r>
      <w:r w:rsidRPr="001F0131">
        <w:t>-activated (119 papers) phosphors, challenging the assumption that the oxidation states of Eu ions are exclusively divalent or trivalent in all hosts. For hosts with few papers on both Eu</w:t>
      </w:r>
      <w:r w:rsidRPr="001F0131">
        <w:rPr>
          <w:vertAlign w:val="superscript"/>
        </w:rPr>
        <w:t>2+</w:t>
      </w:r>
      <w:r w:rsidRPr="001F0131">
        <w:t>- and Eu</w:t>
      </w:r>
      <w:r w:rsidRPr="001F0131">
        <w:rPr>
          <w:vertAlign w:val="superscript"/>
        </w:rPr>
        <w:t>3+</w:t>
      </w:r>
      <w:r w:rsidRPr="001F0131">
        <w:t>-activated phosphors, it is also challenging to determine whether this is due to mislabeling or whether the hosts support both oxidation states.</w:t>
      </w:r>
    </w:p>
    <w:p w14:paraId="2EEF24C8" w14:textId="334DC8C1" w:rsidR="009C19D0" w:rsidRPr="001F0131" w:rsidRDefault="00153B2D" w:rsidP="009C19D0">
      <w:pPr>
        <w:pStyle w:val="TAMainText"/>
      </w:pPr>
      <w:r w:rsidRPr="001F0131">
        <w:t xml:space="preserve">The oxidation states of Eu ions inferred from the paper count ratios appear to be more reliable when the host has a larger paper count. Therefore, it was assessed whether it was appropriate to assign more weight to hosts with larger paper counts. The hosts were divided into five groups </w:t>
      </w:r>
      <w:r w:rsidRPr="001F0131">
        <w:lastRenderedPageBreak/>
        <w:t>based on their paper counts. The range of the paper counts for each group was determined to ensure an approximately equal number of hosts in each group. The Eu</w:t>
      </w:r>
      <w:r w:rsidRPr="001F0131">
        <w:rPr>
          <w:vertAlign w:val="superscript"/>
        </w:rPr>
        <w:t>2+</w:t>
      </w:r>
      <w:r w:rsidRPr="001F0131">
        <w:t xml:space="preserve">-paper ratio of each host was averaged within each group and compared among groups, as shown in Fig. </w:t>
      </w:r>
      <w:r w:rsidR="00202A9C" w:rsidRPr="001F0131">
        <w:rPr>
          <w:lang w:eastAsia="ja-JP"/>
        </w:rPr>
        <w:t>2</w:t>
      </w:r>
      <w:r w:rsidR="00202A9C" w:rsidRPr="001F0131">
        <w:t>d</w:t>
      </w:r>
      <w:r w:rsidRPr="001F0131">
        <w:t>. The average Eu</w:t>
      </w:r>
      <w:r w:rsidRPr="001F0131">
        <w:rPr>
          <w:vertAlign w:val="superscript"/>
        </w:rPr>
        <w:t>2+</w:t>
      </w:r>
      <w:r w:rsidRPr="001F0131">
        <w:t>-paper ratio for the entire dataset was 38.8%. In the top group, with 27 or more papers, the average Eu</w:t>
      </w:r>
      <w:r w:rsidRPr="001F0131">
        <w:rPr>
          <w:vertAlign w:val="superscript"/>
        </w:rPr>
        <w:t>2+</w:t>
      </w:r>
      <w:r w:rsidRPr="001F0131">
        <w:t>-paper ratio was 45.7%, which was significantly higher than that in the other groups. It could be assumed that the oxidation state of Eu ions in a host is independent of its paper count. However, the paper count, which reflects researchers’ interests, is biased by the oxidation state, particularly in well-studied phosphor materials. Therefore, the emphasis on hosts with larger paper counts may have incorporated this bias.</w:t>
      </w:r>
    </w:p>
    <w:p w14:paraId="02CB680C" w14:textId="78C2FC64" w:rsidR="002C4A6E" w:rsidRPr="001F0131" w:rsidRDefault="002C4A6E" w:rsidP="009C19D0">
      <w:pPr>
        <w:pStyle w:val="TAMainText"/>
        <w:rPr>
          <w:lang w:eastAsia="ja-JP"/>
        </w:rPr>
      </w:pPr>
    </w:p>
    <w:p w14:paraId="0D038436" w14:textId="723051A8" w:rsidR="002C4A6E" w:rsidRPr="001F0131" w:rsidRDefault="00A47D78" w:rsidP="00A47D78">
      <w:pPr>
        <w:jc w:val="center"/>
        <w:rPr>
          <w:lang w:eastAsia="ja-JP"/>
        </w:rPr>
      </w:pPr>
      <w:r w:rsidRPr="001F0131">
        <w:rPr>
          <w:noProof/>
          <w:lang w:eastAsia="ja-JP"/>
        </w:rPr>
        <w:drawing>
          <wp:inline distT="0" distB="0" distL="0" distR="0" wp14:anchorId="631EB49F" wp14:editId="5A9E0E97">
            <wp:extent cx="5943600" cy="4540250"/>
            <wp:effectExtent l="0" t="0" r="0" b="0"/>
            <wp:docPr id="11836045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540250"/>
                    </a:xfrm>
                    <a:prstGeom prst="rect">
                      <a:avLst/>
                    </a:prstGeom>
                    <a:noFill/>
                    <a:ln>
                      <a:noFill/>
                    </a:ln>
                  </pic:spPr>
                </pic:pic>
              </a:graphicData>
            </a:graphic>
          </wp:inline>
        </w:drawing>
      </w:r>
    </w:p>
    <w:p w14:paraId="53729357" w14:textId="58309EBB" w:rsidR="002C4A6E" w:rsidRPr="001F0131" w:rsidRDefault="002C4A6E" w:rsidP="002C4A6E">
      <w:pPr>
        <w:pStyle w:val="VAFigureCaption"/>
        <w:rPr>
          <w:lang w:eastAsia="ja-JP"/>
        </w:rPr>
      </w:pPr>
      <w:r w:rsidRPr="001F0131">
        <w:rPr>
          <w:b/>
          <w:bCs/>
          <w:lang w:eastAsia="ja-JP"/>
        </w:rPr>
        <w:lastRenderedPageBreak/>
        <w:t xml:space="preserve">Figure </w:t>
      </w:r>
      <w:r w:rsidR="008B72A1" w:rsidRPr="001F0131">
        <w:rPr>
          <w:b/>
          <w:bCs/>
          <w:lang w:eastAsia="ja-JP"/>
        </w:rPr>
        <w:t>2</w:t>
      </w:r>
      <w:r w:rsidRPr="001F0131">
        <w:rPr>
          <w:b/>
          <w:bCs/>
          <w:lang w:eastAsia="ja-JP"/>
        </w:rPr>
        <w:t>.</w:t>
      </w:r>
      <w:r w:rsidRPr="001F0131">
        <w:rPr>
          <w:lang w:eastAsia="ja-JP"/>
        </w:rPr>
        <w:t xml:space="preserve"> Characteristics of the collected dataset of Eu-activated phosphors: (a) number of hosts for each paper count, (b) number of hosts exceeding the paper count, (c) ratio of paper count on Eu</w:t>
      </w:r>
      <w:r w:rsidRPr="001F0131">
        <w:rPr>
          <w:vertAlign w:val="superscript"/>
          <w:lang w:eastAsia="ja-JP"/>
        </w:rPr>
        <w:t>2+</w:t>
      </w:r>
      <w:r w:rsidRPr="001F0131">
        <w:rPr>
          <w:lang w:eastAsia="ja-JP"/>
        </w:rPr>
        <w:t>-activated phosphor against its paper count, and (d) average Eu</w:t>
      </w:r>
      <w:r w:rsidRPr="001F0131">
        <w:rPr>
          <w:vertAlign w:val="superscript"/>
          <w:lang w:eastAsia="ja-JP"/>
        </w:rPr>
        <w:t>2+</w:t>
      </w:r>
      <w:r w:rsidRPr="001F0131">
        <w:rPr>
          <w:lang w:eastAsia="ja-JP"/>
        </w:rPr>
        <w:t>-paper ratio of each group divided based on the paper count. The lines in panels (a) and (b) show linear regression on 1-20 and 30-1,000 papers, respectively. The dashed line in panel (d) denote the average Eu</w:t>
      </w:r>
      <w:r w:rsidRPr="001F0131">
        <w:rPr>
          <w:vertAlign w:val="superscript"/>
          <w:lang w:eastAsia="ja-JP"/>
        </w:rPr>
        <w:t>2+</w:t>
      </w:r>
      <w:r w:rsidRPr="001F0131">
        <w:rPr>
          <w:lang w:eastAsia="ja-JP"/>
        </w:rPr>
        <w:t>-paper ratio for the entire dataset (38.8%).</w:t>
      </w:r>
    </w:p>
    <w:p w14:paraId="134C4DBF" w14:textId="08F8F9C8" w:rsidR="002C4A6E" w:rsidRPr="001F0131" w:rsidRDefault="002C4A6E" w:rsidP="009C19D0">
      <w:pPr>
        <w:pStyle w:val="TAMainText"/>
        <w:rPr>
          <w:lang w:eastAsia="ja-JP"/>
        </w:rPr>
      </w:pPr>
    </w:p>
    <w:p w14:paraId="36D8BBAD" w14:textId="013BB2B9" w:rsidR="009C19D0" w:rsidRPr="001F0131" w:rsidRDefault="009C19D0" w:rsidP="009C19D0">
      <w:pPr>
        <w:pStyle w:val="TAMainText"/>
      </w:pPr>
      <w:r w:rsidRPr="001F0131">
        <w:t>Constituent elements of the collected hosts ranged from H to W, excluding transition metals Cr-Cu and Tc-Ag, lanthanoids other than La, Gd, and Lu, and noble gases. The elements present in more than 5% of hosts were O, Ca, Si, Ba, Sr, P, La, Al, B, Y, Na, Mg, Li, F, N, K, Gd, and Zn, in descending order of host count. The constituent elements were very similar to those in the recently published inorganic phosphor optical property (IPOP) dataset [</w:t>
      </w:r>
      <w:r w:rsidR="0048322E" w:rsidRPr="001F0131">
        <w:rPr>
          <w:lang w:eastAsia="ja-JP"/>
        </w:rPr>
        <w:t>24</w:t>
      </w:r>
      <w:r w:rsidRPr="001F0131">
        <w:t>]. To examine the relationship between the constituent elements and Eu oxidation states, the Eu</w:t>
      </w:r>
      <w:r w:rsidRPr="001F0131">
        <w:rPr>
          <w:vertAlign w:val="superscript"/>
        </w:rPr>
        <w:t>2+</w:t>
      </w:r>
      <w:r w:rsidRPr="001F0131">
        <w:t>-paper ratios were analyzed, focusing on the frequently used constituent elements and some other characteristic elements. Here, hosts were divided into two groups for each element: hosts containing the element of interest and those that did not. The average Eu</w:t>
      </w:r>
      <w:r w:rsidRPr="001F0131">
        <w:rPr>
          <w:vertAlign w:val="superscript"/>
        </w:rPr>
        <w:t>2+</w:t>
      </w:r>
      <w:r w:rsidRPr="001F0131">
        <w:t xml:space="preserve">-paper ratio was compared between the two groups, as illustrated in Fig. </w:t>
      </w:r>
      <w:r w:rsidR="00202A9C" w:rsidRPr="001F0131">
        <w:rPr>
          <w:lang w:eastAsia="ja-JP"/>
        </w:rPr>
        <w:t>3</w:t>
      </w:r>
      <w:r w:rsidRPr="001F0131">
        <w:t>. First, considering the anions, the average Eu</w:t>
      </w:r>
      <w:r w:rsidRPr="001F0131">
        <w:rPr>
          <w:vertAlign w:val="superscript"/>
        </w:rPr>
        <w:t>2+</w:t>
      </w:r>
      <w:r w:rsidRPr="001F0131">
        <w:t>-paper ratio for hosts containing O was significantly smaller than that for hosts without O. In contrast, hosts containing other anions (N, S, Cl, Br, or I) had higher average Eu</w:t>
      </w:r>
      <w:r w:rsidRPr="001F0131">
        <w:rPr>
          <w:vertAlign w:val="superscript"/>
        </w:rPr>
        <w:t>2+</w:t>
      </w:r>
      <w:r w:rsidRPr="001F0131">
        <w:t>-paper ratios. This suggests that the oxide hosts are more likely to be used in Eu</w:t>
      </w:r>
      <w:r w:rsidRPr="001F0131">
        <w:rPr>
          <w:vertAlign w:val="superscript"/>
        </w:rPr>
        <w:t>3+</w:t>
      </w:r>
      <w:r w:rsidRPr="001F0131">
        <w:t>-activated phosphors. In contrast, non-oxide hosts are generally synthesized in inert gases, which are suitable for obtaining the divalent oxidation state of the Eu ions. Interestingly, the average Eu</w:t>
      </w:r>
      <w:r w:rsidRPr="001F0131">
        <w:rPr>
          <w:vertAlign w:val="superscript"/>
        </w:rPr>
        <w:t>2+</w:t>
      </w:r>
      <w:r w:rsidRPr="001F0131">
        <w:t>-paper ratio showed a slight difference for F, indicating that fluoride hosts were studied in both the Eu</w:t>
      </w:r>
      <w:r w:rsidRPr="001F0131">
        <w:rPr>
          <w:vertAlign w:val="superscript"/>
        </w:rPr>
        <w:t>2+</w:t>
      </w:r>
      <w:r w:rsidRPr="001F0131">
        <w:t>- and Eu</w:t>
      </w:r>
      <w:r w:rsidRPr="001F0131">
        <w:rPr>
          <w:vertAlign w:val="superscript"/>
        </w:rPr>
        <w:t>3+</w:t>
      </w:r>
      <w:r w:rsidRPr="001F0131">
        <w:t>-activated phosphors.</w:t>
      </w:r>
    </w:p>
    <w:p w14:paraId="3DD1D17A" w14:textId="77777777" w:rsidR="009C19D0" w:rsidRPr="001F0131" w:rsidRDefault="009C19D0" w:rsidP="009C19D0">
      <w:pPr>
        <w:pStyle w:val="TAMainText"/>
      </w:pPr>
      <w:r w:rsidRPr="001F0131">
        <w:lastRenderedPageBreak/>
        <w:t>Next, the impact of the cations was investigated. Hosts containing Mg, Ca, Sr, Ba, Al, Si, and P had higher average Eu</w:t>
      </w:r>
      <w:r w:rsidRPr="001F0131">
        <w:rPr>
          <w:vertAlign w:val="superscript"/>
        </w:rPr>
        <w:t>2+</w:t>
      </w:r>
      <w:r w:rsidRPr="001F0131">
        <w:t>-paper ratios, whereas those containing Y, La, Gd, Zn, and B had lower ratios. Cation elements are categorized into two groups. The first group includes cations with large ionic radii, namely, Na, K, Ca, Sr, Ba, Y, La, and Gd, which are likely to be substituted with Eu. Among them, the alkaline earth metals Ca, Sr, and Ba, with ionic radii close to Eu</w:t>
      </w:r>
      <w:r w:rsidRPr="001F0131">
        <w:rPr>
          <w:vertAlign w:val="superscript"/>
        </w:rPr>
        <w:t>2+</w:t>
      </w:r>
      <w:r w:rsidRPr="001F0131">
        <w:t xml:space="preserve"> and the same divalent oxidation state, were suitable for substitution with Eu</w:t>
      </w:r>
      <w:r w:rsidRPr="001F0131">
        <w:rPr>
          <w:vertAlign w:val="superscript"/>
        </w:rPr>
        <w:t>2+</w:t>
      </w:r>
      <w:r w:rsidRPr="001F0131">
        <w:t>. Similarly, the rare-earth elements Y, La, and Gd were designed as substitution sites for Eu</w:t>
      </w:r>
      <w:r w:rsidRPr="001F0131">
        <w:rPr>
          <w:vertAlign w:val="superscript"/>
        </w:rPr>
        <w:t>3+</w:t>
      </w:r>
      <w:r w:rsidRPr="001F0131">
        <w:t>. Na and K showed minor differences in the average Eu</w:t>
      </w:r>
      <w:r w:rsidRPr="001F0131">
        <w:rPr>
          <w:vertAlign w:val="superscript"/>
        </w:rPr>
        <w:t>2+</w:t>
      </w:r>
      <w:r w:rsidRPr="001F0131">
        <w:t>-paper ratios between the hosts with and without these elements. These alkaline metals may only occasionally be considered substitution sites with either divalent or trivalent Eu in material design because of their different oxidation states.</w:t>
      </w:r>
    </w:p>
    <w:p w14:paraId="523D2960" w14:textId="27D7C748" w:rsidR="009C19D0" w:rsidRPr="001F0131" w:rsidRDefault="009C19D0" w:rsidP="009C19D0">
      <w:pPr>
        <w:pStyle w:val="TAMainText"/>
      </w:pPr>
      <w:r w:rsidRPr="001F0131">
        <w:t>The second cation group includes Li, Mg, Zn, B, Al, Si, and P, with relatively small ionic radii contributing to the crystal structure framework. The higher preference for Mg, Al, Si, and P and less preference for Zn in Eu</w:t>
      </w:r>
      <w:r w:rsidRPr="001F0131">
        <w:rPr>
          <w:vertAlign w:val="superscript"/>
        </w:rPr>
        <w:t>2+</w:t>
      </w:r>
      <w:r w:rsidRPr="001F0131">
        <w:t>-activated phosphors may be due to achieving wide band gaps. Generally, the 4f level of Eu</w:t>
      </w:r>
      <w:r w:rsidRPr="001F0131">
        <w:rPr>
          <w:vertAlign w:val="superscript"/>
        </w:rPr>
        <w:t>2+</w:t>
      </w:r>
      <w:r w:rsidRPr="001F0131">
        <w:t xml:space="preserve"> is higher than that of Eu</w:t>
      </w:r>
      <w:r w:rsidRPr="001F0131">
        <w:rPr>
          <w:vertAlign w:val="superscript"/>
        </w:rPr>
        <w:t>3+</w:t>
      </w:r>
      <w:r w:rsidRPr="001F0131">
        <w:t>, and the 5d level is even higher [</w:t>
      </w:r>
      <w:r w:rsidR="0048322E" w:rsidRPr="001F0131">
        <w:t>2</w:t>
      </w:r>
      <w:r w:rsidR="0048322E" w:rsidRPr="001F0131">
        <w:rPr>
          <w:lang w:eastAsia="ja-JP"/>
        </w:rPr>
        <w:t>5</w:t>
      </w:r>
      <w:r w:rsidRPr="001F0131">
        <w:t>]. Therefore, the wide band gaps of the hosts are essential for Eu</w:t>
      </w:r>
      <w:r w:rsidRPr="001F0131">
        <w:rPr>
          <w:vertAlign w:val="superscript"/>
        </w:rPr>
        <w:t>2+</w:t>
      </w:r>
      <w:r w:rsidRPr="001F0131">
        <w:t>-activated phosphors to locate the 5d levels of the excited states within the band gaps. Hosts containing V, Nb, Ta, Mo, and W were exclusively used in the Eu</w:t>
      </w:r>
      <w:r w:rsidRPr="001F0131">
        <w:rPr>
          <w:vertAlign w:val="superscript"/>
        </w:rPr>
        <w:t>3+</w:t>
      </w:r>
      <w:r w:rsidRPr="001F0131">
        <w:t>-activated phosphors (not shown in Fig. 2). Oxyanion complexes of Group 5 and 6 cations are often used to enhance the absorption and emission intensities of Eu</w:t>
      </w:r>
      <w:r w:rsidRPr="001F0131">
        <w:rPr>
          <w:vertAlign w:val="superscript"/>
        </w:rPr>
        <w:t>3+</w:t>
      </w:r>
      <w:r w:rsidRPr="001F0131">
        <w:t>-activated phosphors by utilizing ligand-to-metal charge-transfer transitions.</w:t>
      </w:r>
    </w:p>
    <w:p w14:paraId="72134F5E" w14:textId="77777777" w:rsidR="00655ADB" w:rsidRPr="001F0131" w:rsidRDefault="00655ADB" w:rsidP="009C19D0">
      <w:pPr>
        <w:pStyle w:val="TAMainText"/>
        <w:rPr>
          <w:lang w:eastAsia="ja-JP"/>
        </w:rPr>
      </w:pPr>
    </w:p>
    <w:p w14:paraId="740AC5BE" w14:textId="76FC236F" w:rsidR="002C4A6E" w:rsidRPr="001F0131" w:rsidRDefault="00A47D78" w:rsidP="00A47D78">
      <w:pPr>
        <w:jc w:val="center"/>
        <w:rPr>
          <w:lang w:eastAsia="ja-JP"/>
        </w:rPr>
      </w:pPr>
      <w:r w:rsidRPr="001F0131">
        <w:rPr>
          <w:noProof/>
          <w:lang w:eastAsia="ja-JP"/>
        </w:rPr>
        <w:lastRenderedPageBreak/>
        <w:drawing>
          <wp:inline distT="0" distB="0" distL="0" distR="0" wp14:anchorId="07078A85" wp14:editId="65895218">
            <wp:extent cx="5073650" cy="2305050"/>
            <wp:effectExtent l="0" t="0" r="0" b="0"/>
            <wp:docPr id="17935045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3650" cy="2305050"/>
                    </a:xfrm>
                    <a:prstGeom prst="rect">
                      <a:avLst/>
                    </a:prstGeom>
                    <a:noFill/>
                    <a:ln>
                      <a:noFill/>
                    </a:ln>
                  </pic:spPr>
                </pic:pic>
              </a:graphicData>
            </a:graphic>
          </wp:inline>
        </w:drawing>
      </w:r>
    </w:p>
    <w:p w14:paraId="2A97F51D" w14:textId="724DF8EF" w:rsidR="002C4A6E" w:rsidRPr="001F0131" w:rsidRDefault="002C4A6E" w:rsidP="002C4A6E">
      <w:pPr>
        <w:pStyle w:val="VAFigureCaption"/>
        <w:rPr>
          <w:lang w:eastAsia="ja-JP"/>
        </w:rPr>
      </w:pPr>
      <w:r w:rsidRPr="001F0131">
        <w:rPr>
          <w:b/>
          <w:bCs/>
          <w:lang w:eastAsia="ja-JP"/>
        </w:rPr>
        <w:t xml:space="preserve">Figure </w:t>
      </w:r>
      <w:r w:rsidR="00202A9C" w:rsidRPr="001F0131">
        <w:rPr>
          <w:b/>
          <w:bCs/>
          <w:lang w:eastAsia="ja-JP"/>
        </w:rPr>
        <w:t>3</w:t>
      </w:r>
      <w:r w:rsidRPr="001F0131">
        <w:rPr>
          <w:b/>
          <w:bCs/>
          <w:lang w:eastAsia="ja-JP"/>
        </w:rPr>
        <w:t>.</w:t>
      </w:r>
      <w:r w:rsidRPr="001F0131">
        <w:rPr>
          <w:lang w:eastAsia="ja-JP"/>
        </w:rPr>
        <w:t xml:space="preserve"> Average Eu</w:t>
      </w:r>
      <w:r w:rsidRPr="001F0131">
        <w:rPr>
          <w:vertAlign w:val="superscript"/>
          <w:lang w:eastAsia="ja-JP"/>
        </w:rPr>
        <w:t>2+</w:t>
      </w:r>
      <w:r w:rsidRPr="001F0131">
        <w:rPr>
          <w:lang w:eastAsia="ja-JP"/>
        </w:rPr>
        <w:t xml:space="preserve">-paper ratios of hosts containing each constituent element </w:t>
      </w:r>
      <w:r w:rsidRPr="001F0131">
        <w:rPr>
          <w:rFonts w:hint="eastAsia"/>
          <w:lang w:eastAsia="ja-JP"/>
        </w:rPr>
        <w:t xml:space="preserve">(blue) </w:t>
      </w:r>
      <w:r w:rsidRPr="001F0131">
        <w:rPr>
          <w:lang w:eastAsia="ja-JP"/>
        </w:rPr>
        <w:t>and those that did not</w:t>
      </w:r>
      <w:r w:rsidRPr="001F0131">
        <w:rPr>
          <w:rFonts w:hint="eastAsia"/>
          <w:lang w:eastAsia="ja-JP"/>
        </w:rPr>
        <w:t xml:space="preserve"> (red)</w:t>
      </w:r>
      <w:r w:rsidRPr="001F0131">
        <w:rPr>
          <w:lang w:eastAsia="ja-JP"/>
        </w:rPr>
        <w:t>. The dashed line denote</w:t>
      </w:r>
      <w:r w:rsidRPr="001F0131">
        <w:rPr>
          <w:rFonts w:hint="eastAsia"/>
          <w:lang w:eastAsia="ja-JP"/>
        </w:rPr>
        <w:t>s</w:t>
      </w:r>
      <w:r w:rsidRPr="001F0131">
        <w:rPr>
          <w:lang w:eastAsia="ja-JP"/>
        </w:rPr>
        <w:t xml:space="preserve"> the average Eu</w:t>
      </w:r>
      <w:r w:rsidRPr="001F0131">
        <w:rPr>
          <w:vertAlign w:val="superscript"/>
          <w:lang w:eastAsia="ja-JP"/>
        </w:rPr>
        <w:t>2+</w:t>
      </w:r>
      <w:r w:rsidRPr="001F0131">
        <w:rPr>
          <w:lang w:eastAsia="ja-JP"/>
        </w:rPr>
        <w:t>-paper ratio for the entire dataset (38.8%).</w:t>
      </w:r>
    </w:p>
    <w:p w14:paraId="10423291" w14:textId="77777777" w:rsidR="009C19D0" w:rsidRPr="001F0131" w:rsidRDefault="009C19D0" w:rsidP="009C19D0">
      <w:pPr>
        <w:pStyle w:val="TAMainText"/>
        <w:rPr>
          <w:lang w:eastAsia="ja-JP"/>
        </w:rPr>
      </w:pPr>
    </w:p>
    <w:p w14:paraId="0D5DDF65" w14:textId="353E1E35" w:rsidR="009C19D0" w:rsidRPr="001F0131" w:rsidRDefault="009C19D0" w:rsidP="00B84C7F">
      <w:pPr>
        <w:pStyle w:val="TAMainText"/>
        <w:numPr>
          <w:ilvl w:val="1"/>
          <w:numId w:val="12"/>
        </w:numPr>
        <w:rPr>
          <w:b/>
          <w:bCs/>
        </w:rPr>
      </w:pPr>
      <w:r w:rsidRPr="001F0131">
        <w:rPr>
          <w:b/>
          <w:bCs/>
        </w:rPr>
        <w:t>Machine learning</w:t>
      </w:r>
    </w:p>
    <w:p w14:paraId="654FD216" w14:textId="0FABCF66" w:rsidR="009C19D0" w:rsidRPr="001F0131" w:rsidRDefault="009C19D0" w:rsidP="009C19D0">
      <w:pPr>
        <w:pStyle w:val="TAMainText"/>
      </w:pPr>
      <w:r w:rsidRPr="001F0131">
        <w:t>Using the dataset of the collected Eu-activated phosphor materials, a machine learning classification model was developed to predict the oxidation states of Eu ions in the hosts regarding luminescence based on their host compositions. Given the focus on Eu</w:t>
      </w:r>
      <w:r w:rsidRPr="001F0131">
        <w:rPr>
          <w:vertAlign w:val="superscript"/>
        </w:rPr>
        <w:t>2+</w:t>
      </w:r>
      <w:r w:rsidRPr="001F0131">
        <w:t>-activated phosphor materials in this study, the luminescence derived from Eu</w:t>
      </w:r>
      <w:r w:rsidRPr="001F0131">
        <w:rPr>
          <w:vertAlign w:val="superscript"/>
        </w:rPr>
        <w:t>2+</w:t>
      </w:r>
      <w:r w:rsidRPr="001F0131">
        <w:t xml:space="preserve"> ions was treated as the positive class, and that from Eu</w:t>
      </w:r>
      <w:r w:rsidRPr="001F0131">
        <w:rPr>
          <w:vertAlign w:val="superscript"/>
        </w:rPr>
        <w:t>3+</w:t>
      </w:r>
      <w:r w:rsidRPr="001F0131">
        <w:t xml:space="preserve"> ions as the negative class. As discussed in the previous section, the oxidation state of Eu ions in a host is not necessarily exclusive to the divalent or trivalent states. Therefore, the data for each host was duplicated, and positive and negative labels were assigned based on the ratio of paper counts to sample weights. The sum of the sample weights for the positive and negative instances of each host was normalized to the unit weight. The classifier was designed to output not only a binary class of Eu</w:t>
      </w:r>
      <w:r w:rsidRPr="001F0131">
        <w:rPr>
          <w:vertAlign w:val="superscript"/>
        </w:rPr>
        <w:t>2+</w:t>
      </w:r>
      <w:r w:rsidRPr="001F0131">
        <w:t xml:space="preserve"> or Eu</w:t>
      </w:r>
      <w:r w:rsidRPr="001F0131">
        <w:rPr>
          <w:vertAlign w:val="superscript"/>
        </w:rPr>
        <w:t>3+</w:t>
      </w:r>
      <w:r w:rsidRPr="001F0131">
        <w:t xml:space="preserve"> but also the probability of the positive class (Eu</w:t>
      </w:r>
      <w:r w:rsidRPr="001F0131">
        <w:rPr>
          <w:vertAlign w:val="superscript"/>
        </w:rPr>
        <w:t>2+</w:t>
      </w:r>
      <w:r w:rsidRPr="001F0131">
        <w:t>), using a log-loss function to train the model to predict the probability aligned with the Eu</w:t>
      </w:r>
      <w:r w:rsidRPr="001F0131">
        <w:rPr>
          <w:vertAlign w:val="superscript"/>
        </w:rPr>
        <w:t>2+</w:t>
      </w:r>
      <w:r w:rsidRPr="001F0131">
        <w:t xml:space="preserve">-paper </w:t>
      </w:r>
      <w:r w:rsidRPr="001F0131">
        <w:lastRenderedPageBreak/>
        <w:t xml:space="preserve">ratio. </w:t>
      </w:r>
      <w:r w:rsidR="00AD315E" w:rsidRPr="001F0131">
        <w:rPr>
          <w:lang w:eastAsia="ja-JP"/>
        </w:rPr>
        <w:t>Our preliminary investigation examined training data in another format, in which binary labels were assigned to one oxidation state with more papers. Accuracy, precision, recall, and F-score for the hold-out test data differed insignificantly by less than 2% between the sample-weight and binary-label methods. Binarization requires assigning a single label even in cases where the numbers of papers on Eu</w:t>
      </w:r>
      <w:r w:rsidR="00AD315E" w:rsidRPr="001F0131">
        <w:rPr>
          <w:vertAlign w:val="superscript"/>
          <w:lang w:eastAsia="ja-JP"/>
        </w:rPr>
        <w:t>2+</w:t>
      </w:r>
      <w:r w:rsidR="00AD315E" w:rsidRPr="001F0131">
        <w:rPr>
          <w:lang w:eastAsia="ja-JP"/>
        </w:rPr>
        <w:t xml:space="preserve"> and Eu</w:t>
      </w:r>
      <w:r w:rsidR="00AD315E" w:rsidRPr="001F0131">
        <w:rPr>
          <w:vertAlign w:val="superscript"/>
          <w:lang w:eastAsia="ja-JP"/>
        </w:rPr>
        <w:t>3+</w:t>
      </w:r>
      <w:r w:rsidR="00AD315E" w:rsidRPr="001F0131">
        <w:rPr>
          <w:lang w:eastAsia="ja-JP"/>
        </w:rPr>
        <w:t xml:space="preserve"> are similar, as in the case of CaF</w:t>
      </w:r>
      <w:r w:rsidR="00AD315E" w:rsidRPr="001F0131">
        <w:rPr>
          <w:vertAlign w:val="subscript"/>
          <w:lang w:eastAsia="ja-JP"/>
        </w:rPr>
        <w:t>2</w:t>
      </w:r>
      <w:r w:rsidR="00AD315E" w:rsidRPr="001F0131">
        <w:rPr>
          <w:lang w:eastAsia="ja-JP"/>
        </w:rPr>
        <w:t>; therefore, the sample-weight method was adopted in this study.</w:t>
      </w:r>
      <w:r w:rsidR="00AD315E" w:rsidRPr="001F0131">
        <w:rPr>
          <w:rFonts w:hint="eastAsia"/>
          <w:lang w:eastAsia="ja-JP"/>
        </w:rPr>
        <w:t xml:space="preserve"> </w:t>
      </w:r>
      <w:r w:rsidRPr="001F0131">
        <w:t>The average Eu</w:t>
      </w:r>
      <w:r w:rsidRPr="001F0131">
        <w:rPr>
          <w:vertAlign w:val="superscript"/>
        </w:rPr>
        <w:t>2+</w:t>
      </w:r>
      <w:r w:rsidRPr="001F0131">
        <w:t>-paper ratio of the entire dataset was 38.8%, and the collected dataset showed an imbalance between the positive and negative classes. We deemed the class imbalance insignificant and did not perform any corrections against the class imbalance.</w:t>
      </w:r>
    </w:p>
    <w:p w14:paraId="423B7484" w14:textId="77777777" w:rsidR="009C19D0" w:rsidRPr="001F0131" w:rsidRDefault="009C19D0" w:rsidP="009C19D0">
      <w:pPr>
        <w:pStyle w:val="TAMainText"/>
      </w:pPr>
      <w:r w:rsidRPr="001F0131">
        <w:t>Notably, the classification model in this study was trained using paper ratios of Eu</w:t>
      </w:r>
      <w:r w:rsidRPr="001F0131">
        <w:rPr>
          <w:vertAlign w:val="superscript"/>
        </w:rPr>
        <w:t>2+</w:t>
      </w:r>
      <w:r w:rsidRPr="001F0131">
        <w:t>- and Eu</w:t>
      </w:r>
      <w:r w:rsidRPr="001F0131">
        <w:rPr>
          <w:vertAlign w:val="superscript"/>
        </w:rPr>
        <w:t>3+</w:t>
      </w:r>
      <w:r w:rsidRPr="001F0131">
        <w:t>-activated phosphors. Therefore, it predicts which luminescence originating from Eu</w:t>
      </w:r>
      <w:r w:rsidRPr="001F0131">
        <w:rPr>
          <w:vertAlign w:val="superscript"/>
        </w:rPr>
        <w:t>2+</w:t>
      </w:r>
      <w:r w:rsidRPr="001F0131">
        <w:t xml:space="preserve"> or Eu</w:t>
      </w:r>
      <w:r w:rsidRPr="001F0131">
        <w:rPr>
          <w:vertAlign w:val="superscript"/>
        </w:rPr>
        <w:t>3+</w:t>
      </w:r>
      <w:r w:rsidRPr="001F0131">
        <w:t xml:space="preserve"> is more plausible. This does not imply that the model predicts the ratio of Eu</w:t>
      </w:r>
      <w:r w:rsidRPr="001F0131">
        <w:rPr>
          <w:vertAlign w:val="superscript"/>
        </w:rPr>
        <w:t>2+</w:t>
      </w:r>
      <w:r w:rsidRPr="001F0131">
        <w:t xml:space="preserve"> to Eu</w:t>
      </w:r>
      <w:r w:rsidRPr="001F0131">
        <w:rPr>
          <w:vertAlign w:val="superscript"/>
        </w:rPr>
        <w:t>3+</w:t>
      </w:r>
      <w:r w:rsidRPr="001F0131">
        <w:t xml:space="preserve"> ions in the host. The model also assumes that luminescence is observed. Furthermore, the oxidation state of Eu ions in the host varies depending on the synthesis conditions. However, information regarding the synthesis process was not included in the collected dataset. Therefore, the model implicitly assumes appropriate synthesis conditions for each phosphor material.</w:t>
      </w:r>
    </w:p>
    <w:p w14:paraId="57954B87" w14:textId="6B0446CB" w:rsidR="009C19D0" w:rsidRPr="001F0131" w:rsidRDefault="009C19D0" w:rsidP="0081108D">
      <w:pPr>
        <w:pStyle w:val="TAMainText"/>
        <w:rPr>
          <w:lang w:eastAsia="ja-JP"/>
        </w:rPr>
      </w:pPr>
      <w:r w:rsidRPr="001F0131">
        <w:t>Table 1 presents the parameter ranges of the machine learning model and the optimum values, and Table 2 shows the accuracy, precision, recall, and F-score for the training and validation datasets in cross-validation. In this evaluation, a predicted Eu</w:t>
      </w:r>
      <w:r w:rsidRPr="001F0131">
        <w:rPr>
          <w:vertAlign w:val="superscript"/>
        </w:rPr>
        <w:t>2+</w:t>
      </w:r>
      <w:r w:rsidRPr="001F0131">
        <w:t xml:space="preserve">-probability of 50% or more was considered </w:t>
      </w:r>
      <w:r w:rsidR="00916DB0" w:rsidRPr="001F0131">
        <w:rPr>
          <w:lang w:eastAsia="ja-JP"/>
        </w:rPr>
        <w:t xml:space="preserve">a prediction of </w:t>
      </w:r>
      <w:r w:rsidRPr="001F0131">
        <w:t>Eu</w:t>
      </w:r>
      <w:r w:rsidRPr="001F0131">
        <w:rPr>
          <w:vertAlign w:val="superscript"/>
        </w:rPr>
        <w:t>2+</w:t>
      </w:r>
      <w:r w:rsidRPr="001F0131">
        <w:t>-derived luminescence. An accuracy of 84.8% was achieved for the validation dataset. Given the emphasis on Eu</w:t>
      </w:r>
      <w:r w:rsidRPr="001F0131">
        <w:rPr>
          <w:vertAlign w:val="superscript"/>
        </w:rPr>
        <w:t>2+</w:t>
      </w:r>
      <w:r w:rsidRPr="001F0131">
        <w:t xml:space="preserve">-activated phosphor materials in this study, precision, recall, and F-score were prioritized for positive instances. Values of 80% or higher were obtained for these scores for the validation dataset. The differences in these metrics between the </w:t>
      </w:r>
      <w:r w:rsidRPr="001F0131">
        <w:lastRenderedPageBreak/>
        <w:t>training and validation datasets were slight, suggesting that overfitting was insignificant in the present machine learning.</w:t>
      </w:r>
      <w:r w:rsidR="00853F01" w:rsidRPr="001F0131">
        <w:rPr>
          <w:lang w:eastAsia="ja-JP"/>
        </w:rPr>
        <w:t xml:space="preserve"> </w:t>
      </w:r>
      <w:r w:rsidR="00E6267C" w:rsidRPr="001F0131">
        <w:rPr>
          <w:lang w:eastAsia="ja-JP"/>
        </w:rPr>
        <w:t xml:space="preserve">The feature importance of the logistic regression is discussed in section S1 of the Supporting Information. While the use of general-purpose descriptors used in this study makes it difficult to interpret the correlation between the </w:t>
      </w:r>
      <w:r w:rsidR="00122F53" w:rsidRPr="001F0131">
        <w:rPr>
          <w:rFonts w:hint="eastAsia"/>
          <w:lang w:eastAsia="ja-JP"/>
        </w:rPr>
        <w:t>features</w:t>
      </w:r>
      <w:r w:rsidR="00E6267C" w:rsidRPr="001F0131">
        <w:rPr>
          <w:lang w:eastAsia="ja-JP"/>
        </w:rPr>
        <w:t xml:space="preserve"> and chemical composition, the interpretation of feature importance with significant contributions was consistent with the average Eu</w:t>
      </w:r>
      <w:r w:rsidR="00E6267C" w:rsidRPr="001F0131">
        <w:rPr>
          <w:vertAlign w:val="superscript"/>
          <w:lang w:eastAsia="ja-JP"/>
        </w:rPr>
        <w:t>2+</w:t>
      </w:r>
      <w:r w:rsidR="00E6267C" w:rsidRPr="001F0131">
        <w:rPr>
          <w:lang w:eastAsia="ja-JP"/>
        </w:rPr>
        <w:t>-paper ratios shown in the previous section.</w:t>
      </w:r>
    </w:p>
    <w:p w14:paraId="26B25461" w14:textId="1B200E06" w:rsidR="0081108D" w:rsidRPr="001F0131" w:rsidRDefault="002435BF" w:rsidP="0081108D">
      <w:pPr>
        <w:pStyle w:val="TAMainText"/>
        <w:rPr>
          <w:lang w:eastAsia="ja-JP"/>
        </w:rPr>
      </w:pPr>
      <w:r w:rsidRPr="001F0131">
        <w:rPr>
          <w:lang w:eastAsia="ja-JP"/>
        </w:rPr>
        <w:t>We also examined the gradient-boosted-trees method as a classifier in the machine learning pipeline instead of logistic regression. The results of 10-fold cross-validation using the gradient-boosted-trees method are summarized in section S</w:t>
      </w:r>
      <w:r w:rsidR="00E6267C" w:rsidRPr="001F0131">
        <w:rPr>
          <w:rFonts w:hint="eastAsia"/>
          <w:lang w:eastAsia="ja-JP"/>
        </w:rPr>
        <w:t>2</w:t>
      </w:r>
      <w:r w:rsidRPr="001F0131">
        <w:rPr>
          <w:lang w:eastAsia="ja-JP"/>
        </w:rPr>
        <w:t xml:space="preserve"> in the Supporting Information. The gradient-boosted-trees model exhibited higher scores for validation data by 1.3% to 3.7% than the logistic regression model. However, the classification results for the training data were almost perfect, suggesting overfitting. As described in the previous section, there is a variation in the oxidation states of Eu ions reported in academic papers. This variation affects the accuracy of machine learning. We believe that the inclusion of inaccurate information in real-world data is inevitable. Therefore, in this study, we did not aim to achieve perfect or state-of-the-art machine learning. Instead, we aimed </w:t>
      </w:r>
      <w:r w:rsidR="00853F01" w:rsidRPr="001F0131">
        <w:rPr>
          <w:rFonts w:hint="eastAsia"/>
          <w:lang w:eastAsia="ja-JP"/>
        </w:rPr>
        <w:t>at</w:t>
      </w:r>
      <w:r w:rsidRPr="001F0131">
        <w:rPr>
          <w:lang w:eastAsia="ja-JP"/>
        </w:rPr>
        <w:t xml:space="preserve"> reasonable machine learning that was useful for material</w:t>
      </w:r>
      <w:r w:rsidR="00122F53" w:rsidRPr="001F0131">
        <w:rPr>
          <w:rFonts w:hint="eastAsia"/>
          <w:lang w:eastAsia="ja-JP"/>
        </w:rPr>
        <w:t>s</w:t>
      </w:r>
      <w:r w:rsidRPr="001F0131">
        <w:rPr>
          <w:lang w:eastAsia="ja-JP"/>
        </w:rPr>
        <w:t xml:space="preserve"> search. To this end, we used logistic regression, which has a low risk of overfitting.</w:t>
      </w:r>
    </w:p>
    <w:p w14:paraId="4A542308" w14:textId="77777777" w:rsidR="009C19D0" w:rsidRPr="001F0131" w:rsidRDefault="009C19D0" w:rsidP="009C19D0">
      <w:pPr>
        <w:pStyle w:val="TAMainText"/>
        <w:rPr>
          <w:lang w:eastAsia="ja-JP"/>
        </w:rPr>
      </w:pPr>
    </w:p>
    <w:p w14:paraId="5FF3F940" w14:textId="77777777" w:rsidR="00F4685C" w:rsidRPr="001F0131" w:rsidRDefault="00F4685C" w:rsidP="00F4685C">
      <w:pPr>
        <w:pStyle w:val="VDTableTitle"/>
      </w:pPr>
      <w:r w:rsidRPr="001F0131">
        <w:rPr>
          <w:b/>
          <w:bCs/>
          <w:lang w:eastAsia="ja-JP"/>
        </w:rPr>
        <w:t>Table 1.</w:t>
      </w:r>
      <w:r w:rsidRPr="001F0131">
        <w:rPr>
          <w:lang w:eastAsia="ja-JP"/>
        </w:rPr>
        <w:t xml:space="preserve"> Parameter ranges and optimum values of the machine learning classification model.</w:t>
      </w:r>
    </w:p>
    <w:tbl>
      <w:tblPr>
        <w:tblStyle w:val="2"/>
        <w:tblW w:w="5000" w:type="pct"/>
        <w:tblLook w:val="04A0" w:firstRow="1" w:lastRow="0" w:firstColumn="1" w:lastColumn="0" w:noHBand="0" w:noVBand="1"/>
      </w:tblPr>
      <w:tblGrid>
        <w:gridCol w:w="4605"/>
        <w:gridCol w:w="2849"/>
        <w:gridCol w:w="1906"/>
      </w:tblGrid>
      <w:tr w:rsidR="001F0131" w:rsidRPr="001F0131" w14:paraId="6A4C6B94" w14:textId="77777777" w:rsidTr="003B4D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pct"/>
          </w:tcPr>
          <w:p w14:paraId="2DADE99D" w14:textId="77777777" w:rsidR="00F4685C" w:rsidRPr="001F0131" w:rsidRDefault="00F4685C" w:rsidP="00F4685C">
            <w:pPr>
              <w:pStyle w:val="TCTableBody"/>
              <w:rPr>
                <w:lang w:eastAsia="ja-JP"/>
              </w:rPr>
            </w:pPr>
            <w:r w:rsidRPr="001F0131">
              <w:rPr>
                <w:lang w:eastAsia="ja-JP"/>
              </w:rPr>
              <w:t>Parameter</w:t>
            </w:r>
          </w:p>
        </w:tc>
        <w:tc>
          <w:tcPr>
            <w:tcW w:w="1522" w:type="pct"/>
          </w:tcPr>
          <w:p w14:paraId="03E7EBF4" w14:textId="77777777" w:rsidR="00F4685C" w:rsidRPr="001F0131" w:rsidRDefault="00F4685C" w:rsidP="00F4685C">
            <w:pPr>
              <w:pStyle w:val="TCTableBody"/>
              <w:cnfStyle w:val="100000000000" w:firstRow="1" w:lastRow="0" w:firstColumn="0" w:lastColumn="0" w:oddVBand="0" w:evenVBand="0" w:oddHBand="0" w:evenHBand="0" w:firstRowFirstColumn="0" w:firstRowLastColumn="0" w:lastRowFirstColumn="0" w:lastRowLastColumn="0"/>
              <w:rPr>
                <w:lang w:eastAsia="ja-JP"/>
              </w:rPr>
            </w:pPr>
            <w:r w:rsidRPr="001F0131">
              <w:rPr>
                <w:lang w:eastAsia="ja-JP"/>
              </w:rPr>
              <w:t>Candidates</w:t>
            </w:r>
          </w:p>
        </w:tc>
        <w:tc>
          <w:tcPr>
            <w:tcW w:w="1019" w:type="pct"/>
          </w:tcPr>
          <w:p w14:paraId="7353A0CA" w14:textId="77777777" w:rsidR="00F4685C" w:rsidRPr="001F0131" w:rsidRDefault="00F4685C" w:rsidP="00F4685C">
            <w:pPr>
              <w:pStyle w:val="TCTableBody"/>
              <w:cnfStyle w:val="100000000000" w:firstRow="1" w:lastRow="0" w:firstColumn="0" w:lastColumn="0" w:oddVBand="0" w:evenVBand="0" w:oddHBand="0" w:evenHBand="0" w:firstRowFirstColumn="0" w:firstRowLastColumn="0" w:lastRowFirstColumn="0" w:lastRowLastColumn="0"/>
              <w:rPr>
                <w:lang w:eastAsia="ja-JP"/>
              </w:rPr>
            </w:pPr>
            <w:r w:rsidRPr="001F0131">
              <w:rPr>
                <w:lang w:eastAsia="ja-JP"/>
              </w:rPr>
              <w:t>Optimum</w:t>
            </w:r>
          </w:p>
        </w:tc>
      </w:tr>
      <w:tr w:rsidR="001F0131" w:rsidRPr="001F0131" w14:paraId="48E235E2"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pct"/>
          </w:tcPr>
          <w:p w14:paraId="10C7F2E5" w14:textId="77777777" w:rsidR="00F4685C" w:rsidRPr="001F0131" w:rsidRDefault="00F4685C" w:rsidP="00F4685C">
            <w:pPr>
              <w:pStyle w:val="TCTableBody"/>
              <w:rPr>
                <w:lang w:eastAsia="ja-JP"/>
              </w:rPr>
            </w:pPr>
            <w:r w:rsidRPr="001F0131">
              <w:rPr>
                <w:lang w:eastAsia="ja-JP"/>
              </w:rPr>
              <w:t>Number of selected features in RFE</w:t>
            </w:r>
          </w:p>
        </w:tc>
        <w:tc>
          <w:tcPr>
            <w:tcW w:w="1522" w:type="pct"/>
          </w:tcPr>
          <w:p w14:paraId="61BE04C5" w14:textId="77777777" w:rsidR="00F4685C" w:rsidRPr="001F0131" w:rsidRDefault="00F4685C" w:rsidP="00F4685C">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10, 20, …, 100</w:t>
            </w:r>
          </w:p>
        </w:tc>
        <w:tc>
          <w:tcPr>
            <w:tcW w:w="1019" w:type="pct"/>
          </w:tcPr>
          <w:p w14:paraId="51C9E1A4" w14:textId="77777777" w:rsidR="00F4685C" w:rsidRPr="001F0131" w:rsidRDefault="00F4685C" w:rsidP="00F4685C">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90</w:t>
            </w:r>
          </w:p>
        </w:tc>
      </w:tr>
      <w:tr w:rsidR="001F0131" w:rsidRPr="001F0131" w14:paraId="210AB483" w14:textId="77777777" w:rsidTr="003B4D7C">
        <w:tc>
          <w:tcPr>
            <w:cnfStyle w:val="001000000000" w:firstRow="0" w:lastRow="0" w:firstColumn="1" w:lastColumn="0" w:oddVBand="0" w:evenVBand="0" w:oddHBand="0" w:evenHBand="0" w:firstRowFirstColumn="0" w:firstRowLastColumn="0" w:lastRowFirstColumn="0" w:lastRowLastColumn="0"/>
            <w:tcW w:w="2460" w:type="pct"/>
          </w:tcPr>
          <w:p w14:paraId="2939E8C2" w14:textId="77777777" w:rsidR="00F4685C" w:rsidRPr="001F0131" w:rsidRDefault="00F4685C" w:rsidP="00F4685C">
            <w:pPr>
              <w:pStyle w:val="TCTableBody"/>
              <w:rPr>
                <w:lang w:eastAsia="ja-JP"/>
              </w:rPr>
            </w:pPr>
            <w:r w:rsidRPr="001F0131">
              <w:rPr>
                <w:lang w:eastAsia="ja-JP"/>
              </w:rPr>
              <w:t>Inverse regularization strength in logistic regression</w:t>
            </w:r>
          </w:p>
        </w:tc>
        <w:tc>
          <w:tcPr>
            <w:tcW w:w="1522" w:type="pct"/>
          </w:tcPr>
          <w:p w14:paraId="2DA32329" w14:textId="77777777" w:rsidR="00F4685C" w:rsidRPr="001F0131" w:rsidRDefault="00F4685C" w:rsidP="00F4685C">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10</w:t>
            </w:r>
            <w:r w:rsidRPr="001F0131">
              <w:rPr>
                <w:vertAlign w:val="superscript"/>
                <w:lang w:eastAsia="ja-JP"/>
              </w:rPr>
              <w:t>–5</w:t>
            </w:r>
            <w:r w:rsidRPr="001F0131">
              <w:rPr>
                <w:lang w:eastAsia="ja-JP"/>
              </w:rPr>
              <w:t>, 10</w:t>
            </w:r>
            <w:r w:rsidRPr="001F0131">
              <w:rPr>
                <w:vertAlign w:val="superscript"/>
                <w:lang w:eastAsia="ja-JP"/>
              </w:rPr>
              <w:t>–4</w:t>
            </w:r>
            <w:r w:rsidRPr="001F0131">
              <w:rPr>
                <w:lang w:eastAsia="ja-JP"/>
              </w:rPr>
              <w:t>, …, 10</w:t>
            </w:r>
            <w:r w:rsidRPr="001F0131">
              <w:rPr>
                <w:vertAlign w:val="superscript"/>
                <w:lang w:eastAsia="ja-JP"/>
              </w:rPr>
              <w:t>+5</w:t>
            </w:r>
          </w:p>
        </w:tc>
        <w:tc>
          <w:tcPr>
            <w:tcW w:w="1019" w:type="pct"/>
          </w:tcPr>
          <w:p w14:paraId="668896B6" w14:textId="77777777" w:rsidR="00F4685C" w:rsidRPr="001F0131" w:rsidRDefault="00F4685C" w:rsidP="00F4685C">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10</w:t>
            </w:r>
            <w:r w:rsidRPr="001F0131">
              <w:rPr>
                <w:vertAlign w:val="superscript"/>
                <w:lang w:eastAsia="ja-JP"/>
              </w:rPr>
              <w:t>+3</w:t>
            </w:r>
          </w:p>
        </w:tc>
      </w:tr>
    </w:tbl>
    <w:p w14:paraId="32BBCAC0" w14:textId="77777777" w:rsidR="00F4685C" w:rsidRPr="001F0131" w:rsidRDefault="00F4685C" w:rsidP="00F4685C">
      <w:pPr>
        <w:pStyle w:val="TAMainText"/>
        <w:rPr>
          <w:lang w:eastAsia="ja-JP"/>
        </w:rPr>
      </w:pPr>
    </w:p>
    <w:p w14:paraId="695DF453" w14:textId="77777777" w:rsidR="00F4685C" w:rsidRPr="001F0131" w:rsidRDefault="00F4685C" w:rsidP="00F4685C">
      <w:pPr>
        <w:pStyle w:val="VDTableTitle"/>
        <w:rPr>
          <w:lang w:eastAsia="ja-JP"/>
        </w:rPr>
      </w:pPr>
      <w:r w:rsidRPr="001F0131">
        <w:rPr>
          <w:b/>
          <w:bCs/>
          <w:lang w:eastAsia="ja-JP"/>
        </w:rPr>
        <w:lastRenderedPageBreak/>
        <w:t>Table 2.</w:t>
      </w:r>
      <w:r w:rsidRPr="001F0131">
        <w:rPr>
          <w:lang w:eastAsia="ja-JP"/>
        </w:rPr>
        <w:t xml:space="preserve"> Classification metrics of the machine learning model with the optimum parameters evaluated for the training and validation datasets in 10-fold cross-validation.</w:t>
      </w:r>
    </w:p>
    <w:tbl>
      <w:tblPr>
        <w:tblStyle w:val="2"/>
        <w:tblW w:w="5000" w:type="pct"/>
        <w:tblLook w:val="04A0" w:firstRow="1" w:lastRow="0" w:firstColumn="1" w:lastColumn="0" w:noHBand="0" w:noVBand="1"/>
      </w:tblPr>
      <w:tblGrid>
        <w:gridCol w:w="3118"/>
        <w:gridCol w:w="3121"/>
        <w:gridCol w:w="3121"/>
      </w:tblGrid>
      <w:tr w:rsidR="001F0131" w:rsidRPr="001F0131" w14:paraId="09E273AB" w14:textId="77777777" w:rsidTr="003B4D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5473066B" w14:textId="77777777" w:rsidR="00F4685C" w:rsidRPr="001F0131" w:rsidRDefault="00F4685C" w:rsidP="00F4685C">
            <w:pPr>
              <w:pStyle w:val="TCTableBody"/>
              <w:rPr>
                <w:lang w:eastAsia="ja-JP"/>
              </w:rPr>
            </w:pPr>
            <w:r w:rsidRPr="001F0131">
              <w:rPr>
                <w:rFonts w:hint="eastAsia"/>
                <w:lang w:eastAsia="ja-JP"/>
              </w:rPr>
              <w:t>Metric</w:t>
            </w:r>
          </w:p>
        </w:tc>
        <w:tc>
          <w:tcPr>
            <w:tcW w:w="1667" w:type="pct"/>
          </w:tcPr>
          <w:p w14:paraId="5BCA10C9" w14:textId="77777777" w:rsidR="00F4685C" w:rsidRPr="001F0131" w:rsidRDefault="00F4685C" w:rsidP="00F4685C">
            <w:pPr>
              <w:pStyle w:val="TCTableBody"/>
              <w:cnfStyle w:val="100000000000" w:firstRow="1" w:lastRow="0" w:firstColumn="0" w:lastColumn="0" w:oddVBand="0" w:evenVBand="0" w:oddHBand="0" w:evenHBand="0" w:firstRowFirstColumn="0" w:firstRowLastColumn="0" w:lastRowFirstColumn="0" w:lastRowLastColumn="0"/>
              <w:rPr>
                <w:lang w:eastAsia="ja-JP"/>
              </w:rPr>
            </w:pPr>
            <w:r w:rsidRPr="001F0131">
              <w:rPr>
                <w:rFonts w:hint="eastAsia"/>
                <w:lang w:eastAsia="ja-JP"/>
              </w:rPr>
              <w:t>Training</w:t>
            </w:r>
          </w:p>
        </w:tc>
        <w:tc>
          <w:tcPr>
            <w:tcW w:w="1667" w:type="pct"/>
          </w:tcPr>
          <w:p w14:paraId="71F2C7A8" w14:textId="77777777" w:rsidR="00F4685C" w:rsidRPr="001F0131" w:rsidRDefault="00F4685C" w:rsidP="00F4685C">
            <w:pPr>
              <w:pStyle w:val="TCTableBody"/>
              <w:cnfStyle w:val="100000000000" w:firstRow="1" w:lastRow="0" w:firstColumn="0" w:lastColumn="0" w:oddVBand="0" w:evenVBand="0" w:oddHBand="0" w:evenHBand="0" w:firstRowFirstColumn="0" w:firstRowLastColumn="0" w:lastRowFirstColumn="0" w:lastRowLastColumn="0"/>
              <w:rPr>
                <w:lang w:eastAsia="ja-JP"/>
              </w:rPr>
            </w:pPr>
            <w:r w:rsidRPr="001F0131">
              <w:rPr>
                <w:rFonts w:hint="eastAsia"/>
                <w:lang w:eastAsia="ja-JP"/>
              </w:rPr>
              <w:t>Validation</w:t>
            </w:r>
          </w:p>
        </w:tc>
      </w:tr>
      <w:tr w:rsidR="001F0131" w:rsidRPr="001F0131" w14:paraId="085DEA95"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4F7C0F82" w14:textId="77777777" w:rsidR="00F4685C" w:rsidRPr="001F0131" w:rsidRDefault="00F4685C" w:rsidP="00F4685C">
            <w:pPr>
              <w:pStyle w:val="TCTableBody"/>
              <w:rPr>
                <w:lang w:eastAsia="ja-JP"/>
              </w:rPr>
            </w:pPr>
            <w:r w:rsidRPr="001F0131">
              <w:rPr>
                <w:rFonts w:hint="eastAsia"/>
                <w:lang w:eastAsia="ja-JP"/>
              </w:rPr>
              <w:t>Accuracy</w:t>
            </w:r>
          </w:p>
        </w:tc>
        <w:tc>
          <w:tcPr>
            <w:tcW w:w="1667" w:type="pct"/>
          </w:tcPr>
          <w:p w14:paraId="656BC464" w14:textId="77777777" w:rsidR="00F4685C" w:rsidRPr="001F0131" w:rsidRDefault="00F4685C" w:rsidP="00F4685C">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86.6% (0.4%)</w:t>
            </w:r>
          </w:p>
        </w:tc>
        <w:tc>
          <w:tcPr>
            <w:tcW w:w="1667" w:type="pct"/>
          </w:tcPr>
          <w:p w14:paraId="725A2C2F" w14:textId="77777777" w:rsidR="00F4685C" w:rsidRPr="001F0131" w:rsidRDefault="00F4685C" w:rsidP="00F4685C">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84.8% (2.5%)</w:t>
            </w:r>
          </w:p>
        </w:tc>
      </w:tr>
      <w:tr w:rsidR="001F0131" w:rsidRPr="001F0131" w14:paraId="13C39A57" w14:textId="77777777" w:rsidTr="003B4D7C">
        <w:tc>
          <w:tcPr>
            <w:cnfStyle w:val="001000000000" w:firstRow="0" w:lastRow="0" w:firstColumn="1" w:lastColumn="0" w:oddVBand="0" w:evenVBand="0" w:oddHBand="0" w:evenHBand="0" w:firstRowFirstColumn="0" w:firstRowLastColumn="0" w:lastRowFirstColumn="0" w:lastRowLastColumn="0"/>
            <w:tcW w:w="1665" w:type="pct"/>
          </w:tcPr>
          <w:p w14:paraId="15FD1200" w14:textId="77777777" w:rsidR="00F4685C" w:rsidRPr="001F0131" w:rsidRDefault="00F4685C" w:rsidP="00F4685C">
            <w:pPr>
              <w:pStyle w:val="TCTableBody"/>
              <w:rPr>
                <w:lang w:eastAsia="ja-JP"/>
              </w:rPr>
            </w:pPr>
            <w:r w:rsidRPr="001F0131">
              <w:rPr>
                <w:rFonts w:hint="eastAsia"/>
                <w:lang w:eastAsia="ja-JP"/>
              </w:rPr>
              <w:t>Precision</w:t>
            </w:r>
          </w:p>
        </w:tc>
        <w:tc>
          <w:tcPr>
            <w:tcW w:w="1667" w:type="pct"/>
          </w:tcPr>
          <w:p w14:paraId="28A8427F" w14:textId="77777777" w:rsidR="00F4685C" w:rsidRPr="001F0131" w:rsidRDefault="00F4685C" w:rsidP="00F4685C">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82.3% (0.5%)</w:t>
            </w:r>
          </w:p>
        </w:tc>
        <w:tc>
          <w:tcPr>
            <w:tcW w:w="1667" w:type="pct"/>
          </w:tcPr>
          <w:p w14:paraId="5A0BDA53" w14:textId="77777777" w:rsidR="00F4685C" w:rsidRPr="001F0131" w:rsidRDefault="00F4685C" w:rsidP="00F4685C">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80.3% (5.6%)</w:t>
            </w:r>
          </w:p>
        </w:tc>
      </w:tr>
      <w:tr w:rsidR="001F0131" w:rsidRPr="001F0131" w14:paraId="35047382"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5204BC91" w14:textId="77777777" w:rsidR="00F4685C" w:rsidRPr="001F0131" w:rsidRDefault="00F4685C" w:rsidP="00F4685C">
            <w:pPr>
              <w:pStyle w:val="TCTableBody"/>
              <w:rPr>
                <w:lang w:eastAsia="ja-JP"/>
              </w:rPr>
            </w:pPr>
            <w:r w:rsidRPr="001F0131">
              <w:rPr>
                <w:rFonts w:hint="eastAsia"/>
                <w:lang w:eastAsia="ja-JP"/>
              </w:rPr>
              <w:t>Recall</w:t>
            </w:r>
          </w:p>
        </w:tc>
        <w:tc>
          <w:tcPr>
            <w:tcW w:w="1667" w:type="pct"/>
          </w:tcPr>
          <w:p w14:paraId="1AC2F306" w14:textId="77777777" w:rsidR="00F4685C" w:rsidRPr="001F0131" w:rsidRDefault="00F4685C" w:rsidP="00F4685C">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83.3% (0.8%)</w:t>
            </w:r>
          </w:p>
        </w:tc>
        <w:tc>
          <w:tcPr>
            <w:tcW w:w="1667" w:type="pct"/>
          </w:tcPr>
          <w:p w14:paraId="43F1F9AE" w14:textId="77777777" w:rsidR="00F4685C" w:rsidRPr="001F0131" w:rsidRDefault="00F4685C" w:rsidP="00F4685C">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80.4% (3.2%)</w:t>
            </w:r>
          </w:p>
        </w:tc>
      </w:tr>
      <w:tr w:rsidR="001F0131" w:rsidRPr="001F0131" w14:paraId="34DF9B5D" w14:textId="77777777" w:rsidTr="003B4D7C">
        <w:tc>
          <w:tcPr>
            <w:cnfStyle w:val="001000000000" w:firstRow="0" w:lastRow="0" w:firstColumn="1" w:lastColumn="0" w:oddVBand="0" w:evenVBand="0" w:oddHBand="0" w:evenHBand="0" w:firstRowFirstColumn="0" w:firstRowLastColumn="0" w:lastRowFirstColumn="0" w:lastRowLastColumn="0"/>
            <w:tcW w:w="1665" w:type="pct"/>
          </w:tcPr>
          <w:p w14:paraId="06D02044" w14:textId="77777777" w:rsidR="00F4685C" w:rsidRPr="001F0131" w:rsidRDefault="00F4685C" w:rsidP="00F4685C">
            <w:pPr>
              <w:pStyle w:val="TCTableBody"/>
              <w:rPr>
                <w:lang w:eastAsia="ja-JP"/>
              </w:rPr>
            </w:pPr>
            <w:r w:rsidRPr="001F0131">
              <w:rPr>
                <w:rFonts w:hint="eastAsia"/>
                <w:lang w:eastAsia="ja-JP"/>
              </w:rPr>
              <w:t>F-score</w:t>
            </w:r>
          </w:p>
        </w:tc>
        <w:tc>
          <w:tcPr>
            <w:tcW w:w="1667" w:type="pct"/>
          </w:tcPr>
          <w:p w14:paraId="7972829A" w14:textId="77777777" w:rsidR="00F4685C" w:rsidRPr="001F0131" w:rsidRDefault="00F4685C" w:rsidP="00F4685C">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82.8% (0.5%)</w:t>
            </w:r>
          </w:p>
        </w:tc>
        <w:tc>
          <w:tcPr>
            <w:tcW w:w="1667" w:type="pct"/>
          </w:tcPr>
          <w:p w14:paraId="39094D19" w14:textId="77777777" w:rsidR="00F4685C" w:rsidRPr="001F0131" w:rsidRDefault="00F4685C" w:rsidP="00F4685C">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80.3% (3.5%)</w:t>
            </w:r>
          </w:p>
        </w:tc>
      </w:tr>
    </w:tbl>
    <w:p w14:paraId="11BE543A" w14:textId="3CCB801F" w:rsidR="00F4685C" w:rsidRPr="001F0131" w:rsidRDefault="00F4685C" w:rsidP="00F4685C">
      <w:pPr>
        <w:pStyle w:val="FETableFootnote"/>
        <w:rPr>
          <w:lang w:eastAsia="ja-JP"/>
        </w:rPr>
      </w:pPr>
      <w:r w:rsidRPr="001F0131">
        <w:rPr>
          <w:lang w:eastAsia="ja-JP"/>
        </w:rPr>
        <w:t>The scores were averaged among the folds. Standard deviations over folds are shown in parentheses.</w:t>
      </w:r>
    </w:p>
    <w:p w14:paraId="19C0A1BB" w14:textId="77777777" w:rsidR="00F4685C" w:rsidRPr="001F0131" w:rsidRDefault="00F4685C" w:rsidP="009C19D0">
      <w:pPr>
        <w:pStyle w:val="TAMainText"/>
        <w:rPr>
          <w:lang w:eastAsia="ja-JP"/>
        </w:rPr>
      </w:pPr>
    </w:p>
    <w:p w14:paraId="3E3E7032" w14:textId="635926D5" w:rsidR="009C19D0" w:rsidRPr="001F0131" w:rsidRDefault="009C19D0" w:rsidP="00B84C7F">
      <w:pPr>
        <w:pStyle w:val="TAMainText"/>
        <w:numPr>
          <w:ilvl w:val="1"/>
          <w:numId w:val="12"/>
        </w:numPr>
        <w:rPr>
          <w:b/>
          <w:bCs/>
        </w:rPr>
      </w:pPr>
      <w:r w:rsidRPr="001F0131">
        <w:rPr>
          <w:b/>
          <w:bCs/>
        </w:rPr>
        <w:t>Host candidate selection</w:t>
      </w:r>
    </w:p>
    <w:p w14:paraId="7C63169C" w14:textId="77777777" w:rsidR="009C19D0" w:rsidRPr="001F0131" w:rsidRDefault="009C19D0" w:rsidP="009C19D0">
      <w:pPr>
        <w:pStyle w:val="TAMainText"/>
      </w:pPr>
      <w:r w:rsidRPr="001F0131">
        <w:t>For candidate compounds as hosts for new Eu</w:t>
      </w:r>
      <w:r w:rsidRPr="001F0131">
        <w:rPr>
          <w:vertAlign w:val="superscript"/>
        </w:rPr>
        <w:t>2+</w:t>
      </w:r>
      <w:r w:rsidRPr="001F0131">
        <w:t>-activated phosphors, inorganic ionic crystals composed of elements appearing in the collected Eu-activated phosphor dataset were extracted from the AtomWork-Adv materials database, resulting in 26,305 compounds. Applying the machine learning model to these compounds, 8,947 compounds were predicted to have a Eu</w:t>
      </w:r>
      <w:r w:rsidRPr="001F0131">
        <w:rPr>
          <w:vertAlign w:val="superscript"/>
        </w:rPr>
        <w:t>2+</w:t>
      </w:r>
      <w:r w:rsidRPr="001F0131">
        <w:t xml:space="preserve"> probability of 50% or higher. To narrow the list of candidate compounds for experimental validation, the following procedure was employed:</w:t>
      </w:r>
    </w:p>
    <w:p w14:paraId="068678FC" w14:textId="1D247285" w:rsidR="009C19D0" w:rsidRPr="001F0131" w:rsidRDefault="009C19D0" w:rsidP="009C19D0">
      <w:pPr>
        <w:pStyle w:val="TAMainText"/>
      </w:pPr>
      <w:r w:rsidRPr="001F0131">
        <w:t>Considering that most Eu-activated phosphor materials are designed with Eu ions of substitutional impurities, compounds containing alkaline earth metals Ca, Sr, or Ba are deemed suitable for Eu</w:t>
      </w:r>
      <w:r w:rsidRPr="001F0131">
        <w:rPr>
          <w:vertAlign w:val="superscript"/>
        </w:rPr>
        <w:t>2+</w:t>
      </w:r>
      <w:r w:rsidRPr="001F0131">
        <w:t xml:space="preserve">-activated phosphors. This is also evidenced by the collected data (Fig. </w:t>
      </w:r>
      <w:r w:rsidR="00BA2DB6" w:rsidRPr="001F0131">
        <w:rPr>
          <w:lang w:eastAsia="ja-JP"/>
        </w:rPr>
        <w:t>3</w:t>
      </w:r>
      <w:r w:rsidRPr="001F0131">
        <w:t>). Therefore, compounds that did not contain these alkaline earth metals were excluded. Non-oxide compounds are suitable for Eu</w:t>
      </w:r>
      <w:r w:rsidRPr="001F0131">
        <w:rPr>
          <w:vertAlign w:val="superscript"/>
        </w:rPr>
        <w:t>2+</w:t>
      </w:r>
      <w:r w:rsidRPr="001F0131">
        <w:t>, whereas oxides that tend to exhibit lower Eu</w:t>
      </w:r>
      <w:r w:rsidRPr="001F0131">
        <w:rPr>
          <w:vertAlign w:val="superscript"/>
        </w:rPr>
        <w:t>2+</w:t>
      </w:r>
      <w:r w:rsidRPr="001F0131">
        <w:t xml:space="preserve"> probabilities are preferable for practical applications. Hence, oxides, sulfides, halides, and mixed-anion compounds were selected to validate the machine learning predictions. Furthermore, compounds requiring </w:t>
      </w:r>
      <w:r w:rsidRPr="001F0131">
        <w:lastRenderedPageBreak/>
        <w:t>special synthesis methods such as high-pressure synthesis, compounds requiring hard-to-obtain starting materials, and compounds inferred to be difficult to synthesize based on our prior experience and experimental equipment were excluded. Hosts for known Eu</w:t>
      </w:r>
      <w:r w:rsidRPr="001F0131">
        <w:rPr>
          <w:vertAlign w:val="superscript"/>
        </w:rPr>
        <w:t>2+</w:t>
      </w:r>
      <w:r w:rsidRPr="001F0131">
        <w:t>-activated phosphor materials were also excluded. Finally, 35 candidate compounds were selected (Table 3).</w:t>
      </w:r>
    </w:p>
    <w:p w14:paraId="5CCE7637" w14:textId="77777777" w:rsidR="00F4685C" w:rsidRPr="001F0131" w:rsidRDefault="00F4685C" w:rsidP="009C19D0">
      <w:pPr>
        <w:pStyle w:val="TAMainText"/>
        <w:rPr>
          <w:lang w:eastAsia="ja-JP"/>
        </w:rPr>
      </w:pPr>
    </w:p>
    <w:p w14:paraId="221C8178" w14:textId="77777777" w:rsidR="00F4685C" w:rsidRPr="001F0131" w:rsidRDefault="00F4685C" w:rsidP="00F4685C">
      <w:pPr>
        <w:pStyle w:val="VDTableTitle"/>
        <w:rPr>
          <w:lang w:eastAsia="ja-JP"/>
        </w:rPr>
      </w:pPr>
      <w:r w:rsidRPr="001F0131">
        <w:rPr>
          <w:b/>
          <w:bCs/>
          <w:lang w:eastAsia="ja-JP"/>
        </w:rPr>
        <w:t>Table 3.</w:t>
      </w:r>
      <w:r w:rsidRPr="001F0131">
        <w:rPr>
          <w:lang w:eastAsia="ja-JP"/>
        </w:rPr>
        <w:t xml:space="preserve"> Candidate compounds for Eu</w:t>
      </w:r>
      <w:r w:rsidRPr="001F0131">
        <w:rPr>
          <w:vertAlign w:val="superscript"/>
          <w:lang w:eastAsia="ja-JP"/>
        </w:rPr>
        <w:t>2+</w:t>
      </w:r>
      <w:r w:rsidRPr="001F0131">
        <w:rPr>
          <w:lang w:eastAsia="ja-JP"/>
        </w:rPr>
        <w:t>-activated phosphors with predicted Eu</w:t>
      </w:r>
      <w:r w:rsidRPr="001F0131">
        <w:rPr>
          <w:vertAlign w:val="superscript"/>
          <w:lang w:eastAsia="ja-JP"/>
        </w:rPr>
        <w:t>2+</w:t>
      </w:r>
      <w:r w:rsidRPr="001F0131">
        <w:rPr>
          <w:lang w:eastAsia="ja-JP"/>
        </w:rPr>
        <w:t>-probability, sample purity estimated by powder XRD analysis, space group of the target phase, and summary of photoluminescence measurements.</w:t>
      </w:r>
    </w:p>
    <w:tbl>
      <w:tblPr>
        <w:tblStyle w:val="2"/>
        <w:tblW w:w="5004" w:type="pct"/>
        <w:tblLayout w:type="fixed"/>
        <w:tblLook w:val="04A0" w:firstRow="1" w:lastRow="0" w:firstColumn="1" w:lastColumn="0" w:noHBand="0" w:noVBand="1"/>
      </w:tblPr>
      <w:tblGrid>
        <w:gridCol w:w="2343"/>
        <w:gridCol w:w="1250"/>
        <w:gridCol w:w="1257"/>
        <w:gridCol w:w="1401"/>
        <w:gridCol w:w="1087"/>
        <w:gridCol w:w="1014"/>
        <w:gridCol w:w="1015"/>
      </w:tblGrid>
      <w:tr w:rsidR="001F0131" w:rsidRPr="001F0131" w14:paraId="2CA70552" w14:textId="77777777" w:rsidTr="003B4D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A9F95D0" w14:textId="77777777" w:rsidR="00F4685C" w:rsidRPr="001F0131" w:rsidRDefault="00F4685C" w:rsidP="00163044">
            <w:pPr>
              <w:pStyle w:val="TCTableBody"/>
              <w:rPr>
                <w:lang w:eastAsia="ja-JP"/>
              </w:rPr>
            </w:pPr>
            <w:r w:rsidRPr="001F0131">
              <w:rPr>
                <w:rFonts w:hint="eastAsia"/>
                <w:lang w:eastAsia="ja-JP"/>
              </w:rPr>
              <w:t>C</w:t>
            </w:r>
            <w:r w:rsidRPr="001F0131">
              <w:rPr>
                <w:lang w:eastAsia="ja-JP"/>
              </w:rPr>
              <w:t>omposition</w:t>
            </w:r>
          </w:p>
        </w:tc>
        <w:tc>
          <w:tcPr>
            <w:tcW w:w="667" w:type="pct"/>
          </w:tcPr>
          <w:p w14:paraId="17430F67" w14:textId="77777777" w:rsidR="00F4685C" w:rsidRPr="001F0131" w:rsidRDefault="00F4685C" w:rsidP="00163044">
            <w:pPr>
              <w:pStyle w:val="TCTableBody"/>
              <w:cnfStyle w:val="100000000000" w:firstRow="1" w:lastRow="0" w:firstColumn="0" w:lastColumn="0" w:oddVBand="0" w:evenVBand="0" w:oddHBand="0" w:evenHBand="0" w:firstRowFirstColumn="0" w:firstRowLastColumn="0" w:lastRowFirstColumn="0" w:lastRowLastColumn="0"/>
              <w:rPr>
                <w:lang w:eastAsia="ja-JP"/>
              </w:rPr>
            </w:pPr>
            <w:r w:rsidRPr="001F0131">
              <w:rPr>
                <w:rFonts w:hint="eastAsia"/>
                <w:lang w:eastAsia="ja-JP"/>
              </w:rPr>
              <w:t>E</w:t>
            </w:r>
            <w:r w:rsidRPr="001F0131">
              <w:rPr>
                <w:lang w:eastAsia="ja-JP"/>
              </w:rPr>
              <w:t>u</w:t>
            </w:r>
            <w:r w:rsidRPr="001F0131">
              <w:rPr>
                <w:vertAlign w:val="superscript"/>
                <w:lang w:eastAsia="ja-JP"/>
              </w:rPr>
              <w:t>2+</w:t>
            </w:r>
            <w:r w:rsidRPr="001F0131">
              <w:rPr>
                <w:lang w:eastAsia="ja-JP"/>
              </w:rPr>
              <w:t xml:space="preserve"> probability </w:t>
            </w:r>
            <w:r w:rsidRPr="001F0131">
              <w:rPr>
                <w:rFonts w:hint="eastAsia"/>
                <w:lang w:eastAsia="ja-JP"/>
              </w:rPr>
              <w:t>(</w:t>
            </w:r>
            <w:r w:rsidRPr="001F0131">
              <w:rPr>
                <w:lang w:eastAsia="ja-JP"/>
              </w:rPr>
              <w:t>%)</w:t>
            </w:r>
          </w:p>
        </w:tc>
        <w:tc>
          <w:tcPr>
            <w:tcW w:w="671" w:type="pct"/>
          </w:tcPr>
          <w:p w14:paraId="02B296CC" w14:textId="77777777" w:rsidR="00F4685C" w:rsidRPr="001F0131" w:rsidRDefault="00F4685C" w:rsidP="00163044">
            <w:pPr>
              <w:pStyle w:val="TCTableBody"/>
              <w:cnfStyle w:val="100000000000" w:firstRow="1" w:lastRow="0" w:firstColumn="0" w:lastColumn="0" w:oddVBand="0" w:evenVBand="0" w:oddHBand="0" w:evenHBand="0" w:firstRowFirstColumn="0" w:firstRowLastColumn="0" w:lastRowFirstColumn="0" w:lastRowLastColumn="0"/>
              <w:rPr>
                <w:lang w:eastAsia="ja-JP"/>
              </w:rPr>
            </w:pPr>
            <w:r w:rsidRPr="001F0131">
              <w:rPr>
                <w:lang w:eastAsia="ja-JP"/>
              </w:rPr>
              <w:t xml:space="preserve">Sample purity </w:t>
            </w:r>
            <w:r w:rsidRPr="001F0131">
              <w:rPr>
                <w:rFonts w:hint="eastAsia"/>
                <w:lang w:eastAsia="ja-JP"/>
              </w:rPr>
              <w:t>(</w:t>
            </w:r>
            <w:r w:rsidRPr="001F0131">
              <w:rPr>
                <w:lang w:eastAsia="ja-JP"/>
              </w:rPr>
              <w:t>wt%)</w:t>
            </w:r>
          </w:p>
        </w:tc>
        <w:tc>
          <w:tcPr>
            <w:tcW w:w="748" w:type="pct"/>
          </w:tcPr>
          <w:p w14:paraId="184FC250" w14:textId="77777777" w:rsidR="00F4685C" w:rsidRPr="001F0131" w:rsidRDefault="00F4685C" w:rsidP="00163044">
            <w:pPr>
              <w:pStyle w:val="TCTableBody"/>
              <w:cnfStyle w:val="100000000000" w:firstRow="1" w:lastRow="0" w:firstColumn="0" w:lastColumn="0" w:oddVBand="0" w:evenVBand="0" w:oddHBand="0" w:evenHBand="0" w:firstRowFirstColumn="0" w:firstRowLastColumn="0" w:lastRowFirstColumn="0" w:lastRowLastColumn="0"/>
              <w:rPr>
                <w:lang w:eastAsia="ja-JP"/>
              </w:rPr>
            </w:pPr>
            <w:r w:rsidRPr="001F0131">
              <w:rPr>
                <w:rFonts w:hint="eastAsia"/>
                <w:lang w:eastAsia="ja-JP"/>
              </w:rPr>
              <w:t>S</w:t>
            </w:r>
            <w:r w:rsidRPr="001F0131">
              <w:rPr>
                <w:lang w:eastAsia="ja-JP"/>
              </w:rPr>
              <w:t>pace group</w:t>
            </w:r>
          </w:p>
        </w:tc>
        <w:tc>
          <w:tcPr>
            <w:tcW w:w="580" w:type="pct"/>
          </w:tcPr>
          <w:p w14:paraId="46DE455D" w14:textId="77777777" w:rsidR="00F4685C" w:rsidRPr="001F0131" w:rsidRDefault="00F4685C" w:rsidP="00163044">
            <w:pPr>
              <w:pStyle w:val="TCTableBody"/>
              <w:cnfStyle w:val="100000000000" w:firstRow="1" w:lastRow="0" w:firstColumn="0" w:lastColumn="0" w:oddVBand="0" w:evenVBand="0" w:oddHBand="0" w:evenHBand="0" w:firstRowFirstColumn="0" w:firstRowLastColumn="0" w:lastRowFirstColumn="0" w:lastRowLastColumn="0"/>
              <w:rPr>
                <w:lang w:eastAsia="ja-JP"/>
              </w:rPr>
            </w:pPr>
            <w:r w:rsidRPr="001F0131">
              <w:rPr>
                <w:rFonts w:hint="eastAsia"/>
                <w:lang w:eastAsia="ja-JP"/>
              </w:rPr>
              <w:t>Photoluminescence</w:t>
            </w:r>
          </w:p>
        </w:tc>
        <w:tc>
          <w:tcPr>
            <w:tcW w:w="541" w:type="pct"/>
          </w:tcPr>
          <w:p w14:paraId="5817EA82" w14:textId="77777777" w:rsidR="00F4685C" w:rsidRPr="001F0131" w:rsidRDefault="00F4685C" w:rsidP="00163044">
            <w:pPr>
              <w:pStyle w:val="TCTableBody"/>
              <w:cnfStyle w:val="100000000000" w:firstRow="1" w:lastRow="0" w:firstColumn="0" w:lastColumn="0" w:oddVBand="0" w:evenVBand="0" w:oddHBand="0" w:evenHBand="0" w:firstRowFirstColumn="0" w:firstRowLastColumn="0" w:lastRowFirstColumn="0" w:lastRowLastColumn="0"/>
              <w:rPr>
                <w:lang w:eastAsia="ja-JP"/>
              </w:rPr>
            </w:pPr>
            <w:r w:rsidRPr="001F0131">
              <w:rPr>
                <w:rFonts w:cstheme="minorHAnsi"/>
                <w:lang w:eastAsia="ja-JP"/>
              </w:rPr>
              <w:t>λ</w:t>
            </w:r>
            <w:r w:rsidRPr="001F0131">
              <w:rPr>
                <w:rFonts w:hint="eastAsia"/>
                <w:vertAlign w:val="subscript"/>
                <w:lang w:eastAsia="ja-JP"/>
              </w:rPr>
              <w:t>em</w:t>
            </w:r>
            <w:r w:rsidRPr="001F0131">
              <w:rPr>
                <w:rFonts w:hint="eastAsia"/>
                <w:lang w:eastAsia="ja-JP"/>
              </w:rPr>
              <w:t xml:space="preserve"> (nm)</w:t>
            </w:r>
          </w:p>
        </w:tc>
        <w:tc>
          <w:tcPr>
            <w:tcW w:w="542" w:type="pct"/>
          </w:tcPr>
          <w:p w14:paraId="288C6262" w14:textId="77777777" w:rsidR="00F4685C" w:rsidRPr="001F0131" w:rsidRDefault="00F4685C" w:rsidP="00163044">
            <w:pPr>
              <w:pStyle w:val="TCTableBody"/>
              <w:cnfStyle w:val="100000000000" w:firstRow="1" w:lastRow="0" w:firstColumn="0" w:lastColumn="0" w:oddVBand="0" w:evenVBand="0" w:oddHBand="0" w:evenHBand="0" w:firstRowFirstColumn="0" w:firstRowLastColumn="0" w:lastRowFirstColumn="0" w:lastRowLastColumn="0"/>
              <w:rPr>
                <w:lang w:eastAsia="ja-JP"/>
              </w:rPr>
            </w:pPr>
            <w:r w:rsidRPr="001F0131">
              <w:rPr>
                <w:rFonts w:cstheme="minorHAnsi"/>
                <w:lang w:eastAsia="ja-JP"/>
              </w:rPr>
              <w:t>λ</w:t>
            </w:r>
            <w:r w:rsidRPr="001F0131">
              <w:rPr>
                <w:rFonts w:hint="eastAsia"/>
                <w:vertAlign w:val="subscript"/>
                <w:lang w:eastAsia="ja-JP"/>
              </w:rPr>
              <w:t>ex</w:t>
            </w:r>
            <w:r w:rsidRPr="001F0131">
              <w:rPr>
                <w:rFonts w:hint="eastAsia"/>
                <w:lang w:eastAsia="ja-JP"/>
              </w:rPr>
              <w:t xml:space="preserve"> (nm)</w:t>
            </w:r>
          </w:p>
        </w:tc>
      </w:tr>
      <w:tr w:rsidR="001F0131" w:rsidRPr="001F0131" w14:paraId="48778BC3"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E83EBB7" w14:textId="77777777" w:rsidR="00F4685C" w:rsidRPr="001F0131" w:rsidRDefault="00F4685C" w:rsidP="00163044">
            <w:pPr>
              <w:pStyle w:val="TCTableBody"/>
              <w:rPr>
                <w:lang w:eastAsia="ja-JP"/>
              </w:rPr>
            </w:pPr>
            <w:r w:rsidRPr="001F0131">
              <w:rPr>
                <w:rFonts w:hint="eastAsia"/>
                <w:lang w:eastAsia="ja-JP"/>
              </w:rPr>
              <w:t>F</w:t>
            </w:r>
            <w:r w:rsidRPr="001F0131">
              <w:rPr>
                <w:lang w:eastAsia="ja-JP"/>
              </w:rPr>
              <w:t>luoride</w:t>
            </w:r>
          </w:p>
        </w:tc>
        <w:tc>
          <w:tcPr>
            <w:tcW w:w="667" w:type="pct"/>
          </w:tcPr>
          <w:p w14:paraId="45F6858D"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671" w:type="pct"/>
          </w:tcPr>
          <w:p w14:paraId="1D6E434C"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748" w:type="pct"/>
          </w:tcPr>
          <w:p w14:paraId="2A18829E"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80" w:type="pct"/>
          </w:tcPr>
          <w:p w14:paraId="0957B03B"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41" w:type="pct"/>
          </w:tcPr>
          <w:p w14:paraId="04109031"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0A786997"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325F9D26"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2D39A3BD" w14:textId="77777777" w:rsidR="00F4685C" w:rsidRPr="001F0131" w:rsidRDefault="00F4685C" w:rsidP="00163044">
            <w:pPr>
              <w:pStyle w:val="TCTableBody"/>
              <w:rPr>
                <w:highlight w:val="yellow"/>
                <w:lang w:eastAsia="ja-JP"/>
              </w:rPr>
            </w:pPr>
            <w:r w:rsidRPr="001F0131">
              <w:rPr>
                <w:rFonts w:hint="eastAsia"/>
                <w:lang w:eastAsia="ja-JP"/>
              </w:rPr>
              <w:t>C</w:t>
            </w:r>
            <w:r w:rsidRPr="001F0131">
              <w:rPr>
                <w:lang w:eastAsia="ja-JP"/>
              </w:rPr>
              <w:t>s</w:t>
            </w:r>
            <w:r w:rsidRPr="001F0131">
              <w:rPr>
                <w:vertAlign w:val="subscript"/>
                <w:lang w:eastAsia="ja-JP"/>
              </w:rPr>
              <w:t>2</w:t>
            </w:r>
            <w:r w:rsidRPr="001F0131">
              <w:rPr>
                <w:lang w:eastAsia="ja-JP"/>
              </w:rPr>
              <w:t>CaF</w:t>
            </w:r>
            <w:r w:rsidRPr="001F0131">
              <w:rPr>
                <w:vertAlign w:val="subscript"/>
                <w:lang w:eastAsia="ja-JP"/>
              </w:rPr>
              <w:t>4</w:t>
            </w:r>
          </w:p>
        </w:tc>
        <w:tc>
          <w:tcPr>
            <w:tcW w:w="667" w:type="pct"/>
          </w:tcPr>
          <w:p w14:paraId="174B52B8"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9</w:t>
            </w:r>
            <w:r w:rsidRPr="001F0131">
              <w:rPr>
                <w:lang w:eastAsia="ja-JP"/>
              </w:rPr>
              <w:t>4</w:t>
            </w:r>
          </w:p>
        </w:tc>
        <w:tc>
          <w:tcPr>
            <w:tcW w:w="671" w:type="pct"/>
          </w:tcPr>
          <w:p w14:paraId="3FB11424"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1</w:t>
            </w:r>
            <w:r w:rsidRPr="001F0131">
              <w:rPr>
                <w:lang w:eastAsia="ja-JP"/>
              </w:rPr>
              <w:t>00</w:t>
            </w:r>
          </w:p>
        </w:tc>
        <w:tc>
          <w:tcPr>
            <w:tcW w:w="748" w:type="pct"/>
          </w:tcPr>
          <w:p w14:paraId="075E84DE"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I </w:t>
            </w:r>
            <w:r w:rsidRPr="001F0131">
              <w:rPr>
                <w:lang w:eastAsia="ja-JP"/>
              </w:rPr>
              <w:t>4/m</w:t>
            </w:r>
            <w:r w:rsidRPr="001F0131">
              <w:rPr>
                <w:rFonts w:hint="eastAsia"/>
                <w:lang w:eastAsia="ja-JP"/>
              </w:rPr>
              <w:t xml:space="preserve"> </w:t>
            </w:r>
            <w:r w:rsidRPr="001F0131">
              <w:rPr>
                <w:lang w:eastAsia="ja-JP"/>
              </w:rPr>
              <w:t>m</w:t>
            </w:r>
            <w:r w:rsidRPr="001F0131">
              <w:rPr>
                <w:rFonts w:hint="eastAsia"/>
                <w:lang w:eastAsia="ja-JP"/>
              </w:rPr>
              <w:t xml:space="preserve"> </w:t>
            </w:r>
            <w:r w:rsidRPr="001F0131">
              <w:rPr>
                <w:lang w:eastAsia="ja-JP"/>
              </w:rPr>
              <w:t>m (139)</w:t>
            </w:r>
          </w:p>
        </w:tc>
        <w:tc>
          <w:tcPr>
            <w:tcW w:w="580" w:type="pct"/>
          </w:tcPr>
          <w:p w14:paraId="501BFFAE"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No</w:t>
            </w:r>
          </w:p>
        </w:tc>
        <w:tc>
          <w:tcPr>
            <w:tcW w:w="541" w:type="pct"/>
          </w:tcPr>
          <w:p w14:paraId="5D2C978B"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12BE8777"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10AF2A86"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91C8822" w14:textId="77777777" w:rsidR="00F4685C" w:rsidRPr="001F0131" w:rsidRDefault="00F4685C" w:rsidP="00163044">
            <w:pPr>
              <w:pStyle w:val="TCTableBody"/>
              <w:rPr>
                <w:lang w:eastAsia="ja-JP"/>
              </w:rPr>
            </w:pPr>
            <w:r w:rsidRPr="001F0131">
              <w:rPr>
                <w:rFonts w:hint="eastAsia"/>
                <w:lang w:eastAsia="ja-JP"/>
              </w:rPr>
              <w:t>C</w:t>
            </w:r>
            <w:r w:rsidRPr="001F0131">
              <w:rPr>
                <w:lang w:eastAsia="ja-JP"/>
              </w:rPr>
              <w:t>hloride</w:t>
            </w:r>
          </w:p>
        </w:tc>
        <w:tc>
          <w:tcPr>
            <w:tcW w:w="667" w:type="pct"/>
          </w:tcPr>
          <w:p w14:paraId="769F4535"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671" w:type="pct"/>
          </w:tcPr>
          <w:p w14:paraId="572EFFAF"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748" w:type="pct"/>
          </w:tcPr>
          <w:p w14:paraId="4113B91C"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80" w:type="pct"/>
          </w:tcPr>
          <w:p w14:paraId="2CB14D87"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41" w:type="pct"/>
          </w:tcPr>
          <w:p w14:paraId="28F7EC2A"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4A2BE2F8"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41ED0A34"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2AFF15C5" w14:textId="77777777" w:rsidR="00F4685C" w:rsidRPr="001F0131" w:rsidRDefault="00F4685C" w:rsidP="00163044">
            <w:pPr>
              <w:pStyle w:val="TCTableBody"/>
              <w:rPr>
                <w:highlight w:val="yellow"/>
                <w:lang w:eastAsia="ja-JP"/>
              </w:rPr>
            </w:pPr>
            <w:r w:rsidRPr="001F0131">
              <w:rPr>
                <w:rFonts w:hint="eastAsia"/>
                <w:lang w:eastAsia="ja-JP"/>
              </w:rPr>
              <w:t>C</w:t>
            </w:r>
            <w:r w:rsidRPr="001F0131">
              <w:rPr>
                <w:lang w:eastAsia="ja-JP"/>
              </w:rPr>
              <w:t>s</w:t>
            </w:r>
            <w:r w:rsidRPr="001F0131">
              <w:rPr>
                <w:vertAlign w:val="subscript"/>
                <w:lang w:eastAsia="ja-JP"/>
              </w:rPr>
              <w:t>3</w:t>
            </w:r>
            <w:r w:rsidRPr="001F0131">
              <w:rPr>
                <w:lang w:eastAsia="ja-JP"/>
              </w:rPr>
              <w:t>Ca</w:t>
            </w:r>
            <w:r w:rsidRPr="001F0131">
              <w:rPr>
                <w:vertAlign w:val="subscript"/>
                <w:lang w:eastAsia="ja-JP"/>
              </w:rPr>
              <w:t>2</w:t>
            </w:r>
            <w:r w:rsidRPr="001F0131">
              <w:rPr>
                <w:lang w:eastAsia="ja-JP"/>
              </w:rPr>
              <w:t>Cl</w:t>
            </w:r>
            <w:r w:rsidRPr="001F0131">
              <w:rPr>
                <w:vertAlign w:val="subscript"/>
                <w:lang w:eastAsia="ja-JP"/>
              </w:rPr>
              <w:t>7</w:t>
            </w:r>
          </w:p>
        </w:tc>
        <w:tc>
          <w:tcPr>
            <w:tcW w:w="667" w:type="pct"/>
          </w:tcPr>
          <w:p w14:paraId="16F2FE29"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98</w:t>
            </w:r>
          </w:p>
        </w:tc>
        <w:tc>
          <w:tcPr>
            <w:tcW w:w="671" w:type="pct"/>
          </w:tcPr>
          <w:p w14:paraId="030D2B56"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2</w:t>
            </w:r>
            <w:r w:rsidRPr="001F0131">
              <w:rPr>
                <w:rFonts w:hint="eastAsia"/>
                <w:lang w:eastAsia="ja-JP"/>
              </w:rPr>
              <w:t>6</w:t>
            </w:r>
          </w:p>
        </w:tc>
        <w:tc>
          <w:tcPr>
            <w:tcW w:w="748" w:type="pct"/>
          </w:tcPr>
          <w:p w14:paraId="2B443DD0"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I </w:t>
            </w:r>
            <w:r w:rsidRPr="001F0131">
              <w:rPr>
                <w:lang w:eastAsia="ja-JP"/>
              </w:rPr>
              <w:t>4/m</w:t>
            </w:r>
            <w:r w:rsidRPr="001F0131">
              <w:rPr>
                <w:rFonts w:hint="eastAsia"/>
                <w:lang w:eastAsia="ja-JP"/>
              </w:rPr>
              <w:t xml:space="preserve"> </w:t>
            </w:r>
            <w:r w:rsidRPr="001F0131">
              <w:rPr>
                <w:lang w:eastAsia="ja-JP"/>
              </w:rPr>
              <w:t>m</w:t>
            </w:r>
            <w:r w:rsidRPr="001F0131">
              <w:rPr>
                <w:rFonts w:hint="eastAsia"/>
                <w:lang w:eastAsia="ja-JP"/>
              </w:rPr>
              <w:t xml:space="preserve"> </w:t>
            </w:r>
            <w:r w:rsidRPr="001F0131">
              <w:rPr>
                <w:lang w:eastAsia="ja-JP"/>
              </w:rPr>
              <w:t>m (139)</w:t>
            </w:r>
          </w:p>
        </w:tc>
        <w:tc>
          <w:tcPr>
            <w:tcW w:w="580" w:type="pct"/>
          </w:tcPr>
          <w:p w14:paraId="7404178C"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p>
        </w:tc>
        <w:tc>
          <w:tcPr>
            <w:tcW w:w="541" w:type="pct"/>
          </w:tcPr>
          <w:p w14:paraId="5C085589"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46C65664"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7CD8585A"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DAD387E" w14:textId="77777777" w:rsidR="00F4685C" w:rsidRPr="001F0131" w:rsidRDefault="00F4685C" w:rsidP="00163044">
            <w:pPr>
              <w:pStyle w:val="TCTableBody"/>
              <w:rPr>
                <w:highlight w:val="yellow"/>
                <w:lang w:eastAsia="ja-JP"/>
              </w:rPr>
            </w:pPr>
            <w:bookmarkStart w:id="2" w:name="_Hlk171003845"/>
            <w:r w:rsidRPr="001F0131">
              <w:rPr>
                <w:rFonts w:hint="eastAsia"/>
                <w:lang w:eastAsia="ja-JP"/>
              </w:rPr>
              <w:t>R</w:t>
            </w:r>
            <w:r w:rsidRPr="001F0131">
              <w:rPr>
                <w:lang w:eastAsia="ja-JP"/>
              </w:rPr>
              <w:t>b</w:t>
            </w:r>
            <w:r w:rsidRPr="001F0131">
              <w:rPr>
                <w:vertAlign w:val="subscript"/>
                <w:lang w:eastAsia="ja-JP"/>
              </w:rPr>
              <w:t>3</w:t>
            </w:r>
            <w:r w:rsidRPr="001F0131">
              <w:rPr>
                <w:lang w:eastAsia="ja-JP"/>
              </w:rPr>
              <w:t>Ca</w:t>
            </w:r>
            <w:r w:rsidRPr="001F0131">
              <w:rPr>
                <w:vertAlign w:val="subscript"/>
                <w:lang w:eastAsia="ja-JP"/>
              </w:rPr>
              <w:t>2</w:t>
            </w:r>
            <w:r w:rsidRPr="001F0131">
              <w:rPr>
                <w:lang w:eastAsia="ja-JP"/>
              </w:rPr>
              <w:t>Cl</w:t>
            </w:r>
            <w:r w:rsidRPr="001F0131">
              <w:rPr>
                <w:vertAlign w:val="subscript"/>
                <w:lang w:eastAsia="ja-JP"/>
              </w:rPr>
              <w:t>7</w:t>
            </w:r>
            <w:bookmarkEnd w:id="2"/>
          </w:p>
        </w:tc>
        <w:tc>
          <w:tcPr>
            <w:tcW w:w="667" w:type="pct"/>
          </w:tcPr>
          <w:p w14:paraId="395D1E2E"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94</w:t>
            </w:r>
          </w:p>
        </w:tc>
        <w:tc>
          <w:tcPr>
            <w:tcW w:w="671" w:type="pct"/>
          </w:tcPr>
          <w:p w14:paraId="445B8D79" w14:textId="3F099FE0" w:rsidR="00F4685C" w:rsidRPr="001F0131" w:rsidRDefault="006E49CB"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72</w:t>
            </w:r>
          </w:p>
        </w:tc>
        <w:tc>
          <w:tcPr>
            <w:tcW w:w="748" w:type="pct"/>
          </w:tcPr>
          <w:p w14:paraId="074F2EBB"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I </w:t>
            </w:r>
            <w:r w:rsidRPr="001F0131">
              <w:rPr>
                <w:lang w:eastAsia="ja-JP"/>
              </w:rPr>
              <w:t>4/m</w:t>
            </w:r>
            <w:r w:rsidRPr="001F0131">
              <w:rPr>
                <w:rFonts w:hint="eastAsia"/>
                <w:lang w:eastAsia="ja-JP"/>
              </w:rPr>
              <w:t xml:space="preserve"> </w:t>
            </w:r>
            <w:r w:rsidRPr="001F0131">
              <w:rPr>
                <w:lang w:eastAsia="ja-JP"/>
              </w:rPr>
              <w:t>m</w:t>
            </w:r>
            <w:r w:rsidRPr="001F0131">
              <w:rPr>
                <w:rFonts w:hint="eastAsia"/>
                <w:lang w:eastAsia="ja-JP"/>
              </w:rPr>
              <w:t xml:space="preserve"> </w:t>
            </w:r>
            <w:r w:rsidRPr="001F0131">
              <w:rPr>
                <w:lang w:eastAsia="ja-JP"/>
              </w:rPr>
              <w:t>m (139)</w:t>
            </w:r>
          </w:p>
        </w:tc>
        <w:tc>
          <w:tcPr>
            <w:tcW w:w="580" w:type="pct"/>
          </w:tcPr>
          <w:p w14:paraId="03C07243"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highlight w:val="yellow"/>
                <w:lang w:eastAsia="ja-JP"/>
              </w:rPr>
            </w:pPr>
            <w:r w:rsidRPr="001F0131">
              <w:rPr>
                <w:rFonts w:hint="eastAsia"/>
                <w:lang w:eastAsia="ja-JP"/>
              </w:rPr>
              <w:t>E</w:t>
            </w:r>
            <w:r w:rsidRPr="001F0131">
              <w:rPr>
                <w:lang w:eastAsia="ja-JP"/>
              </w:rPr>
              <w:t>u</w:t>
            </w:r>
            <w:r w:rsidRPr="001F0131">
              <w:rPr>
                <w:vertAlign w:val="superscript"/>
                <w:lang w:eastAsia="ja-JP"/>
              </w:rPr>
              <w:t>2+</w:t>
            </w:r>
          </w:p>
        </w:tc>
        <w:tc>
          <w:tcPr>
            <w:tcW w:w="541" w:type="pct"/>
          </w:tcPr>
          <w:p w14:paraId="08EC1BE8"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440</w:t>
            </w:r>
          </w:p>
        </w:tc>
        <w:tc>
          <w:tcPr>
            <w:tcW w:w="542" w:type="pct"/>
          </w:tcPr>
          <w:p w14:paraId="64F74329"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352</w:t>
            </w:r>
          </w:p>
        </w:tc>
      </w:tr>
      <w:tr w:rsidR="001F0131" w:rsidRPr="001F0131" w14:paraId="5C937ABC"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12C27A72" w14:textId="77777777" w:rsidR="00F4685C" w:rsidRPr="001F0131" w:rsidRDefault="00F4685C" w:rsidP="00163044">
            <w:pPr>
              <w:pStyle w:val="TCTableBody"/>
              <w:rPr>
                <w:lang w:eastAsia="ja-JP"/>
              </w:rPr>
            </w:pPr>
            <w:r w:rsidRPr="001F0131">
              <w:rPr>
                <w:rFonts w:hint="eastAsia"/>
                <w:lang w:eastAsia="ja-JP"/>
              </w:rPr>
              <w:t>R</w:t>
            </w:r>
            <w:r w:rsidRPr="001F0131">
              <w:rPr>
                <w:lang w:eastAsia="ja-JP"/>
              </w:rPr>
              <w:t>bSrCl</w:t>
            </w:r>
            <w:r w:rsidRPr="001F0131">
              <w:rPr>
                <w:vertAlign w:val="subscript"/>
                <w:lang w:eastAsia="ja-JP"/>
              </w:rPr>
              <w:t>3</w:t>
            </w:r>
          </w:p>
        </w:tc>
        <w:tc>
          <w:tcPr>
            <w:tcW w:w="667" w:type="pct"/>
          </w:tcPr>
          <w:p w14:paraId="49E023BB"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91</w:t>
            </w:r>
          </w:p>
        </w:tc>
        <w:tc>
          <w:tcPr>
            <w:tcW w:w="671" w:type="pct"/>
          </w:tcPr>
          <w:p w14:paraId="36C79F3E" w14:textId="2E2FC69B" w:rsidR="00F4685C" w:rsidRPr="001F0131" w:rsidRDefault="00B1793F"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98</w:t>
            </w:r>
          </w:p>
        </w:tc>
        <w:tc>
          <w:tcPr>
            <w:tcW w:w="748" w:type="pct"/>
          </w:tcPr>
          <w:p w14:paraId="2334CCFD"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P</w:t>
            </w:r>
            <w:r w:rsidRPr="001F0131">
              <w:rPr>
                <w:rFonts w:hint="eastAsia"/>
                <w:lang w:eastAsia="ja-JP"/>
              </w:rPr>
              <w:t xml:space="preserve"> </w:t>
            </w:r>
            <w:r w:rsidRPr="001F0131">
              <w:rPr>
                <w:lang w:eastAsia="ja-JP"/>
              </w:rPr>
              <w:t>n</w:t>
            </w:r>
            <w:r w:rsidRPr="001F0131">
              <w:rPr>
                <w:rFonts w:hint="eastAsia"/>
                <w:lang w:eastAsia="ja-JP"/>
              </w:rPr>
              <w:t xml:space="preserve"> </w:t>
            </w:r>
            <w:r w:rsidRPr="001F0131">
              <w:rPr>
                <w:lang w:eastAsia="ja-JP"/>
              </w:rPr>
              <w:t>m</w:t>
            </w:r>
            <w:r w:rsidRPr="001F0131">
              <w:rPr>
                <w:rFonts w:hint="eastAsia"/>
                <w:lang w:eastAsia="ja-JP"/>
              </w:rPr>
              <w:t xml:space="preserve"> </w:t>
            </w:r>
            <w:r w:rsidRPr="001F0131">
              <w:rPr>
                <w:lang w:eastAsia="ja-JP"/>
              </w:rPr>
              <w:t>a (62)</w:t>
            </w:r>
          </w:p>
        </w:tc>
        <w:tc>
          <w:tcPr>
            <w:tcW w:w="580" w:type="pct"/>
          </w:tcPr>
          <w:p w14:paraId="3BA8D9FB"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E</w:t>
            </w:r>
            <w:r w:rsidRPr="001F0131">
              <w:rPr>
                <w:lang w:eastAsia="ja-JP"/>
              </w:rPr>
              <w:t>u</w:t>
            </w:r>
            <w:r w:rsidRPr="001F0131">
              <w:rPr>
                <w:vertAlign w:val="superscript"/>
                <w:lang w:eastAsia="ja-JP"/>
              </w:rPr>
              <w:t>2+</w:t>
            </w:r>
          </w:p>
        </w:tc>
        <w:tc>
          <w:tcPr>
            <w:tcW w:w="541" w:type="pct"/>
          </w:tcPr>
          <w:p w14:paraId="57BF4461"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426</w:t>
            </w:r>
          </w:p>
        </w:tc>
        <w:tc>
          <w:tcPr>
            <w:tcW w:w="542" w:type="pct"/>
          </w:tcPr>
          <w:p w14:paraId="5FAF210B"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343</w:t>
            </w:r>
          </w:p>
        </w:tc>
      </w:tr>
      <w:tr w:rsidR="001F0131" w:rsidRPr="001F0131" w14:paraId="41AA04F3"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0D8730A" w14:textId="77777777" w:rsidR="00F4685C" w:rsidRPr="001F0131" w:rsidRDefault="00F4685C" w:rsidP="00163044">
            <w:pPr>
              <w:pStyle w:val="TCTableBody"/>
              <w:rPr>
                <w:highlight w:val="yellow"/>
                <w:lang w:eastAsia="ja-JP"/>
              </w:rPr>
            </w:pPr>
            <w:r w:rsidRPr="001F0131">
              <w:rPr>
                <w:rFonts w:hint="eastAsia"/>
                <w:lang w:eastAsia="ja-JP"/>
              </w:rPr>
              <w:t>B</w:t>
            </w:r>
            <w:r w:rsidRPr="001F0131">
              <w:rPr>
                <w:lang w:eastAsia="ja-JP"/>
              </w:rPr>
              <w:t>romide</w:t>
            </w:r>
          </w:p>
        </w:tc>
        <w:tc>
          <w:tcPr>
            <w:tcW w:w="667" w:type="pct"/>
          </w:tcPr>
          <w:p w14:paraId="2AC1F9F6"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highlight w:val="yellow"/>
                <w:lang w:eastAsia="ja-JP"/>
              </w:rPr>
            </w:pPr>
          </w:p>
        </w:tc>
        <w:tc>
          <w:tcPr>
            <w:tcW w:w="671" w:type="pct"/>
          </w:tcPr>
          <w:p w14:paraId="6E9F161A"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748" w:type="pct"/>
          </w:tcPr>
          <w:p w14:paraId="681FC513"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80" w:type="pct"/>
          </w:tcPr>
          <w:p w14:paraId="25D85DD1"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highlight w:val="yellow"/>
                <w:lang w:eastAsia="ja-JP"/>
              </w:rPr>
            </w:pPr>
          </w:p>
        </w:tc>
        <w:tc>
          <w:tcPr>
            <w:tcW w:w="541" w:type="pct"/>
          </w:tcPr>
          <w:p w14:paraId="7893F4B0"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5F1EF501"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62A34473"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328CB319" w14:textId="77777777" w:rsidR="00F4685C" w:rsidRPr="001F0131" w:rsidRDefault="00F4685C" w:rsidP="00163044">
            <w:pPr>
              <w:pStyle w:val="TCTableBody"/>
              <w:rPr>
                <w:highlight w:val="yellow"/>
                <w:lang w:eastAsia="ja-JP"/>
              </w:rPr>
            </w:pPr>
            <w:r w:rsidRPr="001F0131">
              <w:rPr>
                <w:rFonts w:hint="eastAsia"/>
                <w:lang w:eastAsia="ja-JP"/>
              </w:rPr>
              <w:t>N</w:t>
            </w:r>
            <w:r w:rsidRPr="001F0131">
              <w:rPr>
                <w:lang w:eastAsia="ja-JP"/>
              </w:rPr>
              <w:t>aCaBr</w:t>
            </w:r>
            <w:r w:rsidRPr="001F0131">
              <w:rPr>
                <w:vertAlign w:val="subscript"/>
                <w:lang w:eastAsia="ja-JP"/>
              </w:rPr>
              <w:t>3</w:t>
            </w:r>
          </w:p>
        </w:tc>
        <w:tc>
          <w:tcPr>
            <w:tcW w:w="667" w:type="pct"/>
          </w:tcPr>
          <w:p w14:paraId="5ABF913C"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1</w:t>
            </w:r>
            <w:r w:rsidRPr="001F0131">
              <w:rPr>
                <w:lang w:eastAsia="ja-JP"/>
              </w:rPr>
              <w:t>00</w:t>
            </w:r>
          </w:p>
        </w:tc>
        <w:tc>
          <w:tcPr>
            <w:tcW w:w="671" w:type="pct"/>
          </w:tcPr>
          <w:p w14:paraId="02338BC2"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1</w:t>
            </w:r>
            <w:r w:rsidRPr="001F0131">
              <w:rPr>
                <w:lang w:eastAsia="ja-JP"/>
              </w:rPr>
              <w:t>6</w:t>
            </w:r>
          </w:p>
        </w:tc>
        <w:tc>
          <w:tcPr>
            <w:tcW w:w="748" w:type="pct"/>
          </w:tcPr>
          <w:p w14:paraId="0E85469B"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R -3 (148)</w:t>
            </w:r>
          </w:p>
        </w:tc>
        <w:tc>
          <w:tcPr>
            <w:tcW w:w="580" w:type="pct"/>
          </w:tcPr>
          <w:p w14:paraId="29F25379"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p>
        </w:tc>
        <w:tc>
          <w:tcPr>
            <w:tcW w:w="541" w:type="pct"/>
          </w:tcPr>
          <w:p w14:paraId="5079050D"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4DC39120"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0CD93B76"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C85E916" w14:textId="77777777" w:rsidR="00F4685C" w:rsidRPr="001F0131" w:rsidRDefault="00F4685C" w:rsidP="00163044">
            <w:pPr>
              <w:pStyle w:val="TCTableBody"/>
              <w:rPr>
                <w:lang w:eastAsia="ja-JP"/>
              </w:rPr>
            </w:pPr>
            <w:r w:rsidRPr="001F0131">
              <w:rPr>
                <w:rFonts w:hint="eastAsia"/>
                <w:lang w:eastAsia="ja-JP"/>
              </w:rPr>
              <w:t>N</w:t>
            </w:r>
            <w:r w:rsidRPr="001F0131">
              <w:rPr>
                <w:lang w:eastAsia="ja-JP"/>
              </w:rPr>
              <w:t>a</w:t>
            </w:r>
            <w:r w:rsidRPr="001F0131">
              <w:rPr>
                <w:vertAlign w:val="subscript"/>
                <w:lang w:eastAsia="ja-JP"/>
              </w:rPr>
              <w:t>6</w:t>
            </w:r>
            <w:r w:rsidRPr="001F0131">
              <w:rPr>
                <w:lang w:eastAsia="ja-JP"/>
              </w:rPr>
              <w:t>CaBr</w:t>
            </w:r>
            <w:r w:rsidRPr="001F0131">
              <w:rPr>
                <w:vertAlign w:val="subscript"/>
                <w:lang w:eastAsia="ja-JP"/>
              </w:rPr>
              <w:t>8</w:t>
            </w:r>
          </w:p>
        </w:tc>
        <w:tc>
          <w:tcPr>
            <w:tcW w:w="667" w:type="pct"/>
          </w:tcPr>
          <w:p w14:paraId="284BCDC1"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100</w:t>
            </w:r>
          </w:p>
        </w:tc>
        <w:tc>
          <w:tcPr>
            <w:tcW w:w="671" w:type="pct"/>
          </w:tcPr>
          <w:p w14:paraId="7F213A01"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0</w:t>
            </w:r>
          </w:p>
        </w:tc>
        <w:tc>
          <w:tcPr>
            <w:tcW w:w="748" w:type="pct"/>
          </w:tcPr>
          <w:p w14:paraId="38BB30D9"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80" w:type="pct"/>
          </w:tcPr>
          <w:p w14:paraId="004DD1AC"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41" w:type="pct"/>
          </w:tcPr>
          <w:p w14:paraId="447168FC"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4DD5598C"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7EA99B73"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04CACB0E" w14:textId="77777777" w:rsidR="00F4685C" w:rsidRPr="001F0131" w:rsidRDefault="00F4685C" w:rsidP="00163044">
            <w:pPr>
              <w:pStyle w:val="TCTableBody"/>
              <w:rPr>
                <w:highlight w:val="yellow"/>
                <w:lang w:eastAsia="ja-JP"/>
              </w:rPr>
            </w:pPr>
            <w:r w:rsidRPr="001F0131">
              <w:rPr>
                <w:rFonts w:hint="eastAsia"/>
                <w:lang w:eastAsia="ja-JP"/>
              </w:rPr>
              <w:t>C</w:t>
            </w:r>
            <w:r w:rsidRPr="001F0131">
              <w:rPr>
                <w:lang w:eastAsia="ja-JP"/>
              </w:rPr>
              <w:t>s</w:t>
            </w:r>
            <w:r w:rsidRPr="001F0131">
              <w:rPr>
                <w:vertAlign w:val="subscript"/>
                <w:lang w:eastAsia="ja-JP"/>
              </w:rPr>
              <w:t>2</w:t>
            </w:r>
            <w:r w:rsidRPr="001F0131">
              <w:rPr>
                <w:lang w:eastAsia="ja-JP"/>
              </w:rPr>
              <w:t>CaBr</w:t>
            </w:r>
            <w:r w:rsidRPr="001F0131">
              <w:rPr>
                <w:vertAlign w:val="subscript"/>
                <w:lang w:eastAsia="ja-JP"/>
              </w:rPr>
              <w:t>4</w:t>
            </w:r>
          </w:p>
        </w:tc>
        <w:tc>
          <w:tcPr>
            <w:tcW w:w="667" w:type="pct"/>
          </w:tcPr>
          <w:p w14:paraId="72DC7980"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100</w:t>
            </w:r>
          </w:p>
        </w:tc>
        <w:tc>
          <w:tcPr>
            <w:tcW w:w="671" w:type="pct"/>
          </w:tcPr>
          <w:p w14:paraId="0F2E2428"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9</w:t>
            </w:r>
            <w:r w:rsidRPr="001F0131">
              <w:rPr>
                <w:lang w:eastAsia="ja-JP"/>
              </w:rPr>
              <w:t>1</w:t>
            </w:r>
          </w:p>
        </w:tc>
        <w:tc>
          <w:tcPr>
            <w:tcW w:w="748" w:type="pct"/>
          </w:tcPr>
          <w:p w14:paraId="782DC15C"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I </w:t>
            </w:r>
            <w:r w:rsidRPr="001F0131">
              <w:rPr>
                <w:lang w:eastAsia="ja-JP"/>
              </w:rPr>
              <w:t>4/m</w:t>
            </w:r>
            <w:r w:rsidRPr="001F0131">
              <w:rPr>
                <w:rFonts w:hint="eastAsia"/>
                <w:lang w:eastAsia="ja-JP"/>
              </w:rPr>
              <w:t xml:space="preserve"> </w:t>
            </w:r>
            <w:r w:rsidRPr="001F0131">
              <w:rPr>
                <w:lang w:eastAsia="ja-JP"/>
              </w:rPr>
              <w:t>m</w:t>
            </w:r>
            <w:r w:rsidRPr="001F0131">
              <w:rPr>
                <w:rFonts w:hint="eastAsia"/>
                <w:lang w:eastAsia="ja-JP"/>
              </w:rPr>
              <w:t xml:space="preserve"> </w:t>
            </w:r>
            <w:r w:rsidRPr="001F0131">
              <w:rPr>
                <w:lang w:eastAsia="ja-JP"/>
              </w:rPr>
              <w:t>m (139)</w:t>
            </w:r>
          </w:p>
        </w:tc>
        <w:tc>
          <w:tcPr>
            <w:tcW w:w="580" w:type="pct"/>
          </w:tcPr>
          <w:p w14:paraId="0E5FD46C"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E</w:t>
            </w:r>
            <w:r w:rsidRPr="001F0131">
              <w:rPr>
                <w:lang w:eastAsia="ja-JP"/>
              </w:rPr>
              <w:t>u</w:t>
            </w:r>
            <w:r w:rsidRPr="001F0131">
              <w:rPr>
                <w:vertAlign w:val="superscript"/>
                <w:lang w:eastAsia="ja-JP"/>
              </w:rPr>
              <w:t>2+</w:t>
            </w:r>
          </w:p>
        </w:tc>
        <w:tc>
          <w:tcPr>
            <w:tcW w:w="541" w:type="pct"/>
          </w:tcPr>
          <w:p w14:paraId="0D64D93A"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450</w:t>
            </w:r>
          </w:p>
        </w:tc>
        <w:tc>
          <w:tcPr>
            <w:tcW w:w="542" w:type="pct"/>
          </w:tcPr>
          <w:p w14:paraId="70EE3D11"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356</w:t>
            </w:r>
          </w:p>
        </w:tc>
      </w:tr>
      <w:tr w:rsidR="001F0131" w:rsidRPr="001F0131" w14:paraId="6E1E8574"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BBD88BB" w14:textId="77777777" w:rsidR="00F4685C" w:rsidRPr="001F0131" w:rsidRDefault="00F4685C" w:rsidP="00163044">
            <w:pPr>
              <w:pStyle w:val="TCTableBody"/>
              <w:rPr>
                <w:highlight w:val="yellow"/>
                <w:lang w:eastAsia="ja-JP"/>
              </w:rPr>
            </w:pPr>
            <w:r w:rsidRPr="001F0131">
              <w:rPr>
                <w:rFonts w:hint="eastAsia"/>
                <w:lang w:eastAsia="ja-JP"/>
              </w:rPr>
              <w:t>R</w:t>
            </w:r>
            <w:r w:rsidRPr="001F0131">
              <w:rPr>
                <w:lang w:eastAsia="ja-JP"/>
              </w:rPr>
              <w:t>b</w:t>
            </w:r>
            <w:r w:rsidRPr="001F0131">
              <w:rPr>
                <w:vertAlign w:val="subscript"/>
                <w:lang w:eastAsia="ja-JP"/>
              </w:rPr>
              <w:t>4</w:t>
            </w:r>
            <w:r w:rsidRPr="001F0131">
              <w:rPr>
                <w:lang w:eastAsia="ja-JP"/>
              </w:rPr>
              <w:t>CaBr</w:t>
            </w:r>
            <w:r w:rsidRPr="001F0131">
              <w:rPr>
                <w:vertAlign w:val="subscript"/>
                <w:lang w:eastAsia="ja-JP"/>
              </w:rPr>
              <w:t>6</w:t>
            </w:r>
          </w:p>
        </w:tc>
        <w:tc>
          <w:tcPr>
            <w:tcW w:w="667" w:type="pct"/>
          </w:tcPr>
          <w:p w14:paraId="413354CF"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99</w:t>
            </w:r>
          </w:p>
        </w:tc>
        <w:tc>
          <w:tcPr>
            <w:tcW w:w="671" w:type="pct"/>
          </w:tcPr>
          <w:p w14:paraId="69497219"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8</w:t>
            </w:r>
            <w:r w:rsidRPr="001F0131">
              <w:rPr>
                <w:lang w:eastAsia="ja-JP"/>
              </w:rPr>
              <w:t>5</w:t>
            </w:r>
          </w:p>
        </w:tc>
        <w:tc>
          <w:tcPr>
            <w:tcW w:w="748" w:type="pct"/>
          </w:tcPr>
          <w:p w14:paraId="41AB0E4F"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R </w:t>
            </w:r>
            <w:r w:rsidRPr="001F0131">
              <w:rPr>
                <w:lang w:eastAsia="ja-JP"/>
              </w:rPr>
              <w:t>-3</w:t>
            </w:r>
            <w:r w:rsidRPr="001F0131">
              <w:rPr>
                <w:rFonts w:hint="eastAsia"/>
                <w:lang w:eastAsia="ja-JP"/>
              </w:rPr>
              <w:t xml:space="preserve"> </w:t>
            </w:r>
            <w:r w:rsidRPr="001F0131">
              <w:rPr>
                <w:lang w:eastAsia="ja-JP"/>
              </w:rPr>
              <w:t>c (167)</w:t>
            </w:r>
          </w:p>
        </w:tc>
        <w:tc>
          <w:tcPr>
            <w:tcW w:w="580" w:type="pct"/>
          </w:tcPr>
          <w:p w14:paraId="5A50D5BF"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highlight w:val="yellow"/>
                <w:lang w:eastAsia="ja-JP"/>
              </w:rPr>
            </w:pPr>
            <w:r w:rsidRPr="001F0131">
              <w:rPr>
                <w:rFonts w:hint="eastAsia"/>
                <w:lang w:eastAsia="ja-JP"/>
              </w:rPr>
              <w:t>E</w:t>
            </w:r>
            <w:r w:rsidRPr="001F0131">
              <w:rPr>
                <w:lang w:eastAsia="ja-JP"/>
              </w:rPr>
              <w:t>u</w:t>
            </w:r>
            <w:r w:rsidRPr="001F0131">
              <w:rPr>
                <w:vertAlign w:val="superscript"/>
                <w:lang w:eastAsia="ja-JP"/>
              </w:rPr>
              <w:t>2+</w:t>
            </w:r>
          </w:p>
        </w:tc>
        <w:tc>
          <w:tcPr>
            <w:tcW w:w="541" w:type="pct"/>
          </w:tcPr>
          <w:p w14:paraId="6A24F38D"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451</w:t>
            </w:r>
          </w:p>
        </w:tc>
        <w:tc>
          <w:tcPr>
            <w:tcW w:w="542" w:type="pct"/>
          </w:tcPr>
          <w:p w14:paraId="26A04908"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363</w:t>
            </w:r>
          </w:p>
        </w:tc>
      </w:tr>
      <w:tr w:rsidR="001F0131" w:rsidRPr="001F0131" w14:paraId="214DBEE2"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23F2B345" w14:textId="77777777" w:rsidR="00F4685C" w:rsidRPr="001F0131" w:rsidRDefault="00F4685C" w:rsidP="00163044">
            <w:pPr>
              <w:pStyle w:val="TCTableBody"/>
              <w:rPr>
                <w:highlight w:val="yellow"/>
                <w:lang w:eastAsia="ja-JP"/>
              </w:rPr>
            </w:pPr>
            <w:r w:rsidRPr="001F0131">
              <w:rPr>
                <w:rFonts w:hint="eastAsia"/>
                <w:lang w:eastAsia="ja-JP"/>
              </w:rPr>
              <w:t>S</w:t>
            </w:r>
            <w:r w:rsidRPr="001F0131">
              <w:rPr>
                <w:lang w:eastAsia="ja-JP"/>
              </w:rPr>
              <w:t>ulfide</w:t>
            </w:r>
          </w:p>
        </w:tc>
        <w:tc>
          <w:tcPr>
            <w:tcW w:w="667" w:type="pct"/>
          </w:tcPr>
          <w:p w14:paraId="30D428EC"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highlight w:val="yellow"/>
                <w:lang w:eastAsia="ja-JP"/>
              </w:rPr>
            </w:pPr>
          </w:p>
        </w:tc>
        <w:tc>
          <w:tcPr>
            <w:tcW w:w="671" w:type="pct"/>
          </w:tcPr>
          <w:p w14:paraId="5632AAD1"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748" w:type="pct"/>
          </w:tcPr>
          <w:p w14:paraId="70CFFFE5"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p>
        </w:tc>
        <w:tc>
          <w:tcPr>
            <w:tcW w:w="580" w:type="pct"/>
          </w:tcPr>
          <w:p w14:paraId="7698EA93"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highlight w:val="yellow"/>
                <w:lang w:eastAsia="ja-JP"/>
              </w:rPr>
            </w:pPr>
          </w:p>
        </w:tc>
        <w:tc>
          <w:tcPr>
            <w:tcW w:w="541" w:type="pct"/>
          </w:tcPr>
          <w:p w14:paraId="636C094E"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42ADD193"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3927C4DD"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EA0ACB5" w14:textId="77777777" w:rsidR="00F4685C" w:rsidRPr="001F0131" w:rsidRDefault="00F4685C" w:rsidP="00163044">
            <w:pPr>
              <w:pStyle w:val="TCTableBody"/>
              <w:rPr>
                <w:lang w:eastAsia="ja-JP"/>
              </w:rPr>
            </w:pPr>
            <w:r w:rsidRPr="001F0131">
              <w:rPr>
                <w:rFonts w:hint="eastAsia"/>
                <w:lang w:eastAsia="ja-JP"/>
              </w:rPr>
              <w:lastRenderedPageBreak/>
              <w:t>S</w:t>
            </w:r>
            <w:r w:rsidRPr="001F0131">
              <w:rPr>
                <w:lang w:eastAsia="ja-JP"/>
              </w:rPr>
              <w:t>rB</w:t>
            </w:r>
            <w:r w:rsidRPr="001F0131">
              <w:rPr>
                <w:vertAlign w:val="subscript"/>
                <w:lang w:eastAsia="ja-JP"/>
              </w:rPr>
              <w:t>2</w:t>
            </w:r>
            <w:r w:rsidRPr="001F0131">
              <w:rPr>
                <w:lang w:eastAsia="ja-JP"/>
              </w:rPr>
              <w:t>S</w:t>
            </w:r>
            <w:r w:rsidRPr="001F0131">
              <w:rPr>
                <w:vertAlign w:val="subscript"/>
                <w:lang w:eastAsia="ja-JP"/>
              </w:rPr>
              <w:t>4</w:t>
            </w:r>
          </w:p>
        </w:tc>
        <w:tc>
          <w:tcPr>
            <w:tcW w:w="667" w:type="pct"/>
          </w:tcPr>
          <w:p w14:paraId="350E75F8"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9</w:t>
            </w:r>
            <w:r w:rsidRPr="001F0131">
              <w:rPr>
                <w:lang w:eastAsia="ja-JP"/>
              </w:rPr>
              <w:t>9</w:t>
            </w:r>
          </w:p>
        </w:tc>
        <w:tc>
          <w:tcPr>
            <w:tcW w:w="671" w:type="pct"/>
          </w:tcPr>
          <w:p w14:paraId="06D0793F"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5</w:t>
            </w:r>
            <w:r w:rsidRPr="001F0131">
              <w:rPr>
                <w:lang w:eastAsia="ja-JP"/>
              </w:rPr>
              <w:t>1</w:t>
            </w:r>
          </w:p>
        </w:tc>
        <w:tc>
          <w:tcPr>
            <w:tcW w:w="748" w:type="pct"/>
          </w:tcPr>
          <w:p w14:paraId="06C82AAD"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R -3 (148)</w:t>
            </w:r>
          </w:p>
        </w:tc>
        <w:tc>
          <w:tcPr>
            <w:tcW w:w="580" w:type="pct"/>
          </w:tcPr>
          <w:p w14:paraId="4819D895"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41" w:type="pct"/>
          </w:tcPr>
          <w:p w14:paraId="2296ACA3"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0969C142"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06B01754"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45B81B7D" w14:textId="77777777" w:rsidR="00F4685C" w:rsidRPr="001F0131" w:rsidRDefault="00F4685C" w:rsidP="00163044">
            <w:pPr>
              <w:pStyle w:val="TCTableBody"/>
              <w:rPr>
                <w:lang w:eastAsia="ja-JP"/>
              </w:rPr>
            </w:pPr>
            <w:r w:rsidRPr="001F0131">
              <w:rPr>
                <w:rFonts w:hint="eastAsia"/>
                <w:lang w:eastAsia="ja-JP"/>
              </w:rPr>
              <w:t>B</w:t>
            </w:r>
            <w:r w:rsidRPr="001F0131">
              <w:rPr>
                <w:lang w:eastAsia="ja-JP"/>
              </w:rPr>
              <w:t>aB</w:t>
            </w:r>
            <w:r w:rsidRPr="001F0131">
              <w:rPr>
                <w:vertAlign w:val="subscript"/>
                <w:lang w:eastAsia="ja-JP"/>
              </w:rPr>
              <w:t>2</w:t>
            </w:r>
            <w:r w:rsidRPr="001F0131">
              <w:rPr>
                <w:lang w:eastAsia="ja-JP"/>
              </w:rPr>
              <w:t>S</w:t>
            </w:r>
            <w:r w:rsidRPr="001F0131">
              <w:rPr>
                <w:vertAlign w:val="subscript"/>
                <w:lang w:eastAsia="ja-JP"/>
              </w:rPr>
              <w:t>4</w:t>
            </w:r>
          </w:p>
        </w:tc>
        <w:tc>
          <w:tcPr>
            <w:tcW w:w="667" w:type="pct"/>
          </w:tcPr>
          <w:p w14:paraId="43037602"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9</w:t>
            </w:r>
            <w:r w:rsidRPr="001F0131">
              <w:rPr>
                <w:lang w:eastAsia="ja-JP"/>
              </w:rPr>
              <w:t>9</w:t>
            </w:r>
          </w:p>
        </w:tc>
        <w:tc>
          <w:tcPr>
            <w:tcW w:w="671" w:type="pct"/>
          </w:tcPr>
          <w:p w14:paraId="76D2FE45"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8</w:t>
            </w:r>
            <w:r w:rsidRPr="001F0131">
              <w:rPr>
                <w:lang w:eastAsia="ja-JP"/>
              </w:rPr>
              <w:t>7</w:t>
            </w:r>
          </w:p>
        </w:tc>
        <w:tc>
          <w:tcPr>
            <w:tcW w:w="748" w:type="pct"/>
          </w:tcPr>
          <w:p w14:paraId="17718B37"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C </w:t>
            </w:r>
            <w:r w:rsidRPr="001F0131">
              <w:rPr>
                <w:lang w:eastAsia="ja-JP"/>
              </w:rPr>
              <w:t>c (9)</w:t>
            </w:r>
          </w:p>
        </w:tc>
        <w:tc>
          <w:tcPr>
            <w:tcW w:w="580" w:type="pct"/>
          </w:tcPr>
          <w:p w14:paraId="79F6710D"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E</w:t>
            </w:r>
            <w:r w:rsidRPr="001F0131">
              <w:rPr>
                <w:lang w:eastAsia="ja-JP"/>
              </w:rPr>
              <w:t>u</w:t>
            </w:r>
            <w:r w:rsidRPr="001F0131">
              <w:rPr>
                <w:vertAlign w:val="superscript"/>
                <w:lang w:eastAsia="ja-JP"/>
              </w:rPr>
              <w:t>2+</w:t>
            </w:r>
          </w:p>
        </w:tc>
        <w:tc>
          <w:tcPr>
            <w:tcW w:w="541" w:type="pct"/>
          </w:tcPr>
          <w:p w14:paraId="7E5C0923"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623</w:t>
            </w:r>
          </w:p>
        </w:tc>
        <w:tc>
          <w:tcPr>
            <w:tcW w:w="542" w:type="pct"/>
          </w:tcPr>
          <w:p w14:paraId="2BD78904"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321</w:t>
            </w:r>
          </w:p>
        </w:tc>
      </w:tr>
      <w:tr w:rsidR="001F0131" w:rsidRPr="001F0131" w14:paraId="19C57C8D"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C7B9FD3" w14:textId="77777777" w:rsidR="00F4685C" w:rsidRPr="001F0131" w:rsidRDefault="00F4685C" w:rsidP="00163044">
            <w:pPr>
              <w:pStyle w:val="TCTableBody"/>
              <w:rPr>
                <w:lang w:eastAsia="ja-JP"/>
              </w:rPr>
            </w:pPr>
            <w:r w:rsidRPr="001F0131">
              <w:rPr>
                <w:rFonts w:hint="eastAsia"/>
                <w:lang w:eastAsia="ja-JP"/>
              </w:rPr>
              <w:t>L</w:t>
            </w:r>
            <w:r w:rsidRPr="001F0131">
              <w:rPr>
                <w:lang w:eastAsia="ja-JP"/>
              </w:rPr>
              <w:t>iSrB</w:t>
            </w:r>
            <w:r w:rsidRPr="001F0131">
              <w:rPr>
                <w:vertAlign w:val="subscript"/>
                <w:lang w:eastAsia="ja-JP"/>
              </w:rPr>
              <w:t>3</w:t>
            </w:r>
            <w:r w:rsidRPr="001F0131">
              <w:rPr>
                <w:lang w:eastAsia="ja-JP"/>
              </w:rPr>
              <w:t>S</w:t>
            </w:r>
            <w:r w:rsidRPr="001F0131">
              <w:rPr>
                <w:vertAlign w:val="subscript"/>
                <w:lang w:eastAsia="ja-JP"/>
              </w:rPr>
              <w:t>6</w:t>
            </w:r>
          </w:p>
        </w:tc>
        <w:tc>
          <w:tcPr>
            <w:tcW w:w="667" w:type="pct"/>
          </w:tcPr>
          <w:p w14:paraId="1DAF1EDF"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9</w:t>
            </w:r>
            <w:r w:rsidRPr="001F0131">
              <w:rPr>
                <w:lang w:eastAsia="ja-JP"/>
              </w:rPr>
              <w:t>9</w:t>
            </w:r>
          </w:p>
        </w:tc>
        <w:tc>
          <w:tcPr>
            <w:tcW w:w="671" w:type="pct"/>
          </w:tcPr>
          <w:p w14:paraId="624013D9"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8</w:t>
            </w:r>
            <w:r w:rsidRPr="001F0131">
              <w:rPr>
                <w:lang w:eastAsia="ja-JP"/>
              </w:rPr>
              <w:t>9</w:t>
            </w:r>
          </w:p>
        </w:tc>
        <w:tc>
          <w:tcPr>
            <w:tcW w:w="748" w:type="pct"/>
          </w:tcPr>
          <w:p w14:paraId="4F464692"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C </w:t>
            </w:r>
            <w:r w:rsidRPr="001F0131">
              <w:rPr>
                <w:lang w:eastAsia="ja-JP"/>
              </w:rPr>
              <w:t>c (9)</w:t>
            </w:r>
          </w:p>
        </w:tc>
        <w:tc>
          <w:tcPr>
            <w:tcW w:w="580" w:type="pct"/>
          </w:tcPr>
          <w:p w14:paraId="560E279A"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highlight w:val="yellow"/>
                <w:lang w:eastAsia="ja-JP"/>
              </w:rPr>
            </w:pPr>
            <w:r w:rsidRPr="001F0131">
              <w:rPr>
                <w:lang w:eastAsia="ja-JP"/>
              </w:rPr>
              <w:t>No</w:t>
            </w:r>
          </w:p>
        </w:tc>
        <w:tc>
          <w:tcPr>
            <w:tcW w:w="541" w:type="pct"/>
          </w:tcPr>
          <w:p w14:paraId="7812339B"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6D52BA64"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4CCC6566"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4847E831" w14:textId="77777777" w:rsidR="00F4685C" w:rsidRPr="001F0131" w:rsidRDefault="00F4685C" w:rsidP="00163044">
            <w:pPr>
              <w:pStyle w:val="TCTableBody"/>
              <w:rPr>
                <w:lang w:eastAsia="ja-JP"/>
              </w:rPr>
            </w:pPr>
            <w:r w:rsidRPr="001F0131">
              <w:rPr>
                <w:rFonts w:hint="eastAsia"/>
                <w:lang w:eastAsia="ja-JP"/>
              </w:rPr>
              <w:t>L</w:t>
            </w:r>
            <w:r w:rsidRPr="001F0131">
              <w:rPr>
                <w:lang w:eastAsia="ja-JP"/>
              </w:rPr>
              <w:t>iBaB</w:t>
            </w:r>
            <w:r w:rsidRPr="001F0131">
              <w:rPr>
                <w:vertAlign w:val="subscript"/>
                <w:lang w:eastAsia="ja-JP"/>
              </w:rPr>
              <w:t>3</w:t>
            </w:r>
            <w:r w:rsidRPr="001F0131">
              <w:rPr>
                <w:lang w:eastAsia="ja-JP"/>
              </w:rPr>
              <w:t>S</w:t>
            </w:r>
            <w:r w:rsidRPr="001F0131">
              <w:rPr>
                <w:vertAlign w:val="subscript"/>
                <w:lang w:eastAsia="ja-JP"/>
              </w:rPr>
              <w:t>6</w:t>
            </w:r>
          </w:p>
        </w:tc>
        <w:tc>
          <w:tcPr>
            <w:tcW w:w="667" w:type="pct"/>
          </w:tcPr>
          <w:p w14:paraId="09A377C5"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9</w:t>
            </w:r>
            <w:r w:rsidRPr="001F0131">
              <w:rPr>
                <w:lang w:eastAsia="ja-JP"/>
              </w:rPr>
              <w:t>9</w:t>
            </w:r>
          </w:p>
        </w:tc>
        <w:tc>
          <w:tcPr>
            <w:tcW w:w="671" w:type="pct"/>
          </w:tcPr>
          <w:p w14:paraId="5F367D7B"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7</w:t>
            </w:r>
            <w:r w:rsidRPr="001F0131">
              <w:rPr>
                <w:lang w:eastAsia="ja-JP"/>
              </w:rPr>
              <w:t>6</w:t>
            </w:r>
          </w:p>
        </w:tc>
        <w:tc>
          <w:tcPr>
            <w:tcW w:w="748" w:type="pct"/>
          </w:tcPr>
          <w:p w14:paraId="4878CB5F"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C </w:t>
            </w:r>
            <w:r w:rsidRPr="001F0131">
              <w:rPr>
                <w:lang w:eastAsia="ja-JP"/>
              </w:rPr>
              <w:t>c (9)</w:t>
            </w:r>
          </w:p>
        </w:tc>
        <w:tc>
          <w:tcPr>
            <w:tcW w:w="580" w:type="pct"/>
          </w:tcPr>
          <w:p w14:paraId="5D1EE6BC"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No</w:t>
            </w:r>
          </w:p>
        </w:tc>
        <w:tc>
          <w:tcPr>
            <w:tcW w:w="541" w:type="pct"/>
          </w:tcPr>
          <w:p w14:paraId="0586915E"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1683792D"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2ECF68F7"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85AE0C8" w14:textId="77777777" w:rsidR="00F4685C" w:rsidRPr="001F0131" w:rsidRDefault="00F4685C" w:rsidP="00163044">
            <w:pPr>
              <w:pStyle w:val="TCTableBody"/>
              <w:rPr>
                <w:highlight w:val="yellow"/>
                <w:lang w:eastAsia="ja-JP"/>
              </w:rPr>
            </w:pPr>
            <w:r w:rsidRPr="001F0131">
              <w:rPr>
                <w:rFonts w:hint="eastAsia"/>
                <w:lang w:eastAsia="ja-JP"/>
              </w:rPr>
              <w:t>B</w:t>
            </w:r>
            <w:r w:rsidRPr="001F0131">
              <w:rPr>
                <w:lang w:eastAsia="ja-JP"/>
              </w:rPr>
              <w:t>aGe</w:t>
            </w:r>
            <w:r w:rsidRPr="001F0131">
              <w:rPr>
                <w:vertAlign w:val="subscript"/>
                <w:lang w:eastAsia="ja-JP"/>
              </w:rPr>
              <w:t>2</w:t>
            </w:r>
            <w:r w:rsidRPr="001F0131">
              <w:rPr>
                <w:lang w:eastAsia="ja-JP"/>
              </w:rPr>
              <w:t>S</w:t>
            </w:r>
            <w:r w:rsidRPr="001F0131">
              <w:rPr>
                <w:vertAlign w:val="subscript"/>
                <w:lang w:eastAsia="ja-JP"/>
              </w:rPr>
              <w:t>5</w:t>
            </w:r>
          </w:p>
        </w:tc>
        <w:tc>
          <w:tcPr>
            <w:tcW w:w="667" w:type="pct"/>
          </w:tcPr>
          <w:p w14:paraId="316E339F"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92</w:t>
            </w:r>
          </w:p>
        </w:tc>
        <w:tc>
          <w:tcPr>
            <w:tcW w:w="671" w:type="pct"/>
          </w:tcPr>
          <w:p w14:paraId="6BBF21DE"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8</w:t>
            </w:r>
            <w:r w:rsidRPr="001F0131">
              <w:rPr>
                <w:lang w:eastAsia="ja-JP"/>
              </w:rPr>
              <w:t>4</w:t>
            </w:r>
          </w:p>
        </w:tc>
        <w:tc>
          <w:tcPr>
            <w:tcW w:w="748" w:type="pct"/>
          </w:tcPr>
          <w:p w14:paraId="1E8329F3"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F </w:t>
            </w:r>
            <w:r w:rsidRPr="001F0131">
              <w:rPr>
                <w:lang w:eastAsia="ja-JP"/>
              </w:rPr>
              <w:t>d</w:t>
            </w:r>
            <w:r w:rsidRPr="001F0131">
              <w:rPr>
                <w:rFonts w:hint="eastAsia"/>
                <w:lang w:eastAsia="ja-JP"/>
              </w:rPr>
              <w:t xml:space="preserve"> </w:t>
            </w:r>
            <w:r w:rsidRPr="001F0131">
              <w:rPr>
                <w:lang w:eastAsia="ja-JP"/>
              </w:rPr>
              <w:t>-3</w:t>
            </w:r>
            <w:r w:rsidRPr="001F0131">
              <w:rPr>
                <w:rFonts w:hint="eastAsia"/>
                <w:lang w:eastAsia="ja-JP"/>
              </w:rPr>
              <w:t xml:space="preserve"> </w:t>
            </w:r>
            <w:r w:rsidRPr="001F0131">
              <w:rPr>
                <w:lang w:eastAsia="ja-JP"/>
              </w:rPr>
              <w:t>m (227)</w:t>
            </w:r>
          </w:p>
        </w:tc>
        <w:tc>
          <w:tcPr>
            <w:tcW w:w="580" w:type="pct"/>
          </w:tcPr>
          <w:p w14:paraId="28ED2320"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highlight w:val="yellow"/>
                <w:lang w:eastAsia="ja-JP"/>
              </w:rPr>
            </w:pPr>
            <w:r w:rsidRPr="001F0131">
              <w:rPr>
                <w:lang w:eastAsia="ja-JP"/>
              </w:rPr>
              <w:t>No</w:t>
            </w:r>
          </w:p>
        </w:tc>
        <w:tc>
          <w:tcPr>
            <w:tcW w:w="541" w:type="pct"/>
          </w:tcPr>
          <w:p w14:paraId="2C693FEB"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5CC5E42D"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36DBB54E"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65FAA4AB" w14:textId="77777777" w:rsidR="00F4685C" w:rsidRPr="001F0131" w:rsidRDefault="00F4685C" w:rsidP="00163044">
            <w:pPr>
              <w:pStyle w:val="TCTableBody"/>
              <w:rPr>
                <w:lang w:eastAsia="ja-JP"/>
              </w:rPr>
            </w:pPr>
            <w:r w:rsidRPr="001F0131">
              <w:rPr>
                <w:rFonts w:hint="eastAsia"/>
                <w:lang w:eastAsia="ja-JP"/>
              </w:rPr>
              <w:t>B</w:t>
            </w:r>
            <w:r w:rsidRPr="001F0131">
              <w:rPr>
                <w:lang w:eastAsia="ja-JP"/>
              </w:rPr>
              <w:t>a</w:t>
            </w:r>
            <w:r w:rsidRPr="001F0131">
              <w:rPr>
                <w:vertAlign w:val="subscript"/>
                <w:lang w:eastAsia="ja-JP"/>
              </w:rPr>
              <w:t>2</w:t>
            </w:r>
            <w:r w:rsidRPr="001F0131">
              <w:rPr>
                <w:lang w:eastAsia="ja-JP"/>
              </w:rPr>
              <w:t>Ga</w:t>
            </w:r>
            <w:r w:rsidRPr="001F0131">
              <w:rPr>
                <w:vertAlign w:val="subscript"/>
                <w:lang w:eastAsia="ja-JP"/>
              </w:rPr>
              <w:t>8</w:t>
            </w:r>
            <w:r w:rsidRPr="001F0131">
              <w:rPr>
                <w:lang w:eastAsia="ja-JP"/>
              </w:rPr>
              <w:t>GeS</w:t>
            </w:r>
            <w:r w:rsidRPr="001F0131">
              <w:rPr>
                <w:vertAlign w:val="subscript"/>
                <w:lang w:eastAsia="ja-JP"/>
              </w:rPr>
              <w:t>16</w:t>
            </w:r>
          </w:p>
        </w:tc>
        <w:tc>
          <w:tcPr>
            <w:tcW w:w="667" w:type="pct"/>
          </w:tcPr>
          <w:p w14:paraId="5B8C2543"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90</w:t>
            </w:r>
          </w:p>
        </w:tc>
        <w:tc>
          <w:tcPr>
            <w:tcW w:w="671" w:type="pct"/>
          </w:tcPr>
          <w:p w14:paraId="2A7E5FD2"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8</w:t>
            </w:r>
            <w:r w:rsidRPr="001F0131">
              <w:rPr>
                <w:lang w:eastAsia="ja-JP"/>
              </w:rPr>
              <w:t>2</w:t>
            </w:r>
          </w:p>
        </w:tc>
        <w:tc>
          <w:tcPr>
            <w:tcW w:w="748" w:type="pct"/>
          </w:tcPr>
          <w:p w14:paraId="4D2EC505"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6</w:t>
            </w:r>
            <w:r w:rsidRPr="001F0131">
              <w:rPr>
                <w:vertAlign w:val="subscript"/>
                <w:lang w:eastAsia="ja-JP"/>
              </w:rPr>
              <w:t>3</w:t>
            </w:r>
            <w:r w:rsidRPr="001F0131">
              <w:rPr>
                <w:rFonts w:hint="eastAsia"/>
                <w:lang w:eastAsia="ja-JP"/>
              </w:rPr>
              <w:t xml:space="preserve"> m </w:t>
            </w:r>
            <w:r w:rsidRPr="001F0131">
              <w:rPr>
                <w:lang w:eastAsia="ja-JP"/>
              </w:rPr>
              <w:t>c (186)</w:t>
            </w:r>
          </w:p>
        </w:tc>
        <w:tc>
          <w:tcPr>
            <w:tcW w:w="580" w:type="pct"/>
          </w:tcPr>
          <w:p w14:paraId="16492078"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No</w:t>
            </w:r>
          </w:p>
        </w:tc>
        <w:tc>
          <w:tcPr>
            <w:tcW w:w="541" w:type="pct"/>
          </w:tcPr>
          <w:p w14:paraId="0E6F524B"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5FB4D1A6"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56A8C27B"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5C74FAC" w14:textId="77777777" w:rsidR="00F4685C" w:rsidRPr="001F0131" w:rsidRDefault="00F4685C" w:rsidP="00163044">
            <w:pPr>
              <w:pStyle w:val="TCTableBody"/>
              <w:rPr>
                <w:lang w:eastAsia="ja-JP"/>
              </w:rPr>
            </w:pPr>
            <w:r w:rsidRPr="001F0131">
              <w:rPr>
                <w:rFonts w:hint="eastAsia"/>
                <w:lang w:eastAsia="ja-JP"/>
              </w:rPr>
              <w:t>B</w:t>
            </w:r>
            <w:r w:rsidRPr="001F0131">
              <w:rPr>
                <w:lang w:eastAsia="ja-JP"/>
              </w:rPr>
              <w:t>a</w:t>
            </w:r>
            <w:r w:rsidRPr="001F0131">
              <w:rPr>
                <w:vertAlign w:val="subscript"/>
                <w:lang w:eastAsia="ja-JP"/>
              </w:rPr>
              <w:t>3</w:t>
            </w:r>
            <w:r w:rsidRPr="001F0131">
              <w:rPr>
                <w:lang w:eastAsia="ja-JP"/>
              </w:rPr>
              <w:t>Y</w:t>
            </w:r>
            <w:r w:rsidRPr="001F0131">
              <w:rPr>
                <w:vertAlign w:val="subscript"/>
                <w:lang w:eastAsia="ja-JP"/>
              </w:rPr>
              <w:t>2</w:t>
            </w:r>
            <w:r w:rsidRPr="001F0131">
              <w:rPr>
                <w:lang w:eastAsia="ja-JP"/>
              </w:rPr>
              <w:t>S</w:t>
            </w:r>
            <w:r w:rsidRPr="001F0131">
              <w:rPr>
                <w:vertAlign w:val="subscript"/>
                <w:lang w:eastAsia="ja-JP"/>
              </w:rPr>
              <w:t>6</w:t>
            </w:r>
          </w:p>
        </w:tc>
        <w:tc>
          <w:tcPr>
            <w:tcW w:w="667" w:type="pct"/>
          </w:tcPr>
          <w:p w14:paraId="6A484742"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88</w:t>
            </w:r>
          </w:p>
        </w:tc>
        <w:tc>
          <w:tcPr>
            <w:tcW w:w="671" w:type="pct"/>
          </w:tcPr>
          <w:p w14:paraId="71E29DA5"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0</w:t>
            </w:r>
          </w:p>
        </w:tc>
        <w:tc>
          <w:tcPr>
            <w:tcW w:w="748" w:type="pct"/>
          </w:tcPr>
          <w:p w14:paraId="1DC6A7A6"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80" w:type="pct"/>
          </w:tcPr>
          <w:p w14:paraId="691A4393"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41" w:type="pct"/>
          </w:tcPr>
          <w:p w14:paraId="2F9F480D"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0C9BF8E9"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141769EF"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2339DF99" w14:textId="77777777" w:rsidR="00F4685C" w:rsidRPr="001F0131" w:rsidRDefault="00F4685C" w:rsidP="00163044">
            <w:pPr>
              <w:pStyle w:val="TCTableBody"/>
              <w:rPr>
                <w:highlight w:val="yellow"/>
                <w:lang w:eastAsia="ja-JP"/>
              </w:rPr>
            </w:pPr>
            <w:r w:rsidRPr="001F0131">
              <w:rPr>
                <w:rFonts w:hint="eastAsia"/>
                <w:lang w:eastAsia="ja-JP"/>
              </w:rPr>
              <w:t>S</w:t>
            </w:r>
            <w:r w:rsidRPr="001F0131">
              <w:rPr>
                <w:lang w:eastAsia="ja-JP"/>
              </w:rPr>
              <w:t>rSc</w:t>
            </w:r>
            <w:r w:rsidRPr="001F0131">
              <w:rPr>
                <w:vertAlign w:val="subscript"/>
                <w:lang w:eastAsia="ja-JP"/>
              </w:rPr>
              <w:t>2</w:t>
            </w:r>
            <w:r w:rsidRPr="001F0131">
              <w:rPr>
                <w:lang w:eastAsia="ja-JP"/>
              </w:rPr>
              <w:t>S</w:t>
            </w:r>
            <w:r w:rsidRPr="001F0131">
              <w:rPr>
                <w:vertAlign w:val="subscript"/>
                <w:lang w:eastAsia="ja-JP"/>
              </w:rPr>
              <w:t>4</w:t>
            </w:r>
          </w:p>
        </w:tc>
        <w:tc>
          <w:tcPr>
            <w:tcW w:w="667" w:type="pct"/>
          </w:tcPr>
          <w:p w14:paraId="7E43AE2B"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84</w:t>
            </w:r>
          </w:p>
        </w:tc>
        <w:tc>
          <w:tcPr>
            <w:tcW w:w="671" w:type="pct"/>
          </w:tcPr>
          <w:p w14:paraId="057DB3AA"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87</w:t>
            </w:r>
          </w:p>
        </w:tc>
        <w:tc>
          <w:tcPr>
            <w:tcW w:w="748" w:type="pct"/>
          </w:tcPr>
          <w:p w14:paraId="426246F7"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n</w:t>
            </w:r>
            <w:r w:rsidRPr="001F0131">
              <w:rPr>
                <w:rFonts w:hint="eastAsia"/>
                <w:lang w:eastAsia="ja-JP"/>
              </w:rPr>
              <w:t xml:space="preserve"> </w:t>
            </w:r>
            <w:r w:rsidRPr="001F0131">
              <w:rPr>
                <w:lang w:eastAsia="ja-JP"/>
              </w:rPr>
              <w:t>m</w:t>
            </w:r>
            <w:r w:rsidRPr="001F0131">
              <w:rPr>
                <w:rFonts w:hint="eastAsia"/>
                <w:lang w:eastAsia="ja-JP"/>
              </w:rPr>
              <w:t xml:space="preserve"> </w:t>
            </w:r>
            <w:r w:rsidRPr="001F0131">
              <w:rPr>
                <w:lang w:eastAsia="ja-JP"/>
              </w:rPr>
              <w:t>a (62)</w:t>
            </w:r>
          </w:p>
        </w:tc>
        <w:tc>
          <w:tcPr>
            <w:tcW w:w="580" w:type="pct"/>
          </w:tcPr>
          <w:p w14:paraId="4F495323"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No</w:t>
            </w:r>
          </w:p>
        </w:tc>
        <w:tc>
          <w:tcPr>
            <w:tcW w:w="541" w:type="pct"/>
          </w:tcPr>
          <w:p w14:paraId="4B0744A6"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70E17376"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76F3776B"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147B73C" w14:textId="77777777" w:rsidR="00F4685C" w:rsidRPr="001F0131" w:rsidRDefault="00F4685C" w:rsidP="00163044">
            <w:pPr>
              <w:pStyle w:val="TCTableBody"/>
              <w:rPr>
                <w:highlight w:val="yellow"/>
                <w:lang w:eastAsia="ja-JP"/>
              </w:rPr>
            </w:pPr>
            <w:r w:rsidRPr="001F0131">
              <w:rPr>
                <w:rFonts w:hint="eastAsia"/>
                <w:lang w:eastAsia="ja-JP"/>
              </w:rPr>
              <w:t>C</w:t>
            </w:r>
            <w:r w:rsidRPr="001F0131">
              <w:rPr>
                <w:lang w:eastAsia="ja-JP"/>
              </w:rPr>
              <w:t>aSc</w:t>
            </w:r>
            <w:r w:rsidRPr="001F0131">
              <w:rPr>
                <w:vertAlign w:val="subscript"/>
                <w:lang w:eastAsia="ja-JP"/>
              </w:rPr>
              <w:t>2</w:t>
            </w:r>
            <w:r w:rsidRPr="001F0131">
              <w:rPr>
                <w:lang w:eastAsia="ja-JP"/>
              </w:rPr>
              <w:t>S</w:t>
            </w:r>
            <w:r w:rsidRPr="001F0131">
              <w:rPr>
                <w:vertAlign w:val="subscript"/>
                <w:lang w:eastAsia="ja-JP"/>
              </w:rPr>
              <w:t>4</w:t>
            </w:r>
          </w:p>
        </w:tc>
        <w:tc>
          <w:tcPr>
            <w:tcW w:w="667" w:type="pct"/>
          </w:tcPr>
          <w:p w14:paraId="174D6898"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74</w:t>
            </w:r>
          </w:p>
        </w:tc>
        <w:tc>
          <w:tcPr>
            <w:tcW w:w="671" w:type="pct"/>
          </w:tcPr>
          <w:p w14:paraId="0FB242FF"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8</w:t>
            </w:r>
            <w:r w:rsidRPr="001F0131">
              <w:rPr>
                <w:lang w:eastAsia="ja-JP"/>
              </w:rPr>
              <w:t>5</w:t>
            </w:r>
          </w:p>
        </w:tc>
        <w:tc>
          <w:tcPr>
            <w:tcW w:w="748" w:type="pct"/>
          </w:tcPr>
          <w:p w14:paraId="44C0F7D2"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n</w:t>
            </w:r>
            <w:r w:rsidRPr="001F0131">
              <w:rPr>
                <w:rFonts w:hint="eastAsia"/>
                <w:lang w:eastAsia="ja-JP"/>
              </w:rPr>
              <w:t xml:space="preserve"> </w:t>
            </w:r>
            <w:r w:rsidRPr="001F0131">
              <w:rPr>
                <w:lang w:eastAsia="ja-JP"/>
              </w:rPr>
              <w:t>m</w:t>
            </w:r>
            <w:r w:rsidRPr="001F0131">
              <w:rPr>
                <w:rFonts w:hint="eastAsia"/>
                <w:lang w:eastAsia="ja-JP"/>
              </w:rPr>
              <w:t xml:space="preserve"> </w:t>
            </w:r>
            <w:r w:rsidRPr="001F0131">
              <w:rPr>
                <w:lang w:eastAsia="ja-JP"/>
              </w:rPr>
              <w:t>a (62)</w:t>
            </w:r>
          </w:p>
        </w:tc>
        <w:tc>
          <w:tcPr>
            <w:tcW w:w="580" w:type="pct"/>
          </w:tcPr>
          <w:p w14:paraId="39EFFC32"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No</w:t>
            </w:r>
          </w:p>
        </w:tc>
        <w:tc>
          <w:tcPr>
            <w:tcW w:w="541" w:type="pct"/>
          </w:tcPr>
          <w:p w14:paraId="46AAD9E3"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2375BD7F"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3E26D57B"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75392C3E" w14:textId="77777777" w:rsidR="00F4685C" w:rsidRPr="001F0131" w:rsidRDefault="00F4685C" w:rsidP="00163044">
            <w:pPr>
              <w:pStyle w:val="TCTableBody"/>
              <w:rPr>
                <w:highlight w:val="yellow"/>
                <w:lang w:eastAsia="ja-JP"/>
              </w:rPr>
            </w:pPr>
            <w:r w:rsidRPr="001F0131">
              <w:rPr>
                <w:rFonts w:hint="eastAsia"/>
                <w:lang w:eastAsia="ja-JP"/>
              </w:rPr>
              <w:t>B</w:t>
            </w:r>
            <w:r w:rsidRPr="001F0131">
              <w:rPr>
                <w:lang w:eastAsia="ja-JP"/>
              </w:rPr>
              <w:t>aLa</w:t>
            </w:r>
            <w:r w:rsidRPr="001F0131">
              <w:rPr>
                <w:vertAlign w:val="subscript"/>
                <w:lang w:eastAsia="ja-JP"/>
              </w:rPr>
              <w:t>2</w:t>
            </w:r>
            <w:r w:rsidRPr="001F0131">
              <w:rPr>
                <w:lang w:eastAsia="ja-JP"/>
              </w:rPr>
              <w:t>ZnS</w:t>
            </w:r>
            <w:r w:rsidRPr="001F0131">
              <w:rPr>
                <w:vertAlign w:val="subscript"/>
                <w:lang w:eastAsia="ja-JP"/>
              </w:rPr>
              <w:t>5</w:t>
            </w:r>
          </w:p>
        </w:tc>
        <w:tc>
          <w:tcPr>
            <w:tcW w:w="667" w:type="pct"/>
          </w:tcPr>
          <w:p w14:paraId="2D6347C7"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68</w:t>
            </w:r>
          </w:p>
        </w:tc>
        <w:tc>
          <w:tcPr>
            <w:tcW w:w="671" w:type="pct"/>
          </w:tcPr>
          <w:p w14:paraId="54C55D81"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7</w:t>
            </w:r>
            <w:r w:rsidRPr="001F0131">
              <w:rPr>
                <w:lang w:eastAsia="ja-JP"/>
              </w:rPr>
              <w:t>7</w:t>
            </w:r>
          </w:p>
        </w:tc>
        <w:tc>
          <w:tcPr>
            <w:tcW w:w="748" w:type="pct"/>
          </w:tcPr>
          <w:p w14:paraId="32A11141"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I </w:t>
            </w:r>
            <w:r w:rsidRPr="001F0131">
              <w:rPr>
                <w:lang w:eastAsia="ja-JP"/>
              </w:rPr>
              <w:t>4/m</w:t>
            </w:r>
            <w:r w:rsidRPr="001F0131">
              <w:rPr>
                <w:rFonts w:hint="eastAsia"/>
                <w:lang w:eastAsia="ja-JP"/>
              </w:rPr>
              <w:t xml:space="preserve"> </w:t>
            </w:r>
            <w:r w:rsidRPr="001F0131">
              <w:rPr>
                <w:lang w:eastAsia="ja-JP"/>
              </w:rPr>
              <w:t>c</w:t>
            </w:r>
            <w:r w:rsidRPr="001F0131">
              <w:rPr>
                <w:rFonts w:hint="eastAsia"/>
                <w:lang w:eastAsia="ja-JP"/>
              </w:rPr>
              <w:t xml:space="preserve"> </w:t>
            </w:r>
            <w:r w:rsidRPr="001F0131">
              <w:rPr>
                <w:lang w:eastAsia="ja-JP"/>
              </w:rPr>
              <w:t>m (140)</w:t>
            </w:r>
          </w:p>
        </w:tc>
        <w:tc>
          <w:tcPr>
            <w:tcW w:w="580" w:type="pct"/>
          </w:tcPr>
          <w:p w14:paraId="681FB9F6"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E</w:t>
            </w:r>
            <w:r w:rsidRPr="001F0131">
              <w:rPr>
                <w:lang w:eastAsia="ja-JP"/>
              </w:rPr>
              <w:t>u</w:t>
            </w:r>
            <w:r w:rsidRPr="001F0131">
              <w:rPr>
                <w:vertAlign w:val="superscript"/>
                <w:lang w:eastAsia="ja-JP"/>
              </w:rPr>
              <w:t>3+</w:t>
            </w:r>
          </w:p>
        </w:tc>
        <w:tc>
          <w:tcPr>
            <w:tcW w:w="541" w:type="pct"/>
          </w:tcPr>
          <w:p w14:paraId="242DF9EC"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12D98743"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66D64CA9"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2D895BD" w14:textId="77777777" w:rsidR="00F4685C" w:rsidRPr="001F0131" w:rsidRDefault="00F4685C" w:rsidP="00163044">
            <w:pPr>
              <w:pStyle w:val="TCTableBody"/>
              <w:rPr>
                <w:lang w:eastAsia="ja-JP"/>
              </w:rPr>
            </w:pPr>
            <w:r w:rsidRPr="001F0131">
              <w:rPr>
                <w:rFonts w:hint="eastAsia"/>
                <w:lang w:eastAsia="ja-JP"/>
              </w:rPr>
              <w:t>O</w:t>
            </w:r>
            <w:r w:rsidRPr="001F0131">
              <w:rPr>
                <w:lang w:eastAsia="ja-JP"/>
              </w:rPr>
              <w:t>xide</w:t>
            </w:r>
          </w:p>
        </w:tc>
        <w:tc>
          <w:tcPr>
            <w:tcW w:w="667" w:type="pct"/>
          </w:tcPr>
          <w:p w14:paraId="79F56D7E"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671" w:type="pct"/>
          </w:tcPr>
          <w:p w14:paraId="57766219"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748" w:type="pct"/>
          </w:tcPr>
          <w:p w14:paraId="739E4580"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80" w:type="pct"/>
          </w:tcPr>
          <w:p w14:paraId="19DD3956"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41" w:type="pct"/>
          </w:tcPr>
          <w:p w14:paraId="56ED5934"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6A840C3C"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50319669"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4647DAB1" w14:textId="77777777" w:rsidR="00F4685C" w:rsidRPr="001F0131" w:rsidRDefault="00F4685C" w:rsidP="00163044">
            <w:pPr>
              <w:pStyle w:val="TCTableBody"/>
              <w:rPr>
                <w:highlight w:val="yellow"/>
                <w:lang w:eastAsia="ja-JP"/>
              </w:rPr>
            </w:pPr>
            <w:r w:rsidRPr="001F0131">
              <w:rPr>
                <w:rFonts w:hint="eastAsia"/>
                <w:lang w:eastAsia="ja-JP"/>
              </w:rPr>
              <w:t>N</w:t>
            </w:r>
            <w:r w:rsidRPr="001F0131">
              <w:rPr>
                <w:lang w:eastAsia="ja-JP"/>
              </w:rPr>
              <w:t>aLi</w:t>
            </w:r>
            <w:r w:rsidRPr="001F0131">
              <w:rPr>
                <w:vertAlign w:val="subscript"/>
                <w:lang w:eastAsia="ja-JP"/>
              </w:rPr>
              <w:t>3</w:t>
            </w:r>
            <w:r w:rsidRPr="001F0131">
              <w:rPr>
                <w:lang w:eastAsia="ja-JP"/>
              </w:rPr>
              <w:t>BaB</w:t>
            </w:r>
            <w:r w:rsidRPr="001F0131">
              <w:rPr>
                <w:vertAlign w:val="subscript"/>
                <w:lang w:eastAsia="ja-JP"/>
              </w:rPr>
              <w:t>6</w:t>
            </w:r>
            <w:r w:rsidRPr="001F0131">
              <w:rPr>
                <w:lang w:eastAsia="ja-JP"/>
              </w:rPr>
              <w:t>O</w:t>
            </w:r>
            <w:r w:rsidRPr="001F0131">
              <w:rPr>
                <w:vertAlign w:val="subscript"/>
                <w:lang w:eastAsia="ja-JP"/>
              </w:rPr>
              <w:t>12</w:t>
            </w:r>
          </w:p>
        </w:tc>
        <w:tc>
          <w:tcPr>
            <w:tcW w:w="667" w:type="pct"/>
          </w:tcPr>
          <w:p w14:paraId="4D9D9656"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54</w:t>
            </w:r>
          </w:p>
        </w:tc>
        <w:tc>
          <w:tcPr>
            <w:tcW w:w="671" w:type="pct"/>
          </w:tcPr>
          <w:p w14:paraId="319D3982"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9</w:t>
            </w:r>
            <w:r w:rsidRPr="001F0131">
              <w:rPr>
                <w:lang w:eastAsia="ja-JP"/>
              </w:rPr>
              <w:t>7</w:t>
            </w:r>
          </w:p>
        </w:tc>
        <w:tc>
          <w:tcPr>
            <w:tcW w:w="748" w:type="pct"/>
          </w:tcPr>
          <w:p w14:paraId="77B40903"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R </w:t>
            </w:r>
            <w:r w:rsidRPr="001F0131">
              <w:rPr>
                <w:lang w:eastAsia="ja-JP"/>
              </w:rPr>
              <w:t>-3 (148)</w:t>
            </w:r>
          </w:p>
        </w:tc>
        <w:tc>
          <w:tcPr>
            <w:tcW w:w="580" w:type="pct"/>
          </w:tcPr>
          <w:p w14:paraId="50CAC1A8"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E</w:t>
            </w:r>
            <w:r w:rsidRPr="001F0131">
              <w:rPr>
                <w:lang w:eastAsia="ja-JP"/>
              </w:rPr>
              <w:t>u</w:t>
            </w:r>
            <w:r w:rsidRPr="001F0131">
              <w:rPr>
                <w:vertAlign w:val="superscript"/>
                <w:lang w:eastAsia="ja-JP"/>
              </w:rPr>
              <w:t>2+</w:t>
            </w:r>
          </w:p>
        </w:tc>
        <w:tc>
          <w:tcPr>
            <w:tcW w:w="541" w:type="pct"/>
          </w:tcPr>
          <w:p w14:paraId="0D7436C1"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381</w:t>
            </w:r>
          </w:p>
        </w:tc>
        <w:tc>
          <w:tcPr>
            <w:tcW w:w="542" w:type="pct"/>
          </w:tcPr>
          <w:p w14:paraId="3E655318"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300</w:t>
            </w:r>
          </w:p>
        </w:tc>
      </w:tr>
      <w:tr w:rsidR="001F0131" w:rsidRPr="001F0131" w14:paraId="6B464BD9"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9641A0E" w14:textId="77777777" w:rsidR="00F4685C" w:rsidRPr="001F0131" w:rsidRDefault="00F4685C" w:rsidP="00163044">
            <w:pPr>
              <w:pStyle w:val="TCTableBody"/>
              <w:rPr>
                <w:lang w:eastAsia="ja-JP"/>
              </w:rPr>
            </w:pPr>
            <w:r w:rsidRPr="001F0131">
              <w:rPr>
                <w:rFonts w:hint="eastAsia"/>
                <w:lang w:eastAsia="ja-JP"/>
              </w:rPr>
              <w:t>O</w:t>
            </w:r>
            <w:r w:rsidRPr="001F0131">
              <w:rPr>
                <w:lang w:eastAsia="ja-JP"/>
              </w:rPr>
              <w:t>xyfluoride</w:t>
            </w:r>
          </w:p>
        </w:tc>
        <w:tc>
          <w:tcPr>
            <w:tcW w:w="667" w:type="pct"/>
          </w:tcPr>
          <w:p w14:paraId="304851BF"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671" w:type="pct"/>
          </w:tcPr>
          <w:p w14:paraId="6174CAE0"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748" w:type="pct"/>
          </w:tcPr>
          <w:p w14:paraId="5897DFF2"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80" w:type="pct"/>
          </w:tcPr>
          <w:p w14:paraId="55772852"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41" w:type="pct"/>
          </w:tcPr>
          <w:p w14:paraId="5752B0B9"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1A52885E"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01936DA6"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02D8AB89" w14:textId="77777777" w:rsidR="00F4685C" w:rsidRPr="001F0131" w:rsidRDefault="00F4685C" w:rsidP="00163044">
            <w:pPr>
              <w:pStyle w:val="TCTableBody"/>
              <w:rPr>
                <w:highlight w:val="yellow"/>
                <w:lang w:eastAsia="ja-JP"/>
              </w:rPr>
            </w:pPr>
            <w:r w:rsidRPr="001F0131">
              <w:rPr>
                <w:rFonts w:hint="eastAsia"/>
                <w:lang w:eastAsia="ja-JP"/>
              </w:rPr>
              <w:t>K</w:t>
            </w:r>
            <w:r w:rsidRPr="001F0131">
              <w:rPr>
                <w:lang w:eastAsia="ja-JP"/>
              </w:rPr>
              <w:t>NaCaMg</w:t>
            </w:r>
            <w:r w:rsidRPr="001F0131">
              <w:rPr>
                <w:vertAlign w:val="subscript"/>
                <w:lang w:eastAsia="ja-JP"/>
              </w:rPr>
              <w:t>5</w:t>
            </w:r>
            <w:r w:rsidRPr="001F0131">
              <w:rPr>
                <w:lang w:eastAsia="ja-JP"/>
              </w:rPr>
              <w:t>Si</w:t>
            </w:r>
            <w:r w:rsidRPr="001F0131">
              <w:rPr>
                <w:vertAlign w:val="subscript"/>
                <w:lang w:eastAsia="ja-JP"/>
              </w:rPr>
              <w:t>8</w:t>
            </w:r>
            <w:r w:rsidRPr="001F0131">
              <w:rPr>
                <w:lang w:eastAsia="ja-JP"/>
              </w:rPr>
              <w:t>O</w:t>
            </w:r>
            <w:r w:rsidRPr="001F0131">
              <w:rPr>
                <w:vertAlign w:val="subscript"/>
                <w:lang w:eastAsia="ja-JP"/>
              </w:rPr>
              <w:t>22</w:t>
            </w:r>
            <w:r w:rsidRPr="001F0131">
              <w:rPr>
                <w:lang w:eastAsia="ja-JP"/>
              </w:rPr>
              <w:t>F</w:t>
            </w:r>
            <w:r w:rsidRPr="001F0131">
              <w:rPr>
                <w:vertAlign w:val="subscript"/>
                <w:lang w:eastAsia="ja-JP"/>
              </w:rPr>
              <w:t>2</w:t>
            </w:r>
          </w:p>
        </w:tc>
        <w:tc>
          <w:tcPr>
            <w:tcW w:w="667" w:type="pct"/>
          </w:tcPr>
          <w:p w14:paraId="4D39693B"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96</w:t>
            </w:r>
          </w:p>
        </w:tc>
        <w:tc>
          <w:tcPr>
            <w:tcW w:w="671" w:type="pct"/>
          </w:tcPr>
          <w:p w14:paraId="2E86DAB2"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9</w:t>
            </w:r>
            <w:r w:rsidRPr="001F0131">
              <w:rPr>
                <w:lang w:eastAsia="ja-JP"/>
              </w:rPr>
              <w:t>5</w:t>
            </w:r>
          </w:p>
        </w:tc>
        <w:tc>
          <w:tcPr>
            <w:tcW w:w="748" w:type="pct"/>
          </w:tcPr>
          <w:p w14:paraId="0680BC7A"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C </w:t>
            </w:r>
            <w:r w:rsidRPr="001F0131">
              <w:rPr>
                <w:lang w:eastAsia="ja-JP"/>
              </w:rPr>
              <w:t>2/m (12)</w:t>
            </w:r>
          </w:p>
        </w:tc>
        <w:tc>
          <w:tcPr>
            <w:tcW w:w="580" w:type="pct"/>
          </w:tcPr>
          <w:p w14:paraId="13CB57AF"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E</w:t>
            </w:r>
            <w:r w:rsidRPr="001F0131">
              <w:rPr>
                <w:lang w:eastAsia="ja-JP"/>
              </w:rPr>
              <w:t>u</w:t>
            </w:r>
            <w:r w:rsidRPr="001F0131">
              <w:rPr>
                <w:vertAlign w:val="superscript"/>
                <w:lang w:eastAsia="ja-JP"/>
              </w:rPr>
              <w:t>2+</w:t>
            </w:r>
          </w:p>
        </w:tc>
        <w:tc>
          <w:tcPr>
            <w:tcW w:w="541" w:type="pct"/>
          </w:tcPr>
          <w:p w14:paraId="7AEF935C"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431</w:t>
            </w:r>
          </w:p>
        </w:tc>
        <w:tc>
          <w:tcPr>
            <w:tcW w:w="542" w:type="pct"/>
          </w:tcPr>
          <w:p w14:paraId="53F538DE"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335</w:t>
            </w:r>
          </w:p>
        </w:tc>
      </w:tr>
      <w:tr w:rsidR="001F0131" w:rsidRPr="001F0131" w14:paraId="5E065EB7"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FE23A59" w14:textId="77777777" w:rsidR="00F4685C" w:rsidRPr="001F0131" w:rsidRDefault="00F4685C" w:rsidP="00163044">
            <w:pPr>
              <w:pStyle w:val="TCTableBody"/>
              <w:rPr>
                <w:strike/>
                <w:highlight w:val="yellow"/>
                <w:lang w:eastAsia="ja-JP"/>
              </w:rPr>
            </w:pPr>
            <w:r w:rsidRPr="001F0131">
              <w:rPr>
                <w:rFonts w:hint="eastAsia"/>
                <w:lang w:eastAsia="ja-JP"/>
              </w:rPr>
              <w:t>N</w:t>
            </w:r>
            <w:r w:rsidRPr="001F0131">
              <w:rPr>
                <w:lang w:eastAsia="ja-JP"/>
              </w:rPr>
              <w:t>a</w:t>
            </w:r>
            <w:r w:rsidRPr="001F0131">
              <w:rPr>
                <w:vertAlign w:val="subscript"/>
                <w:lang w:eastAsia="ja-JP"/>
              </w:rPr>
              <w:t>3</w:t>
            </w:r>
            <w:r w:rsidRPr="001F0131">
              <w:rPr>
                <w:lang w:eastAsia="ja-JP"/>
              </w:rPr>
              <w:t>Ba</w:t>
            </w:r>
            <w:r w:rsidRPr="001F0131">
              <w:rPr>
                <w:vertAlign w:val="subscript"/>
                <w:lang w:eastAsia="ja-JP"/>
              </w:rPr>
              <w:t>2</w:t>
            </w:r>
            <w:r w:rsidRPr="001F0131">
              <w:rPr>
                <w:lang w:eastAsia="ja-JP"/>
              </w:rPr>
              <w:t>B</w:t>
            </w:r>
            <w:r w:rsidRPr="001F0131">
              <w:rPr>
                <w:vertAlign w:val="subscript"/>
                <w:lang w:eastAsia="ja-JP"/>
              </w:rPr>
              <w:t>6</w:t>
            </w:r>
            <w:r w:rsidRPr="001F0131">
              <w:rPr>
                <w:lang w:eastAsia="ja-JP"/>
              </w:rPr>
              <w:t>O</w:t>
            </w:r>
            <w:r w:rsidRPr="001F0131">
              <w:rPr>
                <w:vertAlign w:val="subscript"/>
                <w:lang w:eastAsia="ja-JP"/>
              </w:rPr>
              <w:t>12</w:t>
            </w:r>
            <w:r w:rsidRPr="001F0131">
              <w:rPr>
                <w:lang w:eastAsia="ja-JP"/>
              </w:rPr>
              <w:t>F</w:t>
            </w:r>
          </w:p>
        </w:tc>
        <w:tc>
          <w:tcPr>
            <w:tcW w:w="667" w:type="pct"/>
          </w:tcPr>
          <w:p w14:paraId="74E50EEB"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strike/>
                <w:lang w:eastAsia="ja-JP"/>
              </w:rPr>
            </w:pPr>
            <w:r w:rsidRPr="001F0131">
              <w:rPr>
                <w:lang w:eastAsia="ja-JP"/>
              </w:rPr>
              <w:t>62</w:t>
            </w:r>
          </w:p>
        </w:tc>
        <w:tc>
          <w:tcPr>
            <w:tcW w:w="671" w:type="pct"/>
          </w:tcPr>
          <w:p w14:paraId="127A479F"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1</w:t>
            </w:r>
            <w:r w:rsidRPr="001F0131">
              <w:rPr>
                <w:lang w:eastAsia="ja-JP"/>
              </w:rPr>
              <w:t>00</w:t>
            </w:r>
          </w:p>
        </w:tc>
        <w:tc>
          <w:tcPr>
            <w:tcW w:w="748" w:type="pct"/>
          </w:tcPr>
          <w:p w14:paraId="781A4C64"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6</w:t>
            </w:r>
            <w:r w:rsidRPr="001F0131">
              <w:rPr>
                <w:vertAlign w:val="subscript"/>
                <w:lang w:eastAsia="ja-JP"/>
              </w:rPr>
              <w:t>3</w:t>
            </w:r>
            <w:r w:rsidRPr="001F0131">
              <w:rPr>
                <w:lang w:eastAsia="ja-JP"/>
              </w:rPr>
              <w:t>/m (176)</w:t>
            </w:r>
          </w:p>
        </w:tc>
        <w:tc>
          <w:tcPr>
            <w:tcW w:w="580" w:type="pct"/>
          </w:tcPr>
          <w:p w14:paraId="23F189EC"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strike/>
                <w:lang w:eastAsia="ja-JP"/>
              </w:rPr>
            </w:pPr>
            <w:r w:rsidRPr="001F0131">
              <w:rPr>
                <w:lang w:eastAsia="ja-JP"/>
              </w:rPr>
              <w:t>No</w:t>
            </w:r>
          </w:p>
        </w:tc>
        <w:tc>
          <w:tcPr>
            <w:tcW w:w="541" w:type="pct"/>
          </w:tcPr>
          <w:p w14:paraId="0444E44D"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61F70EF9"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07F9C625"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356C80C7" w14:textId="77777777" w:rsidR="00F4685C" w:rsidRPr="001F0131" w:rsidRDefault="00F4685C" w:rsidP="00163044">
            <w:pPr>
              <w:pStyle w:val="TCTableBody"/>
              <w:rPr>
                <w:lang w:eastAsia="ja-JP"/>
              </w:rPr>
            </w:pPr>
            <w:r w:rsidRPr="001F0131">
              <w:rPr>
                <w:rFonts w:hint="eastAsia"/>
                <w:lang w:eastAsia="ja-JP"/>
              </w:rPr>
              <w:t>O</w:t>
            </w:r>
            <w:r w:rsidRPr="001F0131">
              <w:rPr>
                <w:lang w:eastAsia="ja-JP"/>
              </w:rPr>
              <w:t>xybromide</w:t>
            </w:r>
          </w:p>
        </w:tc>
        <w:tc>
          <w:tcPr>
            <w:tcW w:w="667" w:type="pct"/>
          </w:tcPr>
          <w:p w14:paraId="1E951428"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671" w:type="pct"/>
          </w:tcPr>
          <w:p w14:paraId="58330F68"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748" w:type="pct"/>
          </w:tcPr>
          <w:p w14:paraId="39E2F08F"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p>
        </w:tc>
        <w:tc>
          <w:tcPr>
            <w:tcW w:w="580" w:type="pct"/>
          </w:tcPr>
          <w:p w14:paraId="52336761"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p>
        </w:tc>
        <w:tc>
          <w:tcPr>
            <w:tcW w:w="541" w:type="pct"/>
          </w:tcPr>
          <w:p w14:paraId="1911CE61"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5B27266B"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56F9F990"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43322CE" w14:textId="77777777" w:rsidR="00F4685C" w:rsidRPr="001F0131" w:rsidRDefault="00F4685C" w:rsidP="00163044">
            <w:pPr>
              <w:pStyle w:val="TCTableBody"/>
              <w:rPr>
                <w:lang w:eastAsia="ja-JP"/>
              </w:rPr>
            </w:pPr>
            <w:r w:rsidRPr="001F0131">
              <w:rPr>
                <w:rFonts w:hint="eastAsia"/>
                <w:lang w:eastAsia="ja-JP"/>
              </w:rPr>
              <w:t>B</w:t>
            </w:r>
            <w:r w:rsidRPr="001F0131">
              <w:rPr>
                <w:lang w:eastAsia="ja-JP"/>
              </w:rPr>
              <w:t>a</w:t>
            </w:r>
            <w:r w:rsidRPr="001F0131">
              <w:rPr>
                <w:vertAlign w:val="subscript"/>
                <w:lang w:eastAsia="ja-JP"/>
              </w:rPr>
              <w:t>2</w:t>
            </w:r>
            <w:r w:rsidRPr="001F0131">
              <w:rPr>
                <w:lang w:eastAsia="ja-JP"/>
              </w:rPr>
              <w:t>OBr</w:t>
            </w:r>
            <w:r w:rsidRPr="001F0131">
              <w:rPr>
                <w:vertAlign w:val="subscript"/>
                <w:lang w:eastAsia="ja-JP"/>
              </w:rPr>
              <w:t>2</w:t>
            </w:r>
          </w:p>
        </w:tc>
        <w:tc>
          <w:tcPr>
            <w:tcW w:w="667" w:type="pct"/>
          </w:tcPr>
          <w:p w14:paraId="08CAF681"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100</w:t>
            </w:r>
          </w:p>
        </w:tc>
        <w:tc>
          <w:tcPr>
            <w:tcW w:w="671" w:type="pct"/>
          </w:tcPr>
          <w:p w14:paraId="6D5F7925"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69</w:t>
            </w:r>
          </w:p>
        </w:tc>
        <w:tc>
          <w:tcPr>
            <w:tcW w:w="748" w:type="pct"/>
          </w:tcPr>
          <w:p w14:paraId="02B768D2"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I </w:t>
            </w:r>
            <w:r w:rsidRPr="001F0131">
              <w:rPr>
                <w:lang w:eastAsia="ja-JP"/>
              </w:rPr>
              <w:t>b</w:t>
            </w:r>
            <w:r w:rsidRPr="001F0131">
              <w:rPr>
                <w:rFonts w:hint="eastAsia"/>
                <w:lang w:eastAsia="ja-JP"/>
              </w:rPr>
              <w:t xml:space="preserve"> </w:t>
            </w:r>
            <w:r w:rsidRPr="001F0131">
              <w:rPr>
                <w:lang w:eastAsia="ja-JP"/>
              </w:rPr>
              <w:t>a</w:t>
            </w:r>
            <w:r w:rsidRPr="001F0131">
              <w:rPr>
                <w:rFonts w:hint="eastAsia"/>
                <w:lang w:eastAsia="ja-JP"/>
              </w:rPr>
              <w:t xml:space="preserve"> </w:t>
            </w:r>
            <w:r w:rsidRPr="001F0131">
              <w:rPr>
                <w:lang w:eastAsia="ja-JP"/>
              </w:rPr>
              <w:t>m (72)</w:t>
            </w:r>
          </w:p>
        </w:tc>
        <w:tc>
          <w:tcPr>
            <w:tcW w:w="580" w:type="pct"/>
          </w:tcPr>
          <w:p w14:paraId="513CF4D0"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highlight w:val="yellow"/>
                <w:lang w:eastAsia="ja-JP"/>
              </w:rPr>
            </w:pPr>
          </w:p>
        </w:tc>
        <w:tc>
          <w:tcPr>
            <w:tcW w:w="541" w:type="pct"/>
          </w:tcPr>
          <w:p w14:paraId="2A88B612"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highlight w:val="yellow"/>
                <w:lang w:eastAsia="ja-JP"/>
              </w:rPr>
            </w:pPr>
          </w:p>
        </w:tc>
        <w:tc>
          <w:tcPr>
            <w:tcW w:w="542" w:type="pct"/>
          </w:tcPr>
          <w:p w14:paraId="59BD873C"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highlight w:val="yellow"/>
                <w:lang w:eastAsia="ja-JP"/>
              </w:rPr>
            </w:pPr>
          </w:p>
        </w:tc>
      </w:tr>
      <w:tr w:rsidR="001F0131" w:rsidRPr="001F0131" w14:paraId="1F218339"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4EE7F150" w14:textId="77777777" w:rsidR="00F4685C" w:rsidRPr="001F0131" w:rsidRDefault="00F4685C" w:rsidP="00163044">
            <w:pPr>
              <w:pStyle w:val="TCTableBody"/>
              <w:rPr>
                <w:highlight w:val="yellow"/>
                <w:lang w:eastAsia="ja-JP"/>
              </w:rPr>
            </w:pPr>
            <w:r w:rsidRPr="001F0131">
              <w:rPr>
                <w:rFonts w:hint="eastAsia"/>
                <w:lang w:eastAsia="ja-JP"/>
              </w:rPr>
              <w:t>O</w:t>
            </w:r>
            <w:r w:rsidRPr="001F0131">
              <w:rPr>
                <w:lang w:eastAsia="ja-JP"/>
              </w:rPr>
              <w:t>xyiodide</w:t>
            </w:r>
          </w:p>
        </w:tc>
        <w:tc>
          <w:tcPr>
            <w:tcW w:w="667" w:type="pct"/>
          </w:tcPr>
          <w:p w14:paraId="33216866"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highlight w:val="yellow"/>
                <w:lang w:eastAsia="ja-JP"/>
              </w:rPr>
            </w:pPr>
          </w:p>
        </w:tc>
        <w:tc>
          <w:tcPr>
            <w:tcW w:w="671" w:type="pct"/>
          </w:tcPr>
          <w:p w14:paraId="23AEDED5"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748" w:type="pct"/>
          </w:tcPr>
          <w:p w14:paraId="06A759B0"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p>
        </w:tc>
        <w:tc>
          <w:tcPr>
            <w:tcW w:w="580" w:type="pct"/>
          </w:tcPr>
          <w:p w14:paraId="5D287347"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highlight w:val="yellow"/>
                <w:lang w:eastAsia="ja-JP"/>
              </w:rPr>
            </w:pPr>
          </w:p>
        </w:tc>
        <w:tc>
          <w:tcPr>
            <w:tcW w:w="541" w:type="pct"/>
          </w:tcPr>
          <w:p w14:paraId="73DB496D"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3E9CC43F"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0F784346"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3B3EF7B" w14:textId="77777777" w:rsidR="00F4685C" w:rsidRPr="001F0131" w:rsidRDefault="00F4685C" w:rsidP="00163044">
            <w:pPr>
              <w:pStyle w:val="TCTableBody"/>
              <w:rPr>
                <w:lang w:eastAsia="ja-JP"/>
              </w:rPr>
            </w:pPr>
            <w:r w:rsidRPr="001F0131">
              <w:rPr>
                <w:rFonts w:hint="eastAsia"/>
                <w:lang w:eastAsia="ja-JP"/>
              </w:rPr>
              <w:t>S</w:t>
            </w:r>
            <w:r w:rsidRPr="001F0131">
              <w:rPr>
                <w:lang w:eastAsia="ja-JP"/>
              </w:rPr>
              <w:t>r</w:t>
            </w:r>
            <w:r w:rsidRPr="001F0131">
              <w:rPr>
                <w:vertAlign w:val="subscript"/>
                <w:lang w:eastAsia="ja-JP"/>
              </w:rPr>
              <w:t>2</w:t>
            </w:r>
            <w:r w:rsidRPr="001F0131">
              <w:rPr>
                <w:lang w:eastAsia="ja-JP"/>
              </w:rPr>
              <w:t>OI</w:t>
            </w:r>
            <w:r w:rsidRPr="001F0131">
              <w:rPr>
                <w:vertAlign w:val="subscript"/>
                <w:lang w:eastAsia="ja-JP"/>
              </w:rPr>
              <w:t>2</w:t>
            </w:r>
          </w:p>
        </w:tc>
        <w:tc>
          <w:tcPr>
            <w:tcW w:w="667" w:type="pct"/>
          </w:tcPr>
          <w:p w14:paraId="08F7305B"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100</w:t>
            </w:r>
          </w:p>
        </w:tc>
        <w:tc>
          <w:tcPr>
            <w:tcW w:w="671" w:type="pct"/>
          </w:tcPr>
          <w:p w14:paraId="0E06D167"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7</w:t>
            </w:r>
            <w:r w:rsidRPr="001F0131">
              <w:rPr>
                <w:lang w:eastAsia="ja-JP"/>
              </w:rPr>
              <w:t>3</w:t>
            </w:r>
          </w:p>
        </w:tc>
        <w:tc>
          <w:tcPr>
            <w:tcW w:w="748" w:type="pct"/>
          </w:tcPr>
          <w:p w14:paraId="369C14B1"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I </w:t>
            </w:r>
            <w:r w:rsidRPr="001F0131">
              <w:rPr>
                <w:lang w:eastAsia="ja-JP"/>
              </w:rPr>
              <w:t>b</w:t>
            </w:r>
            <w:r w:rsidRPr="001F0131">
              <w:rPr>
                <w:rFonts w:hint="eastAsia"/>
                <w:lang w:eastAsia="ja-JP"/>
              </w:rPr>
              <w:t xml:space="preserve"> </w:t>
            </w:r>
            <w:r w:rsidRPr="001F0131">
              <w:rPr>
                <w:lang w:eastAsia="ja-JP"/>
              </w:rPr>
              <w:t>a</w:t>
            </w:r>
            <w:r w:rsidRPr="001F0131">
              <w:rPr>
                <w:rFonts w:hint="eastAsia"/>
                <w:lang w:eastAsia="ja-JP"/>
              </w:rPr>
              <w:t xml:space="preserve"> </w:t>
            </w:r>
            <w:r w:rsidRPr="001F0131">
              <w:rPr>
                <w:lang w:eastAsia="ja-JP"/>
              </w:rPr>
              <w:t>m (72)</w:t>
            </w:r>
          </w:p>
        </w:tc>
        <w:tc>
          <w:tcPr>
            <w:tcW w:w="580" w:type="pct"/>
          </w:tcPr>
          <w:p w14:paraId="1CD28D97"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E</w:t>
            </w:r>
            <w:r w:rsidRPr="001F0131">
              <w:rPr>
                <w:lang w:eastAsia="ja-JP"/>
              </w:rPr>
              <w:t>u</w:t>
            </w:r>
            <w:r w:rsidRPr="001F0131">
              <w:rPr>
                <w:vertAlign w:val="superscript"/>
                <w:lang w:eastAsia="ja-JP"/>
              </w:rPr>
              <w:t>2+</w:t>
            </w:r>
          </w:p>
        </w:tc>
        <w:tc>
          <w:tcPr>
            <w:tcW w:w="541" w:type="pct"/>
          </w:tcPr>
          <w:p w14:paraId="548E91AD"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611</w:t>
            </w:r>
          </w:p>
        </w:tc>
        <w:tc>
          <w:tcPr>
            <w:tcW w:w="542" w:type="pct"/>
          </w:tcPr>
          <w:p w14:paraId="7C77800C"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257</w:t>
            </w:r>
          </w:p>
        </w:tc>
      </w:tr>
      <w:tr w:rsidR="001F0131" w:rsidRPr="001F0131" w14:paraId="356CC8FB"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13B99219" w14:textId="77777777" w:rsidR="00F4685C" w:rsidRPr="001F0131" w:rsidRDefault="00F4685C" w:rsidP="00163044">
            <w:pPr>
              <w:pStyle w:val="TCTableBody"/>
              <w:rPr>
                <w:lang w:eastAsia="ja-JP"/>
              </w:rPr>
            </w:pPr>
            <w:r w:rsidRPr="001F0131">
              <w:rPr>
                <w:rFonts w:hint="eastAsia"/>
                <w:lang w:eastAsia="ja-JP"/>
              </w:rPr>
              <w:t>B</w:t>
            </w:r>
            <w:r w:rsidRPr="001F0131">
              <w:rPr>
                <w:lang w:eastAsia="ja-JP"/>
              </w:rPr>
              <w:t>a</w:t>
            </w:r>
            <w:r w:rsidRPr="001F0131">
              <w:rPr>
                <w:vertAlign w:val="subscript"/>
                <w:lang w:eastAsia="ja-JP"/>
              </w:rPr>
              <w:t>2</w:t>
            </w:r>
            <w:r w:rsidRPr="001F0131">
              <w:rPr>
                <w:lang w:eastAsia="ja-JP"/>
              </w:rPr>
              <w:t>OI</w:t>
            </w:r>
            <w:r w:rsidRPr="001F0131">
              <w:rPr>
                <w:vertAlign w:val="subscript"/>
                <w:lang w:eastAsia="ja-JP"/>
              </w:rPr>
              <w:t>2</w:t>
            </w:r>
          </w:p>
        </w:tc>
        <w:tc>
          <w:tcPr>
            <w:tcW w:w="667" w:type="pct"/>
          </w:tcPr>
          <w:p w14:paraId="51268F5D"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1</w:t>
            </w:r>
            <w:r w:rsidRPr="001F0131">
              <w:rPr>
                <w:lang w:eastAsia="ja-JP"/>
              </w:rPr>
              <w:t>00</w:t>
            </w:r>
          </w:p>
        </w:tc>
        <w:tc>
          <w:tcPr>
            <w:tcW w:w="671" w:type="pct"/>
          </w:tcPr>
          <w:p w14:paraId="4F56CB29"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8</w:t>
            </w:r>
            <w:r w:rsidRPr="001F0131">
              <w:rPr>
                <w:lang w:eastAsia="ja-JP"/>
              </w:rPr>
              <w:t>1</w:t>
            </w:r>
          </w:p>
        </w:tc>
        <w:tc>
          <w:tcPr>
            <w:tcW w:w="748" w:type="pct"/>
          </w:tcPr>
          <w:p w14:paraId="4FBCBEB5"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I </w:t>
            </w:r>
            <w:r w:rsidRPr="001F0131">
              <w:rPr>
                <w:lang w:eastAsia="ja-JP"/>
              </w:rPr>
              <w:t>b</w:t>
            </w:r>
            <w:r w:rsidRPr="001F0131">
              <w:rPr>
                <w:rFonts w:hint="eastAsia"/>
                <w:lang w:eastAsia="ja-JP"/>
              </w:rPr>
              <w:t xml:space="preserve"> </w:t>
            </w:r>
            <w:r w:rsidRPr="001F0131">
              <w:rPr>
                <w:lang w:eastAsia="ja-JP"/>
              </w:rPr>
              <w:t>a</w:t>
            </w:r>
            <w:r w:rsidRPr="001F0131">
              <w:rPr>
                <w:rFonts w:hint="eastAsia"/>
                <w:lang w:eastAsia="ja-JP"/>
              </w:rPr>
              <w:t xml:space="preserve"> </w:t>
            </w:r>
            <w:r w:rsidRPr="001F0131">
              <w:rPr>
                <w:lang w:eastAsia="ja-JP"/>
              </w:rPr>
              <w:t>m (72)</w:t>
            </w:r>
          </w:p>
        </w:tc>
        <w:tc>
          <w:tcPr>
            <w:tcW w:w="580" w:type="pct"/>
          </w:tcPr>
          <w:p w14:paraId="16ED054A"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No</w:t>
            </w:r>
          </w:p>
        </w:tc>
        <w:tc>
          <w:tcPr>
            <w:tcW w:w="541" w:type="pct"/>
          </w:tcPr>
          <w:p w14:paraId="1DF0B210"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35EBE2E9"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7A1ED800"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96711D6" w14:textId="77777777" w:rsidR="00F4685C" w:rsidRPr="001F0131" w:rsidRDefault="00F4685C" w:rsidP="00163044">
            <w:pPr>
              <w:pStyle w:val="TCTableBody"/>
              <w:rPr>
                <w:lang w:eastAsia="ja-JP"/>
              </w:rPr>
            </w:pPr>
            <w:r w:rsidRPr="001F0131">
              <w:rPr>
                <w:rFonts w:hint="eastAsia"/>
                <w:lang w:eastAsia="ja-JP"/>
              </w:rPr>
              <w:t>S</w:t>
            </w:r>
            <w:r w:rsidRPr="001F0131">
              <w:rPr>
                <w:lang w:eastAsia="ja-JP"/>
              </w:rPr>
              <w:t>r</w:t>
            </w:r>
            <w:r w:rsidRPr="001F0131">
              <w:rPr>
                <w:vertAlign w:val="subscript"/>
                <w:lang w:eastAsia="ja-JP"/>
              </w:rPr>
              <w:t>4</w:t>
            </w:r>
            <w:r w:rsidRPr="001F0131">
              <w:rPr>
                <w:lang w:eastAsia="ja-JP"/>
              </w:rPr>
              <w:t>OI</w:t>
            </w:r>
            <w:r w:rsidRPr="001F0131">
              <w:rPr>
                <w:vertAlign w:val="subscript"/>
                <w:lang w:eastAsia="ja-JP"/>
              </w:rPr>
              <w:t>6</w:t>
            </w:r>
          </w:p>
        </w:tc>
        <w:tc>
          <w:tcPr>
            <w:tcW w:w="667" w:type="pct"/>
          </w:tcPr>
          <w:p w14:paraId="7224119C"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100</w:t>
            </w:r>
          </w:p>
        </w:tc>
        <w:tc>
          <w:tcPr>
            <w:tcW w:w="671" w:type="pct"/>
          </w:tcPr>
          <w:p w14:paraId="6CC489D3"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7</w:t>
            </w:r>
            <w:r w:rsidRPr="001F0131">
              <w:rPr>
                <w:lang w:eastAsia="ja-JP"/>
              </w:rPr>
              <w:t>5</w:t>
            </w:r>
          </w:p>
        </w:tc>
        <w:tc>
          <w:tcPr>
            <w:tcW w:w="748" w:type="pct"/>
          </w:tcPr>
          <w:p w14:paraId="4AE8631B"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6</w:t>
            </w:r>
            <w:r w:rsidRPr="001F0131">
              <w:rPr>
                <w:vertAlign w:val="subscript"/>
                <w:lang w:eastAsia="ja-JP"/>
              </w:rPr>
              <w:t>3</w:t>
            </w:r>
            <w:r w:rsidRPr="001F0131">
              <w:rPr>
                <w:rFonts w:hint="eastAsia"/>
                <w:lang w:eastAsia="ja-JP"/>
              </w:rPr>
              <w:t xml:space="preserve"> m </w:t>
            </w:r>
            <w:r w:rsidRPr="001F0131">
              <w:rPr>
                <w:lang w:eastAsia="ja-JP"/>
              </w:rPr>
              <w:t>c (186)</w:t>
            </w:r>
          </w:p>
        </w:tc>
        <w:tc>
          <w:tcPr>
            <w:tcW w:w="580" w:type="pct"/>
          </w:tcPr>
          <w:p w14:paraId="502EDB99"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E</w:t>
            </w:r>
            <w:r w:rsidRPr="001F0131">
              <w:rPr>
                <w:lang w:eastAsia="ja-JP"/>
              </w:rPr>
              <w:t>u</w:t>
            </w:r>
            <w:r w:rsidRPr="001F0131">
              <w:rPr>
                <w:vertAlign w:val="superscript"/>
                <w:lang w:eastAsia="ja-JP"/>
              </w:rPr>
              <w:t>2+</w:t>
            </w:r>
          </w:p>
        </w:tc>
        <w:tc>
          <w:tcPr>
            <w:tcW w:w="541" w:type="pct"/>
          </w:tcPr>
          <w:p w14:paraId="30AB5FCA"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471</w:t>
            </w:r>
          </w:p>
        </w:tc>
        <w:tc>
          <w:tcPr>
            <w:tcW w:w="542" w:type="pct"/>
          </w:tcPr>
          <w:p w14:paraId="39868EBE"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318</w:t>
            </w:r>
          </w:p>
        </w:tc>
      </w:tr>
      <w:tr w:rsidR="001F0131" w:rsidRPr="001F0131" w14:paraId="1939770F"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0C51750F" w14:textId="77777777" w:rsidR="00F4685C" w:rsidRPr="001F0131" w:rsidRDefault="00F4685C" w:rsidP="00163044">
            <w:pPr>
              <w:pStyle w:val="TCTableBody"/>
              <w:rPr>
                <w:lang w:eastAsia="ja-JP"/>
              </w:rPr>
            </w:pPr>
            <w:r w:rsidRPr="001F0131">
              <w:rPr>
                <w:rFonts w:hint="eastAsia"/>
                <w:lang w:eastAsia="ja-JP"/>
              </w:rPr>
              <w:t>B</w:t>
            </w:r>
            <w:r w:rsidRPr="001F0131">
              <w:rPr>
                <w:lang w:eastAsia="ja-JP"/>
              </w:rPr>
              <w:t>a</w:t>
            </w:r>
            <w:r w:rsidRPr="001F0131">
              <w:rPr>
                <w:vertAlign w:val="subscript"/>
                <w:lang w:eastAsia="ja-JP"/>
              </w:rPr>
              <w:t>4</w:t>
            </w:r>
            <w:r w:rsidRPr="001F0131">
              <w:rPr>
                <w:lang w:eastAsia="ja-JP"/>
              </w:rPr>
              <w:t>OI</w:t>
            </w:r>
            <w:r w:rsidRPr="001F0131">
              <w:rPr>
                <w:vertAlign w:val="subscript"/>
                <w:lang w:eastAsia="ja-JP"/>
              </w:rPr>
              <w:t>6</w:t>
            </w:r>
          </w:p>
        </w:tc>
        <w:tc>
          <w:tcPr>
            <w:tcW w:w="667" w:type="pct"/>
          </w:tcPr>
          <w:p w14:paraId="2C047A12"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100</w:t>
            </w:r>
          </w:p>
        </w:tc>
        <w:tc>
          <w:tcPr>
            <w:tcW w:w="671" w:type="pct"/>
          </w:tcPr>
          <w:p w14:paraId="42CBD22A"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9</w:t>
            </w:r>
            <w:r w:rsidRPr="001F0131">
              <w:rPr>
                <w:lang w:eastAsia="ja-JP"/>
              </w:rPr>
              <w:t>6</w:t>
            </w:r>
          </w:p>
        </w:tc>
        <w:tc>
          <w:tcPr>
            <w:tcW w:w="748" w:type="pct"/>
          </w:tcPr>
          <w:p w14:paraId="204A75FE"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6</w:t>
            </w:r>
            <w:r w:rsidRPr="001F0131">
              <w:rPr>
                <w:vertAlign w:val="subscript"/>
                <w:lang w:eastAsia="ja-JP"/>
              </w:rPr>
              <w:t>3</w:t>
            </w:r>
            <w:r w:rsidRPr="001F0131">
              <w:rPr>
                <w:rFonts w:hint="eastAsia"/>
                <w:lang w:eastAsia="ja-JP"/>
              </w:rPr>
              <w:t xml:space="preserve"> m </w:t>
            </w:r>
            <w:r w:rsidRPr="001F0131">
              <w:rPr>
                <w:lang w:eastAsia="ja-JP"/>
              </w:rPr>
              <w:t>c (186)</w:t>
            </w:r>
          </w:p>
        </w:tc>
        <w:tc>
          <w:tcPr>
            <w:tcW w:w="580" w:type="pct"/>
          </w:tcPr>
          <w:p w14:paraId="639D57DB"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E</w:t>
            </w:r>
            <w:r w:rsidRPr="001F0131">
              <w:rPr>
                <w:lang w:eastAsia="ja-JP"/>
              </w:rPr>
              <w:t>u</w:t>
            </w:r>
            <w:r w:rsidRPr="001F0131">
              <w:rPr>
                <w:vertAlign w:val="superscript"/>
                <w:lang w:eastAsia="ja-JP"/>
              </w:rPr>
              <w:t>2+</w:t>
            </w:r>
          </w:p>
        </w:tc>
        <w:tc>
          <w:tcPr>
            <w:tcW w:w="541" w:type="pct"/>
          </w:tcPr>
          <w:p w14:paraId="26404A72"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476</w:t>
            </w:r>
          </w:p>
        </w:tc>
        <w:tc>
          <w:tcPr>
            <w:tcW w:w="542" w:type="pct"/>
          </w:tcPr>
          <w:p w14:paraId="0B74C1BF"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325</w:t>
            </w:r>
          </w:p>
        </w:tc>
      </w:tr>
      <w:tr w:rsidR="001F0131" w:rsidRPr="001F0131" w14:paraId="7CCA7D18"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C99368B" w14:textId="77777777" w:rsidR="00F4685C" w:rsidRPr="001F0131" w:rsidRDefault="00F4685C" w:rsidP="00163044">
            <w:pPr>
              <w:pStyle w:val="TCTableBody"/>
              <w:rPr>
                <w:lang w:eastAsia="ja-JP"/>
              </w:rPr>
            </w:pPr>
            <w:r w:rsidRPr="001F0131">
              <w:rPr>
                <w:rFonts w:hint="eastAsia"/>
                <w:lang w:eastAsia="ja-JP"/>
              </w:rPr>
              <w:t>B</w:t>
            </w:r>
            <w:r w:rsidRPr="001F0131">
              <w:rPr>
                <w:lang w:eastAsia="ja-JP"/>
              </w:rPr>
              <w:t>a</w:t>
            </w:r>
            <w:r w:rsidRPr="001F0131">
              <w:rPr>
                <w:vertAlign w:val="subscript"/>
                <w:lang w:eastAsia="ja-JP"/>
              </w:rPr>
              <w:t>2</w:t>
            </w:r>
            <w:r w:rsidRPr="001F0131">
              <w:rPr>
                <w:lang w:eastAsia="ja-JP"/>
              </w:rPr>
              <w:t>PO</w:t>
            </w:r>
            <w:r w:rsidRPr="001F0131">
              <w:rPr>
                <w:vertAlign w:val="subscript"/>
                <w:lang w:eastAsia="ja-JP"/>
              </w:rPr>
              <w:t>4</w:t>
            </w:r>
            <w:r w:rsidRPr="001F0131">
              <w:rPr>
                <w:lang w:eastAsia="ja-JP"/>
              </w:rPr>
              <w:t>I</w:t>
            </w:r>
          </w:p>
        </w:tc>
        <w:tc>
          <w:tcPr>
            <w:tcW w:w="667" w:type="pct"/>
          </w:tcPr>
          <w:p w14:paraId="2CCE3FE6"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92</w:t>
            </w:r>
          </w:p>
        </w:tc>
        <w:tc>
          <w:tcPr>
            <w:tcW w:w="671" w:type="pct"/>
          </w:tcPr>
          <w:p w14:paraId="7F762661"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9</w:t>
            </w:r>
            <w:r w:rsidRPr="001F0131">
              <w:rPr>
                <w:lang w:eastAsia="ja-JP"/>
              </w:rPr>
              <w:t>4</w:t>
            </w:r>
          </w:p>
        </w:tc>
        <w:tc>
          <w:tcPr>
            <w:tcW w:w="748" w:type="pct"/>
          </w:tcPr>
          <w:p w14:paraId="72AB508B"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2</w:t>
            </w:r>
            <w:r w:rsidRPr="001F0131">
              <w:rPr>
                <w:vertAlign w:val="subscript"/>
                <w:lang w:eastAsia="ja-JP"/>
              </w:rPr>
              <w:t>1</w:t>
            </w:r>
            <w:r w:rsidRPr="001F0131">
              <w:rPr>
                <w:lang w:eastAsia="ja-JP"/>
              </w:rPr>
              <w:t>/c (14)</w:t>
            </w:r>
          </w:p>
        </w:tc>
        <w:tc>
          <w:tcPr>
            <w:tcW w:w="580" w:type="pct"/>
          </w:tcPr>
          <w:p w14:paraId="313DE7B2"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highlight w:val="yellow"/>
                <w:lang w:eastAsia="ja-JP"/>
              </w:rPr>
            </w:pPr>
            <w:r w:rsidRPr="001F0131">
              <w:rPr>
                <w:rFonts w:hint="eastAsia"/>
                <w:lang w:eastAsia="ja-JP"/>
              </w:rPr>
              <w:t>E</w:t>
            </w:r>
            <w:r w:rsidRPr="001F0131">
              <w:rPr>
                <w:lang w:eastAsia="ja-JP"/>
              </w:rPr>
              <w:t>u</w:t>
            </w:r>
            <w:r w:rsidRPr="001F0131">
              <w:rPr>
                <w:vertAlign w:val="superscript"/>
                <w:lang w:eastAsia="ja-JP"/>
              </w:rPr>
              <w:t>2+</w:t>
            </w:r>
          </w:p>
        </w:tc>
        <w:tc>
          <w:tcPr>
            <w:tcW w:w="541" w:type="pct"/>
          </w:tcPr>
          <w:p w14:paraId="2EEE739A"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418</w:t>
            </w:r>
          </w:p>
        </w:tc>
        <w:tc>
          <w:tcPr>
            <w:tcW w:w="542" w:type="pct"/>
          </w:tcPr>
          <w:p w14:paraId="0CD5AFEB"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304</w:t>
            </w:r>
          </w:p>
        </w:tc>
      </w:tr>
      <w:tr w:rsidR="001F0131" w:rsidRPr="001F0131" w14:paraId="1FC94AD4"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7F2E00CB" w14:textId="77777777" w:rsidR="00F4685C" w:rsidRPr="001F0131" w:rsidRDefault="00F4685C" w:rsidP="00163044">
            <w:pPr>
              <w:pStyle w:val="TCTableBody"/>
              <w:rPr>
                <w:highlight w:val="yellow"/>
                <w:lang w:eastAsia="ja-JP"/>
              </w:rPr>
            </w:pPr>
            <w:r w:rsidRPr="001F0131">
              <w:rPr>
                <w:rFonts w:hint="eastAsia"/>
                <w:lang w:eastAsia="ja-JP"/>
              </w:rPr>
              <w:lastRenderedPageBreak/>
              <w:t>S</w:t>
            </w:r>
            <w:r w:rsidRPr="001F0131">
              <w:rPr>
                <w:lang w:eastAsia="ja-JP"/>
              </w:rPr>
              <w:t>r</w:t>
            </w:r>
            <w:r w:rsidRPr="001F0131">
              <w:rPr>
                <w:vertAlign w:val="subscript"/>
                <w:lang w:eastAsia="ja-JP"/>
              </w:rPr>
              <w:t>2</w:t>
            </w:r>
            <w:r w:rsidRPr="001F0131">
              <w:rPr>
                <w:lang w:eastAsia="ja-JP"/>
              </w:rPr>
              <w:t>PO</w:t>
            </w:r>
            <w:r w:rsidRPr="001F0131">
              <w:rPr>
                <w:vertAlign w:val="subscript"/>
                <w:lang w:eastAsia="ja-JP"/>
              </w:rPr>
              <w:t>4</w:t>
            </w:r>
            <w:r w:rsidRPr="001F0131">
              <w:rPr>
                <w:lang w:eastAsia="ja-JP"/>
              </w:rPr>
              <w:t>I</w:t>
            </w:r>
          </w:p>
        </w:tc>
        <w:tc>
          <w:tcPr>
            <w:tcW w:w="667" w:type="pct"/>
          </w:tcPr>
          <w:p w14:paraId="22E16E59"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77</w:t>
            </w:r>
          </w:p>
        </w:tc>
        <w:tc>
          <w:tcPr>
            <w:tcW w:w="671" w:type="pct"/>
          </w:tcPr>
          <w:p w14:paraId="3D5316E3"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9</w:t>
            </w:r>
            <w:r w:rsidRPr="001F0131">
              <w:rPr>
                <w:lang w:eastAsia="ja-JP"/>
              </w:rPr>
              <w:t>7</w:t>
            </w:r>
          </w:p>
        </w:tc>
        <w:tc>
          <w:tcPr>
            <w:tcW w:w="748" w:type="pct"/>
          </w:tcPr>
          <w:p w14:paraId="37A1D20A"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2</w:t>
            </w:r>
            <w:r w:rsidRPr="001F0131">
              <w:rPr>
                <w:vertAlign w:val="subscript"/>
                <w:lang w:eastAsia="ja-JP"/>
              </w:rPr>
              <w:t>1</w:t>
            </w:r>
            <w:r w:rsidRPr="001F0131">
              <w:rPr>
                <w:lang w:eastAsia="ja-JP"/>
              </w:rPr>
              <w:t>/c (14)</w:t>
            </w:r>
          </w:p>
        </w:tc>
        <w:tc>
          <w:tcPr>
            <w:tcW w:w="580" w:type="pct"/>
          </w:tcPr>
          <w:p w14:paraId="56039FB9"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highlight w:val="yellow"/>
                <w:lang w:eastAsia="ja-JP"/>
              </w:rPr>
            </w:pPr>
            <w:r w:rsidRPr="001F0131">
              <w:rPr>
                <w:rFonts w:hint="eastAsia"/>
                <w:lang w:eastAsia="ja-JP"/>
              </w:rPr>
              <w:t>E</w:t>
            </w:r>
            <w:r w:rsidRPr="001F0131">
              <w:rPr>
                <w:lang w:eastAsia="ja-JP"/>
              </w:rPr>
              <w:t>u</w:t>
            </w:r>
            <w:r w:rsidRPr="001F0131">
              <w:rPr>
                <w:vertAlign w:val="superscript"/>
                <w:lang w:eastAsia="ja-JP"/>
              </w:rPr>
              <w:t>2+</w:t>
            </w:r>
          </w:p>
        </w:tc>
        <w:tc>
          <w:tcPr>
            <w:tcW w:w="541" w:type="pct"/>
          </w:tcPr>
          <w:p w14:paraId="64137118"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420</w:t>
            </w:r>
          </w:p>
        </w:tc>
        <w:tc>
          <w:tcPr>
            <w:tcW w:w="542" w:type="pct"/>
          </w:tcPr>
          <w:p w14:paraId="58E68D58"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293</w:t>
            </w:r>
          </w:p>
        </w:tc>
      </w:tr>
      <w:tr w:rsidR="001F0131" w:rsidRPr="001F0131" w14:paraId="240DE6DE"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8486309" w14:textId="77777777" w:rsidR="00F4685C" w:rsidRPr="001F0131" w:rsidRDefault="00F4685C" w:rsidP="00163044">
            <w:pPr>
              <w:pStyle w:val="TCTableBody"/>
              <w:rPr>
                <w:lang w:eastAsia="ja-JP"/>
              </w:rPr>
            </w:pPr>
            <w:r w:rsidRPr="001F0131">
              <w:rPr>
                <w:lang w:eastAsia="ja-JP"/>
              </w:rPr>
              <w:t>Oxysulfide</w:t>
            </w:r>
          </w:p>
        </w:tc>
        <w:tc>
          <w:tcPr>
            <w:tcW w:w="667" w:type="pct"/>
          </w:tcPr>
          <w:p w14:paraId="5C0C16B3"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671" w:type="pct"/>
          </w:tcPr>
          <w:p w14:paraId="56CFC757"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748" w:type="pct"/>
          </w:tcPr>
          <w:p w14:paraId="7C1F272C"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80" w:type="pct"/>
          </w:tcPr>
          <w:p w14:paraId="522EC9A1"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p>
        </w:tc>
        <w:tc>
          <w:tcPr>
            <w:tcW w:w="541" w:type="pct"/>
          </w:tcPr>
          <w:p w14:paraId="67FA0F0F"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7F20B007"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6F3947DE"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445EA2E6" w14:textId="77777777" w:rsidR="00F4685C" w:rsidRPr="001F0131" w:rsidRDefault="00F4685C" w:rsidP="00163044">
            <w:pPr>
              <w:pStyle w:val="TCTableBody"/>
              <w:rPr>
                <w:lang w:eastAsia="ja-JP"/>
              </w:rPr>
            </w:pPr>
            <w:r w:rsidRPr="001F0131">
              <w:rPr>
                <w:rFonts w:hint="eastAsia"/>
                <w:lang w:eastAsia="ja-JP"/>
              </w:rPr>
              <w:t>S</w:t>
            </w:r>
            <w:r w:rsidRPr="001F0131">
              <w:rPr>
                <w:lang w:eastAsia="ja-JP"/>
              </w:rPr>
              <w:t>r</w:t>
            </w:r>
            <w:r w:rsidRPr="001F0131">
              <w:rPr>
                <w:vertAlign w:val="subscript"/>
                <w:lang w:eastAsia="ja-JP"/>
              </w:rPr>
              <w:t>2</w:t>
            </w:r>
            <w:r w:rsidRPr="001F0131">
              <w:rPr>
                <w:lang w:eastAsia="ja-JP"/>
              </w:rPr>
              <w:t>ZnGe</w:t>
            </w:r>
            <w:r w:rsidRPr="001F0131">
              <w:rPr>
                <w:vertAlign w:val="subscript"/>
                <w:lang w:eastAsia="ja-JP"/>
              </w:rPr>
              <w:t>2</w:t>
            </w:r>
            <w:r w:rsidRPr="001F0131">
              <w:rPr>
                <w:lang w:eastAsia="ja-JP"/>
              </w:rPr>
              <w:t>S</w:t>
            </w:r>
            <w:r w:rsidRPr="001F0131">
              <w:rPr>
                <w:vertAlign w:val="subscript"/>
                <w:lang w:eastAsia="ja-JP"/>
              </w:rPr>
              <w:t>6</w:t>
            </w:r>
            <w:r w:rsidRPr="001F0131">
              <w:rPr>
                <w:lang w:eastAsia="ja-JP"/>
              </w:rPr>
              <w:t>O</w:t>
            </w:r>
          </w:p>
        </w:tc>
        <w:tc>
          <w:tcPr>
            <w:tcW w:w="667" w:type="pct"/>
          </w:tcPr>
          <w:p w14:paraId="7D9C19A2"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100</w:t>
            </w:r>
          </w:p>
        </w:tc>
        <w:tc>
          <w:tcPr>
            <w:tcW w:w="671" w:type="pct"/>
          </w:tcPr>
          <w:p w14:paraId="68905203"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9</w:t>
            </w:r>
            <w:r w:rsidRPr="001F0131">
              <w:rPr>
                <w:lang w:eastAsia="ja-JP"/>
              </w:rPr>
              <w:t>8</w:t>
            </w:r>
          </w:p>
        </w:tc>
        <w:tc>
          <w:tcPr>
            <w:tcW w:w="748" w:type="pct"/>
          </w:tcPr>
          <w:p w14:paraId="03A7282B"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-4</w:t>
            </w:r>
            <w:r w:rsidRPr="001F0131">
              <w:rPr>
                <w:rFonts w:hint="eastAsia"/>
                <w:lang w:eastAsia="ja-JP"/>
              </w:rPr>
              <w:t xml:space="preserve"> </w:t>
            </w:r>
            <w:r w:rsidRPr="001F0131">
              <w:rPr>
                <w:lang w:eastAsia="ja-JP"/>
              </w:rPr>
              <w:t>2</w:t>
            </w:r>
            <w:r w:rsidRPr="001F0131">
              <w:rPr>
                <w:vertAlign w:val="subscript"/>
                <w:lang w:eastAsia="ja-JP"/>
              </w:rPr>
              <w:t>1</w:t>
            </w:r>
            <w:r w:rsidRPr="001F0131">
              <w:rPr>
                <w:rFonts w:hint="eastAsia"/>
                <w:lang w:eastAsia="ja-JP"/>
              </w:rPr>
              <w:t xml:space="preserve"> m</w:t>
            </w:r>
            <w:r w:rsidRPr="001F0131">
              <w:rPr>
                <w:lang w:eastAsia="ja-JP"/>
              </w:rPr>
              <w:t xml:space="preserve"> (113)</w:t>
            </w:r>
          </w:p>
        </w:tc>
        <w:tc>
          <w:tcPr>
            <w:tcW w:w="580" w:type="pct"/>
          </w:tcPr>
          <w:p w14:paraId="3EBC9C63"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No</w:t>
            </w:r>
          </w:p>
        </w:tc>
        <w:tc>
          <w:tcPr>
            <w:tcW w:w="541" w:type="pct"/>
          </w:tcPr>
          <w:p w14:paraId="64C86697"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7714ACE2"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794BFA4A"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38713E7" w14:textId="77777777" w:rsidR="00F4685C" w:rsidRPr="001F0131" w:rsidRDefault="00F4685C" w:rsidP="00163044">
            <w:pPr>
              <w:pStyle w:val="TCTableBody"/>
              <w:rPr>
                <w:lang w:eastAsia="ja-JP"/>
              </w:rPr>
            </w:pPr>
            <w:r w:rsidRPr="001F0131">
              <w:rPr>
                <w:rFonts w:hint="eastAsia"/>
                <w:lang w:eastAsia="ja-JP"/>
              </w:rPr>
              <w:t>B</w:t>
            </w:r>
            <w:r w:rsidRPr="001F0131">
              <w:rPr>
                <w:lang w:eastAsia="ja-JP"/>
              </w:rPr>
              <w:t>a</w:t>
            </w:r>
            <w:r w:rsidRPr="001F0131">
              <w:rPr>
                <w:vertAlign w:val="subscript"/>
                <w:lang w:eastAsia="ja-JP"/>
              </w:rPr>
              <w:t>2</w:t>
            </w:r>
            <w:r w:rsidRPr="001F0131">
              <w:rPr>
                <w:lang w:eastAsia="ja-JP"/>
              </w:rPr>
              <w:t>ZnGe</w:t>
            </w:r>
            <w:r w:rsidRPr="001F0131">
              <w:rPr>
                <w:vertAlign w:val="subscript"/>
                <w:lang w:eastAsia="ja-JP"/>
              </w:rPr>
              <w:t>2</w:t>
            </w:r>
            <w:r w:rsidRPr="001F0131">
              <w:rPr>
                <w:lang w:eastAsia="ja-JP"/>
              </w:rPr>
              <w:t>S</w:t>
            </w:r>
            <w:r w:rsidRPr="001F0131">
              <w:rPr>
                <w:vertAlign w:val="subscript"/>
                <w:lang w:eastAsia="ja-JP"/>
              </w:rPr>
              <w:t>6</w:t>
            </w:r>
            <w:r w:rsidRPr="001F0131">
              <w:rPr>
                <w:lang w:eastAsia="ja-JP"/>
              </w:rPr>
              <w:t>O</w:t>
            </w:r>
          </w:p>
        </w:tc>
        <w:tc>
          <w:tcPr>
            <w:tcW w:w="667" w:type="pct"/>
          </w:tcPr>
          <w:p w14:paraId="701328F5"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100</w:t>
            </w:r>
          </w:p>
        </w:tc>
        <w:tc>
          <w:tcPr>
            <w:tcW w:w="671" w:type="pct"/>
          </w:tcPr>
          <w:p w14:paraId="2A172702"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74</w:t>
            </w:r>
          </w:p>
        </w:tc>
        <w:tc>
          <w:tcPr>
            <w:tcW w:w="748" w:type="pct"/>
          </w:tcPr>
          <w:p w14:paraId="55402FB2"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-4</w:t>
            </w:r>
            <w:r w:rsidRPr="001F0131">
              <w:rPr>
                <w:rFonts w:hint="eastAsia"/>
                <w:lang w:eastAsia="ja-JP"/>
              </w:rPr>
              <w:t xml:space="preserve"> </w:t>
            </w:r>
            <w:r w:rsidRPr="001F0131">
              <w:rPr>
                <w:lang w:eastAsia="ja-JP"/>
              </w:rPr>
              <w:t>2</w:t>
            </w:r>
            <w:r w:rsidRPr="001F0131">
              <w:rPr>
                <w:vertAlign w:val="subscript"/>
                <w:lang w:eastAsia="ja-JP"/>
              </w:rPr>
              <w:t>1</w:t>
            </w:r>
            <w:r w:rsidRPr="001F0131">
              <w:rPr>
                <w:rFonts w:hint="eastAsia"/>
                <w:lang w:eastAsia="ja-JP"/>
              </w:rPr>
              <w:t xml:space="preserve"> m</w:t>
            </w:r>
            <w:r w:rsidRPr="001F0131">
              <w:rPr>
                <w:lang w:eastAsia="ja-JP"/>
              </w:rPr>
              <w:t xml:space="preserve"> (113)</w:t>
            </w:r>
          </w:p>
        </w:tc>
        <w:tc>
          <w:tcPr>
            <w:tcW w:w="580" w:type="pct"/>
          </w:tcPr>
          <w:p w14:paraId="1A72B3CE"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N</w:t>
            </w:r>
            <w:r w:rsidRPr="001F0131">
              <w:rPr>
                <w:lang w:eastAsia="ja-JP"/>
              </w:rPr>
              <w:t>o</w:t>
            </w:r>
          </w:p>
        </w:tc>
        <w:tc>
          <w:tcPr>
            <w:tcW w:w="541" w:type="pct"/>
          </w:tcPr>
          <w:p w14:paraId="3D68AE24"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73ED7FC7"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2DDE7458"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72CDD29B" w14:textId="77777777" w:rsidR="00F4685C" w:rsidRPr="001F0131" w:rsidRDefault="00F4685C" w:rsidP="00163044">
            <w:pPr>
              <w:pStyle w:val="TCTableBody"/>
              <w:rPr>
                <w:lang w:eastAsia="ja-JP"/>
              </w:rPr>
            </w:pPr>
            <w:r w:rsidRPr="001F0131">
              <w:rPr>
                <w:rFonts w:hint="eastAsia"/>
                <w:lang w:eastAsia="ja-JP"/>
              </w:rPr>
              <w:t>B</w:t>
            </w:r>
            <w:r w:rsidRPr="001F0131">
              <w:rPr>
                <w:lang w:eastAsia="ja-JP"/>
              </w:rPr>
              <w:t>aZnSO</w:t>
            </w:r>
          </w:p>
        </w:tc>
        <w:tc>
          <w:tcPr>
            <w:tcW w:w="667" w:type="pct"/>
          </w:tcPr>
          <w:p w14:paraId="5D156989"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94</w:t>
            </w:r>
          </w:p>
        </w:tc>
        <w:tc>
          <w:tcPr>
            <w:tcW w:w="671" w:type="pct"/>
          </w:tcPr>
          <w:p w14:paraId="197E95E6"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93</w:t>
            </w:r>
          </w:p>
        </w:tc>
        <w:tc>
          <w:tcPr>
            <w:tcW w:w="748" w:type="pct"/>
          </w:tcPr>
          <w:p w14:paraId="284945F7"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C </w:t>
            </w:r>
            <w:r w:rsidRPr="001F0131">
              <w:rPr>
                <w:lang w:eastAsia="ja-JP"/>
              </w:rPr>
              <w:t>m</w:t>
            </w:r>
            <w:r w:rsidRPr="001F0131">
              <w:rPr>
                <w:rFonts w:hint="eastAsia"/>
                <w:lang w:eastAsia="ja-JP"/>
              </w:rPr>
              <w:t xml:space="preserve"> </w:t>
            </w:r>
            <w:r w:rsidRPr="001F0131">
              <w:rPr>
                <w:lang w:eastAsia="ja-JP"/>
              </w:rPr>
              <w:t>c</w:t>
            </w:r>
            <w:r w:rsidRPr="001F0131">
              <w:rPr>
                <w:rFonts w:hint="eastAsia"/>
                <w:lang w:eastAsia="ja-JP"/>
              </w:rPr>
              <w:t xml:space="preserve"> </w:t>
            </w:r>
            <w:r w:rsidRPr="001F0131">
              <w:rPr>
                <w:lang w:eastAsia="ja-JP"/>
              </w:rPr>
              <w:t>m (63)</w:t>
            </w:r>
          </w:p>
        </w:tc>
        <w:tc>
          <w:tcPr>
            <w:tcW w:w="580" w:type="pct"/>
          </w:tcPr>
          <w:p w14:paraId="1E0DCB0E"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highlight w:val="yellow"/>
                <w:lang w:eastAsia="ja-JP"/>
              </w:rPr>
            </w:pPr>
            <w:r w:rsidRPr="001F0131">
              <w:rPr>
                <w:lang w:eastAsia="ja-JP"/>
              </w:rPr>
              <w:t>No</w:t>
            </w:r>
          </w:p>
        </w:tc>
        <w:tc>
          <w:tcPr>
            <w:tcW w:w="541" w:type="pct"/>
          </w:tcPr>
          <w:p w14:paraId="1233A604"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62749755"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1C8EF425"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A220CFD" w14:textId="77777777" w:rsidR="00F4685C" w:rsidRPr="001F0131" w:rsidRDefault="00F4685C" w:rsidP="00163044">
            <w:pPr>
              <w:pStyle w:val="TCTableBody"/>
              <w:rPr>
                <w:lang w:eastAsia="ja-JP"/>
              </w:rPr>
            </w:pPr>
            <w:r w:rsidRPr="001F0131">
              <w:rPr>
                <w:rFonts w:hint="eastAsia"/>
                <w:lang w:eastAsia="ja-JP"/>
              </w:rPr>
              <w:t>B</w:t>
            </w:r>
            <w:r w:rsidRPr="001F0131">
              <w:rPr>
                <w:lang w:eastAsia="ja-JP"/>
              </w:rPr>
              <w:t>a</w:t>
            </w:r>
            <w:r w:rsidRPr="001F0131">
              <w:rPr>
                <w:vertAlign w:val="subscript"/>
                <w:lang w:eastAsia="ja-JP"/>
              </w:rPr>
              <w:t>10</w:t>
            </w:r>
            <w:r w:rsidRPr="001F0131">
              <w:rPr>
                <w:lang w:eastAsia="ja-JP"/>
              </w:rPr>
              <w:t>(PO</w:t>
            </w:r>
            <w:r w:rsidRPr="001F0131">
              <w:rPr>
                <w:vertAlign w:val="subscript"/>
                <w:lang w:eastAsia="ja-JP"/>
              </w:rPr>
              <w:t>4</w:t>
            </w:r>
            <w:r w:rsidRPr="001F0131">
              <w:rPr>
                <w:lang w:eastAsia="ja-JP"/>
              </w:rPr>
              <w:t>)</w:t>
            </w:r>
            <w:r w:rsidRPr="001F0131">
              <w:rPr>
                <w:vertAlign w:val="subscript"/>
                <w:lang w:eastAsia="ja-JP"/>
              </w:rPr>
              <w:t>6</w:t>
            </w:r>
            <w:r w:rsidRPr="001F0131">
              <w:rPr>
                <w:lang w:eastAsia="ja-JP"/>
              </w:rPr>
              <w:t>S</w:t>
            </w:r>
          </w:p>
        </w:tc>
        <w:tc>
          <w:tcPr>
            <w:tcW w:w="667" w:type="pct"/>
          </w:tcPr>
          <w:p w14:paraId="17592885"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87</w:t>
            </w:r>
          </w:p>
        </w:tc>
        <w:tc>
          <w:tcPr>
            <w:tcW w:w="671" w:type="pct"/>
          </w:tcPr>
          <w:p w14:paraId="52742B4A"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8</w:t>
            </w:r>
            <w:r w:rsidRPr="001F0131">
              <w:rPr>
                <w:lang w:eastAsia="ja-JP"/>
              </w:rPr>
              <w:t>4</w:t>
            </w:r>
          </w:p>
        </w:tc>
        <w:tc>
          <w:tcPr>
            <w:tcW w:w="748" w:type="pct"/>
          </w:tcPr>
          <w:p w14:paraId="4DAD9FD5"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-3 (147)</w:t>
            </w:r>
          </w:p>
        </w:tc>
        <w:tc>
          <w:tcPr>
            <w:tcW w:w="580" w:type="pct"/>
          </w:tcPr>
          <w:p w14:paraId="18D98214"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No</w:t>
            </w:r>
          </w:p>
        </w:tc>
        <w:tc>
          <w:tcPr>
            <w:tcW w:w="541" w:type="pct"/>
          </w:tcPr>
          <w:p w14:paraId="6B5FE89E"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596BEDCF"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03D8853B"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3338F008" w14:textId="77777777" w:rsidR="00F4685C" w:rsidRPr="001F0131" w:rsidRDefault="00F4685C" w:rsidP="00163044">
            <w:pPr>
              <w:pStyle w:val="TCTableBody"/>
              <w:rPr>
                <w:lang w:eastAsia="ja-JP"/>
              </w:rPr>
            </w:pPr>
            <w:r w:rsidRPr="001F0131">
              <w:rPr>
                <w:lang w:eastAsia="ja-JP"/>
              </w:rPr>
              <w:t>Sr</w:t>
            </w:r>
            <w:r w:rsidRPr="001F0131">
              <w:rPr>
                <w:vertAlign w:val="subscript"/>
                <w:lang w:eastAsia="ja-JP"/>
              </w:rPr>
              <w:t>10</w:t>
            </w:r>
            <w:r w:rsidRPr="001F0131">
              <w:rPr>
                <w:lang w:eastAsia="ja-JP"/>
              </w:rPr>
              <w:t>(PO</w:t>
            </w:r>
            <w:r w:rsidRPr="001F0131">
              <w:rPr>
                <w:vertAlign w:val="subscript"/>
                <w:lang w:eastAsia="ja-JP"/>
              </w:rPr>
              <w:t>4</w:t>
            </w:r>
            <w:r w:rsidRPr="001F0131">
              <w:rPr>
                <w:lang w:eastAsia="ja-JP"/>
              </w:rPr>
              <w:t>)</w:t>
            </w:r>
            <w:r w:rsidRPr="001F0131">
              <w:rPr>
                <w:vertAlign w:val="subscript"/>
                <w:lang w:eastAsia="ja-JP"/>
              </w:rPr>
              <w:t>6</w:t>
            </w:r>
            <w:r w:rsidRPr="001F0131">
              <w:rPr>
                <w:lang w:eastAsia="ja-JP"/>
              </w:rPr>
              <w:t>S</w:t>
            </w:r>
          </w:p>
        </w:tc>
        <w:tc>
          <w:tcPr>
            <w:tcW w:w="667" w:type="pct"/>
          </w:tcPr>
          <w:p w14:paraId="2A5D2C6A"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86</w:t>
            </w:r>
          </w:p>
        </w:tc>
        <w:tc>
          <w:tcPr>
            <w:tcW w:w="671" w:type="pct"/>
          </w:tcPr>
          <w:p w14:paraId="537D9940"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r w:rsidRPr="001F0131">
              <w:rPr>
                <w:lang w:eastAsia="ja-JP"/>
              </w:rPr>
              <w:t>92</w:t>
            </w:r>
          </w:p>
        </w:tc>
        <w:tc>
          <w:tcPr>
            <w:tcW w:w="748" w:type="pct"/>
          </w:tcPr>
          <w:p w14:paraId="146D15AD"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-3 (147)</w:t>
            </w:r>
          </w:p>
        </w:tc>
        <w:tc>
          <w:tcPr>
            <w:tcW w:w="580" w:type="pct"/>
          </w:tcPr>
          <w:p w14:paraId="37E55721"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highlight w:val="yellow"/>
                <w:lang w:eastAsia="ja-JP"/>
              </w:rPr>
            </w:pPr>
            <w:r w:rsidRPr="001F0131">
              <w:rPr>
                <w:lang w:eastAsia="ja-JP"/>
              </w:rPr>
              <w:t>No</w:t>
            </w:r>
          </w:p>
        </w:tc>
        <w:tc>
          <w:tcPr>
            <w:tcW w:w="541" w:type="pct"/>
          </w:tcPr>
          <w:p w14:paraId="744C5930"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30067C3A"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2D832053"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47BD8D7" w14:textId="77777777" w:rsidR="00F4685C" w:rsidRPr="001F0131" w:rsidRDefault="00F4685C" w:rsidP="00163044">
            <w:pPr>
              <w:pStyle w:val="TCTableBody"/>
              <w:rPr>
                <w:lang w:eastAsia="ja-JP"/>
              </w:rPr>
            </w:pPr>
            <w:r w:rsidRPr="001F0131">
              <w:rPr>
                <w:lang w:eastAsia="ja-JP"/>
              </w:rPr>
              <w:t>Ca</w:t>
            </w:r>
            <w:r w:rsidRPr="001F0131">
              <w:rPr>
                <w:vertAlign w:val="subscript"/>
                <w:lang w:eastAsia="ja-JP"/>
              </w:rPr>
              <w:t>10</w:t>
            </w:r>
            <w:r w:rsidRPr="001F0131">
              <w:rPr>
                <w:lang w:eastAsia="ja-JP"/>
              </w:rPr>
              <w:t>(PO</w:t>
            </w:r>
            <w:r w:rsidRPr="001F0131">
              <w:rPr>
                <w:vertAlign w:val="subscript"/>
                <w:lang w:eastAsia="ja-JP"/>
              </w:rPr>
              <w:t>4</w:t>
            </w:r>
            <w:r w:rsidRPr="001F0131">
              <w:rPr>
                <w:lang w:eastAsia="ja-JP"/>
              </w:rPr>
              <w:t>)</w:t>
            </w:r>
            <w:r w:rsidRPr="001F0131">
              <w:rPr>
                <w:vertAlign w:val="subscript"/>
                <w:lang w:eastAsia="ja-JP"/>
              </w:rPr>
              <w:t>6</w:t>
            </w:r>
            <w:r w:rsidRPr="001F0131">
              <w:rPr>
                <w:lang w:eastAsia="ja-JP"/>
              </w:rPr>
              <w:t>S</w:t>
            </w:r>
          </w:p>
        </w:tc>
        <w:tc>
          <w:tcPr>
            <w:tcW w:w="667" w:type="pct"/>
          </w:tcPr>
          <w:p w14:paraId="3E3A709F"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79</w:t>
            </w:r>
          </w:p>
        </w:tc>
        <w:tc>
          <w:tcPr>
            <w:tcW w:w="671" w:type="pct"/>
          </w:tcPr>
          <w:p w14:paraId="62FF464C"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8</w:t>
            </w:r>
            <w:r w:rsidRPr="001F0131">
              <w:rPr>
                <w:lang w:eastAsia="ja-JP"/>
              </w:rPr>
              <w:t>1</w:t>
            </w:r>
          </w:p>
        </w:tc>
        <w:tc>
          <w:tcPr>
            <w:tcW w:w="748" w:type="pct"/>
          </w:tcPr>
          <w:p w14:paraId="7638B6D6"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-3 (147)</w:t>
            </w:r>
          </w:p>
        </w:tc>
        <w:tc>
          <w:tcPr>
            <w:tcW w:w="580" w:type="pct"/>
          </w:tcPr>
          <w:p w14:paraId="78CB18CA"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No</w:t>
            </w:r>
          </w:p>
        </w:tc>
        <w:tc>
          <w:tcPr>
            <w:tcW w:w="541" w:type="pct"/>
          </w:tcPr>
          <w:p w14:paraId="2282F0B3"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1458CB7C"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r w:rsidR="001F0131" w:rsidRPr="001F0131" w14:paraId="737EAEC7" w14:textId="77777777" w:rsidTr="003B4D7C">
        <w:tc>
          <w:tcPr>
            <w:cnfStyle w:val="001000000000" w:firstRow="0" w:lastRow="0" w:firstColumn="1" w:lastColumn="0" w:oddVBand="0" w:evenVBand="0" w:oddHBand="0" w:evenHBand="0" w:firstRowFirstColumn="0" w:firstRowLastColumn="0" w:lastRowFirstColumn="0" w:lastRowLastColumn="0"/>
            <w:tcW w:w="1250" w:type="pct"/>
          </w:tcPr>
          <w:p w14:paraId="1A7BE68C" w14:textId="77777777" w:rsidR="00F4685C" w:rsidRPr="001F0131" w:rsidRDefault="00F4685C" w:rsidP="00163044">
            <w:pPr>
              <w:pStyle w:val="TCTableBody"/>
              <w:rPr>
                <w:lang w:eastAsia="ja-JP"/>
              </w:rPr>
            </w:pPr>
            <w:r w:rsidRPr="001F0131">
              <w:rPr>
                <w:lang w:eastAsia="ja-JP"/>
              </w:rPr>
              <w:t>Sulfide-chloride</w:t>
            </w:r>
          </w:p>
        </w:tc>
        <w:tc>
          <w:tcPr>
            <w:tcW w:w="667" w:type="pct"/>
          </w:tcPr>
          <w:p w14:paraId="1E484CE6"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671" w:type="pct"/>
          </w:tcPr>
          <w:p w14:paraId="56BAC455"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748" w:type="pct"/>
          </w:tcPr>
          <w:p w14:paraId="560AD43C"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p>
        </w:tc>
        <w:tc>
          <w:tcPr>
            <w:tcW w:w="580" w:type="pct"/>
          </w:tcPr>
          <w:p w14:paraId="787CD617" w14:textId="77777777" w:rsidR="00F4685C" w:rsidRPr="001F0131" w:rsidRDefault="00F4685C" w:rsidP="00163044">
            <w:pPr>
              <w:pStyle w:val="TCTableBody"/>
              <w:cnfStyle w:val="000000000000" w:firstRow="0" w:lastRow="0" w:firstColumn="0" w:lastColumn="0" w:oddVBand="0" w:evenVBand="0" w:oddHBand="0" w:evenHBand="0" w:firstRowFirstColumn="0" w:firstRowLastColumn="0" w:lastRowFirstColumn="0" w:lastRowLastColumn="0"/>
              <w:rPr>
                <w:lang w:eastAsia="ja-JP"/>
              </w:rPr>
            </w:pPr>
          </w:p>
        </w:tc>
        <w:tc>
          <w:tcPr>
            <w:tcW w:w="541" w:type="pct"/>
          </w:tcPr>
          <w:p w14:paraId="682E1774"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c>
          <w:tcPr>
            <w:tcW w:w="542" w:type="pct"/>
          </w:tcPr>
          <w:p w14:paraId="4B46BAF2" w14:textId="77777777" w:rsidR="00F4685C" w:rsidRPr="001F0131" w:rsidRDefault="00F4685C" w:rsidP="00163044">
            <w:pPr>
              <w:pStyle w:val="TCTableBody"/>
              <w:jc w:val="right"/>
              <w:cnfStyle w:val="000000000000" w:firstRow="0" w:lastRow="0" w:firstColumn="0" w:lastColumn="0" w:oddVBand="0" w:evenVBand="0" w:oddHBand="0" w:evenHBand="0" w:firstRowFirstColumn="0" w:firstRowLastColumn="0" w:lastRowFirstColumn="0" w:lastRowLastColumn="0"/>
              <w:rPr>
                <w:lang w:eastAsia="ja-JP"/>
              </w:rPr>
            </w:pPr>
          </w:p>
        </w:tc>
      </w:tr>
      <w:tr w:rsidR="001F0131" w:rsidRPr="001F0131" w14:paraId="09050D5F" w14:textId="77777777" w:rsidTr="003B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E03F277" w14:textId="77777777" w:rsidR="00F4685C" w:rsidRPr="001F0131" w:rsidRDefault="00F4685C" w:rsidP="00163044">
            <w:pPr>
              <w:pStyle w:val="TCTableBody"/>
              <w:rPr>
                <w:lang w:eastAsia="ja-JP"/>
              </w:rPr>
            </w:pPr>
            <w:r w:rsidRPr="001F0131">
              <w:rPr>
                <w:rFonts w:hint="eastAsia"/>
                <w:lang w:eastAsia="ja-JP"/>
              </w:rPr>
              <w:t>N</w:t>
            </w:r>
            <w:r w:rsidRPr="001F0131">
              <w:rPr>
                <w:lang w:eastAsia="ja-JP"/>
              </w:rPr>
              <w:t>aBa</w:t>
            </w:r>
            <w:r w:rsidRPr="001F0131">
              <w:rPr>
                <w:vertAlign w:val="subscript"/>
                <w:lang w:eastAsia="ja-JP"/>
              </w:rPr>
              <w:t>4</w:t>
            </w:r>
            <w:r w:rsidRPr="001F0131">
              <w:rPr>
                <w:lang w:eastAsia="ja-JP"/>
              </w:rPr>
              <w:t>Ge</w:t>
            </w:r>
            <w:r w:rsidRPr="001F0131">
              <w:rPr>
                <w:vertAlign w:val="subscript"/>
                <w:lang w:eastAsia="ja-JP"/>
              </w:rPr>
              <w:t>3</w:t>
            </w:r>
            <w:r w:rsidRPr="001F0131">
              <w:rPr>
                <w:lang w:eastAsia="ja-JP"/>
              </w:rPr>
              <w:t>S</w:t>
            </w:r>
            <w:r w:rsidRPr="001F0131">
              <w:rPr>
                <w:vertAlign w:val="subscript"/>
                <w:lang w:eastAsia="ja-JP"/>
              </w:rPr>
              <w:t>10</w:t>
            </w:r>
            <w:r w:rsidRPr="001F0131">
              <w:rPr>
                <w:lang w:eastAsia="ja-JP"/>
              </w:rPr>
              <w:t>Cl</w:t>
            </w:r>
          </w:p>
        </w:tc>
        <w:tc>
          <w:tcPr>
            <w:tcW w:w="667" w:type="pct"/>
          </w:tcPr>
          <w:p w14:paraId="5879A7E7"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9</w:t>
            </w:r>
            <w:r w:rsidRPr="001F0131">
              <w:rPr>
                <w:lang w:eastAsia="ja-JP"/>
              </w:rPr>
              <w:t>9</w:t>
            </w:r>
          </w:p>
        </w:tc>
        <w:tc>
          <w:tcPr>
            <w:tcW w:w="671" w:type="pct"/>
          </w:tcPr>
          <w:p w14:paraId="4E2B3F9B"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7</w:t>
            </w:r>
            <w:r w:rsidRPr="001F0131">
              <w:rPr>
                <w:lang w:eastAsia="ja-JP"/>
              </w:rPr>
              <w:t>1</w:t>
            </w:r>
          </w:p>
        </w:tc>
        <w:tc>
          <w:tcPr>
            <w:tcW w:w="748" w:type="pct"/>
          </w:tcPr>
          <w:p w14:paraId="6C33EC5B"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rFonts w:hint="eastAsia"/>
                <w:lang w:eastAsia="ja-JP"/>
              </w:rPr>
              <w:t xml:space="preserve">P </w:t>
            </w:r>
            <w:r w:rsidRPr="001F0131">
              <w:rPr>
                <w:lang w:eastAsia="ja-JP"/>
              </w:rPr>
              <w:t>6</w:t>
            </w:r>
            <w:r w:rsidRPr="001F0131">
              <w:rPr>
                <w:vertAlign w:val="subscript"/>
                <w:lang w:eastAsia="ja-JP"/>
              </w:rPr>
              <w:t>3</w:t>
            </w:r>
            <w:r w:rsidRPr="001F0131">
              <w:rPr>
                <w:lang w:eastAsia="ja-JP"/>
              </w:rPr>
              <w:t xml:space="preserve"> (173)</w:t>
            </w:r>
          </w:p>
        </w:tc>
        <w:tc>
          <w:tcPr>
            <w:tcW w:w="580" w:type="pct"/>
          </w:tcPr>
          <w:p w14:paraId="1EFF511A" w14:textId="77777777" w:rsidR="00F4685C" w:rsidRPr="001F0131" w:rsidRDefault="00F4685C" w:rsidP="00163044">
            <w:pPr>
              <w:pStyle w:val="TCTableBody"/>
              <w:cnfStyle w:val="000000100000" w:firstRow="0" w:lastRow="0" w:firstColumn="0" w:lastColumn="0" w:oddVBand="0" w:evenVBand="0" w:oddHBand="1" w:evenHBand="0" w:firstRowFirstColumn="0" w:firstRowLastColumn="0" w:lastRowFirstColumn="0" w:lastRowLastColumn="0"/>
              <w:rPr>
                <w:lang w:eastAsia="ja-JP"/>
              </w:rPr>
            </w:pPr>
            <w:r w:rsidRPr="001F0131">
              <w:rPr>
                <w:lang w:eastAsia="ja-JP"/>
              </w:rPr>
              <w:t>No</w:t>
            </w:r>
          </w:p>
        </w:tc>
        <w:tc>
          <w:tcPr>
            <w:tcW w:w="541" w:type="pct"/>
          </w:tcPr>
          <w:p w14:paraId="43D7179B"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c>
          <w:tcPr>
            <w:tcW w:w="542" w:type="pct"/>
          </w:tcPr>
          <w:p w14:paraId="2DB161E3" w14:textId="77777777" w:rsidR="00F4685C" w:rsidRPr="001F0131" w:rsidRDefault="00F4685C" w:rsidP="00163044">
            <w:pPr>
              <w:pStyle w:val="TCTableBody"/>
              <w:jc w:val="right"/>
              <w:cnfStyle w:val="000000100000" w:firstRow="0" w:lastRow="0" w:firstColumn="0" w:lastColumn="0" w:oddVBand="0" w:evenVBand="0" w:oddHBand="1" w:evenHBand="0" w:firstRowFirstColumn="0" w:firstRowLastColumn="0" w:lastRowFirstColumn="0" w:lastRowLastColumn="0"/>
              <w:rPr>
                <w:lang w:eastAsia="ja-JP"/>
              </w:rPr>
            </w:pPr>
          </w:p>
        </w:tc>
      </w:tr>
    </w:tbl>
    <w:p w14:paraId="228A672B" w14:textId="77777777" w:rsidR="009C19D0" w:rsidRPr="001F0131" w:rsidRDefault="009C19D0" w:rsidP="009C19D0">
      <w:pPr>
        <w:pStyle w:val="TAMainText"/>
      </w:pPr>
    </w:p>
    <w:p w14:paraId="33DF57A9" w14:textId="196A6D7A" w:rsidR="009C19D0" w:rsidRPr="001F0131" w:rsidRDefault="009C19D0" w:rsidP="00B84C7F">
      <w:pPr>
        <w:pStyle w:val="TAMainText"/>
        <w:numPr>
          <w:ilvl w:val="1"/>
          <w:numId w:val="12"/>
        </w:numPr>
        <w:rPr>
          <w:b/>
          <w:bCs/>
        </w:rPr>
      </w:pPr>
      <w:r w:rsidRPr="001F0131">
        <w:rPr>
          <w:b/>
          <w:bCs/>
        </w:rPr>
        <w:t>Experiments</w:t>
      </w:r>
    </w:p>
    <w:p w14:paraId="1A32D08E" w14:textId="77777777" w:rsidR="009C19D0" w:rsidRPr="001F0131" w:rsidRDefault="009C19D0" w:rsidP="009C19D0">
      <w:pPr>
        <w:pStyle w:val="TAMainText"/>
      </w:pPr>
      <w:r w:rsidRPr="001F0131">
        <w:t>The synthesis of the selected 35 candidate compounds was attempted using a solid-state reaction method. A summary of the powder XRD and PL measurements is provided in Table 3. The space groups of the identified target phases are listed in the table. However, it is vital to note that the collected data included only the chemical formulae of the hosts and no crystal structures. Therefore, the machine learning model developed in this study used only chemical compositions as inputs and did not distinguish between polytypes.</w:t>
      </w:r>
    </w:p>
    <w:p w14:paraId="2A77891D" w14:textId="56CCF955" w:rsidR="009C19D0" w:rsidRPr="001F0131" w:rsidRDefault="009C19D0" w:rsidP="009C19D0">
      <w:pPr>
        <w:pStyle w:val="TAMainText"/>
      </w:pPr>
      <w:r w:rsidRPr="001F0131">
        <w:t xml:space="preserve">Six candidates did not achieve a sample purity of 70 wt%, and we considered the synthesis failed. Powder PL measurements were performed for the other 29 samples with a purity of 70 wt% or higher. The 16 samples denoted as ‘No’ in the table showed no significant luminescence intensities. </w:t>
      </w:r>
      <w:r w:rsidR="006E49CB" w:rsidRPr="001F0131">
        <w:rPr>
          <w:lang w:eastAsia="ja-JP"/>
        </w:rPr>
        <w:t xml:space="preserve">Synthesis conditions, </w:t>
      </w:r>
      <w:r w:rsidR="006E49CB" w:rsidRPr="001F0131">
        <w:t>powder XRD patterns</w:t>
      </w:r>
      <w:r w:rsidR="006E49CB" w:rsidRPr="001F0131">
        <w:rPr>
          <w:lang w:eastAsia="ja-JP"/>
        </w:rPr>
        <w:t>, and XRD analysis results</w:t>
      </w:r>
      <w:r w:rsidR="006E49CB" w:rsidRPr="001F0131">
        <w:t xml:space="preserve"> of the 13 luminescent samples are </w:t>
      </w:r>
      <w:r w:rsidR="006E49CB" w:rsidRPr="001F0131">
        <w:rPr>
          <w:lang w:eastAsia="ja-JP"/>
        </w:rPr>
        <w:t>summarized</w:t>
      </w:r>
      <w:r w:rsidR="006E49CB" w:rsidRPr="001F0131">
        <w:t xml:space="preserve"> in </w:t>
      </w:r>
      <w:r w:rsidR="006E49CB" w:rsidRPr="001F0131">
        <w:rPr>
          <w:rFonts w:hint="eastAsia"/>
          <w:lang w:eastAsia="ja-JP"/>
        </w:rPr>
        <w:t>S</w:t>
      </w:r>
      <w:r w:rsidR="006E49CB" w:rsidRPr="001F0131">
        <w:rPr>
          <w:lang w:eastAsia="ja-JP"/>
        </w:rPr>
        <w:t xml:space="preserve">ection S3 of </w:t>
      </w:r>
      <w:r w:rsidR="006E49CB" w:rsidRPr="001F0131">
        <w:rPr>
          <w:rFonts w:hint="eastAsia"/>
          <w:lang w:eastAsia="ja-JP"/>
        </w:rPr>
        <w:t xml:space="preserve">the </w:t>
      </w:r>
      <w:r w:rsidR="006E49CB" w:rsidRPr="001F0131">
        <w:rPr>
          <w:lang w:eastAsia="ja-JP"/>
        </w:rPr>
        <w:t>Supporting Information</w:t>
      </w:r>
      <w:r w:rsidR="006E49CB" w:rsidRPr="001F0131">
        <w:t xml:space="preserve">. </w:t>
      </w:r>
      <w:r w:rsidRPr="001F0131">
        <w:t xml:space="preserve">Powder XRD analysis </w:t>
      </w:r>
      <w:r w:rsidRPr="001F0131">
        <w:lastRenderedPageBreak/>
        <w:t xml:space="preserve">indicated that these powder products were mixtures of target compounds and impurity phases. As the PL spectra of the powder samples are largely influenced by impurity phases with bright luminescence, it was carefully confirmed that the PL intensities increased with increasing fractions of the target phases. It was also confirmed by microscopic observations that most particles exhibited photoluminescence under ultraviolet light. Finally, </w:t>
      </w:r>
      <w:r w:rsidR="006E49CB" w:rsidRPr="001F0131">
        <w:rPr>
          <w:lang w:eastAsia="ja-JP"/>
        </w:rPr>
        <w:t xml:space="preserve">we concluded that the photoluminescence originated from the target phases. Figure 4 illustrates the PL and PLE spectra of the 13 </w:t>
      </w:r>
      <w:r w:rsidR="006E49CB" w:rsidRPr="001F0131">
        <w:rPr>
          <w:rFonts w:hint="eastAsia"/>
          <w:lang w:eastAsia="ja-JP"/>
        </w:rPr>
        <w:t xml:space="preserve">luminescent </w:t>
      </w:r>
      <w:r w:rsidR="006E49CB" w:rsidRPr="001F0131">
        <w:rPr>
          <w:lang w:eastAsia="ja-JP"/>
        </w:rPr>
        <w:t>samples. R</w:t>
      </w:r>
      <w:r w:rsidR="006E49CB" w:rsidRPr="001F0131">
        <w:t xml:space="preserve">elatively </w:t>
      </w:r>
      <w:r w:rsidRPr="001F0131">
        <w:t>broad emission spectra were observed from 12 of the 13 luminescent samples, and it was determined that these were derived from the Eu</w:t>
      </w:r>
      <w:r w:rsidRPr="001F0131">
        <w:rPr>
          <w:vertAlign w:val="superscript"/>
        </w:rPr>
        <w:t>2+</w:t>
      </w:r>
      <w:r w:rsidRPr="001F0131">
        <w:t xml:space="preserve"> activators. These candidate compounds were two chlorides, Rb</w:t>
      </w:r>
      <w:r w:rsidRPr="001F0131">
        <w:rPr>
          <w:vertAlign w:val="subscript"/>
        </w:rPr>
        <w:t>3</w:t>
      </w:r>
      <w:r w:rsidRPr="001F0131">
        <w:t>Ca</w:t>
      </w:r>
      <w:r w:rsidRPr="001F0131">
        <w:rPr>
          <w:vertAlign w:val="subscript"/>
        </w:rPr>
        <w:t>2</w:t>
      </w:r>
      <w:r w:rsidRPr="001F0131">
        <w:t>Cl</w:t>
      </w:r>
      <w:r w:rsidRPr="001F0131">
        <w:rPr>
          <w:vertAlign w:val="subscript"/>
        </w:rPr>
        <w:t>7</w:t>
      </w:r>
      <w:r w:rsidRPr="001F0131">
        <w:t>:Eu</w:t>
      </w:r>
      <w:r w:rsidRPr="001F0131">
        <w:rPr>
          <w:vertAlign w:val="superscript"/>
        </w:rPr>
        <w:t>2+</w:t>
      </w:r>
      <w:r w:rsidRPr="001F0131">
        <w:t xml:space="preserve"> and RbSrCl</w:t>
      </w:r>
      <w:r w:rsidRPr="001F0131">
        <w:rPr>
          <w:vertAlign w:val="subscript"/>
        </w:rPr>
        <w:t>3</w:t>
      </w:r>
      <w:r w:rsidRPr="001F0131">
        <w:t>:Eu</w:t>
      </w:r>
      <w:r w:rsidRPr="001F0131">
        <w:rPr>
          <w:vertAlign w:val="superscript"/>
        </w:rPr>
        <w:t>2+</w:t>
      </w:r>
      <w:r w:rsidRPr="001F0131">
        <w:t>; two bromides, Cs</w:t>
      </w:r>
      <w:r w:rsidRPr="001F0131">
        <w:rPr>
          <w:vertAlign w:val="subscript"/>
        </w:rPr>
        <w:t>2</w:t>
      </w:r>
      <w:r w:rsidRPr="001F0131">
        <w:t>CaBr</w:t>
      </w:r>
      <w:r w:rsidRPr="001F0131">
        <w:rPr>
          <w:vertAlign w:val="subscript"/>
        </w:rPr>
        <w:t>4</w:t>
      </w:r>
      <w:r w:rsidRPr="001F0131">
        <w:t>:Eu</w:t>
      </w:r>
      <w:r w:rsidRPr="001F0131">
        <w:rPr>
          <w:vertAlign w:val="superscript"/>
        </w:rPr>
        <w:t>2+</w:t>
      </w:r>
      <w:r w:rsidRPr="001F0131">
        <w:t xml:space="preserve"> and Rb</w:t>
      </w:r>
      <w:r w:rsidRPr="001F0131">
        <w:rPr>
          <w:vertAlign w:val="subscript"/>
        </w:rPr>
        <w:t>4</w:t>
      </w:r>
      <w:r w:rsidRPr="001F0131">
        <w:t>CaBr</w:t>
      </w:r>
      <w:r w:rsidRPr="001F0131">
        <w:rPr>
          <w:vertAlign w:val="subscript"/>
        </w:rPr>
        <w:t>6</w:t>
      </w:r>
      <w:r w:rsidRPr="001F0131">
        <w:t>:Eu</w:t>
      </w:r>
      <w:r w:rsidRPr="001F0131">
        <w:rPr>
          <w:vertAlign w:val="superscript"/>
        </w:rPr>
        <w:t>2+</w:t>
      </w:r>
      <w:r w:rsidRPr="001F0131">
        <w:t>; a sulfide BaB</w:t>
      </w:r>
      <w:r w:rsidRPr="001F0131">
        <w:rPr>
          <w:vertAlign w:val="subscript"/>
        </w:rPr>
        <w:t>2</w:t>
      </w:r>
      <w:r w:rsidRPr="001F0131">
        <w:t>S</w:t>
      </w:r>
      <w:r w:rsidRPr="001F0131">
        <w:rPr>
          <w:vertAlign w:val="subscript"/>
        </w:rPr>
        <w:t>4</w:t>
      </w:r>
      <w:r w:rsidRPr="001F0131">
        <w:t>:Eu</w:t>
      </w:r>
      <w:r w:rsidRPr="001F0131">
        <w:rPr>
          <w:vertAlign w:val="superscript"/>
        </w:rPr>
        <w:t>2+</w:t>
      </w:r>
      <w:r w:rsidRPr="001F0131">
        <w:t>; an oxide NaLi</w:t>
      </w:r>
      <w:r w:rsidRPr="001F0131">
        <w:rPr>
          <w:vertAlign w:val="subscript"/>
        </w:rPr>
        <w:t>3</w:t>
      </w:r>
      <w:r w:rsidRPr="001F0131">
        <w:t>BaB</w:t>
      </w:r>
      <w:r w:rsidRPr="001F0131">
        <w:rPr>
          <w:vertAlign w:val="subscript"/>
        </w:rPr>
        <w:t>6</w:t>
      </w:r>
      <w:r w:rsidRPr="001F0131">
        <w:t>O</w:t>
      </w:r>
      <w:r w:rsidRPr="001F0131">
        <w:rPr>
          <w:vertAlign w:val="subscript"/>
        </w:rPr>
        <w:t>12</w:t>
      </w:r>
      <w:r w:rsidRPr="001F0131">
        <w:t>:Eu</w:t>
      </w:r>
      <w:r w:rsidRPr="001F0131">
        <w:rPr>
          <w:vertAlign w:val="superscript"/>
        </w:rPr>
        <w:t>2+</w:t>
      </w:r>
      <w:r w:rsidRPr="001F0131">
        <w:t>; an oxyfluoride KNaCaMg</w:t>
      </w:r>
      <w:r w:rsidRPr="001F0131">
        <w:rPr>
          <w:vertAlign w:val="subscript"/>
        </w:rPr>
        <w:t>5</w:t>
      </w:r>
      <w:r w:rsidRPr="001F0131">
        <w:t>Si</w:t>
      </w:r>
      <w:r w:rsidRPr="001F0131">
        <w:rPr>
          <w:vertAlign w:val="subscript"/>
        </w:rPr>
        <w:t>8</w:t>
      </w:r>
      <w:r w:rsidRPr="001F0131">
        <w:t>O</w:t>
      </w:r>
      <w:r w:rsidRPr="001F0131">
        <w:rPr>
          <w:vertAlign w:val="subscript"/>
        </w:rPr>
        <w:t>22</w:t>
      </w:r>
      <w:r w:rsidRPr="001F0131">
        <w:t>F</w:t>
      </w:r>
      <w:r w:rsidRPr="001F0131">
        <w:rPr>
          <w:vertAlign w:val="subscript"/>
        </w:rPr>
        <w:t>2</w:t>
      </w:r>
      <w:r w:rsidRPr="001F0131">
        <w:t>:Eu</w:t>
      </w:r>
      <w:r w:rsidRPr="001F0131">
        <w:rPr>
          <w:vertAlign w:val="superscript"/>
        </w:rPr>
        <w:t>2+</w:t>
      </w:r>
      <w:r w:rsidRPr="001F0131">
        <w:t>; and five oxyiodides, Sr</w:t>
      </w:r>
      <w:r w:rsidRPr="001F0131">
        <w:rPr>
          <w:vertAlign w:val="subscript"/>
        </w:rPr>
        <w:t>2</w:t>
      </w:r>
      <w:r w:rsidRPr="001F0131">
        <w:t>OI</w:t>
      </w:r>
      <w:r w:rsidRPr="001F0131">
        <w:rPr>
          <w:vertAlign w:val="subscript"/>
        </w:rPr>
        <w:t>2</w:t>
      </w:r>
      <w:r w:rsidRPr="001F0131">
        <w:t>:Eu</w:t>
      </w:r>
      <w:r w:rsidRPr="001F0131">
        <w:rPr>
          <w:vertAlign w:val="superscript"/>
        </w:rPr>
        <w:t>2+</w:t>
      </w:r>
      <w:r w:rsidRPr="001F0131">
        <w:t>, Sr</w:t>
      </w:r>
      <w:r w:rsidRPr="001F0131">
        <w:rPr>
          <w:vertAlign w:val="subscript"/>
        </w:rPr>
        <w:t>4</w:t>
      </w:r>
      <w:r w:rsidRPr="001F0131">
        <w:t>OI</w:t>
      </w:r>
      <w:r w:rsidRPr="001F0131">
        <w:rPr>
          <w:vertAlign w:val="subscript"/>
        </w:rPr>
        <w:t>6</w:t>
      </w:r>
      <w:r w:rsidRPr="001F0131">
        <w:t>:Eu</w:t>
      </w:r>
      <w:r w:rsidRPr="001F0131">
        <w:rPr>
          <w:vertAlign w:val="superscript"/>
        </w:rPr>
        <w:t>2+</w:t>
      </w:r>
      <w:r w:rsidRPr="001F0131">
        <w:t>, Ba</w:t>
      </w:r>
      <w:r w:rsidRPr="001F0131">
        <w:rPr>
          <w:vertAlign w:val="subscript"/>
        </w:rPr>
        <w:t>4</w:t>
      </w:r>
      <w:r w:rsidRPr="001F0131">
        <w:t>OI</w:t>
      </w:r>
      <w:r w:rsidRPr="001F0131">
        <w:rPr>
          <w:vertAlign w:val="subscript"/>
        </w:rPr>
        <w:t>6</w:t>
      </w:r>
      <w:r w:rsidRPr="001F0131">
        <w:t>:Eu</w:t>
      </w:r>
      <w:r w:rsidRPr="001F0131">
        <w:rPr>
          <w:vertAlign w:val="superscript"/>
        </w:rPr>
        <w:t>2+</w:t>
      </w:r>
      <w:r w:rsidRPr="001F0131">
        <w:t>, Ba</w:t>
      </w:r>
      <w:r w:rsidRPr="001F0131">
        <w:rPr>
          <w:vertAlign w:val="subscript"/>
        </w:rPr>
        <w:t>2</w:t>
      </w:r>
      <w:r w:rsidRPr="001F0131">
        <w:t>PO</w:t>
      </w:r>
      <w:r w:rsidRPr="001F0131">
        <w:rPr>
          <w:vertAlign w:val="subscript"/>
        </w:rPr>
        <w:t>4</w:t>
      </w:r>
      <w:r w:rsidRPr="001F0131">
        <w:t>I:Eu</w:t>
      </w:r>
      <w:r w:rsidRPr="001F0131">
        <w:rPr>
          <w:vertAlign w:val="superscript"/>
        </w:rPr>
        <w:t>2+</w:t>
      </w:r>
      <w:r w:rsidRPr="001F0131">
        <w:t>, and Sr</w:t>
      </w:r>
      <w:r w:rsidRPr="001F0131">
        <w:rPr>
          <w:vertAlign w:val="subscript"/>
        </w:rPr>
        <w:t>2</w:t>
      </w:r>
      <w:r w:rsidRPr="001F0131">
        <w:t>PO</w:t>
      </w:r>
      <w:r w:rsidRPr="001F0131">
        <w:rPr>
          <w:vertAlign w:val="subscript"/>
        </w:rPr>
        <w:t>4</w:t>
      </w:r>
      <w:r w:rsidRPr="001F0131">
        <w:t>I:Eu</w:t>
      </w:r>
      <w:r w:rsidRPr="001F0131">
        <w:rPr>
          <w:vertAlign w:val="superscript"/>
        </w:rPr>
        <w:t>2+</w:t>
      </w:r>
      <w:r w:rsidRPr="001F0131">
        <w:t>. Most compounds showed blue to near-ultraviolet emissions (381-476 nm peak-top wavelengths), whereas BaB</w:t>
      </w:r>
      <w:r w:rsidRPr="001F0131">
        <w:rPr>
          <w:vertAlign w:val="subscript"/>
        </w:rPr>
        <w:t>2</w:t>
      </w:r>
      <w:r w:rsidRPr="001F0131">
        <w:t>S</w:t>
      </w:r>
      <w:r w:rsidRPr="001F0131">
        <w:rPr>
          <w:vertAlign w:val="subscript"/>
        </w:rPr>
        <w:t>4</w:t>
      </w:r>
      <w:r w:rsidRPr="001F0131">
        <w:t>:Eu</w:t>
      </w:r>
      <w:r w:rsidRPr="001F0131">
        <w:rPr>
          <w:vertAlign w:val="superscript"/>
        </w:rPr>
        <w:t>2+</w:t>
      </w:r>
      <w:r w:rsidRPr="001F0131">
        <w:t xml:space="preserve"> and Sr</w:t>
      </w:r>
      <w:r w:rsidRPr="001F0131">
        <w:rPr>
          <w:vertAlign w:val="subscript"/>
        </w:rPr>
        <w:t>2</w:t>
      </w:r>
      <w:r w:rsidRPr="001F0131">
        <w:t>OI</w:t>
      </w:r>
      <w:r w:rsidRPr="001F0131">
        <w:rPr>
          <w:vertAlign w:val="subscript"/>
        </w:rPr>
        <w:t>2</w:t>
      </w:r>
      <w:r w:rsidRPr="001F0131">
        <w:t>:Eu</w:t>
      </w:r>
      <w:r w:rsidRPr="001F0131">
        <w:rPr>
          <w:vertAlign w:val="superscript"/>
        </w:rPr>
        <w:t>2+</w:t>
      </w:r>
      <w:r w:rsidRPr="001F0131">
        <w:t xml:space="preserve"> showed red emissions (623 and 611 nm, respectively). The remaining sample exhibited a sharp emission spectrum characteristic of the Eu</w:t>
      </w:r>
      <w:r w:rsidRPr="001F0131">
        <w:rPr>
          <w:vertAlign w:val="superscript"/>
        </w:rPr>
        <w:t>3+</w:t>
      </w:r>
      <w:r w:rsidRPr="001F0131">
        <w:t xml:space="preserve"> activator. The compound that exhibited the Eu</w:t>
      </w:r>
      <w:r w:rsidRPr="001F0131">
        <w:rPr>
          <w:vertAlign w:val="superscript"/>
        </w:rPr>
        <w:t>3+</w:t>
      </w:r>
      <w:r w:rsidRPr="001F0131">
        <w:t>-derived luminescence was BaLa</w:t>
      </w:r>
      <w:r w:rsidRPr="001F0131">
        <w:rPr>
          <w:vertAlign w:val="subscript"/>
        </w:rPr>
        <w:t>2</w:t>
      </w:r>
      <w:r w:rsidRPr="001F0131">
        <w:t>ZnS</w:t>
      </w:r>
      <w:r w:rsidRPr="001F0131">
        <w:rPr>
          <w:vertAlign w:val="subscript"/>
        </w:rPr>
        <w:t>5</w:t>
      </w:r>
      <w:r w:rsidRPr="001F0131">
        <w:t>:Eu</w:t>
      </w:r>
      <w:r w:rsidRPr="001F0131">
        <w:rPr>
          <w:vertAlign w:val="superscript"/>
        </w:rPr>
        <w:t>3+</w:t>
      </w:r>
      <w:r w:rsidRPr="001F0131">
        <w:t>.</w:t>
      </w:r>
    </w:p>
    <w:p w14:paraId="4F678FB2" w14:textId="77777777" w:rsidR="008B72A1" w:rsidRPr="001F0131" w:rsidRDefault="008B72A1" w:rsidP="008B72A1">
      <w:pPr>
        <w:pStyle w:val="TAMainText"/>
        <w:rPr>
          <w:lang w:eastAsia="ja-JP"/>
        </w:rPr>
      </w:pPr>
      <w:r w:rsidRPr="001F0131">
        <w:rPr>
          <w:lang w:eastAsia="ja-JP"/>
        </w:rPr>
        <w:t>Since the data used in this study were extracted from academic articles on phosphors, the present machine learning model deals with conditional classification in the case of luminescence. Looking at the experimental results from this perspective, of the 13 candidate compounds that showed photoluminescence, 12 showed luminescence derived from Eu</w:t>
      </w:r>
      <w:r w:rsidRPr="001F0131">
        <w:rPr>
          <w:vertAlign w:val="superscript"/>
          <w:lang w:eastAsia="ja-JP"/>
        </w:rPr>
        <w:t>2+</w:t>
      </w:r>
      <w:r w:rsidRPr="001F0131">
        <w:rPr>
          <w:lang w:eastAsia="ja-JP"/>
        </w:rPr>
        <w:t>. The yield was as high as 12/13 (92%). Compounds containing sulfur and halogens showed high average Eu</w:t>
      </w:r>
      <w:r w:rsidRPr="001F0131">
        <w:rPr>
          <w:vertAlign w:val="superscript"/>
          <w:lang w:eastAsia="ja-JP"/>
        </w:rPr>
        <w:t>2+</w:t>
      </w:r>
      <w:r w:rsidRPr="001F0131">
        <w:rPr>
          <w:lang w:eastAsia="ja-JP"/>
        </w:rPr>
        <w:t xml:space="preserve">-paper ratios. Therefore, we discuss </w:t>
      </w:r>
      <w:r w:rsidRPr="001F0131">
        <w:rPr>
          <w:rFonts w:hint="eastAsia"/>
          <w:lang w:eastAsia="ja-JP"/>
        </w:rPr>
        <w:t>O</w:t>
      </w:r>
      <w:r w:rsidRPr="001F0131">
        <w:rPr>
          <w:lang w:eastAsia="ja-JP"/>
        </w:rPr>
        <w:t>-containing compounds here. The average Eu</w:t>
      </w:r>
      <w:r w:rsidRPr="001F0131">
        <w:rPr>
          <w:vertAlign w:val="superscript"/>
          <w:lang w:eastAsia="ja-JP"/>
        </w:rPr>
        <w:t>2+</w:t>
      </w:r>
      <w:r w:rsidRPr="001F0131">
        <w:rPr>
          <w:lang w:eastAsia="ja-JP"/>
        </w:rPr>
        <w:t xml:space="preserve">-paper ratio of </w:t>
      </w:r>
      <w:r w:rsidRPr="001F0131">
        <w:rPr>
          <w:rFonts w:hint="eastAsia"/>
          <w:lang w:eastAsia="ja-JP"/>
        </w:rPr>
        <w:t>O</w:t>
      </w:r>
      <w:r w:rsidRPr="001F0131">
        <w:rPr>
          <w:lang w:eastAsia="ja-JP"/>
        </w:rPr>
        <w:t>-containing compounds was 30.8%. In our previous study</w:t>
      </w:r>
      <w:r w:rsidRPr="001F0131">
        <w:rPr>
          <w:rFonts w:hint="eastAsia"/>
          <w:lang w:eastAsia="ja-JP"/>
        </w:rPr>
        <w:t xml:space="preserve"> [15]</w:t>
      </w:r>
      <w:r w:rsidRPr="001F0131">
        <w:rPr>
          <w:lang w:eastAsia="ja-JP"/>
        </w:rPr>
        <w:t>, three Eu</w:t>
      </w:r>
      <w:r w:rsidRPr="001F0131">
        <w:rPr>
          <w:vertAlign w:val="superscript"/>
          <w:lang w:eastAsia="ja-JP"/>
        </w:rPr>
        <w:t>2+</w:t>
      </w:r>
      <w:r w:rsidRPr="001F0131">
        <w:rPr>
          <w:lang w:eastAsia="ja-JP"/>
        </w:rPr>
        <w:t xml:space="preserve">-activated phosphors were </w:t>
      </w:r>
      <w:r w:rsidRPr="001F0131">
        <w:rPr>
          <w:lang w:eastAsia="ja-JP"/>
        </w:rPr>
        <w:lastRenderedPageBreak/>
        <w:t xml:space="preserve">discovered from ten luminescent </w:t>
      </w:r>
      <w:r w:rsidRPr="001F0131">
        <w:rPr>
          <w:rFonts w:hint="eastAsia"/>
          <w:lang w:eastAsia="ja-JP"/>
        </w:rPr>
        <w:t>oxides</w:t>
      </w:r>
      <w:r w:rsidRPr="001F0131">
        <w:rPr>
          <w:lang w:eastAsia="ja-JP"/>
        </w:rPr>
        <w:t>, and the yield of 3/10 was consistent with the average Eu</w:t>
      </w:r>
      <w:r w:rsidRPr="001F0131">
        <w:rPr>
          <w:vertAlign w:val="superscript"/>
          <w:lang w:eastAsia="ja-JP"/>
        </w:rPr>
        <w:t>2+</w:t>
      </w:r>
      <w:r w:rsidRPr="001F0131">
        <w:rPr>
          <w:lang w:eastAsia="ja-JP"/>
        </w:rPr>
        <w:t xml:space="preserve">-paper ratio of </w:t>
      </w:r>
      <w:r w:rsidRPr="001F0131">
        <w:rPr>
          <w:rFonts w:hint="eastAsia"/>
          <w:lang w:eastAsia="ja-JP"/>
        </w:rPr>
        <w:t>O</w:t>
      </w:r>
      <w:r w:rsidRPr="001F0131">
        <w:rPr>
          <w:lang w:eastAsia="ja-JP"/>
        </w:rPr>
        <w:t xml:space="preserve">-containing compounds. In contrast, this study discovered seven </w:t>
      </w:r>
      <w:r w:rsidRPr="001F0131">
        <w:rPr>
          <w:rFonts w:hint="eastAsia"/>
          <w:lang w:eastAsia="ja-JP"/>
        </w:rPr>
        <w:t>O</w:t>
      </w:r>
      <w:r w:rsidRPr="001F0131">
        <w:rPr>
          <w:lang w:eastAsia="ja-JP"/>
        </w:rPr>
        <w:t>-containing compounds showing photoluminescence, and all were derived from Eu</w:t>
      </w:r>
      <w:r w:rsidRPr="001F0131">
        <w:rPr>
          <w:vertAlign w:val="superscript"/>
          <w:lang w:eastAsia="ja-JP"/>
        </w:rPr>
        <w:t>2+</w:t>
      </w:r>
      <w:r w:rsidRPr="001F0131">
        <w:rPr>
          <w:lang w:eastAsia="ja-JP"/>
        </w:rPr>
        <w:t>. These results clearly demonstrate the potential of machine learning classification of the oxidation state of Eu ions to avoid candidates prone to Eu</w:t>
      </w:r>
      <w:r w:rsidRPr="001F0131">
        <w:rPr>
          <w:vertAlign w:val="superscript"/>
          <w:lang w:eastAsia="ja-JP"/>
        </w:rPr>
        <w:t>3+</w:t>
      </w:r>
      <w:r w:rsidRPr="001F0131">
        <w:rPr>
          <w:lang w:eastAsia="ja-JP"/>
        </w:rPr>
        <w:t>-derived luminescence.</w:t>
      </w:r>
    </w:p>
    <w:p w14:paraId="23654619" w14:textId="33DE5730" w:rsidR="008B72A1" w:rsidRPr="001F0131" w:rsidRDefault="008B72A1" w:rsidP="009C19D0">
      <w:pPr>
        <w:pStyle w:val="TAMainText"/>
      </w:pPr>
      <w:r w:rsidRPr="001F0131">
        <w:rPr>
          <w:lang w:eastAsia="ja-JP"/>
        </w:rPr>
        <w:t>In this study, we only tested compounds predicted to exhibit luminescence derived from Eu</w:t>
      </w:r>
      <w:r w:rsidRPr="001F0131">
        <w:rPr>
          <w:vertAlign w:val="superscript"/>
          <w:lang w:eastAsia="ja-JP"/>
        </w:rPr>
        <w:t>2+</w:t>
      </w:r>
      <w:r w:rsidRPr="001F0131">
        <w:rPr>
          <w:lang w:eastAsia="ja-JP"/>
        </w:rPr>
        <w:t xml:space="preserve"> to accelerate the discovery of Eu</w:t>
      </w:r>
      <w:r w:rsidRPr="001F0131">
        <w:rPr>
          <w:vertAlign w:val="superscript"/>
          <w:lang w:eastAsia="ja-JP"/>
        </w:rPr>
        <w:t>2+</w:t>
      </w:r>
      <w:r w:rsidRPr="001F0131">
        <w:rPr>
          <w:lang w:eastAsia="ja-JP"/>
        </w:rPr>
        <w:t xml:space="preserve">-activated phosphors. As a result, we validated precision </w:t>
      </w:r>
      <w:r w:rsidRPr="001F0131">
        <w:rPr>
          <w:rFonts w:hint="eastAsia"/>
          <w:lang w:eastAsia="ja-JP"/>
        </w:rPr>
        <w:t xml:space="preserve">of the prediction </w:t>
      </w:r>
      <w:r w:rsidRPr="001F0131">
        <w:rPr>
          <w:lang w:eastAsia="ja-JP"/>
        </w:rPr>
        <w:t xml:space="preserve">but have yet to validate recall from a machine learning perspective. We believe that precision is more important than recall in materials search, because discovering new materials is more important than missing candidates, and the cost of experiments is high. Therefore, we conducted </w:t>
      </w:r>
      <w:r w:rsidRPr="001F0131">
        <w:rPr>
          <w:rFonts w:hint="eastAsia"/>
          <w:lang w:eastAsia="ja-JP"/>
        </w:rPr>
        <w:t xml:space="preserve">the </w:t>
      </w:r>
      <w:r w:rsidRPr="001F0131">
        <w:rPr>
          <w:lang w:eastAsia="ja-JP"/>
        </w:rPr>
        <w:t xml:space="preserve">validation experiments focusing only on </w:t>
      </w:r>
      <w:r w:rsidRPr="001F0131">
        <w:rPr>
          <w:rFonts w:hint="eastAsia"/>
          <w:lang w:eastAsia="ja-JP"/>
        </w:rPr>
        <w:t xml:space="preserve">precision </w:t>
      </w:r>
      <w:r w:rsidRPr="001F0131">
        <w:rPr>
          <w:lang w:eastAsia="ja-JP"/>
        </w:rPr>
        <w:t>in this study.</w:t>
      </w:r>
    </w:p>
    <w:p w14:paraId="43BF299D" w14:textId="32B34B87" w:rsidR="009C19D0" w:rsidRPr="001F0131" w:rsidRDefault="009C19D0" w:rsidP="009C19D0">
      <w:pPr>
        <w:pStyle w:val="TAMainText"/>
      </w:pPr>
      <w:r w:rsidRPr="001F0131">
        <w:t>In conjunction with the previous study, nonluminous compounds pose a challenge. Negative data, such as nonluminous results, are infrequently reported in academic articles, and there is no standardized notation method. Therefore, collecting data through mechanical methods from the text, as in this study, is challenging and remains an issue for the future.</w:t>
      </w:r>
    </w:p>
    <w:p w14:paraId="5CD0340A" w14:textId="77777777" w:rsidR="002C4A6E" w:rsidRPr="001F0131" w:rsidRDefault="002C4A6E" w:rsidP="009C19D0">
      <w:pPr>
        <w:pStyle w:val="TAMainText"/>
        <w:rPr>
          <w:lang w:eastAsia="ja-JP"/>
        </w:rPr>
      </w:pPr>
    </w:p>
    <w:p w14:paraId="20CF831C" w14:textId="142241CB" w:rsidR="007A79EE" w:rsidRPr="001F0131" w:rsidRDefault="008B72A1" w:rsidP="004937CB">
      <w:pPr>
        <w:jc w:val="center"/>
        <w:rPr>
          <w:lang w:eastAsia="ja-JP"/>
        </w:rPr>
      </w:pPr>
      <w:r w:rsidRPr="001F0131">
        <w:rPr>
          <w:noProof/>
          <w:lang w:eastAsia="ja-JP"/>
        </w:rPr>
        <w:lastRenderedPageBreak/>
        <w:drawing>
          <wp:inline distT="0" distB="0" distL="0" distR="0" wp14:anchorId="1E766569" wp14:editId="5255A5F4">
            <wp:extent cx="4895850" cy="5511800"/>
            <wp:effectExtent l="0" t="0" r="0" b="0"/>
            <wp:docPr id="15630934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5850" cy="5511800"/>
                    </a:xfrm>
                    <a:prstGeom prst="rect">
                      <a:avLst/>
                    </a:prstGeom>
                    <a:noFill/>
                    <a:ln>
                      <a:noFill/>
                    </a:ln>
                  </pic:spPr>
                </pic:pic>
              </a:graphicData>
            </a:graphic>
          </wp:inline>
        </w:drawing>
      </w:r>
    </w:p>
    <w:p w14:paraId="05B0A6C4" w14:textId="3587864C" w:rsidR="002C4A6E" w:rsidRPr="001F0131" w:rsidRDefault="002C4A6E" w:rsidP="002C4A6E">
      <w:pPr>
        <w:pStyle w:val="VAFigureCaption"/>
        <w:rPr>
          <w:lang w:eastAsia="ja-JP"/>
        </w:rPr>
      </w:pPr>
      <w:r w:rsidRPr="001F0131">
        <w:rPr>
          <w:b/>
          <w:bCs/>
          <w:lang w:eastAsia="ja-JP"/>
        </w:rPr>
        <w:t xml:space="preserve">Figure </w:t>
      </w:r>
      <w:r w:rsidR="00BA2DB6" w:rsidRPr="001F0131">
        <w:rPr>
          <w:b/>
          <w:bCs/>
          <w:lang w:eastAsia="ja-JP"/>
        </w:rPr>
        <w:t>4</w:t>
      </w:r>
      <w:r w:rsidRPr="001F0131">
        <w:rPr>
          <w:b/>
          <w:bCs/>
          <w:lang w:eastAsia="ja-JP"/>
        </w:rPr>
        <w:t>.</w:t>
      </w:r>
      <w:r w:rsidRPr="001F0131">
        <w:rPr>
          <w:lang w:eastAsia="ja-JP"/>
        </w:rPr>
        <w:t xml:space="preserve"> PL (blue) and PLE (red) spectra of </w:t>
      </w:r>
      <w:r w:rsidR="006A0161" w:rsidRPr="001F0131">
        <w:rPr>
          <w:lang w:eastAsia="ja-JP"/>
        </w:rPr>
        <w:t xml:space="preserve">the 13 </w:t>
      </w:r>
      <w:r w:rsidRPr="001F0131">
        <w:rPr>
          <w:lang w:eastAsia="ja-JP"/>
        </w:rPr>
        <w:t>candidate compounds showing</w:t>
      </w:r>
      <w:r w:rsidR="008B72A1" w:rsidRPr="001F0131">
        <w:rPr>
          <w:lang w:eastAsia="ja-JP"/>
        </w:rPr>
        <w:t xml:space="preserve"> </w:t>
      </w:r>
      <w:r w:rsidR="008B72A1" w:rsidRPr="001F0131">
        <w:rPr>
          <w:rFonts w:hint="eastAsia"/>
          <w:lang w:eastAsia="ja-JP"/>
        </w:rPr>
        <w:t>photo</w:t>
      </w:r>
      <w:r w:rsidR="008B72A1" w:rsidRPr="001F0131">
        <w:rPr>
          <w:lang w:eastAsia="ja-JP"/>
        </w:rPr>
        <w:t>luminescence</w:t>
      </w:r>
      <w:r w:rsidRPr="001F0131">
        <w:rPr>
          <w:lang w:eastAsia="ja-JP"/>
        </w:rPr>
        <w:t>.</w:t>
      </w:r>
    </w:p>
    <w:p w14:paraId="6D706734" w14:textId="77777777" w:rsidR="009C19D0" w:rsidRPr="001F0131" w:rsidRDefault="009C19D0" w:rsidP="009C19D0">
      <w:pPr>
        <w:pStyle w:val="TAMainText"/>
      </w:pPr>
    </w:p>
    <w:p w14:paraId="5F92B0D7" w14:textId="1960068B" w:rsidR="009C19D0" w:rsidRPr="001F0131" w:rsidRDefault="009C19D0" w:rsidP="00B84C7F">
      <w:pPr>
        <w:pStyle w:val="TAMainText"/>
        <w:numPr>
          <w:ilvl w:val="0"/>
          <w:numId w:val="12"/>
        </w:numPr>
        <w:rPr>
          <w:b/>
          <w:bCs/>
        </w:rPr>
      </w:pPr>
      <w:r w:rsidRPr="001F0131">
        <w:rPr>
          <w:b/>
          <w:bCs/>
        </w:rPr>
        <w:t>Conclusions</w:t>
      </w:r>
    </w:p>
    <w:p w14:paraId="19971461" w14:textId="77777777" w:rsidR="009C19D0" w:rsidRPr="001F0131" w:rsidRDefault="009C19D0" w:rsidP="009C19D0">
      <w:pPr>
        <w:pStyle w:val="TAMainText"/>
      </w:pPr>
      <w:r w:rsidRPr="001F0131">
        <w:t>This study aimed to explore the potential host compounds for Eu</w:t>
      </w:r>
      <w:r w:rsidRPr="001F0131">
        <w:rPr>
          <w:vertAlign w:val="superscript"/>
        </w:rPr>
        <w:t>2+</w:t>
      </w:r>
      <w:r w:rsidRPr="001F0131">
        <w:t>-activated phosphors. Utilizing a dataset of Eu</w:t>
      </w:r>
      <w:r w:rsidRPr="001F0131">
        <w:rPr>
          <w:vertAlign w:val="superscript"/>
        </w:rPr>
        <w:t>2+</w:t>
      </w:r>
      <w:r w:rsidRPr="001F0131">
        <w:t>- and Eu</w:t>
      </w:r>
      <w:r w:rsidRPr="001F0131">
        <w:rPr>
          <w:vertAlign w:val="superscript"/>
        </w:rPr>
        <w:t>3+</w:t>
      </w:r>
      <w:r w:rsidRPr="001F0131">
        <w:t xml:space="preserve">-activated phosphors collected from numerous academic articles, a machine learning classification model was developed to predict the luminescence </w:t>
      </w:r>
      <w:r w:rsidRPr="001F0131">
        <w:lastRenderedPageBreak/>
        <w:t>originating from Eu</w:t>
      </w:r>
      <w:r w:rsidRPr="001F0131">
        <w:rPr>
          <w:vertAlign w:val="superscript"/>
        </w:rPr>
        <w:t>2+</w:t>
      </w:r>
      <w:r w:rsidRPr="001F0131">
        <w:t xml:space="preserve"> or Eu</w:t>
      </w:r>
      <w:r w:rsidRPr="001F0131">
        <w:rPr>
          <w:vertAlign w:val="superscript"/>
        </w:rPr>
        <w:t>3+</w:t>
      </w:r>
      <w:r w:rsidRPr="001F0131">
        <w:t xml:space="preserve"> ions in potential hosts based on their compositions. The classification model incorporates that the oxidation states of Eu ions are not necessarily mutually exclusive between Eu</w:t>
      </w:r>
      <w:r w:rsidRPr="001F0131">
        <w:rPr>
          <w:vertAlign w:val="superscript"/>
        </w:rPr>
        <w:t>2+</w:t>
      </w:r>
      <w:r w:rsidRPr="001F0131">
        <w:t xml:space="preserve"> and Eu</w:t>
      </w:r>
      <w:r w:rsidRPr="001F0131">
        <w:rPr>
          <w:vertAlign w:val="superscript"/>
        </w:rPr>
        <w:t>3+</w:t>
      </w:r>
      <w:r w:rsidRPr="001F0131">
        <w:t xml:space="preserve"> ions, as evidenced by the collected data.</w:t>
      </w:r>
    </w:p>
    <w:p w14:paraId="54A5594B" w14:textId="2947BB45" w:rsidR="009C19D0" w:rsidRPr="001F0131" w:rsidRDefault="009C19D0" w:rsidP="009C19D0">
      <w:pPr>
        <w:pStyle w:val="TAMainText"/>
      </w:pPr>
      <w:r w:rsidRPr="001F0131">
        <w:t>Following machine learning predictions, a comprehensive selection process was undertaken to identify host candidates for new Eu</w:t>
      </w:r>
      <w:r w:rsidRPr="001F0131">
        <w:rPr>
          <w:vertAlign w:val="superscript"/>
        </w:rPr>
        <w:t>2+</w:t>
      </w:r>
      <w:r w:rsidRPr="001F0131">
        <w:t>-activated phosphors. The criteria included the presence of alkali earth elements Ca, Sr, or Ba in the compounds; selection of oxides, sulfides, halides, and mixed-anion compounds with high Eu</w:t>
      </w:r>
      <w:r w:rsidRPr="001F0131">
        <w:rPr>
          <w:vertAlign w:val="superscript"/>
        </w:rPr>
        <w:t>2+</w:t>
      </w:r>
      <w:r w:rsidRPr="001F0131">
        <w:t>-probabilities; and exclusion of certain compounds based on synthetic challenges or unavailability of precursors. Experimental synthesis attempts were made for 35 selected candidate compounds. Subsequent analyses revealed the successful synthesis of 29 samples and PL measurements were performed. The observed luminescence results demonstrated a high yield rate for Eu</w:t>
      </w:r>
      <w:r w:rsidRPr="001F0131">
        <w:rPr>
          <w:vertAlign w:val="superscript"/>
        </w:rPr>
        <w:t>2+</w:t>
      </w:r>
      <w:r w:rsidRPr="001F0131">
        <w:t xml:space="preserve">-derived luminescence, with 12 of 13 </w:t>
      </w:r>
      <w:r w:rsidR="00DB40BA" w:rsidRPr="001F0131">
        <w:t xml:space="preserve">luminescent </w:t>
      </w:r>
      <w:r w:rsidRPr="001F0131">
        <w:t>samples. In summary, this study integrated systematic data collection, machine learning, and experimental validation to advance the development of Eu</w:t>
      </w:r>
      <w:r w:rsidRPr="001F0131">
        <w:rPr>
          <w:vertAlign w:val="superscript"/>
        </w:rPr>
        <w:t>2+</w:t>
      </w:r>
      <w:r w:rsidRPr="001F0131">
        <w:t>-activated phosphors. Notably, 12 new Eu</w:t>
      </w:r>
      <w:r w:rsidRPr="001F0131">
        <w:rPr>
          <w:vertAlign w:val="superscript"/>
        </w:rPr>
        <w:t>2+</w:t>
      </w:r>
      <w:r w:rsidRPr="001F0131">
        <w:t xml:space="preserve">-activated phosphor materials were discovered, and </w:t>
      </w:r>
      <w:r w:rsidR="00DB40BA" w:rsidRPr="001F0131">
        <w:rPr>
          <w:rFonts w:hint="eastAsia"/>
          <w:lang w:eastAsia="ja-JP"/>
        </w:rPr>
        <w:t>this</w:t>
      </w:r>
      <w:r w:rsidRPr="001F0131">
        <w:t xml:space="preserve"> highlights the potential of this approach.</w:t>
      </w:r>
    </w:p>
    <w:p w14:paraId="3639CC3C" w14:textId="77777777" w:rsidR="00B84C7F" w:rsidRPr="001F0131" w:rsidRDefault="00B84C7F" w:rsidP="009C19D0">
      <w:pPr>
        <w:pStyle w:val="TAMainText"/>
        <w:rPr>
          <w:lang w:eastAsia="ja-JP"/>
        </w:rPr>
      </w:pPr>
    </w:p>
    <w:p w14:paraId="76C26B5D" w14:textId="77777777" w:rsidR="00B567A5" w:rsidRPr="001F0131" w:rsidRDefault="00C10EE0" w:rsidP="000B5610">
      <w:pPr>
        <w:pStyle w:val="TESupportingInformation"/>
        <w:spacing w:after="240"/>
        <w:ind w:firstLine="0"/>
        <w:jc w:val="left"/>
      </w:pPr>
      <w:r w:rsidRPr="001F0131">
        <w:rPr>
          <w:b/>
        </w:rPr>
        <w:t>Supporting Information</w:t>
      </w:r>
      <w:r w:rsidRPr="001F0131">
        <w:t>.</w:t>
      </w:r>
    </w:p>
    <w:p w14:paraId="053E098C" w14:textId="170FB672" w:rsidR="004D5EF5" w:rsidRPr="001F0131" w:rsidRDefault="0031373B" w:rsidP="004D5EF5">
      <w:pPr>
        <w:pStyle w:val="TESupportingInformation"/>
      </w:pPr>
      <w:r w:rsidRPr="001F0131">
        <w:t xml:space="preserve">The following file </w:t>
      </w:r>
      <w:r w:rsidR="004D5EF5" w:rsidRPr="001F0131">
        <w:rPr>
          <w:rFonts w:hint="eastAsia"/>
          <w:lang w:eastAsia="ja-JP"/>
        </w:rPr>
        <w:t>is</w:t>
      </w:r>
      <w:r w:rsidRPr="001F0131">
        <w:t xml:space="preserve"> available free of charge.</w:t>
      </w:r>
    </w:p>
    <w:p w14:paraId="5DFF5A57" w14:textId="16A27BD1" w:rsidR="00B567A5" w:rsidRPr="001F0131" w:rsidRDefault="008B72A1" w:rsidP="004D5EF5">
      <w:pPr>
        <w:pStyle w:val="TESupportingInformation"/>
        <w:rPr>
          <w:lang w:eastAsia="ja-JP"/>
        </w:rPr>
      </w:pPr>
      <w:r w:rsidRPr="001F0131">
        <w:rPr>
          <w:lang w:eastAsia="ja-JP"/>
        </w:rPr>
        <w:t>Feature importance of the machine learning model</w:t>
      </w:r>
      <w:r w:rsidRPr="001F0131">
        <w:rPr>
          <w:rFonts w:hint="eastAsia"/>
          <w:lang w:eastAsia="ja-JP"/>
        </w:rPr>
        <w:t>;</w:t>
      </w:r>
      <w:r w:rsidRPr="001F0131">
        <w:rPr>
          <w:lang w:eastAsia="ja-JP"/>
        </w:rPr>
        <w:t xml:space="preserve"> machine learning classification with gradient boosted trees method</w:t>
      </w:r>
      <w:r w:rsidRPr="001F0131">
        <w:rPr>
          <w:rFonts w:hint="eastAsia"/>
          <w:lang w:eastAsia="ja-JP"/>
        </w:rPr>
        <w:t>;</w:t>
      </w:r>
      <w:r w:rsidRPr="001F0131">
        <w:rPr>
          <w:lang w:eastAsia="ja-JP"/>
        </w:rPr>
        <w:t xml:space="preserve"> </w:t>
      </w:r>
      <w:r w:rsidRPr="001F0131">
        <w:rPr>
          <w:rFonts w:hint="eastAsia"/>
          <w:lang w:eastAsia="ja-JP"/>
        </w:rPr>
        <w:t>s</w:t>
      </w:r>
      <w:r w:rsidRPr="001F0131">
        <w:rPr>
          <w:lang w:eastAsia="ja-JP"/>
        </w:rPr>
        <w:t xml:space="preserve">ynthesis conditions, </w:t>
      </w:r>
      <w:r w:rsidRPr="001F0131">
        <w:t>powder XRD patterns</w:t>
      </w:r>
      <w:r w:rsidRPr="001F0131">
        <w:rPr>
          <w:lang w:eastAsia="ja-JP"/>
        </w:rPr>
        <w:t>, and XRD analysis results</w:t>
      </w:r>
      <w:r w:rsidRPr="001F0131">
        <w:t xml:space="preserve"> of the samples</w:t>
      </w:r>
      <w:r w:rsidRPr="001F0131">
        <w:rPr>
          <w:rFonts w:hint="eastAsia"/>
          <w:lang w:eastAsia="ja-JP"/>
        </w:rPr>
        <w:t xml:space="preserve"> exhibiting photoluminescence. </w:t>
      </w:r>
      <w:r w:rsidR="00B567A5" w:rsidRPr="001F0131">
        <w:rPr>
          <w:rFonts w:hint="eastAsia"/>
          <w:lang w:eastAsia="ja-JP"/>
        </w:rPr>
        <w:t>(PDF)</w:t>
      </w:r>
    </w:p>
    <w:p w14:paraId="7D0558F5" w14:textId="77777777" w:rsidR="00DD6DBB" w:rsidRPr="001F0131" w:rsidRDefault="00DD6DBB" w:rsidP="004E7185">
      <w:pPr>
        <w:pStyle w:val="FAAuthorInfoSubtitle"/>
      </w:pPr>
      <w:r w:rsidRPr="001F0131">
        <w:t>Corresponding Author</w:t>
      </w:r>
    </w:p>
    <w:p w14:paraId="5132B9D8" w14:textId="236CDD1D" w:rsidR="009246AD" w:rsidRPr="001F0131" w:rsidRDefault="00DD6DBB" w:rsidP="004D5EF5">
      <w:pPr>
        <w:pStyle w:val="FACorrespondingAuthorFootnote"/>
      </w:pPr>
      <w:r w:rsidRPr="001F0131">
        <w:t>*</w:t>
      </w:r>
      <w:r w:rsidR="00B84C7F" w:rsidRPr="001F0131">
        <w:t xml:space="preserve"> E-mail: KOYAMA.Yukinori@nims.go.jp</w:t>
      </w:r>
    </w:p>
    <w:p w14:paraId="2C55F652" w14:textId="77777777" w:rsidR="00C10EE0" w:rsidRPr="001F0131" w:rsidRDefault="00C10EE0" w:rsidP="00DD6DBB">
      <w:pPr>
        <w:pStyle w:val="FAAuthorInfoSubtitle"/>
      </w:pPr>
      <w:r w:rsidRPr="001F0131">
        <w:lastRenderedPageBreak/>
        <w:t>Author Contributions</w:t>
      </w:r>
    </w:p>
    <w:p w14:paraId="78D772A4" w14:textId="379E528F" w:rsidR="00C10EE0" w:rsidRPr="001F0131" w:rsidRDefault="00C10EE0" w:rsidP="004D5EF5">
      <w:pPr>
        <w:pStyle w:val="FACorrespondingAuthorFootnote"/>
      </w:pPr>
      <w:r w:rsidRPr="001F0131">
        <w:t>All authors have given approval to the final version of the manuscript.</w:t>
      </w:r>
    </w:p>
    <w:p w14:paraId="7C55E906" w14:textId="77777777" w:rsidR="00C10EE0" w:rsidRPr="001F0131" w:rsidRDefault="00C10EE0" w:rsidP="00DD6DBB">
      <w:pPr>
        <w:pStyle w:val="FAAuthorInfoSubtitle"/>
      </w:pPr>
      <w:r w:rsidRPr="001F0131">
        <w:t>Funding Sources</w:t>
      </w:r>
    </w:p>
    <w:p w14:paraId="06D9774E" w14:textId="46E8A4D8" w:rsidR="00DD6DBB" w:rsidRPr="001F0131" w:rsidRDefault="00B84C7F" w:rsidP="004D5EF5">
      <w:pPr>
        <w:pStyle w:val="FACorrespondingAuthorFootnote"/>
      </w:pPr>
      <w:r w:rsidRPr="001F0131">
        <w:t>Part of this work was supported by the Japan Science and Technology Agency (JST), CREST Gant Number JPMJCR19J2.</w:t>
      </w:r>
    </w:p>
    <w:p w14:paraId="475D96F0" w14:textId="2DAB04B8" w:rsidR="00B567A5" w:rsidRPr="001F0131" w:rsidRDefault="00B567A5" w:rsidP="00B567A5">
      <w:pPr>
        <w:pStyle w:val="TDAcknowledgments"/>
        <w:ind w:firstLine="0"/>
        <w:rPr>
          <w:b/>
          <w:bCs/>
          <w:lang w:eastAsia="ja-JP"/>
        </w:rPr>
      </w:pPr>
      <w:r w:rsidRPr="001F0131">
        <w:rPr>
          <w:rFonts w:hint="eastAsia"/>
          <w:b/>
          <w:bCs/>
          <w:lang w:eastAsia="ja-JP"/>
        </w:rPr>
        <w:t>Acknowledgements</w:t>
      </w:r>
    </w:p>
    <w:p w14:paraId="1F2E6105" w14:textId="4FD206D9" w:rsidR="009246AD" w:rsidRPr="001F0131" w:rsidRDefault="00B84C7F" w:rsidP="004D5EF5">
      <w:pPr>
        <w:pStyle w:val="TDAcknowledgments"/>
      </w:pPr>
      <w:r w:rsidRPr="001F0131">
        <w:t>Part of this work was supported by the Japan Science and Technology Agency (JST), CREST Gant Number JPMJCR19J2. Part of this study was conducted using Data for Text and Data Mining (TDM data) provided by the data platform for materials science research DICE of National Institute for Materials Science.</w:t>
      </w:r>
    </w:p>
    <w:p w14:paraId="2C7CE149" w14:textId="7127D593" w:rsidR="00B567A5" w:rsidRPr="001F0131" w:rsidRDefault="00B567A5" w:rsidP="000B5610">
      <w:pPr>
        <w:pStyle w:val="TFReferencesSection"/>
        <w:spacing w:after="0"/>
        <w:ind w:firstLine="0"/>
        <w:rPr>
          <w:b/>
          <w:bCs/>
          <w:lang w:eastAsia="ja-JP"/>
        </w:rPr>
      </w:pPr>
      <w:r w:rsidRPr="001F0131">
        <w:rPr>
          <w:rFonts w:hint="eastAsia"/>
          <w:b/>
          <w:bCs/>
          <w:lang w:eastAsia="ja-JP"/>
        </w:rPr>
        <w:t>References</w:t>
      </w:r>
    </w:p>
    <w:p w14:paraId="4A78043A" w14:textId="77777777" w:rsidR="003F041F" w:rsidRPr="001F0131" w:rsidRDefault="00B84C7F" w:rsidP="007D2345">
      <w:pPr>
        <w:pStyle w:val="TFReferencesSection"/>
        <w:numPr>
          <w:ilvl w:val="0"/>
          <w:numId w:val="13"/>
        </w:numPr>
      </w:pPr>
      <w:r w:rsidRPr="001F0131">
        <w:t xml:space="preserve">Li, </w:t>
      </w:r>
      <w:r w:rsidR="004937CB" w:rsidRPr="001F0131">
        <w:t>G. G.</w:t>
      </w:r>
      <w:r w:rsidR="004937CB" w:rsidRPr="001F0131">
        <w:rPr>
          <w:rFonts w:hint="eastAsia"/>
          <w:lang w:eastAsia="ja-JP"/>
        </w:rPr>
        <w:t xml:space="preserve">; </w:t>
      </w:r>
      <w:r w:rsidRPr="001F0131">
        <w:t xml:space="preserve">Tian, </w:t>
      </w:r>
      <w:r w:rsidR="004937CB" w:rsidRPr="001F0131">
        <w:t>Y.</w:t>
      </w:r>
      <w:r w:rsidR="004937CB" w:rsidRPr="001F0131">
        <w:rPr>
          <w:rFonts w:hint="eastAsia"/>
          <w:lang w:eastAsia="ja-JP"/>
        </w:rPr>
        <w:t>;</w:t>
      </w:r>
      <w:r w:rsidR="004937CB" w:rsidRPr="001F0131">
        <w:t xml:space="preserve"> </w:t>
      </w:r>
      <w:r w:rsidRPr="001F0131">
        <w:t xml:space="preserve">Zhao, </w:t>
      </w:r>
      <w:r w:rsidR="004937CB" w:rsidRPr="001F0131">
        <w:t>Y.</w:t>
      </w:r>
      <w:r w:rsidR="004937CB" w:rsidRPr="001F0131">
        <w:rPr>
          <w:rFonts w:hint="eastAsia"/>
          <w:lang w:eastAsia="ja-JP"/>
        </w:rPr>
        <w:t>;</w:t>
      </w:r>
      <w:r w:rsidR="004937CB" w:rsidRPr="001F0131">
        <w:t xml:space="preserve"> </w:t>
      </w:r>
      <w:r w:rsidRPr="001F0131">
        <w:t xml:space="preserve">Lin, </w:t>
      </w:r>
      <w:r w:rsidR="004937CB" w:rsidRPr="001F0131">
        <w:t>J.</w:t>
      </w:r>
      <w:r w:rsidR="004937CB" w:rsidRPr="001F0131">
        <w:rPr>
          <w:rFonts w:hint="eastAsia"/>
          <w:lang w:eastAsia="ja-JP"/>
        </w:rPr>
        <w:t xml:space="preserve"> </w:t>
      </w:r>
      <w:r w:rsidR="004937CB" w:rsidRPr="001F0131">
        <w:rPr>
          <w:lang w:eastAsia="ja-JP"/>
        </w:rPr>
        <w:t>Recent progress in luminescence tuning of Ce</w:t>
      </w:r>
      <w:r w:rsidR="004937CB" w:rsidRPr="001F0131">
        <w:rPr>
          <w:vertAlign w:val="superscript"/>
          <w:lang w:eastAsia="ja-JP"/>
        </w:rPr>
        <w:t>3+</w:t>
      </w:r>
      <w:r w:rsidR="004937CB" w:rsidRPr="001F0131">
        <w:rPr>
          <w:lang w:eastAsia="ja-JP"/>
        </w:rPr>
        <w:t xml:space="preserve"> and Eu</w:t>
      </w:r>
      <w:r w:rsidR="004937CB" w:rsidRPr="001F0131">
        <w:rPr>
          <w:vertAlign w:val="superscript"/>
          <w:lang w:eastAsia="ja-JP"/>
        </w:rPr>
        <w:t>2+</w:t>
      </w:r>
      <w:r w:rsidR="004937CB" w:rsidRPr="001F0131">
        <w:rPr>
          <w:lang w:eastAsia="ja-JP"/>
        </w:rPr>
        <w:t>-activated phosphors for pc-WLEDs</w:t>
      </w:r>
      <w:r w:rsidR="004937CB" w:rsidRPr="001F0131">
        <w:rPr>
          <w:rFonts w:hint="eastAsia"/>
          <w:lang w:eastAsia="ja-JP"/>
        </w:rPr>
        <w:t xml:space="preserve">. </w:t>
      </w:r>
      <w:r w:rsidRPr="001F0131">
        <w:rPr>
          <w:i/>
          <w:iCs/>
        </w:rPr>
        <w:t>Chem. Soc. Rev.</w:t>
      </w:r>
      <w:r w:rsidRPr="001F0131">
        <w:t xml:space="preserve"> </w:t>
      </w:r>
      <w:r w:rsidRPr="001F0131">
        <w:rPr>
          <w:b/>
          <w:bCs/>
        </w:rPr>
        <w:t>2015</w:t>
      </w:r>
      <w:r w:rsidRPr="001F0131">
        <w:t xml:space="preserve">, </w:t>
      </w:r>
      <w:r w:rsidRPr="001F0131">
        <w:rPr>
          <w:i/>
          <w:iCs/>
        </w:rPr>
        <w:t>44</w:t>
      </w:r>
      <w:r w:rsidRPr="001F0131">
        <w:t>, 8688</w:t>
      </w:r>
      <w:r w:rsidR="004937CB" w:rsidRPr="001F0131">
        <w:rPr>
          <w:rFonts w:hint="eastAsia"/>
          <w:lang w:eastAsia="ja-JP"/>
        </w:rPr>
        <w:t>-8713</w:t>
      </w:r>
      <w:r w:rsidRPr="001F0131">
        <w:t>.</w:t>
      </w:r>
    </w:p>
    <w:p w14:paraId="3E1CEF92" w14:textId="77777777" w:rsidR="003F041F" w:rsidRPr="001F0131" w:rsidRDefault="00B84C7F" w:rsidP="00A63CB4">
      <w:pPr>
        <w:pStyle w:val="TFReferencesSection"/>
        <w:numPr>
          <w:ilvl w:val="0"/>
          <w:numId w:val="13"/>
        </w:numPr>
      </w:pPr>
      <w:r w:rsidRPr="001F0131">
        <w:t xml:space="preserve">Qin, </w:t>
      </w:r>
      <w:r w:rsidR="004937CB" w:rsidRPr="001F0131">
        <w:t>X.</w:t>
      </w:r>
      <w:r w:rsidR="004937CB" w:rsidRPr="001F0131">
        <w:rPr>
          <w:rFonts w:hint="eastAsia"/>
          <w:lang w:eastAsia="ja-JP"/>
        </w:rPr>
        <w:t>;</w:t>
      </w:r>
      <w:r w:rsidR="004937CB" w:rsidRPr="001F0131">
        <w:t xml:space="preserve"> </w:t>
      </w:r>
      <w:r w:rsidRPr="001F0131">
        <w:t xml:space="preserve">Liu, </w:t>
      </w:r>
      <w:r w:rsidR="004937CB" w:rsidRPr="001F0131">
        <w:t>X. W.</w:t>
      </w:r>
      <w:r w:rsidR="004937CB" w:rsidRPr="001F0131">
        <w:rPr>
          <w:rFonts w:hint="eastAsia"/>
          <w:lang w:eastAsia="ja-JP"/>
        </w:rPr>
        <w:t>;</w:t>
      </w:r>
      <w:r w:rsidR="004937CB" w:rsidRPr="001F0131">
        <w:t xml:space="preserve"> </w:t>
      </w:r>
      <w:r w:rsidRPr="001F0131">
        <w:t xml:space="preserve">Huang, </w:t>
      </w:r>
      <w:r w:rsidR="004937CB" w:rsidRPr="001F0131">
        <w:t>W.</w:t>
      </w:r>
      <w:r w:rsidR="004937CB" w:rsidRPr="001F0131">
        <w:rPr>
          <w:rFonts w:hint="eastAsia"/>
          <w:lang w:eastAsia="ja-JP"/>
        </w:rPr>
        <w:t>;</w:t>
      </w:r>
      <w:r w:rsidR="004937CB" w:rsidRPr="001F0131">
        <w:t xml:space="preserve"> </w:t>
      </w:r>
      <w:r w:rsidRPr="001F0131">
        <w:t xml:space="preserve">Bettinelli, </w:t>
      </w:r>
      <w:r w:rsidR="004937CB" w:rsidRPr="001F0131">
        <w:t>M.</w:t>
      </w:r>
      <w:r w:rsidR="004937CB" w:rsidRPr="001F0131">
        <w:rPr>
          <w:rFonts w:hint="eastAsia"/>
          <w:lang w:eastAsia="ja-JP"/>
        </w:rPr>
        <w:t>;</w:t>
      </w:r>
      <w:r w:rsidR="004937CB" w:rsidRPr="001F0131">
        <w:t xml:space="preserve"> </w:t>
      </w:r>
      <w:r w:rsidRPr="001F0131">
        <w:t xml:space="preserve">Liu, </w:t>
      </w:r>
      <w:r w:rsidR="004937CB" w:rsidRPr="001F0131">
        <w:t>X. G. Lanthanide-Activated Phosphors Based on 4f-5d Optical Transitions: Theoretical and Experimental Aspects</w:t>
      </w:r>
      <w:r w:rsidR="004937CB" w:rsidRPr="001F0131">
        <w:rPr>
          <w:rFonts w:hint="eastAsia"/>
          <w:lang w:eastAsia="ja-JP"/>
        </w:rPr>
        <w:t xml:space="preserve">. </w:t>
      </w:r>
      <w:r w:rsidRPr="001F0131">
        <w:rPr>
          <w:i/>
          <w:iCs/>
        </w:rPr>
        <w:t>Chem. Rev.</w:t>
      </w:r>
      <w:r w:rsidRPr="001F0131">
        <w:t xml:space="preserve"> </w:t>
      </w:r>
      <w:r w:rsidRPr="001F0131">
        <w:rPr>
          <w:b/>
          <w:bCs/>
        </w:rPr>
        <w:t>2017</w:t>
      </w:r>
      <w:r w:rsidRPr="001F0131">
        <w:t xml:space="preserve">, </w:t>
      </w:r>
      <w:r w:rsidRPr="001F0131">
        <w:rPr>
          <w:i/>
          <w:iCs/>
        </w:rPr>
        <w:t>117</w:t>
      </w:r>
      <w:r w:rsidRPr="001F0131">
        <w:t>, 4488</w:t>
      </w:r>
      <w:r w:rsidR="004937CB" w:rsidRPr="001F0131">
        <w:rPr>
          <w:rFonts w:hint="eastAsia"/>
          <w:lang w:eastAsia="ja-JP"/>
        </w:rPr>
        <w:t>-4527</w:t>
      </w:r>
      <w:r w:rsidRPr="001F0131">
        <w:t>.</w:t>
      </w:r>
    </w:p>
    <w:p w14:paraId="3973A731" w14:textId="77777777" w:rsidR="003F041F" w:rsidRPr="001F0131" w:rsidRDefault="00B84C7F" w:rsidP="00290637">
      <w:pPr>
        <w:pStyle w:val="TFReferencesSection"/>
        <w:numPr>
          <w:ilvl w:val="0"/>
          <w:numId w:val="13"/>
        </w:numPr>
      </w:pPr>
      <w:r w:rsidRPr="001F0131">
        <w:t xml:space="preserve">Li, </w:t>
      </w:r>
      <w:r w:rsidR="004937CB" w:rsidRPr="001F0131">
        <w:t>S. X.</w:t>
      </w:r>
      <w:r w:rsidR="004937CB" w:rsidRPr="001F0131">
        <w:rPr>
          <w:rFonts w:hint="eastAsia"/>
          <w:lang w:eastAsia="ja-JP"/>
        </w:rPr>
        <w:t>;</w:t>
      </w:r>
      <w:r w:rsidR="004937CB" w:rsidRPr="001F0131">
        <w:t xml:space="preserve"> </w:t>
      </w:r>
      <w:r w:rsidRPr="001F0131">
        <w:t xml:space="preserve">Xie, </w:t>
      </w:r>
      <w:r w:rsidR="004937CB" w:rsidRPr="001F0131">
        <w:t>R. J.</w:t>
      </w:r>
      <w:r w:rsidR="004937CB" w:rsidRPr="001F0131">
        <w:rPr>
          <w:rFonts w:hint="eastAsia"/>
          <w:lang w:eastAsia="ja-JP"/>
        </w:rPr>
        <w:t>;</w:t>
      </w:r>
      <w:r w:rsidR="004937CB" w:rsidRPr="001F0131">
        <w:t xml:space="preserve"> </w:t>
      </w:r>
      <w:r w:rsidRPr="001F0131">
        <w:t xml:space="preserve">Takeda, </w:t>
      </w:r>
      <w:r w:rsidR="004937CB" w:rsidRPr="001F0131">
        <w:t>T.</w:t>
      </w:r>
      <w:r w:rsidR="004937CB" w:rsidRPr="001F0131">
        <w:rPr>
          <w:rFonts w:hint="eastAsia"/>
          <w:lang w:eastAsia="ja-JP"/>
        </w:rPr>
        <w:t>;</w:t>
      </w:r>
      <w:r w:rsidR="004937CB" w:rsidRPr="001F0131">
        <w:t xml:space="preserve"> </w:t>
      </w:r>
      <w:r w:rsidRPr="001F0131">
        <w:t xml:space="preserve">Hirosaki, </w:t>
      </w:r>
      <w:r w:rsidR="004937CB" w:rsidRPr="001F0131">
        <w:t>N. Review</w:t>
      </w:r>
      <w:r w:rsidR="004937CB" w:rsidRPr="001F0131">
        <w:rPr>
          <w:rFonts w:hint="eastAsia"/>
          <w:lang w:eastAsia="ja-JP"/>
        </w:rPr>
        <w:t xml:space="preserve"> - </w:t>
      </w:r>
      <w:r w:rsidR="004937CB" w:rsidRPr="001F0131">
        <w:t>Narrow-Band Nitride Phosphors for Wide Color-Gamut White LED Backlighting</w:t>
      </w:r>
      <w:r w:rsidR="004937CB" w:rsidRPr="001F0131">
        <w:rPr>
          <w:rFonts w:hint="eastAsia"/>
          <w:lang w:eastAsia="ja-JP"/>
        </w:rPr>
        <w:t xml:space="preserve">. </w:t>
      </w:r>
      <w:r w:rsidRPr="001F0131">
        <w:rPr>
          <w:i/>
          <w:iCs/>
        </w:rPr>
        <w:t>ECS J. Solid State Sci. Technol.</w:t>
      </w:r>
      <w:r w:rsidRPr="001F0131">
        <w:t xml:space="preserve"> </w:t>
      </w:r>
      <w:r w:rsidRPr="001F0131">
        <w:rPr>
          <w:b/>
          <w:bCs/>
        </w:rPr>
        <w:t>2018</w:t>
      </w:r>
      <w:r w:rsidRPr="001F0131">
        <w:t xml:space="preserve">, </w:t>
      </w:r>
      <w:r w:rsidRPr="001F0131">
        <w:rPr>
          <w:i/>
          <w:iCs/>
        </w:rPr>
        <w:t>7</w:t>
      </w:r>
      <w:r w:rsidRPr="001F0131">
        <w:t>, R3064</w:t>
      </w:r>
      <w:r w:rsidR="004937CB" w:rsidRPr="001F0131">
        <w:rPr>
          <w:rFonts w:hint="eastAsia"/>
          <w:lang w:eastAsia="ja-JP"/>
        </w:rPr>
        <w:t>-R3078</w:t>
      </w:r>
      <w:r w:rsidRPr="001F0131">
        <w:t>.</w:t>
      </w:r>
    </w:p>
    <w:p w14:paraId="4C28B02D" w14:textId="77777777" w:rsidR="003F041F" w:rsidRPr="001F0131" w:rsidRDefault="00B84C7F" w:rsidP="006C1629">
      <w:pPr>
        <w:pStyle w:val="TFReferencesSection"/>
        <w:numPr>
          <w:ilvl w:val="0"/>
          <w:numId w:val="13"/>
        </w:numPr>
      </w:pPr>
      <w:r w:rsidRPr="001F0131">
        <w:lastRenderedPageBreak/>
        <w:t xml:space="preserve">Leaño, </w:t>
      </w:r>
      <w:r w:rsidR="004937CB" w:rsidRPr="001F0131">
        <w:t>J. L.</w:t>
      </w:r>
      <w:r w:rsidR="004937CB" w:rsidRPr="001F0131">
        <w:rPr>
          <w:rFonts w:hint="eastAsia"/>
          <w:lang w:eastAsia="ja-JP"/>
        </w:rPr>
        <w:t>;</w:t>
      </w:r>
      <w:r w:rsidR="004937CB" w:rsidRPr="001F0131">
        <w:t xml:space="preserve"> </w:t>
      </w:r>
      <w:r w:rsidRPr="001F0131">
        <w:t xml:space="preserve">Fang, </w:t>
      </w:r>
      <w:r w:rsidR="004937CB" w:rsidRPr="001F0131">
        <w:t>M. H.</w:t>
      </w:r>
      <w:r w:rsidR="004937CB" w:rsidRPr="001F0131">
        <w:rPr>
          <w:rFonts w:hint="eastAsia"/>
          <w:lang w:eastAsia="ja-JP"/>
        </w:rPr>
        <w:t>;</w:t>
      </w:r>
      <w:r w:rsidR="004937CB" w:rsidRPr="001F0131">
        <w:t xml:space="preserve"> </w:t>
      </w:r>
      <w:r w:rsidRPr="001F0131">
        <w:t xml:space="preserve">Liu, </w:t>
      </w:r>
      <w:r w:rsidR="004937CB" w:rsidRPr="001F0131">
        <w:t>R. S.</w:t>
      </w:r>
      <w:r w:rsidR="003F041F" w:rsidRPr="001F0131">
        <w:rPr>
          <w:rFonts w:hint="eastAsia"/>
          <w:lang w:eastAsia="ja-JP"/>
        </w:rPr>
        <w:t xml:space="preserve"> </w:t>
      </w:r>
      <w:r w:rsidR="003F041F" w:rsidRPr="001F0131">
        <w:rPr>
          <w:lang w:eastAsia="ja-JP"/>
        </w:rPr>
        <w:t>Review</w:t>
      </w:r>
      <w:r w:rsidR="003F041F" w:rsidRPr="001F0131">
        <w:rPr>
          <w:rFonts w:hint="eastAsia"/>
          <w:lang w:eastAsia="ja-JP"/>
        </w:rPr>
        <w:t xml:space="preserve"> </w:t>
      </w:r>
      <w:r w:rsidR="003F041F" w:rsidRPr="001F0131">
        <w:rPr>
          <w:lang w:eastAsia="ja-JP"/>
        </w:rPr>
        <w:t>-</w:t>
      </w:r>
      <w:r w:rsidR="003F041F" w:rsidRPr="001F0131">
        <w:rPr>
          <w:rFonts w:hint="eastAsia"/>
          <w:lang w:eastAsia="ja-JP"/>
        </w:rPr>
        <w:t xml:space="preserve"> </w:t>
      </w:r>
      <w:r w:rsidR="003F041F" w:rsidRPr="001F0131">
        <w:rPr>
          <w:lang w:eastAsia="ja-JP"/>
        </w:rPr>
        <w:t>Narrow-Band Emission of Nitride Phosphors for Light-Emitting Diodes: Perspectives and Opportunities</w:t>
      </w:r>
      <w:r w:rsidR="003F041F" w:rsidRPr="001F0131">
        <w:rPr>
          <w:rFonts w:hint="eastAsia"/>
          <w:lang w:eastAsia="ja-JP"/>
        </w:rPr>
        <w:t>.</w:t>
      </w:r>
      <w:r w:rsidR="004937CB" w:rsidRPr="001F0131">
        <w:t xml:space="preserve"> </w:t>
      </w:r>
      <w:r w:rsidRPr="001F0131">
        <w:rPr>
          <w:i/>
          <w:iCs/>
        </w:rPr>
        <w:t>ECS. J. Solid State Sci. Technol.</w:t>
      </w:r>
      <w:r w:rsidRPr="001F0131">
        <w:t xml:space="preserve"> </w:t>
      </w:r>
      <w:r w:rsidRPr="001F0131">
        <w:rPr>
          <w:b/>
          <w:bCs/>
        </w:rPr>
        <w:t>2018</w:t>
      </w:r>
      <w:r w:rsidRPr="001F0131">
        <w:t xml:space="preserve">, </w:t>
      </w:r>
      <w:r w:rsidRPr="001F0131">
        <w:rPr>
          <w:i/>
          <w:iCs/>
        </w:rPr>
        <w:t>7</w:t>
      </w:r>
      <w:r w:rsidRPr="001F0131">
        <w:t>, R3111</w:t>
      </w:r>
      <w:r w:rsidR="004937CB" w:rsidRPr="001F0131">
        <w:rPr>
          <w:rFonts w:hint="eastAsia"/>
          <w:lang w:eastAsia="ja-JP"/>
        </w:rPr>
        <w:t>-R3133</w:t>
      </w:r>
      <w:r w:rsidRPr="001F0131">
        <w:t>.</w:t>
      </w:r>
    </w:p>
    <w:p w14:paraId="16349490" w14:textId="77777777" w:rsidR="003F041F" w:rsidRPr="001F0131" w:rsidRDefault="00B84C7F" w:rsidP="005F5584">
      <w:pPr>
        <w:pStyle w:val="TFReferencesSection"/>
        <w:numPr>
          <w:ilvl w:val="0"/>
          <w:numId w:val="13"/>
        </w:numPr>
      </w:pPr>
      <w:r w:rsidRPr="001F0131">
        <w:t xml:space="preserve">Luo, </w:t>
      </w:r>
      <w:r w:rsidR="003F041F" w:rsidRPr="001F0131">
        <w:t>X. F.</w:t>
      </w:r>
      <w:r w:rsidR="003F041F" w:rsidRPr="001F0131">
        <w:rPr>
          <w:rFonts w:hint="eastAsia"/>
          <w:lang w:eastAsia="ja-JP"/>
        </w:rPr>
        <w:t>;</w:t>
      </w:r>
      <w:r w:rsidR="003F041F" w:rsidRPr="001F0131">
        <w:t xml:space="preserve"> </w:t>
      </w:r>
      <w:r w:rsidRPr="001F0131">
        <w:t xml:space="preserve">Xie, </w:t>
      </w:r>
      <w:r w:rsidR="003F041F" w:rsidRPr="001F0131">
        <w:t>R. J. Recent progress on discovery of novel phosphors for solid state lighting</w:t>
      </w:r>
      <w:r w:rsidR="003F041F" w:rsidRPr="001F0131">
        <w:rPr>
          <w:rFonts w:hint="eastAsia"/>
          <w:lang w:eastAsia="ja-JP"/>
        </w:rPr>
        <w:t xml:space="preserve">. </w:t>
      </w:r>
      <w:r w:rsidRPr="001F0131">
        <w:rPr>
          <w:i/>
          <w:iCs/>
        </w:rPr>
        <w:t>J. Rare Earths</w:t>
      </w:r>
      <w:r w:rsidRPr="001F0131">
        <w:t xml:space="preserve"> </w:t>
      </w:r>
      <w:r w:rsidRPr="001F0131">
        <w:rPr>
          <w:b/>
          <w:bCs/>
        </w:rPr>
        <w:t>2020</w:t>
      </w:r>
      <w:r w:rsidRPr="001F0131">
        <w:t xml:space="preserve">, </w:t>
      </w:r>
      <w:r w:rsidRPr="001F0131">
        <w:rPr>
          <w:i/>
          <w:iCs/>
        </w:rPr>
        <w:t>38</w:t>
      </w:r>
      <w:r w:rsidRPr="001F0131">
        <w:t>, 464</w:t>
      </w:r>
      <w:r w:rsidR="003F041F" w:rsidRPr="001F0131">
        <w:rPr>
          <w:rFonts w:hint="eastAsia"/>
          <w:lang w:eastAsia="ja-JP"/>
        </w:rPr>
        <w:t>-473</w:t>
      </w:r>
      <w:r w:rsidRPr="001F0131">
        <w:t>.</w:t>
      </w:r>
    </w:p>
    <w:p w14:paraId="77F9214E" w14:textId="77777777" w:rsidR="003F041F" w:rsidRPr="001F0131" w:rsidRDefault="00B84C7F" w:rsidP="00782678">
      <w:pPr>
        <w:pStyle w:val="TFReferencesSection"/>
        <w:numPr>
          <w:ilvl w:val="0"/>
          <w:numId w:val="13"/>
        </w:numPr>
      </w:pPr>
      <w:r w:rsidRPr="001F0131">
        <w:t xml:space="preserve">Zhou, </w:t>
      </w:r>
      <w:r w:rsidR="003F041F" w:rsidRPr="001F0131">
        <w:t>X. Q.</w:t>
      </w:r>
      <w:r w:rsidR="003F041F" w:rsidRPr="001F0131">
        <w:rPr>
          <w:rFonts w:hint="eastAsia"/>
          <w:lang w:eastAsia="ja-JP"/>
        </w:rPr>
        <w:t>;</w:t>
      </w:r>
      <w:r w:rsidR="003F041F" w:rsidRPr="001F0131">
        <w:t xml:space="preserve"> </w:t>
      </w:r>
      <w:r w:rsidRPr="001F0131">
        <w:t xml:space="preserve">Qiao, </w:t>
      </w:r>
      <w:r w:rsidR="003F041F" w:rsidRPr="001F0131">
        <w:t>J. W.</w:t>
      </w:r>
      <w:r w:rsidR="003F041F" w:rsidRPr="001F0131">
        <w:rPr>
          <w:rFonts w:hint="eastAsia"/>
          <w:lang w:eastAsia="ja-JP"/>
        </w:rPr>
        <w:t>;</w:t>
      </w:r>
      <w:r w:rsidR="003F041F" w:rsidRPr="001F0131">
        <w:t xml:space="preserve"> </w:t>
      </w:r>
      <w:r w:rsidRPr="001F0131">
        <w:t xml:space="preserve">Xia, </w:t>
      </w:r>
      <w:r w:rsidR="003F041F" w:rsidRPr="001F0131">
        <w:t>Z. G. Learning from Mineral Structures toward New Luminescence Materials for Light-Emitting Diode Applications</w:t>
      </w:r>
      <w:r w:rsidR="003F041F" w:rsidRPr="001F0131">
        <w:rPr>
          <w:rFonts w:hint="eastAsia"/>
          <w:lang w:eastAsia="ja-JP"/>
        </w:rPr>
        <w:t xml:space="preserve">. </w:t>
      </w:r>
      <w:r w:rsidRPr="001F0131">
        <w:rPr>
          <w:i/>
          <w:iCs/>
        </w:rPr>
        <w:t>Chem. Mater.</w:t>
      </w:r>
      <w:r w:rsidRPr="001F0131">
        <w:t xml:space="preserve"> </w:t>
      </w:r>
      <w:r w:rsidRPr="001F0131">
        <w:rPr>
          <w:b/>
          <w:bCs/>
        </w:rPr>
        <w:t>2021</w:t>
      </w:r>
      <w:r w:rsidRPr="001F0131">
        <w:t xml:space="preserve">, </w:t>
      </w:r>
      <w:r w:rsidRPr="001F0131">
        <w:rPr>
          <w:i/>
          <w:iCs/>
        </w:rPr>
        <w:t>33</w:t>
      </w:r>
      <w:r w:rsidRPr="001F0131">
        <w:t>, 1083</w:t>
      </w:r>
      <w:r w:rsidR="003F041F" w:rsidRPr="001F0131">
        <w:rPr>
          <w:rFonts w:hint="eastAsia"/>
          <w:lang w:eastAsia="ja-JP"/>
        </w:rPr>
        <w:t>-1098</w:t>
      </w:r>
      <w:r w:rsidRPr="001F0131">
        <w:t>.</w:t>
      </w:r>
    </w:p>
    <w:p w14:paraId="5139BCA4" w14:textId="77777777" w:rsidR="003F041F" w:rsidRPr="001F0131" w:rsidRDefault="00B84C7F" w:rsidP="00FF07C3">
      <w:pPr>
        <w:pStyle w:val="TFReferencesSection"/>
        <w:numPr>
          <w:ilvl w:val="0"/>
          <w:numId w:val="13"/>
        </w:numPr>
      </w:pPr>
      <w:r w:rsidRPr="001F0131">
        <w:t xml:space="preserve">Park, </w:t>
      </w:r>
      <w:r w:rsidR="003F041F" w:rsidRPr="001F0131">
        <w:t>W. B.</w:t>
      </w:r>
      <w:r w:rsidR="003F041F" w:rsidRPr="001F0131">
        <w:rPr>
          <w:rFonts w:hint="eastAsia"/>
          <w:lang w:eastAsia="ja-JP"/>
        </w:rPr>
        <w:t>;</w:t>
      </w:r>
      <w:r w:rsidR="003F041F" w:rsidRPr="001F0131">
        <w:t xml:space="preserve"> </w:t>
      </w:r>
      <w:r w:rsidRPr="001F0131">
        <w:t xml:space="preserve">Singh, </w:t>
      </w:r>
      <w:r w:rsidR="003F041F" w:rsidRPr="001F0131">
        <w:t>S. P.</w:t>
      </w:r>
      <w:r w:rsidR="003F041F" w:rsidRPr="001F0131">
        <w:rPr>
          <w:rFonts w:hint="eastAsia"/>
          <w:lang w:eastAsia="ja-JP"/>
        </w:rPr>
        <w:t>;</w:t>
      </w:r>
      <w:r w:rsidR="003F041F" w:rsidRPr="001F0131">
        <w:t xml:space="preserve"> </w:t>
      </w:r>
      <w:r w:rsidRPr="001F0131">
        <w:t>Kim</w:t>
      </w:r>
      <w:r w:rsidR="003F041F" w:rsidRPr="001F0131">
        <w:rPr>
          <w:rFonts w:hint="eastAsia"/>
          <w:lang w:eastAsia="ja-JP"/>
        </w:rPr>
        <w:t xml:space="preserve">, </w:t>
      </w:r>
      <w:r w:rsidR="003F041F" w:rsidRPr="001F0131">
        <w:t>M.</w:t>
      </w:r>
      <w:r w:rsidR="003F041F" w:rsidRPr="001F0131">
        <w:rPr>
          <w:rFonts w:hint="eastAsia"/>
          <w:lang w:eastAsia="ja-JP"/>
        </w:rPr>
        <w:t>;</w:t>
      </w:r>
      <w:r w:rsidRPr="001F0131">
        <w:t xml:space="preserve"> Sohn, </w:t>
      </w:r>
      <w:r w:rsidR="003F041F" w:rsidRPr="001F0131">
        <w:t>K. S. Phosphor Informatics Based on Confirmatory Factor Analysis</w:t>
      </w:r>
      <w:r w:rsidR="003F041F" w:rsidRPr="001F0131">
        <w:rPr>
          <w:rFonts w:hint="eastAsia"/>
          <w:lang w:eastAsia="ja-JP"/>
        </w:rPr>
        <w:t xml:space="preserve">. </w:t>
      </w:r>
      <w:r w:rsidRPr="001F0131">
        <w:rPr>
          <w:i/>
          <w:iCs/>
        </w:rPr>
        <w:t>ACS Comb. Sci.</w:t>
      </w:r>
      <w:r w:rsidRPr="001F0131">
        <w:t xml:space="preserve"> </w:t>
      </w:r>
      <w:r w:rsidRPr="001F0131">
        <w:rPr>
          <w:b/>
          <w:bCs/>
        </w:rPr>
        <w:t>2015</w:t>
      </w:r>
      <w:r w:rsidRPr="001F0131">
        <w:t xml:space="preserve">, </w:t>
      </w:r>
      <w:r w:rsidRPr="001F0131">
        <w:rPr>
          <w:i/>
          <w:iCs/>
        </w:rPr>
        <w:t>17</w:t>
      </w:r>
      <w:r w:rsidRPr="001F0131">
        <w:t>, 317</w:t>
      </w:r>
      <w:r w:rsidR="003F041F" w:rsidRPr="001F0131">
        <w:rPr>
          <w:rFonts w:hint="eastAsia"/>
          <w:lang w:eastAsia="ja-JP"/>
        </w:rPr>
        <w:t>-325</w:t>
      </w:r>
      <w:r w:rsidRPr="001F0131">
        <w:t>.</w:t>
      </w:r>
    </w:p>
    <w:p w14:paraId="5F3EB843" w14:textId="77777777" w:rsidR="003F041F" w:rsidRPr="001F0131" w:rsidRDefault="00B84C7F" w:rsidP="00436680">
      <w:pPr>
        <w:pStyle w:val="TFReferencesSection"/>
        <w:numPr>
          <w:ilvl w:val="0"/>
          <w:numId w:val="13"/>
        </w:numPr>
      </w:pPr>
      <w:r w:rsidRPr="001F0131">
        <w:t xml:space="preserve">Ha, </w:t>
      </w:r>
      <w:r w:rsidR="003F041F" w:rsidRPr="001F0131">
        <w:t>J. M.</w:t>
      </w:r>
      <w:r w:rsidR="003F041F" w:rsidRPr="001F0131">
        <w:rPr>
          <w:rFonts w:hint="eastAsia"/>
          <w:lang w:eastAsia="ja-JP"/>
        </w:rPr>
        <w:t>;</w:t>
      </w:r>
      <w:r w:rsidR="003F041F" w:rsidRPr="001F0131">
        <w:t xml:space="preserve"> </w:t>
      </w:r>
      <w:r w:rsidRPr="001F0131">
        <w:t xml:space="preserve">Wang, </w:t>
      </w:r>
      <w:r w:rsidR="003F041F" w:rsidRPr="001F0131">
        <w:t>Z. B.</w:t>
      </w:r>
      <w:r w:rsidR="003F041F" w:rsidRPr="001F0131">
        <w:rPr>
          <w:rFonts w:hint="eastAsia"/>
          <w:lang w:eastAsia="ja-JP"/>
        </w:rPr>
        <w:t>;</w:t>
      </w:r>
      <w:r w:rsidR="003F041F" w:rsidRPr="001F0131">
        <w:t xml:space="preserve"> </w:t>
      </w:r>
      <w:r w:rsidRPr="001F0131">
        <w:t xml:space="preserve">Novitskaya, </w:t>
      </w:r>
      <w:r w:rsidR="003F041F" w:rsidRPr="001F0131">
        <w:t>E.</w:t>
      </w:r>
      <w:r w:rsidR="003F041F" w:rsidRPr="001F0131">
        <w:rPr>
          <w:rFonts w:hint="eastAsia"/>
          <w:lang w:eastAsia="ja-JP"/>
        </w:rPr>
        <w:t>;</w:t>
      </w:r>
      <w:r w:rsidR="003F041F" w:rsidRPr="001F0131">
        <w:t xml:space="preserve"> </w:t>
      </w:r>
      <w:r w:rsidRPr="001F0131">
        <w:t xml:space="preserve">Hirata, </w:t>
      </w:r>
      <w:r w:rsidR="003F041F" w:rsidRPr="001F0131">
        <w:t>G. A.</w:t>
      </w:r>
      <w:r w:rsidR="003F041F" w:rsidRPr="001F0131">
        <w:rPr>
          <w:rFonts w:hint="eastAsia"/>
          <w:lang w:eastAsia="ja-JP"/>
        </w:rPr>
        <w:t>;</w:t>
      </w:r>
      <w:r w:rsidR="003F041F" w:rsidRPr="001F0131">
        <w:t xml:space="preserve"> </w:t>
      </w:r>
      <w:r w:rsidRPr="001F0131">
        <w:t xml:space="preserve">Graeve, </w:t>
      </w:r>
      <w:r w:rsidR="003F041F" w:rsidRPr="001F0131">
        <w:t>O. A.</w:t>
      </w:r>
      <w:r w:rsidR="003F041F" w:rsidRPr="001F0131">
        <w:rPr>
          <w:rFonts w:hint="eastAsia"/>
          <w:lang w:eastAsia="ja-JP"/>
        </w:rPr>
        <w:t>;</w:t>
      </w:r>
      <w:r w:rsidR="003F041F" w:rsidRPr="001F0131">
        <w:t xml:space="preserve"> </w:t>
      </w:r>
      <w:r w:rsidRPr="001F0131">
        <w:t xml:space="preserve">Ong, </w:t>
      </w:r>
      <w:r w:rsidR="003F041F" w:rsidRPr="001F0131">
        <w:t>S. P.</w:t>
      </w:r>
      <w:r w:rsidR="003F041F" w:rsidRPr="001F0131">
        <w:rPr>
          <w:rFonts w:hint="eastAsia"/>
          <w:lang w:eastAsia="ja-JP"/>
        </w:rPr>
        <w:t>;</w:t>
      </w:r>
      <w:r w:rsidR="003F041F" w:rsidRPr="001F0131">
        <w:t xml:space="preserve"> </w:t>
      </w:r>
      <w:r w:rsidRPr="001F0131">
        <w:t xml:space="preserve">McKittrick, </w:t>
      </w:r>
      <w:r w:rsidR="003F041F" w:rsidRPr="001F0131">
        <w:t>J. An integrated first principles and experimental investigation of the relationship between structural rigidity and quantum efficiency in phosphors for solid state lighting</w:t>
      </w:r>
      <w:r w:rsidR="003F041F" w:rsidRPr="001F0131">
        <w:rPr>
          <w:rFonts w:hint="eastAsia"/>
          <w:lang w:eastAsia="ja-JP"/>
        </w:rPr>
        <w:t xml:space="preserve">. </w:t>
      </w:r>
      <w:r w:rsidRPr="001F0131">
        <w:rPr>
          <w:i/>
          <w:iCs/>
        </w:rPr>
        <w:t>J. Lumin.</w:t>
      </w:r>
      <w:r w:rsidRPr="001F0131">
        <w:t xml:space="preserve"> </w:t>
      </w:r>
      <w:r w:rsidRPr="001F0131">
        <w:rPr>
          <w:b/>
          <w:bCs/>
        </w:rPr>
        <w:t>2016</w:t>
      </w:r>
      <w:r w:rsidRPr="001F0131">
        <w:t xml:space="preserve">, </w:t>
      </w:r>
      <w:r w:rsidRPr="001F0131">
        <w:rPr>
          <w:i/>
          <w:iCs/>
        </w:rPr>
        <w:t>179</w:t>
      </w:r>
      <w:r w:rsidRPr="001F0131">
        <w:t>, 297</w:t>
      </w:r>
      <w:r w:rsidR="003F041F" w:rsidRPr="001F0131">
        <w:rPr>
          <w:rFonts w:hint="eastAsia"/>
          <w:lang w:eastAsia="ja-JP"/>
        </w:rPr>
        <w:t>-305</w:t>
      </w:r>
      <w:r w:rsidRPr="001F0131">
        <w:t>.</w:t>
      </w:r>
    </w:p>
    <w:p w14:paraId="31F388B1" w14:textId="77777777" w:rsidR="003F041F" w:rsidRPr="001F0131" w:rsidRDefault="00B84C7F" w:rsidP="008E7AE5">
      <w:pPr>
        <w:pStyle w:val="TFReferencesSection"/>
        <w:numPr>
          <w:ilvl w:val="0"/>
          <w:numId w:val="13"/>
        </w:numPr>
      </w:pPr>
      <w:r w:rsidRPr="001F0131">
        <w:t xml:space="preserve">Nakano, </w:t>
      </w:r>
      <w:r w:rsidR="003F041F" w:rsidRPr="001F0131">
        <w:t>H.</w:t>
      </w:r>
      <w:r w:rsidR="003F041F" w:rsidRPr="001F0131">
        <w:rPr>
          <w:rFonts w:hint="eastAsia"/>
          <w:lang w:eastAsia="ja-JP"/>
        </w:rPr>
        <w:t>;</w:t>
      </w:r>
      <w:r w:rsidR="003F041F" w:rsidRPr="001F0131">
        <w:t xml:space="preserve"> </w:t>
      </w:r>
      <w:r w:rsidRPr="001F0131">
        <w:t xml:space="preserve">Tanaka, </w:t>
      </w:r>
      <w:r w:rsidR="003F041F" w:rsidRPr="001F0131">
        <w:t>K.</w:t>
      </w:r>
      <w:r w:rsidR="003F041F" w:rsidRPr="001F0131">
        <w:rPr>
          <w:rFonts w:hint="eastAsia"/>
          <w:lang w:eastAsia="ja-JP"/>
        </w:rPr>
        <w:t>;</w:t>
      </w:r>
      <w:r w:rsidR="003F041F" w:rsidRPr="001F0131">
        <w:t xml:space="preserve"> </w:t>
      </w:r>
      <w:r w:rsidRPr="001F0131">
        <w:t xml:space="preserve">Miyao, </w:t>
      </w:r>
      <w:r w:rsidR="003F041F" w:rsidRPr="001F0131">
        <w:t>T.</w:t>
      </w:r>
      <w:r w:rsidR="003F041F" w:rsidRPr="001F0131">
        <w:rPr>
          <w:rFonts w:hint="eastAsia"/>
          <w:lang w:eastAsia="ja-JP"/>
        </w:rPr>
        <w:t>;</w:t>
      </w:r>
      <w:r w:rsidR="003F041F" w:rsidRPr="001F0131">
        <w:t xml:space="preserve"> </w:t>
      </w:r>
      <w:r w:rsidRPr="001F0131">
        <w:t xml:space="preserve">Funatsu, </w:t>
      </w:r>
      <w:r w:rsidR="003F041F" w:rsidRPr="001F0131">
        <w:t>K.</w:t>
      </w:r>
      <w:r w:rsidR="003F041F" w:rsidRPr="001F0131">
        <w:rPr>
          <w:rFonts w:hint="eastAsia"/>
          <w:lang w:eastAsia="ja-JP"/>
        </w:rPr>
        <w:t>;</w:t>
      </w:r>
      <w:r w:rsidR="003F041F" w:rsidRPr="001F0131">
        <w:t xml:space="preserve"> </w:t>
      </w:r>
      <w:r w:rsidRPr="001F0131">
        <w:t xml:space="preserve">Shirasawa, </w:t>
      </w:r>
      <w:r w:rsidR="003F041F" w:rsidRPr="001F0131">
        <w:t>R.</w:t>
      </w:r>
      <w:r w:rsidR="003F041F" w:rsidRPr="001F0131">
        <w:rPr>
          <w:rFonts w:hint="eastAsia"/>
          <w:lang w:eastAsia="ja-JP"/>
        </w:rPr>
        <w:t>;</w:t>
      </w:r>
      <w:r w:rsidR="003F041F" w:rsidRPr="001F0131">
        <w:t xml:space="preserve"> </w:t>
      </w:r>
      <w:r w:rsidRPr="001F0131">
        <w:t xml:space="preserve">Tomiya, </w:t>
      </w:r>
      <w:r w:rsidR="003F041F" w:rsidRPr="001F0131">
        <w:t>S. Practical Models for Predicting the Emission Peak Wavelengths of Inorganic Phosphors Based on Stoichiometric Information</w:t>
      </w:r>
      <w:r w:rsidR="003F041F" w:rsidRPr="001F0131">
        <w:rPr>
          <w:rFonts w:hint="eastAsia"/>
          <w:lang w:eastAsia="ja-JP"/>
        </w:rPr>
        <w:t xml:space="preserve">. </w:t>
      </w:r>
      <w:r w:rsidRPr="001F0131">
        <w:rPr>
          <w:i/>
          <w:iCs/>
        </w:rPr>
        <w:t>Chem. Lett.</w:t>
      </w:r>
      <w:r w:rsidRPr="001F0131">
        <w:t xml:space="preserve"> </w:t>
      </w:r>
      <w:r w:rsidRPr="001F0131">
        <w:rPr>
          <w:b/>
          <w:bCs/>
        </w:rPr>
        <w:t>2017</w:t>
      </w:r>
      <w:r w:rsidRPr="001F0131">
        <w:t xml:space="preserve">, </w:t>
      </w:r>
      <w:r w:rsidRPr="001F0131">
        <w:rPr>
          <w:i/>
          <w:iCs/>
        </w:rPr>
        <w:t>46</w:t>
      </w:r>
      <w:r w:rsidRPr="001F0131">
        <w:t>, 1482</w:t>
      </w:r>
      <w:r w:rsidR="003F041F" w:rsidRPr="001F0131">
        <w:rPr>
          <w:rFonts w:hint="eastAsia"/>
          <w:lang w:eastAsia="ja-JP"/>
        </w:rPr>
        <w:t>-1485</w:t>
      </w:r>
      <w:r w:rsidRPr="001F0131">
        <w:t>.</w:t>
      </w:r>
    </w:p>
    <w:p w14:paraId="134EA095" w14:textId="77777777" w:rsidR="003F041F" w:rsidRPr="001F0131" w:rsidRDefault="00B84C7F" w:rsidP="002358EA">
      <w:pPr>
        <w:pStyle w:val="TFReferencesSection"/>
        <w:numPr>
          <w:ilvl w:val="0"/>
          <w:numId w:val="13"/>
        </w:numPr>
      </w:pPr>
      <w:r w:rsidRPr="001F0131">
        <w:t xml:space="preserve">Zhuo, </w:t>
      </w:r>
      <w:r w:rsidR="003F041F" w:rsidRPr="001F0131">
        <w:t>Y.</w:t>
      </w:r>
      <w:r w:rsidR="003F041F" w:rsidRPr="001F0131">
        <w:rPr>
          <w:rFonts w:hint="eastAsia"/>
          <w:lang w:eastAsia="ja-JP"/>
        </w:rPr>
        <w:t>;</w:t>
      </w:r>
      <w:r w:rsidR="003F041F" w:rsidRPr="001F0131">
        <w:t xml:space="preserve"> </w:t>
      </w:r>
      <w:r w:rsidRPr="001F0131">
        <w:t xml:space="preserve">Tehrani, </w:t>
      </w:r>
      <w:r w:rsidR="003F041F" w:rsidRPr="001F0131">
        <w:t>A. M.</w:t>
      </w:r>
      <w:r w:rsidR="003F041F" w:rsidRPr="001F0131">
        <w:rPr>
          <w:rFonts w:hint="eastAsia"/>
          <w:lang w:eastAsia="ja-JP"/>
        </w:rPr>
        <w:t>;</w:t>
      </w:r>
      <w:r w:rsidR="003F041F" w:rsidRPr="001F0131">
        <w:t xml:space="preserve"> </w:t>
      </w:r>
      <w:r w:rsidRPr="001F0131">
        <w:t xml:space="preserve">Oliynyk, </w:t>
      </w:r>
      <w:r w:rsidR="003F041F" w:rsidRPr="001F0131">
        <w:t>A. O.</w:t>
      </w:r>
      <w:r w:rsidR="003F041F" w:rsidRPr="001F0131">
        <w:rPr>
          <w:rFonts w:hint="eastAsia"/>
          <w:lang w:eastAsia="ja-JP"/>
        </w:rPr>
        <w:t>;</w:t>
      </w:r>
      <w:r w:rsidR="003F041F" w:rsidRPr="001F0131">
        <w:t xml:space="preserve"> </w:t>
      </w:r>
      <w:r w:rsidRPr="001F0131">
        <w:t xml:space="preserve">Duke, </w:t>
      </w:r>
      <w:r w:rsidR="003F041F" w:rsidRPr="001F0131">
        <w:t>A. C.</w:t>
      </w:r>
      <w:r w:rsidR="003F041F" w:rsidRPr="001F0131">
        <w:rPr>
          <w:rFonts w:hint="eastAsia"/>
          <w:lang w:eastAsia="ja-JP"/>
        </w:rPr>
        <w:t>;</w:t>
      </w:r>
      <w:r w:rsidR="003F041F" w:rsidRPr="001F0131">
        <w:t xml:space="preserve"> </w:t>
      </w:r>
      <w:r w:rsidRPr="001F0131">
        <w:t xml:space="preserve">Brgoch, </w:t>
      </w:r>
      <w:r w:rsidR="003F041F" w:rsidRPr="001F0131">
        <w:t>J. Identifying an efficient, thermally robust inorganic phosphor host via machine learning</w:t>
      </w:r>
      <w:r w:rsidR="003F041F" w:rsidRPr="001F0131">
        <w:rPr>
          <w:rFonts w:hint="eastAsia"/>
          <w:lang w:eastAsia="ja-JP"/>
        </w:rPr>
        <w:t xml:space="preserve">. </w:t>
      </w:r>
      <w:r w:rsidRPr="001F0131">
        <w:rPr>
          <w:i/>
          <w:iCs/>
        </w:rPr>
        <w:t>Nat. Commun.</w:t>
      </w:r>
      <w:r w:rsidRPr="001F0131">
        <w:t xml:space="preserve"> </w:t>
      </w:r>
      <w:r w:rsidRPr="001F0131">
        <w:rPr>
          <w:b/>
          <w:bCs/>
        </w:rPr>
        <w:t>2018</w:t>
      </w:r>
      <w:r w:rsidRPr="001F0131">
        <w:t xml:space="preserve">, </w:t>
      </w:r>
      <w:r w:rsidRPr="001F0131">
        <w:rPr>
          <w:i/>
          <w:iCs/>
        </w:rPr>
        <w:t>9</w:t>
      </w:r>
      <w:r w:rsidRPr="001F0131">
        <w:t>, 4377</w:t>
      </w:r>
      <w:r w:rsidR="003F041F" w:rsidRPr="001F0131">
        <w:rPr>
          <w:rFonts w:hint="eastAsia"/>
          <w:lang w:eastAsia="ja-JP"/>
        </w:rPr>
        <w:t xml:space="preserve">-1 </w:t>
      </w:r>
      <w:r w:rsidR="003F041F" w:rsidRPr="001F0131">
        <w:rPr>
          <w:lang w:eastAsia="ja-JP"/>
        </w:rPr>
        <w:t>–</w:t>
      </w:r>
      <w:r w:rsidR="003F041F" w:rsidRPr="001F0131">
        <w:rPr>
          <w:rFonts w:hint="eastAsia"/>
          <w:lang w:eastAsia="ja-JP"/>
        </w:rPr>
        <w:t xml:space="preserve"> 4377-10</w:t>
      </w:r>
      <w:r w:rsidRPr="001F0131">
        <w:t>.</w:t>
      </w:r>
    </w:p>
    <w:p w14:paraId="5D24DF68" w14:textId="77777777" w:rsidR="003F041F" w:rsidRPr="001F0131" w:rsidRDefault="00B84C7F" w:rsidP="00922095">
      <w:pPr>
        <w:pStyle w:val="TFReferencesSection"/>
        <w:numPr>
          <w:ilvl w:val="0"/>
          <w:numId w:val="13"/>
        </w:numPr>
      </w:pPr>
      <w:r w:rsidRPr="001F0131">
        <w:lastRenderedPageBreak/>
        <w:t xml:space="preserve">Li, </w:t>
      </w:r>
      <w:r w:rsidR="003F041F" w:rsidRPr="001F0131">
        <w:t>S. X.</w:t>
      </w:r>
      <w:r w:rsidR="003F041F" w:rsidRPr="001F0131">
        <w:rPr>
          <w:rFonts w:hint="eastAsia"/>
          <w:lang w:eastAsia="ja-JP"/>
        </w:rPr>
        <w:t>;</w:t>
      </w:r>
      <w:r w:rsidR="003F041F" w:rsidRPr="001F0131">
        <w:t xml:space="preserve"> </w:t>
      </w:r>
      <w:r w:rsidRPr="001F0131">
        <w:t xml:space="preserve">Xia, </w:t>
      </w:r>
      <w:r w:rsidR="003F041F" w:rsidRPr="001F0131">
        <w:t>Y. H.</w:t>
      </w:r>
      <w:r w:rsidR="003F041F" w:rsidRPr="001F0131">
        <w:rPr>
          <w:rFonts w:hint="eastAsia"/>
          <w:lang w:eastAsia="ja-JP"/>
        </w:rPr>
        <w:t>;</w:t>
      </w:r>
      <w:r w:rsidR="003F041F" w:rsidRPr="001F0131">
        <w:t xml:space="preserve"> </w:t>
      </w:r>
      <w:r w:rsidRPr="001F0131">
        <w:t xml:space="preserve">Amachraa, </w:t>
      </w:r>
      <w:r w:rsidR="003F041F" w:rsidRPr="001F0131">
        <w:t>M.</w:t>
      </w:r>
      <w:r w:rsidR="003F041F" w:rsidRPr="001F0131">
        <w:rPr>
          <w:rFonts w:hint="eastAsia"/>
          <w:lang w:eastAsia="ja-JP"/>
        </w:rPr>
        <w:t>;</w:t>
      </w:r>
      <w:r w:rsidR="003F041F" w:rsidRPr="001F0131">
        <w:t xml:space="preserve"> </w:t>
      </w:r>
      <w:r w:rsidRPr="001F0131">
        <w:t xml:space="preserve">Hung, </w:t>
      </w:r>
      <w:r w:rsidR="003F041F" w:rsidRPr="001F0131">
        <w:t>N. T.</w:t>
      </w:r>
      <w:r w:rsidR="003F041F" w:rsidRPr="001F0131">
        <w:rPr>
          <w:rFonts w:hint="eastAsia"/>
          <w:lang w:eastAsia="ja-JP"/>
        </w:rPr>
        <w:t>;</w:t>
      </w:r>
      <w:r w:rsidR="003F041F" w:rsidRPr="001F0131">
        <w:t xml:space="preserve"> </w:t>
      </w:r>
      <w:r w:rsidRPr="001F0131">
        <w:t xml:space="preserve">Wang, </w:t>
      </w:r>
      <w:r w:rsidR="003F041F" w:rsidRPr="001F0131">
        <w:t>Z. B.</w:t>
      </w:r>
      <w:r w:rsidR="003F041F" w:rsidRPr="001F0131">
        <w:rPr>
          <w:rFonts w:hint="eastAsia"/>
          <w:lang w:eastAsia="ja-JP"/>
        </w:rPr>
        <w:t>;</w:t>
      </w:r>
      <w:r w:rsidR="003F041F" w:rsidRPr="001F0131">
        <w:t xml:space="preserve"> </w:t>
      </w:r>
      <w:r w:rsidRPr="001F0131">
        <w:t xml:space="preserve">Ong, </w:t>
      </w:r>
      <w:r w:rsidR="003F041F" w:rsidRPr="001F0131">
        <w:t>S. P.</w:t>
      </w:r>
      <w:r w:rsidR="003F041F" w:rsidRPr="001F0131">
        <w:rPr>
          <w:rFonts w:hint="eastAsia"/>
          <w:lang w:eastAsia="ja-JP"/>
        </w:rPr>
        <w:t>;</w:t>
      </w:r>
      <w:r w:rsidR="003F041F" w:rsidRPr="001F0131">
        <w:t xml:space="preserve"> </w:t>
      </w:r>
      <w:r w:rsidRPr="001F0131">
        <w:t xml:space="preserve">Xie, </w:t>
      </w:r>
      <w:r w:rsidR="003F041F" w:rsidRPr="001F0131">
        <w:t>R. J. Data-Driven Discovery of Full-Visible-Spectrum Phosphor</w:t>
      </w:r>
      <w:r w:rsidR="003F041F" w:rsidRPr="001F0131">
        <w:rPr>
          <w:rFonts w:hint="eastAsia"/>
          <w:lang w:eastAsia="ja-JP"/>
        </w:rPr>
        <w:t xml:space="preserve">. </w:t>
      </w:r>
      <w:r w:rsidRPr="001F0131">
        <w:rPr>
          <w:i/>
          <w:iCs/>
        </w:rPr>
        <w:t>Chem. Mater.</w:t>
      </w:r>
      <w:r w:rsidRPr="001F0131">
        <w:t xml:space="preserve"> </w:t>
      </w:r>
      <w:r w:rsidRPr="001F0131">
        <w:rPr>
          <w:b/>
        </w:rPr>
        <w:t>2019</w:t>
      </w:r>
      <w:r w:rsidRPr="001F0131">
        <w:t xml:space="preserve">, </w:t>
      </w:r>
      <w:r w:rsidRPr="001F0131">
        <w:rPr>
          <w:i/>
          <w:iCs/>
        </w:rPr>
        <w:t>31</w:t>
      </w:r>
      <w:r w:rsidRPr="001F0131">
        <w:t>, 6286</w:t>
      </w:r>
      <w:r w:rsidR="003F041F" w:rsidRPr="001F0131">
        <w:rPr>
          <w:rFonts w:hint="eastAsia"/>
          <w:lang w:eastAsia="ja-JP"/>
        </w:rPr>
        <w:t>-6294</w:t>
      </w:r>
      <w:r w:rsidRPr="001F0131">
        <w:t>.</w:t>
      </w:r>
    </w:p>
    <w:p w14:paraId="3C7E98E8" w14:textId="77777777" w:rsidR="00FA44DF" w:rsidRPr="001F0131" w:rsidRDefault="00B84C7F" w:rsidP="00CB2103">
      <w:pPr>
        <w:pStyle w:val="TFReferencesSection"/>
        <w:numPr>
          <w:ilvl w:val="0"/>
          <w:numId w:val="13"/>
        </w:numPr>
      </w:pPr>
      <w:r w:rsidRPr="001F0131">
        <w:t xml:space="preserve">Lai, </w:t>
      </w:r>
      <w:r w:rsidR="003F041F" w:rsidRPr="001F0131">
        <w:t>S. Q.</w:t>
      </w:r>
      <w:r w:rsidR="003F041F" w:rsidRPr="001F0131">
        <w:rPr>
          <w:rFonts w:hint="eastAsia"/>
          <w:lang w:eastAsia="ja-JP"/>
        </w:rPr>
        <w:t>;</w:t>
      </w:r>
      <w:r w:rsidR="003F041F" w:rsidRPr="001F0131">
        <w:t xml:space="preserve"> </w:t>
      </w:r>
      <w:r w:rsidRPr="001F0131">
        <w:t xml:space="preserve">Zhao, </w:t>
      </w:r>
      <w:r w:rsidR="003F041F" w:rsidRPr="001F0131">
        <w:t>M.</w:t>
      </w:r>
      <w:r w:rsidR="003F041F" w:rsidRPr="001F0131">
        <w:rPr>
          <w:rFonts w:hint="eastAsia"/>
          <w:lang w:eastAsia="ja-JP"/>
        </w:rPr>
        <w:t>;</w:t>
      </w:r>
      <w:r w:rsidR="003F041F" w:rsidRPr="001F0131">
        <w:t xml:space="preserve"> </w:t>
      </w:r>
      <w:r w:rsidRPr="001F0131">
        <w:t xml:space="preserve">Qiao, </w:t>
      </w:r>
      <w:r w:rsidR="003F041F" w:rsidRPr="001F0131">
        <w:t>J. W.</w:t>
      </w:r>
      <w:r w:rsidR="003F041F" w:rsidRPr="001F0131">
        <w:rPr>
          <w:rFonts w:hint="eastAsia"/>
          <w:lang w:eastAsia="ja-JP"/>
        </w:rPr>
        <w:t>;</w:t>
      </w:r>
      <w:r w:rsidR="003F041F" w:rsidRPr="001F0131">
        <w:t xml:space="preserve"> </w:t>
      </w:r>
      <w:r w:rsidRPr="001F0131">
        <w:t xml:space="preserve">Molokeev, </w:t>
      </w:r>
      <w:r w:rsidR="003F041F" w:rsidRPr="001F0131">
        <w:t>M. S.</w:t>
      </w:r>
      <w:r w:rsidR="003F041F" w:rsidRPr="001F0131">
        <w:rPr>
          <w:rFonts w:hint="eastAsia"/>
          <w:lang w:eastAsia="ja-JP"/>
        </w:rPr>
        <w:t>;</w:t>
      </w:r>
      <w:r w:rsidR="003F041F" w:rsidRPr="001F0131">
        <w:t xml:space="preserve"> </w:t>
      </w:r>
      <w:r w:rsidRPr="001F0131">
        <w:t xml:space="preserve">Xia, </w:t>
      </w:r>
      <w:r w:rsidR="003F041F" w:rsidRPr="001F0131">
        <w:t xml:space="preserve">Z. G. </w:t>
      </w:r>
      <w:r w:rsidR="00FA44DF" w:rsidRPr="001F0131">
        <w:t>Data-Driven Photoluminescence Tuning in Eu2+-Doped Phosphors</w:t>
      </w:r>
      <w:r w:rsidR="00FA44DF" w:rsidRPr="001F0131">
        <w:rPr>
          <w:rFonts w:hint="eastAsia"/>
          <w:lang w:eastAsia="ja-JP"/>
        </w:rPr>
        <w:t xml:space="preserve">. </w:t>
      </w:r>
      <w:r w:rsidRPr="001F0131">
        <w:rPr>
          <w:i/>
          <w:iCs/>
        </w:rPr>
        <w:t>J. Phys. Chem. Lett.</w:t>
      </w:r>
      <w:r w:rsidRPr="001F0131">
        <w:t xml:space="preserve"> </w:t>
      </w:r>
      <w:r w:rsidRPr="001F0131">
        <w:rPr>
          <w:b/>
          <w:bCs/>
        </w:rPr>
        <w:t>2020</w:t>
      </w:r>
      <w:r w:rsidRPr="001F0131">
        <w:t xml:space="preserve">, </w:t>
      </w:r>
      <w:r w:rsidRPr="001F0131">
        <w:rPr>
          <w:i/>
          <w:iCs/>
        </w:rPr>
        <w:t>11</w:t>
      </w:r>
      <w:r w:rsidRPr="001F0131">
        <w:t>, 5680</w:t>
      </w:r>
      <w:r w:rsidR="00FA44DF" w:rsidRPr="001F0131">
        <w:rPr>
          <w:rFonts w:hint="eastAsia"/>
          <w:lang w:eastAsia="ja-JP"/>
        </w:rPr>
        <w:t>-5685</w:t>
      </w:r>
      <w:r w:rsidRPr="001F0131">
        <w:t>.</w:t>
      </w:r>
    </w:p>
    <w:p w14:paraId="79DB9246" w14:textId="77777777" w:rsidR="00FA44DF" w:rsidRPr="001F0131" w:rsidRDefault="00B84C7F" w:rsidP="00F46EC0">
      <w:pPr>
        <w:pStyle w:val="TFReferencesSection"/>
        <w:numPr>
          <w:ilvl w:val="0"/>
          <w:numId w:val="13"/>
        </w:numPr>
      </w:pPr>
      <w:r w:rsidRPr="001F0131">
        <w:t xml:space="preserve">Park, </w:t>
      </w:r>
      <w:r w:rsidR="00FA44DF" w:rsidRPr="001F0131">
        <w:t>C.</w:t>
      </w:r>
      <w:r w:rsidR="00FA44DF" w:rsidRPr="001F0131">
        <w:rPr>
          <w:rFonts w:hint="eastAsia"/>
          <w:lang w:eastAsia="ja-JP"/>
        </w:rPr>
        <w:t>;</w:t>
      </w:r>
      <w:r w:rsidR="00FA44DF" w:rsidRPr="001F0131">
        <w:t xml:space="preserve"> </w:t>
      </w:r>
      <w:r w:rsidRPr="001F0131">
        <w:t xml:space="preserve">Lee, </w:t>
      </w:r>
      <w:r w:rsidR="00FA44DF" w:rsidRPr="001F0131">
        <w:t>J. W.</w:t>
      </w:r>
      <w:r w:rsidR="00FA44DF" w:rsidRPr="001F0131">
        <w:rPr>
          <w:rFonts w:hint="eastAsia"/>
          <w:lang w:eastAsia="ja-JP"/>
        </w:rPr>
        <w:t>;</w:t>
      </w:r>
      <w:r w:rsidR="00FA44DF" w:rsidRPr="001F0131">
        <w:t xml:space="preserve"> </w:t>
      </w:r>
      <w:r w:rsidRPr="001F0131">
        <w:t xml:space="preserve">Kim, </w:t>
      </w:r>
      <w:r w:rsidR="00FA44DF" w:rsidRPr="001F0131">
        <w:t>M.</w:t>
      </w:r>
      <w:r w:rsidR="00FA44DF" w:rsidRPr="001F0131">
        <w:rPr>
          <w:rFonts w:hint="eastAsia"/>
          <w:lang w:eastAsia="ja-JP"/>
        </w:rPr>
        <w:t>;</w:t>
      </w:r>
      <w:r w:rsidR="00FA44DF" w:rsidRPr="001F0131">
        <w:t xml:space="preserve"> </w:t>
      </w:r>
      <w:r w:rsidRPr="001F0131">
        <w:t xml:space="preserve">Lee, </w:t>
      </w:r>
      <w:r w:rsidR="00FA44DF" w:rsidRPr="001F0131">
        <w:t>B. D.</w:t>
      </w:r>
      <w:r w:rsidR="00FA44DF" w:rsidRPr="001F0131">
        <w:rPr>
          <w:rFonts w:hint="eastAsia"/>
          <w:lang w:eastAsia="ja-JP"/>
        </w:rPr>
        <w:t>;</w:t>
      </w:r>
      <w:r w:rsidR="00FA44DF" w:rsidRPr="001F0131">
        <w:t xml:space="preserve"> </w:t>
      </w:r>
      <w:r w:rsidRPr="001F0131">
        <w:t xml:space="preserve">Singh, </w:t>
      </w:r>
      <w:r w:rsidR="00FA44DF" w:rsidRPr="001F0131">
        <w:t>S. P.</w:t>
      </w:r>
      <w:r w:rsidR="00FA44DF" w:rsidRPr="001F0131">
        <w:rPr>
          <w:rFonts w:hint="eastAsia"/>
          <w:lang w:eastAsia="ja-JP"/>
        </w:rPr>
        <w:t>;</w:t>
      </w:r>
      <w:r w:rsidR="00FA44DF" w:rsidRPr="001F0131">
        <w:t xml:space="preserve"> </w:t>
      </w:r>
      <w:r w:rsidRPr="001F0131">
        <w:t xml:space="preserve">Park, </w:t>
      </w:r>
      <w:r w:rsidR="00FA44DF" w:rsidRPr="001F0131">
        <w:t>W. B.</w:t>
      </w:r>
      <w:r w:rsidR="00FA44DF" w:rsidRPr="001F0131">
        <w:rPr>
          <w:rFonts w:hint="eastAsia"/>
          <w:lang w:eastAsia="ja-JP"/>
        </w:rPr>
        <w:t>;</w:t>
      </w:r>
      <w:r w:rsidR="00FA44DF" w:rsidRPr="001F0131">
        <w:t xml:space="preserve"> </w:t>
      </w:r>
      <w:r w:rsidRPr="001F0131">
        <w:t xml:space="preserve">Sohn, </w:t>
      </w:r>
      <w:r w:rsidR="00FA44DF" w:rsidRPr="001F0131">
        <w:t>K. S. A data-driven approach to predicting band gap, excitation, and emission energies for Eu2+-activated phosphors</w:t>
      </w:r>
      <w:r w:rsidR="00FA44DF" w:rsidRPr="001F0131">
        <w:rPr>
          <w:rFonts w:hint="eastAsia"/>
          <w:lang w:eastAsia="ja-JP"/>
        </w:rPr>
        <w:t xml:space="preserve">. </w:t>
      </w:r>
      <w:r w:rsidRPr="001F0131">
        <w:rPr>
          <w:i/>
          <w:iCs/>
        </w:rPr>
        <w:t>Inorg. Chem. Front.</w:t>
      </w:r>
      <w:r w:rsidRPr="001F0131">
        <w:t xml:space="preserve"> </w:t>
      </w:r>
      <w:r w:rsidRPr="001F0131">
        <w:rPr>
          <w:b/>
          <w:bCs/>
        </w:rPr>
        <w:t>2021</w:t>
      </w:r>
      <w:r w:rsidRPr="001F0131">
        <w:t xml:space="preserve">, </w:t>
      </w:r>
      <w:r w:rsidRPr="001F0131">
        <w:rPr>
          <w:i/>
          <w:iCs/>
        </w:rPr>
        <w:t>8</w:t>
      </w:r>
      <w:r w:rsidRPr="001F0131">
        <w:t>, 4610</w:t>
      </w:r>
      <w:r w:rsidR="00FA44DF" w:rsidRPr="001F0131">
        <w:rPr>
          <w:rFonts w:hint="eastAsia"/>
          <w:lang w:eastAsia="ja-JP"/>
        </w:rPr>
        <w:t>-4624</w:t>
      </w:r>
      <w:r w:rsidRPr="001F0131">
        <w:t>.</w:t>
      </w:r>
    </w:p>
    <w:p w14:paraId="503E3E71" w14:textId="77777777" w:rsidR="00FA44DF" w:rsidRPr="001F0131" w:rsidRDefault="00B84C7F" w:rsidP="00C33AF4">
      <w:pPr>
        <w:pStyle w:val="TFReferencesSection"/>
        <w:numPr>
          <w:ilvl w:val="0"/>
          <w:numId w:val="13"/>
        </w:numPr>
      </w:pPr>
      <w:r w:rsidRPr="001F0131">
        <w:t xml:space="preserve">Zhang, </w:t>
      </w:r>
      <w:r w:rsidR="00FA44DF" w:rsidRPr="001F0131">
        <w:t>X.</w:t>
      </w:r>
      <w:r w:rsidR="00FA44DF" w:rsidRPr="001F0131">
        <w:rPr>
          <w:rFonts w:hint="eastAsia"/>
          <w:lang w:eastAsia="ja-JP"/>
        </w:rPr>
        <w:t>;</w:t>
      </w:r>
      <w:r w:rsidR="00FA44DF" w:rsidRPr="001F0131">
        <w:t xml:space="preserve"> </w:t>
      </w:r>
      <w:r w:rsidRPr="001F0131">
        <w:t xml:space="preserve">Zhou, </w:t>
      </w:r>
      <w:r w:rsidR="00FA44DF" w:rsidRPr="001F0131">
        <w:t>Z.</w:t>
      </w:r>
      <w:r w:rsidR="00FA44DF" w:rsidRPr="001F0131">
        <w:rPr>
          <w:rFonts w:hint="eastAsia"/>
          <w:lang w:eastAsia="ja-JP"/>
        </w:rPr>
        <w:t>;</w:t>
      </w:r>
      <w:r w:rsidR="00FA44DF" w:rsidRPr="001F0131">
        <w:t xml:space="preserve"> </w:t>
      </w:r>
      <w:r w:rsidRPr="001F0131">
        <w:t xml:space="preserve">Ming, </w:t>
      </w:r>
      <w:r w:rsidR="00FA44DF" w:rsidRPr="001F0131">
        <w:t>C.</w:t>
      </w:r>
      <w:r w:rsidR="00FA44DF" w:rsidRPr="001F0131">
        <w:rPr>
          <w:rFonts w:hint="eastAsia"/>
          <w:lang w:eastAsia="ja-JP"/>
        </w:rPr>
        <w:t>;</w:t>
      </w:r>
      <w:r w:rsidR="00FA44DF" w:rsidRPr="001F0131">
        <w:t xml:space="preserve"> </w:t>
      </w:r>
      <w:r w:rsidRPr="001F0131">
        <w:t xml:space="preserve">Sun, </w:t>
      </w:r>
      <w:r w:rsidR="00FA44DF" w:rsidRPr="001F0131">
        <w:t>Y.-Y. GPT-Assisted Learning of Structure-Property Relationships by Graph Neural Networks: Application to Rare-Earth-Doped Phosphors</w:t>
      </w:r>
      <w:r w:rsidR="00FA44DF" w:rsidRPr="001F0131">
        <w:rPr>
          <w:rFonts w:hint="eastAsia"/>
          <w:lang w:eastAsia="ja-JP"/>
        </w:rPr>
        <w:t xml:space="preserve">. </w:t>
      </w:r>
      <w:r w:rsidRPr="001F0131">
        <w:rPr>
          <w:i/>
          <w:iCs/>
        </w:rPr>
        <w:t>J. Phys. Chem. Lett.</w:t>
      </w:r>
      <w:r w:rsidRPr="001F0131">
        <w:t xml:space="preserve"> </w:t>
      </w:r>
      <w:r w:rsidRPr="001F0131">
        <w:rPr>
          <w:b/>
          <w:bCs/>
        </w:rPr>
        <w:t>2023</w:t>
      </w:r>
      <w:r w:rsidRPr="001F0131">
        <w:t xml:space="preserve">, </w:t>
      </w:r>
      <w:r w:rsidRPr="001F0131">
        <w:rPr>
          <w:i/>
          <w:iCs/>
        </w:rPr>
        <w:t>14</w:t>
      </w:r>
      <w:r w:rsidRPr="001F0131">
        <w:t>, 11342</w:t>
      </w:r>
      <w:r w:rsidR="00FA44DF" w:rsidRPr="001F0131">
        <w:rPr>
          <w:rFonts w:hint="eastAsia"/>
          <w:lang w:eastAsia="ja-JP"/>
        </w:rPr>
        <w:t>-11349</w:t>
      </w:r>
      <w:r w:rsidRPr="001F0131">
        <w:t>.</w:t>
      </w:r>
    </w:p>
    <w:p w14:paraId="7DE7749C" w14:textId="6EBF5161" w:rsidR="00FA44DF" w:rsidRPr="001F0131" w:rsidRDefault="00B84C7F" w:rsidP="004967DE">
      <w:pPr>
        <w:pStyle w:val="TFReferencesSection"/>
        <w:numPr>
          <w:ilvl w:val="0"/>
          <w:numId w:val="13"/>
        </w:numPr>
      </w:pPr>
      <w:r w:rsidRPr="001F0131">
        <w:t xml:space="preserve">Koyama, </w:t>
      </w:r>
      <w:r w:rsidR="00FA44DF" w:rsidRPr="001F0131">
        <w:t>Y.</w:t>
      </w:r>
      <w:r w:rsidR="00FA44DF" w:rsidRPr="001F0131">
        <w:rPr>
          <w:rFonts w:hint="eastAsia"/>
          <w:lang w:eastAsia="ja-JP"/>
        </w:rPr>
        <w:t>;</w:t>
      </w:r>
      <w:r w:rsidR="00FA44DF" w:rsidRPr="001F0131">
        <w:t xml:space="preserve"> </w:t>
      </w:r>
      <w:r w:rsidRPr="001F0131">
        <w:t xml:space="preserve">Ikeno, </w:t>
      </w:r>
      <w:r w:rsidR="00FA44DF" w:rsidRPr="001F0131">
        <w:t>H.</w:t>
      </w:r>
      <w:r w:rsidR="00FA44DF" w:rsidRPr="001F0131">
        <w:rPr>
          <w:rFonts w:hint="eastAsia"/>
          <w:lang w:eastAsia="ja-JP"/>
        </w:rPr>
        <w:t>;</w:t>
      </w:r>
      <w:r w:rsidR="00FA44DF" w:rsidRPr="001F0131">
        <w:t xml:space="preserve"> </w:t>
      </w:r>
      <w:r w:rsidRPr="001F0131">
        <w:t xml:space="preserve">Harada, </w:t>
      </w:r>
      <w:r w:rsidR="00FA44DF" w:rsidRPr="001F0131">
        <w:t>M.</w:t>
      </w:r>
      <w:r w:rsidR="00FA44DF" w:rsidRPr="001F0131">
        <w:rPr>
          <w:rFonts w:hint="eastAsia"/>
          <w:lang w:eastAsia="ja-JP"/>
        </w:rPr>
        <w:t>;</w:t>
      </w:r>
      <w:r w:rsidR="00FA44DF" w:rsidRPr="001F0131">
        <w:t xml:space="preserve"> </w:t>
      </w:r>
      <w:r w:rsidRPr="001F0131">
        <w:t xml:space="preserve">Funahashi, </w:t>
      </w:r>
      <w:r w:rsidR="00FA44DF" w:rsidRPr="001F0131">
        <w:t>S.</w:t>
      </w:r>
      <w:r w:rsidR="00FA44DF" w:rsidRPr="001F0131">
        <w:rPr>
          <w:rFonts w:hint="eastAsia"/>
          <w:lang w:eastAsia="ja-JP"/>
        </w:rPr>
        <w:t>;</w:t>
      </w:r>
      <w:r w:rsidR="00FA44DF" w:rsidRPr="001F0131">
        <w:t xml:space="preserve"> </w:t>
      </w:r>
      <w:r w:rsidRPr="001F0131">
        <w:t xml:space="preserve">Takeda, </w:t>
      </w:r>
      <w:r w:rsidR="00FA44DF" w:rsidRPr="001F0131">
        <w:t>T.</w:t>
      </w:r>
      <w:r w:rsidR="00FA44DF" w:rsidRPr="001F0131">
        <w:rPr>
          <w:rFonts w:hint="eastAsia"/>
          <w:lang w:eastAsia="ja-JP"/>
        </w:rPr>
        <w:t>;</w:t>
      </w:r>
      <w:r w:rsidR="00FA44DF" w:rsidRPr="001F0131">
        <w:t xml:space="preserve"> </w:t>
      </w:r>
      <w:r w:rsidRPr="001F0131">
        <w:t xml:space="preserve">Hirosaki, </w:t>
      </w:r>
      <w:r w:rsidR="00FA44DF" w:rsidRPr="001F0131">
        <w:t>N. Rapid discovery of new Eu</w:t>
      </w:r>
      <w:r w:rsidR="00FA44DF" w:rsidRPr="001F0131">
        <w:rPr>
          <w:vertAlign w:val="superscript"/>
        </w:rPr>
        <w:t>2+</w:t>
      </w:r>
      <w:r w:rsidR="00FA44DF" w:rsidRPr="001F0131">
        <w:t>-activated phosphors with a designed luminescence color using a data-driven approach</w:t>
      </w:r>
      <w:r w:rsidR="00FA44DF" w:rsidRPr="001F0131">
        <w:rPr>
          <w:rFonts w:hint="eastAsia"/>
          <w:lang w:eastAsia="ja-JP"/>
        </w:rPr>
        <w:t xml:space="preserve">. </w:t>
      </w:r>
      <w:r w:rsidRPr="001F0131">
        <w:rPr>
          <w:i/>
          <w:iCs/>
        </w:rPr>
        <w:t>Mater. Adv.</w:t>
      </w:r>
      <w:r w:rsidRPr="001F0131">
        <w:t xml:space="preserve"> </w:t>
      </w:r>
      <w:r w:rsidRPr="001F0131">
        <w:rPr>
          <w:b/>
        </w:rPr>
        <w:t>2023</w:t>
      </w:r>
      <w:r w:rsidRPr="001F0131">
        <w:t xml:space="preserve">, </w:t>
      </w:r>
      <w:r w:rsidRPr="001F0131">
        <w:rPr>
          <w:i/>
          <w:iCs/>
        </w:rPr>
        <w:t>4</w:t>
      </w:r>
      <w:r w:rsidRPr="001F0131">
        <w:t>, 231-239.</w:t>
      </w:r>
    </w:p>
    <w:p w14:paraId="6920D2AF" w14:textId="2578C182" w:rsidR="00202A9C" w:rsidRPr="001F0131" w:rsidRDefault="00202A9C" w:rsidP="004967DE">
      <w:pPr>
        <w:pStyle w:val="TFReferencesSection"/>
        <w:numPr>
          <w:ilvl w:val="0"/>
          <w:numId w:val="13"/>
        </w:numPr>
      </w:pPr>
      <w:r w:rsidRPr="001F0131">
        <w:rPr>
          <w:lang w:eastAsia="ja-JP"/>
        </w:rPr>
        <w:t>Data for Text and Data Mining (TDM data). The data platform for materials science research DICE, National Institute for Materials Science, Japan. https://dice.nims.go.jp/services/TDM-PF/.</w:t>
      </w:r>
      <w:r w:rsidR="009337FC">
        <w:rPr>
          <w:rFonts w:hint="eastAsia"/>
          <w:lang w:eastAsia="ja-JP"/>
        </w:rPr>
        <w:t xml:space="preserve"> (</w:t>
      </w:r>
      <w:r w:rsidR="001075DA" w:rsidRPr="001075DA">
        <w:rPr>
          <w:rFonts w:hint="eastAsia"/>
          <w:lang w:eastAsia="ja-JP"/>
        </w:rPr>
        <w:t>acquired</w:t>
      </w:r>
      <w:r w:rsidR="009337FC" w:rsidRPr="001075DA">
        <w:rPr>
          <w:rFonts w:hint="eastAsia"/>
          <w:lang w:eastAsia="ja-JP"/>
        </w:rPr>
        <w:t xml:space="preserve"> </w:t>
      </w:r>
      <w:r w:rsidR="00C37DAD" w:rsidRPr="001075DA">
        <w:rPr>
          <w:rFonts w:hint="eastAsia"/>
          <w:lang w:eastAsia="ja-JP"/>
        </w:rPr>
        <w:t>on August 5</w:t>
      </w:r>
      <w:r w:rsidR="009337FC" w:rsidRPr="001075DA">
        <w:rPr>
          <w:rFonts w:hint="eastAsia"/>
          <w:lang w:eastAsia="ja-JP"/>
        </w:rPr>
        <w:t>, 2</w:t>
      </w:r>
      <w:r w:rsidR="00C37DAD" w:rsidRPr="001075DA">
        <w:rPr>
          <w:rFonts w:hint="eastAsia"/>
          <w:lang w:eastAsia="ja-JP"/>
        </w:rPr>
        <w:t>02</w:t>
      </w:r>
      <w:r w:rsidR="009337FC" w:rsidRPr="001075DA">
        <w:rPr>
          <w:rFonts w:hint="eastAsia"/>
          <w:lang w:eastAsia="ja-JP"/>
        </w:rPr>
        <w:t>0</w:t>
      </w:r>
      <w:r w:rsidR="009337FC">
        <w:rPr>
          <w:rFonts w:hint="eastAsia"/>
          <w:lang w:eastAsia="ja-JP"/>
        </w:rPr>
        <w:t>)</w:t>
      </w:r>
    </w:p>
    <w:p w14:paraId="417D0CC2" w14:textId="5DDEF4E0" w:rsidR="00FA44DF" w:rsidRPr="001F0131" w:rsidRDefault="00B84C7F" w:rsidP="00B23D26">
      <w:pPr>
        <w:pStyle w:val="TFReferencesSection"/>
        <w:numPr>
          <w:ilvl w:val="0"/>
          <w:numId w:val="13"/>
        </w:numPr>
      </w:pPr>
      <w:bookmarkStart w:id="3" w:name="_Hlk179467714"/>
      <w:r w:rsidRPr="001F0131">
        <w:t>Inorganic Crystal Structure Database (ICSD)</w:t>
      </w:r>
      <w:bookmarkEnd w:id="3"/>
      <w:r w:rsidRPr="001F0131">
        <w:t>. FIZ Karlsruhe GmbH, Germany. https://icsd.products.fiz-karlsruhe.de/.</w:t>
      </w:r>
      <w:r w:rsidR="00D74035">
        <w:rPr>
          <w:rFonts w:hint="eastAsia"/>
          <w:lang w:eastAsia="ja-JP"/>
        </w:rPr>
        <w:t xml:space="preserve"> (</w:t>
      </w:r>
      <w:r w:rsidR="00D74035" w:rsidRPr="001075DA">
        <w:rPr>
          <w:rFonts w:hint="eastAsia"/>
          <w:lang w:eastAsia="ja-JP"/>
        </w:rPr>
        <w:t xml:space="preserve">accessed </w:t>
      </w:r>
      <w:r w:rsidR="001075DA" w:rsidRPr="001075DA">
        <w:rPr>
          <w:rFonts w:hint="eastAsia"/>
          <w:lang w:eastAsia="ja-JP"/>
        </w:rPr>
        <w:t>on</w:t>
      </w:r>
      <w:r w:rsidR="00D74035" w:rsidRPr="001075DA">
        <w:rPr>
          <w:rFonts w:hint="eastAsia"/>
          <w:lang w:eastAsia="ja-JP"/>
        </w:rPr>
        <w:t xml:space="preserve"> </w:t>
      </w:r>
      <w:r w:rsidR="001075DA" w:rsidRPr="001075DA">
        <w:rPr>
          <w:rFonts w:hint="eastAsia"/>
          <w:lang w:eastAsia="ja-JP"/>
        </w:rPr>
        <w:t>January 12</w:t>
      </w:r>
      <w:r w:rsidR="00D74035" w:rsidRPr="001075DA">
        <w:rPr>
          <w:rFonts w:hint="eastAsia"/>
          <w:lang w:eastAsia="ja-JP"/>
        </w:rPr>
        <w:t>, 20</w:t>
      </w:r>
      <w:r w:rsidR="001075DA" w:rsidRPr="001075DA">
        <w:rPr>
          <w:rFonts w:hint="eastAsia"/>
          <w:lang w:eastAsia="ja-JP"/>
        </w:rPr>
        <w:t>23</w:t>
      </w:r>
      <w:r w:rsidR="00D74035">
        <w:rPr>
          <w:rFonts w:hint="eastAsia"/>
          <w:lang w:eastAsia="ja-JP"/>
        </w:rPr>
        <w:t>)</w:t>
      </w:r>
    </w:p>
    <w:p w14:paraId="6C4F75B2" w14:textId="77777777" w:rsidR="00FA44DF" w:rsidRPr="001F0131" w:rsidRDefault="00B84C7F" w:rsidP="00091648">
      <w:pPr>
        <w:pStyle w:val="TFReferencesSection"/>
        <w:numPr>
          <w:ilvl w:val="0"/>
          <w:numId w:val="13"/>
        </w:numPr>
      </w:pPr>
      <w:r w:rsidRPr="001F0131">
        <w:lastRenderedPageBreak/>
        <w:t xml:space="preserve">Ward, </w:t>
      </w:r>
      <w:r w:rsidR="00FA44DF" w:rsidRPr="001F0131">
        <w:t>L.</w:t>
      </w:r>
      <w:r w:rsidR="00FA44DF" w:rsidRPr="001F0131">
        <w:rPr>
          <w:rFonts w:hint="eastAsia"/>
          <w:lang w:eastAsia="ja-JP"/>
        </w:rPr>
        <w:t>;</w:t>
      </w:r>
      <w:r w:rsidR="00FA44DF" w:rsidRPr="001F0131">
        <w:t xml:space="preserve"> </w:t>
      </w:r>
      <w:r w:rsidRPr="001F0131">
        <w:t xml:space="preserve">Agrawal, </w:t>
      </w:r>
      <w:r w:rsidR="00FA44DF" w:rsidRPr="001F0131">
        <w:t>A.</w:t>
      </w:r>
      <w:r w:rsidR="00FA44DF" w:rsidRPr="001F0131">
        <w:rPr>
          <w:rFonts w:hint="eastAsia"/>
          <w:lang w:eastAsia="ja-JP"/>
        </w:rPr>
        <w:t>;</w:t>
      </w:r>
      <w:r w:rsidR="00FA44DF" w:rsidRPr="001F0131">
        <w:t xml:space="preserve"> </w:t>
      </w:r>
      <w:r w:rsidRPr="001F0131">
        <w:t xml:space="preserve">Choudhary, </w:t>
      </w:r>
      <w:r w:rsidR="00FA44DF" w:rsidRPr="001F0131">
        <w:t>A.</w:t>
      </w:r>
      <w:r w:rsidR="00FA44DF" w:rsidRPr="001F0131">
        <w:rPr>
          <w:rFonts w:hint="eastAsia"/>
          <w:lang w:eastAsia="ja-JP"/>
        </w:rPr>
        <w:t>;</w:t>
      </w:r>
      <w:r w:rsidR="00FA44DF" w:rsidRPr="001F0131">
        <w:t xml:space="preserve"> </w:t>
      </w:r>
      <w:r w:rsidRPr="001F0131">
        <w:t xml:space="preserve">Wolverton, </w:t>
      </w:r>
      <w:r w:rsidR="00FA44DF" w:rsidRPr="001F0131">
        <w:t>C. A general-purpose machine learning framework for predicting properties of inorganic materials</w:t>
      </w:r>
      <w:r w:rsidR="00FA44DF" w:rsidRPr="001F0131">
        <w:rPr>
          <w:rFonts w:hint="eastAsia"/>
          <w:lang w:eastAsia="ja-JP"/>
        </w:rPr>
        <w:t xml:space="preserve">. </w:t>
      </w:r>
      <w:r w:rsidRPr="001F0131">
        <w:rPr>
          <w:i/>
          <w:iCs/>
        </w:rPr>
        <w:t>npj Comput. Mater.</w:t>
      </w:r>
      <w:r w:rsidRPr="001F0131">
        <w:t xml:space="preserve"> </w:t>
      </w:r>
      <w:r w:rsidRPr="001F0131">
        <w:rPr>
          <w:b/>
          <w:bCs/>
        </w:rPr>
        <w:t>2016</w:t>
      </w:r>
      <w:r w:rsidRPr="001F0131">
        <w:t xml:space="preserve">, </w:t>
      </w:r>
      <w:r w:rsidRPr="001F0131">
        <w:rPr>
          <w:i/>
          <w:iCs/>
        </w:rPr>
        <w:t>2</w:t>
      </w:r>
      <w:r w:rsidRPr="001F0131">
        <w:t>, 16028</w:t>
      </w:r>
      <w:r w:rsidR="00FA44DF" w:rsidRPr="001F0131">
        <w:rPr>
          <w:rFonts w:hint="eastAsia"/>
          <w:lang w:eastAsia="ja-JP"/>
        </w:rPr>
        <w:t xml:space="preserve">-1 </w:t>
      </w:r>
      <w:r w:rsidR="00FA44DF" w:rsidRPr="001F0131">
        <w:rPr>
          <w:lang w:eastAsia="ja-JP"/>
        </w:rPr>
        <w:t>–</w:t>
      </w:r>
      <w:r w:rsidR="00FA44DF" w:rsidRPr="001F0131">
        <w:rPr>
          <w:rFonts w:hint="eastAsia"/>
          <w:lang w:eastAsia="ja-JP"/>
        </w:rPr>
        <w:t xml:space="preserve"> 16028-7</w:t>
      </w:r>
      <w:r w:rsidRPr="001F0131">
        <w:t>.</w:t>
      </w:r>
    </w:p>
    <w:p w14:paraId="5E47A2E8" w14:textId="77777777" w:rsidR="00FA44DF" w:rsidRPr="001F0131" w:rsidRDefault="00B84C7F" w:rsidP="002E4754">
      <w:pPr>
        <w:pStyle w:val="TFReferencesSection"/>
        <w:numPr>
          <w:ilvl w:val="0"/>
          <w:numId w:val="13"/>
        </w:numPr>
      </w:pPr>
      <w:r w:rsidRPr="001F0131">
        <w:t xml:space="preserve">Seko, </w:t>
      </w:r>
      <w:r w:rsidR="00FA44DF" w:rsidRPr="001F0131">
        <w:t>A.</w:t>
      </w:r>
      <w:r w:rsidR="00FA44DF" w:rsidRPr="001F0131">
        <w:rPr>
          <w:rFonts w:hint="eastAsia"/>
          <w:lang w:eastAsia="ja-JP"/>
        </w:rPr>
        <w:t>;</w:t>
      </w:r>
      <w:r w:rsidR="00FA44DF" w:rsidRPr="001F0131">
        <w:t xml:space="preserve"> </w:t>
      </w:r>
      <w:r w:rsidRPr="001F0131">
        <w:t xml:space="preserve">Hayashi, </w:t>
      </w:r>
      <w:r w:rsidR="00FA44DF" w:rsidRPr="001F0131">
        <w:t>H.</w:t>
      </w:r>
      <w:r w:rsidR="00FA44DF" w:rsidRPr="001F0131">
        <w:rPr>
          <w:rFonts w:hint="eastAsia"/>
          <w:lang w:eastAsia="ja-JP"/>
        </w:rPr>
        <w:t>;</w:t>
      </w:r>
      <w:r w:rsidR="00FA44DF" w:rsidRPr="001F0131">
        <w:t xml:space="preserve"> </w:t>
      </w:r>
      <w:r w:rsidRPr="001F0131">
        <w:t xml:space="preserve">Nakayama, </w:t>
      </w:r>
      <w:r w:rsidR="00FA44DF" w:rsidRPr="001F0131">
        <w:t>K.</w:t>
      </w:r>
      <w:r w:rsidR="00FA44DF" w:rsidRPr="001F0131">
        <w:rPr>
          <w:rFonts w:hint="eastAsia"/>
          <w:lang w:eastAsia="ja-JP"/>
        </w:rPr>
        <w:t>;</w:t>
      </w:r>
      <w:r w:rsidR="00FA44DF" w:rsidRPr="001F0131">
        <w:t xml:space="preserve"> </w:t>
      </w:r>
      <w:r w:rsidRPr="001F0131">
        <w:t xml:space="preserve">Takahashi, </w:t>
      </w:r>
      <w:r w:rsidR="00FA44DF" w:rsidRPr="001F0131">
        <w:t>A.</w:t>
      </w:r>
      <w:r w:rsidR="00FA44DF" w:rsidRPr="001F0131">
        <w:rPr>
          <w:rFonts w:hint="eastAsia"/>
          <w:lang w:eastAsia="ja-JP"/>
        </w:rPr>
        <w:t>;</w:t>
      </w:r>
      <w:r w:rsidR="00FA44DF" w:rsidRPr="001F0131">
        <w:t xml:space="preserve"> </w:t>
      </w:r>
      <w:r w:rsidRPr="001F0131">
        <w:t xml:space="preserve">Tanaka, </w:t>
      </w:r>
      <w:r w:rsidR="00FA44DF" w:rsidRPr="001F0131">
        <w:t>I. Representation of compounds for machine-learning prediction of physical properties</w:t>
      </w:r>
      <w:r w:rsidR="00FA44DF" w:rsidRPr="001F0131">
        <w:rPr>
          <w:rFonts w:hint="eastAsia"/>
          <w:lang w:eastAsia="ja-JP"/>
        </w:rPr>
        <w:t xml:space="preserve">. </w:t>
      </w:r>
      <w:r w:rsidRPr="001F0131">
        <w:rPr>
          <w:i/>
          <w:iCs/>
        </w:rPr>
        <w:t>Phys. Rev. B</w:t>
      </w:r>
      <w:r w:rsidRPr="001F0131">
        <w:t xml:space="preserve"> </w:t>
      </w:r>
      <w:r w:rsidRPr="001F0131">
        <w:rPr>
          <w:b/>
          <w:bCs/>
        </w:rPr>
        <w:t>2017</w:t>
      </w:r>
      <w:r w:rsidRPr="001F0131">
        <w:t xml:space="preserve">, </w:t>
      </w:r>
      <w:r w:rsidRPr="001F0131">
        <w:rPr>
          <w:i/>
          <w:iCs/>
        </w:rPr>
        <w:t>95</w:t>
      </w:r>
      <w:r w:rsidRPr="001F0131">
        <w:t>, 144110</w:t>
      </w:r>
      <w:r w:rsidR="00FA44DF" w:rsidRPr="001F0131">
        <w:rPr>
          <w:rFonts w:hint="eastAsia"/>
          <w:lang w:eastAsia="ja-JP"/>
        </w:rPr>
        <w:t xml:space="preserve">-1 </w:t>
      </w:r>
      <w:r w:rsidR="00FA44DF" w:rsidRPr="001F0131">
        <w:rPr>
          <w:lang w:eastAsia="ja-JP"/>
        </w:rPr>
        <w:t>–</w:t>
      </w:r>
      <w:r w:rsidR="00FA44DF" w:rsidRPr="001F0131">
        <w:rPr>
          <w:rFonts w:hint="eastAsia"/>
          <w:lang w:eastAsia="ja-JP"/>
        </w:rPr>
        <w:t xml:space="preserve"> 144110-11</w:t>
      </w:r>
      <w:r w:rsidRPr="001F0131">
        <w:t>.</w:t>
      </w:r>
    </w:p>
    <w:p w14:paraId="46DC815F" w14:textId="77777777" w:rsidR="00FA44DF" w:rsidRPr="001F0131" w:rsidRDefault="00B84C7F" w:rsidP="004D00EB">
      <w:pPr>
        <w:pStyle w:val="TFReferencesSection"/>
        <w:numPr>
          <w:ilvl w:val="0"/>
          <w:numId w:val="13"/>
        </w:numPr>
      </w:pPr>
      <w:r w:rsidRPr="001F0131">
        <w:t xml:space="preserve">Ong, </w:t>
      </w:r>
      <w:r w:rsidR="00FA44DF" w:rsidRPr="001F0131">
        <w:t>S. P.</w:t>
      </w:r>
      <w:r w:rsidR="00FA44DF" w:rsidRPr="001F0131">
        <w:rPr>
          <w:rFonts w:hint="eastAsia"/>
          <w:lang w:eastAsia="ja-JP"/>
        </w:rPr>
        <w:t>;</w:t>
      </w:r>
      <w:r w:rsidR="00FA44DF" w:rsidRPr="001F0131">
        <w:t xml:space="preserve"> </w:t>
      </w:r>
      <w:r w:rsidRPr="001F0131">
        <w:t xml:space="preserve">Richards, </w:t>
      </w:r>
      <w:r w:rsidR="00FA44DF" w:rsidRPr="001F0131">
        <w:t>W. D.</w:t>
      </w:r>
      <w:r w:rsidR="00FA44DF" w:rsidRPr="001F0131">
        <w:rPr>
          <w:rFonts w:hint="eastAsia"/>
          <w:lang w:eastAsia="ja-JP"/>
        </w:rPr>
        <w:t>;</w:t>
      </w:r>
      <w:r w:rsidR="00FA44DF" w:rsidRPr="001F0131">
        <w:t xml:space="preserve"> </w:t>
      </w:r>
      <w:r w:rsidRPr="001F0131">
        <w:t xml:space="preserve">Jain, </w:t>
      </w:r>
      <w:r w:rsidR="00FA44DF" w:rsidRPr="001F0131">
        <w:t>A.</w:t>
      </w:r>
      <w:r w:rsidR="00FA44DF" w:rsidRPr="001F0131">
        <w:rPr>
          <w:rFonts w:hint="eastAsia"/>
          <w:lang w:eastAsia="ja-JP"/>
        </w:rPr>
        <w:t>;</w:t>
      </w:r>
      <w:r w:rsidR="00FA44DF" w:rsidRPr="001F0131">
        <w:t xml:space="preserve"> </w:t>
      </w:r>
      <w:r w:rsidRPr="001F0131">
        <w:t xml:space="preserve">Hautier, </w:t>
      </w:r>
      <w:r w:rsidR="00FA44DF" w:rsidRPr="001F0131">
        <w:t>G.</w:t>
      </w:r>
      <w:r w:rsidR="00FA44DF" w:rsidRPr="001F0131">
        <w:rPr>
          <w:rFonts w:hint="eastAsia"/>
          <w:lang w:eastAsia="ja-JP"/>
        </w:rPr>
        <w:t>;</w:t>
      </w:r>
      <w:r w:rsidR="00FA44DF" w:rsidRPr="001F0131">
        <w:t xml:space="preserve"> </w:t>
      </w:r>
      <w:r w:rsidRPr="001F0131">
        <w:t xml:space="preserve">Kocher, </w:t>
      </w:r>
      <w:r w:rsidR="00FA44DF" w:rsidRPr="001F0131">
        <w:t>M.</w:t>
      </w:r>
      <w:r w:rsidR="00FA44DF" w:rsidRPr="001F0131">
        <w:rPr>
          <w:rFonts w:hint="eastAsia"/>
          <w:lang w:eastAsia="ja-JP"/>
        </w:rPr>
        <w:t>;</w:t>
      </w:r>
      <w:r w:rsidR="00FA44DF" w:rsidRPr="001F0131">
        <w:t xml:space="preserve"> </w:t>
      </w:r>
      <w:r w:rsidRPr="001F0131">
        <w:t xml:space="preserve">Cholia, </w:t>
      </w:r>
      <w:r w:rsidR="00FA44DF" w:rsidRPr="001F0131">
        <w:t>S.</w:t>
      </w:r>
      <w:r w:rsidR="00FA44DF" w:rsidRPr="001F0131">
        <w:rPr>
          <w:rFonts w:hint="eastAsia"/>
          <w:lang w:eastAsia="ja-JP"/>
        </w:rPr>
        <w:t>;</w:t>
      </w:r>
      <w:r w:rsidR="00FA44DF" w:rsidRPr="001F0131">
        <w:t xml:space="preserve"> </w:t>
      </w:r>
      <w:r w:rsidRPr="001F0131">
        <w:t xml:space="preserve">Gunter, </w:t>
      </w:r>
      <w:r w:rsidR="00FA44DF" w:rsidRPr="001F0131">
        <w:t>D.</w:t>
      </w:r>
      <w:r w:rsidR="00FA44DF" w:rsidRPr="001F0131">
        <w:rPr>
          <w:rFonts w:hint="eastAsia"/>
          <w:lang w:eastAsia="ja-JP"/>
        </w:rPr>
        <w:t>;</w:t>
      </w:r>
      <w:r w:rsidR="00FA44DF" w:rsidRPr="001F0131">
        <w:t xml:space="preserve"> </w:t>
      </w:r>
      <w:r w:rsidRPr="001F0131">
        <w:t xml:space="preserve">Chevrier, </w:t>
      </w:r>
      <w:r w:rsidR="00FA44DF" w:rsidRPr="001F0131">
        <w:t>V. L.</w:t>
      </w:r>
      <w:r w:rsidR="00FA44DF" w:rsidRPr="001F0131">
        <w:rPr>
          <w:rFonts w:hint="eastAsia"/>
          <w:lang w:eastAsia="ja-JP"/>
        </w:rPr>
        <w:t>;</w:t>
      </w:r>
      <w:r w:rsidR="00FA44DF" w:rsidRPr="001F0131">
        <w:t xml:space="preserve"> </w:t>
      </w:r>
      <w:r w:rsidRPr="001F0131">
        <w:t xml:space="preserve">Persson, </w:t>
      </w:r>
      <w:r w:rsidR="00FA44DF" w:rsidRPr="001F0131">
        <w:t>K. A.</w:t>
      </w:r>
      <w:r w:rsidR="00FA44DF" w:rsidRPr="001F0131">
        <w:rPr>
          <w:rFonts w:hint="eastAsia"/>
          <w:lang w:eastAsia="ja-JP"/>
        </w:rPr>
        <w:t>;</w:t>
      </w:r>
      <w:r w:rsidR="00FA44DF" w:rsidRPr="001F0131">
        <w:t xml:space="preserve"> </w:t>
      </w:r>
      <w:r w:rsidRPr="001F0131">
        <w:t xml:space="preserve">Ceder, </w:t>
      </w:r>
      <w:r w:rsidR="00FA44DF" w:rsidRPr="001F0131">
        <w:t>G. Python Materials Genomics (pymatgen): A robust, open-source python library for materials analysis</w:t>
      </w:r>
      <w:r w:rsidR="00FA44DF" w:rsidRPr="001F0131">
        <w:rPr>
          <w:rFonts w:hint="eastAsia"/>
          <w:lang w:eastAsia="ja-JP"/>
        </w:rPr>
        <w:t xml:space="preserve">. </w:t>
      </w:r>
      <w:r w:rsidRPr="001F0131">
        <w:rPr>
          <w:i/>
          <w:iCs/>
        </w:rPr>
        <w:t>Comput. Mater. Sci.</w:t>
      </w:r>
      <w:r w:rsidRPr="001F0131">
        <w:t xml:space="preserve"> </w:t>
      </w:r>
      <w:r w:rsidRPr="001F0131">
        <w:rPr>
          <w:b/>
          <w:bCs/>
        </w:rPr>
        <w:t>2013</w:t>
      </w:r>
      <w:r w:rsidRPr="001F0131">
        <w:t xml:space="preserve">, </w:t>
      </w:r>
      <w:r w:rsidRPr="001F0131">
        <w:rPr>
          <w:i/>
          <w:iCs/>
        </w:rPr>
        <w:t>68</w:t>
      </w:r>
      <w:r w:rsidRPr="001F0131">
        <w:t>, 314</w:t>
      </w:r>
      <w:r w:rsidR="00FA44DF" w:rsidRPr="001F0131">
        <w:rPr>
          <w:rFonts w:hint="eastAsia"/>
          <w:lang w:eastAsia="ja-JP"/>
        </w:rPr>
        <w:t>-319</w:t>
      </w:r>
      <w:r w:rsidRPr="001F0131">
        <w:t>.</w:t>
      </w:r>
    </w:p>
    <w:p w14:paraId="45032C37" w14:textId="7D38BF1C" w:rsidR="00FA44DF" w:rsidRPr="001F0131" w:rsidRDefault="00B84C7F" w:rsidP="008972C4">
      <w:pPr>
        <w:pStyle w:val="TFReferencesSection"/>
        <w:numPr>
          <w:ilvl w:val="0"/>
          <w:numId w:val="13"/>
        </w:numPr>
      </w:pPr>
      <w:r w:rsidRPr="001F0131">
        <w:t>XenonPy. https://github.com/yoshida-lab/XenonPy/.</w:t>
      </w:r>
      <w:r w:rsidR="00D74035">
        <w:rPr>
          <w:rFonts w:hint="eastAsia"/>
          <w:lang w:eastAsia="ja-JP"/>
        </w:rPr>
        <w:t xml:space="preserve"> (</w:t>
      </w:r>
      <w:r w:rsidR="002A77DC">
        <w:rPr>
          <w:rFonts w:hint="eastAsia"/>
          <w:lang w:eastAsia="ja-JP"/>
        </w:rPr>
        <w:t>version 0.6.7</w:t>
      </w:r>
      <w:r w:rsidR="00D74035">
        <w:rPr>
          <w:rFonts w:hint="eastAsia"/>
          <w:lang w:eastAsia="ja-JP"/>
        </w:rPr>
        <w:t>)</w:t>
      </w:r>
    </w:p>
    <w:p w14:paraId="44676D2F" w14:textId="77777777" w:rsidR="00FA44DF" w:rsidRPr="001F0131" w:rsidRDefault="00B84C7F" w:rsidP="00793F32">
      <w:pPr>
        <w:pStyle w:val="TFReferencesSection"/>
        <w:numPr>
          <w:ilvl w:val="0"/>
          <w:numId w:val="13"/>
        </w:numPr>
      </w:pPr>
      <w:r w:rsidRPr="001F0131">
        <w:t xml:space="preserve">Pedregosa, </w:t>
      </w:r>
      <w:r w:rsidR="00FA44DF" w:rsidRPr="001F0131">
        <w:t>F.</w:t>
      </w:r>
      <w:r w:rsidR="00FA44DF" w:rsidRPr="001F0131">
        <w:rPr>
          <w:rFonts w:hint="eastAsia"/>
          <w:lang w:eastAsia="ja-JP"/>
        </w:rPr>
        <w:t>;</w:t>
      </w:r>
      <w:r w:rsidR="00FA44DF" w:rsidRPr="001F0131">
        <w:t xml:space="preserve"> </w:t>
      </w:r>
      <w:r w:rsidRPr="001F0131">
        <w:t xml:space="preserve">Varoquaux, </w:t>
      </w:r>
      <w:r w:rsidR="00FA44DF" w:rsidRPr="001F0131">
        <w:t>G.</w:t>
      </w:r>
      <w:r w:rsidR="00FA44DF" w:rsidRPr="001F0131">
        <w:rPr>
          <w:rFonts w:hint="eastAsia"/>
          <w:lang w:eastAsia="ja-JP"/>
        </w:rPr>
        <w:t>;</w:t>
      </w:r>
      <w:r w:rsidR="00FA44DF" w:rsidRPr="001F0131">
        <w:t xml:space="preserve"> </w:t>
      </w:r>
      <w:r w:rsidRPr="001F0131">
        <w:t xml:space="preserve">Gramfort, </w:t>
      </w:r>
      <w:r w:rsidR="00FA44DF" w:rsidRPr="001F0131">
        <w:t>A.</w:t>
      </w:r>
      <w:r w:rsidR="00FA44DF" w:rsidRPr="001F0131">
        <w:rPr>
          <w:rFonts w:hint="eastAsia"/>
          <w:lang w:eastAsia="ja-JP"/>
        </w:rPr>
        <w:t>;</w:t>
      </w:r>
      <w:r w:rsidR="00FA44DF" w:rsidRPr="001F0131">
        <w:t xml:space="preserve"> </w:t>
      </w:r>
      <w:r w:rsidRPr="001F0131">
        <w:t xml:space="preserve">Michel, </w:t>
      </w:r>
      <w:r w:rsidR="00FA44DF" w:rsidRPr="001F0131">
        <w:t>V.</w:t>
      </w:r>
      <w:r w:rsidR="00FA44DF" w:rsidRPr="001F0131">
        <w:rPr>
          <w:rFonts w:hint="eastAsia"/>
          <w:lang w:eastAsia="ja-JP"/>
        </w:rPr>
        <w:t>;</w:t>
      </w:r>
      <w:r w:rsidR="00FA44DF" w:rsidRPr="001F0131">
        <w:t xml:space="preserve"> </w:t>
      </w:r>
      <w:r w:rsidRPr="001F0131">
        <w:t xml:space="preserve">Thirion, </w:t>
      </w:r>
      <w:r w:rsidR="00FA44DF" w:rsidRPr="001F0131">
        <w:t>B.</w:t>
      </w:r>
      <w:r w:rsidR="00FA44DF" w:rsidRPr="001F0131">
        <w:rPr>
          <w:rFonts w:hint="eastAsia"/>
          <w:lang w:eastAsia="ja-JP"/>
        </w:rPr>
        <w:t>;</w:t>
      </w:r>
      <w:r w:rsidR="00FA44DF" w:rsidRPr="001F0131">
        <w:t xml:space="preserve"> </w:t>
      </w:r>
      <w:r w:rsidRPr="001F0131">
        <w:t xml:space="preserve">Grisel, </w:t>
      </w:r>
      <w:r w:rsidR="00FA44DF" w:rsidRPr="001F0131">
        <w:t>O.</w:t>
      </w:r>
      <w:r w:rsidR="00FA44DF" w:rsidRPr="001F0131">
        <w:rPr>
          <w:rFonts w:hint="eastAsia"/>
          <w:lang w:eastAsia="ja-JP"/>
        </w:rPr>
        <w:t>;</w:t>
      </w:r>
      <w:r w:rsidR="00FA44DF" w:rsidRPr="001F0131">
        <w:t xml:space="preserve"> </w:t>
      </w:r>
      <w:r w:rsidRPr="001F0131">
        <w:t xml:space="preserve">Blondel, </w:t>
      </w:r>
      <w:r w:rsidR="00FA44DF" w:rsidRPr="001F0131">
        <w:t>M.</w:t>
      </w:r>
      <w:r w:rsidR="00FA44DF" w:rsidRPr="001F0131">
        <w:rPr>
          <w:rFonts w:hint="eastAsia"/>
          <w:lang w:eastAsia="ja-JP"/>
        </w:rPr>
        <w:t>;</w:t>
      </w:r>
      <w:r w:rsidR="00FA44DF" w:rsidRPr="001F0131">
        <w:t xml:space="preserve"> </w:t>
      </w:r>
      <w:r w:rsidRPr="001F0131">
        <w:t xml:space="preserve">Prettenhofer, </w:t>
      </w:r>
      <w:r w:rsidR="00FA44DF" w:rsidRPr="001F0131">
        <w:t>P.</w:t>
      </w:r>
      <w:r w:rsidR="00FA44DF" w:rsidRPr="001F0131">
        <w:rPr>
          <w:rFonts w:hint="eastAsia"/>
          <w:lang w:eastAsia="ja-JP"/>
        </w:rPr>
        <w:t>;</w:t>
      </w:r>
      <w:r w:rsidR="00FA44DF" w:rsidRPr="001F0131">
        <w:t xml:space="preserve"> </w:t>
      </w:r>
      <w:r w:rsidRPr="001F0131">
        <w:t xml:space="preserve">Weiss, </w:t>
      </w:r>
      <w:r w:rsidR="00FA44DF" w:rsidRPr="001F0131">
        <w:t>R.</w:t>
      </w:r>
      <w:r w:rsidR="00FA44DF" w:rsidRPr="001F0131">
        <w:rPr>
          <w:rFonts w:hint="eastAsia"/>
          <w:lang w:eastAsia="ja-JP"/>
        </w:rPr>
        <w:t>;</w:t>
      </w:r>
      <w:r w:rsidR="00FA44DF" w:rsidRPr="001F0131">
        <w:t xml:space="preserve"> </w:t>
      </w:r>
      <w:r w:rsidRPr="001F0131">
        <w:t xml:space="preserve">Dubourg, </w:t>
      </w:r>
      <w:r w:rsidR="00FA44DF" w:rsidRPr="001F0131">
        <w:t>V.</w:t>
      </w:r>
      <w:r w:rsidR="00FA44DF" w:rsidRPr="001F0131">
        <w:rPr>
          <w:rFonts w:hint="eastAsia"/>
          <w:lang w:eastAsia="ja-JP"/>
        </w:rPr>
        <w:t>;</w:t>
      </w:r>
      <w:r w:rsidR="00FA44DF" w:rsidRPr="001F0131">
        <w:t xml:space="preserve"> </w:t>
      </w:r>
      <w:r w:rsidRPr="001F0131">
        <w:t xml:space="preserve">Vanderplas, </w:t>
      </w:r>
      <w:r w:rsidR="00FA44DF" w:rsidRPr="001F0131">
        <w:t>J.</w:t>
      </w:r>
      <w:r w:rsidR="00FA44DF" w:rsidRPr="001F0131">
        <w:rPr>
          <w:rFonts w:hint="eastAsia"/>
          <w:lang w:eastAsia="ja-JP"/>
        </w:rPr>
        <w:t>;</w:t>
      </w:r>
      <w:r w:rsidR="00FA44DF" w:rsidRPr="001F0131">
        <w:t xml:space="preserve"> </w:t>
      </w:r>
      <w:r w:rsidRPr="001F0131">
        <w:t xml:space="preserve">Passos, </w:t>
      </w:r>
      <w:r w:rsidR="00FA44DF" w:rsidRPr="001F0131">
        <w:t>A.</w:t>
      </w:r>
      <w:r w:rsidR="00FA44DF" w:rsidRPr="001F0131">
        <w:rPr>
          <w:rFonts w:hint="eastAsia"/>
          <w:lang w:eastAsia="ja-JP"/>
        </w:rPr>
        <w:t>;</w:t>
      </w:r>
      <w:r w:rsidR="00FA44DF" w:rsidRPr="001F0131">
        <w:t xml:space="preserve"> </w:t>
      </w:r>
      <w:r w:rsidRPr="001F0131">
        <w:t xml:space="preserve">Cournapeau, </w:t>
      </w:r>
      <w:r w:rsidR="00FA44DF" w:rsidRPr="001F0131">
        <w:t>D.</w:t>
      </w:r>
      <w:r w:rsidR="00FA44DF" w:rsidRPr="001F0131">
        <w:rPr>
          <w:rFonts w:hint="eastAsia"/>
          <w:lang w:eastAsia="ja-JP"/>
        </w:rPr>
        <w:t>;</w:t>
      </w:r>
      <w:r w:rsidR="00FA44DF" w:rsidRPr="001F0131">
        <w:t xml:space="preserve"> </w:t>
      </w:r>
      <w:r w:rsidRPr="001F0131">
        <w:t xml:space="preserve">Brucher, </w:t>
      </w:r>
      <w:r w:rsidR="00FA44DF" w:rsidRPr="001F0131">
        <w:t>M.</w:t>
      </w:r>
      <w:r w:rsidR="00FA44DF" w:rsidRPr="001F0131">
        <w:rPr>
          <w:rFonts w:hint="eastAsia"/>
          <w:lang w:eastAsia="ja-JP"/>
        </w:rPr>
        <w:t>;</w:t>
      </w:r>
      <w:r w:rsidR="00FA44DF" w:rsidRPr="001F0131">
        <w:t xml:space="preserve"> </w:t>
      </w:r>
      <w:r w:rsidRPr="001F0131">
        <w:t xml:space="preserve">Perrot, </w:t>
      </w:r>
      <w:r w:rsidR="00FA44DF" w:rsidRPr="001F0131">
        <w:t>M.</w:t>
      </w:r>
      <w:r w:rsidR="00FA44DF" w:rsidRPr="001F0131">
        <w:rPr>
          <w:rFonts w:hint="eastAsia"/>
          <w:lang w:eastAsia="ja-JP"/>
        </w:rPr>
        <w:t>;</w:t>
      </w:r>
      <w:r w:rsidR="00FA44DF" w:rsidRPr="001F0131">
        <w:t xml:space="preserve"> </w:t>
      </w:r>
      <w:r w:rsidRPr="001F0131">
        <w:t xml:space="preserve">Duchesnay, </w:t>
      </w:r>
      <w:r w:rsidR="00FA44DF" w:rsidRPr="001F0131">
        <w:t>É. Scikit-learn: Machine Learning in Python</w:t>
      </w:r>
      <w:r w:rsidR="00FA44DF" w:rsidRPr="001F0131">
        <w:rPr>
          <w:rFonts w:hint="eastAsia"/>
          <w:lang w:eastAsia="ja-JP"/>
        </w:rPr>
        <w:t xml:space="preserve">. </w:t>
      </w:r>
      <w:r w:rsidRPr="001F0131">
        <w:rPr>
          <w:i/>
          <w:iCs/>
        </w:rPr>
        <w:t>J. Mach. Learn. Res.</w:t>
      </w:r>
      <w:r w:rsidRPr="001F0131">
        <w:t xml:space="preserve"> </w:t>
      </w:r>
      <w:r w:rsidRPr="001F0131">
        <w:rPr>
          <w:b/>
          <w:bCs/>
        </w:rPr>
        <w:t>2011</w:t>
      </w:r>
      <w:r w:rsidRPr="001F0131">
        <w:t xml:space="preserve">, </w:t>
      </w:r>
      <w:r w:rsidRPr="001F0131">
        <w:rPr>
          <w:i/>
          <w:iCs/>
        </w:rPr>
        <w:t>12</w:t>
      </w:r>
      <w:r w:rsidRPr="001F0131">
        <w:t>, 2825</w:t>
      </w:r>
      <w:r w:rsidR="00FA44DF" w:rsidRPr="001F0131">
        <w:rPr>
          <w:rFonts w:hint="eastAsia"/>
          <w:lang w:eastAsia="ja-JP"/>
        </w:rPr>
        <w:t>-2830</w:t>
      </w:r>
      <w:r w:rsidRPr="001F0131">
        <w:t>.</w:t>
      </w:r>
    </w:p>
    <w:p w14:paraId="5F744D69" w14:textId="6D96800A" w:rsidR="00FA44DF" w:rsidRPr="001F0131" w:rsidRDefault="00B84C7F" w:rsidP="00113C3E">
      <w:pPr>
        <w:pStyle w:val="TFReferencesSection"/>
        <w:numPr>
          <w:ilvl w:val="0"/>
          <w:numId w:val="13"/>
        </w:numPr>
      </w:pPr>
      <w:r w:rsidRPr="001F0131">
        <w:t>AtomWork-Adv. National Institute for Materials Science, Japan. https://atomwork-adv.nims.go.jp/.</w:t>
      </w:r>
      <w:r w:rsidR="00D74035">
        <w:rPr>
          <w:rFonts w:hint="eastAsia"/>
          <w:lang w:eastAsia="ja-JP"/>
        </w:rPr>
        <w:t xml:space="preserve"> (</w:t>
      </w:r>
      <w:r w:rsidR="00D74035" w:rsidRPr="002A77DC">
        <w:rPr>
          <w:rFonts w:hint="eastAsia"/>
          <w:lang w:eastAsia="ja-JP"/>
        </w:rPr>
        <w:t xml:space="preserve">accessed </w:t>
      </w:r>
      <w:r w:rsidR="002A77DC" w:rsidRPr="002A77DC">
        <w:rPr>
          <w:rFonts w:hint="eastAsia"/>
          <w:lang w:eastAsia="ja-JP"/>
        </w:rPr>
        <w:t>on</w:t>
      </w:r>
      <w:r w:rsidR="00D74035" w:rsidRPr="002A77DC">
        <w:rPr>
          <w:rFonts w:hint="eastAsia"/>
          <w:lang w:eastAsia="ja-JP"/>
        </w:rPr>
        <w:t xml:space="preserve"> </w:t>
      </w:r>
      <w:r w:rsidR="002A77DC">
        <w:rPr>
          <w:rFonts w:hint="eastAsia"/>
          <w:lang w:eastAsia="ja-JP"/>
        </w:rPr>
        <w:t>November</w:t>
      </w:r>
      <w:r w:rsidR="002A77DC" w:rsidRPr="002A77DC">
        <w:rPr>
          <w:rFonts w:hint="eastAsia"/>
          <w:lang w:eastAsia="ja-JP"/>
        </w:rPr>
        <w:t xml:space="preserve"> </w:t>
      </w:r>
      <w:r w:rsidR="002A77DC">
        <w:rPr>
          <w:rFonts w:hint="eastAsia"/>
          <w:lang w:eastAsia="ja-JP"/>
        </w:rPr>
        <w:t>7</w:t>
      </w:r>
      <w:r w:rsidR="00D74035" w:rsidRPr="002A77DC">
        <w:rPr>
          <w:rFonts w:hint="eastAsia"/>
          <w:lang w:eastAsia="ja-JP"/>
        </w:rPr>
        <w:t>, 20</w:t>
      </w:r>
      <w:r w:rsidR="002A77DC" w:rsidRPr="002A77DC">
        <w:rPr>
          <w:rFonts w:hint="eastAsia"/>
          <w:lang w:eastAsia="ja-JP"/>
        </w:rPr>
        <w:t>2</w:t>
      </w:r>
      <w:r w:rsidR="002A77DC">
        <w:rPr>
          <w:rFonts w:hint="eastAsia"/>
          <w:lang w:eastAsia="ja-JP"/>
        </w:rPr>
        <w:t>3</w:t>
      </w:r>
      <w:r w:rsidR="00D74035">
        <w:rPr>
          <w:rFonts w:hint="eastAsia"/>
          <w:lang w:eastAsia="ja-JP"/>
        </w:rPr>
        <w:t>)</w:t>
      </w:r>
    </w:p>
    <w:p w14:paraId="48447B06" w14:textId="77777777" w:rsidR="00FA44DF" w:rsidRPr="001F0131" w:rsidRDefault="00B84C7F" w:rsidP="00471DE0">
      <w:pPr>
        <w:pStyle w:val="TFReferencesSection"/>
        <w:numPr>
          <w:ilvl w:val="0"/>
          <w:numId w:val="13"/>
        </w:numPr>
      </w:pPr>
      <w:r w:rsidRPr="001F0131">
        <w:t xml:space="preserve">Jang, </w:t>
      </w:r>
      <w:r w:rsidR="00FA44DF" w:rsidRPr="001F0131">
        <w:t>S.</w:t>
      </w:r>
      <w:r w:rsidR="00FA44DF" w:rsidRPr="001F0131">
        <w:rPr>
          <w:rFonts w:hint="eastAsia"/>
          <w:lang w:eastAsia="ja-JP"/>
        </w:rPr>
        <w:t>;</w:t>
      </w:r>
      <w:r w:rsidR="00FA44DF" w:rsidRPr="001F0131">
        <w:t xml:space="preserve"> </w:t>
      </w:r>
      <w:r w:rsidRPr="001F0131">
        <w:t xml:space="preserve">Na, </w:t>
      </w:r>
      <w:r w:rsidR="00FA44DF" w:rsidRPr="001F0131">
        <w:t>G. S.</w:t>
      </w:r>
      <w:r w:rsidR="00FA44DF" w:rsidRPr="001F0131">
        <w:rPr>
          <w:rFonts w:hint="eastAsia"/>
          <w:lang w:eastAsia="ja-JP"/>
        </w:rPr>
        <w:t>;</w:t>
      </w:r>
      <w:r w:rsidR="00FA44DF" w:rsidRPr="001F0131">
        <w:t xml:space="preserve"> </w:t>
      </w:r>
      <w:r w:rsidRPr="001F0131">
        <w:t xml:space="preserve">Choi, </w:t>
      </w:r>
      <w:r w:rsidR="00FA44DF" w:rsidRPr="001F0131">
        <w:t>Y.</w:t>
      </w:r>
      <w:r w:rsidR="00FA44DF" w:rsidRPr="001F0131">
        <w:rPr>
          <w:rFonts w:hint="eastAsia"/>
          <w:lang w:eastAsia="ja-JP"/>
        </w:rPr>
        <w:t>;</w:t>
      </w:r>
      <w:r w:rsidR="00FA44DF" w:rsidRPr="001F0131">
        <w:t xml:space="preserve"> </w:t>
      </w:r>
      <w:r w:rsidRPr="001F0131">
        <w:t xml:space="preserve">Chang, </w:t>
      </w:r>
      <w:r w:rsidR="00FA44DF" w:rsidRPr="001F0131">
        <w:t>H. Optical property dataset of inorganic phosphor</w:t>
      </w:r>
      <w:r w:rsidR="00FA44DF" w:rsidRPr="001F0131">
        <w:rPr>
          <w:rFonts w:hint="eastAsia"/>
          <w:lang w:eastAsia="ja-JP"/>
        </w:rPr>
        <w:t xml:space="preserve">. </w:t>
      </w:r>
      <w:r w:rsidRPr="001F0131">
        <w:rPr>
          <w:i/>
          <w:iCs/>
        </w:rPr>
        <w:t>Sci. Rep.</w:t>
      </w:r>
      <w:r w:rsidRPr="001F0131">
        <w:t xml:space="preserve"> </w:t>
      </w:r>
      <w:r w:rsidRPr="001F0131">
        <w:rPr>
          <w:b/>
          <w:bCs/>
        </w:rPr>
        <w:t>2024</w:t>
      </w:r>
      <w:r w:rsidRPr="001F0131">
        <w:t xml:space="preserve">, </w:t>
      </w:r>
      <w:r w:rsidRPr="001F0131">
        <w:rPr>
          <w:i/>
          <w:iCs/>
        </w:rPr>
        <w:t>14</w:t>
      </w:r>
      <w:r w:rsidRPr="001F0131">
        <w:t>, 7639</w:t>
      </w:r>
      <w:r w:rsidR="00FA44DF" w:rsidRPr="001F0131">
        <w:rPr>
          <w:rFonts w:hint="eastAsia"/>
          <w:lang w:eastAsia="ja-JP"/>
        </w:rPr>
        <w:t xml:space="preserve">-1 </w:t>
      </w:r>
      <w:r w:rsidR="00FA44DF" w:rsidRPr="001F0131">
        <w:rPr>
          <w:lang w:eastAsia="ja-JP"/>
        </w:rPr>
        <w:t>–</w:t>
      </w:r>
      <w:r w:rsidR="00FA44DF" w:rsidRPr="001F0131">
        <w:rPr>
          <w:rFonts w:hint="eastAsia"/>
          <w:lang w:eastAsia="ja-JP"/>
        </w:rPr>
        <w:t xml:space="preserve"> 7639-10</w:t>
      </w:r>
      <w:r w:rsidRPr="001F0131">
        <w:t>.</w:t>
      </w:r>
    </w:p>
    <w:p w14:paraId="278573A8" w14:textId="6FC9418E" w:rsidR="00B84C7F" w:rsidRPr="001F0131" w:rsidRDefault="00B84C7F" w:rsidP="00471DE0">
      <w:pPr>
        <w:pStyle w:val="TFReferencesSection"/>
        <w:numPr>
          <w:ilvl w:val="0"/>
          <w:numId w:val="13"/>
        </w:numPr>
      </w:pPr>
      <w:r w:rsidRPr="001F0131">
        <w:t xml:space="preserve">Dorenbos, </w:t>
      </w:r>
      <w:r w:rsidR="00FA44DF" w:rsidRPr="001F0131">
        <w:t xml:space="preserve">P. </w:t>
      </w:r>
      <w:r w:rsidR="00033C4B" w:rsidRPr="001F0131">
        <w:t>A Review on How Lanthanide Impurity Levels Change with Chemistry and Structure of Inorganic Compounds</w:t>
      </w:r>
      <w:r w:rsidR="00033C4B" w:rsidRPr="001F0131">
        <w:rPr>
          <w:rFonts w:hint="eastAsia"/>
          <w:lang w:eastAsia="ja-JP"/>
        </w:rPr>
        <w:t xml:space="preserve">. </w:t>
      </w:r>
      <w:r w:rsidRPr="001F0131">
        <w:rPr>
          <w:i/>
          <w:iCs/>
        </w:rPr>
        <w:t>ECS J. Solid State Sci. Technol.</w:t>
      </w:r>
      <w:r w:rsidRPr="001F0131">
        <w:t xml:space="preserve"> </w:t>
      </w:r>
      <w:r w:rsidRPr="001F0131">
        <w:rPr>
          <w:b/>
          <w:bCs/>
        </w:rPr>
        <w:t>2013</w:t>
      </w:r>
      <w:r w:rsidRPr="001F0131">
        <w:t xml:space="preserve">, </w:t>
      </w:r>
      <w:r w:rsidRPr="001F0131">
        <w:rPr>
          <w:i/>
          <w:iCs/>
        </w:rPr>
        <w:t>2</w:t>
      </w:r>
      <w:r w:rsidRPr="001F0131">
        <w:t>, R3001</w:t>
      </w:r>
      <w:r w:rsidR="00033C4B" w:rsidRPr="001F0131">
        <w:rPr>
          <w:rFonts w:hint="eastAsia"/>
          <w:lang w:eastAsia="ja-JP"/>
        </w:rPr>
        <w:t>-R3011</w:t>
      </w:r>
      <w:r w:rsidRPr="001F0131">
        <w:t>.</w:t>
      </w:r>
    </w:p>
    <w:p w14:paraId="3916ABBA" w14:textId="701D1861" w:rsidR="00655ADB" w:rsidRPr="001F0131" w:rsidRDefault="00655ADB">
      <w:pPr>
        <w:spacing w:after="0"/>
        <w:jc w:val="left"/>
        <w:rPr>
          <w:lang w:eastAsia="ja-JP"/>
        </w:rPr>
      </w:pPr>
    </w:p>
    <w:p w14:paraId="00E5F1F1" w14:textId="20012085" w:rsidR="00655ADB" w:rsidRPr="001F0131" w:rsidRDefault="00655ADB" w:rsidP="00655ADB">
      <w:pPr>
        <w:pStyle w:val="TAMainText"/>
        <w:rPr>
          <w:lang w:eastAsia="ja-JP"/>
        </w:rPr>
      </w:pPr>
      <w:r w:rsidRPr="001F0131">
        <w:rPr>
          <w:lang w:eastAsia="ja-JP"/>
        </w:rPr>
        <w:t>Table of Contents Graphic</w:t>
      </w:r>
    </w:p>
    <w:p w14:paraId="304E7F5B" w14:textId="03A1D068" w:rsidR="00655ADB" w:rsidRPr="001F0131" w:rsidRDefault="002F79F0" w:rsidP="00655ADB">
      <w:pPr>
        <w:pStyle w:val="TAMainText"/>
        <w:rPr>
          <w:lang w:eastAsia="ja-JP"/>
        </w:rPr>
      </w:pPr>
      <w:r>
        <w:rPr>
          <w:noProof/>
          <w:lang w:eastAsia="ja-JP"/>
        </w:rPr>
        <w:drawing>
          <wp:inline distT="0" distB="0" distL="0" distR="0" wp14:anchorId="550212CB" wp14:editId="71C4E28C">
            <wp:extent cx="2971800" cy="1600200"/>
            <wp:effectExtent l="0" t="0" r="0" b="0"/>
            <wp:docPr id="12070162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1600200"/>
                    </a:xfrm>
                    <a:prstGeom prst="rect">
                      <a:avLst/>
                    </a:prstGeom>
                    <a:noFill/>
                    <a:ln>
                      <a:noFill/>
                    </a:ln>
                  </pic:spPr>
                </pic:pic>
              </a:graphicData>
            </a:graphic>
          </wp:inline>
        </w:drawing>
      </w:r>
    </w:p>
    <w:p w14:paraId="07406683" w14:textId="77777777" w:rsidR="00655ADB" w:rsidRPr="001F0131" w:rsidRDefault="00655ADB" w:rsidP="00F224CF">
      <w:pPr>
        <w:pStyle w:val="TAMainText"/>
        <w:rPr>
          <w:lang w:eastAsia="ja-JP"/>
        </w:rPr>
      </w:pPr>
    </w:p>
    <w:sectPr w:rsidR="00655ADB" w:rsidRPr="001F0131" w:rsidSect="000B5610">
      <w:footerReference w:type="even" r:id="rId12"/>
      <w:footerReference w:type="default" r:id="rId13"/>
      <w:type w:val="continuous"/>
      <w:pgSz w:w="12240" w:h="15840"/>
      <w:pgMar w:top="1440" w:right="1440" w:bottom="1440" w:left="1440" w:header="0" w:footer="0" w:gutter="0"/>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F6DB2" w14:textId="77777777" w:rsidR="00147531" w:rsidRDefault="00147531">
      <w:r>
        <w:separator/>
      </w:r>
    </w:p>
  </w:endnote>
  <w:endnote w:type="continuationSeparator" w:id="0">
    <w:p w14:paraId="010419C3" w14:textId="77777777" w:rsidR="00147531" w:rsidRDefault="0014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no Pro">
    <w:altName w:val="Cambria"/>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71A5A" w14:textId="77777777" w:rsidR="003B4AF3" w:rsidRDefault="003B4AF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5C1AD0DA" w14:textId="77777777" w:rsidR="003B4AF3" w:rsidRDefault="003B4AF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80F4F" w14:textId="77777777" w:rsidR="003B4AF3" w:rsidRDefault="003B4AF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A42F0">
      <w:rPr>
        <w:rStyle w:val="a8"/>
        <w:noProof/>
      </w:rPr>
      <w:t>1</w:t>
    </w:r>
    <w:r>
      <w:rPr>
        <w:rStyle w:val="a8"/>
      </w:rPr>
      <w:fldChar w:fldCharType="end"/>
    </w:r>
  </w:p>
  <w:p w14:paraId="325FF4C9" w14:textId="77777777" w:rsidR="003B4AF3" w:rsidRDefault="003B4AF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81AFE" w14:textId="77777777" w:rsidR="00147531" w:rsidRDefault="00147531">
      <w:r>
        <w:separator/>
      </w:r>
    </w:p>
  </w:footnote>
  <w:footnote w:type="continuationSeparator" w:id="0">
    <w:p w14:paraId="0BD1EC32" w14:textId="77777777" w:rsidR="00147531" w:rsidRDefault="00147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5"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8" w15:restartNumberingAfterBreak="0">
    <w:nsid w:val="3A260EE3"/>
    <w:multiLevelType w:val="hybridMultilevel"/>
    <w:tmpl w:val="7ED41C22"/>
    <w:lvl w:ilvl="0" w:tplc="1CEA9F16">
      <w:start w:val="1"/>
      <w:numFmt w:val="decimal"/>
      <w:lvlText w:val="%1"/>
      <w:lvlJc w:val="left"/>
      <w:pPr>
        <w:ind w:left="727" w:hanging="540"/>
      </w:pPr>
      <w:rPr>
        <w:rFonts w:hint="default"/>
      </w:rPr>
    </w:lvl>
    <w:lvl w:ilvl="1" w:tplc="04090017" w:tentative="1">
      <w:start w:val="1"/>
      <w:numFmt w:val="aiueoFullWidth"/>
      <w:lvlText w:val="(%2)"/>
      <w:lvlJc w:val="left"/>
      <w:pPr>
        <w:ind w:left="1067" w:hanging="440"/>
      </w:pPr>
    </w:lvl>
    <w:lvl w:ilvl="2" w:tplc="04090011" w:tentative="1">
      <w:start w:val="1"/>
      <w:numFmt w:val="decimalEnclosedCircle"/>
      <w:lvlText w:val="%3"/>
      <w:lvlJc w:val="left"/>
      <w:pPr>
        <w:ind w:left="1507" w:hanging="440"/>
      </w:pPr>
    </w:lvl>
    <w:lvl w:ilvl="3" w:tplc="0409000F" w:tentative="1">
      <w:start w:val="1"/>
      <w:numFmt w:val="decimal"/>
      <w:lvlText w:val="%4."/>
      <w:lvlJc w:val="left"/>
      <w:pPr>
        <w:ind w:left="1947" w:hanging="440"/>
      </w:pPr>
    </w:lvl>
    <w:lvl w:ilvl="4" w:tplc="04090017" w:tentative="1">
      <w:start w:val="1"/>
      <w:numFmt w:val="aiueoFullWidth"/>
      <w:lvlText w:val="(%5)"/>
      <w:lvlJc w:val="left"/>
      <w:pPr>
        <w:ind w:left="2387" w:hanging="440"/>
      </w:pPr>
    </w:lvl>
    <w:lvl w:ilvl="5" w:tplc="04090011" w:tentative="1">
      <w:start w:val="1"/>
      <w:numFmt w:val="decimalEnclosedCircle"/>
      <w:lvlText w:val="%6"/>
      <w:lvlJc w:val="left"/>
      <w:pPr>
        <w:ind w:left="2827" w:hanging="440"/>
      </w:pPr>
    </w:lvl>
    <w:lvl w:ilvl="6" w:tplc="0409000F" w:tentative="1">
      <w:start w:val="1"/>
      <w:numFmt w:val="decimal"/>
      <w:lvlText w:val="%7."/>
      <w:lvlJc w:val="left"/>
      <w:pPr>
        <w:ind w:left="3267" w:hanging="440"/>
      </w:pPr>
    </w:lvl>
    <w:lvl w:ilvl="7" w:tplc="04090017" w:tentative="1">
      <w:start w:val="1"/>
      <w:numFmt w:val="aiueoFullWidth"/>
      <w:lvlText w:val="(%8)"/>
      <w:lvlJc w:val="left"/>
      <w:pPr>
        <w:ind w:left="3707" w:hanging="440"/>
      </w:pPr>
    </w:lvl>
    <w:lvl w:ilvl="8" w:tplc="04090011" w:tentative="1">
      <w:start w:val="1"/>
      <w:numFmt w:val="decimalEnclosedCircle"/>
      <w:lvlText w:val="%9"/>
      <w:lvlJc w:val="left"/>
      <w:pPr>
        <w:ind w:left="4147" w:hanging="440"/>
      </w:pPr>
    </w:lvl>
  </w:abstractNum>
  <w:abstractNum w:abstractNumId="9"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1" w15:restartNumberingAfterBreak="0">
    <w:nsid w:val="675202FF"/>
    <w:multiLevelType w:val="multilevel"/>
    <w:tmpl w:val="5B02C62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92C15D3"/>
    <w:multiLevelType w:val="hybridMultilevel"/>
    <w:tmpl w:val="F0C8BD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CB05D6D"/>
    <w:multiLevelType w:val="multilevel"/>
    <w:tmpl w:val="D9120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6629725">
    <w:abstractNumId w:val="9"/>
  </w:num>
  <w:num w:numId="2" w16cid:durableId="262343822">
    <w:abstractNumId w:val="6"/>
  </w:num>
  <w:num w:numId="3" w16cid:durableId="306710557">
    <w:abstractNumId w:val="10"/>
  </w:num>
  <w:num w:numId="4" w16cid:durableId="892623207">
    <w:abstractNumId w:val="7"/>
  </w:num>
  <w:num w:numId="5" w16cid:durableId="143355808">
    <w:abstractNumId w:val="5"/>
  </w:num>
  <w:num w:numId="6" w16cid:durableId="768506376">
    <w:abstractNumId w:val="4"/>
  </w:num>
  <w:num w:numId="7" w16cid:durableId="475031008">
    <w:abstractNumId w:val="3"/>
  </w:num>
  <w:num w:numId="8" w16cid:durableId="777682677">
    <w:abstractNumId w:val="1"/>
  </w:num>
  <w:num w:numId="9" w16cid:durableId="155153918">
    <w:abstractNumId w:val="0"/>
  </w:num>
  <w:num w:numId="10" w16cid:durableId="650259360">
    <w:abstractNumId w:val="2"/>
  </w:num>
  <w:num w:numId="11" w16cid:durableId="1156804704">
    <w:abstractNumId w:val="11"/>
  </w:num>
  <w:num w:numId="12" w16cid:durableId="1080761023">
    <w:abstractNumId w:val="13"/>
  </w:num>
  <w:num w:numId="13" w16cid:durableId="1502309279">
    <w:abstractNumId w:val="8"/>
  </w:num>
  <w:num w:numId="14" w16cid:durableId="580337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C5"/>
    <w:rsid w:val="000002F2"/>
    <w:rsid w:val="000118F3"/>
    <w:rsid w:val="0003239C"/>
    <w:rsid w:val="00033C4B"/>
    <w:rsid w:val="00041945"/>
    <w:rsid w:val="0005660F"/>
    <w:rsid w:val="000702AD"/>
    <w:rsid w:val="00070539"/>
    <w:rsid w:val="000B2EEB"/>
    <w:rsid w:val="000B5610"/>
    <w:rsid w:val="000C05CC"/>
    <w:rsid w:val="000C782E"/>
    <w:rsid w:val="000D12FE"/>
    <w:rsid w:val="000D43CB"/>
    <w:rsid w:val="000F293F"/>
    <w:rsid w:val="001075DA"/>
    <w:rsid w:val="00112335"/>
    <w:rsid w:val="00122F53"/>
    <w:rsid w:val="00141621"/>
    <w:rsid w:val="00147531"/>
    <w:rsid w:val="00153B2D"/>
    <w:rsid w:val="00163044"/>
    <w:rsid w:val="00181C3E"/>
    <w:rsid w:val="00195ACA"/>
    <w:rsid w:val="001A7A90"/>
    <w:rsid w:val="001C0AF3"/>
    <w:rsid w:val="001E16C5"/>
    <w:rsid w:val="001F0131"/>
    <w:rsid w:val="00202A9C"/>
    <w:rsid w:val="00212B1D"/>
    <w:rsid w:val="00224200"/>
    <w:rsid w:val="002435BF"/>
    <w:rsid w:val="00264642"/>
    <w:rsid w:val="00271A02"/>
    <w:rsid w:val="002A7493"/>
    <w:rsid w:val="002A77DC"/>
    <w:rsid w:val="002C3431"/>
    <w:rsid w:val="002C4A6E"/>
    <w:rsid w:val="002D0248"/>
    <w:rsid w:val="002F79F0"/>
    <w:rsid w:val="00306C51"/>
    <w:rsid w:val="0031373B"/>
    <w:rsid w:val="00324128"/>
    <w:rsid w:val="00361E35"/>
    <w:rsid w:val="0036649A"/>
    <w:rsid w:val="003664E9"/>
    <w:rsid w:val="003679A1"/>
    <w:rsid w:val="003715A2"/>
    <w:rsid w:val="003A42F0"/>
    <w:rsid w:val="003B31F8"/>
    <w:rsid w:val="003B4AF3"/>
    <w:rsid w:val="003C1C67"/>
    <w:rsid w:val="003E1F76"/>
    <w:rsid w:val="003F041F"/>
    <w:rsid w:val="003F084B"/>
    <w:rsid w:val="003F4670"/>
    <w:rsid w:val="00400073"/>
    <w:rsid w:val="00411CBA"/>
    <w:rsid w:val="0042523D"/>
    <w:rsid w:val="00431526"/>
    <w:rsid w:val="00437E4F"/>
    <w:rsid w:val="00451871"/>
    <w:rsid w:val="0045449F"/>
    <w:rsid w:val="00475FD2"/>
    <w:rsid w:val="0048322E"/>
    <w:rsid w:val="004937CB"/>
    <w:rsid w:val="004D5EF5"/>
    <w:rsid w:val="004D6574"/>
    <w:rsid w:val="004E283C"/>
    <w:rsid w:val="004E7185"/>
    <w:rsid w:val="00515660"/>
    <w:rsid w:val="00517636"/>
    <w:rsid w:val="00541FCD"/>
    <w:rsid w:val="00544EF1"/>
    <w:rsid w:val="005553EF"/>
    <w:rsid w:val="0056015D"/>
    <w:rsid w:val="00567E81"/>
    <w:rsid w:val="0057582E"/>
    <w:rsid w:val="00585874"/>
    <w:rsid w:val="00591A57"/>
    <w:rsid w:val="00597425"/>
    <w:rsid w:val="005A7DFC"/>
    <w:rsid w:val="005C2589"/>
    <w:rsid w:val="005D0C10"/>
    <w:rsid w:val="005F6B05"/>
    <w:rsid w:val="0060215B"/>
    <w:rsid w:val="00610807"/>
    <w:rsid w:val="00613962"/>
    <w:rsid w:val="00645560"/>
    <w:rsid w:val="006455A5"/>
    <w:rsid w:val="00655ADB"/>
    <w:rsid w:val="006809E4"/>
    <w:rsid w:val="0068115E"/>
    <w:rsid w:val="00683131"/>
    <w:rsid w:val="006A0161"/>
    <w:rsid w:val="006A3E34"/>
    <w:rsid w:val="006B2581"/>
    <w:rsid w:val="006E49CB"/>
    <w:rsid w:val="006F59E9"/>
    <w:rsid w:val="007000D9"/>
    <w:rsid w:val="00704126"/>
    <w:rsid w:val="00711005"/>
    <w:rsid w:val="007266C4"/>
    <w:rsid w:val="00730456"/>
    <w:rsid w:val="00747701"/>
    <w:rsid w:val="007629D3"/>
    <w:rsid w:val="00786231"/>
    <w:rsid w:val="0079173E"/>
    <w:rsid w:val="00794616"/>
    <w:rsid w:val="007A11AD"/>
    <w:rsid w:val="007A1A5C"/>
    <w:rsid w:val="007A79EE"/>
    <w:rsid w:val="007C32B2"/>
    <w:rsid w:val="007E72B9"/>
    <w:rsid w:val="007F4EE0"/>
    <w:rsid w:val="008047DE"/>
    <w:rsid w:val="0081108D"/>
    <w:rsid w:val="00853F01"/>
    <w:rsid w:val="008633FA"/>
    <w:rsid w:val="008655C0"/>
    <w:rsid w:val="00886861"/>
    <w:rsid w:val="008B72A1"/>
    <w:rsid w:val="008D30F9"/>
    <w:rsid w:val="008D49E1"/>
    <w:rsid w:val="008D53B2"/>
    <w:rsid w:val="008D6AD4"/>
    <w:rsid w:val="008F60AD"/>
    <w:rsid w:val="0090027F"/>
    <w:rsid w:val="00912169"/>
    <w:rsid w:val="00916DB0"/>
    <w:rsid w:val="0092037A"/>
    <w:rsid w:val="009205AE"/>
    <w:rsid w:val="009246AD"/>
    <w:rsid w:val="00924B49"/>
    <w:rsid w:val="009337FC"/>
    <w:rsid w:val="009415D5"/>
    <w:rsid w:val="00942A6E"/>
    <w:rsid w:val="00950C51"/>
    <w:rsid w:val="00966E93"/>
    <w:rsid w:val="009C19D0"/>
    <w:rsid w:val="009C2304"/>
    <w:rsid w:val="009E54CA"/>
    <w:rsid w:val="009F01B2"/>
    <w:rsid w:val="009F2E7E"/>
    <w:rsid w:val="00A02D62"/>
    <w:rsid w:val="00A20EB5"/>
    <w:rsid w:val="00A22AFA"/>
    <w:rsid w:val="00A47D78"/>
    <w:rsid w:val="00A55A6D"/>
    <w:rsid w:val="00A6139B"/>
    <w:rsid w:val="00A764EF"/>
    <w:rsid w:val="00AB1703"/>
    <w:rsid w:val="00AB34C5"/>
    <w:rsid w:val="00AD315E"/>
    <w:rsid w:val="00AF44C5"/>
    <w:rsid w:val="00AF4F6D"/>
    <w:rsid w:val="00AF7F6A"/>
    <w:rsid w:val="00B05A88"/>
    <w:rsid w:val="00B06D3C"/>
    <w:rsid w:val="00B13BCB"/>
    <w:rsid w:val="00B1793F"/>
    <w:rsid w:val="00B32883"/>
    <w:rsid w:val="00B35AE6"/>
    <w:rsid w:val="00B44641"/>
    <w:rsid w:val="00B46A92"/>
    <w:rsid w:val="00B567A5"/>
    <w:rsid w:val="00B63EB2"/>
    <w:rsid w:val="00B7618D"/>
    <w:rsid w:val="00B8339F"/>
    <w:rsid w:val="00B84C7F"/>
    <w:rsid w:val="00BA137B"/>
    <w:rsid w:val="00BA2DB6"/>
    <w:rsid w:val="00BB19A4"/>
    <w:rsid w:val="00BD0098"/>
    <w:rsid w:val="00BD2C44"/>
    <w:rsid w:val="00C0340A"/>
    <w:rsid w:val="00C10EE0"/>
    <w:rsid w:val="00C1250B"/>
    <w:rsid w:val="00C12556"/>
    <w:rsid w:val="00C12966"/>
    <w:rsid w:val="00C22DED"/>
    <w:rsid w:val="00C2479F"/>
    <w:rsid w:val="00C345A0"/>
    <w:rsid w:val="00C37DAD"/>
    <w:rsid w:val="00C6170A"/>
    <w:rsid w:val="00C82B84"/>
    <w:rsid w:val="00CE1018"/>
    <w:rsid w:val="00D13901"/>
    <w:rsid w:val="00D16466"/>
    <w:rsid w:val="00D16C0C"/>
    <w:rsid w:val="00D211D2"/>
    <w:rsid w:val="00D23C25"/>
    <w:rsid w:val="00D3106A"/>
    <w:rsid w:val="00D318E5"/>
    <w:rsid w:val="00D32E24"/>
    <w:rsid w:val="00D74035"/>
    <w:rsid w:val="00DB40BA"/>
    <w:rsid w:val="00DD6DBB"/>
    <w:rsid w:val="00E060FB"/>
    <w:rsid w:val="00E074F2"/>
    <w:rsid w:val="00E12DA9"/>
    <w:rsid w:val="00E26923"/>
    <w:rsid w:val="00E32A43"/>
    <w:rsid w:val="00E460B4"/>
    <w:rsid w:val="00E57D3B"/>
    <w:rsid w:val="00E6267C"/>
    <w:rsid w:val="00E67FF5"/>
    <w:rsid w:val="00E91482"/>
    <w:rsid w:val="00E96302"/>
    <w:rsid w:val="00ED161A"/>
    <w:rsid w:val="00EF6B16"/>
    <w:rsid w:val="00F05FF6"/>
    <w:rsid w:val="00F134F5"/>
    <w:rsid w:val="00F224CF"/>
    <w:rsid w:val="00F35CE3"/>
    <w:rsid w:val="00F4685C"/>
    <w:rsid w:val="00F472A9"/>
    <w:rsid w:val="00F47B85"/>
    <w:rsid w:val="00F54BDD"/>
    <w:rsid w:val="00F5645C"/>
    <w:rsid w:val="00F65510"/>
    <w:rsid w:val="00F67D51"/>
    <w:rsid w:val="00F7074E"/>
    <w:rsid w:val="00F856C9"/>
    <w:rsid w:val="00F86F83"/>
    <w:rsid w:val="00F9454D"/>
    <w:rsid w:val="00FA44DF"/>
    <w:rsid w:val="00FC69D6"/>
    <w:rsid w:val="00FD1536"/>
    <w:rsid w:val="00FD6970"/>
    <w:rsid w:val="00FE6219"/>
    <w:rsid w:val="00FF2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50E21B"/>
  <w15:docId w15:val="{9DB538E0-DABB-4ED1-80A0-E09517BA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heme="minorEastAsia"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jc w:val="both"/>
    </w:pPr>
    <w:rPr>
      <w:rFonts w:ascii="Times" w:hAnsi="Times"/>
      <w:sz w:val="24"/>
    </w:rPr>
  </w:style>
  <w:style w:type="paragraph" w:styleId="1">
    <w:name w:val="heading 1"/>
    <w:basedOn w:val="a"/>
    <w:next w:val="a"/>
    <w:link w:val="10"/>
    <w:qFormat/>
    <w:rsid w:val="003F084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ody Text"/>
    <w:basedOn w:val="a"/>
    <w:pPr>
      <w:jc w:val="center"/>
    </w:pPr>
    <w:rPr>
      <w:b/>
      <w:sz w:val="40"/>
    </w:rPr>
  </w:style>
  <w:style w:type="paragraph" w:styleId="a5">
    <w:name w:val="footnote text"/>
    <w:basedOn w:val="a"/>
    <w:next w:val="TFReferencesSection"/>
    <w:semiHidden/>
  </w:style>
  <w:style w:type="paragraph" w:customStyle="1" w:styleId="TFReferencesSection">
    <w:name w:val="TF_References_Section"/>
    <w:basedOn w:val="a"/>
    <w:pPr>
      <w:spacing w:line="480" w:lineRule="auto"/>
      <w:ind w:firstLine="187"/>
    </w:pPr>
  </w:style>
  <w:style w:type="paragraph" w:customStyle="1" w:styleId="TAMainText">
    <w:name w:val="TA_Main_Text"/>
    <w:basedOn w:val="a"/>
    <w:pPr>
      <w:spacing w:after="0" w:line="480" w:lineRule="auto"/>
      <w:ind w:firstLine="202"/>
    </w:pPr>
  </w:style>
  <w:style w:type="paragraph" w:customStyle="1" w:styleId="BATitle">
    <w:name w:val="BA_Title"/>
    <w:basedOn w:val="a"/>
    <w:next w:val="BBAuthorName"/>
    <w:pPr>
      <w:spacing w:before="720" w:after="360" w:line="480" w:lineRule="auto"/>
      <w:jc w:val="center"/>
    </w:pPr>
    <w:rPr>
      <w:rFonts w:ascii="Times New Roman" w:hAnsi="Times New Roman"/>
      <w:sz w:val="44"/>
    </w:rPr>
  </w:style>
  <w:style w:type="paragraph" w:customStyle="1" w:styleId="BBAuthorName">
    <w:name w:val="BB_Author_Name"/>
    <w:basedOn w:val="a"/>
    <w:next w:val="BCAuthorAddress"/>
    <w:pPr>
      <w:spacing w:after="240" w:line="480" w:lineRule="auto"/>
      <w:jc w:val="center"/>
    </w:pPr>
    <w:rPr>
      <w:i/>
    </w:rPr>
  </w:style>
  <w:style w:type="paragraph" w:customStyle="1" w:styleId="BCAuthorAddress">
    <w:name w:val="BC_Author_Address"/>
    <w:basedOn w:val="a"/>
    <w:next w:val="BIEmailAddress"/>
    <w:pPr>
      <w:spacing w:after="240" w:line="480" w:lineRule="auto"/>
      <w:jc w:val="center"/>
    </w:pPr>
  </w:style>
  <w:style w:type="paragraph" w:customStyle="1" w:styleId="BIEmailAddress">
    <w:name w:val="BI_Email_Address"/>
    <w:basedOn w:val="a"/>
    <w:next w:val="AIReceivedDate"/>
    <w:pPr>
      <w:spacing w:line="480" w:lineRule="auto"/>
    </w:pPr>
  </w:style>
  <w:style w:type="paragraph" w:customStyle="1" w:styleId="AIReceivedDate">
    <w:name w:val="AI_Received_Date"/>
    <w:basedOn w:val="a"/>
    <w:next w:val="BDAbstract"/>
    <w:pPr>
      <w:spacing w:after="240" w:line="480" w:lineRule="auto"/>
    </w:pPr>
    <w:rPr>
      <w:b/>
    </w:rPr>
  </w:style>
  <w:style w:type="paragraph" w:customStyle="1" w:styleId="BDAbstract">
    <w:name w:val="BD_Abstract"/>
    <w:basedOn w:val="a"/>
    <w:next w:val="TAMainText"/>
    <w:pPr>
      <w:spacing w:before="360" w:after="360" w:line="480" w:lineRule="auto"/>
    </w:pPr>
  </w:style>
  <w:style w:type="paragraph" w:customStyle="1" w:styleId="TDAcknowledgments">
    <w:name w:val="TD_Acknowledgments"/>
    <w:basedOn w:val="a"/>
    <w:next w:val="a"/>
    <w:pPr>
      <w:spacing w:before="200" w:line="480" w:lineRule="auto"/>
      <w:ind w:firstLine="202"/>
    </w:pPr>
  </w:style>
  <w:style w:type="paragraph" w:customStyle="1" w:styleId="TESupportingInformation">
    <w:name w:val="TE_Supporting_Information"/>
    <w:basedOn w:val="a"/>
    <w:next w:val="a"/>
    <w:pPr>
      <w:spacing w:line="480" w:lineRule="auto"/>
      <w:ind w:firstLine="187"/>
    </w:pPr>
  </w:style>
  <w:style w:type="paragraph" w:customStyle="1" w:styleId="VCSchemeTitle">
    <w:name w:val="VC_Scheme_Title"/>
    <w:basedOn w:val="a"/>
    <w:next w:val="a"/>
    <w:pPr>
      <w:spacing w:line="480" w:lineRule="auto"/>
    </w:pPr>
  </w:style>
  <w:style w:type="paragraph" w:customStyle="1" w:styleId="VDTableTitle">
    <w:name w:val="VD_Table_Title"/>
    <w:basedOn w:val="a"/>
    <w:next w:val="a"/>
    <w:pPr>
      <w:spacing w:line="480" w:lineRule="auto"/>
    </w:pPr>
  </w:style>
  <w:style w:type="paragraph" w:customStyle="1" w:styleId="VAFigureCaption">
    <w:name w:val="VA_Figure_Caption"/>
    <w:basedOn w:val="a"/>
    <w:next w:val="a"/>
    <w:pPr>
      <w:spacing w:line="480" w:lineRule="auto"/>
    </w:pPr>
  </w:style>
  <w:style w:type="paragraph" w:customStyle="1" w:styleId="VBChartTitle">
    <w:name w:val="VB_Chart_Title"/>
    <w:basedOn w:val="a"/>
    <w:next w:val="a"/>
    <w:pPr>
      <w:spacing w:line="480" w:lineRule="auto"/>
    </w:pPr>
  </w:style>
  <w:style w:type="paragraph" w:customStyle="1" w:styleId="FETableFootnote">
    <w:name w:val="FE_Table_Footnote"/>
    <w:basedOn w:val="a"/>
    <w:next w:val="a"/>
    <w:pPr>
      <w:ind w:firstLine="187"/>
    </w:pPr>
  </w:style>
  <w:style w:type="paragraph" w:customStyle="1" w:styleId="FCChartFootnote">
    <w:name w:val="FC_Chart_Footnote"/>
    <w:basedOn w:val="a"/>
    <w:next w:val="a"/>
    <w:pPr>
      <w:ind w:firstLine="187"/>
    </w:pPr>
  </w:style>
  <w:style w:type="paragraph" w:customStyle="1" w:styleId="FDSchemeFootnote">
    <w:name w:val="FD_Scheme_Footnote"/>
    <w:basedOn w:val="a"/>
    <w:next w:val="a"/>
    <w:pPr>
      <w:ind w:firstLine="187"/>
    </w:pPr>
  </w:style>
  <w:style w:type="paragraph" w:customStyle="1" w:styleId="TCTableBody">
    <w:name w:val="TC_Table_Body"/>
    <w:basedOn w:val="a"/>
  </w:style>
  <w:style w:type="paragraph" w:customStyle="1" w:styleId="AFTitleRunningHead">
    <w:name w:val="AF_Title_Running_Head"/>
    <w:basedOn w:val="a"/>
    <w:next w:val="TAMainText"/>
    <w:pPr>
      <w:spacing w:line="480" w:lineRule="auto"/>
    </w:pPr>
  </w:style>
  <w:style w:type="paragraph" w:customStyle="1" w:styleId="BEAuthorBiography">
    <w:name w:val="BE_Author_Biography"/>
    <w:basedOn w:val="a"/>
    <w:pPr>
      <w:spacing w:line="480" w:lineRule="auto"/>
    </w:pPr>
  </w:style>
  <w:style w:type="paragraph" w:customStyle="1" w:styleId="FACorrespondingAuthorFootnote">
    <w:name w:val="FA_Corresponding_Author_Footnote"/>
    <w:basedOn w:val="a"/>
    <w:next w:val="TAMainText"/>
    <w:pPr>
      <w:spacing w:line="480" w:lineRule="auto"/>
    </w:pPr>
  </w:style>
  <w:style w:type="paragraph" w:customStyle="1" w:styleId="SNSynopsisTOC">
    <w:name w:val="SN_Synopsis_TOC"/>
    <w:basedOn w:val="a"/>
    <w:pPr>
      <w:spacing w:line="480" w:lineRule="auto"/>
    </w:pPr>
  </w:style>
  <w:style w:type="character" w:styleId="a6">
    <w:name w:val="Hyperlink"/>
    <w:rPr>
      <w:color w:val="0000FF"/>
      <w:u w:val="single"/>
    </w:rPr>
  </w:style>
  <w:style w:type="paragraph" w:styleId="a7">
    <w:name w:val="footer"/>
    <w:basedOn w:val="a"/>
    <w:pPr>
      <w:tabs>
        <w:tab w:val="center" w:pos="4320"/>
        <w:tab w:val="right" w:pos="8640"/>
      </w:tabs>
    </w:pPr>
  </w:style>
  <w:style w:type="paragraph" w:customStyle="1" w:styleId="BGKeywords">
    <w:name w:val="BG_Keywords"/>
    <w:basedOn w:val="a"/>
    <w:pPr>
      <w:spacing w:line="480" w:lineRule="auto"/>
    </w:pPr>
  </w:style>
  <w:style w:type="paragraph" w:customStyle="1" w:styleId="BHBriefs">
    <w:name w:val="BH_Briefs"/>
    <w:basedOn w:val="a"/>
    <w:pPr>
      <w:spacing w:line="480" w:lineRule="auto"/>
    </w:pPr>
  </w:style>
  <w:style w:type="character" w:styleId="a8">
    <w:name w:val="page number"/>
    <w:basedOn w:val="a0"/>
  </w:style>
  <w:style w:type="paragraph" w:styleId="a9">
    <w:name w:val="Balloon Text"/>
    <w:basedOn w:val="a"/>
    <w:semiHidden/>
    <w:rsid w:val="00E96302"/>
    <w:rPr>
      <w:rFonts w:ascii="Tahoma" w:hAnsi="Tahoma" w:cs="Tahoma"/>
      <w:sz w:val="16"/>
      <w:szCs w:val="16"/>
    </w:rPr>
  </w:style>
  <w:style w:type="paragraph" w:customStyle="1" w:styleId="StyleFACorrespondingAuthorFootnote7pt">
    <w:name w:val="Style FA_Corresponding_Author_Footnote + 7 pt"/>
    <w:basedOn w:val="a"/>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a"/>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character" w:customStyle="1" w:styleId="10">
    <w:name w:val="見出し 1 (文字)"/>
    <w:basedOn w:val="a0"/>
    <w:link w:val="1"/>
    <w:rsid w:val="003F084B"/>
    <w:rPr>
      <w:rFonts w:asciiTheme="majorHAnsi" w:eastAsiaTheme="majorEastAsia" w:hAnsiTheme="majorHAnsi" w:cstheme="majorBidi"/>
      <w:sz w:val="24"/>
      <w:szCs w:val="24"/>
    </w:rPr>
  </w:style>
  <w:style w:type="character" w:styleId="aa">
    <w:name w:val="Placeholder Text"/>
    <w:basedOn w:val="a0"/>
    <w:uiPriority w:val="99"/>
    <w:semiHidden/>
    <w:rsid w:val="00B8339F"/>
    <w:rPr>
      <w:color w:val="666666"/>
    </w:rPr>
  </w:style>
  <w:style w:type="paragraph" w:customStyle="1" w:styleId="Tabletitle">
    <w:name w:val="Table title"/>
    <w:basedOn w:val="a"/>
    <w:next w:val="a"/>
    <w:qFormat/>
    <w:rsid w:val="00F4685C"/>
    <w:pPr>
      <w:spacing w:before="240" w:after="0" w:line="360" w:lineRule="auto"/>
      <w:jc w:val="left"/>
    </w:pPr>
    <w:rPr>
      <w:rFonts w:ascii="Times New Roman" w:hAnsi="Times New Roman"/>
      <w:szCs w:val="24"/>
      <w:lang w:val="en-GB" w:eastAsia="en-GB"/>
    </w:rPr>
  </w:style>
  <w:style w:type="table" w:styleId="2">
    <w:name w:val="Plain Table 2"/>
    <w:basedOn w:val="a1"/>
    <w:uiPriority w:val="42"/>
    <w:rsid w:val="00F4685C"/>
    <w:rPr>
      <w:rFonts w:ascii="Times New Roman" w:hAnsi="Times New Roman"/>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b">
    <w:name w:val="Unresolved Mention"/>
    <w:basedOn w:val="a0"/>
    <w:uiPriority w:val="99"/>
    <w:semiHidden/>
    <w:unhideWhenUsed/>
    <w:rsid w:val="00FA44DF"/>
    <w:rPr>
      <w:color w:val="605E5C"/>
      <w:shd w:val="clear" w:color="auto" w:fill="E1DFDD"/>
    </w:rPr>
  </w:style>
  <w:style w:type="paragraph" w:styleId="ac">
    <w:name w:val="header"/>
    <w:basedOn w:val="a"/>
    <w:link w:val="ad"/>
    <w:rsid w:val="004D5EF5"/>
    <w:pPr>
      <w:tabs>
        <w:tab w:val="center" w:pos="4252"/>
        <w:tab w:val="right" w:pos="8504"/>
      </w:tabs>
      <w:snapToGrid w:val="0"/>
    </w:pPr>
  </w:style>
  <w:style w:type="character" w:customStyle="1" w:styleId="ad">
    <w:name w:val="ヘッダー (文字)"/>
    <w:basedOn w:val="a0"/>
    <w:link w:val="ac"/>
    <w:rsid w:val="004D5EF5"/>
    <w:rPr>
      <w:rFonts w:ascii="Times" w:hAnsi="Times"/>
      <w:sz w:val="24"/>
    </w:rPr>
  </w:style>
  <w:style w:type="paragraph" w:styleId="ae">
    <w:name w:val="Revision"/>
    <w:hidden/>
    <w:uiPriority w:val="99"/>
    <w:semiHidden/>
    <w:rsid w:val="00BB19A4"/>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6446">
      <w:bodyDiv w:val="1"/>
      <w:marLeft w:val="0"/>
      <w:marRight w:val="0"/>
      <w:marTop w:val="0"/>
      <w:marBottom w:val="0"/>
      <w:divBdr>
        <w:top w:val="none" w:sz="0" w:space="0" w:color="auto"/>
        <w:left w:val="none" w:sz="0" w:space="0" w:color="auto"/>
        <w:bottom w:val="none" w:sz="0" w:space="0" w:color="auto"/>
        <w:right w:val="none" w:sz="0" w:space="0" w:color="auto"/>
      </w:divBdr>
    </w:div>
    <w:div w:id="1058361324">
      <w:bodyDiv w:val="1"/>
      <w:marLeft w:val="0"/>
      <w:marRight w:val="0"/>
      <w:marTop w:val="0"/>
      <w:marBottom w:val="0"/>
      <w:divBdr>
        <w:top w:val="none" w:sz="0" w:space="0" w:color="auto"/>
        <w:left w:val="none" w:sz="0" w:space="0" w:color="auto"/>
        <w:bottom w:val="none" w:sz="0" w:space="0" w:color="auto"/>
        <w:right w:val="none" w:sz="0" w:space="0" w:color="auto"/>
      </w:divBdr>
    </w:div>
    <w:div w:id="1845975765">
      <w:bodyDiv w:val="1"/>
      <w:marLeft w:val="0"/>
      <w:marRight w:val="0"/>
      <w:marTop w:val="0"/>
      <w:marBottom w:val="0"/>
      <w:divBdr>
        <w:top w:val="none" w:sz="0" w:space="0" w:color="auto"/>
        <w:left w:val="none" w:sz="0" w:space="0" w:color="auto"/>
        <w:bottom w:val="none" w:sz="0" w:space="0" w:color="auto"/>
        <w:right w:val="none" w:sz="0" w:space="0" w:color="auto"/>
      </w:divBdr>
    </w:div>
    <w:div w:id="18856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yam\Documents\Office%20&#12398;&#12459;&#12473;&#12479;&#12512;%20&#12486;&#12531;&#12503;&#12524;&#12540;&#12488;\a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acs.dotx</Template>
  <TotalTime>1207</TotalTime>
  <Pages>29</Pages>
  <Words>6482</Words>
  <Characters>36951</Characters>
  <Application>Microsoft Office Word</Application>
  <DocSecurity>0</DocSecurity>
  <Lines>307</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Template for Electronic Submission to ACS Journals</vt:lpstr>
      <vt:lpstr>Template for Electronic Submission to ACS Journals</vt:lpstr>
    </vt:vector>
  </TitlesOfParts>
  <Company>ACS</Company>
  <LinksUpToDate>false</LinksUpToDate>
  <CharactersWithSpaces>43347</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小山幸典</dc:creator>
  <cp:keywords/>
  <cp:lastModifiedBy>KOYAMA Yukinori</cp:lastModifiedBy>
  <cp:revision>47</cp:revision>
  <cp:lastPrinted>2008-06-11T21:33:00Z</cp:lastPrinted>
  <dcterms:created xsi:type="dcterms:W3CDTF">2024-07-11T01:53:00Z</dcterms:created>
  <dcterms:modified xsi:type="dcterms:W3CDTF">2024-11-18T05:12:00Z</dcterms:modified>
</cp:coreProperties>
</file>