
<file path=[Content_Types].xml><?xml version="1.0" encoding="utf-8"?>
<Types xmlns="http://schemas.openxmlformats.org/package/2006/content-types">
  <Default Extension="xml" ContentType="application/xml"/>
  <Default Extension="tif" ContentType="image/tif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780E5" w14:textId="77777777" w:rsidR="009246AD" w:rsidRPr="00E52CD1" w:rsidRDefault="006A729F" w:rsidP="00AB34C5">
      <w:pPr>
        <w:pStyle w:val="BATitle"/>
        <w:jc w:val="left"/>
        <w:rPr>
          <w:b/>
        </w:rPr>
      </w:pPr>
      <w:r w:rsidRPr="00E52CD1">
        <w:t>The Suppression of Myogenic Differentiation of Mammalian Cells Caused by Fluidity of A Liquid–Liquid Interface</w:t>
      </w:r>
    </w:p>
    <w:p w14:paraId="169FB5CD" w14:textId="77777777" w:rsidR="009246AD" w:rsidRPr="00E52CD1" w:rsidRDefault="006A729F" w:rsidP="00AB34C5">
      <w:pPr>
        <w:pStyle w:val="BBAuthorName"/>
        <w:jc w:val="left"/>
      </w:pPr>
      <w:r w:rsidRPr="00E52CD1">
        <w:t>Kosuke Minami,*</w:t>
      </w:r>
      <w:r w:rsidRPr="00E52CD1">
        <w:rPr>
          <w:vertAlign w:val="superscript"/>
        </w:rPr>
        <w:t>,†</w:t>
      </w:r>
      <w:r w:rsidRPr="00E52CD1">
        <w:t xml:space="preserve"> Taizo Mori,</w:t>
      </w:r>
      <w:r w:rsidRPr="00E52CD1">
        <w:rPr>
          <w:vertAlign w:val="superscript"/>
        </w:rPr>
        <w:t>†</w:t>
      </w:r>
      <w:r w:rsidRPr="00E52CD1">
        <w:t xml:space="preserve"> Waka Nakanishi,</w:t>
      </w:r>
      <w:r w:rsidRPr="00E52CD1">
        <w:rPr>
          <w:vertAlign w:val="superscript"/>
        </w:rPr>
        <w:t>†</w:t>
      </w:r>
      <w:r w:rsidRPr="00E52CD1">
        <w:t xml:space="preserve"> Narumi Shigi,</w:t>
      </w:r>
      <w:r w:rsidRPr="00E52CD1">
        <w:rPr>
          <w:vertAlign w:val="superscript"/>
        </w:rPr>
        <w:t>†</w:t>
      </w:r>
      <w:r w:rsidRPr="00E52CD1">
        <w:t xml:space="preserve"> Jun Nakanishi,</w:t>
      </w:r>
      <w:r w:rsidRPr="00E52CD1">
        <w:rPr>
          <w:vertAlign w:val="superscript"/>
        </w:rPr>
        <w:t>†</w:t>
      </w:r>
      <w:r w:rsidRPr="00E52CD1">
        <w:t xml:space="preserve"> Jonathan P. Hill,</w:t>
      </w:r>
      <w:r w:rsidRPr="00E52CD1">
        <w:rPr>
          <w:vertAlign w:val="superscript"/>
        </w:rPr>
        <w:t>†</w:t>
      </w:r>
      <w:r w:rsidRPr="00E52CD1">
        <w:t xml:space="preserve"> Makoto Komiyama,</w:t>
      </w:r>
      <w:r w:rsidRPr="00E52CD1">
        <w:rPr>
          <w:vertAlign w:val="superscript"/>
        </w:rPr>
        <w:t>†</w:t>
      </w:r>
      <w:r w:rsidRPr="00E52CD1">
        <w:t xml:space="preserve"> and Katsuhiko Ariga*</w:t>
      </w:r>
      <w:r w:rsidRPr="00E52CD1">
        <w:rPr>
          <w:vertAlign w:val="superscript"/>
        </w:rPr>
        <w:t>,†,‡</w:t>
      </w:r>
    </w:p>
    <w:p w14:paraId="22A5BA8A" w14:textId="77777777" w:rsidR="006A729F" w:rsidRPr="00E52CD1" w:rsidRDefault="006A729F" w:rsidP="006A729F">
      <w:pPr>
        <w:pStyle w:val="BCAuthorAddress"/>
        <w:jc w:val="left"/>
      </w:pPr>
      <w:r w:rsidRPr="00E52CD1">
        <w:rPr>
          <w:vertAlign w:val="superscript"/>
        </w:rPr>
        <w:t>†</w:t>
      </w:r>
      <w:r w:rsidRPr="00E52CD1">
        <w:t xml:space="preserve"> International Research Center for Materials Nanoarchitectonics (WPI-MANA), National Institute for Materials Science (NIMS), 1-1, Namiki, Tsukuba, Ibaraki 305-0044 Japan</w:t>
      </w:r>
    </w:p>
    <w:p w14:paraId="4AF1F8DA" w14:textId="77777777" w:rsidR="006A729F" w:rsidRPr="00E52CD1" w:rsidRDefault="006A729F" w:rsidP="006A729F">
      <w:pPr>
        <w:pStyle w:val="BCAuthorAddress"/>
        <w:jc w:val="left"/>
      </w:pPr>
      <w:r w:rsidRPr="00E52CD1">
        <w:rPr>
          <w:vertAlign w:val="superscript"/>
        </w:rPr>
        <w:t xml:space="preserve">‡ </w:t>
      </w:r>
      <w:r w:rsidRPr="00E52CD1">
        <w:t>Graduate School of Frontier Science, The University of Tokyo, 5-1-5 Kashiwanoha, Kashiwa, Chiba 277</w:t>
      </w:r>
      <w:r w:rsidRPr="00E52CD1">
        <w:rPr>
          <w:rFonts w:hint="eastAsia"/>
        </w:rPr>
        <w:t>−</w:t>
      </w:r>
      <w:r w:rsidRPr="00E52CD1">
        <w:t>8561, Japan</w:t>
      </w:r>
    </w:p>
    <w:p w14:paraId="3FE4B04B" w14:textId="7491A015" w:rsidR="009246AD" w:rsidRPr="00E52CD1" w:rsidRDefault="003B78CD" w:rsidP="006A729F">
      <w:pPr>
        <w:pStyle w:val="BCAuthorAddress"/>
        <w:jc w:val="left"/>
      </w:pPr>
      <w:r w:rsidRPr="00E52CD1">
        <w:t xml:space="preserve">* </w:t>
      </w:r>
      <w:r w:rsidR="006A729F" w:rsidRPr="00E52CD1">
        <w:t>Correspondence and requests for materials should be addressed to K.M. (MINAMI.Kosuke@nims.go.jp) and K.A. (ARIGA.Katsuhiko@nims.go.jp).</w:t>
      </w:r>
    </w:p>
    <w:p w14:paraId="434BF2B4" w14:textId="77777777" w:rsidR="006A729F" w:rsidRPr="00E52CD1" w:rsidRDefault="00AB34C5" w:rsidP="003B61E0">
      <w:pPr>
        <w:pStyle w:val="FACorrespondingAuthorFootnote"/>
        <w:spacing w:after="0"/>
        <w:jc w:val="left"/>
      </w:pPr>
      <w:r w:rsidRPr="00E52CD1">
        <w:t xml:space="preserve">KEYWORDS </w:t>
      </w:r>
    </w:p>
    <w:p w14:paraId="5A5AD8E3" w14:textId="4594C6DB" w:rsidR="006A729F" w:rsidRPr="00E52CD1" w:rsidRDefault="006A729F" w:rsidP="00F61596">
      <w:pPr>
        <w:pStyle w:val="FACorrespondingAuthorFootnote"/>
        <w:spacing w:after="0"/>
        <w:jc w:val="left"/>
      </w:pPr>
      <w:r w:rsidRPr="00E52CD1">
        <w:t>tissue engineering, fluid microenvironment, myogenic differentiation, liquid–liquid interfaces, perfluorocarbons</w:t>
      </w:r>
      <w:r w:rsidRPr="00E52CD1">
        <w:br w:type="page"/>
      </w:r>
    </w:p>
    <w:p w14:paraId="6A3F57E0" w14:textId="77777777" w:rsidR="006A729F" w:rsidRPr="00E52CD1" w:rsidRDefault="00AB34C5" w:rsidP="003B61E0">
      <w:pPr>
        <w:pStyle w:val="BDAbstract"/>
      </w:pPr>
      <w:r w:rsidRPr="00E52CD1">
        <w:lastRenderedPageBreak/>
        <w:t>ABSTRACT</w:t>
      </w:r>
    </w:p>
    <w:p w14:paraId="124AE3CA" w14:textId="779DAA8E" w:rsidR="00AE0C5A" w:rsidRPr="00E52CD1" w:rsidRDefault="00AE0C5A" w:rsidP="00F61596">
      <w:pPr>
        <w:pStyle w:val="BDAbstract"/>
      </w:pPr>
      <w:r w:rsidRPr="00E52CD1">
        <w:t xml:space="preserve">There is growing evidence to suggest that the prevailing physical microenvironment and mechanical stress </w:t>
      </w:r>
      <w:r w:rsidRPr="00E52CD1">
        <w:rPr>
          <w:rFonts w:hint="eastAsia"/>
        </w:rPr>
        <w:t>regulate</w:t>
      </w:r>
      <w:r w:rsidRPr="00E52CD1">
        <w:t xml:space="preserve"> cellular functions, including adhesion, proliferation, and differentiation. Moreover, the physical microenvironment determines the stem-cell lineage depending on stiffness of the substrate relative to biological tissues, as well as the stress relaxation properties of the viscoelastic substrates used for cell culture. However, there is little known regarding the biological effects of a fluid substrate, where viscoelastic stress is essentially absent. Here we demonstrate the regulation of myogenic differentiation on fluid substrates by using a liquid–liquid interface as a scaffold. C2C12 myoblast cells were cultured using water–perfluorocarbon (PFC) interfaces as the fluid microenvironment. We found that, for controlled </w:t>
      </w:r>
      <w:r w:rsidRPr="00E52CD1">
        <w:rPr>
          <w:i/>
        </w:rPr>
        <w:t>in vitro</w:t>
      </w:r>
      <w:r w:rsidRPr="00E52CD1">
        <w:t xml:space="preserve"> culture at water–PFC interfaces, expression of </w:t>
      </w:r>
      <w:r w:rsidRPr="00E52CD1">
        <w:rPr>
          <w:i/>
        </w:rPr>
        <w:t>myogenin</w:t>
      </w:r>
      <w:r w:rsidRPr="00E52CD1">
        <w:t xml:space="preserve">, myogenic regulatory factors (MRF) family gene, is remarkably attenuated even when myogenic differentiation was induced by reducing levels of growth factors, although </w:t>
      </w:r>
      <w:r w:rsidRPr="00E52CD1">
        <w:rPr>
          <w:i/>
        </w:rPr>
        <w:t>MyoD</w:t>
      </w:r>
      <w:r w:rsidRPr="00E52CD1">
        <w:t xml:space="preserve"> was expressed at the usual level (MyoD up-regulates myogenin under an elastic and/or viscoelastic environment). These results strongly suggest that this unique regulation of myogenic differentiation can be attributed to the fluid microenvironment of the interfacial culture medium. This interfacial culture system represents a powerful tool for investigation of the mechanisms by which physical properties regulate cellular adhesion and proliferation, as well as their differentiation. Furthermore, we have successfully transferred the cells cultured at such interfaces using Langmuir–Blodgett (LB) techniques. The combination of the interfacial culture system with the LB approach enables investigation of the effects of mechanical compression on cell functions.</w:t>
      </w:r>
      <w:r w:rsidRPr="00E52CD1">
        <w:br w:type="page"/>
      </w:r>
    </w:p>
    <w:p w14:paraId="60C5FC85" w14:textId="77777777" w:rsidR="00AE0C5A" w:rsidRPr="00E52CD1" w:rsidRDefault="00AE0C5A" w:rsidP="000B5610">
      <w:pPr>
        <w:pStyle w:val="TAMainText"/>
        <w:spacing w:after="240"/>
        <w:ind w:firstLine="0"/>
        <w:jc w:val="left"/>
      </w:pPr>
      <w:r w:rsidRPr="00E52CD1">
        <w:lastRenderedPageBreak/>
        <w:t>INTRODUCTION</w:t>
      </w:r>
    </w:p>
    <w:p w14:paraId="767BA82A" w14:textId="54EC6537" w:rsidR="00AE0C5A" w:rsidRPr="00E52CD1" w:rsidRDefault="00AE0C5A" w:rsidP="00AE0C5A">
      <w:pPr>
        <w:pStyle w:val="TAMainText"/>
        <w:spacing w:after="240"/>
        <w:jc w:val="left"/>
      </w:pPr>
      <w:r w:rsidRPr="00E52CD1">
        <w:t>Tissue engineering is an emerging field aimed at the development of materials that restore, maintain or enhance biological (esp. mammalian) tissue function. It has great potential in the development of new therapies for tissue- and organ-repair as well as in drug discovery, which remain significant clinical challenges.</w:t>
      </w:r>
      <w:r w:rsidRPr="00E52CD1">
        <w:rPr>
          <w:vertAlign w:val="superscript"/>
        </w:rPr>
        <w:t>1–5</w:t>
      </w:r>
      <w:r w:rsidRPr="00E52CD1">
        <w:t xml:space="preserve"> To engineer living tissues </w:t>
      </w:r>
      <w:r w:rsidRPr="00E52CD1">
        <w:rPr>
          <w:i/>
        </w:rPr>
        <w:t>in vitro</w:t>
      </w:r>
      <w:r w:rsidRPr="00E52CD1">
        <w:t>, cultured cells are required to grow on scaffolds that provide the physical and chemical cues to guide their differentiation and assembly. Recent studies have shown that the mechanical properties of the matrix affect the differentiation profile of stem cell lineage.</w:t>
      </w:r>
      <w:r w:rsidRPr="00E52CD1">
        <w:rPr>
          <w:vertAlign w:val="superscript"/>
        </w:rPr>
        <w:t>6–8</w:t>
      </w:r>
      <w:r w:rsidRPr="00E52CD1">
        <w:t xml:space="preserve"> Engler et al. have demonstrated that human mesenchymal stem cells (MSCs) can be regulated to differentiate into neurons, myoblasts, or osteoblasts by respectively selecting the rigidity of the culture scaffolds to be similar to that of the brain (0.1–1 kPa), muscle (8–17 kPa), or collagenous bone (25–40 kPa) (Figure 1a)</w:t>
      </w:r>
      <w:bookmarkStart w:id="0" w:name="_Ref353696205"/>
      <w:r w:rsidRPr="00E52CD1">
        <w:t>.</w:t>
      </w:r>
      <w:bookmarkEnd w:id="0"/>
      <w:r w:rsidRPr="00E52CD1">
        <w:rPr>
          <w:vertAlign w:val="superscript"/>
        </w:rPr>
        <w:t>9</w:t>
      </w:r>
      <w:r w:rsidRPr="00E52CD1">
        <w:t xml:space="preserve"> Higher rigidity scaffolds with gigapascal-level stiffness and micropatterned surfaces have also been investigated</w:t>
      </w:r>
      <w:bookmarkStart w:id="1" w:name="_Ref353696306"/>
      <w:r w:rsidRPr="00E52CD1">
        <w:t>.</w:t>
      </w:r>
      <w:bookmarkEnd w:id="1"/>
      <w:r w:rsidRPr="00E52CD1">
        <w:rPr>
          <w:vertAlign w:val="superscript"/>
        </w:rPr>
        <w:t>10–12</w:t>
      </w:r>
      <w:r w:rsidRPr="00E52CD1">
        <w:t xml:space="preserve"> Although those substrates, including conventional plastic or glass dishes, are typically elastic, extracellular matrices (ECMs) in tissues and organs show viscoelastic and exhibit partial stress relaxation</w:t>
      </w:r>
      <w:bookmarkStart w:id="2" w:name="_Ref355885457"/>
      <w:r w:rsidRPr="00E52CD1">
        <w:t>.</w:t>
      </w:r>
      <w:bookmarkEnd w:id="2"/>
      <w:r w:rsidRPr="00E52CD1">
        <w:rPr>
          <w:vertAlign w:val="superscript"/>
        </w:rPr>
        <w:t>13,14</w:t>
      </w:r>
      <w:r w:rsidRPr="00E52CD1">
        <w:t xml:space="preserve"> Mooney et al. have demonstrated an approach to the modulation of stress relaxation properties in viscoelastic hydrogel scaffolds, and they suggest that substrate stress relaxation has a profound effect on cell biology, including stem cell fate</w:t>
      </w:r>
      <w:bookmarkStart w:id="3" w:name="_Ref355860875"/>
      <w:r w:rsidRPr="00E52CD1">
        <w:t>.</w:t>
      </w:r>
      <w:bookmarkEnd w:id="3"/>
      <w:r w:rsidRPr="00E52CD1">
        <w:rPr>
          <w:vertAlign w:val="superscript"/>
        </w:rPr>
        <w:t>15,16</w:t>
      </w:r>
      <w:r w:rsidRPr="00E52CD1">
        <w:t xml:space="preserve"> Recently, fluid substrates composed of viscoelastic polymers and possessing partial stress relaxation properties have been reported as being capable of regulating cellular functions.</w:t>
      </w:r>
      <w:r w:rsidRPr="00E52CD1">
        <w:rPr>
          <w:vertAlign w:val="superscript"/>
        </w:rPr>
        <w:t>17,18</w:t>
      </w:r>
      <w:r w:rsidRPr="00E52CD1">
        <w:t xml:space="preserve"> However, there is little known about the effects of a fluid substrate (such as a liquid’s surface where properties of stress relaxation might be considered to approach full stress relaxation) on cellular differentiation and the fate of stem cell lineage.</w:t>
      </w:r>
    </w:p>
    <w:p w14:paraId="0029FD30" w14:textId="6C81358C" w:rsidR="00AE0C5A" w:rsidRPr="00E52CD1" w:rsidRDefault="00AE0C5A" w:rsidP="000B5610">
      <w:pPr>
        <w:pStyle w:val="TAMainText"/>
        <w:spacing w:after="240"/>
        <w:ind w:firstLine="0"/>
        <w:jc w:val="left"/>
      </w:pPr>
      <w:r w:rsidRPr="00E52CD1">
        <w:lastRenderedPageBreak/>
        <w:t>A liquid–liquid interface has various properties</w:t>
      </w:r>
      <w:r w:rsidRPr="00E52CD1">
        <w:rPr>
          <w:vertAlign w:val="superscript"/>
        </w:rPr>
        <w:t>19</w:t>
      </w:r>
      <w:r w:rsidRPr="00E52CD1">
        <w:t xml:space="preserve"> and exhibits a fluid environment compared to conventional plastic or glass culture dishes and the recently reported viscoelastic scaffolds (see also Supporting Information). Rosenberg first demonstrated that anchorage-dependent cells can be cultured at the interfaces between perfluorocarbons (PFCs) and a culture medium</w:t>
      </w:r>
      <w:bookmarkStart w:id="4" w:name="_Ref353696574"/>
      <w:r w:rsidRPr="00E52CD1">
        <w:t>.</w:t>
      </w:r>
      <w:bookmarkEnd w:id="4"/>
      <w:r w:rsidRPr="00E52CD1">
        <w:rPr>
          <w:vertAlign w:val="superscript"/>
        </w:rPr>
        <w:t>20</w:t>
      </w:r>
      <w:r w:rsidRPr="00E52CD1">
        <w:t xml:space="preserve"> Keese and Giaever have subsequently demonstrated the use of PFC–water interfaces for cell culture, and also the use of additives for the formation of thin layers of protein at an interface as a substrate</w:t>
      </w:r>
      <w:bookmarkStart w:id="5" w:name="_Ref353695703"/>
      <w:r w:rsidRPr="00E52CD1">
        <w:t>.</w:t>
      </w:r>
      <w:bookmarkEnd w:id="5"/>
      <w:r w:rsidRPr="00E52CD1">
        <w:rPr>
          <w:vertAlign w:val="superscript"/>
        </w:rPr>
        <w:t>21–23</w:t>
      </w:r>
      <w:r w:rsidRPr="00E52CD1">
        <w:t xml:space="preserve"> Other workers have also demonstrated the interfacial culture at the liquid–liquid interfaces</w:t>
      </w:r>
      <w:bookmarkStart w:id="6" w:name="_Ref353695761"/>
      <w:r w:rsidRPr="00E52CD1">
        <w:t>.</w:t>
      </w:r>
      <w:bookmarkEnd w:id="6"/>
      <w:r w:rsidRPr="00E52CD1">
        <w:rPr>
          <w:vertAlign w:val="superscript"/>
        </w:rPr>
        <w:t>24–28</w:t>
      </w:r>
      <w:r w:rsidRPr="00E52CD1">
        <w:t xml:space="preserve"> By using interfacial cultures involving PFCs, they investigated cellular morphology and cell division/viability. Based on the previous studies, we hypothesized that the fluid microenvironment of a liquid–liquid interface has much reduced cell-substrate interactions so that cellular differentiation might be regulated in such an interfacial culture system (Figures 1b</w:t>
      </w:r>
      <w:r w:rsidR="005A72EB" w:rsidRPr="00E52CD1">
        <w:rPr>
          <w:lang w:eastAsia="ja-JP"/>
        </w:rPr>
        <w:t>,c</w:t>
      </w:r>
      <w:r w:rsidRPr="00E52CD1">
        <w:t xml:space="preserve"> and S2). In addition and as shown in our model, this unique culture method has considerable potential for construction of cell sheets and their transfer onto solid surfaces by using Langmuir–Blodgett (LB) approaches</w:t>
      </w:r>
      <w:bookmarkStart w:id="7" w:name="_Ref353782062"/>
      <w:r w:rsidRPr="00E52CD1">
        <w:t>.</w:t>
      </w:r>
      <w:r w:rsidRPr="00E52CD1">
        <w:rPr>
          <w:vertAlign w:val="superscript"/>
        </w:rPr>
        <w:t>10,</w:t>
      </w:r>
      <w:bookmarkEnd w:id="7"/>
      <w:r w:rsidRPr="00E52CD1">
        <w:rPr>
          <w:vertAlign w:val="superscript"/>
        </w:rPr>
        <w:t>29</w:t>
      </w:r>
    </w:p>
    <w:p w14:paraId="00B3973E" w14:textId="77777777" w:rsidR="00AE0C5A" w:rsidRPr="00E52CD1" w:rsidRDefault="00AE0C5A">
      <w:pPr>
        <w:spacing w:after="0"/>
        <w:jc w:val="left"/>
      </w:pPr>
      <w:r w:rsidRPr="00E52CD1">
        <w:br w:type="page"/>
      </w:r>
    </w:p>
    <w:p w14:paraId="04B360DC" w14:textId="064FF27C" w:rsidR="000133D6" w:rsidRPr="00E52CD1" w:rsidRDefault="00292608" w:rsidP="00AE0C5A">
      <w:pPr>
        <w:spacing w:after="0"/>
        <w:jc w:val="left"/>
      </w:pPr>
      <w:r w:rsidRPr="00E52CD1">
        <w:rPr>
          <w:noProof/>
          <w:lang w:eastAsia="ja-JP"/>
        </w:rPr>
        <w:lastRenderedPageBreak/>
        <w:drawing>
          <wp:inline distT="0" distB="0" distL="0" distR="0" wp14:anchorId="441633B9" wp14:editId="62EFC455">
            <wp:extent cx="2921000" cy="3771900"/>
            <wp:effectExtent l="0" t="0" r="0" b="1270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ami_MS_Fig1_rev.tif"/>
                    <pic:cNvPicPr/>
                  </pic:nvPicPr>
                  <pic:blipFill>
                    <a:blip r:embed="rId8">
                      <a:extLst>
                        <a:ext uri="{28A0092B-C50C-407E-A947-70E740481C1C}">
                          <a14:useLocalDpi xmlns:a14="http://schemas.microsoft.com/office/drawing/2010/main" val="0"/>
                        </a:ext>
                      </a:extLst>
                    </a:blip>
                    <a:stretch>
                      <a:fillRect/>
                    </a:stretch>
                  </pic:blipFill>
                  <pic:spPr>
                    <a:xfrm>
                      <a:off x="0" y="0"/>
                      <a:ext cx="2921000" cy="3771900"/>
                    </a:xfrm>
                    <a:prstGeom prst="rect">
                      <a:avLst/>
                    </a:prstGeom>
                  </pic:spPr>
                </pic:pic>
              </a:graphicData>
            </a:graphic>
          </wp:inline>
        </w:drawing>
      </w:r>
    </w:p>
    <w:p w14:paraId="5E607E66" w14:textId="4BBAFE6B" w:rsidR="00AE0C5A" w:rsidRPr="00E52CD1" w:rsidRDefault="00AE0C5A" w:rsidP="000133D6">
      <w:pPr>
        <w:pStyle w:val="VAFigureCaption"/>
      </w:pPr>
      <w:r w:rsidRPr="00E52CD1">
        <w:rPr>
          <w:b/>
        </w:rPr>
        <w:t xml:space="preserve">Figure 1. </w:t>
      </w:r>
      <w:r w:rsidRPr="00E52CD1">
        <w:t>Schematic illustrations of the interfacial cell culture for control of cellular differentiation. (a) Softness of liquid–liquid interfaces as a function of Young’s modulus. (b) Photograph and illustration of interfacial culture system.</w:t>
      </w:r>
      <w:r w:rsidR="00B60028" w:rsidRPr="00E52CD1">
        <w:t xml:space="preserve"> (c) </w:t>
      </w:r>
      <w:r w:rsidR="00A5631A" w:rsidRPr="00E52CD1">
        <w:t>S</w:t>
      </w:r>
      <w:r w:rsidR="00B60028" w:rsidRPr="00E52CD1">
        <w:t xml:space="preserve">ide </w:t>
      </w:r>
      <w:r w:rsidR="00A5631A" w:rsidRPr="00E52CD1">
        <w:t>view</w:t>
      </w:r>
      <w:r w:rsidR="00B60028" w:rsidRPr="00E52CD1">
        <w:t xml:space="preserve"> of </w:t>
      </w:r>
      <w:r w:rsidR="00D35849" w:rsidRPr="00E52CD1">
        <w:t xml:space="preserve">a </w:t>
      </w:r>
      <w:r w:rsidR="00B60028" w:rsidRPr="00E52CD1">
        <w:t xml:space="preserve">cell at </w:t>
      </w:r>
      <w:r w:rsidR="00A5631A" w:rsidRPr="00E52CD1">
        <w:t xml:space="preserve">a </w:t>
      </w:r>
      <w:r w:rsidR="00B60028" w:rsidRPr="00E52CD1">
        <w:t>liquid–liquid interface.</w:t>
      </w:r>
    </w:p>
    <w:p w14:paraId="421F87B4" w14:textId="4BAA5659" w:rsidR="00AE0C5A" w:rsidRPr="00E52CD1" w:rsidRDefault="00AE0C5A">
      <w:pPr>
        <w:spacing w:after="0"/>
        <w:jc w:val="left"/>
      </w:pPr>
      <w:r w:rsidRPr="00E52CD1">
        <w:br w:type="page"/>
      </w:r>
    </w:p>
    <w:p w14:paraId="2368E695" w14:textId="7C902D1C" w:rsidR="00AE0C5A" w:rsidRPr="00E52CD1" w:rsidRDefault="00AE0C5A" w:rsidP="000B5610">
      <w:pPr>
        <w:pStyle w:val="TAMainText"/>
        <w:spacing w:after="240"/>
        <w:ind w:firstLine="0"/>
        <w:jc w:val="left"/>
      </w:pPr>
      <w:r w:rsidRPr="00E52CD1">
        <w:lastRenderedPageBreak/>
        <w:t>EXPERIMENTAL SECTION</w:t>
      </w:r>
    </w:p>
    <w:p w14:paraId="47A723C9" w14:textId="018B4E91" w:rsidR="00AE0C5A" w:rsidRPr="00E52CD1" w:rsidRDefault="00AE0C5A" w:rsidP="00AE0C5A">
      <w:pPr>
        <w:pStyle w:val="TAMainText"/>
        <w:spacing w:after="240"/>
        <w:jc w:val="left"/>
      </w:pPr>
      <w:r w:rsidRPr="00E52CD1">
        <w:rPr>
          <w:b/>
        </w:rPr>
        <w:t>Materials.</w:t>
      </w:r>
      <w:r w:rsidRPr="00E52CD1">
        <w:t xml:space="preserve"> Perfluorooctane, perfluoro(methylcyclohexane) and perfluorobenzene were purchased from Aldrich Chemical Co. Ltd. and TCI Chemical Co. Ltd., and used without further purification.</w:t>
      </w:r>
    </w:p>
    <w:p w14:paraId="52F46A63" w14:textId="77777777" w:rsidR="00AE0C5A" w:rsidRPr="00E52CD1" w:rsidRDefault="00AE0C5A" w:rsidP="00AE0C5A">
      <w:pPr>
        <w:pStyle w:val="TAMainText"/>
        <w:spacing w:after="240"/>
        <w:jc w:val="left"/>
      </w:pPr>
      <w:r w:rsidRPr="00E52CD1">
        <w:rPr>
          <w:b/>
        </w:rPr>
        <w:t xml:space="preserve">Cell lines. </w:t>
      </w:r>
      <w:r w:rsidRPr="00E52CD1">
        <w:t xml:space="preserve">Mouse skeletal myoblast C2C12 cells (RCB0987) were obtained from the Riken Bio Resource Center and maintained in DMEM with 10% FBS, 100 units penicillin, and 100 </w:t>
      </w:r>
      <w:r w:rsidRPr="00E52CD1">
        <w:t>g streptomycin (growth medium; GM) at 37 °C in a humidified atmosphere with 5% CO</w:t>
      </w:r>
      <w:r w:rsidRPr="00E52CD1">
        <w:rPr>
          <w:vertAlign w:val="subscript"/>
        </w:rPr>
        <w:t>2</w:t>
      </w:r>
      <w:r w:rsidRPr="00E52CD1">
        <w:t xml:space="preserve">. </w:t>
      </w:r>
    </w:p>
    <w:p w14:paraId="206328CF" w14:textId="19E8AA0D" w:rsidR="00AE0C5A" w:rsidRPr="00E52CD1" w:rsidRDefault="00AE0C5A" w:rsidP="00AE0C5A">
      <w:pPr>
        <w:pStyle w:val="TAMainText"/>
        <w:spacing w:after="240"/>
        <w:jc w:val="left"/>
      </w:pPr>
      <w:r w:rsidRPr="00E52CD1">
        <w:t>Human embryonic kidney (HEK293) cells that stably express enhanced green fluorescent protein</w:t>
      </w:r>
      <w:r w:rsidR="00D35849" w:rsidRPr="00E52CD1">
        <w:t xml:space="preserve"> (EGFP) was constructed using</w:t>
      </w:r>
      <w:r w:rsidRPr="00E52CD1">
        <w:t xml:space="preserve"> </w:t>
      </w:r>
      <w:r w:rsidR="0076758B" w:rsidRPr="00E52CD1">
        <w:t xml:space="preserve">an </w:t>
      </w:r>
      <w:r w:rsidRPr="00E52CD1">
        <w:t>Flp-In</w:t>
      </w:r>
      <w:r w:rsidRPr="00E52CD1">
        <w:rPr>
          <w:vertAlign w:val="superscript"/>
        </w:rPr>
        <w:t>TM</w:t>
      </w:r>
      <w:r w:rsidRPr="00E52CD1">
        <w:t xml:space="preserve"> system (Invitrogen). The EGFP gene was amplified from pEGFP-n1 (Clontech) by PCR using the primers (Fwd, 5'–CGCCGGATCCACCATGGTGAGCAAGGGCG–3'; Rev, 5'–GCCGCTCGAGAAGCTTTTACTTGTACAGCTCGTC–3'). The EGFP fragment was digested with BamHI and XhoI, and cloned into pcDNA5/FRT (Invitrogen). The pcDNA5/FRT containing EGFP was co-transfected with pOG44 into an Flp-InTM 293 cell line (Invitrogen) using lipofectamine2000 (Invitrogen). Stable cells were selected in DMEM containing 10% FBS and 100–200 </w:t>
      </w:r>
      <w:r w:rsidRPr="00E52CD1">
        <w:t>g/mL hygromycin B. After the selection, individual colonies of stable cells (HEK293/EGFP) were isolated. The HEK293/</w:t>
      </w:r>
      <w:r w:rsidR="00D35849" w:rsidRPr="00E52CD1">
        <w:rPr>
          <w:lang w:eastAsia="ja-JP"/>
        </w:rPr>
        <w:t>E</w:t>
      </w:r>
      <w:r w:rsidRPr="00E52CD1">
        <w:t xml:space="preserve">GFP cells were maintained in DMEM with 10% FBS, 100 units penicillin, and 100 </w:t>
      </w:r>
      <w:r w:rsidRPr="00E52CD1">
        <w:t>g streptomycin at 37 °C in a humidified atmosphere with 5% CO</w:t>
      </w:r>
      <w:r w:rsidRPr="00E52CD1">
        <w:rPr>
          <w:vertAlign w:val="subscript"/>
        </w:rPr>
        <w:t>2</w:t>
      </w:r>
      <w:r w:rsidRPr="00E52CD1">
        <w:t>.</w:t>
      </w:r>
    </w:p>
    <w:p w14:paraId="74EB59CA" w14:textId="77777777" w:rsidR="00AE0C5A" w:rsidRPr="00E52CD1" w:rsidRDefault="00AE0C5A" w:rsidP="00AE0C5A">
      <w:pPr>
        <w:pStyle w:val="TAMainText"/>
        <w:spacing w:after="240"/>
        <w:jc w:val="left"/>
      </w:pPr>
      <w:r w:rsidRPr="00E52CD1">
        <w:rPr>
          <w:b/>
        </w:rPr>
        <w:t xml:space="preserve">Interfacial culture. </w:t>
      </w:r>
      <w:r w:rsidRPr="00E52CD1">
        <w:t xml:space="preserve">For the interfacial culture, 24-well plastic culture dishes were used with 1 mL of perfluorocarbons (PFCs) as the lower phase and 1 mL of culture medium as the upper phase. The C2C12 myoblast cells were lifted by trypsin, and resuspended in GM at different </w:t>
      </w:r>
      <w:r w:rsidRPr="00E52CD1">
        <w:lastRenderedPageBreak/>
        <w:t>densities ranging from 1 × 10</w:t>
      </w:r>
      <w:r w:rsidRPr="00E52CD1">
        <w:rPr>
          <w:vertAlign w:val="superscript"/>
        </w:rPr>
        <w:t>4</w:t>
      </w:r>
      <w:r w:rsidRPr="00E52CD1">
        <w:t xml:space="preserve"> cells·mL</w:t>
      </w:r>
      <w:r w:rsidRPr="00E52CD1">
        <w:rPr>
          <w:vertAlign w:val="superscript"/>
        </w:rPr>
        <w:t>–1</w:t>
      </w:r>
      <w:r w:rsidRPr="00E52CD1">
        <w:t xml:space="preserve"> to 2 × 10</w:t>
      </w:r>
      <w:r w:rsidRPr="00E52CD1">
        <w:rPr>
          <w:vertAlign w:val="superscript"/>
        </w:rPr>
        <w:t>5</w:t>
      </w:r>
      <w:r w:rsidRPr="00E52CD1">
        <w:t xml:space="preserve"> cells·mL</w:t>
      </w:r>
      <w:r w:rsidRPr="00E52CD1">
        <w:rPr>
          <w:vertAlign w:val="superscript"/>
        </w:rPr>
        <w:t>–1</w:t>
      </w:r>
      <w:r w:rsidRPr="00E52CD1">
        <w:t>. The C2C12 suspension was slowly placed onto PFCs (RfOct, RfMCH or RfPh) to form a liquid–liquid interface. For the interfacial culture without FBS, the trypsinized C2C12 cells were rinsed with PBS, and resuspended in FBS-free DMEM at the same density. After incubation at 37 °C for selected time intervals, cell morphology was directly observed and analyzed by using an upright microscope BX51 (Olympus) with long working distance objective lenses (LMPlanFL N10× or SLMPlanN50×, Olympus) equipped with a cooled charge-coupled device (CCD) camera MD695 (Molecular Devices) controlled using MetaVeu software (Molecular Devices), or inverted microscope Primovert (Zeiss) equipped with a CCD camera AxioCam (Zeiss). Captured images were processed using ImageJ.</w:t>
      </w:r>
    </w:p>
    <w:p w14:paraId="579AA0A3" w14:textId="77777777" w:rsidR="00AE0C5A" w:rsidRPr="00E52CD1" w:rsidRDefault="00AE0C5A" w:rsidP="00AE0C5A">
      <w:pPr>
        <w:pStyle w:val="TAMainText"/>
        <w:spacing w:after="240"/>
        <w:jc w:val="left"/>
      </w:pPr>
      <w:r w:rsidRPr="00E52CD1">
        <w:rPr>
          <w:b/>
        </w:rPr>
        <w:t>Cellular viability.</w:t>
      </w:r>
      <w:r w:rsidRPr="00E52CD1">
        <w:t xml:space="preserve"> For the cellular viability analyses, Live/Dead staining (Molecular Devices) was used. The C2C12 myoblast cells were lifted by trypsin, and resuspended in GM at a density of 1 × 10</w:t>
      </w:r>
      <w:r w:rsidRPr="00E52CD1">
        <w:rPr>
          <w:vertAlign w:val="superscript"/>
        </w:rPr>
        <w:t>4</w:t>
      </w:r>
      <w:r w:rsidRPr="00E52CD1">
        <w:t xml:space="preserve"> cells·mL</w:t>
      </w:r>
      <w:r w:rsidRPr="00E52CD1">
        <w:rPr>
          <w:vertAlign w:val="superscript"/>
        </w:rPr>
        <w:t>–1</w:t>
      </w:r>
      <w:r w:rsidRPr="00E52CD1">
        <w:t xml:space="preserve">. The C2C12 suspension was slowly placed onto PFCs (RfOct or RfMCH) to form a liquid–liquid interface. After incubation at 37 °C for selected times, 500 </w:t>
      </w:r>
      <w:r w:rsidRPr="00E52CD1">
        <w:t xml:space="preserve">L of GM was removed, and the Live/Dead reagents were slowly added to the 24-well culture dish, followed by incubation for 30 min. </w:t>
      </w:r>
    </w:p>
    <w:p w14:paraId="54F2847C" w14:textId="77777777" w:rsidR="00AE0C5A" w:rsidRPr="00E52CD1" w:rsidRDefault="00AE0C5A" w:rsidP="00AE0C5A">
      <w:pPr>
        <w:pStyle w:val="TAMainText"/>
        <w:spacing w:after="240"/>
        <w:jc w:val="left"/>
      </w:pPr>
      <w:r w:rsidRPr="00E52CD1">
        <w:rPr>
          <w:b/>
        </w:rPr>
        <w:t>Transfer of cells by using the Langmuir–Blodgett technique.</w:t>
      </w:r>
      <w:r w:rsidRPr="00E52CD1">
        <w:t xml:space="preserve"> For the transfer of a cell sheet from a liquid–liquid interface, the Langmuir–Blodgett approach was used. Glass plates (1 cm × 1 cm) were placed into each well of a 24-well culture dish before seeding, and then the PFCs (RfOct or RfMCH) and cell suspension in GM were poured into each well of the 24-well culture dish. After incubation for 24 h, the glass plates were removed using tweezers, and were then observed by optical microscopy. </w:t>
      </w:r>
    </w:p>
    <w:p w14:paraId="5A248C20" w14:textId="77777777" w:rsidR="00AE0C5A" w:rsidRPr="00E52CD1" w:rsidRDefault="00AE0C5A" w:rsidP="00AE0C5A">
      <w:pPr>
        <w:pStyle w:val="TAMainText"/>
        <w:spacing w:after="240"/>
        <w:jc w:val="left"/>
      </w:pPr>
      <w:r w:rsidRPr="00E52CD1">
        <w:rPr>
          <w:b/>
        </w:rPr>
        <w:lastRenderedPageBreak/>
        <w:t xml:space="preserve">Control of myogenic differentiation at the interface. </w:t>
      </w:r>
      <w:r w:rsidRPr="00E52CD1">
        <w:t>For the control of myogenic differentiation, the culture medium was replaced with DMEM containing 2% FBS (differentiation medium). The trypsinized C2C12 cells were rinsed with PBS, and resuspended in differentiation medium at a density of 1 × 10</w:t>
      </w:r>
      <w:r w:rsidRPr="00E52CD1">
        <w:rPr>
          <w:vertAlign w:val="superscript"/>
        </w:rPr>
        <w:t>5</w:t>
      </w:r>
      <w:r w:rsidRPr="00E52CD1">
        <w:t xml:space="preserve"> cells·cm</w:t>
      </w:r>
      <w:r w:rsidRPr="00E52CD1">
        <w:rPr>
          <w:vertAlign w:val="superscript"/>
        </w:rPr>
        <w:t>–1</w:t>
      </w:r>
      <w:r w:rsidRPr="00E52CD1">
        <w:t xml:space="preserve">. The C2C12 suspension was slowly placed onto the perfluorocarbon phase and incubated for 5 and 10 days. The differentiation medium was replenished every 3 days during the culture period by </w:t>
      </w:r>
      <w:r w:rsidRPr="00E52CD1">
        <w:rPr>
          <w:i/>
        </w:rPr>
        <w:t>i</w:t>
      </w:r>
      <w:r w:rsidRPr="00E52CD1">
        <w:t xml:space="preserve">) removal of 500 </w:t>
      </w:r>
      <w:r w:rsidRPr="00E52CD1">
        <w:t xml:space="preserve">L of the differentiation medium, </w:t>
      </w:r>
      <w:r w:rsidRPr="00E52CD1">
        <w:rPr>
          <w:i/>
        </w:rPr>
        <w:t>ii</w:t>
      </w:r>
      <w:r w:rsidRPr="00E52CD1">
        <w:t xml:space="preserve">) very slow addition of 1 mL of the differentiation medium, </w:t>
      </w:r>
      <w:r w:rsidRPr="00E52CD1">
        <w:rPr>
          <w:i/>
        </w:rPr>
        <w:t>iii</w:t>
      </w:r>
      <w:r w:rsidRPr="00E52CD1">
        <w:t xml:space="preserve">) removal of 1 mL of the differentiation medium, </w:t>
      </w:r>
      <w:r w:rsidRPr="00E52CD1">
        <w:rPr>
          <w:i/>
        </w:rPr>
        <w:t>iv</w:t>
      </w:r>
      <w:r w:rsidRPr="00E52CD1">
        <w:t>) repeat steps (</w:t>
      </w:r>
      <w:r w:rsidRPr="00E52CD1">
        <w:rPr>
          <w:i/>
        </w:rPr>
        <w:t>ii</w:t>
      </w:r>
      <w:r w:rsidRPr="00E52CD1">
        <w:t>) and (</w:t>
      </w:r>
      <w:r w:rsidRPr="00E52CD1">
        <w:rPr>
          <w:i/>
        </w:rPr>
        <w:t>iii</w:t>
      </w:r>
      <w:r w:rsidRPr="00E52CD1">
        <w:t xml:space="preserve">) three times, and </w:t>
      </w:r>
      <w:r w:rsidRPr="00E52CD1">
        <w:rPr>
          <w:i/>
        </w:rPr>
        <w:t>v</w:t>
      </w:r>
      <w:r w:rsidRPr="00E52CD1">
        <w:t xml:space="preserve">) addition of 500 </w:t>
      </w:r>
      <w:r w:rsidRPr="00E52CD1">
        <w:t xml:space="preserve">L of the differentiation medium. To evaluate myogenic gene expression, 500 </w:t>
      </w:r>
      <w:r w:rsidRPr="00E52CD1">
        <w:t xml:space="preserve">L of cell lysate was removed, and followed by removal of 500 </w:t>
      </w:r>
      <w:r w:rsidRPr="00E52CD1">
        <w:t xml:space="preserve">L of perfluorocarbons from the lower phase by pipette. TRIzol reagent (invitrogen) was added to each well then the samples were transferred into clean tubes by pipette. The collected samples were centrifuged at 12,000 </w:t>
      </w:r>
      <w:r w:rsidRPr="00E52CD1">
        <w:rPr>
          <w:i/>
        </w:rPr>
        <w:t>g</w:t>
      </w:r>
      <w:r w:rsidRPr="00E52CD1">
        <w:t xml:space="preserve"> for 5 min at 4 °C, and the aqueous phase was transferred into further clean tubes, and stored at –80 °C until use for quantitative real-time RT-PCR analysis. To compare the myogenic differentiation behavior, the C2C12 cells, which were cultured on the normal 24-well culture dish surface and replenished with the same manner, were used as reference. </w:t>
      </w:r>
    </w:p>
    <w:p w14:paraId="48DF1831" w14:textId="77777777" w:rsidR="00AE0C5A" w:rsidRPr="00E52CD1" w:rsidRDefault="00AE0C5A" w:rsidP="00AE0C5A">
      <w:pPr>
        <w:pStyle w:val="TAMainText"/>
        <w:spacing w:after="240"/>
        <w:jc w:val="left"/>
      </w:pPr>
      <w:r w:rsidRPr="00E52CD1">
        <w:rPr>
          <w:b/>
        </w:rPr>
        <w:t>RNA extraction and quantitative real-time RT-PCR.</w:t>
      </w:r>
      <w:r w:rsidRPr="00E52CD1">
        <w:t xml:space="preserve"> Total RNA was extracted using TRIzol reagent (Invitrogen) following a modification of the manufacturer’s protocol (see also Supporting Experimental for detail). To obtain cDNA of the transcripts, the reverse transcriptase reaction was performed with 300 ng of total RNA (PrimeScript RT reagent Kit, TaKaRa). </w:t>
      </w:r>
      <w:r w:rsidRPr="00E52CD1">
        <w:rPr>
          <w:rFonts w:hint="eastAsia"/>
        </w:rPr>
        <w:t xml:space="preserve">Quantitative real-time RT-PCR was performed with the synthetic cDNA and primer sets </w:t>
      </w:r>
      <w:r w:rsidRPr="00E52CD1">
        <w:t xml:space="preserve">(Table S2) </w:t>
      </w:r>
      <w:r w:rsidRPr="00E52CD1">
        <w:rPr>
          <w:rFonts w:hint="eastAsia"/>
        </w:rPr>
        <w:t>using LightCycler 480 SYBR Green I Master (Roche) in a LightCycler 480 II (Roche). The PCR products were analyzed using LightCycler 480 softw</w:t>
      </w:r>
      <w:r w:rsidRPr="00E52CD1">
        <w:t>are ver.1.5 (Roche).</w:t>
      </w:r>
    </w:p>
    <w:p w14:paraId="42CB9F76" w14:textId="77777777" w:rsidR="00AE0C5A" w:rsidRPr="00E52CD1" w:rsidRDefault="00AE0C5A" w:rsidP="00AE0C5A">
      <w:pPr>
        <w:pStyle w:val="TAMainText"/>
        <w:spacing w:after="240"/>
        <w:jc w:val="left"/>
      </w:pPr>
      <w:r w:rsidRPr="00E52CD1">
        <w:rPr>
          <w:b/>
        </w:rPr>
        <w:lastRenderedPageBreak/>
        <w:t>Statistics.</w:t>
      </w:r>
      <w:r w:rsidRPr="00E52CD1">
        <w:t xml:space="preserve"> Differences between the experimental groups were detected using Student’s t test. Values are expressed as ± the standard deviation; </w:t>
      </w:r>
      <w:r w:rsidRPr="00E52CD1">
        <w:rPr>
          <w:i/>
        </w:rPr>
        <w:t>p</w:t>
      </w:r>
      <w:r w:rsidRPr="00E52CD1">
        <w:t xml:space="preserve"> &lt; 0.05 was considered as significant.</w:t>
      </w:r>
    </w:p>
    <w:p w14:paraId="03BC3566" w14:textId="77777777" w:rsidR="00AE0C5A" w:rsidRPr="00E52CD1" w:rsidRDefault="00AE0C5A">
      <w:pPr>
        <w:spacing w:after="0"/>
        <w:jc w:val="left"/>
      </w:pPr>
      <w:r w:rsidRPr="00E52CD1">
        <w:br w:type="page"/>
      </w:r>
    </w:p>
    <w:p w14:paraId="5F44DDB3" w14:textId="6FF9F710" w:rsidR="00AE0C5A" w:rsidRPr="00E52CD1" w:rsidRDefault="00AE0C5A" w:rsidP="000B5610">
      <w:pPr>
        <w:pStyle w:val="TAMainText"/>
        <w:spacing w:after="240"/>
        <w:ind w:firstLine="0"/>
        <w:jc w:val="left"/>
      </w:pPr>
      <w:r w:rsidRPr="00E52CD1">
        <w:lastRenderedPageBreak/>
        <w:t>RESULTS</w:t>
      </w:r>
    </w:p>
    <w:p w14:paraId="4375CCB8" w14:textId="77777777" w:rsidR="00AE0C5A" w:rsidRPr="00E52CD1" w:rsidRDefault="00AE0C5A" w:rsidP="00AE0C5A">
      <w:pPr>
        <w:pStyle w:val="TAMainText"/>
        <w:spacing w:after="240"/>
        <w:jc w:val="left"/>
      </w:pPr>
      <w:r w:rsidRPr="00E52CD1">
        <w:rPr>
          <w:b/>
        </w:rPr>
        <w:t xml:space="preserve">Interfacial cell culture at liquid–liquid interface. </w:t>
      </w:r>
      <w:r w:rsidRPr="00E52CD1">
        <w:t>To culture cells in the absence of a solid substrate, we used the liquid–liquid interfaces formed between water and perfluorocarbons (PFCs). For the PFC subphase, we selected three chemically and physically different PFCs: a linear aliphatic PFC (octadecafluorooctane, RfOct), a cyclic aliphatic PFC (undecafluoro-trifluoromethylcyclohexane, RfMCH), and an aromatic PFC (hexafluorobenzene, RfPh). We have also investigated the use of chlorinated solvents as subphase (Table 1). Perfluorocarbons or chlorinated solvents were placed in 24-well plastic culture dishes (</w:t>
      </w:r>
      <w:r w:rsidRPr="00E52CD1">
        <w:rPr>
          <w:rFonts w:ascii="Symbol" w:hAnsi="Symbol"/>
        </w:rPr>
        <w:t></w:t>
      </w:r>
      <w:r w:rsidRPr="00E52CD1">
        <w:t xml:space="preserve"> = 15.6 mm) then mouse skeletal myoblast C2C12 cells suspended in growth medium (GM) were very slowly added onto the solvent subphase forming liquid–liquid interfaces (Figures 2 and S2). As expected, the C2C12 cells did not retain their cellular structure when placed on chlorinated solvents and were eliminated from the interfaces possibly because the cellular components including proteins and cell membranes dissolved in and/or were denatured by the chlorinated solvents (Table 1). In contrast, PFCs are not miscible with water or other common organic substances, and the C2C12 myoblast cells retained their cellular structures at the interfaces (Figure 2a,b). The C2C12 myoblast cells on either RfOct or RfMCH had become attached at the interfaces after incubation for 24 h (Figure 2a; Supporting Movies S1–S2). Although a fluid microenvironment exists at the interfaces, the C2C12 cells adhered and spread. When the myoblasts were seeded either on RfOct or on RfMCH in the absence of FBS in GM (Figure 2c), the myoblasts did not adhere at the interfaces but remained in the growth medium at the interface. These results suggest that proteins in FBS form a thin layer at the interface with cells subsequently adhering on the protein layer, in good agreement with previous reports.</w:t>
      </w:r>
      <w:r w:rsidRPr="00E52CD1">
        <w:rPr>
          <w:vertAlign w:val="superscript"/>
        </w:rPr>
        <w:t>21–23</w:t>
      </w:r>
      <w:r w:rsidRPr="00E52CD1">
        <w:t xml:space="preserve"> On the other hand, cells seeded on RfPh remained suspended at the interface after incubation, even in the presence of FBS in the GM, </w:t>
      </w:r>
      <w:r w:rsidRPr="00E52CD1">
        <w:lastRenderedPageBreak/>
        <w:t>with cells exhibiting a slightly shrunk structure (Figure 2a; Supporting Movie S3). These results suggest that the protein layer formed at the interfaces is composed of FBS proteins, and extracellular matrix (ECM) proteins. Also, it is likely that the supramolecular architectures of ECMs are remodeled at the interfaces of PFCs.</w:t>
      </w:r>
    </w:p>
    <w:p w14:paraId="4469DCF8" w14:textId="3B69A038" w:rsidR="00AE0C5A" w:rsidRPr="00E52CD1" w:rsidRDefault="00AE0C5A" w:rsidP="00AE0C5A">
      <w:pPr>
        <w:pStyle w:val="TAMainText"/>
        <w:spacing w:after="240"/>
        <w:jc w:val="left"/>
      </w:pPr>
      <w:r w:rsidRPr="00E52CD1">
        <w:t>The C2C12 cells on RfOct and RfMCH exhibit adhesion behavior at the interfaces suggesting the formation at the interfaces</w:t>
      </w:r>
      <w:r w:rsidRPr="00E52CD1" w:rsidDel="00DB35D7">
        <w:t xml:space="preserve"> </w:t>
      </w:r>
      <w:r w:rsidRPr="00E52CD1">
        <w:t>of protein layers consisting of FBS and ECM proteins. We also then investigated cellular viability at the interfaces. According to the literature,</w:t>
      </w:r>
      <w:r w:rsidRPr="00E52CD1">
        <w:rPr>
          <w:vertAlign w:val="superscript"/>
        </w:rPr>
        <w:t>24</w:t>
      </w:r>
      <w:r w:rsidRPr="00E52CD1">
        <w:t xml:space="preserve"> cellular growth rates on PFCs are different from those on culture plastic or glass dishes. Therefore, we decided to measure the cellular viability of C2C12 myoblasts at the interfaces using fluorescent-label live/dead analysis by using fluorescent microscopy (see Experimental Section). C2C12 cells were seeded onto the RfOct or RfMCH, then incubated for a selected time period (1, 2, 3 or 5 days). It was not possible to measure cellular viability on RfPh because the C2C12 cells did not adhere to the interfaces. Figure 2d shows cellular viabilities at the interfaces. No significant cell death was observed on RfOct over 5 days. In contrast, on RfMCH, although C2C12 cells remained viable for 24 h, cellular viability was drastically reduced over 2–3 days. This result supports our supposition that the living cells attach at the FBS protein layer, expose the proteins of the ECMs and form a rigid protein layer at the liquid–liquid interfaces. We have also seeded the C2C12 cells collected from the interfacial culture onto a conventional culture dish. In this procedure, a whole cell culture medium and PFC subphase was first collected in a centrifuge tube (15 mL) and centrifuged at 1200 rpm for 3 min with the collected C2C12 cells then being placed at a liquid–liquid interface. The aqueous phase at the interface was then extracted by pipette, transferred to a fresh tube, then the resulting C2C12 suspension was seeded on conventional plastic culture dishes (see also Supporting Experimental</w:t>
      </w:r>
      <w:r w:rsidR="00BB6D5A" w:rsidRPr="00E52CD1">
        <w:t xml:space="preserve"> Section</w:t>
      </w:r>
      <w:r w:rsidRPr="00E52CD1">
        <w:t xml:space="preserve"> for detail). Figure </w:t>
      </w:r>
      <w:r w:rsidRPr="00E52CD1">
        <w:lastRenderedPageBreak/>
        <w:t>S3 shows the optical microscopy images of the C2C12 cells collected from the interface and cultured on conventional plastic dishes. The cells collected from RfOct exhibit spreading and growth on the dish similar to that found on initial seeding on plastic dishes. In contrast, the C2C12 cells collected from RfMCH showed almost no spreading (only a few cells spread), possibly due to the low viability of cells on RfMCH (Figure 2c).</w:t>
      </w:r>
    </w:p>
    <w:p w14:paraId="2B6F10E4" w14:textId="05BC3107" w:rsidR="00AE0C5A" w:rsidRPr="00E52CD1" w:rsidRDefault="00AE0C5A" w:rsidP="00AE0C5A">
      <w:pPr>
        <w:pStyle w:val="TAMainText"/>
        <w:spacing w:after="240"/>
        <w:jc w:val="left"/>
      </w:pPr>
      <w:r w:rsidRPr="00E52CD1">
        <w:t xml:space="preserve">We have also investigated interfacial culture using human embryonic kidney cells (HEK293) with enhanced GFP (EGFP)-recombinant. The HEK293 cells used in this study are likely to show cell-cell coagulation rather than cell-substrate adhesion on conventional plastic culture dishes without collagen type-I coating. The HEK293/EGFP cells showed little or no spreading morphology but were coagulated at the interfaces (Figure 2e). This is similar behavior to cultures of these cells on conventional culture dishes lacking collagen coating (Table 1). Notably, HEK293/EGFP cells retained EGFP-expression, suggesting that the cells maintain their cellular function at the liquid–liquid interfaces. Comparing the interfaces, the area of EGFP expression on RfOct is larger than that on RfMCH (Figures 2e and S4). This result suggests that the HEK293/EGFP cells on RfOct are more proliferative than when on RfMCH, which is in good agreement with the results of the cell viability test. </w:t>
      </w:r>
    </w:p>
    <w:p w14:paraId="1FB17FAF" w14:textId="77777777" w:rsidR="00AE0C5A" w:rsidRPr="00E52CD1" w:rsidRDefault="00AE0C5A">
      <w:pPr>
        <w:spacing w:after="0"/>
        <w:jc w:val="left"/>
      </w:pPr>
      <w:r w:rsidRPr="00E52CD1">
        <w:br w:type="page"/>
      </w:r>
    </w:p>
    <w:p w14:paraId="5B131291" w14:textId="6DB65DD4" w:rsidR="00AE0C5A" w:rsidRPr="00E52CD1" w:rsidRDefault="00292608" w:rsidP="00AE0C5A">
      <w:pPr>
        <w:pStyle w:val="TAMainText"/>
        <w:spacing w:after="240"/>
        <w:ind w:firstLine="0"/>
        <w:jc w:val="left"/>
      </w:pPr>
      <w:r w:rsidRPr="00E52CD1">
        <w:rPr>
          <w:noProof/>
          <w:lang w:eastAsia="ja-JP"/>
        </w:rPr>
        <w:lastRenderedPageBreak/>
        <w:drawing>
          <wp:inline distT="0" distB="0" distL="0" distR="0" wp14:anchorId="083A6EA8" wp14:editId="453B683D">
            <wp:extent cx="5880099" cy="5156199"/>
            <wp:effectExtent l="0" t="0" r="0" b="63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ami_MS_Fig2_rev.tif"/>
                    <pic:cNvPicPr/>
                  </pic:nvPicPr>
                  <pic:blipFill>
                    <a:blip r:embed="rId9">
                      <a:extLst>
                        <a:ext uri="{28A0092B-C50C-407E-A947-70E740481C1C}">
                          <a14:useLocalDpi xmlns:a14="http://schemas.microsoft.com/office/drawing/2010/main" val="0"/>
                        </a:ext>
                      </a:extLst>
                    </a:blip>
                    <a:stretch>
                      <a:fillRect/>
                    </a:stretch>
                  </pic:blipFill>
                  <pic:spPr>
                    <a:xfrm>
                      <a:off x="0" y="0"/>
                      <a:ext cx="5880099" cy="5156199"/>
                    </a:xfrm>
                    <a:prstGeom prst="rect">
                      <a:avLst/>
                    </a:prstGeom>
                  </pic:spPr>
                </pic:pic>
              </a:graphicData>
            </a:graphic>
          </wp:inline>
        </w:drawing>
      </w:r>
    </w:p>
    <w:p w14:paraId="66593416" w14:textId="1EA2793B" w:rsidR="00AE0C5A" w:rsidRPr="00E52CD1" w:rsidRDefault="000133D6" w:rsidP="000133D6">
      <w:pPr>
        <w:pStyle w:val="VAFigureCaption"/>
      </w:pPr>
      <w:r w:rsidRPr="00E52CD1">
        <w:rPr>
          <w:b/>
        </w:rPr>
        <w:t xml:space="preserve">Figure 2. </w:t>
      </w:r>
      <w:r w:rsidRPr="00E52CD1">
        <w:t xml:space="preserve">Interfacial culture at water–PFC interfaces. (a) Bright field images of C2C12 myoblast cells at the interfaces between water and PFCs in a 24-well culture dish. The C2C12 cells were cultured for 1, 2 and 3 days on RfOct, RfMCH or RfPh. Scale bar: 200 </w:t>
      </w:r>
      <w:r w:rsidRPr="00E52CD1">
        <w:rPr>
          <w:rFonts w:ascii="Symbol" w:hAnsi="Symbol"/>
        </w:rPr>
        <w:t></w:t>
      </w:r>
      <w:r w:rsidRPr="00E52CD1">
        <w:t xml:space="preserve">m. (b) Schematic illustration of interfacial culture system at a water–PFC interface. (c) Optical microscopy photos of C2C12 cells in the presence or absence of 10% FBS in GM. Allows indicate C2C12 cells at the interfaces. Large spherical objects are bubble at air–water interface. Scale bar: 200 </w:t>
      </w:r>
      <w:r w:rsidRPr="00E52CD1">
        <w:rPr>
          <w:rFonts w:ascii="Symbol" w:hAnsi="Symbol"/>
        </w:rPr>
        <w:t></w:t>
      </w:r>
      <w:r w:rsidRPr="00E52CD1">
        <w:t xml:space="preserve">m. (d) Cellular viability of C2C12 myoblast cells on RfOct (black) and RfMCH (white) by Live/Dead </w:t>
      </w:r>
      <w:r w:rsidRPr="00E52CD1">
        <w:lastRenderedPageBreak/>
        <w:t xml:space="preserve">analyses. Error bars are ±SD. (e) Interfacial culture of HEK293/EGFP cells on RfOct and on RfMCH for Day-2. Scale bar: 200 </w:t>
      </w:r>
      <w:r w:rsidRPr="00E52CD1">
        <w:rPr>
          <w:rFonts w:ascii="Symbol" w:hAnsi="Symbol"/>
        </w:rPr>
        <w:t></w:t>
      </w:r>
      <w:r w:rsidRPr="00E52CD1">
        <w:t>m.</w:t>
      </w:r>
    </w:p>
    <w:p w14:paraId="777C2181" w14:textId="701E5642" w:rsidR="00AE0C5A" w:rsidRPr="00E52CD1" w:rsidRDefault="00AE0C5A">
      <w:pPr>
        <w:spacing w:after="0"/>
        <w:jc w:val="left"/>
      </w:pPr>
      <w:r w:rsidRPr="00E52CD1">
        <w:br w:type="page"/>
      </w:r>
    </w:p>
    <w:p w14:paraId="5E7148C3" w14:textId="77777777" w:rsidR="000133D6" w:rsidRPr="00E52CD1" w:rsidRDefault="000133D6" w:rsidP="000133D6">
      <w:pPr>
        <w:pStyle w:val="VDTableTitle"/>
        <w:spacing w:after="240"/>
        <w:jc w:val="left"/>
        <w:rPr>
          <w:b/>
        </w:rPr>
      </w:pPr>
      <w:r w:rsidRPr="00E52CD1">
        <w:rPr>
          <w:b/>
        </w:rPr>
        <w:lastRenderedPageBreak/>
        <w:t xml:space="preserve">Table 1. </w:t>
      </w:r>
      <w:r w:rsidRPr="00E52CD1">
        <w:t>A series of subphase and summary of cell behavior of the interfacial culture.</w:t>
      </w:r>
    </w:p>
    <w:tbl>
      <w:tblPr>
        <w:tblW w:w="9403" w:type="dxa"/>
        <w:tblInd w:w="84" w:type="dxa"/>
        <w:tblLayout w:type="fixed"/>
        <w:tblCellMar>
          <w:left w:w="99" w:type="dxa"/>
          <w:right w:w="99" w:type="dxa"/>
        </w:tblCellMar>
        <w:tblLook w:val="04A0" w:firstRow="1" w:lastRow="0" w:firstColumn="1" w:lastColumn="0" w:noHBand="0" w:noVBand="1"/>
      </w:tblPr>
      <w:tblGrid>
        <w:gridCol w:w="2313"/>
        <w:gridCol w:w="1301"/>
        <w:gridCol w:w="1363"/>
        <w:gridCol w:w="901"/>
        <w:gridCol w:w="776"/>
        <w:gridCol w:w="1284"/>
        <w:gridCol w:w="1465"/>
      </w:tblGrid>
      <w:tr w:rsidR="000133D6" w:rsidRPr="00E52CD1" w14:paraId="038F5A4D" w14:textId="77777777" w:rsidTr="000133D6">
        <w:trPr>
          <w:trHeight w:val="400"/>
        </w:trPr>
        <w:tc>
          <w:tcPr>
            <w:tcW w:w="2313" w:type="dxa"/>
            <w:tcBorders>
              <w:top w:val="nil"/>
              <w:left w:val="nil"/>
              <w:bottom w:val="single" w:sz="4" w:space="0" w:color="auto"/>
              <w:right w:val="nil"/>
            </w:tcBorders>
            <w:shd w:val="clear" w:color="auto" w:fill="auto"/>
            <w:noWrap/>
            <w:vAlign w:val="bottom"/>
            <w:hideMark/>
          </w:tcPr>
          <w:p w14:paraId="082E1469" w14:textId="77777777" w:rsidR="000133D6" w:rsidRPr="00E52CD1" w:rsidRDefault="000133D6" w:rsidP="000133D6">
            <w:pPr>
              <w:jc w:val="left"/>
              <w:rPr>
                <w:rFonts w:eastAsia="ＭＳ Ｐゴシック"/>
                <w:b/>
                <w:color w:val="000000"/>
                <w:sz w:val="16"/>
                <w:szCs w:val="16"/>
              </w:rPr>
            </w:pPr>
            <w:r w:rsidRPr="00E52CD1">
              <w:rPr>
                <w:rFonts w:eastAsia="ＭＳ Ｐゴシック"/>
                <w:b/>
                <w:color w:val="000000"/>
                <w:sz w:val="16"/>
                <w:szCs w:val="16"/>
              </w:rPr>
              <w:t>Subphase</w:t>
            </w:r>
          </w:p>
        </w:tc>
        <w:tc>
          <w:tcPr>
            <w:tcW w:w="1301" w:type="dxa"/>
            <w:tcBorders>
              <w:top w:val="nil"/>
              <w:left w:val="nil"/>
              <w:bottom w:val="single" w:sz="4" w:space="0" w:color="auto"/>
              <w:right w:val="nil"/>
            </w:tcBorders>
            <w:shd w:val="clear" w:color="auto" w:fill="auto"/>
            <w:noWrap/>
            <w:vAlign w:val="bottom"/>
            <w:hideMark/>
          </w:tcPr>
          <w:p w14:paraId="6AD1B3B1" w14:textId="77777777" w:rsidR="000133D6" w:rsidRPr="00E52CD1" w:rsidRDefault="000133D6" w:rsidP="000133D6">
            <w:pPr>
              <w:jc w:val="center"/>
              <w:rPr>
                <w:rFonts w:eastAsia="ＭＳ Ｐゴシック"/>
                <w:b/>
                <w:color w:val="000000"/>
                <w:sz w:val="16"/>
                <w:szCs w:val="16"/>
              </w:rPr>
            </w:pPr>
            <w:r w:rsidRPr="00E52CD1">
              <w:rPr>
                <w:rFonts w:eastAsia="ＭＳ Ｐゴシック"/>
                <w:b/>
                <w:color w:val="000000"/>
                <w:sz w:val="16"/>
                <w:szCs w:val="16"/>
              </w:rPr>
              <w:t>v/v%</w:t>
            </w:r>
            <w:r w:rsidRPr="00E52CD1">
              <w:rPr>
                <w:rFonts w:eastAsia="ＭＳ Ｐゴシック"/>
                <w:b/>
                <w:i/>
                <w:color w:val="000000"/>
                <w:sz w:val="16"/>
                <w:szCs w:val="16"/>
                <w:vertAlign w:val="superscript"/>
              </w:rPr>
              <w:t>a</w:t>
            </w:r>
          </w:p>
        </w:tc>
        <w:tc>
          <w:tcPr>
            <w:tcW w:w="1363" w:type="dxa"/>
            <w:tcBorders>
              <w:top w:val="nil"/>
              <w:left w:val="nil"/>
              <w:bottom w:val="single" w:sz="4" w:space="0" w:color="auto"/>
              <w:right w:val="nil"/>
            </w:tcBorders>
          </w:tcPr>
          <w:p w14:paraId="09E78C4F" w14:textId="77777777" w:rsidR="000133D6" w:rsidRPr="00E52CD1" w:rsidRDefault="000133D6" w:rsidP="000133D6">
            <w:pPr>
              <w:jc w:val="left"/>
              <w:rPr>
                <w:rFonts w:eastAsia="ＭＳ Ｐゴシック"/>
                <w:b/>
                <w:color w:val="000000"/>
                <w:sz w:val="16"/>
                <w:szCs w:val="16"/>
              </w:rPr>
            </w:pPr>
            <w:r w:rsidRPr="00E52CD1">
              <w:rPr>
                <w:rFonts w:eastAsia="ＭＳ Ｐゴシック"/>
                <w:b/>
                <w:color w:val="000000"/>
                <w:sz w:val="16"/>
                <w:szCs w:val="16"/>
              </w:rPr>
              <w:t>Cell line</w:t>
            </w:r>
          </w:p>
        </w:tc>
        <w:tc>
          <w:tcPr>
            <w:tcW w:w="901" w:type="dxa"/>
            <w:tcBorders>
              <w:top w:val="nil"/>
              <w:left w:val="nil"/>
              <w:bottom w:val="single" w:sz="4" w:space="0" w:color="auto"/>
              <w:right w:val="nil"/>
            </w:tcBorders>
          </w:tcPr>
          <w:p w14:paraId="12FE61AF" w14:textId="77777777" w:rsidR="000133D6" w:rsidRPr="00E52CD1" w:rsidRDefault="000133D6" w:rsidP="000133D6">
            <w:pPr>
              <w:jc w:val="left"/>
              <w:rPr>
                <w:rFonts w:eastAsia="ＭＳ Ｐゴシック"/>
                <w:b/>
                <w:color w:val="000000"/>
                <w:sz w:val="16"/>
                <w:szCs w:val="16"/>
              </w:rPr>
            </w:pPr>
            <w:r w:rsidRPr="00E52CD1">
              <w:rPr>
                <w:rFonts w:eastAsia="ＭＳ Ｐゴシック"/>
                <w:b/>
                <w:color w:val="000000"/>
                <w:sz w:val="16"/>
                <w:szCs w:val="16"/>
              </w:rPr>
              <w:t>Medium</w:t>
            </w:r>
          </w:p>
        </w:tc>
        <w:tc>
          <w:tcPr>
            <w:tcW w:w="776" w:type="dxa"/>
            <w:tcBorders>
              <w:top w:val="nil"/>
              <w:left w:val="nil"/>
              <w:bottom w:val="single" w:sz="4" w:space="0" w:color="auto"/>
              <w:right w:val="nil"/>
            </w:tcBorders>
          </w:tcPr>
          <w:p w14:paraId="43F625C7" w14:textId="77777777" w:rsidR="000133D6" w:rsidRPr="00E52CD1" w:rsidRDefault="000133D6" w:rsidP="000133D6">
            <w:pPr>
              <w:jc w:val="right"/>
              <w:rPr>
                <w:rFonts w:eastAsia="ＭＳ Ｐゴシック"/>
                <w:b/>
                <w:color w:val="000000"/>
                <w:sz w:val="16"/>
                <w:szCs w:val="16"/>
              </w:rPr>
            </w:pPr>
            <w:r w:rsidRPr="00E52CD1">
              <w:rPr>
                <w:rFonts w:eastAsia="ＭＳ Ｐゴシック"/>
                <w:b/>
                <w:color w:val="000000"/>
                <w:sz w:val="16"/>
                <w:szCs w:val="16"/>
              </w:rPr>
              <w:t>%FBS</w:t>
            </w:r>
          </w:p>
        </w:tc>
        <w:tc>
          <w:tcPr>
            <w:tcW w:w="1284" w:type="dxa"/>
            <w:tcBorders>
              <w:top w:val="nil"/>
              <w:left w:val="nil"/>
              <w:bottom w:val="single" w:sz="4" w:space="0" w:color="auto"/>
              <w:right w:val="nil"/>
            </w:tcBorders>
            <w:shd w:val="clear" w:color="auto" w:fill="auto"/>
            <w:noWrap/>
            <w:vAlign w:val="bottom"/>
            <w:hideMark/>
          </w:tcPr>
          <w:p w14:paraId="55142DC4" w14:textId="77777777" w:rsidR="000133D6" w:rsidRPr="00E52CD1" w:rsidRDefault="000133D6" w:rsidP="000133D6">
            <w:pPr>
              <w:jc w:val="center"/>
              <w:rPr>
                <w:rFonts w:eastAsia="ＭＳ Ｐゴシック"/>
                <w:b/>
                <w:color w:val="000000"/>
                <w:sz w:val="16"/>
                <w:szCs w:val="16"/>
              </w:rPr>
            </w:pPr>
            <w:r w:rsidRPr="00E52CD1">
              <w:rPr>
                <w:rFonts w:eastAsia="ＭＳ Ｐゴシック"/>
                <w:b/>
                <w:color w:val="000000"/>
                <w:sz w:val="16"/>
                <w:szCs w:val="16"/>
              </w:rPr>
              <w:t>Cell adhesion</w:t>
            </w:r>
            <w:r w:rsidRPr="00E52CD1">
              <w:rPr>
                <w:rFonts w:eastAsia="ＭＳ Ｐゴシック"/>
                <w:b/>
                <w:i/>
                <w:color w:val="000000"/>
                <w:sz w:val="16"/>
                <w:szCs w:val="16"/>
                <w:vertAlign w:val="superscript"/>
              </w:rPr>
              <w:t>b</w:t>
            </w:r>
          </w:p>
        </w:tc>
        <w:tc>
          <w:tcPr>
            <w:tcW w:w="1465" w:type="dxa"/>
            <w:tcBorders>
              <w:top w:val="nil"/>
              <w:left w:val="nil"/>
              <w:bottom w:val="single" w:sz="4" w:space="0" w:color="auto"/>
              <w:right w:val="nil"/>
            </w:tcBorders>
            <w:shd w:val="clear" w:color="auto" w:fill="auto"/>
            <w:noWrap/>
            <w:vAlign w:val="bottom"/>
            <w:hideMark/>
          </w:tcPr>
          <w:p w14:paraId="022C9651" w14:textId="77777777" w:rsidR="000133D6" w:rsidRPr="00E52CD1" w:rsidRDefault="000133D6" w:rsidP="000133D6">
            <w:pPr>
              <w:jc w:val="left"/>
              <w:rPr>
                <w:rFonts w:eastAsia="ＭＳ Ｐゴシック"/>
                <w:b/>
                <w:color w:val="000000"/>
                <w:sz w:val="16"/>
                <w:szCs w:val="16"/>
              </w:rPr>
            </w:pPr>
            <w:r w:rsidRPr="00E52CD1">
              <w:rPr>
                <w:rFonts w:eastAsia="ＭＳ Ｐゴシック"/>
                <w:b/>
                <w:color w:val="000000"/>
                <w:sz w:val="16"/>
                <w:szCs w:val="16"/>
              </w:rPr>
              <w:t>Cell Morphology</w:t>
            </w:r>
          </w:p>
        </w:tc>
      </w:tr>
      <w:tr w:rsidR="000133D6" w:rsidRPr="00E52CD1" w14:paraId="50C45143" w14:textId="77777777" w:rsidTr="000133D6">
        <w:trPr>
          <w:trHeight w:val="400"/>
        </w:trPr>
        <w:tc>
          <w:tcPr>
            <w:tcW w:w="2313" w:type="dxa"/>
            <w:tcBorders>
              <w:top w:val="single" w:sz="4" w:space="0" w:color="auto"/>
              <w:left w:val="nil"/>
              <w:bottom w:val="nil"/>
              <w:right w:val="nil"/>
            </w:tcBorders>
            <w:shd w:val="clear" w:color="auto" w:fill="auto"/>
            <w:noWrap/>
            <w:vAlign w:val="bottom"/>
            <w:hideMark/>
          </w:tcPr>
          <w:p w14:paraId="2D87EA48"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Perfluorooctane (RfOct)</w:t>
            </w:r>
          </w:p>
        </w:tc>
        <w:tc>
          <w:tcPr>
            <w:tcW w:w="1301" w:type="dxa"/>
            <w:tcBorders>
              <w:top w:val="single" w:sz="4" w:space="0" w:color="auto"/>
              <w:left w:val="nil"/>
              <w:bottom w:val="nil"/>
              <w:right w:val="nil"/>
            </w:tcBorders>
            <w:shd w:val="clear" w:color="auto" w:fill="auto"/>
            <w:vAlign w:val="bottom"/>
          </w:tcPr>
          <w:p w14:paraId="5233A05E"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100</w:t>
            </w:r>
          </w:p>
        </w:tc>
        <w:tc>
          <w:tcPr>
            <w:tcW w:w="1363" w:type="dxa"/>
            <w:tcBorders>
              <w:top w:val="single" w:sz="4" w:space="0" w:color="auto"/>
              <w:left w:val="nil"/>
              <w:bottom w:val="nil"/>
              <w:right w:val="nil"/>
            </w:tcBorders>
          </w:tcPr>
          <w:p w14:paraId="219C0709"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top w:val="single" w:sz="4" w:space="0" w:color="auto"/>
              <w:left w:val="nil"/>
              <w:bottom w:val="nil"/>
              <w:right w:val="nil"/>
            </w:tcBorders>
          </w:tcPr>
          <w:p w14:paraId="79C6ADFF"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GM</w:t>
            </w:r>
          </w:p>
        </w:tc>
        <w:tc>
          <w:tcPr>
            <w:tcW w:w="776" w:type="dxa"/>
            <w:tcBorders>
              <w:top w:val="single" w:sz="4" w:space="0" w:color="auto"/>
              <w:left w:val="nil"/>
              <w:bottom w:val="nil"/>
              <w:right w:val="nil"/>
            </w:tcBorders>
          </w:tcPr>
          <w:p w14:paraId="560E05A6"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10</w:t>
            </w:r>
          </w:p>
        </w:tc>
        <w:tc>
          <w:tcPr>
            <w:tcW w:w="1284" w:type="dxa"/>
            <w:tcBorders>
              <w:top w:val="single" w:sz="4" w:space="0" w:color="auto"/>
              <w:left w:val="nil"/>
              <w:bottom w:val="nil"/>
              <w:right w:val="nil"/>
            </w:tcBorders>
            <w:shd w:val="clear" w:color="auto" w:fill="auto"/>
            <w:noWrap/>
            <w:vAlign w:val="bottom"/>
            <w:hideMark/>
          </w:tcPr>
          <w:p w14:paraId="72FB8E70"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top w:val="single" w:sz="4" w:space="0" w:color="auto"/>
              <w:left w:val="nil"/>
              <w:bottom w:val="nil"/>
              <w:right w:val="nil"/>
            </w:tcBorders>
            <w:shd w:val="clear" w:color="auto" w:fill="auto"/>
            <w:noWrap/>
            <w:vAlign w:val="bottom"/>
            <w:hideMark/>
          </w:tcPr>
          <w:p w14:paraId="3794566C"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Spreading</w:t>
            </w:r>
          </w:p>
        </w:tc>
      </w:tr>
      <w:tr w:rsidR="000133D6" w:rsidRPr="00E52CD1" w14:paraId="4CB4E428" w14:textId="77777777" w:rsidTr="000133D6">
        <w:trPr>
          <w:trHeight w:val="400"/>
        </w:trPr>
        <w:tc>
          <w:tcPr>
            <w:tcW w:w="2313" w:type="dxa"/>
            <w:tcBorders>
              <w:top w:val="nil"/>
              <w:left w:val="nil"/>
              <w:bottom w:val="nil"/>
              <w:right w:val="nil"/>
            </w:tcBorders>
            <w:shd w:val="clear" w:color="auto" w:fill="auto"/>
            <w:noWrap/>
            <w:vAlign w:val="bottom"/>
          </w:tcPr>
          <w:p w14:paraId="166E63FD" w14:textId="77777777" w:rsidR="000133D6" w:rsidRPr="00E52CD1" w:rsidRDefault="000133D6" w:rsidP="000133D6">
            <w:pPr>
              <w:jc w:val="left"/>
              <w:rPr>
                <w:rFonts w:eastAsia="ＭＳ Ｐゴシック"/>
                <w:color w:val="000000"/>
                <w:sz w:val="16"/>
                <w:szCs w:val="16"/>
              </w:rPr>
            </w:pPr>
          </w:p>
        </w:tc>
        <w:tc>
          <w:tcPr>
            <w:tcW w:w="1301" w:type="dxa"/>
            <w:tcBorders>
              <w:top w:val="nil"/>
              <w:left w:val="nil"/>
              <w:bottom w:val="nil"/>
              <w:right w:val="nil"/>
            </w:tcBorders>
            <w:shd w:val="clear" w:color="auto" w:fill="auto"/>
            <w:vAlign w:val="bottom"/>
          </w:tcPr>
          <w:p w14:paraId="23FEA2ED"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100</w:t>
            </w:r>
          </w:p>
        </w:tc>
        <w:tc>
          <w:tcPr>
            <w:tcW w:w="1363" w:type="dxa"/>
            <w:tcBorders>
              <w:top w:val="nil"/>
              <w:left w:val="nil"/>
              <w:bottom w:val="nil"/>
              <w:right w:val="nil"/>
            </w:tcBorders>
          </w:tcPr>
          <w:p w14:paraId="7ABD128B"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top w:val="nil"/>
              <w:left w:val="nil"/>
              <w:bottom w:val="nil"/>
              <w:right w:val="nil"/>
            </w:tcBorders>
          </w:tcPr>
          <w:p w14:paraId="427D6465"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DM</w:t>
            </w:r>
          </w:p>
        </w:tc>
        <w:tc>
          <w:tcPr>
            <w:tcW w:w="776" w:type="dxa"/>
            <w:tcBorders>
              <w:top w:val="nil"/>
              <w:left w:val="nil"/>
              <w:bottom w:val="nil"/>
              <w:right w:val="nil"/>
            </w:tcBorders>
          </w:tcPr>
          <w:p w14:paraId="5F8140F2"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2</w:t>
            </w:r>
          </w:p>
        </w:tc>
        <w:tc>
          <w:tcPr>
            <w:tcW w:w="1284" w:type="dxa"/>
            <w:tcBorders>
              <w:top w:val="nil"/>
              <w:left w:val="nil"/>
              <w:bottom w:val="nil"/>
              <w:right w:val="nil"/>
            </w:tcBorders>
            <w:shd w:val="clear" w:color="auto" w:fill="auto"/>
            <w:noWrap/>
            <w:vAlign w:val="bottom"/>
          </w:tcPr>
          <w:p w14:paraId="7CA55DF9"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top w:val="nil"/>
              <w:left w:val="nil"/>
              <w:bottom w:val="nil"/>
              <w:right w:val="nil"/>
            </w:tcBorders>
            <w:shd w:val="clear" w:color="auto" w:fill="auto"/>
            <w:noWrap/>
            <w:vAlign w:val="bottom"/>
          </w:tcPr>
          <w:p w14:paraId="6F132665"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Spreading</w:t>
            </w:r>
          </w:p>
        </w:tc>
      </w:tr>
      <w:tr w:rsidR="000133D6" w:rsidRPr="00E52CD1" w14:paraId="6F138FBC" w14:textId="77777777" w:rsidTr="000133D6">
        <w:trPr>
          <w:trHeight w:val="400"/>
        </w:trPr>
        <w:tc>
          <w:tcPr>
            <w:tcW w:w="2313" w:type="dxa"/>
            <w:tcBorders>
              <w:top w:val="nil"/>
              <w:left w:val="nil"/>
              <w:bottom w:val="nil"/>
              <w:right w:val="nil"/>
            </w:tcBorders>
            <w:shd w:val="clear" w:color="auto" w:fill="auto"/>
            <w:noWrap/>
            <w:vAlign w:val="bottom"/>
          </w:tcPr>
          <w:p w14:paraId="52A1A8EC" w14:textId="77777777" w:rsidR="000133D6" w:rsidRPr="00E52CD1" w:rsidRDefault="000133D6" w:rsidP="000133D6">
            <w:pPr>
              <w:jc w:val="left"/>
              <w:rPr>
                <w:rFonts w:eastAsia="ＭＳ Ｐゴシック"/>
                <w:color w:val="000000"/>
                <w:sz w:val="16"/>
                <w:szCs w:val="16"/>
              </w:rPr>
            </w:pPr>
          </w:p>
        </w:tc>
        <w:tc>
          <w:tcPr>
            <w:tcW w:w="1301" w:type="dxa"/>
            <w:tcBorders>
              <w:top w:val="nil"/>
              <w:left w:val="nil"/>
              <w:bottom w:val="nil"/>
              <w:right w:val="nil"/>
            </w:tcBorders>
            <w:shd w:val="clear" w:color="auto" w:fill="auto"/>
            <w:vAlign w:val="bottom"/>
          </w:tcPr>
          <w:p w14:paraId="1EDA5023"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100</w:t>
            </w:r>
          </w:p>
        </w:tc>
        <w:tc>
          <w:tcPr>
            <w:tcW w:w="1363" w:type="dxa"/>
            <w:tcBorders>
              <w:top w:val="nil"/>
              <w:left w:val="nil"/>
              <w:bottom w:val="nil"/>
              <w:right w:val="nil"/>
            </w:tcBorders>
          </w:tcPr>
          <w:p w14:paraId="3840FF7E"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top w:val="nil"/>
              <w:left w:val="nil"/>
              <w:bottom w:val="nil"/>
              <w:right w:val="nil"/>
            </w:tcBorders>
          </w:tcPr>
          <w:p w14:paraId="30966821"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DMEM</w:t>
            </w:r>
          </w:p>
        </w:tc>
        <w:tc>
          <w:tcPr>
            <w:tcW w:w="776" w:type="dxa"/>
            <w:tcBorders>
              <w:top w:val="nil"/>
              <w:left w:val="nil"/>
              <w:bottom w:val="nil"/>
              <w:right w:val="nil"/>
            </w:tcBorders>
          </w:tcPr>
          <w:p w14:paraId="15258E49"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0</w:t>
            </w:r>
          </w:p>
        </w:tc>
        <w:tc>
          <w:tcPr>
            <w:tcW w:w="1284" w:type="dxa"/>
            <w:tcBorders>
              <w:top w:val="nil"/>
              <w:left w:val="nil"/>
              <w:bottom w:val="nil"/>
              <w:right w:val="nil"/>
            </w:tcBorders>
            <w:shd w:val="clear" w:color="auto" w:fill="auto"/>
            <w:noWrap/>
            <w:vAlign w:val="bottom"/>
          </w:tcPr>
          <w:p w14:paraId="5CD04742"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top w:val="nil"/>
              <w:left w:val="nil"/>
              <w:bottom w:val="nil"/>
              <w:right w:val="nil"/>
            </w:tcBorders>
            <w:shd w:val="clear" w:color="auto" w:fill="auto"/>
            <w:noWrap/>
            <w:vAlign w:val="bottom"/>
          </w:tcPr>
          <w:p w14:paraId="3D4A866B"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Circular</w:t>
            </w:r>
          </w:p>
        </w:tc>
      </w:tr>
      <w:tr w:rsidR="000133D6" w:rsidRPr="00E52CD1" w14:paraId="66677B9C" w14:textId="77777777" w:rsidTr="000133D6">
        <w:trPr>
          <w:trHeight w:val="400"/>
        </w:trPr>
        <w:tc>
          <w:tcPr>
            <w:tcW w:w="2313" w:type="dxa"/>
            <w:tcBorders>
              <w:top w:val="nil"/>
              <w:left w:val="nil"/>
              <w:bottom w:val="nil"/>
              <w:right w:val="nil"/>
            </w:tcBorders>
            <w:shd w:val="clear" w:color="auto" w:fill="auto"/>
            <w:noWrap/>
            <w:vAlign w:val="bottom"/>
          </w:tcPr>
          <w:p w14:paraId="5C7E0978" w14:textId="77777777" w:rsidR="000133D6" w:rsidRPr="00E52CD1" w:rsidRDefault="000133D6" w:rsidP="000133D6">
            <w:pPr>
              <w:jc w:val="left"/>
              <w:rPr>
                <w:rFonts w:eastAsia="ＭＳ Ｐゴシック"/>
                <w:color w:val="000000"/>
                <w:sz w:val="16"/>
                <w:szCs w:val="16"/>
              </w:rPr>
            </w:pPr>
          </w:p>
        </w:tc>
        <w:tc>
          <w:tcPr>
            <w:tcW w:w="1301" w:type="dxa"/>
            <w:tcBorders>
              <w:top w:val="nil"/>
              <w:left w:val="nil"/>
              <w:bottom w:val="nil"/>
              <w:right w:val="nil"/>
            </w:tcBorders>
            <w:shd w:val="clear" w:color="auto" w:fill="auto"/>
            <w:vAlign w:val="bottom"/>
          </w:tcPr>
          <w:p w14:paraId="6A3E2944"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100</w:t>
            </w:r>
          </w:p>
        </w:tc>
        <w:tc>
          <w:tcPr>
            <w:tcW w:w="1363" w:type="dxa"/>
            <w:tcBorders>
              <w:top w:val="nil"/>
              <w:left w:val="nil"/>
              <w:bottom w:val="nil"/>
              <w:right w:val="nil"/>
            </w:tcBorders>
          </w:tcPr>
          <w:p w14:paraId="6DC20C63"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HEK293/GFP</w:t>
            </w:r>
          </w:p>
        </w:tc>
        <w:tc>
          <w:tcPr>
            <w:tcW w:w="901" w:type="dxa"/>
            <w:tcBorders>
              <w:top w:val="nil"/>
              <w:left w:val="nil"/>
              <w:bottom w:val="nil"/>
              <w:right w:val="nil"/>
            </w:tcBorders>
          </w:tcPr>
          <w:p w14:paraId="48622761"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GM</w:t>
            </w:r>
          </w:p>
        </w:tc>
        <w:tc>
          <w:tcPr>
            <w:tcW w:w="776" w:type="dxa"/>
            <w:tcBorders>
              <w:top w:val="nil"/>
              <w:left w:val="nil"/>
              <w:bottom w:val="nil"/>
              <w:right w:val="nil"/>
            </w:tcBorders>
          </w:tcPr>
          <w:p w14:paraId="788D7FFD"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10</w:t>
            </w:r>
          </w:p>
        </w:tc>
        <w:tc>
          <w:tcPr>
            <w:tcW w:w="1284" w:type="dxa"/>
            <w:tcBorders>
              <w:top w:val="nil"/>
              <w:left w:val="nil"/>
              <w:bottom w:val="nil"/>
              <w:right w:val="nil"/>
            </w:tcBorders>
            <w:shd w:val="clear" w:color="auto" w:fill="auto"/>
            <w:noWrap/>
            <w:vAlign w:val="bottom"/>
          </w:tcPr>
          <w:p w14:paraId="6773FF40"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top w:val="nil"/>
              <w:left w:val="nil"/>
              <w:bottom w:val="nil"/>
              <w:right w:val="nil"/>
            </w:tcBorders>
            <w:shd w:val="clear" w:color="auto" w:fill="auto"/>
            <w:noWrap/>
            <w:vAlign w:val="bottom"/>
          </w:tcPr>
          <w:p w14:paraId="68141B48"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Aggregated</w:t>
            </w:r>
          </w:p>
        </w:tc>
      </w:tr>
      <w:tr w:rsidR="000133D6" w:rsidRPr="00E52CD1" w14:paraId="722450E9" w14:textId="77777777" w:rsidTr="000133D6">
        <w:trPr>
          <w:trHeight w:val="400"/>
        </w:trPr>
        <w:tc>
          <w:tcPr>
            <w:tcW w:w="2313" w:type="dxa"/>
            <w:tcBorders>
              <w:top w:val="nil"/>
              <w:left w:val="nil"/>
              <w:bottom w:val="nil"/>
              <w:right w:val="nil"/>
            </w:tcBorders>
            <w:shd w:val="clear" w:color="auto" w:fill="auto"/>
            <w:noWrap/>
            <w:vAlign w:val="bottom"/>
            <w:hideMark/>
          </w:tcPr>
          <w:p w14:paraId="2AFE0370"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Mixture (RfOct/RfMCH)</w:t>
            </w:r>
            <w:r w:rsidRPr="00E52CD1">
              <w:rPr>
                <w:rFonts w:eastAsia="ＭＳ Ｐゴシック"/>
                <w:i/>
                <w:color w:val="000000"/>
                <w:sz w:val="16"/>
                <w:szCs w:val="16"/>
                <w:vertAlign w:val="superscript"/>
              </w:rPr>
              <w:t>a</w:t>
            </w:r>
          </w:p>
        </w:tc>
        <w:tc>
          <w:tcPr>
            <w:tcW w:w="1301" w:type="dxa"/>
            <w:tcBorders>
              <w:top w:val="nil"/>
              <w:left w:val="nil"/>
              <w:bottom w:val="nil"/>
              <w:right w:val="nil"/>
            </w:tcBorders>
            <w:shd w:val="clear" w:color="auto" w:fill="auto"/>
            <w:vAlign w:val="bottom"/>
          </w:tcPr>
          <w:p w14:paraId="6DD6AB83"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75</w:t>
            </w:r>
          </w:p>
        </w:tc>
        <w:tc>
          <w:tcPr>
            <w:tcW w:w="1363" w:type="dxa"/>
            <w:tcBorders>
              <w:top w:val="nil"/>
              <w:left w:val="nil"/>
              <w:bottom w:val="nil"/>
              <w:right w:val="nil"/>
            </w:tcBorders>
          </w:tcPr>
          <w:p w14:paraId="5F7EB9E6"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top w:val="nil"/>
              <w:left w:val="nil"/>
              <w:bottom w:val="nil"/>
              <w:right w:val="nil"/>
            </w:tcBorders>
          </w:tcPr>
          <w:p w14:paraId="1BAE8965"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GM</w:t>
            </w:r>
          </w:p>
        </w:tc>
        <w:tc>
          <w:tcPr>
            <w:tcW w:w="776" w:type="dxa"/>
            <w:tcBorders>
              <w:top w:val="nil"/>
              <w:left w:val="nil"/>
              <w:bottom w:val="nil"/>
              <w:right w:val="nil"/>
            </w:tcBorders>
          </w:tcPr>
          <w:p w14:paraId="11D99D31"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10</w:t>
            </w:r>
          </w:p>
        </w:tc>
        <w:tc>
          <w:tcPr>
            <w:tcW w:w="1284" w:type="dxa"/>
            <w:tcBorders>
              <w:top w:val="nil"/>
              <w:left w:val="nil"/>
              <w:bottom w:val="nil"/>
              <w:right w:val="nil"/>
            </w:tcBorders>
            <w:shd w:val="clear" w:color="auto" w:fill="auto"/>
            <w:noWrap/>
            <w:vAlign w:val="bottom"/>
            <w:hideMark/>
          </w:tcPr>
          <w:p w14:paraId="64702ECD"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top w:val="nil"/>
              <w:left w:val="nil"/>
              <w:bottom w:val="nil"/>
              <w:right w:val="nil"/>
            </w:tcBorders>
            <w:shd w:val="clear" w:color="auto" w:fill="auto"/>
            <w:noWrap/>
            <w:vAlign w:val="bottom"/>
            <w:hideMark/>
          </w:tcPr>
          <w:p w14:paraId="3EC04BAF"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Circular</w:t>
            </w:r>
          </w:p>
        </w:tc>
      </w:tr>
      <w:tr w:rsidR="000133D6" w:rsidRPr="00E52CD1" w14:paraId="3093D859" w14:textId="77777777" w:rsidTr="000133D6">
        <w:trPr>
          <w:trHeight w:val="400"/>
        </w:trPr>
        <w:tc>
          <w:tcPr>
            <w:tcW w:w="2313" w:type="dxa"/>
            <w:tcBorders>
              <w:top w:val="nil"/>
              <w:left w:val="nil"/>
              <w:bottom w:val="nil"/>
              <w:right w:val="nil"/>
            </w:tcBorders>
            <w:shd w:val="clear" w:color="auto" w:fill="auto"/>
            <w:noWrap/>
            <w:vAlign w:val="bottom"/>
            <w:hideMark/>
          </w:tcPr>
          <w:p w14:paraId="764100C3" w14:textId="77777777" w:rsidR="000133D6" w:rsidRPr="00E52CD1" w:rsidRDefault="000133D6" w:rsidP="000133D6">
            <w:pPr>
              <w:jc w:val="left"/>
              <w:rPr>
                <w:rFonts w:eastAsia="ＭＳ Ｐゴシック"/>
                <w:color w:val="000000"/>
                <w:sz w:val="16"/>
                <w:szCs w:val="16"/>
              </w:rPr>
            </w:pPr>
          </w:p>
        </w:tc>
        <w:tc>
          <w:tcPr>
            <w:tcW w:w="1301" w:type="dxa"/>
            <w:tcBorders>
              <w:top w:val="nil"/>
              <w:left w:val="nil"/>
              <w:bottom w:val="nil"/>
              <w:right w:val="nil"/>
            </w:tcBorders>
            <w:shd w:val="clear" w:color="auto" w:fill="auto"/>
            <w:noWrap/>
            <w:vAlign w:val="bottom"/>
            <w:hideMark/>
          </w:tcPr>
          <w:p w14:paraId="36C73E70"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50</w:t>
            </w:r>
          </w:p>
        </w:tc>
        <w:tc>
          <w:tcPr>
            <w:tcW w:w="1363" w:type="dxa"/>
            <w:tcBorders>
              <w:top w:val="nil"/>
              <w:left w:val="nil"/>
              <w:bottom w:val="nil"/>
              <w:right w:val="nil"/>
            </w:tcBorders>
          </w:tcPr>
          <w:p w14:paraId="14B3236F"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top w:val="nil"/>
              <w:left w:val="nil"/>
              <w:bottom w:val="nil"/>
              <w:right w:val="nil"/>
            </w:tcBorders>
          </w:tcPr>
          <w:p w14:paraId="37631D83"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GM</w:t>
            </w:r>
          </w:p>
        </w:tc>
        <w:tc>
          <w:tcPr>
            <w:tcW w:w="776" w:type="dxa"/>
            <w:tcBorders>
              <w:top w:val="nil"/>
              <w:left w:val="nil"/>
              <w:bottom w:val="nil"/>
              <w:right w:val="nil"/>
            </w:tcBorders>
          </w:tcPr>
          <w:p w14:paraId="706FE94D"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10</w:t>
            </w:r>
          </w:p>
        </w:tc>
        <w:tc>
          <w:tcPr>
            <w:tcW w:w="1284" w:type="dxa"/>
            <w:tcBorders>
              <w:top w:val="nil"/>
              <w:left w:val="nil"/>
              <w:bottom w:val="nil"/>
              <w:right w:val="nil"/>
            </w:tcBorders>
            <w:shd w:val="clear" w:color="auto" w:fill="auto"/>
            <w:noWrap/>
            <w:vAlign w:val="bottom"/>
            <w:hideMark/>
          </w:tcPr>
          <w:p w14:paraId="10563074"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top w:val="nil"/>
              <w:left w:val="nil"/>
              <w:bottom w:val="nil"/>
              <w:right w:val="nil"/>
            </w:tcBorders>
            <w:shd w:val="clear" w:color="auto" w:fill="auto"/>
            <w:noWrap/>
            <w:vAlign w:val="bottom"/>
            <w:hideMark/>
          </w:tcPr>
          <w:p w14:paraId="558D80D2"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Circular</w:t>
            </w:r>
          </w:p>
        </w:tc>
      </w:tr>
      <w:tr w:rsidR="000133D6" w:rsidRPr="00E52CD1" w14:paraId="26E54466" w14:textId="77777777" w:rsidTr="000133D6">
        <w:trPr>
          <w:trHeight w:val="400"/>
        </w:trPr>
        <w:tc>
          <w:tcPr>
            <w:tcW w:w="2313" w:type="dxa"/>
            <w:tcBorders>
              <w:top w:val="nil"/>
              <w:left w:val="nil"/>
              <w:bottom w:val="nil"/>
              <w:right w:val="nil"/>
            </w:tcBorders>
            <w:shd w:val="clear" w:color="auto" w:fill="auto"/>
            <w:noWrap/>
            <w:vAlign w:val="bottom"/>
            <w:hideMark/>
          </w:tcPr>
          <w:p w14:paraId="32DFA2ED" w14:textId="77777777" w:rsidR="000133D6" w:rsidRPr="00E52CD1" w:rsidRDefault="000133D6" w:rsidP="000133D6">
            <w:pPr>
              <w:jc w:val="left"/>
              <w:rPr>
                <w:rFonts w:eastAsia="ＭＳ Ｐゴシック"/>
                <w:color w:val="000000"/>
                <w:sz w:val="16"/>
                <w:szCs w:val="16"/>
              </w:rPr>
            </w:pPr>
          </w:p>
        </w:tc>
        <w:tc>
          <w:tcPr>
            <w:tcW w:w="1301" w:type="dxa"/>
            <w:tcBorders>
              <w:top w:val="nil"/>
              <w:left w:val="nil"/>
              <w:bottom w:val="nil"/>
              <w:right w:val="nil"/>
            </w:tcBorders>
            <w:shd w:val="clear" w:color="auto" w:fill="auto"/>
            <w:noWrap/>
            <w:vAlign w:val="bottom"/>
            <w:hideMark/>
          </w:tcPr>
          <w:p w14:paraId="487A3AB5"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25</w:t>
            </w:r>
          </w:p>
        </w:tc>
        <w:tc>
          <w:tcPr>
            <w:tcW w:w="1363" w:type="dxa"/>
            <w:tcBorders>
              <w:top w:val="nil"/>
              <w:left w:val="nil"/>
              <w:bottom w:val="nil"/>
              <w:right w:val="nil"/>
            </w:tcBorders>
          </w:tcPr>
          <w:p w14:paraId="142B1F14"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top w:val="nil"/>
              <w:left w:val="nil"/>
              <w:bottom w:val="nil"/>
              <w:right w:val="nil"/>
            </w:tcBorders>
          </w:tcPr>
          <w:p w14:paraId="5553F644"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GM</w:t>
            </w:r>
          </w:p>
        </w:tc>
        <w:tc>
          <w:tcPr>
            <w:tcW w:w="776" w:type="dxa"/>
            <w:tcBorders>
              <w:top w:val="nil"/>
              <w:left w:val="nil"/>
              <w:bottom w:val="nil"/>
              <w:right w:val="nil"/>
            </w:tcBorders>
          </w:tcPr>
          <w:p w14:paraId="111B6ACB"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10</w:t>
            </w:r>
          </w:p>
        </w:tc>
        <w:tc>
          <w:tcPr>
            <w:tcW w:w="1284" w:type="dxa"/>
            <w:tcBorders>
              <w:top w:val="nil"/>
              <w:left w:val="nil"/>
              <w:bottom w:val="nil"/>
              <w:right w:val="nil"/>
            </w:tcBorders>
            <w:shd w:val="clear" w:color="auto" w:fill="auto"/>
            <w:noWrap/>
            <w:vAlign w:val="bottom"/>
            <w:hideMark/>
          </w:tcPr>
          <w:p w14:paraId="63DCAA49"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top w:val="nil"/>
              <w:left w:val="nil"/>
              <w:bottom w:val="nil"/>
              <w:right w:val="nil"/>
            </w:tcBorders>
            <w:shd w:val="clear" w:color="auto" w:fill="auto"/>
            <w:noWrap/>
            <w:vAlign w:val="bottom"/>
            <w:hideMark/>
          </w:tcPr>
          <w:p w14:paraId="237DA9BC"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Circular</w:t>
            </w:r>
          </w:p>
        </w:tc>
      </w:tr>
      <w:tr w:rsidR="000133D6" w:rsidRPr="00E52CD1" w14:paraId="3F4797F5" w14:textId="77777777" w:rsidTr="000133D6">
        <w:trPr>
          <w:trHeight w:val="400"/>
        </w:trPr>
        <w:tc>
          <w:tcPr>
            <w:tcW w:w="2313" w:type="dxa"/>
            <w:tcBorders>
              <w:top w:val="nil"/>
              <w:left w:val="nil"/>
              <w:right w:val="nil"/>
            </w:tcBorders>
            <w:shd w:val="clear" w:color="auto" w:fill="auto"/>
            <w:noWrap/>
            <w:vAlign w:val="bottom"/>
            <w:hideMark/>
          </w:tcPr>
          <w:p w14:paraId="447DD240"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Perfluoro(methylcyclohexane)</w:t>
            </w:r>
          </w:p>
        </w:tc>
        <w:tc>
          <w:tcPr>
            <w:tcW w:w="1301" w:type="dxa"/>
            <w:tcBorders>
              <w:top w:val="nil"/>
              <w:left w:val="nil"/>
              <w:right w:val="nil"/>
            </w:tcBorders>
            <w:shd w:val="clear" w:color="auto" w:fill="auto"/>
            <w:noWrap/>
            <w:vAlign w:val="bottom"/>
            <w:hideMark/>
          </w:tcPr>
          <w:p w14:paraId="29F7A8E2"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0</w:t>
            </w:r>
          </w:p>
        </w:tc>
        <w:tc>
          <w:tcPr>
            <w:tcW w:w="1363" w:type="dxa"/>
            <w:tcBorders>
              <w:top w:val="nil"/>
              <w:left w:val="nil"/>
              <w:right w:val="nil"/>
            </w:tcBorders>
          </w:tcPr>
          <w:p w14:paraId="1D16B275"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top w:val="nil"/>
              <w:left w:val="nil"/>
              <w:right w:val="nil"/>
            </w:tcBorders>
          </w:tcPr>
          <w:p w14:paraId="0AC8E981"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GM</w:t>
            </w:r>
          </w:p>
        </w:tc>
        <w:tc>
          <w:tcPr>
            <w:tcW w:w="776" w:type="dxa"/>
            <w:tcBorders>
              <w:top w:val="nil"/>
              <w:left w:val="nil"/>
              <w:right w:val="nil"/>
            </w:tcBorders>
          </w:tcPr>
          <w:p w14:paraId="58B2B9C7"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10</w:t>
            </w:r>
          </w:p>
        </w:tc>
        <w:tc>
          <w:tcPr>
            <w:tcW w:w="1284" w:type="dxa"/>
            <w:tcBorders>
              <w:top w:val="nil"/>
              <w:left w:val="nil"/>
              <w:right w:val="nil"/>
            </w:tcBorders>
            <w:shd w:val="clear" w:color="auto" w:fill="auto"/>
            <w:noWrap/>
            <w:vAlign w:val="bottom"/>
            <w:hideMark/>
          </w:tcPr>
          <w:p w14:paraId="5B8DDECF"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top w:val="nil"/>
              <w:left w:val="nil"/>
              <w:right w:val="nil"/>
            </w:tcBorders>
            <w:shd w:val="clear" w:color="auto" w:fill="auto"/>
            <w:noWrap/>
            <w:vAlign w:val="bottom"/>
            <w:hideMark/>
          </w:tcPr>
          <w:p w14:paraId="6CA98B08"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Circular</w:t>
            </w:r>
          </w:p>
        </w:tc>
      </w:tr>
      <w:tr w:rsidR="000133D6" w:rsidRPr="00E52CD1" w14:paraId="679F7A70" w14:textId="77777777" w:rsidTr="000133D6">
        <w:trPr>
          <w:trHeight w:val="400"/>
        </w:trPr>
        <w:tc>
          <w:tcPr>
            <w:tcW w:w="2313" w:type="dxa"/>
            <w:tcBorders>
              <w:top w:val="nil"/>
              <w:left w:val="nil"/>
              <w:right w:val="nil"/>
            </w:tcBorders>
            <w:shd w:val="clear" w:color="auto" w:fill="auto"/>
            <w:noWrap/>
            <w:vAlign w:val="bottom"/>
          </w:tcPr>
          <w:p w14:paraId="389D7B21"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(RfMCH)</w:t>
            </w:r>
          </w:p>
        </w:tc>
        <w:tc>
          <w:tcPr>
            <w:tcW w:w="1301" w:type="dxa"/>
            <w:tcBorders>
              <w:top w:val="nil"/>
              <w:left w:val="nil"/>
              <w:right w:val="nil"/>
            </w:tcBorders>
            <w:shd w:val="clear" w:color="auto" w:fill="auto"/>
            <w:vAlign w:val="bottom"/>
          </w:tcPr>
          <w:p w14:paraId="0C8974C3"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0</w:t>
            </w:r>
          </w:p>
        </w:tc>
        <w:tc>
          <w:tcPr>
            <w:tcW w:w="1363" w:type="dxa"/>
            <w:tcBorders>
              <w:top w:val="nil"/>
              <w:left w:val="nil"/>
              <w:right w:val="nil"/>
            </w:tcBorders>
          </w:tcPr>
          <w:p w14:paraId="1051132B"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top w:val="nil"/>
              <w:left w:val="nil"/>
              <w:right w:val="nil"/>
            </w:tcBorders>
          </w:tcPr>
          <w:p w14:paraId="11590030"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DM</w:t>
            </w:r>
          </w:p>
        </w:tc>
        <w:tc>
          <w:tcPr>
            <w:tcW w:w="776" w:type="dxa"/>
            <w:tcBorders>
              <w:top w:val="nil"/>
              <w:left w:val="nil"/>
              <w:right w:val="nil"/>
            </w:tcBorders>
          </w:tcPr>
          <w:p w14:paraId="1E68E152"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2</w:t>
            </w:r>
          </w:p>
        </w:tc>
        <w:tc>
          <w:tcPr>
            <w:tcW w:w="1284" w:type="dxa"/>
            <w:tcBorders>
              <w:top w:val="nil"/>
              <w:left w:val="nil"/>
              <w:right w:val="nil"/>
            </w:tcBorders>
            <w:shd w:val="clear" w:color="auto" w:fill="auto"/>
            <w:noWrap/>
            <w:vAlign w:val="bottom"/>
          </w:tcPr>
          <w:p w14:paraId="3898BCE3"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top w:val="nil"/>
              <w:left w:val="nil"/>
              <w:right w:val="nil"/>
            </w:tcBorders>
            <w:shd w:val="clear" w:color="auto" w:fill="auto"/>
            <w:noWrap/>
            <w:vAlign w:val="bottom"/>
          </w:tcPr>
          <w:p w14:paraId="56932FD9"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Circular</w:t>
            </w:r>
          </w:p>
        </w:tc>
      </w:tr>
      <w:tr w:rsidR="000133D6" w:rsidRPr="00E52CD1" w14:paraId="33E8C520" w14:textId="77777777" w:rsidTr="000133D6">
        <w:trPr>
          <w:trHeight w:val="400"/>
        </w:trPr>
        <w:tc>
          <w:tcPr>
            <w:tcW w:w="2313" w:type="dxa"/>
            <w:tcBorders>
              <w:top w:val="nil"/>
              <w:left w:val="nil"/>
              <w:right w:val="nil"/>
            </w:tcBorders>
            <w:shd w:val="clear" w:color="auto" w:fill="auto"/>
            <w:noWrap/>
            <w:vAlign w:val="bottom"/>
          </w:tcPr>
          <w:p w14:paraId="6C28F606" w14:textId="77777777" w:rsidR="000133D6" w:rsidRPr="00E52CD1" w:rsidRDefault="000133D6" w:rsidP="000133D6">
            <w:pPr>
              <w:jc w:val="left"/>
              <w:rPr>
                <w:rFonts w:eastAsia="ＭＳ Ｐゴシック"/>
                <w:color w:val="000000"/>
                <w:sz w:val="16"/>
                <w:szCs w:val="16"/>
              </w:rPr>
            </w:pPr>
          </w:p>
        </w:tc>
        <w:tc>
          <w:tcPr>
            <w:tcW w:w="1301" w:type="dxa"/>
            <w:tcBorders>
              <w:top w:val="nil"/>
              <w:left w:val="nil"/>
              <w:right w:val="nil"/>
            </w:tcBorders>
            <w:shd w:val="clear" w:color="auto" w:fill="auto"/>
            <w:vAlign w:val="bottom"/>
          </w:tcPr>
          <w:p w14:paraId="7A732E20"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0</w:t>
            </w:r>
          </w:p>
        </w:tc>
        <w:tc>
          <w:tcPr>
            <w:tcW w:w="1363" w:type="dxa"/>
            <w:tcBorders>
              <w:top w:val="nil"/>
              <w:left w:val="nil"/>
              <w:right w:val="nil"/>
            </w:tcBorders>
          </w:tcPr>
          <w:p w14:paraId="2FBD7BD6"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top w:val="nil"/>
              <w:left w:val="nil"/>
              <w:right w:val="nil"/>
            </w:tcBorders>
          </w:tcPr>
          <w:p w14:paraId="13447E1D"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DMEM</w:t>
            </w:r>
          </w:p>
        </w:tc>
        <w:tc>
          <w:tcPr>
            <w:tcW w:w="776" w:type="dxa"/>
            <w:tcBorders>
              <w:top w:val="nil"/>
              <w:left w:val="nil"/>
              <w:right w:val="nil"/>
            </w:tcBorders>
          </w:tcPr>
          <w:p w14:paraId="45A6C8F2"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0</w:t>
            </w:r>
          </w:p>
        </w:tc>
        <w:tc>
          <w:tcPr>
            <w:tcW w:w="1284" w:type="dxa"/>
            <w:tcBorders>
              <w:top w:val="nil"/>
              <w:left w:val="nil"/>
              <w:right w:val="nil"/>
            </w:tcBorders>
            <w:shd w:val="clear" w:color="auto" w:fill="auto"/>
            <w:noWrap/>
            <w:vAlign w:val="bottom"/>
          </w:tcPr>
          <w:p w14:paraId="2A77BE69"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top w:val="nil"/>
              <w:left w:val="nil"/>
              <w:right w:val="nil"/>
            </w:tcBorders>
            <w:shd w:val="clear" w:color="auto" w:fill="auto"/>
            <w:noWrap/>
            <w:vAlign w:val="bottom"/>
          </w:tcPr>
          <w:p w14:paraId="4ED09B75"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Circular</w:t>
            </w:r>
          </w:p>
        </w:tc>
      </w:tr>
      <w:tr w:rsidR="000133D6" w:rsidRPr="00E52CD1" w14:paraId="58698765" w14:textId="77777777" w:rsidTr="000133D6">
        <w:trPr>
          <w:trHeight w:val="400"/>
        </w:trPr>
        <w:tc>
          <w:tcPr>
            <w:tcW w:w="2313" w:type="dxa"/>
            <w:tcBorders>
              <w:left w:val="nil"/>
              <w:right w:val="nil"/>
            </w:tcBorders>
            <w:shd w:val="clear" w:color="auto" w:fill="auto"/>
            <w:noWrap/>
            <w:vAlign w:val="bottom"/>
          </w:tcPr>
          <w:p w14:paraId="03DF2C81" w14:textId="77777777" w:rsidR="000133D6" w:rsidRPr="00E52CD1" w:rsidRDefault="000133D6" w:rsidP="000133D6">
            <w:pPr>
              <w:jc w:val="left"/>
              <w:rPr>
                <w:rFonts w:eastAsia="ＭＳ Ｐゴシック"/>
                <w:color w:val="000000"/>
                <w:sz w:val="16"/>
                <w:szCs w:val="16"/>
              </w:rPr>
            </w:pPr>
          </w:p>
        </w:tc>
        <w:tc>
          <w:tcPr>
            <w:tcW w:w="1301" w:type="dxa"/>
            <w:tcBorders>
              <w:left w:val="nil"/>
              <w:right w:val="nil"/>
            </w:tcBorders>
            <w:shd w:val="clear" w:color="auto" w:fill="auto"/>
            <w:vAlign w:val="bottom"/>
          </w:tcPr>
          <w:p w14:paraId="23BAF61B"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0</w:t>
            </w:r>
          </w:p>
        </w:tc>
        <w:tc>
          <w:tcPr>
            <w:tcW w:w="1363" w:type="dxa"/>
            <w:tcBorders>
              <w:left w:val="nil"/>
              <w:right w:val="nil"/>
            </w:tcBorders>
          </w:tcPr>
          <w:p w14:paraId="568027D9"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HEK293/GFP</w:t>
            </w:r>
          </w:p>
        </w:tc>
        <w:tc>
          <w:tcPr>
            <w:tcW w:w="901" w:type="dxa"/>
            <w:tcBorders>
              <w:left w:val="nil"/>
              <w:right w:val="nil"/>
            </w:tcBorders>
          </w:tcPr>
          <w:p w14:paraId="0D8598F6"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GM</w:t>
            </w:r>
          </w:p>
        </w:tc>
        <w:tc>
          <w:tcPr>
            <w:tcW w:w="776" w:type="dxa"/>
            <w:tcBorders>
              <w:left w:val="nil"/>
              <w:right w:val="nil"/>
            </w:tcBorders>
          </w:tcPr>
          <w:p w14:paraId="5949C2C6"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10</w:t>
            </w:r>
          </w:p>
        </w:tc>
        <w:tc>
          <w:tcPr>
            <w:tcW w:w="1284" w:type="dxa"/>
            <w:tcBorders>
              <w:left w:val="nil"/>
              <w:right w:val="nil"/>
            </w:tcBorders>
            <w:shd w:val="clear" w:color="auto" w:fill="auto"/>
            <w:noWrap/>
            <w:vAlign w:val="bottom"/>
          </w:tcPr>
          <w:p w14:paraId="7DC2029D"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left w:val="nil"/>
              <w:right w:val="nil"/>
            </w:tcBorders>
            <w:shd w:val="clear" w:color="auto" w:fill="auto"/>
            <w:noWrap/>
            <w:vAlign w:val="bottom"/>
          </w:tcPr>
          <w:p w14:paraId="16EB3554"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Aggregated</w:t>
            </w:r>
          </w:p>
        </w:tc>
      </w:tr>
      <w:tr w:rsidR="000133D6" w:rsidRPr="00E52CD1" w14:paraId="189467E0" w14:textId="77777777" w:rsidTr="000133D6">
        <w:trPr>
          <w:trHeight w:val="400"/>
        </w:trPr>
        <w:tc>
          <w:tcPr>
            <w:tcW w:w="2313" w:type="dxa"/>
            <w:tcBorders>
              <w:left w:val="nil"/>
              <w:bottom w:val="single" w:sz="4" w:space="0" w:color="auto"/>
              <w:right w:val="nil"/>
            </w:tcBorders>
            <w:shd w:val="clear" w:color="auto" w:fill="auto"/>
            <w:noWrap/>
            <w:vAlign w:val="bottom"/>
            <w:hideMark/>
          </w:tcPr>
          <w:p w14:paraId="637C0A27"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Perfluorobenzene (RfPh)</w:t>
            </w:r>
          </w:p>
        </w:tc>
        <w:tc>
          <w:tcPr>
            <w:tcW w:w="1301" w:type="dxa"/>
            <w:tcBorders>
              <w:left w:val="nil"/>
              <w:bottom w:val="single" w:sz="4" w:space="0" w:color="auto"/>
              <w:right w:val="nil"/>
            </w:tcBorders>
            <w:shd w:val="clear" w:color="auto" w:fill="auto"/>
            <w:vAlign w:val="bottom"/>
          </w:tcPr>
          <w:p w14:paraId="289E598E"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363" w:type="dxa"/>
            <w:tcBorders>
              <w:left w:val="nil"/>
              <w:bottom w:val="single" w:sz="4" w:space="0" w:color="auto"/>
              <w:right w:val="nil"/>
            </w:tcBorders>
          </w:tcPr>
          <w:p w14:paraId="5DDE58D4"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left w:val="nil"/>
              <w:bottom w:val="single" w:sz="4" w:space="0" w:color="auto"/>
              <w:right w:val="nil"/>
            </w:tcBorders>
          </w:tcPr>
          <w:p w14:paraId="3602985B"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GM</w:t>
            </w:r>
          </w:p>
        </w:tc>
        <w:tc>
          <w:tcPr>
            <w:tcW w:w="776" w:type="dxa"/>
            <w:tcBorders>
              <w:left w:val="nil"/>
              <w:bottom w:val="single" w:sz="4" w:space="0" w:color="auto"/>
              <w:right w:val="nil"/>
            </w:tcBorders>
          </w:tcPr>
          <w:p w14:paraId="1C9B9EA5"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10</w:t>
            </w:r>
          </w:p>
        </w:tc>
        <w:tc>
          <w:tcPr>
            <w:tcW w:w="1284" w:type="dxa"/>
            <w:tcBorders>
              <w:left w:val="nil"/>
              <w:bottom w:val="single" w:sz="4" w:space="0" w:color="auto"/>
              <w:right w:val="nil"/>
            </w:tcBorders>
            <w:shd w:val="clear" w:color="auto" w:fill="auto"/>
            <w:noWrap/>
            <w:vAlign w:val="bottom"/>
            <w:hideMark/>
          </w:tcPr>
          <w:p w14:paraId="1921F3A4"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left w:val="nil"/>
              <w:bottom w:val="single" w:sz="4" w:space="0" w:color="auto"/>
              <w:right w:val="nil"/>
            </w:tcBorders>
            <w:shd w:val="clear" w:color="auto" w:fill="auto"/>
            <w:noWrap/>
            <w:vAlign w:val="bottom"/>
            <w:hideMark/>
          </w:tcPr>
          <w:p w14:paraId="468C89EF"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Circular</w:t>
            </w:r>
          </w:p>
        </w:tc>
      </w:tr>
      <w:tr w:rsidR="000133D6" w:rsidRPr="00E52CD1" w14:paraId="158BCD76" w14:textId="77777777" w:rsidTr="000133D6">
        <w:trPr>
          <w:trHeight w:val="400"/>
        </w:trPr>
        <w:tc>
          <w:tcPr>
            <w:tcW w:w="2313" w:type="dxa"/>
            <w:tcBorders>
              <w:top w:val="single" w:sz="4" w:space="0" w:color="auto"/>
              <w:left w:val="nil"/>
              <w:bottom w:val="nil"/>
              <w:right w:val="nil"/>
            </w:tcBorders>
            <w:shd w:val="clear" w:color="auto" w:fill="auto"/>
            <w:noWrap/>
            <w:vAlign w:val="bottom"/>
            <w:hideMark/>
          </w:tcPr>
          <w:p w14:paraId="1061ABE2"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Dichloromethane</w:t>
            </w:r>
          </w:p>
        </w:tc>
        <w:tc>
          <w:tcPr>
            <w:tcW w:w="1301" w:type="dxa"/>
            <w:tcBorders>
              <w:top w:val="single" w:sz="4" w:space="0" w:color="auto"/>
              <w:left w:val="nil"/>
              <w:bottom w:val="nil"/>
              <w:right w:val="nil"/>
            </w:tcBorders>
            <w:shd w:val="clear" w:color="auto" w:fill="auto"/>
            <w:vAlign w:val="bottom"/>
          </w:tcPr>
          <w:p w14:paraId="0E0BB6BA"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363" w:type="dxa"/>
            <w:tcBorders>
              <w:top w:val="single" w:sz="4" w:space="0" w:color="auto"/>
              <w:left w:val="nil"/>
              <w:bottom w:val="nil"/>
              <w:right w:val="nil"/>
            </w:tcBorders>
          </w:tcPr>
          <w:p w14:paraId="726DA4D4"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top w:val="single" w:sz="4" w:space="0" w:color="auto"/>
              <w:left w:val="nil"/>
              <w:bottom w:val="nil"/>
              <w:right w:val="nil"/>
            </w:tcBorders>
          </w:tcPr>
          <w:p w14:paraId="7359601C"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GM</w:t>
            </w:r>
          </w:p>
        </w:tc>
        <w:tc>
          <w:tcPr>
            <w:tcW w:w="776" w:type="dxa"/>
            <w:tcBorders>
              <w:top w:val="single" w:sz="4" w:space="0" w:color="auto"/>
              <w:left w:val="nil"/>
              <w:bottom w:val="nil"/>
              <w:right w:val="nil"/>
            </w:tcBorders>
          </w:tcPr>
          <w:p w14:paraId="46C8FF31"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10</w:t>
            </w:r>
          </w:p>
        </w:tc>
        <w:tc>
          <w:tcPr>
            <w:tcW w:w="1284" w:type="dxa"/>
            <w:tcBorders>
              <w:top w:val="single" w:sz="4" w:space="0" w:color="auto"/>
              <w:left w:val="nil"/>
              <w:bottom w:val="nil"/>
              <w:right w:val="nil"/>
            </w:tcBorders>
            <w:shd w:val="clear" w:color="auto" w:fill="auto"/>
            <w:noWrap/>
            <w:vAlign w:val="bottom"/>
            <w:hideMark/>
          </w:tcPr>
          <w:p w14:paraId="27F2DFBB"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(Not Growth)</w:t>
            </w:r>
            <w:r w:rsidRPr="00E52CD1">
              <w:rPr>
                <w:rFonts w:eastAsia="ＭＳ Ｐゴシック"/>
                <w:i/>
                <w:color w:val="000000"/>
                <w:sz w:val="16"/>
                <w:szCs w:val="16"/>
                <w:vertAlign w:val="superscript"/>
              </w:rPr>
              <w:t>e</w:t>
            </w:r>
          </w:p>
        </w:tc>
        <w:tc>
          <w:tcPr>
            <w:tcW w:w="1465" w:type="dxa"/>
            <w:tcBorders>
              <w:top w:val="single" w:sz="4" w:space="0" w:color="auto"/>
              <w:left w:val="nil"/>
              <w:bottom w:val="nil"/>
              <w:right w:val="nil"/>
            </w:tcBorders>
            <w:shd w:val="clear" w:color="auto" w:fill="auto"/>
            <w:noWrap/>
            <w:vAlign w:val="bottom"/>
            <w:hideMark/>
          </w:tcPr>
          <w:p w14:paraId="2B7DD61C"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w:t>
            </w:r>
          </w:p>
        </w:tc>
      </w:tr>
      <w:tr w:rsidR="000133D6" w:rsidRPr="00E52CD1" w14:paraId="6623A302" w14:textId="77777777" w:rsidTr="000133D6">
        <w:trPr>
          <w:trHeight w:val="400"/>
        </w:trPr>
        <w:tc>
          <w:tcPr>
            <w:tcW w:w="2313" w:type="dxa"/>
            <w:tcBorders>
              <w:top w:val="nil"/>
              <w:left w:val="nil"/>
              <w:bottom w:val="nil"/>
              <w:right w:val="nil"/>
            </w:tcBorders>
            <w:shd w:val="clear" w:color="auto" w:fill="auto"/>
            <w:noWrap/>
            <w:vAlign w:val="bottom"/>
            <w:hideMark/>
          </w:tcPr>
          <w:p w14:paraId="2F55E0D0"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Chloroform</w:t>
            </w:r>
          </w:p>
        </w:tc>
        <w:tc>
          <w:tcPr>
            <w:tcW w:w="1301" w:type="dxa"/>
            <w:tcBorders>
              <w:top w:val="nil"/>
              <w:left w:val="nil"/>
              <w:bottom w:val="nil"/>
              <w:right w:val="nil"/>
            </w:tcBorders>
            <w:shd w:val="clear" w:color="auto" w:fill="auto"/>
            <w:noWrap/>
            <w:vAlign w:val="bottom"/>
            <w:hideMark/>
          </w:tcPr>
          <w:p w14:paraId="0C9E6734"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363" w:type="dxa"/>
            <w:tcBorders>
              <w:top w:val="nil"/>
              <w:left w:val="nil"/>
              <w:bottom w:val="nil"/>
              <w:right w:val="nil"/>
            </w:tcBorders>
          </w:tcPr>
          <w:p w14:paraId="33E9EEFD"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top w:val="nil"/>
              <w:left w:val="nil"/>
              <w:bottom w:val="nil"/>
              <w:right w:val="nil"/>
            </w:tcBorders>
          </w:tcPr>
          <w:p w14:paraId="3082231F"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GM</w:t>
            </w:r>
          </w:p>
        </w:tc>
        <w:tc>
          <w:tcPr>
            <w:tcW w:w="776" w:type="dxa"/>
            <w:tcBorders>
              <w:top w:val="nil"/>
              <w:left w:val="nil"/>
              <w:bottom w:val="nil"/>
              <w:right w:val="nil"/>
            </w:tcBorders>
          </w:tcPr>
          <w:p w14:paraId="0B8A337B"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10</w:t>
            </w:r>
          </w:p>
        </w:tc>
        <w:tc>
          <w:tcPr>
            <w:tcW w:w="1284" w:type="dxa"/>
            <w:tcBorders>
              <w:top w:val="nil"/>
              <w:left w:val="nil"/>
              <w:bottom w:val="nil"/>
              <w:right w:val="nil"/>
            </w:tcBorders>
            <w:shd w:val="clear" w:color="auto" w:fill="auto"/>
            <w:noWrap/>
            <w:vAlign w:val="bottom"/>
            <w:hideMark/>
          </w:tcPr>
          <w:p w14:paraId="4FE5B9A5"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(Not Growth)</w:t>
            </w:r>
            <w:r w:rsidRPr="00E52CD1">
              <w:rPr>
                <w:rFonts w:eastAsia="ＭＳ Ｐゴシック"/>
                <w:i/>
                <w:color w:val="000000"/>
                <w:sz w:val="16"/>
                <w:szCs w:val="16"/>
                <w:vertAlign w:val="superscript"/>
              </w:rPr>
              <w:t>e</w:t>
            </w:r>
          </w:p>
        </w:tc>
        <w:tc>
          <w:tcPr>
            <w:tcW w:w="1465" w:type="dxa"/>
            <w:tcBorders>
              <w:top w:val="nil"/>
              <w:left w:val="nil"/>
              <w:bottom w:val="nil"/>
              <w:right w:val="nil"/>
            </w:tcBorders>
            <w:shd w:val="clear" w:color="auto" w:fill="auto"/>
            <w:noWrap/>
            <w:vAlign w:val="bottom"/>
            <w:hideMark/>
          </w:tcPr>
          <w:p w14:paraId="3B0FBF1E"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w:t>
            </w:r>
          </w:p>
        </w:tc>
      </w:tr>
      <w:tr w:rsidR="000133D6" w:rsidRPr="00E52CD1" w14:paraId="4731E367" w14:textId="77777777" w:rsidTr="000133D6">
        <w:trPr>
          <w:trHeight w:val="400"/>
        </w:trPr>
        <w:tc>
          <w:tcPr>
            <w:tcW w:w="2313" w:type="dxa"/>
            <w:tcBorders>
              <w:top w:val="nil"/>
              <w:left w:val="nil"/>
              <w:right w:val="nil"/>
            </w:tcBorders>
            <w:shd w:val="clear" w:color="auto" w:fill="auto"/>
            <w:noWrap/>
            <w:vAlign w:val="bottom"/>
            <w:hideMark/>
          </w:tcPr>
          <w:p w14:paraId="00317E04"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Chlorobenzene</w:t>
            </w:r>
          </w:p>
        </w:tc>
        <w:tc>
          <w:tcPr>
            <w:tcW w:w="1301" w:type="dxa"/>
            <w:tcBorders>
              <w:top w:val="nil"/>
              <w:left w:val="nil"/>
              <w:right w:val="nil"/>
            </w:tcBorders>
            <w:shd w:val="clear" w:color="auto" w:fill="auto"/>
            <w:vAlign w:val="bottom"/>
          </w:tcPr>
          <w:p w14:paraId="05BBFD5A"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363" w:type="dxa"/>
            <w:tcBorders>
              <w:top w:val="nil"/>
              <w:left w:val="nil"/>
              <w:right w:val="nil"/>
            </w:tcBorders>
          </w:tcPr>
          <w:p w14:paraId="17F32B62"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top w:val="nil"/>
              <w:left w:val="nil"/>
              <w:right w:val="nil"/>
            </w:tcBorders>
          </w:tcPr>
          <w:p w14:paraId="66D40D9A"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GM</w:t>
            </w:r>
          </w:p>
        </w:tc>
        <w:tc>
          <w:tcPr>
            <w:tcW w:w="776" w:type="dxa"/>
            <w:tcBorders>
              <w:top w:val="nil"/>
              <w:left w:val="nil"/>
              <w:right w:val="nil"/>
            </w:tcBorders>
          </w:tcPr>
          <w:p w14:paraId="701AAD0A"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10</w:t>
            </w:r>
          </w:p>
        </w:tc>
        <w:tc>
          <w:tcPr>
            <w:tcW w:w="1284" w:type="dxa"/>
            <w:tcBorders>
              <w:top w:val="nil"/>
              <w:left w:val="nil"/>
              <w:right w:val="nil"/>
            </w:tcBorders>
            <w:shd w:val="clear" w:color="auto" w:fill="auto"/>
            <w:noWrap/>
            <w:vAlign w:val="bottom"/>
            <w:hideMark/>
          </w:tcPr>
          <w:p w14:paraId="4A6D43EE"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(Not Growth)</w:t>
            </w:r>
            <w:r w:rsidRPr="00E52CD1">
              <w:rPr>
                <w:rFonts w:eastAsia="ＭＳ Ｐゴシック"/>
                <w:i/>
                <w:color w:val="000000"/>
                <w:sz w:val="16"/>
                <w:szCs w:val="16"/>
                <w:vertAlign w:val="superscript"/>
              </w:rPr>
              <w:t>e</w:t>
            </w:r>
          </w:p>
        </w:tc>
        <w:tc>
          <w:tcPr>
            <w:tcW w:w="1465" w:type="dxa"/>
            <w:tcBorders>
              <w:top w:val="nil"/>
              <w:left w:val="nil"/>
              <w:right w:val="nil"/>
            </w:tcBorders>
            <w:shd w:val="clear" w:color="auto" w:fill="auto"/>
            <w:noWrap/>
            <w:vAlign w:val="bottom"/>
            <w:hideMark/>
          </w:tcPr>
          <w:p w14:paraId="5CD3DF7F"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w:t>
            </w:r>
          </w:p>
        </w:tc>
      </w:tr>
      <w:tr w:rsidR="000133D6" w:rsidRPr="00E52CD1" w14:paraId="2EE9DBE6" w14:textId="77777777" w:rsidTr="000133D6">
        <w:trPr>
          <w:trHeight w:val="400"/>
        </w:trPr>
        <w:tc>
          <w:tcPr>
            <w:tcW w:w="2313" w:type="dxa"/>
            <w:tcBorders>
              <w:top w:val="nil"/>
              <w:left w:val="nil"/>
              <w:bottom w:val="single" w:sz="4" w:space="0" w:color="auto"/>
              <w:right w:val="nil"/>
            </w:tcBorders>
            <w:shd w:val="clear" w:color="auto" w:fill="auto"/>
            <w:noWrap/>
            <w:vAlign w:val="bottom"/>
          </w:tcPr>
          <w:p w14:paraId="5FEDBF35"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1,2-Dichlorobenzene</w:t>
            </w:r>
          </w:p>
        </w:tc>
        <w:tc>
          <w:tcPr>
            <w:tcW w:w="1301" w:type="dxa"/>
            <w:tcBorders>
              <w:top w:val="nil"/>
              <w:left w:val="nil"/>
              <w:bottom w:val="single" w:sz="4" w:space="0" w:color="auto"/>
              <w:right w:val="nil"/>
            </w:tcBorders>
            <w:shd w:val="clear" w:color="auto" w:fill="auto"/>
            <w:vAlign w:val="bottom"/>
          </w:tcPr>
          <w:p w14:paraId="3ECD3776"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363" w:type="dxa"/>
            <w:tcBorders>
              <w:top w:val="nil"/>
              <w:left w:val="nil"/>
              <w:bottom w:val="single" w:sz="4" w:space="0" w:color="auto"/>
              <w:right w:val="nil"/>
            </w:tcBorders>
          </w:tcPr>
          <w:p w14:paraId="61D57039"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top w:val="nil"/>
              <w:left w:val="nil"/>
              <w:bottom w:val="single" w:sz="4" w:space="0" w:color="auto"/>
              <w:right w:val="nil"/>
            </w:tcBorders>
          </w:tcPr>
          <w:p w14:paraId="543F2A0D"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GM</w:t>
            </w:r>
          </w:p>
        </w:tc>
        <w:tc>
          <w:tcPr>
            <w:tcW w:w="776" w:type="dxa"/>
            <w:tcBorders>
              <w:top w:val="nil"/>
              <w:left w:val="nil"/>
              <w:bottom w:val="single" w:sz="4" w:space="0" w:color="auto"/>
              <w:right w:val="nil"/>
            </w:tcBorders>
          </w:tcPr>
          <w:p w14:paraId="163D0B6B"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10</w:t>
            </w:r>
          </w:p>
        </w:tc>
        <w:tc>
          <w:tcPr>
            <w:tcW w:w="1284" w:type="dxa"/>
            <w:tcBorders>
              <w:top w:val="nil"/>
              <w:left w:val="nil"/>
              <w:bottom w:val="single" w:sz="4" w:space="0" w:color="auto"/>
              <w:right w:val="nil"/>
            </w:tcBorders>
            <w:shd w:val="clear" w:color="auto" w:fill="auto"/>
            <w:noWrap/>
            <w:vAlign w:val="bottom"/>
          </w:tcPr>
          <w:p w14:paraId="3EEBC16B"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(Not Growth)</w:t>
            </w:r>
            <w:r w:rsidRPr="00E52CD1">
              <w:rPr>
                <w:rFonts w:eastAsia="ＭＳ Ｐゴシック"/>
                <w:i/>
                <w:color w:val="000000"/>
                <w:sz w:val="16"/>
                <w:szCs w:val="16"/>
                <w:vertAlign w:val="superscript"/>
              </w:rPr>
              <w:t>e</w:t>
            </w:r>
          </w:p>
        </w:tc>
        <w:tc>
          <w:tcPr>
            <w:tcW w:w="1465" w:type="dxa"/>
            <w:tcBorders>
              <w:top w:val="nil"/>
              <w:left w:val="nil"/>
              <w:bottom w:val="single" w:sz="4" w:space="0" w:color="auto"/>
              <w:right w:val="nil"/>
            </w:tcBorders>
            <w:shd w:val="clear" w:color="auto" w:fill="auto"/>
            <w:noWrap/>
            <w:vAlign w:val="bottom"/>
          </w:tcPr>
          <w:p w14:paraId="7567EC87"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w:t>
            </w:r>
          </w:p>
        </w:tc>
      </w:tr>
      <w:tr w:rsidR="000133D6" w:rsidRPr="00E52CD1" w14:paraId="4764E06D" w14:textId="77777777" w:rsidTr="000133D6">
        <w:trPr>
          <w:trHeight w:val="400"/>
        </w:trPr>
        <w:tc>
          <w:tcPr>
            <w:tcW w:w="2313" w:type="dxa"/>
            <w:tcBorders>
              <w:top w:val="single" w:sz="4" w:space="0" w:color="auto"/>
              <w:left w:val="nil"/>
              <w:right w:val="nil"/>
            </w:tcBorders>
            <w:shd w:val="clear" w:color="auto" w:fill="auto"/>
            <w:noWrap/>
            <w:vAlign w:val="bottom"/>
          </w:tcPr>
          <w:p w14:paraId="5CA5CCE9"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Plastic dish</w:t>
            </w:r>
            <w:r w:rsidRPr="00E52CD1">
              <w:rPr>
                <w:rFonts w:eastAsia="ＭＳ Ｐゴシック"/>
                <w:i/>
                <w:color w:val="000000"/>
                <w:sz w:val="16"/>
                <w:szCs w:val="16"/>
                <w:vertAlign w:val="superscript"/>
              </w:rPr>
              <w:t>c</w:t>
            </w:r>
          </w:p>
        </w:tc>
        <w:tc>
          <w:tcPr>
            <w:tcW w:w="1301" w:type="dxa"/>
            <w:tcBorders>
              <w:top w:val="single" w:sz="4" w:space="0" w:color="auto"/>
              <w:left w:val="nil"/>
              <w:right w:val="nil"/>
            </w:tcBorders>
            <w:shd w:val="clear" w:color="auto" w:fill="auto"/>
            <w:vAlign w:val="bottom"/>
          </w:tcPr>
          <w:p w14:paraId="5FB2F5FD"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363" w:type="dxa"/>
            <w:tcBorders>
              <w:top w:val="single" w:sz="4" w:space="0" w:color="auto"/>
              <w:left w:val="nil"/>
              <w:right w:val="nil"/>
            </w:tcBorders>
          </w:tcPr>
          <w:p w14:paraId="6F93C19A"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top w:val="single" w:sz="4" w:space="0" w:color="auto"/>
              <w:left w:val="nil"/>
              <w:right w:val="nil"/>
            </w:tcBorders>
          </w:tcPr>
          <w:p w14:paraId="127710DB"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GM</w:t>
            </w:r>
          </w:p>
        </w:tc>
        <w:tc>
          <w:tcPr>
            <w:tcW w:w="776" w:type="dxa"/>
            <w:tcBorders>
              <w:top w:val="single" w:sz="4" w:space="0" w:color="auto"/>
              <w:left w:val="nil"/>
              <w:right w:val="nil"/>
            </w:tcBorders>
          </w:tcPr>
          <w:p w14:paraId="7CCE6836"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10</w:t>
            </w:r>
          </w:p>
        </w:tc>
        <w:tc>
          <w:tcPr>
            <w:tcW w:w="1284" w:type="dxa"/>
            <w:tcBorders>
              <w:top w:val="single" w:sz="4" w:space="0" w:color="auto"/>
              <w:left w:val="nil"/>
              <w:right w:val="nil"/>
            </w:tcBorders>
            <w:shd w:val="clear" w:color="auto" w:fill="auto"/>
            <w:noWrap/>
            <w:vAlign w:val="bottom"/>
          </w:tcPr>
          <w:p w14:paraId="1580EAD6"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top w:val="single" w:sz="4" w:space="0" w:color="auto"/>
              <w:left w:val="nil"/>
              <w:right w:val="nil"/>
            </w:tcBorders>
            <w:shd w:val="clear" w:color="auto" w:fill="auto"/>
            <w:noWrap/>
            <w:vAlign w:val="bottom"/>
          </w:tcPr>
          <w:p w14:paraId="0DBDDA1A"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Spreading</w:t>
            </w:r>
          </w:p>
        </w:tc>
      </w:tr>
      <w:tr w:rsidR="000133D6" w:rsidRPr="00E52CD1" w14:paraId="59CA0A36" w14:textId="77777777" w:rsidTr="000133D6">
        <w:trPr>
          <w:trHeight w:val="400"/>
        </w:trPr>
        <w:tc>
          <w:tcPr>
            <w:tcW w:w="2313" w:type="dxa"/>
            <w:tcBorders>
              <w:left w:val="nil"/>
              <w:right w:val="nil"/>
            </w:tcBorders>
            <w:shd w:val="clear" w:color="auto" w:fill="auto"/>
            <w:noWrap/>
            <w:vAlign w:val="bottom"/>
          </w:tcPr>
          <w:p w14:paraId="04028C4B" w14:textId="77777777" w:rsidR="000133D6" w:rsidRPr="00E52CD1" w:rsidRDefault="000133D6" w:rsidP="000133D6">
            <w:pPr>
              <w:jc w:val="left"/>
              <w:rPr>
                <w:rFonts w:eastAsia="ＭＳ Ｐゴシック"/>
                <w:color w:val="000000"/>
                <w:sz w:val="16"/>
                <w:szCs w:val="16"/>
              </w:rPr>
            </w:pPr>
          </w:p>
        </w:tc>
        <w:tc>
          <w:tcPr>
            <w:tcW w:w="1301" w:type="dxa"/>
            <w:tcBorders>
              <w:left w:val="nil"/>
              <w:right w:val="nil"/>
            </w:tcBorders>
            <w:shd w:val="clear" w:color="auto" w:fill="auto"/>
            <w:vAlign w:val="bottom"/>
          </w:tcPr>
          <w:p w14:paraId="70CCD2CA"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363" w:type="dxa"/>
            <w:tcBorders>
              <w:left w:val="nil"/>
              <w:right w:val="nil"/>
            </w:tcBorders>
          </w:tcPr>
          <w:p w14:paraId="7CBF7C66"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left w:val="nil"/>
              <w:right w:val="nil"/>
            </w:tcBorders>
          </w:tcPr>
          <w:p w14:paraId="59146058"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DM</w:t>
            </w:r>
          </w:p>
        </w:tc>
        <w:tc>
          <w:tcPr>
            <w:tcW w:w="776" w:type="dxa"/>
            <w:tcBorders>
              <w:left w:val="nil"/>
              <w:right w:val="nil"/>
            </w:tcBorders>
          </w:tcPr>
          <w:p w14:paraId="7DC10394"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2</w:t>
            </w:r>
          </w:p>
        </w:tc>
        <w:tc>
          <w:tcPr>
            <w:tcW w:w="1284" w:type="dxa"/>
            <w:tcBorders>
              <w:left w:val="nil"/>
              <w:right w:val="nil"/>
            </w:tcBorders>
            <w:shd w:val="clear" w:color="auto" w:fill="auto"/>
            <w:noWrap/>
            <w:vAlign w:val="bottom"/>
          </w:tcPr>
          <w:p w14:paraId="70B34F61"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left w:val="nil"/>
              <w:right w:val="nil"/>
            </w:tcBorders>
            <w:shd w:val="clear" w:color="auto" w:fill="auto"/>
            <w:noWrap/>
            <w:vAlign w:val="bottom"/>
          </w:tcPr>
          <w:p w14:paraId="29F93DF1"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Spreading</w:t>
            </w:r>
          </w:p>
        </w:tc>
      </w:tr>
      <w:tr w:rsidR="000133D6" w:rsidRPr="00E52CD1" w14:paraId="24D7CF29" w14:textId="77777777" w:rsidTr="000133D6">
        <w:trPr>
          <w:trHeight w:val="400"/>
        </w:trPr>
        <w:tc>
          <w:tcPr>
            <w:tcW w:w="2313" w:type="dxa"/>
            <w:tcBorders>
              <w:left w:val="nil"/>
              <w:right w:val="nil"/>
            </w:tcBorders>
            <w:shd w:val="clear" w:color="auto" w:fill="auto"/>
            <w:noWrap/>
            <w:vAlign w:val="bottom"/>
          </w:tcPr>
          <w:p w14:paraId="36F69448" w14:textId="77777777" w:rsidR="000133D6" w:rsidRPr="00E52CD1" w:rsidRDefault="000133D6" w:rsidP="000133D6">
            <w:pPr>
              <w:jc w:val="left"/>
              <w:rPr>
                <w:rFonts w:eastAsia="ＭＳ Ｐゴシック"/>
                <w:color w:val="000000"/>
                <w:sz w:val="16"/>
                <w:szCs w:val="16"/>
              </w:rPr>
            </w:pPr>
          </w:p>
        </w:tc>
        <w:tc>
          <w:tcPr>
            <w:tcW w:w="1301" w:type="dxa"/>
            <w:tcBorders>
              <w:left w:val="nil"/>
              <w:right w:val="nil"/>
            </w:tcBorders>
            <w:shd w:val="clear" w:color="auto" w:fill="auto"/>
            <w:vAlign w:val="bottom"/>
          </w:tcPr>
          <w:p w14:paraId="2CA35FC1"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363" w:type="dxa"/>
            <w:tcBorders>
              <w:left w:val="nil"/>
              <w:right w:val="nil"/>
            </w:tcBorders>
          </w:tcPr>
          <w:p w14:paraId="129D418A"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C2C12</w:t>
            </w:r>
          </w:p>
        </w:tc>
        <w:tc>
          <w:tcPr>
            <w:tcW w:w="901" w:type="dxa"/>
            <w:tcBorders>
              <w:left w:val="nil"/>
              <w:right w:val="nil"/>
            </w:tcBorders>
          </w:tcPr>
          <w:p w14:paraId="35E7F71E"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DMEM</w:t>
            </w:r>
          </w:p>
        </w:tc>
        <w:tc>
          <w:tcPr>
            <w:tcW w:w="776" w:type="dxa"/>
            <w:tcBorders>
              <w:left w:val="nil"/>
              <w:right w:val="nil"/>
            </w:tcBorders>
          </w:tcPr>
          <w:p w14:paraId="1F000547"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0</w:t>
            </w:r>
          </w:p>
        </w:tc>
        <w:tc>
          <w:tcPr>
            <w:tcW w:w="1284" w:type="dxa"/>
            <w:tcBorders>
              <w:left w:val="nil"/>
              <w:right w:val="nil"/>
            </w:tcBorders>
            <w:shd w:val="clear" w:color="auto" w:fill="auto"/>
            <w:noWrap/>
            <w:vAlign w:val="bottom"/>
          </w:tcPr>
          <w:p w14:paraId="5ED7444A"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left w:val="nil"/>
              <w:right w:val="nil"/>
            </w:tcBorders>
            <w:shd w:val="clear" w:color="auto" w:fill="auto"/>
            <w:noWrap/>
            <w:vAlign w:val="bottom"/>
          </w:tcPr>
          <w:p w14:paraId="0363C060"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Spreading</w:t>
            </w:r>
          </w:p>
        </w:tc>
      </w:tr>
      <w:tr w:rsidR="000133D6" w:rsidRPr="00E52CD1" w14:paraId="5BA52A37" w14:textId="77777777" w:rsidTr="000133D6">
        <w:trPr>
          <w:trHeight w:val="400"/>
        </w:trPr>
        <w:tc>
          <w:tcPr>
            <w:tcW w:w="2313" w:type="dxa"/>
            <w:tcBorders>
              <w:left w:val="nil"/>
              <w:right w:val="nil"/>
            </w:tcBorders>
            <w:shd w:val="clear" w:color="auto" w:fill="auto"/>
            <w:noWrap/>
            <w:vAlign w:val="bottom"/>
          </w:tcPr>
          <w:p w14:paraId="063318C9" w14:textId="77777777" w:rsidR="000133D6" w:rsidRPr="00E52CD1" w:rsidRDefault="000133D6" w:rsidP="000133D6">
            <w:pPr>
              <w:jc w:val="left"/>
              <w:rPr>
                <w:rFonts w:eastAsia="ＭＳ Ｐゴシック"/>
                <w:color w:val="000000"/>
                <w:sz w:val="16"/>
                <w:szCs w:val="16"/>
              </w:rPr>
            </w:pPr>
          </w:p>
        </w:tc>
        <w:tc>
          <w:tcPr>
            <w:tcW w:w="1301" w:type="dxa"/>
            <w:tcBorders>
              <w:left w:val="nil"/>
              <w:right w:val="nil"/>
            </w:tcBorders>
            <w:shd w:val="clear" w:color="auto" w:fill="auto"/>
            <w:vAlign w:val="bottom"/>
          </w:tcPr>
          <w:p w14:paraId="714A9608"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363" w:type="dxa"/>
            <w:tcBorders>
              <w:left w:val="nil"/>
              <w:right w:val="nil"/>
            </w:tcBorders>
          </w:tcPr>
          <w:p w14:paraId="556AA7E4"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HEK293/GFP</w:t>
            </w:r>
          </w:p>
        </w:tc>
        <w:tc>
          <w:tcPr>
            <w:tcW w:w="901" w:type="dxa"/>
            <w:tcBorders>
              <w:left w:val="nil"/>
              <w:right w:val="nil"/>
            </w:tcBorders>
          </w:tcPr>
          <w:p w14:paraId="77B7C0BF"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GM</w:t>
            </w:r>
          </w:p>
        </w:tc>
        <w:tc>
          <w:tcPr>
            <w:tcW w:w="776" w:type="dxa"/>
            <w:tcBorders>
              <w:left w:val="nil"/>
              <w:right w:val="nil"/>
            </w:tcBorders>
          </w:tcPr>
          <w:p w14:paraId="5F6A674E"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10</w:t>
            </w:r>
          </w:p>
        </w:tc>
        <w:tc>
          <w:tcPr>
            <w:tcW w:w="1284" w:type="dxa"/>
            <w:tcBorders>
              <w:left w:val="nil"/>
              <w:right w:val="nil"/>
            </w:tcBorders>
            <w:shd w:val="clear" w:color="auto" w:fill="auto"/>
            <w:noWrap/>
            <w:vAlign w:val="bottom"/>
          </w:tcPr>
          <w:p w14:paraId="100A085C"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left w:val="nil"/>
              <w:right w:val="nil"/>
            </w:tcBorders>
            <w:shd w:val="clear" w:color="auto" w:fill="auto"/>
            <w:noWrap/>
            <w:vAlign w:val="bottom"/>
          </w:tcPr>
          <w:p w14:paraId="6BEF6FE9"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Aggregated</w:t>
            </w:r>
          </w:p>
        </w:tc>
      </w:tr>
      <w:tr w:rsidR="000133D6" w:rsidRPr="00E52CD1" w14:paraId="272BE032" w14:textId="77777777" w:rsidTr="000133D6">
        <w:trPr>
          <w:trHeight w:val="400"/>
        </w:trPr>
        <w:tc>
          <w:tcPr>
            <w:tcW w:w="2313" w:type="dxa"/>
            <w:tcBorders>
              <w:left w:val="nil"/>
              <w:bottom w:val="single" w:sz="4" w:space="0" w:color="auto"/>
              <w:right w:val="nil"/>
            </w:tcBorders>
            <w:shd w:val="clear" w:color="auto" w:fill="auto"/>
            <w:noWrap/>
            <w:vAlign w:val="bottom"/>
          </w:tcPr>
          <w:p w14:paraId="6A516176"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Plastic dish</w:t>
            </w:r>
            <w:r w:rsidRPr="00E52CD1">
              <w:rPr>
                <w:rFonts w:eastAsia="ＭＳ Ｐゴシック"/>
                <w:i/>
                <w:color w:val="000000"/>
                <w:sz w:val="16"/>
                <w:szCs w:val="16"/>
                <w:vertAlign w:val="superscript"/>
              </w:rPr>
              <w:t>d</w:t>
            </w:r>
          </w:p>
        </w:tc>
        <w:tc>
          <w:tcPr>
            <w:tcW w:w="1301" w:type="dxa"/>
            <w:tcBorders>
              <w:left w:val="nil"/>
              <w:bottom w:val="single" w:sz="4" w:space="0" w:color="auto"/>
              <w:right w:val="nil"/>
            </w:tcBorders>
            <w:shd w:val="clear" w:color="auto" w:fill="auto"/>
            <w:vAlign w:val="bottom"/>
          </w:tcPr>
          <w:p w14:paraId="4F14D1C5"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363" w:type="dxa"/>
            <w:tcBorders>
              <w:left w:val="nil"/>
              <w:bottom w:val="single" w:sz="4" w:space="0" w:color="auto"/>
              <w:right w:val="nil"/>
            </w:tcBorders>
          </w:tcPr>
          <w:p w14:paraId="6CC04D9A"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HEK293/GFP</w:t>
            </w:r>
          </w:p>
        </w:tc>
        <w:tc>
          <w:tcPr>
            <w:tcW w:w="901" w:type="dxa"/>
            <w:tcBorders>
              <w:left w:val="nil"/>
              <w:bottom w:val="single" w:sz="4" w:space="0" w:color="auto"/>
              <w:right w:val="nil"/>
            </w:tcBorders>
          </w:tcPr>
          <w:p w14:paraId="286E0163"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GM</w:t>
            </w:r>
          </w:p>
        </w:tc>
        <w:tc>
          <w:tcPr>
            <w:tcW w:w="776" w:type="dxa"/>
            <w:tcBorders>
              <w:left w:val="nil"/>
              <w:bottom w:val="single" w:sz="4" w:space="0" w:color="auto"/>
              <w:right w:val="nil"/>
            </w:tcBorders>
          </w:tcPr>
          <w:p w14:paraId="1F37F0EF" w14:textId="77777777" w:rsidR="000133D6" w:rsidRPr="00E52CD1" w:rsidRDefault="000133D6" w:rsidP="000133D6">
            <w:pPr>
              <w:jc w:val="right"/>
              <w:rPr>
                <w:rFonts w:eastAsia="ＭＳ Ｐゴシック"/>
                <w:color w:val="000000"/>
                <w:sz w:val="16"/>
                <w:szCs w:val="16"/>
              </w:rPr>
            </w:pPr>
            <w:r w:rsidRPr="00E52CD1">
              <w:rPr>
                <w:rFonts w:eastAsia="ＭＳ Ｐゴシック"/>
                <w:color w:val="000000"/>
                <w:sz w:val="16"/>
                <w:szCs w:val="16"/>
              </w:rPr>
              <w:t>10</w:t>
            </w:r>
          </w:p>
        </w:tc>
        <w:tc>
          <w:tcPr>
            <w:tcW w:w="1284" w:type="dxa"/>
            <w:tcBorders>
              <w:left w:val="nil"/>
              <w:bottom w:val="single" w:sz="4" w:space="0" w:color="auto"/>
              <w:right w:val="nil"/>
            </w:tcBorders>
            <w:shd w:val="clear" w:color="auto" w:fill="auto"/>
            <w:noWrap/>
            <w:vAlign w:val="bottom"/>
          </w:tcPr>
          <w:p w14:paraId="4022BC9E" w14:textId="77777777" w:rsidR="000133D6" w:rsidRPr="00E52CD1" w:rsidRDefault="000133D6" w:rsidP="000133D6">
            <w:pPr>
              <w:jc w:val="center"/>
              <w:rPr>
                <w:rFonts w:eastAsia="ＭＳ Ｐゴシック"/>
                <w:color w:val="000000"/>
                <w:sz w:val="16"/>
                <w:szCs w:val="16"/>
              </w:rPr>
            </w:pPr>
            <w:r w:rsidRPr="00E52CD1">
              <w:rPr>
                <w:rFonts w:eastAsia="ＭＳ Ｐゴシック"/>
                <w:color w:val="000000"/>
                <w:sz w:val="16"/>
                <w:szCs w:val="16"/>
              </w:rPr>
              <w:t>++</w:t>
            </w:r>
          </w:p>
        </w:tc>
        <w:tc>
          <w:tcPr>
            <w:tcW w:w="1465" w:type="dxa"/>
            <w:tcBorders>
              <w:left w:val="nil"/>
              <w:bottom w:val="single" w:sz="4" w:space="0" w:color="auto"/>
              <w:right w:val="nil"/>
            </w:tcBorders>
            <w:shd w:val="clear" w:color="auto" w:fill="auto"/>
            <w:noWrap/>
            <w:vAlign w:val="bottom"/>
          </w:tcPr>
          <w:p w14:paraId="0FAAD14B" w14:textId="77777777" w:rsidR="000133D6" w:rsidRPr="00E52CD1" w:rsidRDefault="000133D6" w:rsidP="000133D6">
            <w:pPr>
              <w:jc w:val="left"/>
              <w:rPr>
                <w:rFonts w:eastAsia="ＭＳ Ｐゴシック"/>
                <w:color w:val="000000"/>
                <w:sz w:val="16"/>
                <w:szCs w:val="16"/>
              </w:rPr>
            </w:pPr>
            <w:r w:rsidRPr="00E52CD1">
              <w:rPr>
                <w:rFonts w:eastAsia="ＭＳ Ｐゴシック"/>
                <w:color w:val="000000"/>
                <w:sz w:val="16"/>
                <w:szCs w:val="16"/>
              </w:rPr>
              <w:t>Spreading</w:t>
            </w:r>
          </w:p>
        </w:tc>
      </w:tr>
    </w:tbl>
    <w:p w14:paraId="01CC959F" w14:textId="77777777" w:rsidR="000133D6" w:rsidRPr="00E52CD1" w:rsidRDefault="000133D6" w:rsidP="000133D6">
      <w:pPr>
        <w:pStyle w:val="FETableFootnote"/>
      </w:pPr>
      <w:r w:rsidRPr="00E52CD1">
        <w:rPr>
          <w:i/>
          <w:vertAlign w:val="superscript"/>
        </w:rPr>
        <w:t>a</w:t>
      </w:r>
      <w:r w:rsidRPr="00E52CD1">
        <w:t xml:space="preserve"> RfOct and RfMCH were mixed with different ratio (v/v%).</w:t>
      </w:r>
    </w:p>
    <w:p w14:paraId="2094B2BB" w14:textId="77777777" w:rsidR="000133D6" w:rsidRPr="00E52CD1" w:rsidRDefault="000133D6" w:rsidP="000133D6">
      <w:pPr>
        <w:pStyle w:val="FETableFootnote"/>
      </w:pPr>
      <w:r w:rsidRPr="00E52CD1">
        <w:rPr>
          <w:i/>
          <w:vertAlign w:val="superscript"/>
        </w:rPr>
        <w:t>b</w:t>
      </w:r>
      <w:r w:rsidRPr="00E52CD1">
        <w:t xml:space="preserve"> Cell adhesion: ++, adhesion without floating; +, partial adhesion with floating; –, no adhesion but floating.</w:t>
      </w:r>
    </w:p>
    <w:p w14:paraId="03996BBC" w14:textId="77777777" w:rsidR="000133D6" w:rsidRPr="00E52CD1" w:rsidRDefault="000133D6" w:rsidP="000133D6">
      <w:pPr>
        <w:pStyle w:val="FETableFootnote"/>
      </w:pPr>
      <w:r w:rsidRPr="00E52CD1">
        <w:rPr>
          <w:i/>
          <w:vertAlign w:val="superscript"/>
        </w:rPr>
        <w:t>c</w:t>
      </w:r>
      <w:r w:rsidRPr="00E52CD1">
        <w:t xml:space="preserve"> A conventional plastic dish (polystyrene).</w:t>
      </w:r>
    </w:p>
    <w:p w14:paraId="2FC6AD77" w14:textId="77777777" w:rsidR="000133D6" w:rsidRPr="00E52CD1" w:rsidRDefault="000133D6" w:rsidP="000133D6">
      <w:pPr>
        <w:pStyle w:val="FETableFootnote"/>
      </w:pPr>
      <w:r w:rsidRPr="00E52CD1">
        <w:rPr>
          <w:i/>
          <w:vertAlign w:val="superscript"/>
        </w:rPr>
        <w:t>d</w:t>
      </w:r>
      <w:r w:rsidRPr="00E52CD1">
        <w:t xml:space="preserve"> A conventional plastic dish with collagen type-I coating (polystyrene).</w:t>
      </w:r>
    </w:p>
    <w:p w14:paraId="38D2C075" w14:textId="73F98179" w:rsidR="000133D6" w:rsidRPr="00E52CD1" w:rsidRDefault="000133D6" w:rsidP="000133D6">
      <w:pPr>
        <w:pStyle w:val="FETableFootnote"/>
      </w:pPr>
      <w:r w:rsidRPr="00E52CD1">
        <w:rPr>
          <w:i/>
          <w:vertAlign w:val="superscript"/>
        </w:rPr>
        <w:t>e</w:t>
      </w:r>
      <w:r w:rsidRPr="00E52CD1">
        <w:t xml:space="preserve"> Cells were not observed at the liquid–liquid interfaces.</w:t>
      </w:r>
    </w:p>
    <w:p w14:paraId="237BFC7C" w14:textId="6691F4D1" w:rsidR="00AE0C5A" w:rsidRPr="00E52CD1" w:rsidRDefault="00AE0C5A">
      <w:pPr>
        <w:spacing w:after="0"/>
        <w:jc w:val="left"/>
      </w:pPr>
      <w:r w:rsidRPr="00E52CD1">
        <w:br w:type="page"/>
      </w:r>
    </w:p>
    <w:p w14:paraId="31E111AF" w14:textId="11FA5C4E" w:rsidR="00AE0C5A" w:rsidRPr="00E52CD1" w:rsidRDefault="00AE0C5A" w:rsidP="00AE0C5A">
      <w:pPr>
        <w:pStyle w:val="TAMainText"/>
        <w:spacing w:after="240"/>
        <w:jc w:val="left"/>
      </w:pPr>
      <w:r w:rsidRPr="00E52CD1">
        <w:rPr>
          <w:b/>
        </w:rPr>
        <w:lastRenderedPageBreak/>
        <w:t>Control of myogenic differentiation by interfacial culture.</w:t>
      </w:r>
      <w:r w:rsidRPr="00E52CD1">
        <w:t xml:space="preserve"> Finally, we have investigated myogenic differentiation of C2C12 myoblast cells during interfacial culture at the liquid–liquid interface. The C2C12 cells suspended in differentiation medium (DM) were similarly spread onto RfOct subphase, and cultured for 5 and 10 days with exchange/renewal of DM every 3 days. For reference, C2C12 cells cultured in GM were also examined. To investigate myogenic differentiation, we analyzed the gene expression level of the markers for myogenic differentiation (m</w:t>
      </w:r>
      <w:r w:rsidRPr="00E52CD1">
        <w:rPr>
          <w:i/>
        </w:rPr>
        <w:t>yf5</w:t>
      </w:r>
      <w:r w:rsidRPr="00E52CD1">
        <w:t xml:space="preserve">, </w:t>
      </w:r>
      <w:r w:rsidRPr="00E52CD1">
        <w:rPr>
          <w:i/>
        </w:rPr>
        <w:t>MyoD</w:t>
      </w:r>
      <w:r w:rsidRPr="00E52CD1">
        <w:t xml:space="preserve">, and </w:t>
      </w:r>
      <w:r w:rsidRPr="00E52CD1">
        <w:rPr>
          <w:i/>
        </w:rPr>
        <w:t>myogenin</w:t>
      </w:r>
      <w:r w:rsidRPr="00E52CD1">
        <w:t>), and muscle specific gene, (</w:t>
      </w:r>
      <w:r w:rsidRPr="00E52CD1">
        <w:rPr>
          <w:i/>
        </w:rPr>
        <w:t>MHC</w:t>
      </w:r>
      <w:r w:rsidRPr="00E52CD1">
        <w:t xml:space="preserve">; </w:t>
      </w:r>
      <w:r w:rsidRPr="00E52CD1">
        <w:rPr>
          <w:i/>
        </w:rPr>
        <w:t>myosin heavy chain</w:t>
      </w:r>
      <w:r w:rsidRPr="00E52CD1">
        <w:t>)</w:t>
      </w:r>
      <w:r w:rsidRPr="00E52CD1">
        <w:rPr>
          <w:vertAlign w:val="superscript"/>
        </w:rPr>
        <w:t>30</w:t>
      </w:r>
      <w:r w:rsidRPr="00E52CD1">
        <w:t xml:space="preserve"> by quantitative real-time RT-PCR (Figure 3). When the level of growth factors is reduced, C2C12 myoblasts start to express myf5 and MyoD</w:t>
      </w:r>
      <w:bookmarkStart w:id="8" w:name="_Ref354350573"/>
      <w:r w:rsidRPr="00E52CD1">
        <w:t>.</w:t>
      </w:r>
      <w:bookmarkEnd w:id="8"/>
      <w:r w:rsidRPr="00E52CD1">
        <w:rPr>
          <w:vertAlign w:val="superscript"/>
        </w:rPr>
        <w:t>31</w:t>
      </w:r>
      <w:r w:rsidRPr="00E52CD1">
        <w:t xml:space="preserve"> Although </w:t>
      </w:r>
      <w:r w:rsidRPr="00E52CD1">
        <w:rPr>
          <w:i/>
        </w:rPr>
        <w:t>MyoD</w:t>
      </w:r>
      <w:r w:rsidRPr="00E52CD1">
        <w:t xml:space="preserve"> were expressed at a similar level to that on a conventional culture dish, m</w:t>
      </w:r>
      <w:r w:rsidRPr="00E52CD1">
        <w:rPr>
          <w:i/>
        </w:rPr>
        <w:t>yf5</w:t>
      </w:r>
      <w:r w:rsidRPr="00E52CD1">
        <w:t xml:space="preserve"> did not express within 5 days on RfOct. The late myogenic gene, </w:t>
      </w:r>
      <w:r w:rsidRPr="00E52CD1">
        <w:rPr>
          <w:i/>
        </w:rPr>
        <w:t>myogenin</w:t>
      </w:r>
      <w:r w:rsidRPr="00E52CD1">
        <w:t>, which is essential for myoblast differentiation and is increased by MyoD</w:t>
      </w:r>
      <w:bookmarkStart w:id="9" w:name="_Ref353696544"/>
      <w:r w:rsidRPr="00E52CD1">
        <w:t>,</w:t>
      </w:r>
      <w:bookmarkEnd w:id="9"/>
      <w:r w:rsidRPr="00E52CD1">
        <w:rPr>
          <w:vertAlign w:val="superscript"/>
        </w:rPr>
        <w:t>32–34</w:t>
      </w:r>
      <w:r w:rsidRPr="00E52CD1">
        <w:t xml:space="preserve"> was not expressed at the interfaces. Therefore, the muscle specific gene, </w:t>
      </w:r>
      <w:r w:rsidRPr="00E52CD1">
        <w:rPr>
          <w:i/>
        </w:rPr>
        <w:t>MHC</w:t>
      </w:r>
      <w:r w:rsidRPr="00E52CD1">
        <w:t xml:space="preserve"> was also not observed in the interfacial cultures. These results indicate that myogenic differentiation</w:t>
      </w:r>
      <w:r w:rsidRPr="00E52CD1" w:rsidDel="00CB6173">
        <w:t xml:space="preserve"> </w:t>
      </w:r>
      <w:r w:rsidRPr="00E52CD1">
        <w:t>is suppressed in interfacial cultures on RfOct.</w:t>
      </w:r>
    </w:p>
    <w:p w14:paraId="5EC19EF6" w14:textId="44FC199C" w:rsidR="00AE0C5A" w:rsidRPr="00E52CD1" w:rsidRDefault="00AE0C5A">
      <w:pPr>
        <w:spacing w:after="0"/>
        <w:jc w:val="left"/>
      </w:pPr>
      <w:r w:rsidRPr="00E52CD1">
        <w:br w:type="page"/>
      </w:r>
    </w:p>
    <w:p w14:paraId="60144121" w14:textId="3EF357B6" w:rsidR="000133D6" w:rsidRPr="00E52CD1" w:rsidRDefault="00292608" w:rsidP="000133D6">
      <w:pPr>
        <w:pStyle w:val="VAFigureCaption"/>
        <w:rPr>
          <w:b/>
        </w:rPr>
      </w:pPr>
      <w:r w:rsidRPr="00E52CD1">
        <w:rPr>
          <w:b/>
          <w:noProof/>
          <w:lang w:eastAsia="ja-JP"/>
        </w:rPr>
        <w:lastRenderedPageBreak/>
        <w:drawing>
          <wp:inline distT="0" distB="0" distL="0" distR="0" wp14:anchorId="1878C5E6" wp14:editId="180D0811">
            <wp:extent cx="5943600" cy="3547110"/>
            <wp:effectExtent l="0" t="0" r="0" b="889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ami_MS_Fig3_rev.tif"/>
                    <pic:cNvPicPr/>
                  </pic:nvPicPr>
                  <pic:blipFill>
                    <a:blip r:embed="rId10">
                      <a:extLst>
                        <a:ext uri="{28A0092B-C50C-407E-A947-70E740481C1C}">
                          <a14:useLocalDpi xmlns:a14="http://schemas.microsoft.com/office/drawing/2010/main" val="0"/>
                        </a:ext>
                      </a:extLst>
                    </a:blip>
                    <a:stretch>
                      <a:fillRect/>
                    </a:stretch>
                  </pic:blipFill>
                  <pic:spPr>
                    <a:xfrm>
                      <a:off x="0" y="0"/>
                      <a:ext cx="5943600" cy="3547110"/>
                    </a:xfrm>
                    <a:prstGeom prst="rect">
                      <a:avLst/>
                    </a:prstGeom>
                  </pic:spPr>
                </pic:pic>
              </a:graphicData>
            </a:graphic>
          </wp:inline>
        </w:drawing>
      </w:r>
    </w:p>
    <w:p w14:paraId="7F83F205" w14:textId="02C1CA4A" w:rsidR="000133D6" w:rsidRPr="00E52CD1" w:rsidRDefault="000133D6" w:rsidP="000133D6">
      <w:pPr>
        <w:pStyle w:val="VAFigureCaption"/>
      </w:pPr>
      <w:r w:rsidRPr="00E52CD1">
        <w:rPr>
          <w:b/>
        </w:rPr>
        <w:t xml:space="preserve">Figure 3. </w:t>
      </w:r>
      <w:r w:rsidRPr="00E52CD1">
        <w:t>Suppression of myogenic differentiation of C2C12 myoblasts by interfacial culture. The C2C12 myoblast cells were incubated on conventional plastic dish (plastic dish) or at an interface (RfOct) for 5 and 10 days. (a) Normalized gene expression levels measured by quantitative real-time RT-PCR analyses (</w:t>
      </w:r>
      <w:r w:rsidRPr="00E52CD1">
        <w:rPr>
          <w:i/>
        </w:rPr>
        <w:t xml:space="preserve">N </w:t>
      </w:r>
      <w:r w:rsidRPr="00E52CD1">
        <w:t xml:space="preserve">= 3 for each group). The gene expression levels of plastic dish at day-1 were shown as 1 for </w:t>
      </w:r>
      <w:r w:rsidRPr="00E52CD1">
        <w:rPr>
          <w:i/>
        </w:rPr>
        <w:t>MyoD</w:t>
      </w:r>
      <w:r w:rsidRPr="00E52CD1">
        <w:t xml:space="preserve">, </w:t>
      </w:r>
      <w:r w:rsidRPr="00E52CD1">
        <w:rPr>
          <w:i/>
        </w:rPr>
        <w:t>myf5</w:t>
      </w:r>
      <w:r w:rsidRPr="00E52CD1">
        <w:t xml:space="preserve"> and </w:t>
      </w:r>
      <w:r w:rsidRPr="00E52CD1">
        <w:rPr>
          <w:i/>
        </w:rPr>
        <w:t>myogenin</w:t>
      </w:r>
      <w:r w:rsidRPr="00E52CD1">
        <w:t xml:space="preserve">. For </w:t>
      </w:r>
      <w:r w:rsidRPr="00E52CD1">
        <w:rPr>
          <w:i/>
        </w:rPr>
        <w:t>MHC</w:t>
      </w:r>
      <w:r w:rsidRPr="00E52CD1">
        <w:t xml:space="preserve">, gene expression of plastic dish at day-1 was not detected (n.d.), therefore the level of plastic dish at day-5 with GM is shown as 1. Blue and red bars indicate the gene expression with GM and DM, respectively. Blue and red bars indicate the gene expression with GM and DM, respectively. All error bars are ±SD. * </w:t>
      </w:r>
      <w:r w:rsidRPr="00E52CD1">
        <w:rPr>
          <w:i/>
        </w:rPr>
        <w:t>p</w:t>
      </w:r>
      <w:r w:rsidRPr="00E52CD1">
        <w:t xml:space="preserve"> &lt; 0.05, ** </w:t>
      </w:r>
      <w:r w:rsidRPr="00E52CD1">
        <w:rPr>
          <w:i/>
        </w:rPr>
        <w:t>p</w:t>
      </w:r>
      <w:r w:rsidRPr="00E52CD1">
        <w:t xml:space="preserve"> &lt; 0.01, *** </w:t>
      </w:r>
      <w:r w:rsidRPr="00E52CD1">
        <w:rPr>
          <w:i/>
        </w:rPr>
        <w:t>p</w:t>
      </w:r>
      <w:r w:rsidRPr="00E52CD1">
        <w:t xml:space="preserve"> &lt; 0.005 vs. day-1 on dish; </w:t>
      </w:r>
      <w:r w:rsidRPr="00E52CD1">
        <w:rPr>
          <w:vertAlign w:val="superscript"/>
        </w:rPr>
        <w:t>†</w:t>
      </w:r>
      <w:r w:rsidRPr="00E52CD1">
        <w:t xml:space="preserve"> </w:t>
      </w:r>
      <w:r w:rsidRPr="00E52CD1">
        <w:rPr>
          <w:i/>
        </w:rPr>
        <w:t>p</w:t>
      </w:r>
      <w:r w:rsidRPr="00E52CD1">
        <w:t xml:space="preserve"> &lt; 0.05, </w:t>
      </w:r>
      <w:r w:rsidRPr="00E52CD1">
        <w:rPr>
          <w:vertAlign w:val="superscript"/>
        </w:rPr>
        <w:t>††</w:t>
      </w:r>
      <w:r w:rsidRPr="00E52CD1">
        <w:t xml:space="preserve"> </w:t>
      </w:r>
      <w:r w:rsidRPr="00E52CD1">
        <w:rPr>
          <w:i/>
        </w:rPr>
        <w:t>p</w:t>
      </w:r>
      <w:r w:rsidRPr="00E52CD1">
        <w:t xml:space="preserve"> &lt; 0.01, </w:t>
      </w:r>
      <w:r w:rsidRPr="00E52CD1">
        <w:rPr>
          <w:vertAlign w:val="superscript"/>
        </w:rPr>
        <w:t>†††</w:t>
      </w:r>
      <w:r w:rsidRPr="00E52CD1">
        <w:t xml:space="preserve"> </w:t>
      </w:r>
      <w:r w:rsidRPr="00E52CD1">
        <w:rPr>
          <w:i/>
        </w:rPr>
        <w:t>p</w:t>
      </w:r>
      <w:r w:rsidRPr="00E52CD1">
        <w:t xml:space="preserve"> &lt; 0.005, day-5 vs. day-10; </w:t>
      </w:r>
      <w:r w:rsidRPr="00E52CD1">
        <w:rPr>
          <w:vertAlign w:val="superscript"/>
        </w:rPr>
        <w:t>#</w:t>
      </w:r>
      <w:r w:rsidRPr="00E52CD1">
        <w:t xml:space="preserve"> </w:t>
      </w:r>
      <w:r w:rsidRPr="00E52CD1">
        <w:rPr>
          <w:i/>
        </w:rPr>
        <w:t>p</w:t>
      </w:r>
      <w:r w:rsidRPr="00E52CD1">
        <w:t xml:space="preserve"> &lt; 0.05, </w:t>
      </w:r>
      <w:r w:rsidRPr="00E52CD1">
        <w:rPr>
          <w:vertAlign w:val="superscript"/>
        </w:rPr>
        <w:t>##</w:t>
      </w:r>
      <w:r w:rsidRPr="00E52CD1">
        <w:t xml:space="preserve"> </w:t>
      </w:r>
      <w:r w:rsidRPr="00E52CD1">
        <w:rPr>
          <w:i/>
        </w:rPr>
        <w:t>p</w:t>
      </w:r>
      <w:r w:rsidRPr="00E52CD1">
        <w:t xml:space="preserve"> &lt; 0.01, </w:t>
      </w:r>
      <w:r w:rsidRPr="00E52CD1">
        <w:rPr>
          <w:vertAlign w:val="superscript"/>
        </w:rPr>
        <w:t>###</w:t>
      </w:r>
      <w:r w:rsidRPr="00E52CD1">
        <w:t xml:space="preserve"> </w:t>
      </w:r>
      <w:r w:rsidRPr="00E52CD1">
        <w:rPr>
          <w:i/>
        </w:rPr>
        <w:t>p</w:t>
      </w:r>
      <w:r w:rsidRPr="00E52CD1">
        <w:t xml:space="preserve"> &lt; 0.005, cells on dish vs. at interface. (b) Model illustrating the effect of the interfacial culture system on myogenesis. </w:t>
      </w:r>
    </w:p>
    <w:p w14:paraId="164B2BE8" w14:textId="77777777" w:rsidR="00AE0C5A" w:rsidRPr="00E52CD1" w:rsidRDefault="00AE0C5A">
      <w:pPr>
        <w:spacing w:after="0"/>
        <w:jc w:val="left"/>
        <w:rPr>
          <w:b/>
        </w:rPr>
      </w:pPr>
      <w:r w:rsidRPr="00E52CD1">
        <w:rPr>
          <w:b/>
        </w:rPr>
        <w:br w:type="page"/>
      </w:r>
    </w:p>
    <w:p w14:paraId="2248BEED" w14:textId="14CB15CC" w:rsidR="00AE0C5A" w:rsidRPr="00E52CD1" w:rsidRDefault="00AE0C5A" w:rsidP="00AE0C5A">
      <w:pPr>
        <w:pStyle w:val="TAMainText"/>
        <w:spacing w:after="240"/>
        <w:jc w:val="left"/>
      </w:pPr>
      <w:r w:rsidRPr="00E52CD1">
        <w:rPr>
          <w:b/>
        </w:rPr>
        <w:lastRenderedPageBreak/>
        <w:t xml:space="preserve">Cell sheet transfer onto an elastic substrate. </w:t>
      </w:r>
      <w:r w:rsidRPr="00E52CD1">
        <w:t>Apparently, interfacial culture can regulate the myogenic differentiation of C2C12 myoblast cells although further investigation is limited due to the lack of methods for direct molecular biological analyses. For implementation of conventional molecular biological technologies, it is required that cells be transferred onto the conventional cellular scaffolds. In this study, we have shown that the C2C12 myoblast cells form a cell sheet at liquid–liquid interfaces. We have also demonstrated that the cell sheets can be transferred onto a glass substrate</w:t>
      </w:r>
      <w:r w:rsidR="00BC721C" w:rsidRPr="00E52CD1">
        <w:t xml:space="preserve"> by </w:t>
      </w:r>
      <w:r w:rsidR="00C458EB" w:rsidRPr="00E52CD1">
        <w:t xml:space="preserve">using </w:t>
      </w:r>
      <w:r w:rsidR="00A5631A" w:rsidRPr="00E52CD1">
        <w:t xml:space="preserve">the </w:t>
      </w:r>
      <w:r w:rsidR="00BC721C" w:rsidRPr="00E52CD1">
        <w:t>Langmuir–Blodgett technique</w:t>
      </w:r>
      <w:r w:rsidRPr="00E52CD1">
        <w:t>, and proliferate. Glass plates (1 cm × 1 cm) were placed into each well of a 24-well culture dish, then the PFCs and cell suspension in GM were poured into each well of the 24-well culture dish. After incubation for 24 h, the glass plates were lifted from the culture dish using tweezers, and observed by microscopy (Figure 4a). The C2C12 cells had been transferred onto the glass plates maintaining their spreading morphology obtained at the interfaces (Figure 4b,c). Importantly, the edge of the cell sheet could be observed, which revealed that the cell sheets had been transferred together with their protein layers (see Figure S5). We then attempted to incubate the transferred cells on bare glass plates. However, the cell sheets did not adhere to the glass surface and being detached upon addition of GM. We also attempted to incubate the detached cell sheets on a conventional culture dish. C2C12 cells transferred from the RfOct interface grew and spread with a similar morphology to those cultured on conventional plastic dishes (Figure 4d,e). On the other hand, cells transferred from RfMCH showed little or no spreading after incubation on plastic culture dishes, possibly because of the lower cellular viability (Figure 2c).</w:t>
      </w:r>
      <w:r w:rsidR="00BC721C" w:rsidRPr="00E52CD1">
        <w:t xml:space="preserve"> Th</w:t>
      </w:r>
      <w:r w:rsidR="00A5631A" w:rsidRPr="00E52CD1">
        <w:t>e</w:t>
      </w:r>
      <w:r w:rsidR="00BC721C" w:rsidRPr="00E52CD1">
        <w:t xml:space="preserve"> LB technique </w:t>
      </w:r>
      <w:r w:rsidR="00A96EA8" w:rsidRPr="00E52CD1">
        <w:t xml:space="preserve">has successfully </w:t>
      </w:r>
      <w:r w:rsidR="00A5631A" w:rsidRPr="00E52CD1">
        <w:t xml:space="preserve">been used to </w:t>
      </w:r>
      <w:r w:rsidR="00A96EA8" w:rsidRPr="00E52CD1">
        <w:t xml:space="preserve">transfer cell sheet from the liquid–liquid interfaces, </w:t>
      </w:r>
      <w:r w:rsidR="00A5631A" w:rsidRPr="00E52CD1">
        <w:t>while</w:t>
      </w:r>
      <w:r w:rsidR="00A96EA8" w:rsidRPr="00E52CD1">
        <w:t xml:space="preserve"> maintain</w:t>
      </w:r>
      <w:r w:rsidR="00A5631A" w:rsidRPr="00E52CD1">
        <w:t>ing the</w:t>
      </w:r>
      <w:r w:rsidR="00A96EA8" w:rsidRPr="00E52CD1">
        <w:t xml:space="preserve"> morphology and biological functions of the transferred cells.</w:t>
      </w:r>
    </w:p>
    <w:p w14:paraId="5CE01841" w14:textId="1C0F5F90" w:rsidR="00AE0C5A" w:rsidRPr="00E52CD1" w:rsidRDefault="00AE0C5A">
      <w:pPr>
        <w:spacing w:after="0"/>
        <w:jc w:val="left"/>
      </w:pPr>
      <w:r w:rsidRPr="00E52CD1">
        <w:br w:type="page"/>
      </w:r>
    </w:p>
    <w:p w14:paraId="14D1EB03" w14:textId="3294EE00" w:rsidR="00AE0C5A" w:rsidRPr="00E52CD1" w:rsidRDefault="00292608" w:rsidP="000133D6">
      <w:pPr>
        <w:pStyle w:val="TAMainText"/>
        <w:spacing w:after="240"/>
        <w:ind w:firstLine="0"/>
        <w:jc w:val="left"/>
      </w:pPr>
      <w:r w:rsidRPr="00E52CD1">
        <w:rPr>
          <w:noProof/>
          <w:lang w:eastAsia="ja-JP"/>
        </w:rPr>
        <w:lastRenderedPageBreak/>
        <w:drawing>
          <wp:inline distT="0" distB="0" distL="0" distR="0" wp14:anchorId="167B5191" wp14:editId="33547B2B">
            <wp:extent cx="2921000" cy="4127500"/>
            <wp:effectExtent l="0" t="0" r="0" b="1270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ami_MS_Fig4_rev.tif"/>
                    <pic:cNvPicPr/>
                  </pic:nvPicPr>
                  <pic:blipFill>
                    <a:blip r:embed="rId11">
                      <a:extLst>
                        <a:ext uri="{28A0092B-C50C-407E-A947-70E740481C1C}">
                          <a14:useLocalDpi xmlns:a14="http://schemas.microsoft.com/office/drawing/2010/main" val="0"/>
                        </a:ext>
                      </a:extLst>
                    </a:blip>
                    <a:stretch>
                      <a:fillRect/>
                    </a:stretch>
                  </pic:blipFill>
                  <pic:spPr>
                    <a:xfrm>
                      <a:off x="0" y="0"/>
                      <a:ext cx="2921000" cy="4127500"/>
                    </a:xfrm>
                    <a:prstGeom prst="rect">
                      <a:avLst/>
                    </a:prstGeom>
                  </pic:spPr>
                </pic:pic>
              </a:graphicData>
            </a:graphic>
          </wp:inline>
        </w:drawing>
      </w:r>
    </w:p>
    <w:p w14:paraId="651E3C4E" w14:textId="08B50A15" w:rsidR="00AE0C5A" w:rsidRPr="00E52CD1" w:rsidRDefault="000133D6" w:rsidP="000133D6">
      <w:pPr>
        <w:pStyle w:val="VAFigureCaption"/>
      </w:pPr>
      <w:r w:rsidRPr="00E52CD1">
        <w:rPr>
          <w:b/>
        </w:rPr>
        <w:t xml:space="preserve">Figure 4. </w:t>
      </w:r>
      <w:r w:rsidRPr="00E52CD1">
        <w:t xml:space="preserve">Langmuir–Blodgett film of living cells. (a) Schematic illustration of the procedure of a cell sheet transfer onto glass plate from a liquid–liquid interface by Langmuir–Blodgett approach. Initially, a glass plate is placed at the bottom of a well in a 24-well dish. After incubation, the glass plate was removed by tweezer. (b,c) C2C12 cells transferred onto a glass plate from an interface on RfOct (b) or RfMCH (c). (d,e) Transferred cells incubated in the conventional culture dishes for 24 h from RfOct (d) or RfMCH (e). Scale bar: 300 </w:t>
      </w:r>
      <w:r w:rsidRPr="00E52CD1">
        <w:rPr>
          <w:rFonts w:ascii="Symbol" w:hAnsi="Symbol"/>
        </w:rPr>
        <w:t></w:t>
      </w:r>
      <w:r w:rsidRPr="00E52CD1">
        <w:t>m.</w:t>
      </w:r>
    </w:p>
    <w:p w14:paraId="0A3FC477" w14:textId="77777777" w:rsidR="00AE0C5A" w:rsidRPr="00E52CD1" w:rsidRDefault="00AE0C5A">
      <w:pPr>
        <w:spacing w:after="0"/>
        <w:jc w:val="left"/>
      </w:pPr>
      <w:r w:rsidRPr="00E52CD1">
        <w:br w:type="page"/>
      </w:r>
    </w:p>
    <w:p w14:paraId="076B27BD" w14:textId="54318172" w:rsidR="00AE0C5A" w:rsidRPr="00E52CD1" w:rsidRDefault="00AE0C5A" w:rsidP="000B5610">
      <w:pPr>
        <w:pStyle w:val="TAMainText"/>
        <w:spacing w:after="240"/>
        <w:ind w:firstLine="0"/>
        <w:jc w:val="left"/>
      </w:pPr>
      <w:r w:rsidRPr="00E52CD1">
        <w:lastRenderedPageBreak/>
        <w:t>DISCUSSION</w:t>
      </w:r>
    </w:p>
    <w:p w14:paraId="42392C26" w14:textId="77777777" w:rsidR="00AE0C5A" w:rsidRPr="00E52CD1" w:rsidRDefault="00AE0C5A" w:rsidP="00AE0C5A">
      <w:pPr>
        <w:pStyle w:val="TAMainText"/>
        <w:spacing w:after="240"/>
        <w:jc w:val="left"/>
      </w:pPr>
      <w:r w:rsidRPr="00E52CD1">
        <w:t>Although it is known that soluble induction factors are critical for cellular differentiation, especially in stem cell differentiation and stem cell lineage,</w:t>
      </w:r>
      <w:r w:rsidRPr="00E52CD1">
        <w:rPr>
          <w:vertAlign w:val="superscript"/>
        </w:rPr>
        <w:t>35,36</w:t>
      </w:r>
      <w:r w:rsidRPr="00E52CD1">
        <w:t xml:space="preserve"> recent evidence has shown that the physical microenvironment and mechanical stress of the cells help direct the fate of mesenchyme stem cells (MSCs)</w:t>
      </w:r>
      <w:bookmarkStart w:id="10" w:name="_Ref353554068"/>
      <w:r w:rsidRPr="00E52CD1">
        <w:t>.</w:t>
      </w:r>
      <w:r w:rsidRPr="00E52CD1">
        <w:rPr>
          <w:vertAlign w:val="superscript"/>
        </w:rPr>
        <w:t>9,</w:t>
      </w:r>
      <w:bookmarkEnd w:id="10"/>
      <w:r w:rsidRPr="00E52CD1">
        <w:rPr>
          <w:vertAlign w:val="superscript"/>
        </w:rPr>
        <w:t>37</w:t>
      </w:r>
      <w:r w:rsidRPr="00E52CD1">
        <w:t xml:space="preserve"> This includes contributions due to substrate stiffness, with substrates of different stiffnesses causing the differentiation of MSCs,</w:t>
      </w:r>
      <w:r w:rsidRPr="00E52CD1">
        <w:rPr>
          <w:vertAlign w:val="superscript"/>
        </w:rPr>
        <w:t>9,38–43</w:t>
      </w:r>
      <w:r w:rsidRPr="00E52CD1">
        <w:t xml:space="preserve"> mimicking native tissue whose elastic moduli range from very soft to stiff,</w:t>
      </w:r>
      <w:r w:rsidRPr="00E52CD1">
        <w:rPr>
          <w:vertAlign w:val="superscript"/>
        </w:rPr>
        <w:t>44,45</w:t>
      </w:r>
      <w:r w:rsidRPr="00E52CD1">
        <w:t xml:space="preserve"> Conventional culture dishes are typically elastic, while ECMs in tissues and organs are generally viscoelastic exhibiting partial stress relaxation.</w:t>
      </w:r>
      <w:r w:rsidRPr="00E52CD1">
        <w:rPr>
          <w:vertAlign w:val="superscript"/>
        </w:rPr>
        <w:t>13,14</w:t>
      </w:r>
      <w:r w:rsidRPr="00E52CD1">
        <w:t xml:space="preserve"> The ability of a substrate to either store (elastic) or dissipate (viscoelastic) cellular forces could provide an important stimulus to interacting cells. Recently, hydrogels with tunable stress relaxation properties have been found to strongly regulate cellular processes, including stem cell fate.</w:t>
      </w:r>
      <w:r w:rsidRPr="00E52CD1">
        <w:rPr>
          <w:vertAlign w:val="superscript"/>
        </w:rPr>
        <w:t>15,16</w:t>
      </w:r>
      <w:r w:rsidRPr="00E52CD1">
        <w:t xml:space="preserve"> In this paper, we have demonstrated the suppression of myogenic differentiation of mouse skeletal myoblast C2C12 cells in a fluid microenvironment provided by a liquid–liquid interface, which was used for cell culture. Interfacial cell culture was first reported by Keese and Giaever in 1983.</w:t>
      </w:r>
      <w:r w:rsidRPr="00E52CD1">
        <w:rPr>
          <w:vertAlign w:val="superscript"/>
        </w:rPr>
        <w:t>21–23</w:t>
      </w:r>
      <w:r w:rsidRPr="00E52CD1">
        <w:t xml:space="preserve"> Keese and Giaever used the interfaces between PFCs and a culture medium, and investigated the spreading behavior of fibroblast cells.</w:t>
      </w:r>
      <w:r w:rsidRPr="00E52CD1">
        <w:rPr>
          <w:vertAlign w:val="superscript"/>
        </w:rPr>
        <w:t>23</w:t>
      </w:r>
      <w:r w:rsidRPr="00E52CD1">
        <w:t xml:space="preserve"> Sato et al. have also used a similar procedure to investigate cell adhesion and proliferation.</w:t>
      </w:r>
      <w:r w:rsidRPr="00E52CD1">
        <w:rPr>
          <w:vertAlign w:val="superscript"/>
        </w:rPr>
        <w:t>24–26</w:t>
      </w:r>
      <w:r w:rsidRPr="00E52CD1">
        <w:t xml:space="preserve"> However, the effects of the fluid microenvironment on cellular differentiation were not known. We have demonstrated the interfacial culture of C2C12 cells, whose myogenic differentiation has been well studied.</w:t>
      </w:r>
      <w:r w:rsidRPr="00E52CD1">
        <w:rPr>
          <w:vertAlign w:val="superscript"/>
        </w:rPr>
        <w:t>30</w:t>
      </w:r>
      <w:r w:rsidRPr="00E52CD1">
        <w:t xml:space="preserve"> The C2C12 cells clearly exhibited spreading behavior on the protein layer at the RfOct–GM interface with some aggregated 3D grid-like cells, in good agreement with previous results.</w:t>
      </w:r>
      <w:r w:rsidRPr="00E52CD1">
        <w:rPr>
          <w:vertAlign w:val="superscript"/>
        </w:rPr>
        <w:t>21,28</w:t>
      </w:r>
      <w:r w:rsidRPr="00E52CD1">
        <w:t xml:space="preserve"> On the other hand, the cells were not able to spread at RfMCH interfaces (see Figure 2). By mixing the PFCs in different ratios, the C2C12 cells did not show spreading behavior </w:t>
      </w:r>
      <w:r w:rsidRPr="00E52CD1">
        <w:lastRenderedPageBreak/>
        <w:t>(Table 1), suggesting that the low cell viability of C2C12 on RfMCH suppresses their cell spreading. Notably, cells cultured at the interfaces can be directly transferred by pipetting to a conventional substrate and remain viable. Transfer can also be achieved by using Langmuir–Blodgett (LB) approaches in which the protein layers are retained,</w:t>
      </w:r>
      <w:r w:rsidRPr="00E52CD1">
        <w:rPr>
          <w:vertAlign w:val="superscript"/>
        </w:rPr>
        <w:t>29</w:t>
      </w:r>
      <w:r w:rsidRPr="00E52CD1">
        <w:t xml:space="preserve"> suggesting in turn that the cells retain their biological functions at the interfaces. This LB approach for cell transfer has great potential for its application in conjunction with conventional molecular biological techniques as well as for the construction of 3D cell architectures for tissue engineering or regenerative medicine.</w:t>
      </w:r>
    </w:p>
    <w:p w14:paraId="53FC74AB" w14:textId="265F8180" w:rsidR="00AE0C5A" w:rsidRPr="00E52CD1" w:rsidRDefault="00AE0C5A" w:rsidP="00AE0C5A">
      <w:pPr>
        <w:pStyle w:val="TAMainText"/>
        <w:spacing w:after="240"/>
        <w:jc w:val="left"/>
      </w:pPr>
      <w:r w:rsidRPr="00E52CD1">
        <w:t>Interfacial culture at a liquid–liquid interface has been used to demonstrate that the fluid microenvironment suppresses myogenic differentiation. By reducing levels of growth factors in the GM, myogenic differentiation of C2C12 myoblast cells was initiated on conventional (elastic) dishes.</w:t>
      </w:r>
      <w:r w:rsidRPr="00E52CD1">
        <w:rPr>
          <w:vertAlign w:val="superscript"/>
        </w:rPr>
        <w:t>30</w:t>
      </w:r>
      <w:r w:rsidRPr="00E52CD1">
        <w:t xml:space="preserve"> Myogenic differentiation requires up-regulation of the myogenic regulatory factor (MRF) family genes, </w:t>
      </w:r>
      <w:r w:rsidRPr="00E52CD1">
        <w:rPr>
          <w:i/>
        </w:rPr>
        <w:t>MyoD</w:t>
      </w:r>
      <w:r w:rsidRPr="00E52CD1">
        <w:t xml:space="preserve"> and </w:t>
      </w:r>
      <w:r w:rsidRPr="00E52CD1">
        <w:rPr>
          <w:i/>
        </w:rPr>
        <w:t>myf5</w:t>
      </w:r>
      <w:r w:rsidRPr="00E52CD1">
        <w:t>.</w:t>
      </w:r>
      <w:r w:rsidRPr="00E52CD1">
        <w:rPr>
          <w:vertAlign w:val="superscript"/>
        </w:rPr>
        <w:t>31</w:t>
      </w:r>
      <w:r w:rsidRPr="00E52CD1">
        <w:t xml:space="preserve"> Myoblasts were differentiated to myotubes, which express the late MRFs, </w:t>
      </w:r>
      <w:r w:rsidRPr="00E52CD1">
        <w:rPr>
          <w:i/>
        </w:rPr>
        <w:t>myogenin</w:t>
      </w:r>
      <w:r w:rsidRPr="00E52CD1">
        <w:t xml:space="preserve"> and </w:t>
      </w:r>
      <w:r w:rsidRPr="00E52CD1">
        <w:rPr>
          <w:i/>
        </w:rPr>
        <w:t>MRF4</w:t>
      </w:r>
      <w:r w:rsidRPr="00E52CD1">
        <w:t xml:space="preserve">, and subsequently express muscle-specific genes, such as </w:t>
      </w:r>
      <w:r w:rsidRPr="00E52CD1">
        <w:rPr>
          <w:i/>
        </w:rPr>
        <w:t>MHC</w:t>
      </w:r>
      <w:r w:rsidRPr="00E52CD1">
        <w:t xml:space="preserve"> and muscle creatine kinase (</w:t>
      </w:r>
      <w:r w:rsidRPr="00E52CD1">
        <w:rPr>
          <w:i/>
        </w:rPr>
        <w:t>MCK</w:t>
      </w:r>
      <w:r w:rsidRPr="00E52CD1">
        <w:t>).</w:t>
      </w:r>
      <w:r w:rsidRPr="00E52CD1">
        <w:rPr>
          <w:vertAlign w:val="superscript"/>
        </w:rPr>
        <w:t>46</w:t>
      </w:r>
      <w:r w:rsidRPr="00E52CD1">
        <w:t xml:space="preserve"> C2C12 cells were subjected to interfacial culture on RfOct in DM, and incubated for 5–10 days (Figure 3). Both MyoD and myf5 are essential for myoblast identity.</w:t>
      </w:r>
      <w:r w:rsidRPr="00E52CD1">
        <w:rPr>
          <w:vertAlign w:val="superscript"/>
        </w:rPr>
        <w:t>47–49</w:t>
      </w:r>
      <w:r w:rsidRPr="00E52CD1">
        <w:t xml:space="preserve"> On the conventional (elastic) plastic dish, C2C12 cells were clearly differentiated, and hence expressed muscle specific MHC. In contrast, </w:t>
      </w:r>
      <w:r w:rsidRPr="00E52CD1">
        <w:rPr>
          <w:i/>
        </w:rPr>
        <w:t>myf5</w:t>
      </w:r>
      <w:r w:rsidRPr="00E52CD1">
        <w:t xml:space="preserve"> expression was suppressed at the interface under the fluid environment. It has been reported that MyoD increases myogenin expression on elastic or viscoelastic scaffolds,</w:t>
      </w:r>
      <w:r w:rsidRPr="00E52CD1">
        <w:rPr>
          <w:vertAlign w:val="superscript"/>
        </w:rPr>
        <w:t>34</w:t>
      </w:r>
      <w:r w:rsidRPr="00E52CD1">
        <w:t xml:space="preserve"> which is essential for myoblast differentiation.</w:t>
      </w:r>
      <w:r w:rsidRPr="00E52CD1">
        <w:rPr>
          <w:vertAlign w:val="superscript"/>
        </w:rPr>
        <w:t>32,33</w:t>
      </w:r>
      <w:r w:rsidRPr="00E52CD1">
        <w:t xml:space="preserve"> At the liquid–liquid interface, although </w:t>
      </w:r>
      <w:r w:rsidRPr="00E52CD1">
        <w:rPr>
          <w:i/>
        </w:rPr>
        <w:t>MyoD</w:t>
      </w:r>
      <w:r w:rsidRPr="00E52CD1">
        <w:t xml:space="preserve"> was expressed at a similar level at the interface as that on a conventional elastic culture dish, </w:t>
      </w:r>
      <w:r w:rsidRPr="00E52CD1">
        <w:rPr>
          <w:i/>
        </w:rPr>
        <w:t>myogenin</w:t>
      </w:r>
      <w:r w:rsidRPr="00E52CD1">
        <w:t xml:space="preserve"> expression was significantly suppressed in the fluid environment presented by the interfacial culture. These </w:t>
      </w:r>
      <w:r w:rsidRPr="00E52CD1">
        <w:lastRenderedPageBreak/>
        <w:t xml:space="preserve">results suggest that interfacial culture of C2C12 suppresses the expression of myogenin, thereby regulating myogenic differentiation and resulting in suppression of muscle-specific gene, </w:t>
      </w:r>
      <w:r w:rsidRPr="00E52CD1">
        <w:rPr>
          <w:i/>
        </w:rPr>
        <w:t>MHC</w:t>
      </w:r>
      <w:r w:rsidRPr="00E52CD1">
        <w:t>. We believe that myogenin expression is suppressed because cell traction forces, which cells exert on the ECM, are weakened at a liquid–liquid interface due to its fluid microenvironment. The detailed mechanism of myogensis regulation remains unclear.</w:t>
      </w:r>
    </w:p>
    <w:p w14:paraId="71CE466D" w14:textId="77777777" w:rsidR="00AE0C5A" w:rsidRPr="00E52CD1" w:rsidRDefault="00AE0C5A">
      <w:pPr>
        <w:spacing w:after="0"/>
        <w:jc w:val="left"/>
      </w:pPr>
      <w:r w:rsidRPr="00E52CD1">
        <w:br w:type="page"/>
      </w:r>
    </w:p>
    <w:p w14:paraId="1170CAB2" w14:textId="77777777" w:rsidR="00AE0C5A" w:rsidRPr="00E52CD1" w:rsidRDefault="00AE0C5A" w:rsidP="000B5610">
      <w:pPr>
        <w:pStyle w:val="TAMainText"/>
        <w:spacing w:after="240"/>
        <w:ind w:firstLine="0"/>
        <w:jc w:val="left"/>
      </w:pPr>
      <w:r w:rsidRPr="00E52CD1">
        <w:lastRenderedPageBreak/>
        <w:t>CONCLUSION</w:t>
      </w:r>
    </w:p>
    <w:p w14:paraId="7C72B492" w14:textId="71D42EA0" w:rsidR="00AE0C5A" w:rsidRPr="00E52CD1" w:rsidRDefault="00AE0C5A" w:rsidP="00456604">
      <w:pPr>
        <w:pStyle w:val="TAMainText"/>
        <w:spacing w:after="240"/>
        <w:jc w:val="left"/>
      </w:pPr>
      <w:r w:rsidRPr="00E52CD1">
        <w:t>In conclusion, we have demonstrated the suppression of myogenic differentiation in cells contained in an interfacial culture medium. The fate of stem cell lineages could be tuned by varying the microenvironment of cells by changing the substrates’ elastic moduli as well as viscoelastic properties by modulating stress relaxation properties.</w:t>
      </w:r>
      <w:r w:rsidRPr="00E52CD1">
        <w:rPr>
          <w:vertAlign w:val="superscript"/>
        </w:rPr>
        <w:t>9,15,16</w:t>
      </w:r>
      <w:r w:rsidRPr="00E52CD1">
        <w:t xml:space="preserve"> Thus, as described</w:t>
      </w:r>
      <w:r w:rsidR="00B6244A" w:rsidRPr="00E52CD1">
        <w:t xml:space="preserve"> here</w:t>
      </w:r>
      <w:r w:rsidR="00A5631A" w:rsidRPr="00E52CD1">
        <w:t>,</w:t>
      </w:r>
      <w:r w:rsidRPr="00E52CD1">
        <w:t xml:space="preserve"> it is possible to suppress myogenic differentiation by using a liquid–liquid interface as a fluid microenvironment, where viscoelastic stress is essentially absent, for cell culture. This interfacial culture system can be applied to a large variety of mammalian cells with retention of their biological functions,</w:t>
      </w:r>
      <w:r w:rsidRPr="00E52CD1">
        <w:rPr>
          <w:vertAlign w:val="superscript"/>
        </w:rPr>
        <w:t>20–26</w:t>
      </w:r>
      <w:r w:rsidRPr="00E52CD1">
        <w:t xml:space="preserve"> and hence our results clearly indicate the potential utility for regulation of cellular differentiation as well as retention of stemness. </w:t>
      </w:r>
      <w:r w:rsidR="00335E43" w:rsidRPr="00E52CD1">
        <w:t>T</w:t>
      </w:r>
      <w:r w:rsidRPr="00E52CD1">
        <w:t>his culture system ought also to be applicable in the field of tissue engineering for the construction of cell sheets and their transfer onto solid substrates by the LB technique, in which conventional techniques of molecular biology can also be applied.</w:t>
      </w:r>
      <w:r w:rsidR="00B452CE" w:rsidRPr="00E52CD1">
        <w:t xml:space="preserve"> </w:t>
      </w:r>
      <w:r w:rsidR="00BC6E85" w:rsidRPr="00E52CD1">
        <w:t>The different PFCs used here have different chemical properties leading to contrasting results for cellular proliferation and growth at their liquid–liquid interfaces. However, the effect of PFC structure on biological functions remains unclear so that further investigation of this aspect is required.</w:t>
      </w:r>
    </w:p>
    <w:p w14:paraId="6CA37028" w14:textId="6B59C71F" w:rsidR="00AE0C5A" w:rsidRPr="00E52CD1" w:rsidRDefault="00AE0C5A" w:rsidP="00AE0C5A">
      <w:pPr>
        <w:pStyle w:val="TAMainText"/>
        <w:spacing w:after="240"/>
        <w:jc w:val="left"/>
      </w:pPr>
      <w:r w:rsidRPr="00E52CD1">
        <w:t>It is known that living cells alter their morphologies and functions in response to mechanical forces including substrate stiffness and shear stress. However, there is only limited knowledge regarding how mechanical properties affect cell functions including stem cell fate</w:t>
      </w:r>
      <w:r w:rsidR="000A38B8" w:rsidRPr="00E52CD1">
        <w:t xml:space="preserve"> and cell-cell interaction under </w:t>
      </w:r>
      <w:r w:rsidR="00A5631A" w:rsidRPr="00E52CD1">
        <w:t xml:space="preserve">a </w:t>
      </w:r>
      <w:r w:rsidR="000A38B8" w:rsidRPr="00E52CD1">
        <w:t>heteroscopic environment</w:t>
      </w:r>
      <w:r w:rsidRPr="00E52CD1">
        <w:t>.</w:t>
      </w:r>
      <w:r w:rsidR="000A38B8" w:rsidRPr="00E52CD1">
        <w:rPr>
          <w:vertAlign w:val="superscript"/>
        </w:rPr>
        <w:t>50</w:t>
      </w:r>
      <w:r w:rsidRPr="00E52CD1">
        <w:t xml:space="preserve"> The combination of this interfacial culture medium with LB techniques</w:t>
      </w:r>
      <w:r w:rsidRPr="00E52CD1">
        <w:rPr>
          <w:vertAlign w:val="superscript"/>
        </w:rPr>
        <w:t>5</w:t>
      </w:r>
      <w:r w:rsidR="000A38B8" w:rsidRPr="00E52CD1">
        <w:rPr>
          <w:vertAlign w:val="superscript"/>
        </w:rPr>
        <w:t>1</w:t>
      </w:r>
      <w:r w:rsidRPr="00E52CD1">
        <w:t xml:space="preserve"> allows direct application of mechanical compressive stress to cells at liquid–liquid interfaces. Our results offer the potential utility of the interfacial culture system for investigation of the effects of mechanical forces on cells to the fields of tissue engineering </w:t>
      </w:r>
      <w:r w:rsidRPr="00E52CD1">
        <w:lastRenderedPageBreak/>
        <w:t xml:space="preserve">and stem cell research as well as to the field of mechanobiology. This work also provides further insight into studies of lung functions. Recently, Pilarek </w:t>
      </w:r>
      <w:r w:rsidRPr="00E52CD1">
        <w:rPr>
          <w:i/>
        </w:rPr>
        <w:t>et al</w:t>
      </w:r>
      <w:r w:rsidRPr="00E52CD1">
        <w:t>. have shown the effect of oxygen dissolved in PFCs on cells cultured at PFC–water interfaces.</w:t>
      </w:r>
      <w:r w:rsidRPr="00E52CD1">
        <w:rPr>
          <w:vertAlign w:val="superscript"/>
        </w:rPr>
        <w:t>28</w:t>
      </w:r>
      <w:r w:rsidRPr="00E52CD1">
        <w:t xml:space="preserve"> Oxygen has a high solubility in PFCs.</w:t>
      </w:r>
      <w:r w:rsidRPr="00E52CD1">
        <w:rPr>
          <w:vertAlign w:val="superscript"/>
        </w:rPr>
        <w:t>5</w:t>
      </w:r>
      <w:r w:rsidR="00576200" w:rsidRPr="00E52CD1">
        <w:rPr>
          <w:vertAlign w:val="superscript"/>
        </w:rPr>
        <w:t>2</w:t>
      </w:r>
      <w:r w:rsidRPr="00E52CD1">
        <w:t xml:space="preserve"> This culture system could also be applied in the investigation of alveolar cellular behavior and functions including their differentiation, as well as pulmonary cell mechanics. </w:t>
      </w:r>
    </w:p>
    <w:p w14:paraId="44AE398D" w14:textId="77777777" w:rsidR="000133D6" w:rsidRPr="00E52CD1" w:rsidRDefault="000133D6">
      <w:pPr>
        <w:spacing w:after="0"/>
        <w:jc w:val="left"/>
      </w:pPr>
      <w:r w:rsidRPr="00E52CD1">
        <w:br w:type="page"/>
      </w:r>
    </w:p>
    <w:p w14:paraId="0A8B0B06" w14:textId="55F21F79" w:rsidR="00DD6DBB" w:rsidRPr="00E52CD1" w:rsidRDefault="00C10EE0" w:rsidP="000B5610">
      <w:pPr>
        <w:pStyle w:val="TESupportingInformation"/>
        <w:spacing w:after="240"/>
        <w:ind w:firstLine="0"/>
        <w:jc w:val="left"/>
      </w:pPr>
      <w:r w:rsidRPr="00E52CD1">
        <w:lastRenderedPageBreak/>
        <w:t>ASSOCIATED CONTENT</w:t>
      </w:r>
    </w:p>
    <w:p w14:paraId="3ACF63D1" w14:textId="77777777" w:rsidR="000133D6" w:rsidRPr="00E52CD1" w:rsidRDefault="000133D6" w:rsidP="000133D6">
      <w:pPr>
        <w:pStyle w:val="TESupportingInformation"/>
        <w:spacing w:after="240"/>
        <w:jc w:val="left"/>
      </w:pPr>
      <w:r w:rsidRPr="00E52CD1">
        <w:rPr>
          <w:b/>
        </w:rPr>
        <w:t>Supporting Information</w:t>
      </w:r>
      <w:r w:rsidRPr="00E52CD1">
        <w:t xml:space="preserve"> </w:t>
      </w:r>
    </w:p>
    <w:p w14:paraId="2DC5D369" w14:textId="4FFEA2E7" w:rsidR="000133D6" w:rsidRPr="00E52CD1" w:rsidRDefault="000133D6" w:rsidP="000133D6">
      <w:pPr>
        <w:pStyle w:val="TESupportingInformation"/>
        <w:spacing w:after="240"/>
        <w:jc w:val="left"/>
      </w:pPr>
      <w:r w:rsidRPr="00E52CD1">
        <w:t>The Supporting Information is available free of charge on the ACS Publication website at DOI: 10.1021/acsami.XXX.</w:t>
      </w:r>
      <w:r w:rsidRPr="00E52CD1">
        <w:br/>
      </w:r>
      <w:r w:rsidRPr="00E52CD1">
        <w:tab/>
        <w:t>Additional notes, experimental details, microscopic images, and supporting data (PDF); and supporting movies for time-lapse of cultured cells at interfaces (AVI)</w:t>
      </w:r>
    </w:p>
    <w:p w14:paraId="6AB83F63" w14:textId="77777777" w:rsidR="00855B62" w:rsidRPr="00E52CD1" w:rsidRDefault="00855B62" w:rsidP="00DD6DBB">
      <w:pPr>
        <w:pStyle w:val="FACorrespondingAuthorFootnote"/>
        <w:spacing w:after="0"/>
        <w:jc w:val="left"/>
      </w:pPr>
    </w:p>
    <w:p w14:paraId="15B2C6BE" w14:textId="77777777" w:rsidR="00DD6DBB" w:rsidRPr="00E52CD1" w:rsidRDefault="00DD6DBB" w:rsidP="00DD6DBB">
      <w:pPr>
        <w:pStyle w:val="FACorrespondingAuthorFootnote"/>
        <w:spacing w:after="0"/>
        <w:jc w:val="left"/>
      </w:pPr>
      <w:r w:rsidRPr="00E52CD1">
        <w:t>AUTHOR INFORMATION</w:t>
      </w:r>
    </w:p>
    <w:p w14:paraId="067F2657" w14:textId="77777777" w:rsidR="00DD6DBB" w:rsidRPr="00E52CD1" w:rsidRDefault="00DD6DBB" w:rsidP="000133D6">
      <w:pPr>
        <w:pStyle w:val="FAAuthorInfoSubtitle"/>
        <w:rPr>
          <w:b/>
        </w:rPr>
      </w:pPr>
      <w:r w:rsidRPr="00E52CD1">
        <w:rPr>
          <w:b/>
        </w:rPr>
        <w:t>Corresponding Author</w:t>
      </w:r>
    </w:p>
    <w:p w14:paraId="74231124" w14:textId="77777777" w:rsidR="000133D6" w:rsidRPr="00E52CD1" w:rsidRDefault="000133D6" w:rsidP="000133D6">
      <w:pPr>
        <w:pStyle w:val="FAAuthorInfoSubtitle"/>
      </w:pPr>
      <w:r w:rsidRPr="00E52CD1">
        <w:t>*E-mail: MINAMI.Kosuke@nims.go.jp</w:t>
      </w:r>
    </w:p>
    <w:p w14:paraId="00558579" w14:textId="77777777" w:rsidR="000133D6" w:rsidRPr="00E52CD1" w:rsidRDefault="000133D6" w:rsidP="000133D6">
      <w:pPr>
        <w:pStyle w:val="FAAuthorInfoSubtitle"/>
      </w:pPr>
      <w:r w:rsidRPr="00E52CD1">
        <w:t>*E-mail: ARIGA.Katsuhiko@nims.go.jp</w:t>
      </w:r>
    </w:p>
    <w:p w14:paraId="6BEE1BF1" w14:textId="77777777" w:rsidR="000133D6" w:rsidRPr="00E52CD1" w:rsidRDefault="000133D6" w:rsidP="000133D6">
      <w:pPr>
        <w:pStyle w:val="FAAuthorInfoSubtitle"/>
        <w:rPr>
          <w:b/>
        </w:rPr>
      </w:pPr>
      <w:r w:rsidRPr="00E52CD1">
        <w:rPr>
          <w:b/>
        </w:rPr>
        <w:t>Author Contributions</w:t>
      </w:r>
    </w:p>
    <w:p w14:paraId="28B2D41B" w14:textId="77777777" w:rsidR="000133D6" w:rsidRPr="00E52CD1" w:rsidRDefault="000133D6" w:rsidP="000133D6">
      <w:pPr>
        <w:pStyle w:val="FAAuthorInfoSubtitle"/>
      </w:pPr>
      <w:r w:rsidRPr="00E52CD1">
        <w:t>K.M. designed and performed the experiments and analyzed the data; J.N. assisted in experiments; N.S. constructed HEK293/EGFP cell lines; T.M., W.N., N.S., J.N., J.P.H., M.K. and K.A. discussed results and proposed experiments; K.M. wrote the manuscript with input from all other authors.</w:t>
      </w:r>
    </w:p>
    <w:p w14:paraId="6F7FD2B8" w14:textId="77777777" w:rsidR="000133D6" w:rsidRPr="00E52CD1" w:rsidRDefault="000133D6" w:rsidP="000133D6">
      <w:pPr>
        <w:pStyle w:val="FAAuthorInfoSubtitle"/>
        <w:rPr>
          <w:b/>
        </w:rPr>
      </w:pPr>
      <w:r w:rsidRPr="00E52CD1">
        <w:rPr>
          <w:b/>
        </w:rPr>
        <w:t xml:space="preserve">Notes </w:t>
      </w:r>
    </w:p>
    <w:p w14:paraId="15C3BE8E" w14:textId="77777777" w:rsidR="000133D6" w:rsidRPr="00E52CD1" w:rsidRDefault="000133D6" w:rsidP="000133D6">
      <w:pPr>
        <w:pStyle w:val="FAAuthorInfoSubtitle"/>
      </w:pPr>
      <w:r w:rsidRPr="00E52CD1">
        <w:t>The authors declare no conflict of interest.</w:t>
      </w:r>
    </w:p>
    <w:p w14:paraId="55BD086E" w14:textId="77777777" w:rsidR="000133D6" w:rsidRPr="00E52CD1" w:rsidRDefault="000133D6" w:rsidP="000133D6">
      <w:pPr>
        <w:pStyle w:val="FAAuthorInfoSubtitle"/>
      </w:pPr>
    </w:p>
    <w:p w14:paraId="1A9D9850" w14:textId="77777777" w:rsidR="00DD6DBB" w:rsidRPr="00E52CD1" w:rsidRDefault="00DD6DBB" w:rsidP="000B5610">
      <w:pPr>
        <w:pStyle w:val="TDAcknowledgments"/>
        <w:spacing w:before="0" w:after="0"/>
        <w:ind w:firstLine="0"/>
        <w:jc w:val="left"/>
      </w:pPr>
      <w:r w:rsidRPr="00E52CD1">
        <w:t>ACKNOWLEDGMENT</w:t>
      </w:r>
    </w:p>
    <w:p w14:paraId="2AE8EEFC" w14:textId="5D87D5B9" w:rsidR="009246AD" w:rsidRPr="00E52CD1" w:rsidRDefault="00855B62" w:rsidP="000B5610">
      <w:pPr>
        <w:pStyle w:val="TDAcknowledgments"/>
        <w:spacing w:before="0" w:after="240"/>
        <w:ind w:firstLine="0"/>
        <w:jc w:val="left"/>
      </w:pPr>
      <w:r w:rsidRPr="00E52CD1">
        <w:lastRenderedPageBreak/>
        <w:t xml:space="preserve">This study was partially supported by Core Research for Evolutional Science and Technology (CREST) program of Japan Science and Technology Agency (JST) Grant Number JPMJCR1665, and Japan Society for the Promotion of Science (JSPS) KAKENHI Grant Number JP16H06518 to K.A., 15H03831 to J.N., and 15K17890 to K.M. </w:t>
      </w:r>
    </w:p>
    <w:p w14:paraId="76056CE5" w14:textId="77777777" w:rsidR="00855B62" w:rsidRPr="00E52CD1" w:rsidRDefault="00855B62">
      <w:pPr>
        <w:spacing w:after="0"/>
        <w:jc w:val="left"/>
      </w:pPr>
      <w:r w:rsidRPr="00E52CD1">
        <w:br w:type="page"/>
      </w:r>
    </w:p>
    <w:p w14:paraId="5FC687BB" w14:textId="15624533" w:rsidR="00DD6DBB" w:rsidRPr="00E52CD1" w:rsidRDefault="00DD6DBB" w:rsidP="000B5610">
      <w:pPr>
        <w:pStyle w:val="TFReferencesSection"/>
        <w:spacing w:after="0"/>
        <w:ind w:firstLine="0"/>
      </w:pPr>
      <w:r w:rsidRPr="00E52CD1">
        <w:lastRenderedPageBreak/>
        <w:t>REFERENCES</w:t>
      </w:r>
    </w:p>
    <w:p w14:paraId="251FD609" w14:textId="77777777" w:rsidR="00855B62" w:rsidRPr="00E52CD1" w:rsidRDefault="00855B62" w:rsidP="00855B62">
      <w:pPr>
        <w:pStyle w:val="TFReferencesSection"/>
        <w:ind w:firstLine="0"/>
      </w:pPr>
      <w:r w:rsidRPr="00E52CD1">
        <w:t>(1)</w:t>
      </w:r>
      <w:r w:rsidRPr="00E52CD1">
        <w:tab/>
        <w:t xml:space="preserve">Salgado, A. J.; Oliveira, J. M.; Martins, A.; Teixeira, F. G.; Silva, N. A; Neves, N. M.; Sousa, N.; Reis, R. L. Tissue Engineering and Regenerative Medicine: Past, Present, and Future. </w:t>
      </w:r>
      <w:r w:rsidRPr="00E52CD1">
        <w:rPr>
          <w:i/>
        </w:rPr>
        <w:t>Int. Rev. Neurobiol.</w:t>
      </w:r>
      <w:r w:rsidRPr="00E52CD1">
        <w:t xml:space="preserve"> </w:t>
      </w:r>
      <w:r w:rsidRPr="00E52CD1">
        <w:rPr>
          <w:b/>
        </w:rPr>
        <w:t>2013</w:t>
      </w:r>
      <w:r w:rsidRPr="00E52CD1">
        <w:t xml:space="preserve">, </w:t>
      </w:r>
      <w:r w:rsidRPr="00E52CD1">
        <w:rPr>
          <w:i/>
        </w:rPr>
        <w:t>108</w:t>
      </w:r>
      <w:r w:rsidRPr="00E52CD1">
        <w:t>, 1–33.</w:t>
      </w:r>
    </w:p>
    <w:p w14:paraId="5162EE1C" w14:textId="77777777" w:rsidR="00855B62" w:rsidRPr="00E52CD1" w:rsidRDefault="00855B62" w:rsidP="00855B62">
      <w:pPr>
        <w:pStyle w:val="TFReferencesSection"/>
        <w:ind w:firstLine="0"/>
      </w:pPr>
      <w:r w:rsidRPr="00E52CD1">
        <w:t>(2)</w:t>
      </w:r>
      <w:r w:rsidRPr="00E52CD1">
        <w:tab/>
        <w:t xml:space="preserve">Park, D. H.; Borlongan, C. V.; Eve, D. J.; Sanberg, P. R. The Emerging Field of Cell and Tissue Engineering. </w:t>
      </w:r>
      <w:r w:rsidRPr="00E52CD1">
        <w:rPr>
          <w:i/>
        </w:rPr>
        <w:t>Med. Sci. Monit.</w:t>
      </w:r>
      <w:r w:rsidRPr="00E52CD1">
        <w:t xml:space="preserve"> </w:t>
      </w:r>
      <w:r w:rsidRPr="00E52CD1">
        <w:rPr>
          <w:b/>
        </w:rPr>
        <w:t>2008</w:t>
      </w:r>
      <w:r w:rsidRPr="00E52CD1">
        <w:t xml:space="preserve">, </w:t>
      </w:r>
      <w:r w:rsidRPr="00E52CD1">
        <w:rPr>
          <w:i/>
        </w:rPr>
        <w:t>14</w:t>
      </w:r>
      <w:r w:rsidRPr="00E52CD1">
        <w:t xml:space="preserve">, RA206–RA220. </w:t>
      </w:r>
    </w:p>
    <w:p w14:paraId="5B559604" w14:textId="77777777" w:rsidR="00855B62" w:rsidRPr="00E52CD1" w:rsidRDefault="00855B62" w:rsidP="00855B62">
      <w:pPr>
        <w:pStyle w:val="TFReferencesSection"/>
        <w:ind w:firstLine="0"/>
      </w:pPr>
      <w:r w:rsidRPr="00E52CD1">
        <w:t>(3)</w:t>
      </w:r>
      <w:r w:rsidRPr="00E52CD1">
        <w:tab/>
        <w:t xml:space="preserve">Khademhosseini, A.; Langer, R.; Borenstein, J.; Vacanti, J. P. Microscale Technologies for Tissue Engineering and Biology. </w:t>
      </w:r>
      <w:r w:rsidRPr="00E52CD1">
        <w:rPr>
          <w:i/>
        </w:rPr>
        <w:t>Proc. Natl. Acad. Sci. U.S.A.</w:t>
      </w:r>
      <w:r w:rsidRPr="00E52CD1">
        <w:t xml:space="preserve"> </w:t>
      </w:r>
      <w:r w:rsidRPr="00E52CD1">
        <w:rPr>
          <w:b/>
        </w:rPr>
        <w:t>2006</w:t>
      </w:r>
      <w:r w:rsidRPr="00E52CD1">
        <w:t xml:space="preserve">, </w:t>
      </w:r>
      <w:r w:rsidRPr="00E52CD1">
        <w:rPr>
          <w:i/>
        </w:rPr>
        <w:t>103</w:t>
      </w:r>
      <w:r w:rsidRPr="00E52CD1">
        <w:t>, 2480–2487.</w:t>
      </w:r>
    </w:p>
    <w:p w14:paraId="7D68FC3A" w14:textId="77777777" w:rsidR="00855B62" w:rsidRPr="00E52CD1" w:rsidRDefault="00855B62" w:rsidP="00855B62">
      <w:pPr>
        <w:pStyle w:val="TFReferencesSection"/>
        <w:ind w:firstLine="0"/>
      </w:pPr>
      <w:r w:rsidRPr="00E52CD1">
        <w:t>(4)</w:t>
      </w:r>
      <w:r w:rsidRPr="00E52CD1">
        <w:tab/>
        <w:t xml:space="preserve">Griffith, L. G.; Naughton, G. Tissue Engineering—Current Challenges and Expanding Opportunities. </w:t>
      </w:r>
      <w:r w:rsidRPr="00E52CD1">
        <w:rPr>
          <w:i/>
        </w:rPr>
        <w:t>Science</w:t>
      </w:r>
      <w:r w:rsidRPr="00E52CD1">
        <w:t xml:space="preserve"> </w:t>
      </w:r>
      <w:r w:rsidRPr="00E52CD1">
        <w:rPr>
          <w:b/>
        </w:rPr>
        <w:t>2002</w:t>
      </w:r>
      <w:r w:rsidRPr="00E52CD1">
        <w:t xml:space="preserve">, </w:t>
      </w:r>
      <w:r w:rsidRPr="00E52CD1">
        <w:rPr>
          <w:i/>
        </w:rPr>
        <w:t>295</w:t>
      </w:r>
      <w:r w:rsidRPr="00E52CD1">
        <w:t>, 1009–1014.</w:t>
      </w:r>
    </w:p>
    <w:p w14:paraId="3FA14909" w14:textId="77777777" w:rsidR="00855B62" w:rsidRPr="00E52CD1" w:rsidRDefault="00855B62" w:rsidP="00855B62">
      <w:pPr>
        <w:pStyle w:val="TFReferencesSection"/>
        <w:ind w:firstLine="0"/>
      </w:pPr>
      <w:r w:rsidRPr="00E52CD1">
        <w:t>(5)</w:t>
      </w:r>
      <w:r w:rsidRPr="00E52CD1">
        <w:tab/>
        <w:t xml:space="preserve">Langer, R.; Vacanti, J. P. Tissue Engineering. </w:t>
      </w:r>
      <w:r w:rsidRPr="00E52CD1">
        <w:rPr>
          <w:i/>
        </w:rPr>
        <w:t>Science</w:t>
      </w:r>
      <w:r w:rsidRPr="00E52CD1">
        <w:t xml:space="preserve"> </w:t>
      </w:r>
      <w:r w:rsidRPr="00E52CD1">
        <w:rPr>
          <w:b/>
        </w:rPr>
        <w:t>1993</w:t>
      </w:r>
      <w:r w:rsidRPr="00E52CD1">
        <w:t xml:space="preserve">, </w:t>
      </w:r>
      <w:r w:rsidRPr="00E52CD1">
        <w:rPr>
          <w:i/>
        </w:rPr>
        <w:t>260</w:t>
      </w:r>
      <w:r w:rsidRPr="00E52CD1">
        <w:t>, 920–926.</w:t>
      </w:r>
    </w:p>
    <w:p w14:paraId="297BC3CD" w14:textId="77777777" w:rsidR="00855B62" w:rsidRPr="00E52CD1" w:rsidRDefault="00855B62" w:rsidP="00855B62">
      <w:pPr>
        <w:pStyle w:val="TFReferencesSection"/>
        <w:ind w:firstLine="0"/>
      </w:pPr>
      <w:r w:rsidRPr="00E52CD1">
        <w:t>(6)</w:t>
      </w:r>
      <w:r w:rsidRPr="00E52CD1">
        <w:tab/>
        <w:t xml:space="preserve">Engler, A.; Bacakova, L.; Newman, C.; Hategan, A.; Griffin, M.; Discher, D. Substrate Compliance Versus Ligand Density in Cell on Gel Responces. </w:t>
      </w:r>
      <w:r w:rsidRPr="00E52CD1">
        <w:rPr>
          <w:i/>
        </w:rPr>
        <w:t>Biophys. J.</w:t>
      </w:r>
      <w:r w:rsidRPr="00E52CD1">
        <w:t xml:space="preserve"> </w:t>
      </w:r>
      <w:r w:rsidRPr="00E52CD1">
        <w:rPr>
          <w:b/>
        </w:rPr>
        <w:t>2004</w:t>
      </w:r>
      <w:r w:rsidRPr="00E52CD1">
        <w:t xml:space="preserve">, </w:t>
      </w:r>
      <w:r w:rsidRPr="00E52CD1">
        <w:rPr>
          <w:i/>
        </w:rPr>
        <w:t>86</w:t>
      </w:r>
      <w:r w:rsidRPr="00E52CD1">
        <w:t>, 617–628.</w:t>
      </w:r>
    </w:p>
    <w:p w14:paraId="0C1347AC" w14:textId="77777777" w:rsidR="00855B62" w:rsidRPr="00E52CD1" w:rsidRDefault="00855B62" w:rsidP="00855B62">
      <w:pPr>
        <w:pStyle w:val="TFReferencesSection"/>
        <w:ind w:firstLine="0"/>
      </w:pPr>
      <w:r w:rsidRPr="00E52CD1">
        <w:t>(7)</w:t>
      </w:r>
      <w:r w:rsidRPr="00E52CD1">
        <w:tab/>
        <w:t xml:space="preserve">Engler, A. J.; Griffin, M. A.; Sen, S.; Bönnemann, C. G.; Sweeney, H. L.; Discher, D. E. Myotubes Differentiate Optimally on Substrates with Tissue-like Stiffness: Pathological Implications for Soft or Stiff Microenvironment. </w:t>
      </w:r>
      <w:r w:rsidRPr="00E52CD1">
        <w:rPr>
          <w:i/>
        </w:rPr>
        <w:t>J. Cell Biol.</w:t>
      </w:r>
      <w:r w:rsidRPr="00E52CD1">
        <w:t xml:space="preserve"> </w:t>
      </w:r>
      <w:r w:rsidRPr="00E52CD1">
        <w:rPr>
          <w:b/>
        </w:rPr>
        <w:t>2004</w:t>
      </w:r>
      <w:r w:rsidRPr="00E52CD1">
        <w:t xml:space="preserve">, </w:t>
      </w:r>
      <w:r w:rsidRPr="00E52CD1">
        <w:rPr>
          <w:i/>
        </w:rPr>
        <w:t>166</w:t>
      </w:r>
      <w:r w:rsidRPr="00E52CD1">
        <w:t>, 877–887.</w:t>
      </w:r>
    </w:p>
    <w:p w14:paraId="5AB14DCD" w14:textId="77777777" w:rsidR="00855B62" w:rsidRPr="00E52CD1" w:rsidRDefault="00855B62" w:rsidP="00855B62">
      <w:pPr>
        <w:pStyle w:val="TFReferencesSection"/>
        <w:ind w:firstLine="0"/>
      </w:pPr>
      <w:r w:rsidRPr="00E52CD1">
        <w:t>(8)</w:t>
      </w:r>
      <w:r w:rsidRPr="00E52CD1">
        <w:tab/>
        <w:t>Yeung, T.; Georges, P. C.; Flanagan, L. A.; Marg, B.; Ortiz, M.; Funaki, M.; Zahir, N.; Ming, W.; Weaver, V.; Janmey, P. A.</w:t>
      </w:r>
      <w:r w:rsidRPr="00E52CD1" w:rsidDel="00B75016">
        <w:t xml:space="preserve"> </w:t>
      </w:r>
      <w:r w:rsidRPr="00E52CD1">
        <w:t xml:space="preserve">Effects of Substrate Stiffness on Cell Morphology, Cytoskeletal Structure, and Adhesion. </w:t>
      </w:r>
      <w:r w:rsidRPr="00E52CD1">
        <w:rPr>
          <w:i/>
        </w:rPr>
        <w:t>Cell Motil. Cytoskeleton</w:t>
      </w:r>
      <w:r w:rsidRPr="00E52CD1">
        <w:t xml:space="preserve"> </w:t>
      </w:r>
      <w:r w:rsidRPr="00E52CD1">
        <w:rPr>
          <w:b/>
        </w:rPr>
        <w:t>2005</w:t>
      </w:r>
      <w:r w:rsidRPr="00E52CD1">
        <w:t xml:space="preserve">, </w:t>
      </w:r>
      <w:r w:rsidRPr="00E52CD1">
        <w:rPr>
          <w:i/>
        </w:rPr>
        <w:t>60</w:t>
      </w:r>
      <w:r w:rsidRPr="00E52CD1">
        <w:t>, 24–34.</w:t>
      </w:r>
    </w:p>
    <w:p w14:paraId="5F0293C7" w14:textId="77777777" w:rsidR="00855B62" w:rsidRPr="00E52CD1" w:rsidRDefault="00855B62" w:rsidP="00855B62">
      <w:pPr>
        <w:pStyle w:val="TFReferencesSection"/>
        <w:ind w:firstLine="0"/>
      </w:pPr>
      <w:r w:rsidRPr="00E52CD1">
        <w:lastRenderedPageBreak/>
        <w:t>(9)</w:t>
      </w:r>
      <w:r w:rsidRPr="00E52CD1">
        <w:tab/>
        <w:t xml:space="preserve">Engler, A. J.; Sen, S.; Sweeney, H. L.; Discher, D. E. Matrix Elasticity Directs Stem Cell Lineage Specification. </w:t>
      </w:r>
      <w:r w:rsidRPr="00E52CD1">
        <w:rPr>
          <w:i/>
        </w:rPr>
        <w:t>Cell</w:t>
      </w:r>
      <w:r w:rsidRPr="00E52CD1">
        <w:t xml:space="preserve"> </w:t>
      </w:r>
      <w:r w:rsidRPr="00E52CD1">
        <w:rPr>
          <w:b/>
        </w:rPr>
        <w:t>2006</w:t>
      </w:r>
      <w:r w:rsidRPr="00E52CD1">
        <w:t xml:space="preserve">, </w:t>
      </w:r>
      <w:r w:rsidRPr="00E52CD1">
        <w:rPr>
          <w:i/>
        </w:rPr>
        <w:t>126</w:t>
      </w:r>
      <w:r w:rsidRPr="00E52CD1">
        <w:t>, 677–689.</w:t>
      </w:r>
    </w:p>
    <w:p w14:paraId="00EC1F20" w14:textId="77777777" w:rsidR="00855B62" w:rsidRPr="00E52CD1" w:rsidRDefault="00855B62" w:rsidP="00855B62">
      <w:pPr>
        <w:pStyle w:val="TFReferencesSection"/>
        <w:ind w:firstLine="0"/>
      </w:pPr>
      <w:r w:rsidRPr="00E52CD1">
        <w:t>(10)</w:t>
      </w:r>
      <w:r w:rsidRPr="00E52CD1">
        <w:tab/>
        <w:t xml:space="preserve">Minami, K.; Kasuya, Y.; Yamazaki, T.; Ji, Q.; Nakanishi, W.; Hill, J. P.; Sakai, H.; Ariga, K. Highly Ordered 1D Fullerene Crystals for Concurrent Control of Macroscopic Cellular Orientation and Differentiation Towards Large-Scale Tissue Engineering. </w:t>
      </w:r>
      <w:r w:rsidRPr="00E52CD1">
        <w:rPr>
          <w:i/>
        </w:rPr>
        <w:t xml:space="preserve">Adv. Mater. </w:t>
      </w:r>
      <w:r w:rsidRPr="00E52CD1">
        <w:rPr>
          <w:b/>
        </w:rPr>
        <w:t>2015</w:t>
      </w:r>
      <w:r w:rsidRPr="00E52CD1">
        <w:t xml:space="preserve">, </w:t>
      </w:r>
      <w:r w:rsidRPr="00E52CD1">
        <w:rPr>
          <w:i/>
        </w:rPr>
        <w:t>27</w:t>
      </w:r>
      <w:r w:rsidRPr="00E52CD1">
        <w:t>, 4020–4026.</w:t>
      </w:r>
    </w:p>
    <w:p w14:paraId="7D72BC54" w14:textId="77777777" w:rsidR="00855B62" w:rsidRPr="00E52CD1" w:rsidRDefault="00855B62" w:rsidP="00855B62">
      <w:pPr>
        <w:pStyle w:val="TFReferencesSection"/>
        <w:ind w:firstLine="0"/>
      </w:pPr>
      <w:r w:rsidRPr="00E52CD1">
        <w:t>(11)</w:t>
      </w:r>
      <w:r w:rsidRPr="00E52CD1">
        <w:tab/>
        <w:t xml:space="preserve">Krishnan, V.; Kasuya, Y.; Ji, Q.; Sathish, M.; Shrestha, L. K.; Ishihara, S.; Minami, K.; Morita, H.; Yamazaki, T.; Hanagata, N.; Miyazawa, K.; Acharya, S.; Nakanishi, W.; Hill, J. P.; Ariga K. Vortex-Aligned Fullerene Nanowhiskers as a Scaffold for Orienting Cell Growth. </w:t>
      </w:r>
      <w:r w:rsidRPr="00E52CD1">
        <w:rPr>
          <w:i/>
        </w:rPr>
        <w:t>ACS Appl. Mater. Interfaces</w:t>
      </w:r>
      <w:r w:rsidRPr="00E52CD1">
        <w:t xml:space="preserve"> </w:t>
      </w:r>
      <w:r w:rsidRPr="00E52CD1">
        <w:rPr>
          <w:b/>
        </w:rPr>
        <w:t>2015</w:t>
      </w:r>
      <w:r w:rsidRPr="00E52CD1">
        <w:t xml:space="preserve">, </w:t>
      </w:r>
      <w:r w:rsidRPr="00E52CD1">
        <w:rPr>
          <w:i/>
        </w:rPr>
        <w:t>7</w:t>
      </w:r>
      <w:r w:rsidRPr="00E52CD1">
        <w:t>, 15667–15673.</w:t>
      </w:r>
    </w:p>
    <w:p w14:paraId="35AFDB14" w14:textId="77777777" w:rsidR="00855B62" w:rsidRPr="00E52CD1" w:rsidRDefault="00855B62" w:rsidP="00855B62">
      <w:pPr>
        <w:pStyle w:val="TFReferencesSection"/>
        <w:ind w:firstLine="0"/>
      </w:pPr>
      <w:r w:rsidRPr="00E52CD1">
        <w:t>(12)</w:t>
      </w:r>
      <w:r w:rsidRPr="00E52CD1">
        <w:tab/>
        <w:t xml:space="preserve">Nakanishi, W.; Minami, K.; Shrestha, L. K.; Ji, Q.; Hill, J. P.; Ariga, K. Bioactive Nanocarbon Assemblies: Nanoarchitectonics and Applications. </w:t>
      </w:r>
      <w:r w:rsidRPr="00E52CD1">
        <w:rPr>
          <w:i/>
        </w:rPr>
        <w:t>NanoToday</w:t>
      </w:r>
      <w:r w:rsidRPr="00E52CD1">
        <w:t xml:space="preserve"> </w:t>
      </w:r>
      <w:r w:rsidRPr="00E52CD1">
        <w:rPr>
          <w:b/>
        </w:rPr>
        <w:t>2014</w:t>
      </w:r>
      <w:r w:rsidRPr="00E52CD1">
        <w:t xml:space="preserve">, </w:t>
      </w:r>
      <w:r w:rsidRPr="00E52CD1">
        <w:rPr>
          <w:i/>
        </w:rPr>
        <w:t>9</w:t>
      </w:r>
      <w:r w:rsidRPr="00E52CD1">
        <w:t>, 378–394.</w:t>
      </w:r>
    </w:p>
    <w:p w14:paraId="36745752" w14:textId="77777777" w:rsidR="00855B62" w:rsidRPr="00E52CD1" w:rsidRDefault="00855B62" w:rsidP="00855B62">
      <w:pPr>
        <w:pStyle w:val="TFReferencesSection"/>
        <w:ind w:firstLine="0"/>
      </w:pPr>
      <w:r w:rsidRPr="00E52CD1">
        <w:t>(13)</w:t>
      </w:r>
      <w:r w:rsidRPr="00E52CD1">
        <w:tab/>
        <w:t xml:space="preserve">Verdier, C. Rheological Properties of Living Materials. From Cells to Tissues. </w:t>
      </w:r>
      <w:r w:rsidRPr="00E52CD1">
        <w:rPr>
          <w:i/>
        </w:rPr>
        <w:t>J. Theor. Med.</w:t>
      </w:r>
      <w:r w:rsidRPr="00E52CD1">
        <w:t xml:space="preserve"> </w:t>
      </w:r>
      <w:r w:rsidRPr="00E52CD1">
        <w:rPr>
          <w:b/>
        </w:rPr>
        <w:t>2003</w:t>
      </w:r>
      <w:r w:rsidRPr="00E52CD1">
        <w:t xml:space="preserve">, </w:t>
      </w:r>
      <w:r w:rsidRPr="00E52CD1">
        <w:rPr>
          <w:i/>
        </w:rPr>
        <w:t>5</w:t>
      </w:r>
      <w:r w:rsidRPr="00E52CD1">
        <w:t>, 67–91.</w:t>
      </w:r>
    </w:p>
    <w:p w14:paraId="2846C274" w14:textId="77777777" w:rsidR="00855B62" w:rsidRPr="00E52CD1" w:rsidRDefault="00855B62" w:rsidP="00855B62">
      <w:pPr>
        <w:pStyle w:val="TFReferencesSection"/>
        <w:ind w:firstLine="0"/>
      </w:pPr>
      <w:r w:rsidRPr="00E52CD1">
        <w:t>(14)</w:t>
      </w:r>
      <w:r w:rsidRPr="00E52CD1">
        <w:tab/>
        <w:t xml:space="preserve">Verdier, C.; Etienne, J.; Duperray, A.; Preziosi, L. Review: Rheological Properties of Biological Materials. </w:t>
      </w:r>
      <w:r w:rsidRPr="00E52CD1">
        <w:rPr>
          <w:i/>
        </w:rPr>
        <w:t>C. R. Phys.</w:t>
      </w:r>
      <w:r w:rsidRPr="00E52CD1">
        <w:t xml:space="preserve"> </w:t>
      </w:r>
      <w:r w:rsidRPr="00E52CD1">
        <w:rPr>
          <w:b/>
        </w:rPr>
        <w:t>2009</w:t>
      </w:r>
      <w:r w:rsidRPr="00E52CD1">
        <w:t xml:space="preserve">, </w:t>
      </w:r>
      <w:r w:rsidRPr="00E52CD1">
        <w:rPr>
          <w:i/>
        </w:rPr>
        <w:t>10</w:t>
      </w:r>
      <w:r w:rsidRPr="00E52CD1">
        <w:t>, 790–811.</w:t>
      </w:r>
    </w:p>
    <w:p w14:paraId="3D9E9191" w14:textId="77777777" w:rsidR="00855B62" w:rsidRPr="00E52CD1" w:rsidRDefault="00855B62" w:rsidP="00855B62">
      <w:pPr>
        <w:pStyle w:val="TFReferencesSection"/>
        <w:ind w:firstLine="0"/>
      </w:pPr>
      <w:r w:rsidRPr="00E52CD1">
        <w:t>(15)</w:t>
      </w:r>
      <w:r w:rsidRPr="00E52CD1">
        <w:tab/>
        <w:t xml:space="preserve">Chaudhuri, O.; Gu, L.; Darnell, M.; Klumpers, D.; Bencherif, S. A.; Weaver, J. C.; Huebsch, N.; Mooney, D. J. Substrate Stress Relaxation Regulates Cell Spreading. </w:t>
      </w:r>
      <w:r w:rsidRPr="00E52CD1">
        <w:rPr>
          <w:i/>
        </w:rPr>
        <w:t>Nat. Commun.</w:t>
      </w:r>
      <w:r w:rsidRPr="00E52CD1">
        <w:t xml:space="preserve"> </w:t>
      </w:r>
      <w:r w:rsidRPr="00E52CD1">
        <w:rPr>
          <w:b/>
        </w:rPr>
        <w:t>2015</w:t>
      </w:r>
      <w:r w:rsidRPr="00E52CD1">
        <w:t xml:space="preserve">, </w:t>
      </w:r>
      <w:r w:rsidRPr="00E52CD1">
        <w:rPr>
          <w:i/>
        </w:rPr>
        <w:t>6</w:t>
      </w:r>
      <w:r w:rsidRPr="00E52CD1">
        <w:t>, 6364.</w:t>
      </w:r>
    </w:p>
    <w:p w14:paraId="07432EB6" w14:textId="77777777" w:rsidR="00855B62" w:rsidRPr="00E52CD1" w:rsidRDefault="00855B62" w:rsidP="00855B62">
      <w:pPr>
        <w:pStyle w:val="TFReferencesSection"/>
        <w:ind w:firstLine="0"/>
      </w:pPr>
      <w:r w:rsidRPr="00E52CD1">
        <w:lastRenderedPageBreak/>
        <w:t>(16)</w:t>
      </w:r>
      <w:r w:rsidRPr="00E52CD1">
        <w:tab/>
        <w:t xml:space="preserve">Chaudhuri, O.; Gu, L.; Klumpers, D.; Darnell, M.; Bencherif, S. A.; Weaver, J. C.; Huebsch, N.; Lee, H. P.; Lippens, E.; Duda, G. N.; Mooney, D. J. Hydrogels with Tunable Stress Relaxation Regulate Stem Cell Fate and Activity. </w:t>
      </w:r>
      <w:r w:rsidRPr="00E52CD1">
        <w:rPr>
          <w:i/>
        </w:rPr>
        <w:t>Nat. Mater.</w:t>
      </w:r>
      <w:r w:rsidRPr="00E52CD1">
        <w:t xml:space="preserve"> </w:t>
      </w:r>
      <w:r w:rsidRPr="00E52CD1">
        <w:rPr>
          <w:b/>
        </w:rPr>
        <w:t>2016</w:t>
      </w:r>
      <w:r w:rsidRPr="00E52CD1">
        <w:t xml:space="preserve">, </w:t>
      </w:r>
      <w:r w:rsidRPr="00E52CD1">
        <w:rPr>
          <w:i/>
        </w:rPr>
        <w:t>15</w:t>
      </w:r>
      <w:r w:rsidRPr="00E52CD1">
        <w:t>, 326–334.</w:t>
      </w:r>
    </w:p>
    <w:p w14:paraId="3763B716" w14:textId="77777777" w:rsidR="00855B62" w:rsidRPr="00E52CD1" w:rsidRDefault="00855B62" w:rsidP="00855B62">
      <w:pPr>
        <w:pStyle w:val="TFReferencesSection"/>
        <w:ind w:firstLine="0"/>
      </w:pPr>
      <w:r w:rsidRPr="00E52CD1">
        <w:t>(17)</w:t>
      </w:r>
      <w:r w:rsidRPr="00E52CD1">
        <w:tab/>
        <w:t>Uto, K.; Mano, S. S.; Aoyagi, T.; Ebara, M. Substrate Fluidity Regulates Cell Adhesion and Morphology on Poly(</w:t>
      </w:r>
      <w:r w:rsidRPr="00E52CD1">
        <w:t xml:space="preserve">-caprolactone)-based Materials. </w:t>
      </w:r>
      <w:r w:rsidRPr="00E52CD1">
        <w:rPr>
          <w:i/>
        </w:rPr>
        <w:t>ACS Biomater. Sci. Eng.</w:t>
      </w:r>
      <w:r w:rsidRPr="00E52CD1">
        <w:t xml:space="preserve"> </w:t>
      </w:r>
      <w:r w:rsidRPr="00E52CD1">
        <w:rPr>
          <w:b/>
        </w:rPr>
        <w:t>2016</w:t>
      </w:r>
      <w:r w:rsidRPr="00E52CD1">
        <w:t xml:space="preserve">, </w:t>
      </w:r>
      <w:r w:rsidRPr="00E52CD1">
        <w:rPr>
          <w:i/>
        </w:rPr>
        <w:t>2</w:t>
      </w:r>
      <w:r w:rsidRPr="00E52CD1">
        <w:t>, 446–453.</w:t>
      </w:r>
    </w:p>
    <w:p w14:paraId="07739EF6" w14:textId="77777777" w:rsidR="00855B62" w:rsidRPr="00E52CD1" w:rsidRDefault="00855B62" w:rsidP="00855B62">
      <w:pPr>
        <w:pStyle w:val="TFReferencesSection"/>
        <w:ind w:firstLine="0"/>
      </w:pPr>
      <w:r w:rsidRPr="00E52CD1">
        <w:t>(18)</w:t>
      </w:r>
      <w:r w:rsidRPr="00E52CD1">
        <w:tab/>
        <w:t xml:space="preserve">Mano, S. S.; Uto, K.; Aoyagi, T.; Ebara, M. Fluidity of Biodegradable Substrate Regulates Carcinoma Cell Behavior: A Novel Approach to Cancer Therapy. </w:t>
      </w:r>
      <w:r w:rsidRPr="00E52CD1">
        <w:rPr>
          <w:i/>
        </w:rPr>
        <w:t>AIMS</w:t>
      </w:r>
      <w:r w:rsidRPr="00E52CD1">
        <w:t xml:space="preserve"> </w:t>
      </w:r>
      <w:r w:rsidRPr="00E52CD1">
        <w:rPr>
          <w:i/>
        </w:rPr>
        <w:t>Mater.</w:t>
      </w:r>
      <w:r w:rsidRPr="00E52CD1">
        <w:t xml:space="preserve"> </w:t>
      </w:r>
      <w:r w:rsidRPr="00E52CD1">
        <w:rPr>
          <w:i/>
        </w:rPr>
        <w:t>Sci.</w:t>
      </w:r>
      <w:r w:rsidRPr="00E52CD1">
        <w:t xml:space="preserve"> </w:t>
      </w:r>
      <w:r w:rsidRPr="00E52CD1">
        <w:rPr>
          <w:b/>
        </w:rPr>
        <w:t>2016</w:t>
      </w:r>
      <w:r w:rsidRPr="00E52CD1">
        <w:t xml:space="preserve">, </w:t>
      </w:r>
      <w:r w:rsidRPr="00E52CD1">
        <w:rPr>
          <w:i/>
        </w:rPr>
        <w:t>3</w:t>
      </w:r>
      <w:r w:rsidRPr="00E52CD1">
        <w:t>, 66–82.</w:t>
      </w:r>
    </w:p>
    <w:p w14:paraId="79A60048" w14:textId="77777777" w:rsidR="00855B62" w:rsidRPr="00E52CD1" w:rsidRDefault="00855B62" w:rsidP="00855B62">
      <w:pPr>
        <w:pStyle w:val="TFReferencesSection"/>
        <w:ind w:firstLine="0"/>
      </w:pPr>
      <w:r w:rsidRPr="00E52CD1">
        <w:t>(19)</w:t>
      </w:r>
      <w:r w:rsidRPr="00E52CD1">
        <w:tab/>
        <w:t xml:space="preserve">Ariga, K. Mechano-nanoarchitectonics for Bio-functions at Interfaces. </w:t>
      </w:r>
      <w:r w:rsidRPr="00E52CD1">
        <w:rPr>
          <w:i/>
        </w:rPr>
        <w:t>Anal. Sci.</w:t>
      </w:r>
      <w:r w:rsidRPr="00E52CD1">
        <w:t xml:space="preserve"> </w:t>
      </w:r>
      <w:r w:rsidRPr="00E52CD1">
        <w:rPr>
          <w:b/>
        </w:rPr>
        <w:t>2016</w:t>
      </w:r>
      <w:r w:rsidRPr="00E52CD1">
        <w:t xml:space="preserve">, </w:t>
      </w:r>
      <w:r w:rsidRPr="00E52CD1">
        <w:rPr>
          <w:i/>
        </w:rPr>
        <w:t>32</w:t>
      </w:r>
      <w:r w:rsidRPr="00E52CD1">
        <w:t>, 1141–1149.</w:t>
      </w:r>
    </w:p>
    <w:p w14:paraId="7065BDD8" w14:textId="77777777" w:rsidR="00855B62" w:rsidRPr="00E52CD1" w:rsidRDefault="00855B62" w:rsidP="00855B62">
      <w:pPr>
        <w:pStyle w:val="TFReferencesSection"/>
        <w:ind w:firstLine="0"/>
      </w:pPr>
      <w:r w:rsidRPr="00E52CD1">
        <w:t>(20)</w:t>
      </w:r>
      <w:r w:rsidRPr="00E52CD1">
        <w:tab/>
        <w:t xml:space="preserve">Rosenberg, M. D. in </w:t>
      </w:r>
      <w:r w:rsidRPr="00E52CD1">
        <w:rPr>
          <w:i/>
        </w:rPr>
        <w:t>Cellular control mechanisms and cancer</w:t>
      </w:r>
      <w:r w:rsidRPr="00E52CD1">
        <w:t>; Emmelot, P.; Mohbock, O., Eds.; Elsevier, 1964, 146–164.</w:t>
      </w:r>
    </w:p>
    <w:p w14:paraId="0A30F2B2" w14:textId="77777777" w:rsidR="00855B62" w:rsidRPr="00E52CD1" w:rsidRDefault="00855B62" w:rsidP="00855B62">
      <w:pPr>
        <w:pStyle w:val="TFReferencesSection"/>
        <w:ind w:firstLine="0"/>
      </w:pPr>
      <w:r w:rsidRPr="00E52CD1">
        <w:t>(21)</w:t>
      </w:r>
      <w:r w:rsidRPr="00E52CD1">
        <w:tab/>
        <w:t xml:space="preserve">Giaever, I.; Keese, C. R. Behavior of Cells at Fluid Interfaces. </w:t>
      </w:r>
      <w:r w:rsidRPr="00E52CD1">
        <w:rPr>
          <w:i/>
        </w:rPr>
        <w:t>Proc. Natl. Acad. Sci. U.S.A.</w:t>
      </w:r>
      <w:r w:rsidRPr="00E52CD1">
        <w:t xml:space="preserve"> </w:t>
      </w:r>
      <w:r w:rsidRPr="00E52CD1">
        <w:rPr>
          <w:b/>
        </w:rPr>
        <w:t>1983</w:t>
      </w:r>
      <w:r w:rsidRPr="00E52CD1">
        <w:t xml:space="preserve">, </w:t>
      </w:r>
      <w:r w:rsidRPr="00E52CD1">
        <w:rPr>
          <w:i/>
        </w:rPr>
        <w:t>80</w:t>
      </w:r>
      <w:r w:rsidRPr="00E52CD1">
        <w:t>, 219–222.</w:t>
      </w:r>
    </w:p>
    <w:p w14:paraId="12DB4772" w14:textId="77777777" w:rsidR="00855B62" w:rsidRPr="00E52CD1" w:rsidRDefault="00855B62" w:rsidP="00855B62">
      <w:pPr>
        <w:pStyle w:val="TFReferencesSection"/>
        <w:ind w:firstLine="0"/>
      </w:pPr>
      <w:r w:rsidRPr="00E52CD1">
        <w:t>(22)</w:t>
      </w:r>
      <w:r w:rsidRPr="00E52CD1">
        <w:tab/>
        <w:t xml:space="preserve">Keese, C. R.; Giaever, I. Cell Growth on Liquid Interfaces: Role of Surface Active Compounds. </w:t>
      </w:r>
      <w:r w:rsidRPr="00E52CD1">
        <w:rPr>
          <w:i/>
        </w:rPr>
        <w:t>Proc. Natl. Acad. Sci. U.S.A.</w:t>
      </w:r>
      <w:r w:rsidRPr="00E52CD1">
        <w:t xml:space="preserve"> </w:t>
      </w:r>
      <w:r w:rsidRPr="00E52CD1">
        <w:rPr>
          <w:b/>
        </w:rPr>
        <w:t>1983</w:t>
      </w:r>
      <w:r w:rsidRPr="00E52CD1">
        <w:t xml:space="preserve">, </w:t>
      </w:r>
      <w:r w:rsidRPr="00E52CD1">
        <w:rPr>
          <w:i/>
        </w:rPr>
        <w:t>80</w:t>
      </w:r>
      <w:r w:rsidRPr="00E52CD1">
        <w:t>, 5622–5626.</w:t>
      </w:r>
    </w:p>
    <w:p w14:paraId="01509D69" w14:textId="77777777" w:rsidR="00855B62" w:rsidRPr="00E52CD1" w:rsidRDefault="00855B62" w:rsidP="00855B62">
      <w:pPr>
        <w:pStyle w:val="TFReferencesSection"/>
        <w:ind w:firstLine="0"/>
      </w:pPr>
      <w:r w:rsidRPr="00E52CD1">
        <w:t>(23)</w:t>
      </w:r>
      <w:r w:rsidRPr="00E52CD1">
        <w:tab/>
        <w:t xml:space="preserve">Keese, C. R.; Giaever, I. Substrate Mechanics and Cell Spreading. </w:t>
      </w:r>
      <w:r w:rsidRPr="00E52CD1">
        <w:rPr>
          <w:i/>
        </w:rPr>
        <w:t>Exp. Cell Res.</w:t>
      </w:r>
      <w:r w:rsidRPr="00E52CD1">
        <w:t xml:space="preserve"> </w:t>
      </w:r>
      <w:r w:rsidRPr="00E52CD1">
        <w:rPr>
          <w:b/>
        </w:rPr>
        <w:t>1991</w:t>
      </w:r>
      <w:r w:rsidRPr="00E52CD1">
        <w:t xml:space="preserve">, </w:t>
      </w:r>
      <w:r w:rsidRPr="00E52CD1">
        <w:rPr>
          <w:i/>
        </w:rPr>
        <w:t>195</w:t>
      </w:r>
      <w:r w:rsidRPr="00E52CD1">
        <w:t>, 528–532.</w:t>
      </w:r>
    </w:p>
    <w:p w14:paraId="0CB37314" w14:textId="77777777" w:rsidR="00855B62" w:rsidRPr="00E52CD1" w:rsidRDefault="00855B62" w:rsidP="00855B62">
      <w:pPr>
        <w:pStyle w:val="TFReferencesSection"/>
        <w:ind w:firstLine="0"/>
      </w:pPr>
      <w:r w:rsidRPr="00E52CD1">
        <w:lastRenderedPageBreak/>
        <w:t>(24)</w:t>
      </w:r>
      <w:r w:rsidRPr="00E52CD1">
        <w:tab/>
        <w:t xml:space="preserve">Shiba, Y.; Ohshima, T.; Sato, M. Effect of Surface Active Compounds on Growth and Adhesion of Anchorage—Dependent Animal Cells at Liquid/Liquid Interface. </w:t>
      </w:r>
      <w:r w:rsidRPr="00E52CD1">
        <w:rPr>
          <w:i/>
        </w:rPr>
        <w:t>Kagaku Kogaku Ronbunshi</w:t>
      </w:r>
      <w:r w:rsidRPr="00E52CD1">
        <w:t xml:space="preserve"> </w:t>
      </w:r>
      <w:r w:rsidRPr="00E52CD1">
        <w:rPr>
          <w:b/>
        </w:rPr>
        <w:t>1998</w:t>
      </w:r>
      <w:r w:rsidRPr="00E52CD1">
        <w:t xml:space="preserve">, </w:t>
      </w:r>
      <w:r w:rsidRPr="00E52CD1">
        <w:rPr>
          <w:i/>
        </w:rPr>
        <w:t>24</w:t>
      </w:r>
      <w:r w:rsidRPr="00E52CD1">
        <w:t>, 343–345.</w:t>
      </w:r>
    </w:p>
    <w:p w14:paraId="5B528701" w14:textId="77777777" w:rsidR="00855B62" w:rsidRPr="00E52CD1" w:rsidRDefault="00855B62" w:rsidP="00855B62">
      <w:pPr>
        <w:pStyle w:val="TFReferencesSection"/>
        <w:ind w:firstLine="0"/>
      </w:pPr>
      <w:r w:rsidRPr="00E52CD1">
        <w:t>(25)</w:t>
      </w:r>
      <w:r w:rsidRPr="00E52CD1">
        <w:tab/>
        <w:t xml:space="preserve">Shiba, Y.; Ohshima, T.; Sato, M. Growth and Morphology of Anchorage-Dependent Animal Cells in a Liquid/Liquid Interface System. </w:t>
      </w:r>
      <w:r w:rsidRPr="00E52CD1">
        <w:rPr>
          <w:i/>
        </w:rPr>
        <w:t>Biotechnol. Bioeng.</w:t>
      </w:r>
      <w:r w:rsidRPr="00E52CD1">
        <w:t xml:space="preserve"> </w:t>
      </w:r>
      <w:r w:rsidRPr="00E52CD1">
        <w:rPr>
          <w:b/>
        </w:rPr>
        <w:t>1998</w:t>
      </w:r>
      <w:r w:rsidRPr="00E52CD1">
        <w:t xml:space="preserve">, </w:t>
      </w:r>
      <w:r w:rsidRPr="00E52CD1">
        <w:rPr>
          <w:i/>
        </w:rPr>
        <w:t>57</w:t>
      </w:r>
      <w:r w:rsidRPr="00E52CD1">
        <w:t>, 583–589.</w:t>
      </w:r>
    </w:p>
    <w:p w14:paraId="0812144F" w14:textId="77777777" w:rsidR="00855B62" w:rsidRPr="00E52CD1" w:rsidRDefault="00855B62" w:rsidP="00855B62">
      <w:pPr>
        <w:pStyle w:val="TFReferencesSection"/>
        <w:ind w:firstLine="0"/>
      </w:pPr>
      <w:r w:rsidRPr="00E52CD1">
        <w:t>(26)</w:t>
      </w:r>
      <w:r w:rsidRPr="00E52CD1">
        <w:tab/>
        <w:t xml:space="preserve">Sato, M.; Shinozawa, T.; Ueno, H.; Sadakata, M. Cultivation of Adherent Cells on Liquid-Liquid Interface. </w:t>
      </w:r>
      <w:r w:rsidRPr="00E52CD1">
        <w:rPr>
          <w:i/>
        </w:rPr>
        <w:t>Kagaku Kogyo Ronbunshi</w:t>
      </w:r>
      <w:r w:rsidRPr="00E52CD1">
        <w:t xml:space="preserve"> </w:t>
      </w:r>
      <w:r w:rsidRPr="00E52CD1">
        <w:rPr>
          <w:b/>
        </w:rPr>
        <w:t>1991</w:t>
      </w:r>
      <w:r w:rsidRPr="00E52CD1">
        <w:t xml:space="preserve">, </w:t>
      </w:r>
      <w:r w:rsidRPr="00E52CD1">
        <w:rPr>
          <w:i/>
        </w:rPr>
        <w:t>17</w:t>
      </w:r>
      <w:r w:rsidRPr="00E52CD1">
        <w:t>, 671–673.</w:t>
      </w:r>
    </w:p>
    <w:p w14:paraId="38A1DBE3" w14:textId="77777777" w:rsidR="00855B62" w:rsidRPr="00E52CD1" w:rsidRDefault="00855B62" w:rsidP="00855B62">
      <w:pPr>
        <w:pStyle w:val="TFReferencesSection"/>
        <w:ind w:firstLine="0"/>
      </w:pPr>
      <w:r w:rsidRPr="00E52CD1">
        <w:t>(27)</w:t>
      </w:r>
      <w:r w:rsidRPr="00E52CD1">
        <w:tab/>
        <w:t xml:space="preserve">Ando, J.; Albelda, S. M.; Levine, E. M. Culture of Human Adult Endothelial Cells on Liquid-Liquid Interfaces: A New Approach to the Study of Cell-Matrix Interactions. </w:t>
      </w:r>
      <w:r w:rsidRPr="00E52CD1">
        <w:rPr>
          <w:i/>
        </w:rPr>
        <w:t xml:space="preserve">In Vitro Cell Dev. Biol. </w:t>
      </w:r>
      <w:r w:rsidRPr="00E52CD1">
        <w:rPr>
          <w:b/>
        </w:rPr>
        <w:t>1991</w:t>
      </w:r>
      <w:r w:rsidRPr="00E52CD1">
        <w:t xml:space="preserve">, </w:t>
      </w:r>
      <w:r w:rsidRPr="00E52CD1">
        <w:rPr>
          <w:i/>
        </w:rPr>
        <w:t>27A</w:t>
      </w:r>
      <w:r w:rsidRPr="00E52CD1">
        <w:t>, 525–532.</w:t>
      </w:r>
    </w:p>
    <w:p w14:paraId="347D6E5B" w14:textId="77777777" w:rsidR="00855B62" w:rsidRPr="00E52CD1" w:rsidRDefault="00855B62" w:rsidP="00855B62">
      <w:pPr>
        <w:pStyle w:val="TFReferencesSection"/>
        <w:ind w:firstLine="0"/>
      </w:pPr>
      <w:r w:rsidRPr="00E52CD1">
        <w:t>(28)</w:t>
      </w:r>
      <w:r w:rsidRPr="00E52CD1">
        <w:tab/>
        <w:t xml:space="preserve">Pilarek, M.; Grabowska, I.; Ciemerych, M. A.; Dabkowska, K.; Szewczyk, K. W. Morphology and Growth of Mammalian Cells in a Liquid/Liquid Culture System Supported with Oxygenated Perfluorodecalin. </w:t>
      </w:r>
      <w:r w:rsidRPr="00E52CD1">
        <w:rPr>
          <w:i/>
        </w:rPr>
        <w:t>Biotechnol. Lett.</w:t>
      </w:r>
      <w:r w:rsidRPr="00E52CD1">
        <w:t xml:space="preserve"> </w:t>
      </w:r>
      <w:r w:rsidRPr="00E52CD1">
        <w:rPr>
          <w:b/>
        </w:rPr>
        <w:t>2013</w:t>
      </w:r>
      <w:r w:rsidRPr="00E52CD1">
        <w:t xml:space="preserve">, </w:t>
      </w:r>
      <w:r w:rsidRPr="00E52CD1">
        <w:rPr>
          <w:i/>
        </w:rPr>
        <w:t>35</w:t>
      </w:r>
      <w:r w:rsidRPr="00E52CD1">
        <w:t>, 1387–1394.</w:t>
      </w:r>
    </w:p>
    <w:p w14:paraId="4AFF5932" w14:textId="77777777" w:rsidR="00855B62" w:rsidRPr="00E52CD1" w:rsidRDefault="00855B62" w:rsidP="00855B62">
      <w:pPr>
        <w:pStyle w:val="TFReferencesSection"/>
        <w:ind w:firstLine="0"/>
      </w:pPr>
      <w:r w:rsidRPr="00E52CD1">
        <w:t>(29)</w:t>
      </w:r>
      <w:r w:rsidRPr="00E52CD1">
        <w:tab/>
        <w:t xml:space="preserve">Ariga, K.; Yamauchi, Y.; Mori, T.; Hill, J. P. 25th Anniversary Article: What Can Be Done with the Langmuir-Blodgett Method? Recent Developments and its Critical Role in Materials Science. </w:t>
      </w:r>
      <w:r w:rsidRPr="00E52CD1">
        <w:rPr>
          <w:i/>
        </w:rPr>
        <w:t>Adv. Mater.</w:t>
      </w:r>
      <w:r w:rsidRPr="00E52CD1">
        <w:t xml:space="preserve"> </w:t>
      </w:r>
      <w:r w:rsidRPr="00E52CD1">
        <w:rPr>
          <w:b/>
        </w:rPr>
        <w:t>2013</w:t>
      </w:r>
      <w:r w:rsidRPr="00E52CD1">
        <w:t xml:space="preserve">, </w:t>
      </w:r>
      <w:r w:rsidRPr="00E52CD1">
        <w:rPr>
          <w:i/>
        </w:rPr>
        <w:t>25</w:t>
      </w:r>
      <w:r w:rsidRPr="00E52CD1">
        <w:t>, 6477–6512.</w:t>
      </w:r>
    </w:p>
    <w:p w14:paraId="410DBF96" w14:textId="77777777" w:rsidR="00855B62" w:rsidRPr="00E52CD1" w:rsidRDefault="00855B62" w:rsidP="00855B62">
      <w:pPr>
        <w:pStyle w:val="TFReferencesSection"/>
        <w:ind w:firstLine="0"/>
      </w:pPr>
      <w:r w:rsidRPr="00E52CD1">
        <w:t>(30)</w:t>
      </w:r>
      <w:r w:rsidRPr="00E52CD1">
        <w:tab/>
        <w:t xml:space="preserve">Ball, M. K.; Campbell, D. H.; Ezell, K.; Henley, J. B.; Standley, P. R.; Grow, W. A. Antibody to MyoD or Myogenin Decreases Acetylcholine Receptor Clustering in C2C12 Myotube Culture. </w:t>
      </w:r>
      <w:r w:rsidRPr="00E52CD1">
        <w:rPr>
          <w:i/>
        </w:rPr>
        <w:t>CellBio</w:t>
      </w:r>
      <w:r w:rsidRPr="00E52CD1">
        <w:t xml:space="preserve"> </w:t>
      </w:r>
      <w:r w:rsidRPr="00E52CD1">
        <w:rPr>
          <w:b/>
        </w:rPr>
        <w:t>2013</w:t>
      </w:r>
      <w:r w:rsidRPr="00E52CD1">
        <w:t xml:space="preserve">, </w:t>
      </w:r>
      <w:r w:rsidRPr="00E52CD1">
        <w:rPr>
          <w:i/>
        </w:rPr>
        <w:t>2</w:t>
      </w:r>
      <w:r w:rsidRPr="00E52CD1">
        <w:t xml:space="preserve">, 138–148. </w:t>
      </w:r>
    </w:p>
    <w:p w14:paraId="477BB0F6" w14:textId="77777777" w:rsidR="00855B62" w:rsidRPr="00E52CD1" w:rsidRDefault="00855B62" w:rsidP="00855B62">
      <w:pPr>
        <w:pStyle w:val="TFReferencesSection"/>
        <w:ind w:firstLine="0"/>
      </w:pPr>
      <w:r w:rsidRPr="00E52CD1">
        <w:t>(31)</w:t>
      </w:r>
      <w:r w:rsidRPr="00E52CD1">
        <w:tab/>
        <w:t xml:space="preserve">Chragé, S. B. P.; Rudnicki, M. A. Cellular and Molecular Regulation of Muscle Regeneration. </w:t>
      </w:r>
      <w:r w:rsidRPr="00E52CD1">
        <w:rPr>
          <w:i/>
        </w:rPr>
        <w:t>Physiol. Rev.</w:t>
      </w:r>
      <w:r w:rsidRPr="00E52CD1">
        <w:t xml:space="preserve"> </w:t>
      </w:r>
      <w:r w:rsidRPr="00E52CD1">
        <w:rPr>
          <w:b/>
        </w:rPr>
        <w:t>2004</w:t>
      </w:r>
      <w:r w:rsidRPr="00E52CD1">
        <w:t xml:space="preserve">, </w:t>
      </w:r>
      <w:r w:rsidRPr="00E52CD1">
        <w:rPr>
          <w:i/>
        </w:rPr>
        <w:t>84</w:t>
      </w:r>
      <w:r w:rsidRPr="00E52CD1">
        <w:t>, 209–238.</w:t>
      </w:r>
    </w:p>
    <w:p w14:paraId="6F40B48A" w14:textId="77777777" w:rsidR="00855B62" w:rsidRPr="00E52CD1" w:rsidRDefault="00855B62" w:rsidP="00855B62">
      <w:pPr>
        <w:pStyle w:val="TFReferencesSection"/>
        <w:ind w:firstLine="0"/>
      </w:pPr>
      <w:r w:rsidRPr="00E52CD1">
        <w:lastRenderedPageBreak/>
        <w:t>(32)</w:t>
      </w:r>
      <w:r w:rsidRPr="00E52CD1">
        <w:tab/>
        <w:t xml:space="preserve">Hasty, P.; Bradley, A.; Morris, J. H.; Edmondson, D. G.; Venuti, J. M.; Olson, E. N.; Klein, W. H. Muscle Deficiency and Neonatal Death in Mice with a Targeted Mutation in the Myogenin Gene. </w:t>
      </w:r>
      <w:r w:rsidRPr="00E52CD1">
        <w:rPr>
          <w:i/>
        </w:rPr>
        <w:t>Nature</w:t>
      </w:r>
      <w:r w:rsidRPr="00E52CD1">
        <w:t xml:space="preserve"> </w:t>
      </w:r>
      <w:r w:rsidRPr="00E52CD1">
        <w:rPr>
          <w:b/>
        </w:rPr>
        <w:t>1993</w:t>
      </w:r>
      <w:r w:rsidRPr="00E52CD1">
        <w:t xml:space="preserve">, </w:t>
      </w:r>
      <w:r w:rsidRPr="00E52CD1">
        <w:rPr>
          <w:i/>
        </w:rPr>
        <w:t>364</w:t>
      </w:r>
      <w:r w:rsidRPr="00E52CD1">
        <w:t>, 501–506.</w:t>
      </w:r>
    </w:p>
    <w:p w14:paraId="205B16E8" w14:textId="77777777" w:rsidR="00855B62" w:rsidRPr="00E52CD1" w:rsidRDefault="00855B62" w:rsidP="00855B62">
      <w:pPr>
        <w:pStyle w:val="TFReferencesSection"/>
        <w:ind w:firstLine="0"/>
      </w:pPr>
      <w:r w:rsidRPr="00E52CD1">
        <w:t>(33)</w:t>
      </w:r>
      <w:r w:rsidRPr="00E52CD1">
        <w:tab/>
        <w:t xml:space="preserve">Nabeshima, Y.; Hanaoka, K.; Hayasaka, M.; Esumi, E.; Li, S.; Nonaka, I.; Nabeshima Y. Myogenin gene disruption results in perinatal lethality because of severe muscle defect. </w:t>
      </w:r>
      <w:r w:rsidRPr="00E52CD1">
        <w:rPr>
          <w:i/>
        </w:rPr>
        <w:t>Nature</w:t>
      </w:r>
      <w:r w:rsidRPr="00E52CD1">
        <w:t xml:space="preserve"> </w:t>
      </w:r>
      <w:r w:rsidRPr="00E52CD1">
        <w:rPr>
          <w:b/>
        </w:rPr>
        <w:t>1993</w:t>
      </w:r>
      <w:r w:rsidRPr="00E52CD1">
        <w:t xml:space="preserve">, </w:t>
      </w:r>
      <w:r w:rsidRPr="00E52CD1">
        <w:rPr>
          <w:i/>
        </w:rPr>
        <w:t>364</w:t>
      </w:r>
      <w:r w:rsidRPr="00E52CD1">
        <w:t>, 532–535.</w:t>
      </w:r>
    </w:p>
    <w:p w14:paraId="618A9706" w14:textId="77777777" w:rsidR="00855B62" w:rsidRPr="00E52CD1" w:rsidRDefault="00855B62" w:rsidP="00855B62">
      <w:pPr>
        <w:pStyle w:val="TFReferencesSection"/>
        <w:ind w:firstLine="0"/>
      </w:pPr>
      <w:r w:rsidRPr="00E52CD1">
        <w:t>(34)</w:t>
      </w:r>
      <w:r w:rsidRPr="00E52CD1">
        <w:tab/>
        <w:t xml:space="preserve">Hannon, K.; Smith, C. K.; Bales, K. R.; Santerre, R. F. Temporal and Quantitative Analysis of Myogenic Regulatory and Growth Factor Gene Expression in the Developing Mouse Embryo. </w:t>
      </w:r>
      <w:r w:rsidRPr="00E52CD1">
        <w:rPr>
          <w:i/>
        </w:rPr>
        <w:t>Dev. Biol.</w:t>
      </w:r>
      <w:r w:rsidRPr="00E52CD1">
        <w:t xml:space="preserve"> </w:t>
      </w:r>
      <w:r w:rsidRPr="00E52CD1">
        <w:rPr>
          <w:b/>
        </w:rPr>
        <w:t>1992</w:t>
      </w:r>
      <w:r w:rsidRPr="00E52CD1">
        <w:t xml:space="preserve">, </w:t>
      </w:r>
      <w:r w:rsidRPr="00E52CD1">
        <w:rPr>
          <w:i/>
        </w:rPr>
        <w:t>151</w:t>
      </w:r>
      <w:r w:rsidRPr="00E52CD1">
        <w:t>, 137–144.</w:t>
      </w:r>
    </w:p>
    <w:p w14:paraId="1CD0ABBB" w14:textId="77777777" w:rsidR="00855B62" w:rsidRPr="00E52CD1" w:rsidRDefault="00855B62" w:rsidP="00855B62">
      <w:pPr>
        <w:pStyle w:val="TFReferencesSection"/>
        <w:ind w:firstLine="0"/>
      </w:pPr>
      <w:r w:rsidRPr="00E52CD1">
        <w:t>(35)</w:t>
      </w:r>
      <w:r w:rsidRPr="00E52CD1">
        <w:tab/>
        <w:t xml:space="preserve">Park, I. H.; Zhao, R.; West, J. A.; Yabuuchi, A.; Huo, H.; Ince, T. A.; Lerou, P. H.; Lensch, M. W.; Daley, G. Q. Reprogramming of Human Somatic Cells to Pluripotency with Defined Factors. </w:t>
      </w:r>
      <w:r w:rsidRPr="00E52CD1">
        <w:rPr>
          <w:i/>
        </w:rPr>
        <w:t>Nature</w:t>
      </w:r>
      <w:r w:rsidRPr="00E52CD1">
        <w:t xml:space="preserve"> </w:t>
      </w:r>
      <w:r w:rsidRPr="00E52CD1">
        <w:rPr>
          <w:b/>
        </w:rPr>
        <w:t>2008</w:t>
      </w:r>
      <w:r w:rsidRPr="00E52CD1">
        <w:t xml:space="preserve">, </w:t>
      </w:r>
      <w:r w:rsidRPr="00E52CD1">
        <w:rPr>
          <w:i/>
        </w:rPr>
        <w:t>451</w:t>
      </w:r>
      <w:r w:rsidRPr="00E52CD1">
        <w:t>, 141–146.</w:t>
      </w:r>
    </w:p>
    <w:p w14:paraId="0C58E3A7" w14:textId="77777777" w:rsidR="00855B62" w:rsidRPr="00E52CD1" w:rsidRDefault="00855B62" w:rsidP="00855B62">
      <w:pPr>
        <w:pStyle w:val="TFReferencesSection"/>
        <w:ind w:firstLine="0"/>
      </w:pPr>
      <w:r w:rsidRPr="00E52CD1">
        <w:t>(36)</w:t>
      </w:r>
      <w:r w:rsidRPr="00E52CD1">
        <w:tab/>
        <w:t xml:space="preserve">Egli, D.; Birkhoff, G.; Eggan, K. Mediators of Reprogramming: Transcription Factors and Transitions Through Mitosis. </w:t>
      </w:r>
      <w:r w:rsidRPr="00E52CD1">
        <w:rPr>
          <w:i/>
        </w:rPr>
        <w:t>Nat. Rev. Mol. Cell Biol.</w:t>
      </w:r>
      <w:r w:rsidRPr="00E52CD1">
        <w:t xml:space="preserve"> </w:t>
      </w:r>
      <w:r w:rsidRPr="00E52CD1">
        <w:rPr>
          <w:b/>
        </w:rPr>
        <w:t>2008</w:t>
      </w:r>
      <w:r w:rsidRPr="00E52CD1">
        <w:t xml:space="preserve">, </w:t>
      </w:r>
      <w:r w:rsidRPr="00E52CD1">
        <w:rPr>
          <w:i/>
        </w:rPr>
        <w:t>9</w:t>
      </w:r>
      <w:r w:rsidRPr="00E52CD1">
        <w:t>, 505–516.</w:t>
      </w:r>
    </w:p>
    <w:p w14:paraId="4922326B" w14:textId="77777777" w:rsidR="00855B62" w:rsidRPr="00E52CD1" w:rsidRDefault="00855B62" w:rsidP="00855B62">
      <w:pPr>
        <w:pStyle w:val="TFReferencesSection"/>
        <w:ind w:firstLine="0"/>
      </w:pPr>
      <w:r w:rsidRPr="00E52CD1">
        <w:t>(37)</w:t>
      </w:r>
      <w:r w:rsidRPr="00E52CD1">
        <w:tab/>
        <w:t xml:space="preserve">McBeath, R.; Pirone, D. M.; Nelson, C. M.; Bhadriraju, K.; Chen, C. S. Cell Shape, Cytoskeletal Tension, and RhoA Regulate Stem Cell Lineage Commitment. </w:t>
      </w:r>
      <w:r w:rsidRPr="00E52CD1">
        <w:rPr>
          <w:i/>
        </w:rPr>
        <w:t>Dev. Cell</w:t>
      </w:r>
      <w:r w:rsidRPr="00E52CD1">
        <w:t xml:space="preserve"> </w:t>
      </w:r>
      <w:r w:rsidRPr="00E52CD1">
        <w:rPr>
          <w:b/>
        </w:rPr>
        <w:t>2004</w:t>
      </w:r>
      <w:r w:rsidRPr="00E52CD1">
        <w:t xml:space="preserve">, </w:t>
      </w:r>
      <w:r w:rsidRPr="00E52CD1">
        <w:rPr>
          <w:i/>
        </w:rPr>
        <w:t>6</w:t>
      </w:r>
      <w:r w:rsidRPr="00E52CD1">
        <w:t>, 483–495.</w:t>
      </w:r>
    </w:p>
    <w:p w14:paraId="3FF507EA" w14:textId="77777777" w:rsidR="00855B62" w:rsidRPr="00E52CD1" w:rsidRDefault="00855B62" w:rsidP="00855B62">
      <w:pPr>
        <w:pStyle w:val="TFReferencesSection"/>
        <w:ind w:firstLine="0"/>
      </w:pPr>
      <w:r w:rsidRPr="00E52CD1">
        <w:t>(38)</w:t>
      </w:r>
      <w:r w:rsidRPr="00E52CD1">
        <w:tab/>
        <w:t xml:space="preserve">Chen, G.; Dong, C.; Yang, L.; Lv, Y. 3D Scaffolds with Different Stiffness but the Same Microstructure for Bone Tissue Engineering. </w:t>
      </w:r>
      <w:r w:rsidRPr="00E52CD1">
        <w:rPr>
          <w:i/>
        </w:rPr>
        <w:t>ACS Appl. Mater. Interfaces</w:t>
      </w:r>
      <w:r w:rsidRPr="00E52CD1">
        <w:t xml:space="preserve"> </w:t>
      </w:r>
      <w:r w:rsidRPr="00E52CD1">
        <w:rPr>
          <w:b/>
        </w:rPr>
        <w:t>2015</w:t>
      </w:r>
      <w:r w:rsidRPr="00E52CD1">
        <w:t xml:space="preserve">, </w:t>
      </w:r>
      <w:r w:rsidRPr="00E52CD1">
        <w:rPr>
          <w:i/>
        </w:rPr>
        <w:t>7</w:t>
      </w:r>
      <w:r w:rsidRPr="00E52CD1">
        <w:t>, 15790–15802.</w:t>
      </w:r>
    </w:p>
    <w:p w14:paraId="363D7C11" w14:textId="77777777" w:rsidR="00855B62" w:rsidRPr="00E52CD1" w:rsidRDefault="00855B62" w:rsidP="00855B62">
      <w:pPr>
        <w:pStyle w:val="TFReferencesSection"/>
        <w:ind w:firstLine="0"/>
      </w:pPr>
      <w:r w:rsidRPr="00E52CD1">
        <w:t>(39)</w:t>
      </w:r>
      <w:r w:rsidRPr="00E52CD1">
        <w:tab/>
        <w:t xml:space="preserve">Zajac, A.; Discher, D. E. Cell Differentiation Through Tissue Elasticity-Coupled, Myosin-Driven Remodeling. </w:t>
      </w:r>
      <w:r w:rsidRPr="00E52CD1">
        <w:rPr>
          <w:i/>
        </w:rPr>
        <w:t xml:space="preserve">Curr. Opin. Cell Biol. </w:t>
      </w:r>
      <w:r w:rsidRPr="00E52CD1">
        <w:rPr>
          <w:b/>
        </w:rPr>
        <w:t>2008</w:t>
      </w:r>
      <w:r w:rsidRPr="00E52CD1">
        <w:t xml:space="preserve">, </w:t>
      </w:r>
      <w:r w:rsidRPr="00E52CD1">
        <w:rPr>
          <w:i/>
        </w:rPr>
        <w:t>20</w:t>
      </w:r>
      <w:r w:rsidRPr="00E52CD1">
        <w:t>, 609–615.</w:t>
      </w:r>
    </w:p>
    <w:p w14:paraId="6FCD6CC4" w14:textId="77777777" w:rsidR="00855B62" w:rsidRPr="00E52CD1" w:rsidRDefault="00855B62" w:rsidP="00855B62">
      <w:pPr>
        <w:pStyle w:val="TFReferencesSection"/>
        <w:ind w:firstLine="0"/>
      </w:pPr>
      <w:r w:rsidRPr="00E52CD1">
        <w:lastRenderedPageBreak/>
        <w:t>(40)</w:t>
      </w:r>
      <w:r w:rsidRPr="00E52CD1">
        <w:tab/>
        <w:t xml:space="preserve">Pajerowske, J. D.; Dahl, K. N.; Zhong, F. L.; Sammak, P. J.; Discher, D. E. Physical Plasticity of the Nucleus in Stem Cell Differentiation. </w:t>
      </w:r>
      <w:r w:rsidRPr="00E52CD1">
        <w:rPr>
          <w:i/>
        </w:rPr>
        <w:t>Proc. Natl. Acad. Sci. U.S.A.</w:t>
      </w:r>
      <w:r w:rsidRPr="00E52CD1">
        <w:t xml:space="preserve"> </w:t>
      </w:r>
      <w:r w:rsidRPr="00E52CD1">
        <w:rPr>
          <w:b/>
        </w:rPr>
        <w:t>2007</w:t>
      </w:r>
      <w:r w:rsidRPr="00E52CD1">
        <w:t xml:space="preserve">, </w:t>
      </w:r>
      <w:r w:rsidRPr="00E52CD1">
        <w:rPr>
          <w:i/>
        </w:rPr>
        <w:t>104</w:t>
      </w:r>
      <w:r w:rsidRPr="00E52CD1">
        <w:t>, 15619–15624.</w:t>
      </w:r>
    </w:p>
    <w:p w14:paraId="36D29E2E" w14:textId="77777777" w:rsidR="00855B62" w:rsidRPr="00E52CD1" w:rsidRDefault="00855B62" w:rsidP="00855B62">
      <w:pPr>
        <w:pStyle w:val="TFReferencesSection"/>
        <w:ind w:firstLine="0"/>
      </w:pPr>
      <w:r w:rsidRPr="00E52CD1">
        <w:t>(41)</w:t>
      </w:r>
      <w:r w:rsidRPr="00E52CD1">
        <w:tab/>
        <w:t xml:space="preserve">Chowdhury, F.; Na, S.; Li, D.; Poh, Y. C.; Tanaka, T. S.; Wang, F.; Wang, N. Material Properties of the Cell Dictate Stress-Induced Spreading and Differentiation in Embryonic Stem Cells. </w:t>
      </w:r>
      <w:r w:rsidRPr="00E52CD1">
        <w:rPr>
          <w:i/>
        </w:rPr>
        <w:t>Nat. Mater.</w:t>
      </w:r>
      <w:r w:rsidRPr="00E52CD1">
        <w:t xml:space="preserve"> </w:t>
      </w:r>
      <w:r w:rsidRPr="00E52CD1">
        <w:rPr>
          <w:b/>
        </w:rPr>
        <w:t>2009</w:t>
      </w:r>
      <w:r w:rsidRPr="00E52CD1">
        <w:t xml:space="preserve">, </w:t>
      </w:r>
      <w:r w:rsidRPr="00E52CD1">
        <w:rPr>
          <w:i/>
        </w:rPr>
        <w:t>9</w:t>
      </w:r>
      <w:r w:rsidRPr="00E52CD1">
        <w:t>, 82–88.</w:t>
      </w:r>
    </w:p>
    <w:p w14:paraId="490B11AB" w14:textId="77777777" w:rsidR="00855B62" w:rsidRPr="00E52CD1" w:rsidRDefault="00855B62" w:rsidP="00855B62">
      <w:pPr>
        <w:pStyle w:val="TFReferencesSection"/>
        <w:ind w:firstLine="0"/>
      </w:pPr>
      <w:r w:rsidRPr="00E52CD1">
        <w:t>(42</w:t>
      </w:r>
      <w:r w:rsidRPr="00E52CD1">
        <w:t></w:t>
      </w:r>
      <w:r w:rsidRPr="00E52CD1">
        <w:tab/>
        <w:t xml:space="preserve">Yang, C.; Tibbitt, M. W.; Basta, L.; Anseth, K. S. Mechanical Memory and Dosing Influence Stem Cell Fate. </w:t>
      </w:r>
      <w:r w:rsidRPr="00E52CD1">
        <w:rPr>
          <w:i/>
        </w:rPr>
        <w:t>Nat. Mater.</w:t>
      </w:r>
      <w:r w:rsidRPr="00E52CD1">
        <w:t xml:space="preserve"> </w:t>
      </w:r>
      <w:r w:rsidRPr="00E52CD1">
        <w:rPr>
          <w:b/>
        </w:rPr>
        <w:t>2014</w:t>
      </w:r>
      <w:r w:rsidRPr="00E52CD1">
        <w:t xml:space="preserve">, </w:t>
      </w:r>
      <w:r w:rsidRPr="00E52CD1">
        <w:rPr>
          <w:i/>
        </w:rPr>
        <w:t>13</w:t>
      </w:r>
      <w:r w:rsidRPr="00E52CD1">
        <w:t>, 645–651.</w:t>
      </w:r>
    </w:p>
    <w:p w14:paraId="48B1A77C" w14:textId="77777777" w:rsidR="00855B62" w:rsidRPr="00E52CD1" w:rsidRDefault="00855B62" w:rsidP="00855B62">
      <w:pPr>
        <w:pStyle w:val="TFReferencesSection"/>
        <w:ind w:firstLine="0"/>
      </w:pPr>
      <w:r w:rsidRPr="00E52CD1">
        <w:t>(43)</w:t>
      </w:r>
      <w:r w:rsidRPr="00E52CD1">
        <w:tab/>
        <w:t xml:space="preserve">Lee, J.; Adbeen, A. A.; Kilian, K. A. Rewiring Mesenchymal Stem Cell Lineage Specification by Switching the Biophysical Microenvironment. </w:t>
      </w:r>
      <w:r w:rsidRPr="00E52CD1">
        <w:rPr>
          <w:i/>
        </w:rPr>
        <w:t>Sci. Rep.</w:t>
      </w:r>
      <w:r w:rsidRPr="00E52CD1">
        <w:t xml:space="preserve"> </w:t>
      </w:r>
      <w:r w:rsidRPr="00E52CD1">
        <w:rPr>
          <w:b/>
        </w:rPr>
        <w:t>2014</w:t>
      </w:r>
      <w:r w:rsidRPr="00E52CD1">
        <w:t xml:space="preserve">, </w:t>
      </w:r>
      <w:r w:rsidRPr="00E52CD1">
        <w:rPr>
          <w:i/>
        </w:rPr>
        <w:t>4</w:t>
      </w:r>
      <w:r w:rsidRPr="00E52CD1">
        <w:t>, 5188.</w:t>
      </w:r>
    </w:p>
    <w:p w14:paraId="62731C22" w14:textId="77777777" w:rsidR="00855B62" w:rsidRPr="00E52CD1" w:rsidRDefault="00855B62" w:rsidP="00855B62">
      <w:pPr>
        <w:pStyle w:val="TFReferencesSection"/>
        <w:ind w:firstLine="0"/>
      </w:pPr>
      <w:r w:rsidRPr="00E52CD1">
        <w:t>(44)</w:t>
      </w:r>
      <w:r w:rsidRPr="00E52CD1">
        <w:tab/>
        <w:t xml:space="preserve">Leipzig, N. D.; Shoichet, M. S. The Effect of Substrate Stiffness on Adult Neural Stem Cell Behavior. </w:t>
      </w:r>
      <w:r w:rsidRPr="00E52CD1">
        <w:rPr>
          <w:i/>
        </w:rPr>
        <w:t>Biomaterials</w:t>
      </w:r>
      <w:r w:rsidRPr="00E52CD1">
        <w:t xml:space="preserve"> </w:t>
      </w:r>
      <w:r w:rsidRPr="00E52CD1">
        <w:rPr>
          <w:b/>
        </w:rPr>
        <w:t>2009</w:t>
      </w:r>
      <w:r w:rsidRPr="00E52CD1">
        <w:t xml:space="preserve">, </w:t>
      </w:r>
      <w:r w:rsidRPr="00E52CD1">
        <w:rPr>
          <w:i/>
        </w:rPr>
        <w:t>30</w:t>
      </w:r>
      <w:r w:rsidRPr="00E52CD1">
        <w:t>, 6867–6878.</w:t>
      </w:r>
    </w:p>
    <w:p w14:paraId="750B2741" w14:textId="77777777" w:rsidR="00855B62" w:rsidRPr="00E52CD1" w:rsidRDefault="00855B62" w:rsidP="00855B62">
      <w:pPr>
        <w:pStyle w:val="TFReferencesSection"/>
        <w:ind w:firstLine="0"/>
      </w:pPr>
      <w:r w:rsidRPr="00E52CD1">
        <w:t>(45)</w:t>
      </w:r>
      <w:r w:rsidRPr="00E52CD1">
        <w:tab/>
        <w:t xml:space="preserve">Levental, I.; Georges, P. C.; Janmey, P. A. Soft Biological Materials and Their Impact on Cell Function. </w:t>
      </w:r>
      <w:r w:rsidRPr="00E52CD1">
        <w:rPr>
          <w:i/>
        </w:rPr>
        <w:t>Soft Matter</w:t>
      </w:r>
      <w:r w:rsidRPr="00E52CD1">
        <w:t xml:space="preserve"> </w:t>
      </w:r>
      <w:r w:rsidRPr="00E52CD1">
        <w:rPr>
          <w:b/>
        </w:rPr>
        <w:t>2007</w:t>
      </w:r>
      <w:r w:rsidRPr="00E52CD1">
        <w:t xml:space="preserve">, </w:t>
      </w:r>
      <w:r w:rsidRPr="00E52CD1">
        <w:rPr>
          <w:i/>
        </w:rPr>
        <w:t>3</w:t>
      </w:r>
      <w:r w:rsidRPr="00E52CD1">
        <w:t>, 299–306.</w:t>
      </w:r>
    </w:p>
    <w:p w14:paraId="47EDDFD3" w14:textId="77777777" w:rsidR="00855B62" w:rsidRPr="00E52CD1" w:rsidRDefault="00855B62" w:rsidP="00855B62">
      <w:pPr>
        <w:pStyle w:val="TFReferencesSection"/>
        <w:ind w:firstLine="0"/>
      </w:pPr>
      <w:r w:rsidRPr="00E52CD1">
        <w:t>(46)</w:t>
      </w:r>
      <w:r w:rsidRPr="00E52CD1">
        <w:tab/>
        <w:t xml:space="preserve">Wakelam, M. J. The Fusion of Myoblasts. </w:t>
      </w:r>
      <w:r w:rsidRPr="00E52CD1">
        <w:rPr>
          <w:i/>
        </w:rPr>
        <w:t>Biochem. J.</w:t>
      </w:r>
      <w:r w:rsidRPr="00E52CD1">
        <w:t xml:space="preserve"> </w:t>
      </w:r>
      <w:r w:rsidRPr="00E52CD1">
        <w:rPr>
          <w:b/>
        </w:rPr>
        <w:t>1985</w:t>
      </w:r>
      <w:r w:rsidRPr="00E52CD1">
        <w:t xml:space="preserve">, </w:t>
      </w:r>
      <w:r w:rsidRPr="00E52CD1">
        <w:rPr>
          <w:i/>
        </w:rPr>
        <w:t>228</w:t>
      </w:r>
      <w:r w:rsidRPr="00E52CD1">
        <w:t>, 1–12.</w:t>
      </w:r>
    </w:p>
    <w:p w14:paraId="0BB07B32" w14:textId="77777777" w:rsidR="00855B62" w:rsidRPr="00E52CD1" w:rsidRDefault="00855B62" w:rsidP="00855B62">
      <w:pPr>
        <w:pStyle w:val="TFReferencesSection"/>
        <w:ind w:firstLine="0"/>
      </w:pPr>
      <w:r w:rsidRPr="00E52CD1">
        <w:t>(47)</w:t>
      </w:r>
      <w:r w:rsidRPr="00E52CD1">
        <w:tab/>
        <w:t xml:space="preserve">Braun, T.; Rudnicki, M. A.; Arnold, H. H.; Jaenisch, R. Targeted Inactivation of the Muscle Regulatory Gene Myf-5 Results in Abnormal Rib Development and Perinatal Death. </w:t>
      </w:r>
      <w:r w:rsidRPr="00E52CD1">
        <w:rPr>
          <w:i/>
        </w:rPr>
        <w:t>Cell</w:t>
      </w:r>
      <w:r w:rsidRPr="00E52CD1">
        <w:t xml:space="preserve"> </w:t>
      </w:r>
      <w:r w:rsidRPr="00E52CD1">
        <w:rPr>
          <w:b/>
        </w:rPr>
        <w:t>1992</w:t>
      </w:r>
      <w:r w:rsidRPr="00E52CD1">
        <w:t xml:space="preserve">, </w:t>
      </w:r>
      <w:r w:rsidRPr="00E52CD1">
        <w:rPr>
          <w:i/>
        </w:rPr>
        <w:t>71</w:t>
      </w:r>
      <w:r w:rsidRPr="00E52CD1">
        <w:t>, 369–382.</w:t>
      </w:r>
    </w:p>
    <w:p w14:paraId="0C72E2F7" w14:textId="77777777" w:rsidR="00855B62" w:rsidRPr="00E52CD1" w:rsidRDefault="00855B62" w:rsidP="00855B62">
      <w:pPr>
        <w:pStyle w:val="TFReferencesSection"/>
        <w:ind w:firstLine="0"/>
      </w:pPr>
      <w:r w:rsidRPr="00E52CD1">
        <w:lastRenderedPageBreak/>
        <w:t>(48)</w:t>
      </w:r>
      <w:r w:rsidRPr="00E52CD1">
        <w:tab/>
        <w:t xml:space="preserve">Rudnicki, M. A.; Braun, T.; Hinuma, S.; Jaenisch, R. Inactivation of MyoD in Mice Leads to Up-Regulation of the Myogenic HLH Gene Myf-5 and Results in Apparently Normal Muscle Development. </w:t>
      </w:r>
      <w:r w:rsidRPr="00E52CD1">
        <w:rPr>
          <w:i/>
        </w:rPr>
        <w:t>Cell</w:t>
      </w:r>
      <w:r w:rsidRPr="00E52CD1">
        <w:t xml:space="preserve"> </w:t>
      </w:r>
      <w:r w:rsidRPr="00E52CD1">
        <w:rPr>
          <w:b/>
        </w:rPr>
        <w:t>1992</w:t>
      </w:r>
      <w:r w:rsidRPr="00E52CD1">
        <w:t xml:space="preserve">, </w:t>
      </w:r>
      <w:r w:rsidRPr="00E52CD1">
        <w:rPr>
          <w:i/>
        </w:rPr>
        <w:t>71</w:t>
      </w:r>
      <w:r w:rsidRPr="00E52CD1">
        <w:t>, 383–390.</w:t>
      </w:r>
    </w:p>
    <w:p w14:paraId="2E79E13E" w14:textId="77777777" w:rsidR="00855B62" w:rsidRPr="00E52CD1" w:rsidRDefault="00855B62" w:rsidP="00855B62">
      <w:pPr>
        <w:pStyle w:val="TFReferencesSection"/>
        <w:ind w:firstLine="0"/>
      </w:pPr>
      <w:r w:rsidRPr="00E52CD1">
        <w:t>(49)</w:t>
      </w:r>
      <w:r w:rsidRPr="00E52CD1">
        <w:tab/>
        <w:t xml:space="preserve">Rudnicki, M. A.; Schnegelsberg, P. N.; Stead, R. H.; Braun, T.; Arnold, H. H.; Jaenisch, R. MyoD or Myf-5 is Required for the Formation of Skeletal Muscle. </w:t>
      </w:r>
      <w:r w:rsidRPr="00E52CD1">
        <w:rPr>
          <w:i/>
        </w:rPr>
        <w:t>Cell</w:t>
      </w:r>
      <w:r w:rsidRPr="00E52CD1">
        <w:t xml:space="preserve"> </w:t>
      </w:r>
      <w:r w:rsidRPr="00E52CD1">
        <w:rPr>
          <w:b/>
        </w:rPr>
        <w:t>1993</w:t>
      </w:r>
      <w:r w:rsidRPr="00E52CD1">
        <w:t xml:space="preserve">, </w:t>
      </w:r>
      <w:r w:rsidRPr="00E52CD1">
        <w:rPr>
          <w:i/>
        </w:rPr>
        <w:t>75</w:t>
      </w:r>
      <w:r w:rsidRPr="00E52CD1">
        <w:t>, 1351–1359.</w:t>
      </w:r>
    </w:p>
    <w:p w14:paraId="321EAE88" w14:textId="77777777" w:rsidR="000A38B8" w:rsidRPr="00E52CD1" w:rsidRDefault="000A38B8" w:rsidP="000A38B8">
      <w:pPr>
        <w:pStyle w:val="TFReferencesSection"/>
        <w:ind w:firstLine="0"/>
      </w:pPr>
      <w:r w:rsidRPr="00E52CD1">
        <w:t>(50)</w:t>
      </w:r>
      <w:r w:rsidRPr="00E52CD1">
        <w:tab/>
        <w:t xml:space="preserve">Chia, S. L.; Tay, C. Y.; Setyawati, M. I.; Leong, D. T. Decoupling the Direct and Indirect Biological Effects of ZnO Nanoparticles Using a Communicative Dual Cell-Type Tissue Construct. </w:t>
      </w:r>
      <w:r w:rsidRPr="00E52CD1">
        <w:rPr>
          <w:i/>
        </w:rPr>
        <w:t>Small</w:t>
      </w:r>
      <w:r w:rsidRPr="00E52CD1">
        <w:t xml:space="preserve"> </w:t>
      </w:r>
      <w:r w:rsidRPr="00E52CD1">
        <w:rPr>
          <w:b/>
        </w:rPr>
        <w:t>2015</w:t>
      </w:r>
      <w:r w:rsidRPr="00E52CD1">
        <w:t xml:space="preserve">, </w:t>
      </w:r>
      <w:r w:rsidRPr="00E52CD1">
        <w:rPr>
          <w:i/>
        </w:rPr>
        <w:t>12</w:t>
      </w:r>
      <w:r w:rsidRPr="00E52CD1">
        <w:t>, 647–657.</w:t>
      </w:r>
    </w:p>
    <w:p w14:paraId="14C2D441" w14:textId="36D44CA4" w:rsidR="00855B62" w:rsidRPr="00E52CD1" w:rsidRDefault="000A38B8" w:rsidP="000A38B8">
      <w:pPr>
        <w:pStyle w:val="TFReferencesSection"/>
        <w:ind w:firstLine="0"/>
      </w:pPr>
      <w:r w:rsidRPr="00E52CD1">
        <w:t>(51</w:t>
      </w:r>
      <w:r w:rsidR="00855B62" w:rsidRPr="00E52CD1">
        <w:t>)</w:t>
      </w:r>
      <w:r w:rsidR="00855B62" w:rsidRPr="00E52CD1">
        <w:tab/>
        <w:t xml:space="preserve">Ishikawa, D.; Mori, T.; Yonamine, Y.; Nakanishi, W.; Cheung, D. L.; Hill, J. P.; Ariga, K. Mechanochemical Tuning of the Binaphthyl Conformation at the Air–Water Interface. </w:t>
      </w:r>
      <w:r w:rsidR="00855B62" w:rsidRPr="00E52CD1">
        <w:rPr>
          <w:i/>
        </w:rPr>
        <w:t>Angew. Chem. Int. Ed.</w:t>
      </w:r>
      <w:r w:rsidR="00855B62" w:rsidRPr="00E52CD1">
        <w:t xml:space="preserve"> </w:t>
      </w:r>
      <w:r w:rsidR="0064437C" w:rsidRPr="00E52CD1">
        <w:rPr>
          <w:b/>
        </w:rPr>
        <w:t>2015</w:t>
      </w:r>
      <w:r w:rsidR="0064437C" w:rsidRPr="00E52CD1">
        <w:t xml:space="preserve">, </w:t>
      </w:r>
      <w:r w:rsidR="00855B62" w:rsidRPr="00E52CD1">
        <w:rPr>
          <w:i/>
        </w:rPr>
        <w:t>54</w:t>
      </w:r>
      <w:r w:rsidR="00855B62" w:rsidRPr="00E52CD1">
        <w:t>, 8988–8991.</w:t>
      </w:r>
    </w:p>
    <w:p w14:paraId="11557518" w14:textId="098CF1D2" w:rsidR="00855B62" w:rsidRPr="00E52CD1" w:rsidRDefault="00576200" w:rsidP="00855B62">
      <w:pPr>
        <w:pStyle w:val="TFReferencesSection"/>
        <w:ind w:firstLine="0"/>
      </w:pPr>
      <w:r w:rsidRPr="00E52CD1">
        <w:t>(52)</w:t>
      </w:r>
      <w:r w:rsidRPr="00E52CD1">
        <w:tab/>
      </w:r>
      <w:r w:rsidR="00855B62" w:rsidRPr="00E52CD1">
        <w:t xml:space="preserve">Dias, A. M. A.; Freire, M.; Coutinho, J. A. P.; Marrucho, I. M. Solubility of Oxygen in Liquid Perfluorocarbons. </w:t>
      </w:r>
      <w:r w:rsidR="00855B62" w:rsidRPr="00E52CD1">
        <w:rPr>
          <w:i/>
        </w:rPr>
        <w:t>Fluid Phase Equilib</w:t>
      </w:r>
      <w:r w:rsidR="002A6D04" w:rsidRPr="00E52CD1">
        <w:rPr>
          <w:i/>
        </w:rPr>
        <w:t>.</w:t>
      </w:r>
      <w:r w:rsidR="00855B62" w:rsidRPr="00E52CD1">
        <w:t xml:space="preserve"> </w:t>
      </w:r>
      <w:r w:rsidR="00855B62" w:rsidRPr="00E52CD1">
        <w:rPr>
          <w:b/>
        </w:rPr>
        <w:t>2004</w:t>
      </w:r>
      <w:r w:rsidR="00855B62" w:rsidRPr="00E52CD1">
        <w:t xml:space="preserve">, </w:t>
      </w:r>
      <w:r w:rsidR="00855B62" w:rsidRPr="00E52CD1">
        <w:rPr>
          <w:i/>
        </w:rPr>
        <w:t>222–223</w:t>
      </w:r>
      <w:r w:rsidR="00855B62" w:rsidRPr="00E52CD1">
        <w:t>, 325–330.</w:t>
      </w:r>
    </w:p>
    <w:p w14:paraId="671DC3EE" w14:textId="77777777" w:rsidR="00855B62" w:rsidRPr="00E52CD1" w:rsidRDefault="00855B62" w:rsidP="000B5610">
      <w:pPr>
        <w:pStyle w:val="TFReferencesSection"/>
        <w:spacing w:after="0"/>
        <w:ind w:firstLine="0"/>
      </w:pPr>
    </w:p>
    <w:p w14:paraId="5511EE1D" w14:textId="492F964F" w:rsidR="00855B62" w:rsidRPr="00E52CD1" w:rsidRDefault="00855B62">
      <w:pPr>
        <w:spacing w:after="0"/>
        <w:jc w:val="left"/>
      </w:pPr>
      <w:r w:rsidRPr="00E52CD1">
        <w:br w:type="page"/>
      </w:r>
    </w:p>
    <w:p w14:paraId="41A63E20" w14:textId="4EF45E7E" w:rsidR="009246AD" w:rsidRPr="00E52CD1" w:rsidRDefault="00855B62" w:rsidP="000B5610">
      <w:pPr>
        <w:pStyle w:val="SNSynopsisTOC"/>
        <w:spacing w:after="240"/>
        <w:jc w:val="left"/>
      </w:pPr>
      <w:r w:rsidRPr="00E52CD1">
        <w:lastRenderedPageBreak/>
        <w:t>GRAPHICAL TABLE OF CONTENTS</w:t>
      </w:r>
    </w:p>
    <w:p w14:paraId="416EB3CC" w14:textId="0FD9E942" w:rsidR="00855B62" w:rsidRDefault="00855B62" w:rsidP="000B5610">
      <w:pPr>
        <w:pStyle w:val="SNSynopsisTOC"/>
        <w:spacing w:after="240"/>
        <w:jc w:val="left"/>
      </w:pPr>
      <w:r w:rsidRPr="00E52CD1">
        <w:rPr>
          <w:b/>
          <w:noProof/>
          <w:lang w:eastAsia="ja-JP"/>
        </w:rPr>
        <w:drawing>
          <wp:inline distT="0" distB="0" distL="0" distR="0" wp14:anchorId="35D64884" wp14:editId="78A8CAFD">
            <wp:extent cx="3240024" cy="1801368"/>
            <wp:effectExtent l="0" t="0" r="11430" b="254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l-interface_TOC.tif"/>
                    <pic:cNvPicPr/>
                  </pic:nvPicPr>
                  <pic:blipFill>
                    <a:blip r:embed="rId12">
                      <a:extLst>
                        <a:ext uri="{28A0092B-C50C-407E-A947-70E740481C1C}">
                          <a14:useLocalDpi xmlns:a14="http://schemas.microsoft.com/office/drawing/2010/main" val="0"/>
                        </a:ext>
                      </a:extLst>
                    </a:blip>
                    <a:stretch>
                      <a:fillRect/>
                    </a:stretch>
                  </pic:blipFill>
                  <pic:spPr>
                    <a:xfrm>
                      <a:off x="0" y="0"/>
                      <a:ext cx="3240024" cy="1801368"/>
                    </a:xfrm>
                    <a:prstGeom prst="rect">
                      <a:avLst/>
                    </a:prstGeom>
                  </pic:spPr>
                </pic:pic>
              </a:graphicData>
            </a:graphic>
          </wp:inline>
        </w:drawing>
      </w:r>
      <w:bookmarkStart w:id="11" w:name="_GoBack"/>
      <w:bookmarkEnd w:id="11"/>
    </w:p>
    <w:sectPr w:rsidR="00855B62" w:rsidSect="000B5610">
      <w:footerReference w:type="even" r:id="rId13"/>
      <w:footerReference w:type="default" r:id="rId14"/>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DF156" w14:textId="77777777" w:rsidR="001107BE" w:rsidRDefault="001107BE">
      <w:r>
        <w:separator/>
      </w:r>
    </w:p>
  </w:endnote>
  <w:endnote w:type="continuationSeparator" w:id="0">
    <w:p w14:paraId="1364B634" w14:textId="77777777" w:rsidR="001107BE" w:rsidRDefault="00110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New York">
    <w:panose1 w:val="00000000000000000000"/>
    <w:charset w:val="4D"/>
    <w:family w:val="roman"/>
    <w:notTrueType/>
    <w:pitch w:val="variable"/>
    <w:sig w:usb0="00000003" w:usb1="00000000" w:usb2="00000000" w:usb3="00000000" w:csb0="00000001" w:csb1="00000000"/>
  </w:font>
  <w:font w:name="ＭＳ 明朝">
    <w:panose1 w:val="02020609040205080304"/>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no Pro">
    <w:altName w:val="Constantia"/>
    <w:panose1 w:val="00000000000000000000"/>
    <w:charset w:val="00"/>
    <w:family w:val="roman"/>
    <w:notTrueType/>
    <w:pitch w:val="variable"/>
    <w:sig w:usb0="60000287" w:usb1="00000001" w:usb2="00000000" w:usb3="00000000" w:csb0="0000019F" w:csb1="00000000"/>
  </w:font>
  <w:font w:name="ＭＳ Ｐゴシック">
    <w:panose1 w:val="020B0600070205080204"/>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panose1 w:val="020B0609070205080204"/>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5A658" w14:textId="77777777" w:rsidR="001107BE" w:rsidRDefault="001107BE">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7B0B4958" w14:textId="77777777" w:rsidR="001107BE" w:rsidRDefault="001107BE">
    <w:pPr>
      <w:pStyle w:val="a7"/>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B7C94" w14:textId="77777777" w:rsidR="001107BE" w:rsidRDefault="001107BE">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E52CD1">
      <w:rPr>
        <w:rStyle w:val="a8"/>
        <w:noProof/>
      </w:rPr>
      <w:t>33</w:t>
    </w:r>
    <w:r>
      <w:rPr>
        <w:rStyle w:val="a8"/>
      </w:rPr>
      <w:fldChar w:fldCharType="end"/>
    </w:r>
  </w:p>
  <w:p w14:paraId="31171375" w14:textId="77777777" w:rsidR="001107BE" w:rsidRDefault="001107BE">
    <w:pPr>
      <w:pStyle w:val="a7"/>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E2A2B" w14:textId="77777777" w:rsidR="001107BE" w:rsidRDefault="001107BE">
      <w:r>
        <w:separator/>
      </w:r>
    </w:p>
  </w:footnote>
  <w:footnote w:type="continuationSeparator" w:id="0">
    <w:p w14:paraId="3FC637FD" w14:textId="77777777" w:rsidR="001107BE" w:rsidRDefault="001107B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224C14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4">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7">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8">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abstractNumId w:val="7"/>
  </w:num>
  <w:num w:numId="2">
    <w:abstractNumId w:val="5"/>
  </w:num>
  <w:num w:numId="3">
    <w:abstractNumId w:val="8"/>
  </w:num>
  <w:num w:numId="4">
    <w:abstractNumId w:val="6"/>
  </w:num>
  <w:num w:numId="5">
    <w:abstractNumId w:val="4"/>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bordersDoNotSurroundHeader/>
  <w:bordersDoNotSurroundFooter/>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3E2"/>
    <w:rsid w:val="000133D6"/>
    <w:rsid w:val="0005660F"/>
    <w:rsid w:val="000702AD"/>
    <w:rsid w:val="000A38B8"/>
    <w:rsid w:val="000B3A40"/>
    <w:rsid w:val="000B5610"/>
    <w:rsid w:val="000C05CC"/>
    <w:rsid w:val="001107BE"/>
    <w:rsid w:val="001A7A90"/>
    <w:rsid w:val="001B27E6"/>
    <w:rsid w:val="001B65DD"/>
    <w:rsid w:val="00212B1D"/>
    <w:rsid w:val="00235458"/>
    <w:rsid w:val="00271C4E"/>
    <w:rsid w:val="00292608"/>
    <w:rsid w:val="002A6D04"/>
    <w:rsid w:val="002A7493"/>
    <w:rsid w:val="002C3431"/>
    <w:rsid w:val="00335E43"/>
    <w:rsid w:val="003664E9"/>
    <w:rsid w:val="003679A1"/>
    <w:rsid w:val="00370D0A"/>
    <w:rsid w:val="003B4AF3"/>
    <w:rsid w:val="003B61E0"/>
    <w:rsid w:val="003B78CD"/>
    <w:rsid w:val="00431194"/>
    <w:rsid w:val="00456604"/>
    <w:rsid w:val="00475AC3"/>
    <w:rsid w:val="00475FD2"/>
    <w:rsid w:val="004E7185"/>
    <w:rsid w:val="004F168F"/>
    <w:rsid w:val="00547263"/>
    <w:rsid w:val="00576200"/>
    <w:rsid w:val="00591A57"/>
    <w:rsid w:val="005A72EB"/>
    <w:rsid w:val="005D0C10"/>
    <w:rsid w:val="0064437C"/>
    <w:rsid w:val="006455A5"/>
    <w:rsid w:val="006A729F"/>
    <w:rsid w:val="006B2581"/>
    <w:rsid w:val="007043E2"/>
    <w:rsid w:val="007629D3"/>
    <w:rsid w:val="0076758B"/>
    <w:rsid w:val="007D7056"/>
    <w:rsid w:val="008047DE"/>
    <w:rsid w:val="00812CB6"/>
    <w:rsid w:val="00824A69"/>
    <w:rsid w:val="00855B62"/>
    <w:rsid w:val="008655C0"/>
    <w:rsid w:val="00874EB2"/>
    <w:rsid w:val="00912169"/>
    <w:rsid w:val="0092037A"/>
    <w:rsid w:val="009246AD"/>
    <w:rsid w:val="009F2E7E"/>
    <w:rsid w:val="00A02D62"/>
    <w:rsid w:val="00A20EB5"/>
    <w:rsid w:val="00A430E8"/>
    <w:rsid w:val="00A5631A"/>
    <w:rsid w:val="00A764EF"/>
    <w:rsid w:val="00A96EA8"/>
    <w:rsid w:val="00AB34C5"/>
    <w:rsid w:val="00AE0C5A"/>
    <w:rsid w:val="00B452CE"/>
    <w:rsid w:val="00B60028"/>
    <w:rsid w:val="00B6244A"/>
    <w:rsid w:val="00B73527"/>
    <w:rsid w:val="00B7618D"/>
    <w:rsid w:val="00BB6D5A"/>
    <w:rsid w:val="00BC6E85"/>
    <w:rsid w:val="00BC721C"/>
    <w:rsid w:val="00BD2C44"/>
    <w:rsid w:val="00C10EE0"/>
    <w:rsid w:val="00C12556"/>
    <w:rsid w:val="00C458EB"/>
    <w:rsid w:val="00C9028B"/>
    <w:rsid w:val="00D2061A"/>
    <w:rsid w:val="00D32E24"/>
    <w:rsid w:val="00D35849"/>
    <w:rsid w:val="00D52100"/>
    <w:rsid w:val="00DC03A2"/>
    <w:rsid w:val="00DD6DBB"/>
    <w:rsid w:val="00E074F2"/>
    <w:rsid w:val="00E52CD1"/>
    <w:rsid w:val="00E91482"/>
    <w:rsid w:val="00E96302"/>
    <w:rsid w:val="00EB1B13"/>
    <w:rsid w:val="00EF1F57"/>
    <w:rsid w:val="00F134F5"/>
    <w:rsid w:val="00F47B85"/>
    <w:rsid w:val="00F5645C"/>
    <w:rsid w:val="00F61596"/>
    <w:rsid w:val="00F9342B"/>
    <w:rsid w:val="00FE6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38ACF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heme="minorEastAsia" w:hAnsi="New York"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jc w:val="both"/>
    </w:pPr>
    <w:rPr>
      <w:rFonts w:ascii="Times" w:hAnsi="Time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pPr>
      <w:spacing w:line="480" w:lineRule="auto"/>
      <w:ind w:firstLine="187"/>
    </w:pPr>
  </w:style>
  <w:style w:type="paragraph" w:customStyle="1" w:styleId="TAMainText">
    <w:name w:val="TA_Main_Text"/>
    <w:basedOn w:val="a"/>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6">
    <w:name w:val="Hyperlink"/>
    <w:rPr>
      <w:color w:val="0000FF"/>
      <w:u w:val="single"/>
    </w:rPr>
  </w:style>
  <w:style w:type="paragraph" w:styleId="a7">
    <w:name w:val="footer"/>
    <w:basedOn w:val="a"/>
    <w:pPr>
      <w:tabs>
        <w:tab w:val="center" w:pos="4320"/>
        <w:tab w:val="right" w:pos="8640"/>
      </w:tabs>
    </w:p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a"/>
    <w:link w:val="FAAuthorInfoSubtitleChar"/>
    <w:autoRedefine/>
    <w:rsid w:val="000133D6"/>
    <w:pPr>
      <w:spacing w:before="120" w:after="60" w:line="480" w:lineRule="auto"/>
      <w:jc w:val="left"/>
    </w:pPr>
  </w:style>
  <w:style w:type="character" w:customStyle="1" w:styleId="FAAuthorInfoSubtitleChar">
    <w:name w:val="FA_Author_Info_Subtitle Char"/>
    <w:link w:val="FAAuthorInfoSubtitle"/>
    <w:rsid w:val="000133D6"/>
    <w:rPr>
      <w:rFonts w:ascii="Times" w:hAnsi="Times"/>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character" w:styleId="aa">
    <w:name w:val="annotation reference"/>
    <w:basedOn w:val="a0"/>
    <w:uiPriority w:val="99"/>
    <w:unhideWhenUsed/>
    <w:rsid w:val="000133D6"/>
    <w:rPr>
      <w:sz w:val="18"/>
      <w:szCs w:val="18"/>
    </w:rPr>
  </w:style>
  <w:style w:type="table" w:styleId="4">
    <w:name w:val="Medium Shading 1 Accent 5"/>
    <w:basedOn w:val="a1"/>
    <w:uiPriority w:val="63"/>
    <w:rsid w:val="000133D6"/>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heme="minorEastAsia" w:hAnsi="New York"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jc w:val="both"/>
    </w:pPr>
    <w:rPr>
      <w:rFonts w:ascii="Times" w:hAnsi="Time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pPr>
      <w:spacing w:line="480" w:lineRule="auto"/>
      <w:ind w:firstLine="187"/>
    </w:pPr>
  </w:style>
  <w:style w:type="paragraph" w:customStyle="1" w:styleId="TAMainText">
    <w:name w:val="TA_Main_Text"/>
    <w:basedOn w:val="a"/>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6">
    <w:name w:val="Hyperlink"/>
    <w:rPr>
      <w:color w:val="0000FF"/>
      <w:u w:val="single"/>
    </w:rPr>
  </w:style>
  <w:style w:type="paragraph" w:styleId="a7">
    <w:name w:val="footer"/>
    <w:basedOn w:val="a"/>
    <w:pPr>
      <w:tabs>
        <w:tab w:val="center" w:pos="4320"/>
        <w:tab w:val="right" w:pos="8640"/>
      </w:tabs>
    </w:p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a"/>
    <w:link w:val="FAAuthorInfoSubtitleChar"/>
    <w:autoRedefine/>
    <w:rsid w:val="000133D6"/>
    <w:pPr>
      <w:spacing w:before="120" w:after="60" w:line="480" w:lineRule="auto"/>
      <w:jc w:val="left"/>
    </w:pPr>
  </w:style>
  <w:style w:type="character" w:customStyle="1" w:styleId="FAAuthorInfoSubtitleChar">
    <w:name w:val="FA_Author_Info_Subtitle Char"/>
    <w:link w:val="FAAuthorInfoSubtitle"/>
    <w:rsid w:val="000133D6"/>
    <w:rPr>
      <w:rFonts w:ascii="Times" w:hAnsi="Times"/>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character" w:styleId="aa">
    <w:name w:val="annotation reference"/>
    <w:basedOn w:val="a0"/>
    <w:uiPriority w:val="99"/>
    <w:unhideWhenUsed/>
    <w:rsid w:val="000133D6"/>
    <w:rPr>
      <w:sz w:val="18"/>
      <w:szCs w:val="18"/>
    </w:rPr>
  </w:style>
  <w:style w:type="table" w:styleId="4">
    <w:name w:val="Medium Shading 1 Accent 5"/>
    <w:basedOn w:val="a1"/>
    <w:uiPriority w:val="63"/>
    <w:rsid w:val="000133D6"/>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tif"/><Relationship Id="rId12" Type="http://schemas.openxmlformats.org/officeDocument/2006/relationships/image" Target="media/image5.tif"/><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tif"/><Relationship Id="rId9" Type="http://schemas.openxmlformats.org/officeDocument/2006/relationships/image" Target="media/image2.tif"/><Relationship Id="rId10" Type="http://schemas.openxmlformats.org/officeDocument/2006/relationships/image" Target="media/image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6335</Words>
  <Characters>36116</Characters>
  <Application>Microsoft Macintosh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42367</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Kosuke Minami</dc:creator>
  <cp:keywords/>
  <cp:lastModifiedBy>Kosuke Minami</cp:lastModifiedBy>
  <cp:revision>3</cp:revision>
  <cp:lastPrinted>2008-06-11T21:33:00Z</cp:lastPrinted>
  <dcterms:created xsi:type="dcterms:W3CDTF">2017-08-23T04:32:00Z</dcterms:created>
  <dcterms:modified xsi:type="dcterms:W3CDTF">2017-08-23T04:33:00Z</dcterms:modified>
</cp:coreProperties>
</file>