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46C08" w14:textId="2CD050A1" w:rsidR="00637102" w:rsidRPr="00CE18D6" w:rsidRDefault="00637102" w:rsidP="00637102">
      <w:pPr>
        <w:spacing w:line="278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val="en-US"/>
        </w:rPr>
        <w:t>Supplementary Material</w:t>
      </w:r>
      <w:r w:rsidR="00312956"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</w:p>
    <w:p w14:paraId="33D15A6E" w14:textId="78E868E4" w:rsidR="00637102" w:rsidRPr="00CE18D6" w:rsidRDefault="00637102" w:rsidP="00637102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Observation of </w:t>
      </w: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Odd-Even </w:t>
      </w: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Effect in 1-Alcohols</w:t>
      </w: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Through</w:t>
      </w: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Pentapeptide-Coated Gas Sensor</w:t>
      </w:r>
      <w:r w:rsidR="00310076"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with</w:t>
      </w: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Molecular Docking Study</w:t>
      </w:r>
    </w:p>
    <w:p w14:paraId="0186FA9E" w14:textId="77777777" w:rsidR="00637102" w:rsidRPr="00CE18D6" w:rsidRDefault="00637102" w:rsidP="00637102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492BE8" w14:textId="77777777" w:rsidR="00637102" w:rsidRPr="00CE18D6" w:rsidRDefault="00637102" w:rsidP="00637102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C263913" w14:textId="77777777" w:rsidR="00637102" w:rsidRPr="00CE18D6" w:rsidRDefault="00637102" w:rsidP="00637102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</w:pP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>Thuc Anh Ngo</w:t>
      </w:r>
      <w:r w:rsidRPr="00CE18D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  <w:vertAlign w:val="superscript"/>
          <w:lang w:val="en-AU"/>
        </w:rPr>
        <w:t>1,2</w:t>
      </w: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>, Kosuke Minami</w:t>
      </w:r>
      <w:r w:rsidRPr="00CE18D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  <w:vertAlign w:val="superscript"/>
          <w:lang w:val="en-AU"/>
        </w:rPr>
        <w:t>1</w:t>
      </w: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>, Tanju Yildirim</w:t>
      </w:r>
      <w:r w:rsidRPr="00CE18D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  <w:vertAlign w:val="superscript"/>
          <w:lang w:val="en-AU"/>
        </w:rPr>
        <w:t>1</w:t>
      </w: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>, Kota Shiba</w:t>
      </w:r>
      <w:r w:rsidRPr="00CE18D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  <w:vertAlign w:val="superscript"/>
          <w:lang w:val="en-AU"/>
        </w:rPr>
        <w:t>1</w:t>
      </w: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AU"/>
        </w:rPr>
        <w:t>, Genki Yoshikawa</w:t>
      </w:r>
      <w:r w:rsidRPr="00CE18D6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  <w:vertAlign w:val="superscript"/>
          <w:lang w:val="en-AU"/>
        </w:rPr>
        <w:t>1,2</w:t>
      </w:r>
    </w:p>
    <w:p w14:paraId="2168726C" w14:textId="77777777" w:rsidR="00637102" w:rsidRPr="00CE18D6" w:rsidRDefault="00637102" w:rsidP="0063710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</w:p>
    <w:p w14:paraId="3EFA533B" w14:textId="77777777" w:rsidR="00637102" w:rsidRPr="00CE18D6" w:rsidRDefault="00637102" w:rsidP="0063710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8D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lang w:val="en-US"/>
        </w:rPr>
        <w:t xml:space="preserve">Keywords: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odd-even effect, gas sensor, volatile organic compounds. </w:t>
      </w:r>
    </w:p>
    <w:p w14:paraId="2457C88A" w14:textId="77777777" w:rsidR="00637102" w:rsidRPr="00CE18D6" w:rsidRDefault="00637102" w:rsidP="00637102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56B52242" w14:textId="77777777" w:rsidR="00637102" w:rsidRPr="00CE18D6" w:rsidRDefault="00637102" w:rsidP="0063710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Research </w:t>
      </w:r>
      <w:proofErr w:type="spellStart"/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Center</w:t>
      </w:r>
      <w:proofErr w:type="spellEnd"/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Macromolecules and Biomaterials, National Institute for Materials Science (NIMS), 1-1 Namiki, Tsukuba, 305-0044, Ibaraki, Japan</w:t>
      </w:r>
    </w:p>
    <w:p w14:paraId="7DF02CCB" w14:textId="77777777" w:rsidR="00637102" w:rsidRPr="00CE18D6" w:rsidRDefault="00637102" w:rsidP="0063710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2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Materials Science and Engineering, Graduate School of Pure and Applied Science, University of Tsukuba, 1-1-1 </w:t>
      </w:r>
      <w:proofErr w:type="spellStart"/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Tennodai</w:t>
      </w:r>
      <w:proofErr w:type="spellEnd"/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, Tsukuba, Ibaraki 305-8577, Japan.</w:t>
      </w:r>
    </w:p>
    <w:p w14:paraId="01F35A64" w14:textId="77777777" w:rsidR="00637102" w:rsidRPr="00CE18D6" w:rsidRDefault="00637102" w:rsidP="0063710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DF5E81" w14:textId="77777777" w:rsidR="00637102" w:rsidRPr="00CE18D6" w:rsidRDefault="00637102" w:rsidP="0063710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Method</w:t>
      </w:r>
    </w:p>
    <w:p w14:paraId="67397333" w14:textId="78C1EE1A" w:rsidR="00637102" w:rsidRPr="00CE18D6" w:rsidRDefault="00637102" w:rsidP="00637102">
      <w:pPr>
        <w:spacing w:line="276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</w:pP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Materials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Synthetic pentapeptides, EHIPW and KVYYY, were purchased from Cosmo Bio Co., Ltd. with 80% purity. 1-Heptanol, 1-nonanol, 1-decanol, 1-undecanol, and 1-dodecanol were purchased from Tokyo Chemical Industry Co., Ltd. 1-</w:t>
      </w:r>
      <w:r w:rsidR="002A60AF"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Octanol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was purchased from Fujifilm Wako Pure Chemical Corporation. 1-Dodecanol was purchased from Sigma-Aldrich. </w:t>
      </w:r>
      <w:proofErr w:type="spellStart"/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MilliQ</w:t>
      </w:r>
      <w:proofErr w:type="spellEnd"/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water (Millipore) was used for preparing peptide stock solution.</w:t>
      </w:r>
    </w:p>
    <w:p w14:paraId="22055182" w14:textId="03301661" w:rsidR="00637102" w:rsidRPr="00CE18D6" w:rsidRDefault="00637102" w:rsidP="0063710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QCM system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An AT-cut quartz crystal resonator (QA-A9M-AU(M), SEIKO EG&amp;G Co., Ltd.) </w:t>
      </w:r>
      <w:r w:rsidR="00E47A5B"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with a size of 7.9</w:t>
      </w:r>
      <w:r w:rsidR="009E67A8"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mm</w:t>
      </w:r>
      <w:r w:rsidR="00E47A5B"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0D99" w:rsidRPr="00CE18D6">
        <w:rPr>
          <w:rFonts w:ascii="Times New Roman" w:eastAsia="Symbol" w:hAnsi="Times New Roman" w:cs="Times New Roman"/>
          <w:color w:val="000000" w:themeColor="text1"/>
          <w:sz w:val="24"/>
          <w:szCs w:val="24"/>
        </w:rPr>
        <w:sym w:font="Symbol" w:char="F0B4"/>
      </w:r>
      <w:r w:rsidR="00E47A5B"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7.9 mm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was used as the sensing element. </w:t>
      </w:r>
      <w:r w:rsidR="00D72A78"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electrode is made of gold, sputtered onto a 100 nm titanium film, with the gold layer having a thickness of 300 nm and a diameter of 5 mm.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Data was recorded using a crystal oscillator measurement system (QCM922A, SEIKO EG&amp;G Co., Ltd.) in the form of frequency shift, </w:t>
      </w:r>
      <w:proofErr w:type="spellStart"/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Δ</w:t>
      </w: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f</w:t>
      </w:r>
      <w:proofErr w:type="spellEnd"/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305A1FCA" w14:textId="6AD16DEE" w:rsidR="00C072E4" w:rsidRPr="00CE18D6" w:rsidRDefault="00C072E4">
      <w:pPr>
        <w:spacing w:line="278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14:paraId="0C826899" w14:textId="77777777" w:rsidR="00637102" w:rsidRPr="00CE18D6" w:rsidRDefault="00637102" w:rsidP="0063710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Gas measurement at different concentrations</w:t>
      </w:r>
    </w:p>
    <w:p w14:paraId="01F36265" w14:textId="77777777" w:rsidR="00637102" w:rsidRPr="00CE18D6" w:rsidRDefault="00637102" w:rsidP="00637102">
      <w:pPr>
        <w:pStyle w:val="ListParagraph"/>
        <w:spacing w:line="276" w:lineRule="auto"/>
        <w:ind w:left="360"/>
        <w:jc w:val="both"/>
        <w:rPr>
          <w:noProof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AU"/>
          <w14:ligatures w14:val="standardContextual"/>
        </w:rPr>
        <w:drawing>
          <wp:inline distT="0" distB="0" distL="0" distR="0" wp14:anchorId="6FE64C00" wp14:editId="70FE83EC">
            <wp:extent cx="5400040" cy="3083147"/>
            <wp:effectExtent l="0" t="0" r="0" b="3175"/>
            <wp:docPr id="1270384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84238" name="Picture 1270384238"/>
                    <pic:cNvPicPr/>
                  </pic:nvPicPr>
                  <pic:blipFill rotWithShape="1">
                    <a:blip r:embed="rId8"/>
                    <a:srcRect t="43158" r="18022" b="24435"/>
                    <a:stretch/>
                  </pic:blipFill>
                  <pic:spPr bwMode="auto">
                    <a:xfrm>
                      <a:off x="0" y="0"/>
                      <a:ext cx="5400040" cy="3083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C2918" w14:textId="69F69559" w:rsidR="009E67A8" w:rsidRPr="00CE18D6" w:rsidRDefault="00637102" w:rsidP="00EB6987">
      <w:pPr>
        <w:pStyle w:val="ListParagraph"/>
        <w:spacing w:line="276" w:lineRule="auto"/>
        <w:ind w:left="360"/>
        <w:jc w:val="both"/>
        <w:rPr>
          <w:color w:val="000000" w:themeColor="text1"/>
          <w:sz w:val="24"/>
          <w:szCs w:val="24"/>
          <w:lang w:val="en-US"/>
        </w:rPr>
      </w:pP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</w:t>
      </w: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val="en-US"/>
        </w:rPr>
        <w:t>IG.</w:t>
      </w: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</w:t>
      </w: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val="en-US"/>
        </w:rPr>
        <w:t>1</w:t>
      </w: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.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Gas response of pentapeptide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-coated QCM sensors at different </w:t>
      </w:r>
      <w:r w:rsidR="00137680"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relative</w:t>
      </w:r>
      <w:r w:rsidR="00137680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concentrations from 10% to 15% for (a)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EHIPW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 and (b) KVYYY</w:t>
      </w:r>
      <w:r w:rsidR="00823553"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CE18D6">
        <w:rPr>
          <w:noProof/>
          <w:color w:val="000000" w:themeColor="text1"/>
          <w:sz w:val="24"/>
          <w:szCs w:val="24"/>
        </w:rPr>
        <w:t xml:space="preserve"> </w:t>
      </w:r>
      <w:r w:rsidR="009E67A8" w:rsidRPr="00CE18D6">
        <w:rPr>
          <w:color w:val="000000" w:themeColor="text1"/>
          <w:sz w:val="24"/>
          <w:szCs w:val="24"/>
          <w:lang w:val="en-US"/>
        </w:rPr>
        <w:br w:type="page"/>
      </w:r>
    </w:p>
    <w:p w14:paraId="5289B124" w14:textId="48DDDFB1" w:rsidR="009E67A8" w:rsidRPr="00CE18D6" w:rsidRDefault="009E67A8" w:rsidP="009E67A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The sensing performance of pentapeptide-coated gas sensors. </w:t>
      </w:r>
    </w:p>
    <w:p w14:paraId="62F4AF7F" w14:textId="5C57E6C8" w:rsidR="00B062FC" w:rsidRPr="00CE18D6" w:rsidRDefault="00B062FC" w:rsidP="00B062F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94535217"/>
      <w:bookmarkStart w:id="1" w:name="_Hlk194542248"/>
      <w:bookmarkStart w:id="2" w:name="_Hlk194530771"/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Limit of detection (LOD) calculation methods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: In determining the LOD for each gas towards pentapeptide-based sensors, the responses of the sensors at relative concentrations of 2</w:t>
      </w:r>
      <w:r w:rsidR="00823553" w:rsidRPr="00CE18D6">
        <w:rPr>
          <w:rFonts w:ascii="Times New Roman" w:eastAsia="Symbol" w:hAnsi="Times New Roman" w:cs="Times New Roman"/>
          <w:color w:val="000000" w:themeColor="text1"/>
          <w:sz w:val="24"/>
          <w:szCs w:val="24"/>
        </w:rPr>
        <w:t>–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12% were measured.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relative concentration of 100% corresponds to the saturated vapor pressure at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</w:t>
      </w:r>
      <w:r w:rsidR="00EB61DC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="00EB61DC"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℃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, which</w:t>
      </w:r>
      <w:r w:rsidR="00EB61DC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is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calculated based on Antoine coefficients and methods in Ref.</w:t>
      </w:r>
      <w:r w:rsidR="00823553"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 w:fldLock="1"/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instrText>ADDIN paperpile_citation &lt;clusterId&gt;V338J686F976C761&lt;/clusterId&gt;&lt;metadata&gt;&lt;citation&gt;&lt;id&gt;e6fb81ab-ab3d-0ccd-b9d2-c239f145434a&lt;/id&gt;&lt;/citation&gt;&lt;/metadata&gt;&lt;data&gt;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&lt;/data&gt; \* MERGEFORMAT</w:instrTex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CE18D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[1]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Next, we considered the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absolute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volume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concentration in ppm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a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fixed relative concentration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by multiplying the value of saturated vapor pressure by relative concentration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. LOD was calculated using the following equations</w:t>
      </w:r>
      <w:r w:rsidR="00823553"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FFD944B" w14:textId="77777777" w:rsidR="00B062FC" w:rsidRPr="00CE18D6" w:rsidRDefault="00B062FC" w:rsidP="00B062FC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LOD = 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3σ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a</m:t>
              </m:r>
            </m:den>
          </m:f>
        </m:oMath>
      </m:oMathPara>
    </w:p>
    <w:p w14:paraId="1E2EF670" w14:textId="77777777" w:rsidR="00B062FC" w:rsidRPr="00CE18D6" w:rsidRDefault="00B062FC" w:rsidP="00B062FC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where </w:t>
      </w:r>
      <w:r w:rsidRPr="00CE18D6">
        <w:rPr>
          <w:rFonts w:ascii="Times New Roman" w:eastAsia="Symbol" w:hAnsi="Times New Roman" w:cs="Times New Roman"/>
          <w:i/>
          <w:color w:val="000000" w:themeColor="text1"/>
          <w:sz w:val="24"/>
          <w:szCs w:val="24"/>
        </w:rPr>
        <w:sym w:font="Symbol" w:char="F073"/>
      </w:r>
      <w:r w:rsidRPr="00CE18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is the standard deviation of response frequency during background exposure and defined as the background noise</w:t>
      </w:r>
      <w:r w:rsidRPr="00CE18D6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,</w:t>
      </w:r>
      <w:r w:rsidRPr="00CE18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</w:t>
      </w:r>
      <w:r w:rsidRPr="00CE1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bookmarkStart w:id="3" w:name="_Hlk194519545"/>
      <w:r w:rsidRPr="00CE1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is the slope of linear fitting between</w:t>
      </w:r>
      <w:r w:rsidRPr="00CE18D6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either</w:t>
      </w:r>
      <w:r w:rsidRPr="00CE1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absolute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volume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concentration</w:t>
      </w:r>
      <w:r w:rsidRPr="00CE1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or relative concentration </w:t>
      </w:r>
      <w:r w:rsidRPr="00CE1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and the absolute frequency shift </w:t>
      </w:r>
      <w:r w:rsidRPr="00CE18D6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|</w:t>
      </w:r>
      <w:r w:rsidRPr="00CE18D6">
        <w:rPr>
          <w:rFonts w:ascii="Times New Roman" w:eastAsia="Symbol" w:hAnsi="Times New Roman" w:cs="Times New Roman"/>
          <w:color w:val="000000" w:themeColor="text1"/>
          <w:sz w:val="24"/>
          <w:szCs w:val="24"/>
        </w:rPr>
        <w:sym w:font="Symbol" w:char="F044"/>
      </w:r>
      <w:r w:rsidRPr="00CE18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</w:t>
      </w:r>
      <w:bookmarkEnd w:id="3"/>
      <w:r w:rsidRPr="00CE18D6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|</w:t>
      </w:r>
      <w:r w:rsidRPr="00CE1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</w:p>
    <w:bookmarkEnd w:id="0"/>
    <w:p w14:paraId="0AB0DD77" w14:textId="77110D9F" w:rsidR="00B062FC" w:rsidRPr="00CE18D6" w:rsidRDefault="00F0410B" w:rsidP="00B062F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18D6">
        <w:rPr>
          <w:noProof/>
          <w:color w:val="000000" w:themeColor="text1"/>
          <w:sz w:val="24"/>
          <w:szCs w:val="24"/>
          <w14:ligatures w14:val="standardContextual"/>
        </w:rPr>
        <w:lastRenderedPageBreak/>
        <w:drawing>
          <wp:inline distT="0" distB="0" distL="0" distR="0" wp14:anchorId="6C8EAB82" wp14:editId="38569017">
            <wp:extent cx="3805555" cy="7559675"/>
            <wp:effectExtent l="0" t="0" r="4445" b="3175"/>
            <wp:docPr id="2125542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542858" name="Picture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r="36827" b="13115"/>
                    <a:stretch/>
                  </pic:blipFill>
                  <pic:spPr bwMode="auto">
                    <a:xfrm>
                      <a:off x="0" y="0"/>
                      <a:ext cx="3805555" cy="755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CC93D" w14:textId="2551077A" w:rsidR="00B062FC" w:rsidRPr="00CE18D6" w:rsidRDefault="00B062FC" w:rsidP="00B062F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S2.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LOD analysis of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1-alcohols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from C7 to C12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pentapeptide-coated gas sensors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D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ynamic response curve to different relative concentrations ranging from 2</w:t>
      </w:r>
      <w:r w:rsidR="009E439B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%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12% </w:t>
      </w:r>
      <w:r w:rsidR="009E439B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for (a) EHIPW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</w:t>
      </w:r>
      <w:r w:rsidR="009E439B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(c) KVYYY</w:t>
      </w:r>
      <w:r w:rsidR="009E439B"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E439B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alculated linear fit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based on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absolute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E439B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volume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lastRenderedPageBreak/>
        <w:t xml:space="preserve">concentration for </w:t>
      </w:r>
      <w:r w:rsidR="009E439B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(b)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EHIPW</w:t>
      </w:r>
      <w:r w:rsidR="009E439B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(d) KVYYY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The average of </w:t>
      </w:r>
      <w:r w:rsidRPr="00CE18D6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the values</w:t>
      </w:r>
      <w:r w:rsidRPr="00CE18D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from replica</w:t>
      </w:r>
      <w:r w:rsidRPr="00CE18D6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te</w:t>
      </w:r>
      <w:r w:rsidRPr="00CE18D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 (n = 3) is represented as a dot, and the corresponding standard deviation from three replica</w:t>
      </w:r>
      <w:r w:rsidRPr="00CE18D6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te</w:t>
      </w:r>
      <w:r w:rsidRPr="00CE18D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s is represented as </w:t>
      </w:r>
      <w:r w:rsidRPr="00CE18D6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a</w:t>
      </w:r>
      <w:r w:rsidRPr="00CE18D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9E439B" w:rsidRPr="00CE18D6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vertical </w:t>
      </w:r>
      <w:r w:rsidRPr="00CE18D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line</w:t>
      </w:r>
      <w:r w:rsidRPr="00CE18D6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.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E439B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result of a linear fit is presented in each graph.</w:t>
      </w:r>
    </w:p>
    <w:p w14:paraId="57310D0A" w14:textId="77777777" w:rsidR="00B062FC" w:rsidRPr="00CE18D6" w:rsidRDefault="00B062FC" w:rsidP="00B062F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CE1758" w14:textId="77777777" w:rsidR="00B062FC" w:rsidRPr="00CE18D6" w:rsidRDefault="00B062FC" w:rsidP="00B062F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194523819"/>
      <w:bookmarkStart w:id="5" w:name="_Hlk194523883"/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S1.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Limit of detection (LOD) for EHIPW- and KVYYY-coated pentapeptides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calculated based on absolute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volume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concentrations and relative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concentration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897"/>
        <w:gridCol w:w="896"/>
        <w:gridCol w:w="897"/>
        <w:gridCol w:w="897"/>
        <w:gridCol w:w="897"/>
        <w:gridCol w:w="1106"/>
        <w:gridCol w:w="1107"/>
        <w:gridCol w:w="1106"/>
        <w:gridCol w:w="1107"/>
      </w:tblGrid>
      <w:tr w:rsidR="00D63F4D" w:rsidRPr="00CE18D6" w14:paraId="71AF9081" w14:textId="77777777" w:rsidTr="004203A9">
        <w:trPr>
          <w:trHeight w:val="278"/>
        </w:trPr>
        <w:tc>
          <w:tcPr>
            <w:tcW w:w="1580" w:type="dxa"/>
            <w:tcBorders>
              <w:top w:val="double" w:sz="12" w:space="0" w:color="auto"/>
            </w:tcBorders>
            <w:shd w:val="clear" w:color="auto" w:fill="D9D9D9" w:themeFill="background1" w:themeFillShade="D9"/>
          </w:tcPr>
          <w:p w14:paraId="70625538" w14:textId="77777777" w:rsidR="00EB61DC" w:rsidRPr="00CE18D6" w:rsidRDefault="00EB61DC" w:rsidP="00EB61DC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 molecules</w:t>
            </w:r>
          </w:p>
        </w:tc>
        <w:tc>
          <w:tcPr>
            <w:tcW w:w="448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</w:tcPr>
          <w:p w14:paraId="076C45C6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Absolute volume concentration (ppm)</w:t>
            </w:r>
          </w:p>
          <w:p w14:paraId="5FBD7D4B" w14:textId="5D86FA6D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 a fix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ed</w:t>
            </w: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relative concentration</w:t>
            </w:r>
          </w:p>
        </w:tc>
        <w:tc>
          <w:tcPr>
            <w:tcW w:w="2213" w:type="dxa"/>
            <w:gridSpan w:val="2"/>
            <w:tcBorders>
              <w:top w:val="double" w:sz="12" w:space="0" w:color="auto"/>
            </w:tcBorders>
            <w:shd w:val="clear" w:color="auto" w:fill="D9D9D9" w:themeFill="background1" w:themeFillShade="D9"/>
          </w:tcPr>
          <w:p w14:paraId="037C8137" w14:textId="60071032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LOD in terms of absolute volume concentration (ppm)</w:t>
            </w:r>
          </w:p>
        </w:tc>
        <w:tc>
          <w:tcPr>
            <w:tcW w:w="2213" w:type="dxa"/>
            <w:gridSpan w:val="2"/>
            <w:tcBorders>
              <w:top w:val="double" w:sz="12" w:space="0" w:color="auto"/>
            </w:tcBorders>
            <w:shd w:val="clear" w:color="auto" w:fill="D9D9D9" w:themeFill="background1" w:themeFillShade="D9"/>
          </w:tcPr>
          <w:p w14:paraId="5A75BBB9" w14:textId="0CF1A484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LOD in terms of relative concentration (%)</w:t>
            </w:r>
          </w:p>
        </w:tc>
      </w:tr>
      <w:tr w:rsidR="00D63F4D" w:rsidRPr="00CE18D6" w14:paraId="6FFA0397" w14:textId="77777777" w:rsidTr="004203A9">
        <w:trPr>
          <w:trHeight w:val="278"/>
        </w:trPr>
        <w:tc>
          <w:tcPr>
            <w:tcW w:w="158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7479F11" w14:textId="77777777" w:rsidR="00EB61DC" w:rsidRPr="00CE18D6" w:rsidRDefault="00EB61DC" w:rsidP="00EB61DC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89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11AE5946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100%</w:t>
            </w:r>
            <w:r w:rsidRPr="00CE18D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9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68A37CE9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12%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62FBF678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10%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72B5526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5%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546E80CC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2%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E5004D3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EHIPW</w:t>
            </w:r>
          </w:p>
        </w:tc>
        <w:tc>
          <w:tcPr>
            <w:tcW w:w="110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ED5F003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KVYYY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065895F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EHIPW</w:t>
            </w:r>
          </w:p>
        </w:tc>
        <w:tc>
          <w:tcPr>
            <w:tcW w:w="110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5253B2AA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KVYYY</w:t>
            </w:r>
          </w:p>
        </w:tc>
      </w:tr>
      <w:tr w:rsidR="00D63F4D" w:rsidRPr="00CE18D6" w14:paraId="372F3A32" w14:textId="77777777" w:rsidTr="004203A9">
        <w:trPr>
          <w:trHeight w:val="278"/>
        </w:trPr>
        <w:tc>
          <w:tcPr>
            <w:tcW w:w="1580" w:type="dxa"/>
            <w:tcBorders>
              <w:top w:val="single" w:sz="12" w:space="0" w:color="auto"/>
            </w:tcBorders>
            <w:vAlign w:val="bottom"/>
          </w:tcPr>
          <w:p w14:paraId="6568AC4B" w14:textId="77777777" w:rsidR="00EB61DC" w:rsidRPr="00CE18D6" w:rsidRDefault="00EB61DC" w:rsidP="00EB61DC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1-Heptanol</w:t>
            </w:r>
          </w:p>
        </w:tc>
        <w:tc>
          <w:tcPr>
            <w:tcW w:w="897" w:type="dxa"/>
            <w:tcBorders>
              <w:top w:val="single" w:sz="12" w:space="0" w:color="auto"/>
            </w:tcBorders>
            <w:vAlign w:val="bottom"/>
          </w:tcPr>
          <w:p w14:paraId="7BA69D92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402</w:t>
            </w:r>
          </w:p>
        </w:tc>
        <w:tc>
          <w:tcPr>
            <w:tcW w:w="896" w:type="dxa"/>
            <w:tcBorders>
              <w:top w:val="single" w:sz="12" w:space="0" w:color="auto"/>
            </w:tcBorders>
            <w:vAlign w:val="bottom"/>
          </w:tcPr>
          <w:p w14:paraId="41F7F28F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48.3</w:t>
            </w:r>
          </w:p>
        </w:tc>
        <w:tc>
          <w:tcPr>
            <w:tcW w:w="897" w:type="dxa"/>
            <w:tcBorders>
              <w:top w:val="single" w:sz="12" w:space="0" w:color="auto"/>
            </w:tcBorders>
            <w:vAlign w:val="bottom"/>
          </w:tcPr>
          <w:p w14:paraId="60212FFD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40.2</w:t>
            </w:r>
          </w:p>
        </w:tc>
        <w:tc>
          <w:tcPr>
            <w:tcW w:w="897" w:type="dxa"/>
            <w:tcBorders>
              <w:top w:val="single" w:sz="12" w:space="0" w:color="auto"/>
            </w:tcBorders>
            <w:vAlign w:val="bottom"/>
          </w:tcPr>
          <w:p w14:paraId="743AE728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</w:t>
            </w:r>
          </w:p>
        </w:tc>
        <w:tc>
          <w:tcPr>
            <w:tcW w:w="897" w:type="dxa"/>
            <w:tcBorders>
              <w:top w:val="single" w:sz="12" w:space="0" w:color="auto"/>
            </w:tcBorders>
            <w:vAlign w:val="bottom"/>
          </w:tcPr>
          <w:p w14:paraId="12C2D91A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106" w:type="dxa"/>
            <w:tcBorders>
              <w:top w:val="single" w:sz="12" w:space="0" w:color="auto"/>
            </w:tcBorders>
            <w:vAlign w:val="bottom"/>
          </w:tcPr>
          <w:p w14:paraId="580F7FC1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12" w:space="0" w:color="auto"/>
            </w:tcBorders>
            <w:vAlign w:val="bottom"/>
          </w:tcPr>
          <w:p w14:paraId="65A4E9A0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106" w:type="dxa"/>
            <w:tcBorders>
              <w:top w:val="single" w:sz="12" w:space="0" w:color="auto"/>
            </w:tcBorders>
            <w:vAlign w:val="bottom"/>
          </w:tcPr>
          <w:p w14:paraId="02A38927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107" w:type="dxa"/>
            <w:tcBorders>
              <w:top w:val="single" w:sz="12" w:space="0" w:color="auto"/>
            </w:tcBorders>
            <w:vAlign w:val="bottom"/>
          </w:tcPr>
          <w:p w14:paraId="56D15178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</w:tr>
      <w:tr w:rsidR="00D63F4D" w:rsidRPr="00CE18D6" w14:paraId="58B3B34D" w14:textId="77777777" w:rsidTr="004203A9">
        <w:trPr>
          <w:trHeight w:val="278"/>
        </w:trPr>
        <w:tc>
          <w:tcPr>
            <w:tcW w:w="1580" w:type="dxa"/>
            <w:vAlign w:val="bottom"/>
          </w:tcPr>
          <w:p w14:paraId="29D8533A" w14:textId="77777777" w:rsidR="00EB61DC" w:rsidRPr="00CE18D6" w:rsidRDefault="00EB61DC" w:rsidP="00EB61DC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1-Octanol</w:t>
            </w:r>
          </w:p>
        </w:tc>
        <w:tc>
          <w:tcPr>
            <w:tcW w:w="897" w:type="dxa"/>
            <w:vAlign w:val="bottom"/>
          </w:tcPr>
          <w:p w14:paraId="6AFDA159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896" w:type="dxa"/>
            <w:vAlign w:val="bottom"/>
          </w:tcPr>
          <w:p w14:paraId="1F23C5E6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16.6</w:t>
            </w:r>
          </w:p>
        </w:tc>
        <w:tc>
          <w:tcPr>
            <w:tcW w:w="897" w:type="dxa"/>
            <w:vAlign w:val="bottom"/>
          </w:tcPr>
          <w:p w14:paraId="3A6BD80E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13.8</w:t>
            </w:r>
          </w:p>
        </w:tc>
        <w:tc>
          <w:tcPr>
            <w:tcW w:w="897" w:type="dxa"/>
            <w:vAlign w:val="bottom"/>
          </w:tcPr>
          <w:p w14:paraId="564C6036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.</w:t>
            </w: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97" w:type="dxa"/>
            <w:vAlign w:val="bottom"/>
          </w:tcPr>
          <w:p w14:paraId="4B13CA43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06" w:type="dxa"/>
            <w:vAlign w:val="bottom"/>
          </w:tcPr>
          <w:p w14:paraId="51435397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07" w:type="dxa"/>
            <w:vAlign w:val="bottom"/>
          </w:tcPr>
          <w:p w14:paraId="1EEAAD3C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106" w:type="dxa"/>
            <w:vAlign w:val="bottom"/>
          </w:tcPr>
          <w:p w14:paraId="2C04A76C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07" w:type="dxa"/>
            <w:vAlign w:val="bottom"/>
          </w:tcPr>
          <w:p w14:paraId="49979ECB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</w:tr>
      <w:tr w:rsidR="00D63F4D" w:rsidRPr="00CE18D6" w14:paraId="4E648CCA" w14:textId="77777777" w:rsidTr="004203A9">
        <w:trPr>
          <w:trHeight w:val="278"/>
        </w:trPr>
        <w:tc>
          <w:tcPr>
            <w:tcW w:w="1580" w:type="dxa"/>
            <w:vAlign w:val="bottom"/>
          </w:tcPr>
          <w:p w14:paraId="00F27DD9" w14:textId="77777777" w:rsidR="00EB61DC" w:rsidRPr="00CE18D6" w:rsidRDefault="00EB61DC" w:rsidP="00EB61DC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1-Nonanol</w:t>
            </w:r>
          </w:p>
        </w:tc>
        <w:tc>
          <w:tcPr>
            <w:tcW w:w="897" w:type="dxa"/>
            <w:vAlign w:val="bottom"/>
          </w:tcPr>
          <w:p w14:paraId="71D29E62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</w:t>
            </w:r>
          </w:p>
        </w:tc>
        <w:tc>
          <w:tcPr>
            <w:tcW w:w="896" w:type="dxa"/>
            <w:vAlign w:val="bottom"/>
          </w:tcPr>
          <w:p w14:paraId="38130A6B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4.32</w:t>
            </w:r>
          </w:p>
        </w:tc>
        <w:tc>
          <w:tcPr>
            <w:tcW w:w="897" w:type="dxa"/>
            <w:vAlign w:val="bottom"/>
          </w:tcPr>
          <w:p w14:paraId="4D8370C7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3.69</w:t>
            </w:r>
          </w:p>
        </w:tc>
        <w:tc>
          <w:tcPr>
            <w:tcW w:w="897" w:type="dxa"/>
            <w:vAlign w:val="bottom"/>
          </w:tcPr>
          <w:p w14:paraId="468A6E31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1.79</w:t>
            </w:r>
          </w:p>
        </w:tc>
        <w:tc>
          <w:tcPr>
            <w:tcW w:w="897" w:type="dxa"/>
            <w:vAlign w:val="bottom"/>
          </w:tcPr>
          <w:p w14:paraId="47B216DB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06" w:type="dxa"/>
            <w:vAlign w:val="bottom"/>
          </w:tcPr>
          <w:p w14:paraId="1623AD39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bottom"/>
          </w:tcPr>
          <w:p w14:paraId="71B91921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6" w:type="dxa"/>
            <w:vAlign w:val="bottom"/>
          </w:tcPr>
          <w:p w14:paraId="6505F462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0.957</w:t>
            </w:r>
          </w:p>
        </w:tc>
        <w:tc>
          <w:tcPr>
            <w:tcW w:w="1107" w:type="dxa"/>
            <w:vAlign w:val="bottom"/>
          </w:tcPr>
          <w:p w14:paraId="307D34EF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</w:tr>
      <w:tr w:rsidR="00D63F4D" w:rsidRPr="00CE18D6" w14:paraId="50530846" w14:textId="77777777" w:rsidTr="004203A9">
        <w:trPr>
          <w:trHeight w:val="278"/>
        </w:trPr>
        <w:tc>
          <w:tcPr>
            <w:tcW w:w="1580" w:type="dxa"/>
            <w:vAlign w:val="bottom"/>
          </w:tcPr>
          <w:p w14:paraId="027A04AB" w14:textId="77777777" w:rsidR="00EB61DC" w:rsidRPr="00CE18D6" w:rsidRDefault="00EB61DC" w:rsidP="00EB61DC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1-Decanol</w:t>
            </w:r>
          </w:p>
        </w:tc>
        <w:tc>
          <w:tcPr>
            <w:tcW w:w="897" w:type="dxa"/>
            <w:vAlign w:val="bottom"/>
          </w:tcPr>
          <w:p w14:paraId="1E11BB16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14.8</w:t>
            </w:r>
          </w:p>
        </w:tc>
        <w:tc>
          <w:tcPr>
            <w:tcW w:w="896" w:type="dxa"/>
            <w:vAlign w:val="bottom"/>
          </w:tcPr>
          <w:p w14:paraId="2942FFDB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1.77</w:t>
            </w:r>
          </w:p>
        </w:tc>
        <w:tc>
          <w:tcPr>
            <w:tcW w:w="897" w:type="dxa"/>
            <w:vAlign w:val="bottom"/>
          </w:tcPr>
          <w:p w14:paraId="0A5E3C45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</w:t>
            </w:r>
          </w:p>
        </w:tc>
        <w:tc>
          <w:tcPr>
            <w:tcW w:w="897" w:type="dxa"/>
            <w:vAlign w:val="bottom"/>
          </w:tcPr>
          <w:p w14:paraId="5C3AD006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897" w:type="dxa"/>
            <w:vAlign w:val="bottom"/>
          </w:tcPr>
          <w:p w14:paraId="574B4F6B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06" w:type="dxa"/>
            <w:vAlign w:val="bottom"/>
          </w:tcPr>
          <w:p w14:paraId="7F32A285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0.064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07" w:type="dxa"/>
            <w:vAlign w:val="bottom"/>
          </w:tcPr>
          <w:p w14:paraId="5491C2AC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0.0372</w:t>
            </w:r>
          </w:p>
        </w:tc>
        <w:tc>
          <w:tcPr>
            <w:tcW w:w="1106" w:type="dxa"/>
            <w:vAlign w:val="bottom"/>
          </w:tcPr>
          <w:p w14:paraId="76E63226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0.436</w:t>
            </w:r>
          </w:p>
        </w:tc>
        <w:tc>
          <w:tcPr>
            <w:tcW w:w="1107" w:type="dxa"/>
            <w:vAlign w:val="bottom"/>
          </w:tcPr>
          <w:p w14:paraId="781ECAB2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</w:tr>
      <w:tr w:rsidR="00D63F4D" w:rsidRPr="00CE18D6" w14:paraId="62743B6E" w14:textId="77777777" w:rsidTr="004203A9">
        <w:trPr>
          <w:trHeight w:val="278"/>
        </w:trPr>
        <w:tc>
          <w:tcPr>
            <w:tcW w:w="1580" w:type="dxa"/>
            <w:vAlign w:val="bottom"/>
          </w:tcPr>
          <w:p w14:paraId="1C7137C7" w14:textId="77777777" w:rsidR="00EB61DC" w:rsidRPr="00CE18D6" w:rsidRDefault="00EB61DC" w:rsidP="00EB61DC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1-Undecanol</w:t>
            </w:r>
          </w:p>
        </w:tc>
        <w:tc>
          <w:tcPr>
            <w:tcW w:w="897" w:type="dxa"/>
            <w:vAlign w:val="bottom"/>
          </w:tcPr>
          <w:p w14:paraId="3E7598AC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2.74</w:t>
            </w:r>
          </w:p>
        </w:tc>
        <w:tc>
          <w:tcPr>
            <w:tcW w:w="896" w:type="dxa"/>
            <w:vAlign w:val="bottom"/>
          </w:tcPr>
          <w:p w14:paraId="406ECDFC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0.328</w:t>
            </w:r>
          </w:p>
        </w:tc>
        <w:tc>
          <w:tcPr>
            <w:tcW w:w="897" w:type="dxa"/>
            <w:vAlign w:val="bottom"/>
          </w:tcPr>
          <w:p w14:paraId="75E10BAB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0.274</w:t>
            </w:r>
          </w:p>
        </w:tc>
        <w:tc>
          <w:tcPr>
            <w:tcW w:w="897" w:type="dxa"/>
            <w:vAlign w:val="bottom"/>
          </w:tcPr>
          <w:p w14:paraId="55899821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0.137</w:t>
            </w:r>
          </w:p>
        </w:tc>
        <w:tc>
          <w:tcPr>
            <w:tcW w:w="897" w:type="dxa"/>
            <w:vAlign w:val="bottom"/>
          </w:tcPr>
          <w:p w14:paraId="1A9E1151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0.055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bottom"/>
          </w:tcPr>
          <w:p w14:paraId="3D0B1669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0.031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bottom"/>
          </w:tcPr>
          <w:p w14:paraId="6D6786A5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0.00556</w:t>
            </w:r>
          </w:p>
        </w:tc>
        <w:tc>
          <w:tcPr>
            <w:tcW w:w="1106" w:type="dxa"/>
            <w:vAlign w:val="bottom"/>
          </w:tcPr>
          <w:p w14:paraId="37A5533D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1107" w:type="dxa"/>
            <w:vAlign w:val="bottom"/>
          </w:tcPr>
          <w:p w14:paraId="5C772932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0.202</w:t>
            </w:r>
          </w:p>
        </w:tc>
      </w:tr>
      <w:tr w:rsidR="00D63F4D" w:rsidRPr="00CE18D6" w14:paraId="255FEE92" w14:textId="77777777" w:rsidTr="004203A9">
        <w:trPr>
          <w:trHeight w:val="278"/>
        </w:trPr>
        <w:tc>
          <w:tcPr>
            <w:tcW w:w="1580" w:type="dxa"/>
            <w:tcBorders>
              <w:bottom w:val="single" w:sz="12" w:space="0" w:color="auto"/>
            </w:tcBorders>
            <w:vAlign w:val="bottom"/>
          </w:tcPr>
          <w:p w14:paraId="2018C3C1" w14:textId="77777777" w:rsidR="00EB61DC" w:rsidRPr="00CE18D6" w:rsidRDefault="00EB61DC" w:rsidP="00EB61DC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1-Dodecanol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bottom"/>
          </w:tcPr>
          <w:p w14:paraId="711A7FF4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</w:t>
            </w:r>
          </w:p>
        </w:tc>
        <w:tc>
          <w:tcPr>
            <w:tcW w:w="896" w:type="dxa"/>
            <w:tcBorders>
              <w:bottom w:val="single" w:sz="12" w:space="0" w:color="auto"/>
            </w:tcBorders>
            <w:vAlign w:val="bottom"/>
          </w:tcPr>
          <w:p w14:paraId="20ABA05D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0.143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bottom"/>
          </w:tcPr>
          <w:p w14:paraId="7333D8D6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0.119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bottom"/>
          </w:tcPr>
          <w:p w14:paraId="27128DC5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0.059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bottom"/>
          </w:tcPr>
          <w:p w14:paraId="0DD57425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vAlign w:val="bottom"/>
          </w:tcPr>
          <w:p w14:paraId="50D55E0C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0.00667</w:t>
            </w:r>
          </w:p>
        </w:tc>
        <w:tc>
          <w:tcPr>
            <w:tcW w:w="1107" w:type="dxa"/>
            <w:tcBorders>
              <w:bottom w:val="single" w:sz="12" w:space="0" w:color="auto"/>
            </w:tcBorders>
            <w:vAlign w:val="bottom"/>
          </w:tcPr>
          <w:p w14:paraId="2485CB73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0.0047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bottom w:val="single" w:sz="12" w:space="0" w:color="auto"/>
            </w:tcBorders>
            <w:vAlign w:val="bottom"/>
          </w:tcPr>
          <w:p w14:paraId="3BDAD37E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07" w:type="dxa"/>
            <w:tcBorders>
              <w:bottom w:val="single" w:sz="12" w:space="0" w:color="auto"/>
            </w:tcBorders>
            <w:vAlign w:val="bottom"/>
          </w:tcPr>
          <w:p w14:paraId="54F06502" w14:textId="77777777" w:rsidR="00EB61DC" w:rsidRPr="00CE18D6" w:rsidRDefault="00EB61DC" w:rsidP="00EB6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  <w:r w:rsidRPr="00CE18D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</w:tr>
    </w:tbl>
    <w:bookmarkEnd w:id="4"/>
    <w:bookmarkEnd w:id="5"/>
    <w:p w14:paraId="6C501FA4" w14:textId="619665BF" w:rsidR="00B062FC" w:rsidRPr="00CE18D6" w:rsidRDefault="00B062FC" w:rsidP="00B062FC">
      <w:pPr>
        <w:pStyle w:val="ListParagraph"/>
        <w:numPr>
          <w:ilvl w:val="0"/>
          <w:numId w:val="3"/>
        </w:numPr>
        <w:ind w:left="142" w:hanging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 relative concentration of 100% corresponds to the saturated vapor pressure, which is calculated with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Antoine coefficients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at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EB61DC"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B61DC"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℃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absolute volume concentration at a relative concentration is calculated by multiplying the value of </w:t>
      </w:r>
      <w:r w:rsidR="009E439B"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relative concentration.</w:t>
      </w:r>
    </w:p>
    <w:p w14:paraId="1C761522" w14:textId="77777777" w:rsidR="008F041C" w:rsidRPr="00CE18D6" w:rsidRDefault="008F041C" w:rsidP="008F04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1"/>
    <w:bookmarkEnd w:id="2"/>
    <w:p w14:paraId="72B1BA3A" w14:textId="3748D1B8" w:rsidR="00457CD3" w:rsidRPr="00CE18D6" w:rsidRDefault="00457CD3" w:rsidP="00EB698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Response time calculation methods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: In determining the response time for each gas towards pentapeptide-based sensors, the responses of the sensors at gas concentrations of 10</w:t>
      </w:r>
      <w:r w:rsidRPr="00CE18D6">
        <w:rPr>
          <w:rFonts w:ascii="Symbol" w:eastAsia="Symbol" w:hAnsi="Symbol" w:cs="Symbol"/>
          <w:color w:val="000000" w:themeColor="text1"/>
          <w:sz w:val="24"/>
          <w:szCs w:val="24"/>
        </w:rPr>
        <w:t>-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15% were calculated using the following equations</w:t>
      </w:r>
      <w:r w:rsidR="00E91AD3" w:rsidRPr="00CE18D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27424440" w14:textId="77777777" w:rsidR="00457CD3" w:rsidRPr="00CE18D6" w:rsidRDefault="00000000" w:rsidP="00EB698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90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= </m:t>
          </m:r>
          <m:func>
            <m:funcPr>
              <m:ctrlPr>
                <w:rPr>
                  <w:rStyle w:val="mop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Style w:val="mop"/>
                  <w:rFonts w:ascii="Cambria Math" w:hAnsi="Cambria Math"/>
                  <w:color w:val="000000" w:themeColor="text1"/>
                  <w:sz w:val="24"/>
                  <w:szCs w:val="24"/>
                </w:rPr>
                <m:t>min</m:t>
              </m: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  <w:lang w:val="en-US"/>
                </w:rPr>
              </m:ctrlPr>
            </m:fName>
            <m:e>
              <m:d>
                <m:dPr>
                  <m:begChr m:val="{"/>
                  <m:sepChr m:val="∣"/>
                  <m:endChr m:val="}"/>
                  <m:ctrlPr>
                    <w:rPr>
                      <w:rStyle w:val="mopen"/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mord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t</m:t>
                  </m:r>
                  <m:ctrlPr>
                    <w:rPr>
                      <w:rStyle w:val="mord"/>
                      <w:rFonts w:ascii="Cambria Math" w:hAnsi="Cambria Math" w:cs="Cambria Math"/>
                      <w:i/>
                      <w:color w:val="000000" w:themeColor="text1"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∆</m:t>
                  </m:r>
                  <m:r>
                    <w:rPr>
                      <w:rStyle w:val="mord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Style w:val="mopen"/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mord"/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t</m:t>
                      </m:r>
                      <m:ctrlPr>
                        <w:rPr>
                          <w:rStyle w:val="mclose"/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e>
                  </m:d>
                  <m:r>
                    <w:rPr>
                      <w:rStyle w:val="mrel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=0.9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∆f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Style w:val="mpunct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,</m:t>
                  </m:r>
                  <m:r>
                    <w:rPr>
                      <w:rStyle w:val="mord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t</m:t>
                  </m:r>
                  <m:r>
                    <w:rPr>
                      <w:rStyle w:val="mrel"/>
                      <w:rFonts w:ascii="Cambria Math" w:hAnsi="Cambria Math" w:cs="Cambria Math"/>
                      <w:color w:val="000000" w:themeColor="text1"/>
                      <w:sz w:val="24"/>
                      <w:szCs w:val="24"/>
                    </w:rPr>
                    <m:t>∈</m:t>
                  </m:r>
                  <m:d>
                    <m:dPr>
                      <m:begChr m:val="["/>
                      <m:endChr m:val="]"/>
                      <m:ctrlPr>
                        <w:rPr>
                          <w:rStyle w:val="mopen"/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Style w:val="mopen"/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Style w:val="mopen"/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Style w:val="mopen"/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  <m:r>
                        <w:rPr>
                          <w:rStyle w:val="mpunct"/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Style w:val="mpunct"/>
                              <w:rFonts w:ascii="Cambria Math" w:hAnsi="Cambria Math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Style w:val="mpunct"/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Style w:val="mpunct"/>
                              <w:rFonts w:ascii="Cambria Math" w:hAnsi="Cambria Math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ctrlPr>
                        <w:rPr>
                          <w:rStyle w:val="mclose"/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e>
                  </m:d>
                  <m:ctrlPr>
                    <w:rPr>
                      <w:rStyle w:val="mclose"/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e>
              </m:d>
            </m:e>
          </m:func>
        </m:oMath>
      </m:oMathPara>
    </w:p>
    <w:p w14:paraId="3441046C" w14:textId="77777777" w:rsidR="00457CD3" w:rsidRPr="00CE18D6" w:rsidRDefault="00457CD3" w:rsidP="00EB6987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</w:pPr>
      <w:r w:rsidRPr="00CE1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where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t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0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</w:t>
      </w: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t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1</w:t>
      </w: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are the times when the absorption and desorption phases start, respectively, as denoted in Fig. 2</w:t>
      </w:r>
      <w:r w:rsidRPr="00CE1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</w:p>
    <w:p w14:paraId="3D536D6A" w14:textId="77777777" w:rsidR="00457CD3" w:rsidRPr="00CE18D6" w:rsidRDefault="00457CD3" w:rsidP="00EB6987">
      <w:pPr>
        <w:jc w:val="both"/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</w:pPr>
      <w:r w:rsidRPr="00CE18D6">
        <w:rPr>
          <w:noProof/>
          <w:color w:val="000000" w:themeColor="text1"/>
          <w:sz w:val="24"/>
          <w:szCs w:val="24"/>
        </w:rPr>
        <w:drawing>
          <wp:inline distT="0" distB="0" distL="0" distR="0" wp14:anchorId="53603C17" wp14:editId="2DEE1426">
            <wp:extent cx="4712335" cy="2084705"/>
            <wp:effectExtent l="0" t="0" r="0" b="0"/>
            <wp:docPr id="152736987" name="Picture 9" descr="A black background with colorful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36987" name="Picture 9" descr="A black background with colorful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ECCEE8" w14:textId="24F96121" w:rsidR="0081577A" w:rsidRPr="00CE18D6" w:rsidRDefault="00457CD3" w:rsidP="002F26C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lastRenderedPageBreak/>
        <w:t>FIG. S</w:t>
      </w:r>
      <w:r w:rsidR="00A615AB" w:rsidRPr="00CE18D6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>3</w:t>
      </w:r>
      <w:r w:rsidRPr="00CE18D6">
        <w:rPr>
          <w:rFonts w:ascii="Times New Roman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. </w:t>
      </w:r>
      <w:r w:rsidRPr="00CE18D6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The response time (</w:t>
      </w:r>
      <w:r w:rsidRPr="00CE18D6"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</w:rPr>
        <w:t>t</w:t>
      </w:r>
      <w:r w:rsidRPr="00CE18D6">
        <w:rPr>
          <w:rFonts w:ascii="Times New Roman" w:hAnsi="Times New Roman" w:cs="Times New Roman"/>
          <w:color w:val="000000" w:themeColor="text1"/>
          <w:kern w:val="2"/>
          <w:sz w:val="24"/>
          <w:szCs w:val="24"/>
          <w:vertAlign w:val="subscript"/>
        </w:rPr>
        <w:t>90</w:t>
      </w:r>
      <w:r w:rsidRPr="00CE18D6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) </w:t>
      </w:r>
      <w:r w:rsidRPr="00CE18D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calculated for </w:t>
      </w:r>
      <w:r w:rsidRPr="00CE18D6">
        <w:rPr>
          <w:rFonts w:ascii="Times New Roman" w:eastAsia="+mn-ea" w:hAnsi="Times New Roman" w:cs="Times New Roman"/>
          <w:color w:val="000000" w:themeColor="text1"/>
          <w:kern w:val="24"/>
          <w:sz w:val="24"/>
          <w:szCs w:val="24"/>
        </w:rPr>
        <w:t>EHIPW and KVYYY.</w:t>
      </w:r>
      <w:r w:rsidRPr="00CE18D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The average of the values from replicates (</w:t>
      </w:r>
      <w:r w:rsidRPr="00CE18D6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n</w:t>
      </w:r>
      <w:r w:rsidRPr="00CE18D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= 3) is represented as a dot, and the corresponding standard deviation from three replicates is represented as a line.</w:t>
      </w:r>
      <w:r w:rsidR="00A615AB"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871D6D3" w14:textId="77777777" w:rsidR="00A615AB" w:rsidRPr="00CE18D6" w:rsidRDefault="00A615AB" w:rsidP="00A615A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The separation</w:t>
      </w: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odd- and even-numbere</w:t>
      </w: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carbon compounds in the case of </w:t>
      </w:r>
      <w:r w:rsidRPr="00CE18D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KVYYY</w:t>
      </w:r>
    </w:p>
    <w:p w14:paraId="524B410E" w14:textId="77777777" w:rsidR="00A615AB" w:rsidRPr="00CE18D6" w:rsidRDefault="00A615AB" w:rsidP="00A615AB">
      <w:pPr>
        <w:spacing w:line="278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  <w:r w:rsidRPr="00CE18D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  <w14:ligatures w14:val="standardContextual"/>
        </w:rPr>
        <w:drawing>
          <wp:inline distT="0" distB="0" distL="0" distR="0" wp14:anchorId="5719E8A6" wp14:editId="17FF1C99">
            <wp:extent cx="2799679" cy="1834515"/>
            <wp:effectExtent l="0" t="0" r="1270" b="0"/>
            <wp:docPr id="7519825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45459" name="Picture 1086845459"/>
                    <pic:cNvPicPr/>
                  </pic:nvPicPr>
                  <pic:blipFill rotWithShape="1">
                    <a:blip r:embed="rId11"/>
                    <a:srcRect l="2910" t="13166" r="56955" b="68626"/>
                    <a:stretch/>
                  </pic:blipFill>
                  <pic:spPr bwMode="auto">
                    <a:xfrm>
                      <a:off x="0" y="0"/>
                      <a:ext cx="2800958" cy="1835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B9F36" w14:textId="77777777" w:rsidR="00A615AB" w:rsidRPr="00CE18D6" w:rsidRDefault="00A615AB" w:rsidP="00A615AB">
      <w:pPr>
        <w:tabs>
          <w:tab w:val="left" w:pos="4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4E7AE63" w14:textId="03217D5E" w:rsidR="00A615AB" w:rsidRPr="00CE18D6" w:rsidRDefault="00A615AB" w:rsidP="00A615AB">
      <w:pPr>
        <w:tabs>
          <w:tab w:val="left" w:pos="480"/>
        </w:tabs>
        <w:spacing w:after="0" w:line="240" w:lineRule="auto"/>
        <w:rPr>
          <w:color w:val="000000" w:themeColor="text1"/>
          <w:sz w:val="24"/>
          <w:szCs w:val="24"/>
          <w:lang w:val="en-US"/>
        </w:rPr>
      </w:pPr>
      <w:r w:rsidRPr="00CE18D6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24"/>
          <w:szCs w:val="24"/>
        </w:rPr>
        <w:t>FIG. S4.</w:t>
      </w:r>
      <w:r w:rsidRPr="00CE18D6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Plot of three extracted features f</w:t>
      </w:r>
      <w:r w:rsidRPr="00CE18D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rom sensing signals of </w:t>
      </w:r>
      <w:r w:rsidRPr="00CE18D6"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KVYYY</w:t>
      </w:r>
      <w:r w:rsidRPr="00CE18D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to 1-alcohols ranging from 1-heptanol to 1-dodecanol</w:t>
      </w:r>
      <w:r w:rsidRPr="00CE18D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>Within a gas group, the average of the values from replicates (</w:t>
      </w:r>
      <w:r w:rsidRPr="00CE18D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CE1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3) at a certain relative concentration is represented as a dot.</w:t>
      </w:r>
    </w:p>
    <w:p w14:paraId="58592B7D" w14:textId="5183D12F" w:rsidR="00637102" w:rsidRPr="00CE18D6" w:rsidRDefault="00637102" w:rsidP="00637102">
      <w:pPr>
        <w:spacing w:line="278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DF684F9" w14:textId="27830395" w:rsidR="0012439D" w:rsidRPr="00CE18D6" w:rsidRDefault="00125868" w:rsidP="00EB6987">
      <w:pPr>
        <w:spacing w:line="278" w:lineRule="auto"/>
        <w:rPr>
          <w:color w:val="000000" w:themeColor="text1"/>
          <w:sz w:val="24"/>
          <w:szCs w:val="24"/>
          <w:lang w:val="en-US"/>
        </w:rPr>
      </w:pPr>
      <w:r w:rsidRPr="00CE18D6">
        <w:rPr>
          <w:color w:val="000000" w:themeColor="text1"/>
          <w:sz w:val="24"/>
          <w:szCs w:val="24"/>
          <w:lang w:val="en-US"/>
        </w:rPr>
        <w:br w:type="page"/>
      </w:r>
    </w:p>
    <w:p w14:paraId="74A91CD2" w14:textId="3FCA8F7E" w:rsidR="00A51E47" w:rsidRPr="00CE18D6" w:rsidRDefault="002E6C7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CE18D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REFERENCES</w:t>
      </w:r>
    </w:p>
    <w:p w14:paraId="43DA5C2F" w14:textId="77777777" w:rsidR="002C19D0" w:rsidRPr="00CE18D6" w:rsidRDefault="002C19D0" w:rsidP="002C19D0">
      <w:pPr>
        <w:pStyle w:val="NormalWeb"/>
        <w:spacing w:line="276" w:lineRule="auto"/>
        <w:jc w:val="both"/>
        <w:rPr>
          <w:rFonts w:eastAsiaTheme="minorEastAsia"/>
          <w:color w:val="000000" w:themeColor="text1"/>
        </w:rPr>
      </w:pPr>
      <w:r w:rsidRPr="00CE18D6">
        <w:rPr>
          <w:rFonts w:eastAsiaTheme="minorEastAsia"/>
          <w:color w:val="000000" w:themeColor="text1"/>
          <w:vertAlign w:val="superscript"/>
        </w:rPr>
        <w:t>1</w:t>
      </w:r>
      <w:r w:rsidRPr="00CE18D6">
        <w:rPr>
          <w:rFonts w:eastAsiaTheme="minorEastAsia"/>
          <w:color w:val="000000" w:themeColor="text1"/>
        </w:rPr>
        <w:t xml:space="preserve"> C. L. Yaws, M. A. </w:t>
      </w:r>
      <w:proofErr w:type="spellStart"/>
      <w:r w:rsidRPr="00CE18D6">
        <w:rPr>
          <w:rFonts w:eastAsiaTheme="minorEastAsia"/>
          <w:color w:val="000000" w:themeColor="text1"/>
        </w:rPr>
        <w:t>Satyro</w:t>
      </w:r>
      <w:proofErr w:type="spellEnd"/>
      <w:r w:rsidRPr="00CE18D6">
        <w:rPr>
          <w:rFonts w:eastAsiaTheme="minorEastAsia"/>
          <w:color w:val="000000" w:themeColor="text1"/>
        </w:rPr>
        <w:t xml:space="preserve">, In The Yaws Handbook of Vapor Pressure, Elsevier, </w:t>
      </w:r>
      <w:r w:rsidRPr="00CE18D6">
        <w:rPr>
          <w:rFonts w:eastAsiaTheme="minorEastAsia"/>
          <w:b/>
          <w:bCs/>
          <w:color w:val="000000" w:themeColor="text1"/>
        </w:rPr>
        <w:t>2015</w:t>
      </w:r>
      <w:r w:rsidRPr="00CE18D6">
        <w:rPr>
          <w:rFonts w:eastAsiaTheme="minorEastAsia"/>
          <w:color w:val="000000" w:themeColor="text1"/>
        </w:rPr>
        <w:t>, pp. 1–314.</w:t>
      </w:r>
    </w:p>
    <w:p w14:paraId="2B0F55A3" w14:textId="77777777" w:rsidR="002C19D0" w:rsidRPr="00CE18D6" w:rsidRDefault="002C19D0" w:rsidP="002C19D0">
      <w:pPr>
        <w:pStyle w:val="NormalWeb"/>
        <w:spacing w:line="276" w:lineRule="auto"/>
        <w:jc w:val="both"/>
        <w:rPr>
          <w:rFonts w:eastAsiaTheme="minorEastAsia"/>
          <w:color w:val="000000" w:themeColor="text1"/>
        </w:rPr>
      </w:pPr>
      <w:r w:rsidRPr="00CE18D6">
        <w:rPr>
          <w:rFonts w:eastAsiaTheme="minorEastAsia"/>
          <w:color w:val="000000" w:themeColor="text1"/>
          <w:vertAlign w:val="superscript"/>
        </w:rPr>
        <w:t>2</w:t>
      </w:r>
      <w:r w:rsidRPr="00CE18D6">
        <w:rPr>
          <w:rFonts w:eastAsiaTheme="minorEastAsia"/>
          <w:color w:val="000000" w:themeColor="text1"/>
        </w:rPr>
        <w:t xml:space="preserve"> L. Wang, J. Li, Y. Wang, K. Yu, X. Tang, Y. Zhang, S. Wang, and C. Wei, “Construction of 1D SnO</w:t>
      </w:r>
      <w:r w:rsidRPr="00CE18D6">
        <w:rPr>
          <w:rFonts w:eastAsiaTheme="minorEastAsia"/>
          <w:color w:val="000000" w:themeColor="text1"/>
          <w:vertAlign w:val="subscript"/>
        </w:rPr>
        <w:t>2</w:t>
      </w:r>
      <w:r w:rsidRPr="00CE18D6">
        <w:rPr>
          <w:rFonts w:eastAsiaTheme="minorEastAsia"/>
          <w:color w:val="000000" w:themeColor="text1"/>
        </w:rPr>
        <w:t xml:space="preserve">-coated </w:t>
      </w:r>
      <w:proofErr w:type="spellStart"/>
      <w:r w:rsidRPr="00CE18D6">
        <w:rPr>
          <w:rFonts w:eastAsiaTheme="minorEastAsia"/>
          <w:color w:val="000000" w:themeColor="text1"/>
        </w:rPr>
        <w:t>ZnO</w:t>
      </w:r>
      <w:proofErr w:type="spellEnd"/>
      <w:r w:rsidRPr="00CE18D6">
        <w:rPr>
          <w:rFonts w:eastAsiaTheme="minorEastAsia"/>
          <w:color w:val="000000" w:themeColor="text1"/>
        </w:rPr>
        <w:t xml:space="preserve"> nanowire heterojunction for their improved </w:t>
      </w:r>
      <w:r w:rsidRPr="00CE18D6">
        <w:rPr>
          <w:rFonts w:eastAsiaTheme="minorEastAsia"/>
          <w:i/>
          <w:iCs/>
          <w:color w:val="000000" w:themeColor="text1"/>
        </w:rPr>
        <w:t>n</w:t>
      </w:r>
      <w:r w:rsidRPr="00CE18D6">
        <w:rPr>
          <w:rFonts w:eastAsiaTheme="minorEastAsia"/>
          <w:color w:val="000000" w:themeColor="text1"/>
        </w:rPr>
        <w:t xml:space="preserve">-butylamine sensing performances,” Sci. Rep. </w:t>
      </w:r>
      <w:r w:rsidRPr="00CE18D6">
        <w:rPr>
          <w:rFonts w:eastAsiaTheme="minorEastAsia"/>
          <w:b/>
          <w:bCs/>
          <w:color w:val="000000" w:themeColor="text1"/>
        </w:rPr>
        <w:t>6</w:t>
      </w:r>
      <w:r w:rsidRPr="00CE18D6">
        <w:rPr>
          <w:rFonts w:eastAsiaTheme="minorEastAsia"/>
          <w:color w:val="000000" w:themeColor="text1"/>
        </w:rPr>
        <w:t>, 35079 (2016).</w:t>
      </w:r>
    </w:p>
    <w:p w14:paraId="06550A89" w14:textId="77777777" w:rsidR="002C19D0" w:rsidRPr="00CE18D6" w:rsidRDefault="002C19D0" w:rsidP="002C19D0">
      <w:pPr>
        <w:pStyle w:val="NormalWeb"/>
        <w:spacing w:line="276" w:lineRule="auto"/>
        <w:jc w:val="both"/>
        <w:rPr>
          <w:rFonts w:eastAsiaTheme="minorEastAsia"/>
          <w:color w:val="000000" w:themeColor="text1"/>
        </w:rPr>
      </w:pPr>
      <w:r w:rsidRPr="00CE18D6">
        <w:rPr>
          <w:rFonts w:eastAsiaTheme="minorEastAsia" w:hint="eastAsia"/>
          <w:color w:val="000000" w:themeColor="text1"/>
          <w:vertAlign w:val="superscript"/>
        </w:rPr>
        <w:t xml:space="preserve">3 </w:t>
      </w:r>
      <w:r w:rsidRPr="00CE18D6">
        <w:rPr>
          <w:rFonts w:eastAsiaTheme="minorEastAsia"/>
          <w:color w:val="000000" w:themeColor="text1"/>
        </w:rPr>
        <w:t xml:space="preserve">X. Zhang, J. Sun, K. Tang, H. Wang, T. Chen, K. Jiang, T. Zhou, H. Quan, and R. Guo, “Ultralow detection limit and ultrafast response/recovery of the H2 gas sensor based on Pd-doped </w:t>
      </w:r>
      <w:proofErr w:type="spellStart"/>
      <w:r w:rsidRPr="00CE18D6">
        <w:rPr>
          <w:rFonts w:eastAsiaTheme="minorEastAsia"/>
          <w:color w:val="000000" w:themeColor="text1"/>
        </w:rPr>
        <w:t>rGO</w:t>
      </w:r>
      <w:proofErr w:type="spellEnd"/>
      <w:r w:rsidRPr="00CE18D6">
        <w:rPr>
          <w:rFonts w:eastAsiaTheme="minorEastAsia"/>
          <w:color w:val="000000" w:themeColor="text1"/>
        </w:rPr>
        <w:t>/ZnO-SnO</w:t>
      </w:r>
      <w:r w:rsidRPr="00CE18D6">
        <w:rPr>
          <w:rFonts w:eastAsiaTheme="minorEastAsia"/>
          <w:color w:val="000000" w:themeColor="text1"/>
          <w:vertAlign w:val="subscript"/>
        </w:rPr>
        <w:t>2</w:t>
      </w:r>
      <w:r w:rsidRPr="00CE18D6">
        <w:rPr>
          <w:rFonts w:eastAsiaTheme="minorEastAsia"/>
          <w:color w:val="000000" w:themeColor="text1"/>
        </w:rPr>
        <w:t xml:space="preserve"> from hydrothermal synthesis,” </w:t>
      </w:r>
      <w:proofErr w:type="spellStart"/>
      <w:r w:rsidRPr="00CE18D6">
        <w:rPr>
          <w:rFonts w:eastAsiaTheme="minorEastAsia"/>
          <w:color w:val="000000" w:themeColor="text1"/>
        </w:rPr>
        <w:t>Microsyst</w:t>
      </w:r>
      <w:proofErr w:type="spellEnd"/>
      <w:r w:rsidRPr="00CE18D6">
        <w:rPr>
          <w:rFonts w:eastAsiaTheme="minorEastAsia"/>
          <w:color w:val="000000" w:themeColor="text1"/>
        </w:rPr>
        <w:t xml:space="preserve">. </w:t>
      </w:r>
      <w:proofErr w:type="spellStart"/>
      <w:r w:rsidRPr="00CE18D6">
        <w:rPr>
          <w:rFonts w:eastAsiaTheme="minorEastAsia"/>
          <w:color w:val="000000" w:themeColor="text1"/>
        </w:rPr>
        <w:t>Nanoeng</w:t>
      </w:r>
      <w:proofErr w:type="spellEnd"/>
      <w:r w:rsidRPr="00CE18D6">
        <w:rPr>
          <w:rFonts w:eastAsiaTheme="minorEastAsia"/>
          <w:color w:val="000000" w:themeColor="text1"/>
        </w:rPr>
        <w:t xml:space="preserve">. </w:t>
      </w:r>
      <w:r w:rsidRPr="00CE18D6">
        <w:rPr>
          <w:rFonts w:eastAsiaTheme="minorEastAsia"/>
          <w:b/>
          <w:bCs/>
          <w:color w:val="000000" w:themeColor="text1"/>
        </w:rPr>
        <w:t>8</w:t>
      </w:r>
      <w:r w:rsidRPr="00CE18D6">
        <w:rPr>
          <w:rFonts w:eastAsiaTheme="minorEastAsia"/>
          <w:color w:val="000000" w:themeColor="text1"/>
        </w:rPr>
        <w:t>(1), 67 (2022).</w:t>
      </w:r>
    </w:p>
    <w:p w14:paraId="681D6374" w14:textId="2DB996C9" w:rsidR="00A51E47" w:rsidRPr="00CE18D6" w:rsidRDefault="00A51E47" w:rsidP="00EB6987">
      <w:pPr>
        <w:tabs>
          <w:tab w:val="left" w:pos="440"/>
        </w:tabs>
        <w:spacing w:after="0" w:line="240" w:lineRule="auto"/>
        <w:ind w:left="440" w:hanging="44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A51E47" w:rsidRPr="00CE18D6" w:rsidSect="001D1220">
      <w:headerReference w:type="default" r:id="rId12"/>
      <w:footerReference w:type="default" r:id="rId13"/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9AEF0" w14:textId="77777777" w:rsidR="00765783" w:rsidRDefault="00765783" w:rsidP="009E67A8">
      <w:pPr>
        <w:spacing w:after="0" w:line="240" w:lineRule="auto"/>
      </w:pPr>
      <w:r>
        <w:separator/>
      </w:r>
    </w:p>
  </w:endnote>
  <w:endnote w:type="continuationSeparator" w:id="0">
    <w:p w14:paraId="7F1A3667" w14:textId="77777777" w:rsidR="00765783" w:rsidRDefault="00765783" w:rsidP="009E67A8">
      <w:pPr>
        <w:spacing w:after="0" w:line="240" w:lineRule="auto"/>
      </w:pPr>
      <w:r>
        <w:continuationSeparator/>
      </w:r>
    </w:p>
  </w:endnote>
  <w:endnote w:type="continuationNotice" w:id="1">
    <w:p w14:paraId="1C14E222" w14:textId="77777777" w:rsidR="00765783" w:rsidRDefault="007657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8850115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F8B8070" w14:textId="6487C664" w:rsidR="00B50C15" w:rsidRPr="00EB6987" w:rsidRDefault="00B50C1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B69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698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B69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B698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B698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55E5E07" w14:textId="77777777" w:rsidR="00B50C15" w:rsidRDefault="00B50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C24E1" w14:textId="77777777" w:rsidR="00765783" w:rsidRDefault="00765783" w:rsidP="009E67A8">
      <w:pPr>
        <w:spacing w:after="0" w:line="240" w:lineRule="auto"/>
      </w:pPr>
      <w:r>
        <w:separator/>
      </w:r>
    </w:p>
  </w:footnote>
  <w:footnote w:type="continuationSeparator" w:id="0">
    <w:p w14:paraId="14D9D12D" w14:textId="77777777" w:rsidR="00765783" w:rsidRDefault="00765783" w:rsidP="009E67A8">
      <w:pPr>
        <w:spacing w:after="0" w:line="240" w:lineRule="auto"/>
      </w:pPr>
      <w:r>
        <w:continuationSeparator/>
      </w:r>
    </w:p>
  </w:footnote>
  <w:footnote w:type="continuationNotice" w:id="1">
    <w:p w14:paraId="7570A6FD" w14:textId="77777777" w:rsidR="00765783" w:rsidRDefault="007657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BA5AC61" w14:paraId="155E983A" w14:textId="77777777" w:rsidTr="00EB6987">
      <w:trPr>
        <w:trHeight w:val="300"/>
      </w:trPr>
      <w:tc>
        <w:tcPr>
          <w:tcW w:w="2830" w:type="dxa"/>
        </w:tcPr>
        <w:p w14:paraId="2D402361" w14:textId="639D3EB7" w:rsidR="3BA5AC61" w:rsidRDefault="3BA5AC61" w:rsidP="00EB6987">
          <w:pPr>
            <w:pStyle w:val="Header"/>
            <w:ind w:left="-115"/>
          </w:pPr>
        </w:p>
      </w:tc>
      <w:tc>
        <w:tcPr>
          <w:tcW w:w="2830" w:type="dxa"/>
        </w:tcPr>
        <w:p w14:paraId="4103BE78" w14:textId="51A18F4F" w:rsidR="3BA5AC61" w:rsidRDefault="3BA5AC61" w:rsidP="00EB6987">
          <w:pPr>
            <w:pStyle w:val="Header"/>
            <w:jc w:val="center"/>
          </w:pPr>
        </w:p>
      </w:tc>
      <w:tc>
        <w:tcPr>
          <w:tcW w:w="2830" w:type="dxa"/>
        </w:tcPr>
        <w:p w14:paraId="27B1B33B" w14:textId="3671CAF5" w:rsidR="3BA5AC61" w:rsidRDefault="3BA5AC61" w:rsidP="00EB6987">
          <w:pPr>
            <w:pStyle w:val="Header"/>
            <w:ind w:right="-115"/>
            <w:jc w:val="right"/>
          </w:pPr>
        </w:p>
      </w:tc>
    </w:tr>
  </w:tbl>
  <w:p w14:paraId="18BF9723" w14:textId="48B21DDF" w:rsidR="3BA5AC61" w:rsidRDefault="3BA5AC61" w:rsidP="00EB69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1BF8"/>
    <w:multiLevelType w:val="hybridMultilevel"/>
    <w:tmpl w:val="7C263532"/>
    <w:lvl w:ilvl="0" w:tplc="2DF45EA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7138DF"/>
    <w:multiLevelType w:val="hybridMultilevel"/>
    <w:tmpl w:val="D0BE87DE"/>
    <w:lvl w:ilvl="0" w:tplc="4426D5F6">
      <w:start w:val="1"/>
      <w:numFmt w:val="lowerLetter"/>
      <w:lvlText w:val="%1"/>
      <w:lvlJc w:val="left"/>
      <w:pPr>
        <w:ind w:left="436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6FEC70D9"/>
    <w:multiLevelType w:val="hybridMultilevel"/>
    <w:tmpl w:val="B1709898"/>
    <w:lvl w:ilvl="0" w:tplc="52B08F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494015">
    <w:abstractNumId w:val="0"/>
  </w:num>
  <w:num w:numId="2" w16cid:durableId="693116473">
    <w:abstractNumId w:val="2"/>
  </w:num>
  <w:num w:numId="3" w16cid:durableId="1723868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clusterType" w:val="normal"/>
    <w:docVar w:name="paperpile-doc-id" w:val="I527V874K265P878"/>
    <w:docVar w:name="paperpile-doc-name" w:val="Revised_Supplementary Material.docx"/>
    <w:docVar w:name="paperpile-includeDoi" w:val="true"/>
    <w:docVar w:name="paperpile-styleFile" w:val="advanced-functional-materials.csl"/>
    <w:docVar w:name="paperpile-styleId" w:val="advanced-functional-materials"/>
    <w:docVar w:name="paperpile-styleLabel" w:val="Advanced Functional Materials"/>
    <w:docVar w:name="paperpile-styleLocale" w:val="en-US"/>
  </w:docVars>
  <w:rsids>
    <w:rsidRoot w:val="00637102"/>
    <w:rsid w:val="000068AE"/>
    <w:rsid w:val="00011711"/>
    <w:rsid w:val="00040D99"/>
    <w:rsid w:val="00041144"/>
    <w:rsid w:val="00044805"/>
    <w:rsid w:val="000462BF"/>
    <w:rsid w:val="00093F10"/>
    <w:rsid w:val="00095E19"/>
    <w:rsid w:val="000E4672"/>
    <w:rsid w:val="0010107D"/>
    <w:rsid w:val="0012439D"/>
    <w:rsid w:val="00125868"/>
    <w:rsid w:val="001366D7"/>
    <w:rsid w:val="00137680"/>
    <w:rsid w:val="00176274"/>
    <w:rsid w:val="001911DD"/>
    <w:rsid w:val="001C4CD4"/>
    <w:rsid w:val="001D1220"/>
    <w:rsid w:val="001E53DD"/>
    <w:rsid w:val="001F04B7"/>
    <w:rsid w:val="00225720"/>
    <w:rsid w:val="00242132"/>
    <w:rsid w:val="00263597"/>
    <w:rsid w:val="00271819"/>
    <w:rsid w:val="00271C60"/>
    <w:rsid w:val="0027618D"/>
    <w:rsid w:val="002A60AF"/>
    <w:rsid w:val="002C19D0"/>
    <w:rsid w:val="002E6C76"/>
    <w:rsid w:val="002F26C4"/>
    <w:rsid w:val="00310076"/>
    <w:rsid w:val="00312956"/>
    <w:rsid w:val="00335CFF"/>
    <w:rsid w:val="00337447"/>
    <w:rsid w:val="00364B7D"/>
    <w:rsid w:val="00365C8E"/>
    <w:rsid w:val="00373638"/>
    <w:rsid w:val="003801D8"/>
    <w:rsid w:val="003C1852"/>
    <w:rsid w:val="003C53CA"/>
    <w:rsid w:val="003C7075"/>
    <w:rsid w:val="003C77C1"/>
    <w:rsid w:val="003E0156"/>
    <w:rsid w:val="003F7130"/>
    <w:rsid w:val="00405B50"/>
    <w:rsid w:val="00410871"/>
    <w:rsid w:val="004216E7"/>
    <w:rsid w:val="00424590"/>
    <w:rsid w:val="00432103"/>
    <w:rsid w:val="00440C21"/>
    <w:rsid w:val="00445BAF"/>
    <w:rsid w:val="00457CD3"/>
    <w:rsid w:val="004C285D"/>
    <w:rsid w:val="00507DA7"/>
    <w:rsid w:val="005118C8"/>
    <w:rsid w:val="00571102"/>
    <w:rsid w:val="005B6319"/>
    <w:rsid w:val="005C1E43"/>
    <w:rsid w:val="006275A4"/>
    <w:rsid w:val="00631A20"/>
    <w:rsid w:val="00637102"/>
    <w:rsid w:val="00637BF1"/>
    <w:rsid w:val="00640A78"/>
    <w:rsid w:val="00673214"/>
    <w:rsid w:val="00680F99"/>
    <w:rsid w:val="006A10DD"/>
    <w:rsid w:val="00701039"/>
    <w:rsid w:val="00765783"/>
    <w:rsid w:val="00775A49"/>
    <w:rsid w:val="007949BA"/>
    <w:rsid w:val="007F054B"/>
    <w:rsid w:val="0081577A"/>
    <w:rsid w:val="00823553"/>
    <w:rsid w:val="008340BD"/>
    <w:rsid w:val="00840634"/>
    <w:rsid w:val="00860E0C"/>
    <w:rsid w:val="00870791"/>
    <w:rsid w:val="0088065E"/>
    <w:rsid w:val="008860CC"/>
    <w:rsid w:val="008B5650"/>
    <w:rsid w:val="008E3AC1"/>
    <w:rsid w:val="008E4F6B"/>
    <w:rsid w:val="008F041C"/>
    <w:rsid w:val="008F6147"/>
    <w:rsid w:val="0090450D"/>
    <w:rsid w:val="009667E7"/>
    <w:rsid w:val="00973832"/>
    <w:rsid w:val="009922C6"/>
    <w:rsid w:val="009A68B7"/>
    <w:rsid w:val="009A710E"/>
    <w:rsid w:val="009B1B4B"/>
    <w:rsid w:val="009D6A29"/>
    <w:rsid w:val="009E439B"/>
    <w:rsid w:val="009E67A8"/>
    <w:rsid w:val="00A121A6"/>
    <w:rsid w:val="00A20CB9"/>
    <w:rsid w:val="00A261BF"/>
    <w:rsid w:val="00A265FF"/>
    <w:rsid w:val="00A41109"/>
    <w:rsid w:val="00A41BE3"/>
    <w:rsid w:val="00A47F85"/>
    <w:rsid w:val="00A51E47"/>
    <w:rsid w:val="00A615AB"/>
    <w:rsid w:val="00AA6858"/>
    <w:rsid w:val="00AB5D88"/>
    <w:rsid w:val="00AD3307"/>
    <w:rsid w:val="00B042FC"/>
    <w:rsid w:val="00B062FC"/>
    <w:rsid w:val="00B0729B"/>
    <w:rsid w:val="00B10C70"/>
    <w:rsid w:val="00B24A24"/>
    <w:rsid w:val="00B50C15"/>
    <w:rsid w:val="00B60581"/>
    <w:rsid w:val="00B77663"/>
    <w:rsid w:val="00BA48D2"/>
    <w:rsid w:val="00BB7D22"/>
    <w:rsid w:val="00BF5A96"/>
    <w:rsid w:val="00C072E4"/>
    <w:rsid w:val="00C51B3E"/>
    <w:rsid w:val="00CB2A92"/>
    <w:rsid w:val="00CB5024"/>
    <w:rsid w:val="00CC568C"/>
    <w:rsid w:val="00CE18D6"/>
    <w:rsid w:val="00CF7FF4"/>
    <w:rsid w:val="00D04647"/>
    <w:rsid w:val="00D10653"/>
    <w:rsid w:val="00D25FB5"/>
    <w:rsid w:val="00D26FC1"/>
    <w:rsid w:val="00D63F4D"/>
    <w:rsid w:val="00D72A78"/>
    <w:rsid w:val="00D752D5"/>
    <w:rsid w:val="00DB33A6"/>
    <w:rsid w:val="00DC2B80"/>
    <w:rsid w:val="00DC7ECD"/>
    <w:rsid w:val="00DE2291"/>
    <w:rsid w:val="00E177E9"/>
    <w:rsid w:val="00E47A5B"/>
    <w:rsid w:val="00E54D42"/>
    <w:rsid w:val="00E6425E"/>
    <w:rsid w:val="00E76F5D"/>
    <w:rsid w:val="00E839AA"/>
    <w:rsid w:val="00E86914"/>
    <w:rsid w:val="00E91AD3"/>
    <w:rsid w:val="00E93764"/>
    <w:rsid w:val="00E94042"/>
    <w:rsid w:val="00EB1067"/>
    <w:rsid w:val="00EB44D7"/>
    <w:rsid w:val="00EB5A23"/>
    <w:rsid w:val="00EB60FD"/>
    <w:rsid w:val="00EB61DC"/>
    <w:rsid w:val="00EB6987"/>
    <w:rsid w:val="00EB6CDC"/>
    <w:rsid w:val="00ED2DFD"/>
    <w:rsid w:val="00ED3F43"/>
    <w:rsid w:val="00EF2C65"/>
    <w:rsid w:val="00F0410B"/>
    <w:rsid w:val="00F15B5D"/>
    <w:rsid w:val="00F21E9F"/>
    <w:rsid w:val="00F33727"/>
    <w:rsid w:val="00FA0DE2"/>
    <w:rsid w:val="00FB4609"/>
    <w:rsid w:val="00FB4C5A"/>
    <w:rsid w:val="00FB5F38"/>
    <w:rsid w:val="00FC11E0"/>
    <w:rsid w:val="00FE10C8"/>
    <w:rsid w:val="00FE56ED"/>
    <w:rsid w:val="00FE73DA"/>
    <w:rsid w:val="00FF3DAC"/>
    <w:rsid w:val="3BA5A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DF32C4"/>
  <w15:chartTrackingRefBased/>
  <w15:docId w15:val="{8879EBF1-1A01-4D73-9203-340E5D46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102"/>
    <w:pPr>
      <w:spacing w:line="259" w:lineRule="auto"/>
    </w:pPr>
    <w:rPr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1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1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1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1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1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1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1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1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1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1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1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1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10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072E4"/>
    <w:pPr>
      <w:spacing w:after="0" w:line="240" w:lineRule="auto"/>
    </w:pPr>
    <w:rPr>
      <w:sz w:val="22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E67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7A8"/>
    <w:rPr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67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7A8"/>
    <w:rPr>
      <w:sz w:val="22"/>
      <w:szCs w:val="22"/>
      <w:lang w:val="en-GB"/>
      <w14:ligatures w14:val="none"/>
    </w:rPr>
  </w:style>
  <w:style w:type="character" w:customStyle="1" w:styleId="mord">
    <w:name w:val="mord"/>
    <w:basedOn w:val="DefaultParagraphFont"/>
    <w:rsid w:val="00457CD3"/>
  </w:style>
  <w:style w:type="character" w:customStyle="1" w:styleId="mrel">
    <w:name w:val="mrel"/>
    <w:basedOn w:val="DefaultParagraphFont"/>
    <w:rsid w:val="00457CD3"/>
  </w:style>
  <w:style w:type="character" w:customStyle="1" w:styleId="mop">
    <w:name w:val="mop"/>
    <w:basedOn w:val="DefaultParagraphFont"/>
    <w:rsid w:val="00457CD3"/>
  </w:style>
  <w:style w:type="character" w:customStyle="1" w:styleId="mopen">
    <w:name w:val="mopen"/>
    <w:basedOn w:val="DefaultParagraphFont"/>
    <w:rsid w:val="00457CD3"/>
  </w:style>
  <w:style w:type="character" w:customStyle="1" w:styleId="mclose">
    <w:name w:val="mclose"/>
    <w:basedOn w:val="DefaultParagraphFont"/>
    <w:rsid w:val="00457CD3"/>
  </w:style>
  <w:style w:type="character" w:customStyle="1" w:styleId="mpunct">
    <w:name w:val="mpunct"/>
    <w:basedOn w:val="DefaultParagraphFont"/>
    <w:rsid w:val="00457CD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2C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7DBE3-13A9-4ABD-8C79-3B87A68F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 THUC ANH</dc:creator>
  <cp:keywords/>
  <dc:description/>
  <cp:lastModifiedBy>NGO THUC ANH</cp:lastModifiedBy>
  <cp:revision>13</cp:revision>
  <dcterms:created xsi:type="dcterms:W3CDTF">2025-04-03T23:50:00Z</dcterms:created>
  <dcterms:modified xsi:type="dcterms:W3CDTF">2025-04-04T02:30:00Z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ccf50d5a591904902145eeb6d13ba3ddb47779020b74ad11fefe5ab396868d00</vt:lpwstr>
  </property>
</Properties>
</file>