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540A" w14:textId="061ACA1C" w:rsidR="003036BA" w:rsidRPr="00645DFF" w:rsidRDefault="003036BA" w:rsidP="003036BA">
      <w:pPr>
        <w:pStyle w:val="Header"/>
        <w:rPr>
          <w:rFonts w:ascii="Times New Roman" w:eastAsia="DengXian" w:hAnsi="Times New Roman" w:cs="Times New Roman"/>
          <w:b/>
          <w:bCs/>
          <w:sz w:val="28"/>
          <w:szCs w:val="32"/>
          <w:lang w:eastAsia="zh-CN"/>
        </w:rPr>
      </w:pPr>
      <w:r w:rsidRPr="00645DFF">
        <w:rPr>
          <w:rFonts w:ascii="Times New Roman" w:hAnsi="Times New Roman" w:cs="Times New Roman"/>
          <w:b/>
          <w:bCs/>
          <w:sz w:val="28"/>
          <w:szCs w:val="32"/>
        </w:rPr>
        <w:t xml:space="preserve">Enhanced spin–orbit torque efficiency via interface engineering </w:t>
      </w:r>
      <w:r w:rsidR="00263551" w:rsidRPr="00645DFF">
        <w:rPr>
          <w:rFonts w:ascii="Times New Roman" w:hAnsi="Times New Roman" w:cs="Times New Roman"/>
          <w:b/>
          <w:bCs/>
          <w:sz w:val="28"/>
          <w:szCs w:val="32"/>
        </w:rPr>
        <w:t xml:space="preserve">in </w:t>
      </w:r>
      <w:proofErr w:type="spellStart"/>
      <w:r w:rsidRPr="00645DFF">
        <w:rPr>
          <w:rFonts w:ascii="Times New Roman" w:hAnsi="Times New Roman" w:cs="Times New Roman"/>
          <w:b/>
          <w:bCs/>
          <w:sz w:val="28"/>
          <w:szCs w:val="32"/>
        </w:rPr>
        <w:t>BiSb</w:t>
      </w:r>
      <w:proofErr w:type="spellEnd"/>
      <w:r w:rsidRPr="00645DFF">
        <w:rPr>
          <w:rFonts w:ascii="Times New Roman" w:hAnsi="Times New Roman" w:cs="Times New Roman"/>
          <w:b/>
          <w:bCs/>
          <w:sz w:val="28"/>
          <w:szCs w:val="32"/>
        </w:rPr>
        <w:t>/X/</w:t>
      </w:r>
      <w:proofErr w:type="spellStart"/>
      <w:r w:rsidRPr="00645DFF">
        <w:rPr>
          <w:rFonts w:ascii="Times New Roman" w:hAnsi="Times New Roman" w:cs="Times New Roman"/>
          <w:b/>
          <w:bCs/>
          <w:sz w:val="28"/>
          <w:szCs w:val="32"/>
        </w:rPr>
        <w:t>CoFeB</w:t>
      </w:r>
      <w:proofErr w:type="spellEnd"/>
      <w:r w:rsidRPr="00645DFF">
        <w:rPr>
          <w:rFonts w:ascii="Times New Roman" w:hAnsi="Times New Roman" w:cs="Times New Roman"/>
          <w:b/>
          <w:bCs/>
          <w:sz w:val="28"/>
          <w:szCs w:val="32"/>
        </w:rPr>
        <w:t xml:space="preserve"> (X = Ge, </w:t>
      </w:r>
      <w:proofErr w:type="spellStart"/>
      <w:r w:rsidRPr="00645DFF">
        <w:rPr>
          <w:rFonts w:ascii="Times New Roman" w:hAnsi="Times New Roman" w:cs="Times New Roman"/>
          <w:b/>
          <w:bCs/>
          <w:sz w:val="28"/>
          <w:szCs w:val="32"/>
        </w:rPr>
        <w:t>NiAl</w:t>
      </w:r>
      <w:proofErr w:type="spellEnd"/>
      <w:r w:rsidRPr="00645DFF">
        <w:rPr>
          <w:rFonts w:ascii="Times New Roman" w:hAnsi="Times New Roman" w:cs="Times New Roman"/>
          <w:b/>
          <w:bCs/>
          <w:sz w:val="28"/>
          <w:szCs w:val="32"/>
        </w:rPr>
        <w:t xml:space="preserve">, </w:t>
      </w:r>
      <w:proofErr w:type="spellStart"/>
      <w:r w:rsidRPr="00645DFF">
        <w:rPr>
          <w:rFonts w:ascii="Times New Roman" w:hAnsi="Times New Roman" w:cs="Times New Roman"/>
          <w:b/>
          <w:bCs/>
          <w:sz w:val="28"/>
          <w:szCs w:val="32"/>
        </w:rPr>
        <w:t>NiFeGe</w:t>
      </w:r>
      <w:proofErr w:type="spellEnd"/>
      <w:r w:rsidRPr="00645DFF">
        <w:rPr>
          <w:rFonts w:ascii="Times New Roman" w:hAnsi="Times New Roman" w:cs="Times New Roman"/>
          <w:b/>
          <w:bCs/>
          <w:sz w:val="28"/>
          <w:szCs w:val="32"/>
        </w:rPr>
        <w:t>) topological heterostructures</w:t>
      </w:r>
    </w:p>
    <w:p w14:paraId="7315CBF5" w14:textId="68F4049D" w:rsidR="009A3CC6" w:rsidRPr="00645DFF" w:rsidRDefault="009A3CC6" w:rsidP="006F544E">
      <w:pPr>
        <w:pStyle w:val="11MSJAuthor"/>
        <w:spacing w:before="120"/>
        <w:jc w:val="both"/>
        <w:rPr>
          <w:vertAlign w:val="superscript"/>
        </w:rPr>
      </w:pPr>
      <w:r w:rsidRPr="00645DFF">
        <w:t>Rohiteswar Mondal,</w:t>
      </w:r>
      <w:r w:rsidR="009B3195" w:rsidRPr="00645DFF">
        <w:rPr>
          <w:vertAlign w:val="superscript"/>
        </w:rPr>
        <w:t>1,2</w:t>
      </w:r>
      <w:r w:rsidRPr="00645DFF">
        <w:t xml:space="preserve"> Zhenchao Wen,</w:t>
      </w:r>
      <w:r w:rsidR="009B3195" w:rsidRPr="00645DFF">
        <w:rPr>
          <w:vertAlign w:val="superscript"/>
        </w:rPr>
        <w:t>1</w:t>
      </w:r>
      <w:r w:rsidR="00D20AF0" w:rsidRPr="00645DFF">
        <w:rPr>
          <w:vertAlign w:val="superscript"/>
        </w:rPr>
        <w:t>*</w:t>
      </w:r>
      <w:r w:rsidRPr="00645DFF">
        <w:t xml:space="preserve"> Chandrasekhar Murapaka,</w:t>
      </w:r>
      <w:r w:rsidR="009B3195" w:rsidRPr="00645DFF">
        <w:rPr>
          <w:vertAlign w:val="superscript"/>
        </w:rPr>
        <w:t>2</w:t>
      </w:r>
      <w:r w:rsidRPr="00645DFF">
        <w:t xml:space="preserve"> </w:t>
      </w:r>
      <w:r w:rsidR="002F43A1" w:rsidRPr="00645DFF">
        <w:t>Seiji Mitani,</w:t>
      </w:r>
      <w:r w:rsidR="002F43A1" w:rsidRPr="00645DFF">
        <w:rPr>
          <w:vertAlign w:val="superscript"/>
        </w:rPr>
        <w:t>1</w:t>
      </w:r>
      <w:r w:rsidR="002F43A1" w:rsidRPr="00645DFF">
        <w:t xml:space="preserve"> H</w:t>
      </w:r>
      <w:r w:rsidRPr="00645DFF">
        <w:t>iroaki Sukegawa,</w:t>
      </w:r>
      <w:r w:rsidR="009B3195" w:rsidRPr="00645DFF">
        <w:rPr>
          <w:vertAlign w:val="superscript"/>
        </w:rPr>
        <w:t>1</w:t>
      </w:r>
      <w:r w:rsidR="006C32C5" w:rsidRPr="00645DFF">
        <w:t xml:space="preserve"> </w:t>
      </w:r>
      <w:r w:rsidRPr="00645DFF">
        <w:t>Quang Le,</w:t>
      </w:r>
      <w:r w:rsidR="009B3195" w:rsidRPr="00645DFF">
        <w:rPr>
          <w:vertAlign w:val="superscript"/>
        </w:rPr>
        <w:t>3</w:t>
      </w:r>
      <w:r w:rsidRPr="00645DFF">
        <w:t xml:space="preserve"> Xiaoyong Liu,</w:t>
      </w:r>
      <w:r w:rsidR="009B3195" w:rsidRPr="00645DFF">
        <w:rPr>
          <w:vertAlign w:val="superscript"/>
        </w:rPr>
        <w:t>3</w:t>
      </w:r>
      <w:r w:rsidRPr="00645DFF">
        <w:t xml:space="preserve"> Brian York,</w:t>
      </w:r>
      <w:r w:rsidR="009B3195" w:rsidRPr="00645DFF">
        <w:rPr>
          <w:vertAlign w:val="superscript"/>
        </w:rPr>
        <w:t>3</w:t>
      </w:r>
      <w:r w:rsidRPr="00645DFF">
        <w:t xml:space="preserve"> </w:t>
      </w:r>
      <w:r w:rsidR="002F43A1" w:rsidRPr="00645DFF">
        <w:t xml:space="preserve">and </w:t>
      </w:r>
      <w:r w:rsidRPr="00645DFF">
        <w:t>Maki Maeda</w:t>
      </w:r>
      <w:r w:rsidR="009537B3" w:rsidRPr="00645DFF">
        <w:rPr>
          <w:vertAlign w:val="superscript"/>
        </w:rPr>
        <w:t>4</w:t>
      </w:r>
    </w:p>
    <w:p w14:paraId="29FEA04F" w14:textId="77777777" w:rsidR="009B3195" w:rsidRPr="00645DFF" w:rsidRDefault="009B3195" w:rsidP="009A3CC6">
      <w:pPr>
        <w:pStyle w:val="11MSJAuthor"/>
      </w:pPr>
    </w:p>
    <w:p w14:paraId="263E79BB" w14:textId="77777777" w:rsidR="009A3CC6" w:rsidRPr="00645DFF" w:rsidRDefault="009A3CC6" w:rsidP="006F544E">
      <w:pPr>
        <w:pStyle w:val="12MSJAffiliation"/>
        <w:spacing w:afterLines="0" w:after="0"/>
        <w:jc w:val="both"/>
      </w:pPr>
      <w:r w:rsidRPr="00645DFF">
        <w:rPr>
          <w:vertAlign w:val="superscript"/>
        </w:rPr>
        <w:t>1</w:t>
      </w:r>
      <w:r w:rsidRPr="00645DFF">
        <w:t>National Institute for Materials Science (NIMS), Tsukuba 305-0047, Japan</w:t>
      </w:r>
    </w:p>
    <w:p w14:paraId="45D0BAFF" w14:textId="05D6E02D" w:rsidR="009A3CC6" w:rsidRPr="00645DFF" w:rsidRDefault="009A3CC6" w:rsidP="006F544E">
      <w:pPr>
        <w:pStyle w:val="12MSJAffiliation"/>
        <w:spacing w:afterLines="0" w:after="0"/>
        <w:jc w:val="both"/>
      </w:pPr>
      <w:r w:rsidRPr="00645DFF">
        <w:rPr>
          <w:vertAlign w:val="superscript"/>
        </w:rPr>
        <w:t>2</w:t>
      </w:r>
      <w:r w:rsidRPr="00645DFF">
        <w:t>Indian Institute of Technology Hyderabad, Telangana</w:t>
      </w:r>
      <w:r w:rsidR="00A80EA1" w:rsidRPr="00645DFF">
        <w:t xml:space="preserve"> 502284</w:t>
      </w:r>
      <w:r w:rsidRPr="00645DFF">
        <w:t>, India</w:t>
      </w:r>
    </w:p>
    <w:p w14:paraId="73A2AE16" w14:textId="4F201BC8" w:rsidR="009A3CC6" w:rsidRPr="00645DFF" w:rsidRDefault="009A3CC6" w:rsidP="006F544E">
      <w:pPr>
        <w:pStyle w:val="12MSJAffiliation"/>
        <w:spacing w:afterLines="0" w:after="0"/>
        <w:jc w:val="both"/>
      </w:pPr>
      <w:r w:rsidRPr="00645DFF">
        <w:rPr>
          <w:vertAlign w:val="superscript"/>
        </w:rPr>
        <w:t>3</w:t>
      </w:r>
      <w:r w:rsidRPr="00645DFF">
        <w:t xml:space="preserve">Western Digital, San Jose, California 95119, United States </w:t>
      </w:r>
    </w:p>
    <w:p w14:paraId="53454E71" w14:textId="11915707" w:rsidR="009537B3" w:rsidRPr="00645DFF" w:rsidRDefault="009537B3" w:rsidP="009537B3">
      <w:pPr>
        <w:pStyle w:val="12MSJAffiliation"/>
        <w:spacing w:afterLines="0" w:after="0"/>
        <w:jc w:val="both"/>
      </w:pPr>
      <w:r w:rsidRPr="00645DFF">
        <w:rPr>
          <w:vertAlign w:val="superscript"/>
        </w:rPr>
        <w:t>4</w:t>
      </w:r>
      <w:r w:rsidRPr="00645DFF">
        <w:t xml:space="preserve">Western Digital, Fujisawa 252-0888, Japan </w:t>
      </w:r>
    </w:p>
    <w:p w14:paraId="1CCF2EDB" w14:textId="77777777" w:rsidR="009537B3" w:rsidRPr="00645DFF" w:rsidRDefault="009537B3" w:rsidP="006F544E">
      <w:pPr>
        <w:pStyle w:val="12MSJAffiliation"/>
        <w:spacing w:afterLines="0" w:after="0"/>
        <w:jc w:val="both"/>
      </w:pPr>
    </w:p>
    <w:p w14:paraId="58D4EE1D" w14:textId="77777777" w:rsidR="009A3CC6" w:rsidRPr="00645DFF" w:rsidRDefault="009A3CC6" w:rsidP="00505101">
      <w:pPr>
        <w:spacing w:line="360" w:lineRule="auto"/>
        <w:rPr>
          <w:rFonts w:ascii="Times New Roman" w:eastAsia="DengXian" w:hAnsi="Times New Roman" w:cs="Times New Roman"/>
          <w:b/>
          <w:bCs/>
          <w:sz w:val="24"/>
          <w:szCs w:val="28"/>
          <w:lang w:eastAsia="zh-CN"/>
        </w:rPr>
      </w:pPr>
    </w:p>
    <w:p w14:paraId="16D0B4F1" w14:textId="6DC04B37" w:rsidR="009C6910" w:rsidRPr="00645DFF" w:rsidRDefault="009C6910" w:rsidP="00E926D1">
      <w:pPr>
        <w:spacing w:line="480" w:lineRule="auto"/>
        <w:rPr>
          <w:rFonts w:ascii="Times New Roman" w:hAnsi="Times New Roman" w:cs="Times New Roman"/>
          <w:b/>
          <w:bCs/>
          <w:sz w:val="22"/>
        </w:rPr>
      </w:pPr>
      <w:r w:rsidRPr="00645DFF">
        <w:rPr>
          <w:rFonts w:ascii="Times New Roman" w:hAnsi="Times New Roman" w:cs="Times New Roman"/>
          <w:b/>
          <w:bCs/>
          <w:sz w:val="22"/>
        </w:rPr>
        <w:t>A</w:t>
      </w:r>
      <w:r w:rsidR="008B01AA" w:rsidRPr="00645DFF">
        <w:rPr>
          <w:rFonts w:ascii="Times New Roman" w:hAnsi="Times New Roman" w:cs="Times New Roman"/>
          <w:b/>
          <w:bCs/>
          <w:sz w:val="22"/>
        </w:rPr>
        <w:t>BSTRACT</w:t>
      </w:r>
    </w:p>
    <w:p w14:paraId="7DD6BEC7" w14:textId="14BFC539" w:rsidR="00B83DAC" w:rsidRPr="00645DFF" w:rsidRDefault="00324904" w:rsidP="00E926D1">
      <w:pPr>
        <w:spacing w:line="480" w:lineRule="auto"/>
        <w:rPr>
          <w:rFonts w:ascii="Times New Roman" w:hAnsi="Times New Roman" w:cs="Times New Roman"/>
          <w:sz w:val="22"/>
        </w:rPr>
      </w:pPr>
      <w:r w:rsidRPr="00645DFF">
        <w:rPr>
          <w:rFonts w:ascii="Times New Roman" w:eastAsia="DengXian" w:hAnsi="Times New Roman" w:cs="Times New Roman"/>
          <w:sz w:val="22"/>
          <w:lang w:eastAsia="zh-CN"/>
        </w:rPr>
        <w:t>Interlayer engineering is crucial for achieving efficient spin–orbit torque (SOT) generation in topological insulator (TI)</w:t>
      </w:r>
      <w:r w:rsidRPr="00645DFF">
        <w:rPr>
          <w:rFonts w:ascii="Times New Roman" w:hAnsi="Times New Roman" w:cs="Times New Roman"/>
          <w:sz w:val="22"/>
        </w:rPr>
        <w:t>/ferromagnet</w:t>
      </w:r>
      <w:r w:rsidRPr="00645DFF">
        <w:rPr>
          <w:rFonts w:ascii="Times New Roman" w:eastAsia="DengXian" w:hAnsi="Times New Roman" w:cs="Times New Roman"/>
          <w:sz w:val="22"/>
          <w:lang w:eastAsia="zh-CN"/>
        </w:rPr>
        <w:t>–based heterostructures. In this work,</w:t>
      </w:r>
      <w:r w:rsidR="00B83DAC" w:rsidRPr="00645DFF">
        <w:rPr>
          <w:rFonts w:ascii="Times New Roman" w:eastAsia="DengXian" w:hAnsi="Times New Roman" w:cs="Times New Roman"/>
          <w:sz w:val="22"/>
          <w:lang w:eastAsia="zh-CN"/>
        </w:rPr>
        <w:t xml:space="preserve"> </w:t>
      </w:r>
      <w:r w:rsidR="00B83DAC" w:rsidRPr="00645DFF">
        <w:rPr>
          <w:rFonts w:ascii="Times New Roman" w:hAnsi="Times New Roman" w:cs="Times New Roman"/>
          <w:sz w:val="22"/>
        </w:rPr>
        <w:t>w</w:t>
      </w:r>
      <w:r w:rsidR="00B83DAC" w:rsidRPr="00645DFF">
        <w:rPr>
          <w:rFonts w:ascii="Times New Roman" w:eastAsia="DengXian" w:hAnsi="Times New Roman" w:cs="Times New Roman"/>
          <w:sz w:val="22"/>
          <w:lang w:eastAsia="zh-CN"/>
        </w:rPr>
        <w:t xml:space="preserve">e investigated the impact of </w:t>
      </w:r>
      <w:r w:rsidR="00A91302" w:rsidRPr="00645DFF">
        <w:rPr>
          <w:rFonts w:ascii="Times New Roman" w:eastAsia="DengXian" w:hAnsi="Times New Roman" w:cs="Times New Roman"/>
          <w:sz w:val="22"/>
          <w:lang w:eastAsia="zh-CN"/>
        </w:rPr>
        <w:t>semiconducting and intermetallic interlayers</w:t>
      </w:r>
      <w:r w:rsidR="00A91302" w:rsidRPr="00645DFF">
        <w:rPr>
          <w:rFonts w:ascii="Times New Roman" w:hAnsi="Times New Roman" w:cs="Times New Roman"/>
          <w:sz w:val="22"/>
        </w:rPr>
        <w:t xml:space="preserve">, i.e., </w:t>
      </w:r>
      <w:r w:rsidR="00B83DAC" w:rsidRPr="00645DFF">
        <w:rPr>
          <w:rFonts w:ascii="Times New Roman" w:eastAsia="DengXian" w:hAnsi="Times New Roman" w:cs="Times New Roman"/>
          <w:sz w:val="22"/>
          <w:lang w:eastAsia="zh-CN"/>
        </w:rPr>
        <w:t xml:space="preserve">Ge, </w:t>
      </w:r>
      <w:proofErr w:type="spellStart"/>
      <w:r w:rsidR="00B83DAC" w:rsidRPr="00645DFF">
        <w:rPr>
          <w:rFonts w:ascii="Times New Roman" w:eastAsia="DengXian" w:hAnsi="Times New Roman" w:cs="Times New Roman"/>
          <w:sz w:val="22"/>
          <w:lang w:eastAsia="zh-CN"/>
        </w:rPr>
        <w:t>NiAl</w:t>
      </w:r>
      <w:proofErr w:type="spellEnd"/>
      <w:r w:rsidR="00B83DAC" w:rsidRPr="00645DFF">
        <w:rPr>
          <w:rFonts w:ascii="Times New Roman" w:eastAsia="DengXian" w:hAnsi="Times New Roman" w:cs="Times New Roman"/>
          <w:sz w:val="22"/>
          <w:lang w:eastAsia="zh-CN"/>
        </w:rPr>
        <w:t xml:space="preserve">, and </w:t>
      </w:r>
      <w:proofErr w:type="spellStart"/>
      <w:r w:rsidR="00B83DAC" w:rsidRPr="00645DFF">
        <w:rPr>
          <w:rFonts w:ascii="Times New Roman" w:eastAsia="DengXian" w:hAnsi="Times New Roman" w:cs="Times New Roman"/>
          <w:sz w:val="22"/>
          <w:lang w:eastAsia="zh-CN"/>
        </w:rPr>
        <w:t>NiFeGe</w:t>
      </w:r>
      <w:proofErr w:type="spellEnd"/>
      <w:r w:rsidR="00B83DAC" w:rsidRPr="00645DFF">
        <w:rPr>
          <w:rFonts w:ascii="Times New Roman" w:eastAsia="DengXian" w:hAnsi="Times New Roman" w:cs="Times New Roman"/>
          <w:sz w:val="22"/>
          <w:lang w:eastAsia="zh-CN"/>
        </w:rPr>
        <w:t xml:space="preserve"> on SOT efficiency in </w:t>
      </w:r>
      <w:r w:rsidR="005A7C1B" w:rsidRPr="00645DFF">
        <w:rPr>
          <w:rFonts w:ascii="Times New Roman" w:eastAsia="DengXian" w:hAnsi="Times New Roman" w:cs="Times New Roman"/>
          <w:sz w:val="22"/>
          <w:lang w:eastAsia="zh-CN"/>
        </w:rPr>
        <w:t xml:space="preserve">topological </w:t>
      </w:r>
      <w:proofErr w:type="spellStart"/>
      <w:r w:rsidR="00B83DAC" w:rsidRPr="00645DFF">
        <w:rPr>
          <w:rFonts w:ascii="Times New Roman" w:eastAsia="DengXian" w:hAnsi="Times New Roman" w:cs="Times New Roman"/>
          <w:sz w:val="22"/>
          <w:lang w:eastAsia="zh-CN"/>
        </w:rPr>
        <w:t>BiSb</w:t>
      </w:r>
      <w:proofErr w:type="spellEnd"/>
      <w:r w:rsidR="00B83DAC" w:rsidRPr="00645DFF">
        <w:rPr>
          <w:rFonts w:ascii="Times New Roman" w:eastAsia="DengXian" w:hAnsi="Times New Roman" w:cs="Times New Roman"/>
          <w:sz w:val="22"/>
          <w:lang w:eastAsia="zh-CN"/>
        </w:rPr>
        <w:t>/</w:t>
      </w:r>
      <w:proofErr w:type="spellStart"/>
      <w:r w:rsidR="00B83DAC" w:rsidRPr="00645DFF">
        <w:rPr>
          <w:rFonts w:ascii="Times New Roman" w:eastAsia="DengXian" w:hAnsi="Times New Roman" w:cs="Times New Roman"/>
          <w:sz w:val="22"/>
          <w:lang w:eastAsia="zh-CN"/>
        </w:rPr>
        <w:t>CoFeB</w:t>
      </w:r>
      <w:proofErr w:type="spellEnd"/>
      <w:r w:rsidR="00B83DAC" w:rsidRPr="00645DFF">
        <w:rPr>
          <w:rFonts w:ascii="Times New Roman" w:eastAsia="DengXian" w:hAnsi="Times New Roman" w:cs="Times New Roman"/>
          <w:sz w:val="22"/>
          <w:lang w:eastAsia="zh-CN"/>
        </w:rPr>
        <w:t xml:space="preserve"> heterostructures. Through comprehensive structural and transport analyses, we demonstrate that the Ge interlayer significantly enhances the performance. The insertion of a 1 nm-thick Ge layer significantly improves the crystallinity and orientation of </w:t>
      </w:r>
      <w:proofErr w:type="spellStart"/>
      <w:r w:rsidR="00B83DAC" w:rsidRPr="00645DFF">
        <w:rPr>
          <w:rFonts w:ascii="Times New Roman" w:eastAsia="DengXian" w:hAnsi="Times New Roman" w:cs="Times New Roman"/>
          <w:sz w:val="22"/>
          <w:lang w:eastAsia="zh-CN"/>
        </w:rPr>
        <w:t>BiSb</w:t>
      </w:r>
      <w:proofErr w:type="spellEnd"/>
      <w:r w:rsidR="00B83DAC" w:rsidRPr="00645DFF">
        <w:rPr>
          <w:rFonts w:ascii="Times New Roman" w:eastAsia="DengXian" w:hAnsi="Times New Roman" w:cs="Times New Roman"/>
          <w:sz w:val="22"/>
          <w:lang w:eastAsia="zh-CN"/>
        </w:rPr>
        <w:t>, suppresses interfacial interdiffusion, and achieves a very low magnetic damping constant (</w:t>
      </w:r>
      <w:r w:rsidR="00B83DAC" w:rsidRPr="00645DFF">
        <w:rPr>
          <w:rFonts w:ascii="Times New Roman" w:eastAsia="DengXian" w:hAnsi="Times New Roman" w:cs="Times New Roman"/>
          <w:i/>
          <w:iCs/>
          <w:sz w:val="22"/>
          <w:lang w:eastAsia="zh-CN"/>
        </w:rPr>
        <w:t>α</w:t>
      </w:r>
      <w:r w:rsidR="00B83DAC" w:rsidRPr="00645DFF">
        <w:rPr>
          <w:rFonts w:ascii="Times New Roman" w:eastAsia="DengXian" w:hAnsi="Times New Roman" w:cs="Times New Roman"/>
          <w:sz w:val="22"/>
          <w:vertAlign w:val="subscript"/>
          <w:lang w:eastAsia="zh-CN"/>
        </w:rPr>
        <w:t>eff</w:t>
      </w:r>
      <w:r w:rsidR="00B83DAC" w:rsidRPr="00645DFF">
        <w:rPr>
          <w:rFonts w:ascii="Times New Roman" w:eastAsia="DengXian" w:hAnsi="Times New Roman" w:cs="Times New Roman"/>
          <w:sz w:val="22"/>
          <w:lang w:eastAsia="zh-CN"/>
        </w:rPr>
        <w:t xml:space="preserve"> ~ 0.006). The optimized </w:t>
      </w:r>
      <w:proofErr w:type="spellStart"/>
      <w:r w:rsidR="00B83DAC" w:rsidRPr="00645DFF">
        <w:rPr>
          <w:rFonts w:ascii="Times New Roman" w:eastAsia="DengXian" w:hAnsi="Times New Roman" w:cs="Times New Roman"/>
          <w:sz w:val="22"/>
          <w:lang w:eastAsia="zh-CN"/>
        </w:rPr>
        <w:t>BiSb</w:t>
      </w:r>
      <w:proofErr w:type="spellEnd"/>
      <w:r w:rsidR="00B83DAC" w:rsidRPr="00645DFF">
        <w:rPr>
          <w:rFonts w:ascii="Times New Roman" w:eastAsia="DengXian" w:hAnsi="Times New Roman" w:cs="Times New Roman"/>
          <w:sz w:val="22"/>
          <w:lang w:eastAsia="zh-CN"/>
        </w:rPr>
        <w:t>/Ge/</w:t>
      </w:r>
      <w:proofErr w:type="spellStart"/>
      <w:r w:rsidR="00B83DAC" w:rsidRPr="00645DFF">
        <w:rPr>
          <w:rFonts w:ascii="Times New Roman" w:eastAsia="DengXian" w:hAnsi="Times New Roman" w:cs="Times New Roman"/>
          <w:sz w:val="22"/>
          <w:lang w:eastAsia="zh-CN"/>
        </w:rPr>
        <w:t>CoFeB</w:t>
      </w:r>
      <w:proofErr w:type="spellEnd"/>
      <w:r w:rsidR="00B83DAC" w:rsidRPr="00645DFF">
        <w:rPr>
          <w:rFonts w:ascii="Times New Roman" w:eastAsia="DengXian" w:hAnsi="Times New Roman" w:cs="Times New Roman"/>
          <w:sz w:val="22"/>
          <w:lang w:eastAsia="zh-CN"/>
        </w:rPr>
        <w:t xml:space="preserve"> structure exhibits a</w:t>
      </w:r>
      <w:r w:rsidR="00800099" w:rsidRPr="00645DFF">
        <w:rPr>
          <w:rFonts w:ascii="Times New Roman" w:eastAsia="DengXian" w:hAnsi="Times New Roman" w:cs="Times New Roman"/>
          <w:sz w:val="22"/>
          <w:lang w:eastAsia="zh-CN"/>
        </w:rPr>
        <w:t>n enhanced</w:t>
      </w:r>
      <w:r w:rsidR="00B83DAC" w:rsidRPr="00645DFF">
        <w:rPr>
          <w:rFonts w:ascii="Times New Roman" w:eastAsia="DengXian" w:hAnsi="Times New Roman" w:cs="Times New Roman"/>
          <w:sz w:val="22"/>
          <w:lang w:eastAsia="zh-CN"/>
        </w:rPr>
        <w:t xml:space="preserve"> SOT efficiency of ~50%, surpassing the performance of heterostructures </w:t>
      </w:r>
      <w:r w:rsidR="00800099" w:rsidRPr="00645DFF">
        <w:rPr>
          <w:rFonts w:ascii="Times New Roman" w:eastAsia="DengXian" w:hAnsi="Times New Roman" w:cs="Times New Roman"/>
          <w:sz w:val="22"/>
          <w:lang w:eastAsia="zh-CN"/>
        </w:rPr>
        <w:t xml:space="preserve">without </w:t>
      </w:r>
      <w:r w:rsidR="00F13197" w:rsidRPr="00645DFF">
        <w:rPr>
          <w:rFonts w:ascii="Times New Roman" w:eastAsia="DengXian" w:hAnsi="Times New Roman" w:cs="Times New Roman"/>
          <w:sz w:val="22"/>
          <w:lang w:eastAsia="zh-CN"/>
        </w:rPr>
        <w:t xml:space="preserve">an </w:t>
      </w:r>
      <w:r w:rsidR="00800099" w:rsidRPr="00645DFF">
        <w:rPr>
          <w:rFonts w:ascii="Times New Roman" w:eastAsia="DengXian" w:hAnsi="Times New Roman" w:cs="Times New Roman"/>
          <w:sz w:val="22"/>
          <w:lang w:eastAsia="zh-CN"/>
        </w:rPr>
        <w:t>interlayer</w:t>
      </w:r>
      <w:r w:rsidR="00690ADA" w:rsidRPr="00645DFF">
        <w:rPr>
          <w:rFonts w:ascii="Times New Roman" w:eastAsia="DengXian" w:hAnsi="Times New Roman" w:cs="Times New Roman"/>
          <w:sz w:val="22"/>
          <w:lang w:eastAsia="zh-CN"/>
        </w:rPr>
        <w:t xml:space="preserve">, as well as </w:t>
      </w:r>
      <w:r w:rsidR="00F13197" w:rsidRPr="00645DFF">
        <w:rPr>
          <w:rFonts w:ascii="Times New Roman" w:eastAsia="DengXian" w:hAnsi="Times New Roman" w:cs="Times New Roman"/>
          <w:sz w:val="22"/>
          <w:lang w:eastAsia="zh-CN"/>
        </w:rPr>
        <w:t xml:space="preserve">those </w:t>
      </w:r>
      <w:r w:rsidR="00B83DAC" w:rsidRPr="00645DFF">
        <w:rPr>
          <w:rFonts w:ascii="Times New Roman" w:eastAsia="DengXian" w:hAnsi="Times New Roman" w:cs="Times New Roman"/>
          <w:sz w:val="22"/>
          <w:lang w:eastAsia="zh-CN"/>
        </w:rPr>
        <w:t xml:space="preserve">with </w:t>
      </w:r>
      <w:proofErr w:type="spellStart"/>
      <w:r w:rsidR="00B83DAC" w:rsidRPr="00645DFF">
        <w:rPr>
          <w:rFonts w:ascii="Times New Roman" w:eastAsia="DengXian" w:hAnsi="Times New Roman" w:cs="Times New Roman"/>
          <w:sz w:val="22"/>
          <w:lang w:eastAsia="zh-CN"/>
        </w:rPr>
        <w:t>NiAl</w:t>
      </w:r>
      <w:proofErr w:type="spellEnd"/>
      <w:r w:rsidR="00B83DAC" w:rsidRPr="00645DFF">
        <w:rPr>
          <w:rFonts w:ascii="Times New Roman" w:eastAsia="DengXian" w:hAnsi="Times New Roman" w:cs="Times New Roman"/>
          <w:sz w:val="22"/>
          <w:lang w:eastAsia="zh-CN"/>
        </w:rPr>
        <w:t xml:space="preserve"> or </w:t>
      </w:r>
      <w:proofErr w:type="spellStart"/>
      <w:r w:rsidR="00B83DAC" w:rsidRPr="00645DFF">
        <w:rPr>
          <w:rFonts w:ascii="Times New Roman" w:eastAsia="DengXian" w:hAnsi="Times New Roman" w:cs="Times New Roman"/>
          <w:sz w:val="22"/>
          <w:lang w:eastAsia="zh-CN"/>
        </w:rPr>
        <w:t>NiFeGe</w:t>
      </w:r>
      <w:proofErr w:type="spellEnd"/>
      <w:r w:rsidR="00B83DAC" w:rsidRPr="00645DFF">
        <w:rPr>
          <w:rFonts w:ascii="Times New Roman" w:eastAsia="DengXian" w:hAnsi="Times New Roman" w:cs="Times New Roman"/>
          <w:sz w:val="22"/>
          <w:lang w:eastAsia="zh-CN"/>
        </w:rPr>
        <w:t xml:space="preserve"> interlayers, which suffer from higher damping or reduced efficiency.</w:t>
      </w:r>
      <w:r w:rsidR="00B83DAC" w:rsidRPr="00645DFF">
        <w:rPr>
          <w:rFonts w:ascii="Times New Roman" w:hAnsi="Times New Roman" w:cs="Times New Roman"/>
          <w:sz w:val="22"/>
        </w:rPr>
        <w:t xml:space="preserve"> Furthermore, we revealed that Ge thickness critically influences interfacial transparency, with excessive thickness degrading SOT efficiency.</w:t>
      </w:r>
      <w:r w:rsidR="00B83DAC" w:rsidRPr="00645DFF">
        <w:rPr>
          <w:rFonts w:ascii="Times New Roman" w:eastAsia="DengXian" w:hAnsi="Times New Roman" w:cs="Times New Roman"/>
          <w:sz w:val="22"/>
          <w:lang w:eastAsia="zh-CN"/>
        </w:rPr>
        <w:t xml:space="preserve"> These findings establish Ge as an optimum interlayer material and </w:t>
      </w:r>
      <w:r w:rsidR="00B83DAC" w:rsidRPr="00645DFF">
        <w:rPr>
          <w:rFonts w:ascii="Times New Roman" w:hAnsi="Times New Roman" w:cs="Times New Roman"/>
          <w:sz w:val="22"/>
        </w:rPr>
        <w:t>indicate</w:t>
      </w:r>
      <w:r w:rsidR="00B83DAC" w:rsidRPr="00645DFF">
        <w:rPr>
          <w:rFonts w:ascii="Times New Roman" w:eastAsia="DengXian" w:hAnsi="Times New Roman" w:cs="Times New Roman"/>
          <w:sz w:val="22"/>
          <w:lang w:eastAsia="zh-CN"/>
        </w:rPr>
        <w:t xml:space="preserve"> the importance of precise interface engineering to maximize</w:t>
      </w:r>
      <w:r w:rsidR="00B83DAC" w:rsidRPr="00645DFF">
        <w:rPr>
          <w:rFonts w:ascii="Times New Roman" w:hAnsi="Times New Roman" w:cs="Times New Roman"/>
          <w:sz w:val="22"/>
        </w:rPr>
        <w:t xml:space="preserve"> </w:t>
      </w:r>
      <w:r w:rsidR="00B83DAC" w:rsidRPr="00645DFF">
        <w:rPr>
          <w:rFonts w:ascii="Times New Roman" w:eastAsia="DengXian" w:hAnsi="Times New Roman" w:cs="Times New Roman"/>
          <w:sz w:val="22"/>
          <w:lang w:eastAsia="zh-CN"/>
        </w:rPr>
        <w:t>charge</w:t>
      </w:r>
      <w:r w:rsidR="00B83DAC" w:rsidRPr="00645DFF">
        <w:rPr>
          <w:rFonts w:ascii="Times New Roman" w:hAnsi="Times New Roman" w:cs="Times New Roman"/>
          <w:sz w:val="22"/>
        </w:rPr>
        <w:t>-</w:t>
      </w:r>
      <w:r w:rsidR="00B83DAC" w:rsidRPr="00645DFF">
        <w:rPr>
          <w:rFonts w:ascii="Times New Roman" w:eastAsia="DengXian" w:hAnsi="Times New Roman" w:cs="Times New Roman"/>
          <w:sz w:val="22"/>
          <w:lang w:eastAsia="zh-CN"/>
        </w:rPr>
        <w:t xml:space="preserve">spin conversion in </w:t>
      </w:r>
      <w:r w:rsidR="00494652" w:rsidRPr="00645DFF">
        <w:rPr>
          <w:rFonts w:ascii="Times New Roman" w:eastAsia="DengXian" w:hAnsi="Times New Roman" w:cs="Times New Roman"/>
          <w:sz w:val="22"/>
          <w:lang w:eastAsia="zh-CN"/>
        </w:rPr>
        <w:t>TI</w:t>
      </w:r>
      <w:r w:rsidR="00B83DAC" w:rsidRPr="00645DFF">
        <w:rPr>
          <w:rFonts w:ascii="Times New Roman" w:eastAsia="DengXian" w:hAnsi="Times New Roman" w:cs="Times New Roman"/>
          <w:sz w:val="22"/>
          <w:lang w:eastAsia="zh-CN"/>
        </w:rPr>
        <w:t>-based spintronic devices, paving the way for next-generation energy-efficient technologies.</w:t>
      </w:r>
    </w:p>
    <w:p w14:paraId="17309320" w14:textId="67708395" w:rsidR="00262C50" w:rsidRPr="00645DFF" w:rsidRDefault="00262C50" w:rsidP="00E926D1">
      <w:pPr>
        <w:spacing w:line="480" w:lineRule="auto"/>
        <w:rPr>
          <w:rFonts w:ascii="Times New Roman" w:eastAsia="DengXian" w:hAnsi="Times New Roman" w:cs="Times New Roman"/>
          <w:sz w:val="22"/>
          <w:lang w:eastAsia="zh-CN"/>
        </w:rPr>
      </w:pPr>
    </w:p>
    <w:p w14:paraId="182E27C9" w14:textId="77777777" w:rsidR="00262C50" w:rsidRPr="00645DFF" w:rsidRDefault="00262C50" w:rsidP="00E926D1">
      <w:pPr>
        <w:spacing w:line="480" w:lineRule="auto"/>
        <w:rPr>
          <w:rFonts w:ascii="Times New Roman" w:eastAsia="DengXian" w:hAnsi="Times New Roman" w:cs="Times New Roman"/>
          <w:sz w:val="22"/>
          <w:lang w:eastAsia="zh-CN"/>
        </w:rPr>
      </w:pPr>
    </w:p>
    <w:p w14:paraId="18CFF3E7" w14:textId="2595A40F" w:rsidR="00AE3B52" w:rsidRPr="00645DFF" w:rsidRDefault="00AE3B52" w:rsidP="00E926D1">
      <w:pPr>
        <w:spacing w:line="480" w:lineRule="auto"/>
        <w:rPr>
          <w:rFonts w:ascii="Times New Roman" w:hAnsi="Times New Roman" w:cs="Times New Roman"/>
          <w:b/>
          <w:bCs/>
          <w:sz w:val="22"/>
        </w:rPr>
      </w:pPr>
      <w:r w:rsidRPr="00645DFF">
        <w:rPr>
          <w:rFonts w:ascii="Times New Roman" w:hAnsi="Times New Roman" w:cs="Times New Roman"/>
          <w:b/>
          <w:bCs/>
          <w:sz w:val="22"/>
        </w:rPr>
        <w:t xml:space="preserve">Keywords: </w:t>
      </w:r>
      <w:r w:rsidR="00F776A9" w:rsidRPr="00645DFF">
        <w:rPr>
          <w:rFonts w:ascii="Times New Roman" w:hAnsi="Times New Roman" w:cs="Times New Roman"/>
          <w:sz w:val="22"/>
        </w:rPr>
        <w:t xml:space="preserve">topological insulator, spin–orbit torque, interlayer engineering, </w:t>
      </w:r>
      <w:proofErr w:type="spellStart"/>
      <w:r w:rsidR="00F776A9" w:rsidRPr="00645DFF">
        <w:rPr>
          <w:rFonts w:ascii="Times New Roman" w:hAnsi="Times New Roman" w:cs="Times New Roman"/>
          <w:sz w:val="22"/>
        </w:rPr>
        <w:t>BiSb</w:t>
      </w:r>
      <w:proofErr w:type="spellEnd"/>
      <w:r w:rsidR="00F776A9" w:rsidRPr="00645DFF">
        <w:rPr>
          <w:rFonts w:ascii="Times New Roman" w:hAnsi="Times New Roman" w:cs="Times New Roman"/>
          <w:sz w:val="22"/>
        </w:rPr>
        <w:t>, Ge interlayer</w:t>
      </w:r>
      <w:r w:rsidR="00F776A9" w:rsidRPr="00645DFF">
        <w:rPr>
          <w:rFonts w:ascii="Times New Roman" w:hAnsi="Times New Roman" w:cs="Times New Roman"/>
          <w:b/>
          <w:bCs/>
          <w:sz w:val="22"/>
        </w:rPr>
        <w:t xml:space="preserve"> </w:t>
      </w:r>
    </w:p>
    <w:p w14:paraId="2C4D0105" w14:textId="77777777" w:rsidR="006D09F9" w:rsidRPr="00645DFF" w:rsidRDefault="006D09F9" w:rsidP="00E926D1">
      <w:pPr>
        <w:spacing w:line="480" w:lineRule="auto"/>
        <w:rPr>
          <w:rFonts w:ascii="Times New Roman" w:hAnsi="Times New Roman" w:cs="Times New Roman"/>
          <w:b/>
          <w:bCs/>
          <w:sz w:val="22"/>
        </w:rPr>
      </w:pPr>
    </w:p>
    <w:p w14:paraId="71FB3FC3" w14:textId="51687E02" w:rsidR="00D20AF0" w:rsidRPr="00645DFF" w:rsidRDefault="00D20AF0" w:rsidP="00E926D1">
      <w:pPr>
        <w:spacing w:line="480" w:lineRule="auto"/>
        <w:rPr>
          <w:rFonts w:ascii="Times New Roman" w:hAnsi="Times New Roman" w:cs="Times New Roman"/>
          <w:sz w:val="22"/>
        </w:rPr>
      </w:pPr>
      <w:r w:rsidRPr="00645DFF">
        <w:rPr>
          <w:rFonts w:ascii="Times New Roman" w:hAnsi="Times New Roman" w:cs="Times New Roman"/>
          <w:sz w:val="22"/>
        </w:rPr>
        <w:t>*</w:t>
      </w:r>
      <w:r w:rsidR="001D712D" w:rsidRPr="00645DFF">
        <w:rPr>
          <w:rFonts w:ascii="Times New Roman" w:hAnsi="Times New Roman" w:cs="Times New Roman"/>
          <w:sz w:val="22"/>
        </w:rPr>
        <w:t xml:space="preserve">Corresponding author: </w:t>
      </w:r>
      <w:r w:rsidRPr="00645DFF">
        <w:rPr>
          <w:rFonts w:ascii="Times New Roman" w:hAnsi="Times New Roman" w:cs="Times New Roman"/>
          <w:sz w:val="22"/>
        </w:rPr>
        <w:t>Wen.Zhenchao@nims.go.jp</w:t>
      </w:r>
    </w:p>
    <w:p w14:paraId="498F37E2" w14:textId="77777777" w:rsidR="006D09F9" w:rsidRPr="00645DFF" w:rsidRDefault="006D09F9" w:rsidP="00FD4341">
      <w:pPr>
        <w:spacing w:line="360" w:lineRule="auto"/>
        <w:rPr>
          <w:rFonts w:ascii="Times New Roman" w:hAnsi="Times New Roman" w:cs="Times New Roman"/>
          <w:b/>
          <w:bCs/>
          <w:sz w:val="22"/>
        </w:rPr>
      </w:pPr>
    </w:p>
    <w:p w14:paraId="69502539" w14:textId="44978586" w:rsidR="00505101" w:rsidRPr="00645DFF" w:rsidRDefault="00FD4341" w:rsidP="00FD4341">
      <w:pPr>
        <w:widowControl/>
        <w:spacing w:after="160" w:line="259" w:lineRule="auto"/>
        <w:jc w:val="left"/>
        <w:rPr>
          <w:rFonts w:ascii="Times New Roman" w:hAnsi="Times New Roman" w:cs="Times New Roman"/>
          <w:sz w:val="22"/>
        </w:rPr>
      </w:pPr>
      <w:r w:rsidRPr="00645DFF">
        <w:rPr>
          <w:rFonts w:ascii="Times New Roman" w:hAnsi="Times New Roman" w:cs="Times New Roman"/>
          <w:sz w:val="22"/>
        </w:rPr>
        <w:br w:type="page"/>
      </w:r>
    </w:p>
    <w:p w14:paraId="64B5AF43" w14:textId="65B4CFC4" w:rsidR="00AC4542" w:rsidRPr="00645DFF" w:rsidRDefault="00AC4542" w:rsidP="00AC4542">
      <w:pPr>
        <w:spacing w:line="480" w:lineRule="auto"/>
        <w:rPr>
          <w:rFonts w:ascii="Times New Roman" w:hAnsi="Times New Roman" w:cs="Times New Roman"/>
          <w:b/>
          <w:bCs/>
          <w:sz w:val="22"/>
        </w:rPr>
      </w:pPr>
      <w:r w:rsidRPr="00645DFF">
        <w:rPr>
          <w:rFonts w:ascii="Times New Roman" w:hAnsi="Times New Roman" w:cs="Times New Roman"/>
          <w:b/>
          <w:bCs/>
          <w:sz w:val="22"/>
        </w:rPr>
        <w:lastRenderedPageBreak/>
        <w:t>I. INTRODUCTION</w:t>
      </w:r>
    </w:p>
    <w:p w14:paraId="5E1C7DA1" w14:textId="0D3FD406" w:rsidR="00355479" w:rsidRPr="00645DFF" w:rsidRDefault="001D183F"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t>The discovery of topological insulators (TIs) has profoun</w:t>
      </w:r>
      <w:r w:rsidR="007F0BCC" w:rsidRPr="00645DFF">
        <w:rPr>
          <w:rFonts w:ascii="Times New Roman" w:hAnsi="Times New Roman" w:cs="Times New Roman"/>
          <w:sz w:val="22"/>
        </w:rPr>
        <w:t xml:space="preserve">dly advanced </w:t>
      </w:r>
      <w:r w:rsidR="00043CF3" w:rsidRPr="00645DFF">
        <w:rPr>
          <w:rFonts w:ascii="Times New Roman" w:hAnsi="Times New Roman" w:cs="Times New Roman"/>
          <w:sz w:val="22"/>
        </w:rPr>
        <w:t xml:space="preserve">the field of </w:t>
      </w:r>
      <w:r w:rsidRPr="00645DFF">
        <w:rPr>
          <w:rFonts w:ascii="Times New Roman" w:hAnsi="Times New Roman" w:cs="Times New Roman"/>
          <w:sz w:val="22"/>
        </w:rPr>
        <w:t>condensed matter physics by establishing a</w:t>
      </w:r>
      <w:r w:rsidR="007F0BCC" w:rsidRPr="00645DFF">
        <w:rPr>
          <w:rFonts w:ascii="Times New Roman" w:hAnsi="Times New Roman" w:cs="Times New Roman"/>
          <w:sz w:val="22"/>
        </w:rPr>
        <w:t>n exotic</w:t>
      </w:r>
      <w:r w:rsidRPr="00645DFF">
        <w:rPr>
          <w:rFonts w:ascii="Times New Roman" w:hAnsi="Times New Roman" w:cs="Times New Roman"/>
          <w:sz w:val="22"/>
        </w:rPr>
        <w:t xml:space="preserve"> quantum phase of matter </w:t>
      </w:r>
      <w:r w:rsidR="002D1257" w:rsidRPr="00645DFF">
        <w:rPr>
          <w:rFonts w:ascii="Times New Roman" w:hAnsi="Times New Roman" w:cs="Times New Roman"/>
          <w:sz w:val="22"/>
        </w:rPr>
        <w:t xml:space="preserve">featuring </w:t>
      </w:r>
      <w:r w:rsidR="007F0BCC" w:rsidRPr="00645DFF">
        <w:rPr>
          <w:rFonts w:ascii="Times New Roman" w:hAnsi="Times New Roman" w:cs="Times New Roman"/>
          <w:sz w:val="22"/>
        </w:rPr>
        <w:t xml:space="preserve">topologically protected gapless surface states and </w:t>
      </w:r>
      <w:r w:rsidRPr="00645DFF">
        <w:rPr>
          <w:rFonts w:ascii="Times New Roman" w:hAnsi="Times New Roman" w:cs="Times New Roman"/>
          <w:sz w:val="22"/>
        </w:rPr>
        <w:t>a</w:t>
      </w:r>
      <w:r w:rsidR="007F0BCC" w:rsidRPr="00645DFF">
        <w:rPr>
          <w:rFonts w:ascii="Times New Roman" w:hAnsi="Times New Roman" w:cs="Times New Roman"/>
          <w:sz w:val="22"/>
        </w:rPr>
        <w:t xml:space="preserve">n insulating </w:t>
      </w:r>
      <w:r w:rsidRPr="00645DFF">
        <w:rPr>
          <w:rFonts w:ascii="Times New Roman" w:hAnsi="Times New Roman" w:cs="Times New Roman"/>
          <w:sz w:val="22"/>
        </w:rPr>
        <w:t xml:space="preserve">bulk </w:t>
      </w:r>
      <w:r w:rsidR="007F0BCC" w:rsidRPr="00645DFF">
        <w:rPr>
          <w:rFonts w:ascii="Times New Roman" w:hAnsi="Times New Roman" w:cs="Times New Roman"/>
          <w:sz w:val="22"/>
        </w:rPr>
        <w:t>state.</w:t>
      </w:r>
      <w:r w:rsidR="005C1866" w:rsidRPr="00645DFF">
        <w:rPr>
          <w:rFonts w:ascii="Times New Roman" w:hAnsi="Times New Roman" w:cs="Times New Roman"/>
          <w:sz w:val="22"/>
        </w:rPr>
        <w:fldChar w:fldCharType="begin"/>
      </w:r>
      <w:r w:rsidR="007A601F" w:rsidRPr="00645DFF">
        <w:rPr>
          <w:rFonts w:ascii="Times New Roman" w:hAnsi="Times New Roman" w:cs="Times New Roman"/>
          <w:sz w:val="22"/>
        </w:rPr>
        <w:instrText xml:space="preserve"> ADDIN ZOTERO_ITEM CSL_CITATION {"citationID":"cx1e0YYc","properties":{"unsorted":false,"formattedCitation":"\\super 1,2\\nosupersub{}","plainCitation":"1,2","noteIndex":0},"citationItems":[{"id":7009,"uris":["http://zotero.org/users/2200358/items/3D3EGEQ3"],"itemData":{"id":7009,"type":"article-journal","container-title":"Reviews of Modern Physics","DOI":"10.1103/RevModPhys.82.3045","ISSN":"0034-6861, 1539-0756","issue":"4","journalAbbreviation":"Rev. Mod. Phys.","language":"en","license":"http://link.aps.org/licenses/aps-default-license","page":"3045","source":"DOI.org (Crossref)","title":"&lt;i&gt;Colloquium&lt;/i&gt; : Topological insulators","title-short":"&lt;i&gt;Colloquium&lt;/i&gt;","URL":"https://link.aps.org/doi/10.1103/RevModPhys.82.3045","volume":"82","author":[{"family":"Hasan","given":"M. Z."},{"family":"Kane","given":"C. L."}],"accessed":{"date-parts":[["2026",3,19]]},"issued":{"date-parts":[["2010",11,8]]}}},{"id":6646,"uris":["http://zotero.org/users/2200358/items/R5JN9NK9"],"itemData":{"id":6646,"type":"article-journal","abstract":"Topological insulators are materials with a bulk excitation gap generated by the spin-orbit interaction that are different from conventional insulators. This distinction is characterized by Z2 topological invariants, which characterize the ground state. In two dimensions, there is a single Z2 invariant that distinguishes the ordinary insulator from the quantum spin-Hall phase. In three dimensions, there are four Z2 invariants that distinguish the ordinary insulator from “weak” and “strong” topological insulators. These phases are characterized by the presence of gapless surface (or edge) states. In the two-dimensional quantum spin-Hall phase and the three-dimensional strong topological insulator, these states are robust and are insensitive to weak disorder and interactions. In this paper, we show that the presence of inversion symmetry greatly simplifies the problem of evaluating the Z2 invariants. We show that the invariants can be determined from the knowledge of the parity of the occupied Bloch wave functions at the time-reversal invariant points in the Brillouin zone. Using this approach, we predict a number of specific materials that are strong topological insulators, including the semiconducting alloy Bi1−xSbx as well as α−Sn and HgTe under uniaxial strain. This paper also includes an expanded discussion of our formulation of the topological insulators in both two and three dimensions, as well as implications for experiments., This article appears in the following collection:","container-title":"Physical Review B","DOI":"10.1103/PhysRevB.76.045302","issue":"4","journalAbbreviation":"Phys. Rev. B","page":"045302","publisher":"American Physical Society","source":"APS","title":"Topological insulators with inversion symmetry","URL":"https://link.aps.org/doi/10.1103/PhysRevB.76.045302","volume":"76","author":[{"family":"Fu","given":"Liang"},{"family":"Kane","given":"C. L."}],"accessed":{"date-parts":[["2024",4,11]]},"issued":{"date-parts":[["2007",7,2]]}}}],"schema":"https://github.com/citation-style-language/schema/raw/master/csl-citation.json"} </w:instrText>
      </w:r>
      <w:r w:rsidR="005C1866" w:rsidRPr="00645DFF">
        <w:rPr>
          <w:rFonts w:ascii="Times New Roman" w:hAnsi="Times New Roman" w:cs="Times New Roman"/>
          <w:sz w:val="22"/>
        </w:rPr>
        <w:fldChar w:fldCharType="separate"/>
      </w:r>
      <w:r w:rsidR="007A601F" w:rsidRPr="00645DFF">
        <w:rPr>
          <w:rFonts w:ascii="Times New Roman" w:hAnsi="Times New Roman" w:cs="Times New Roman"/>
          <w:kern w:val="0"/>
          <w:sz w:val="22"/>
          <w:vertAlign w:val="superscript"/>
        </w:rPr>
        <w:t>1,2</w:t>
      </w:r>
      <w:r w:rsidR="005C1866" w:rsidRPr="00645DFF">
        <w:rPr>
          <w:rFonts w:ascii="Times New Roman" w:hAnsi="Times New Roman" w:cs="Times New Roman"/>
          <w:sz w:val="22"/>
        </w:rPr>
        <w:fldChar w:fldCharType="end"/>
      </w:r>
      <w:r w:rsidR="00573AC5" w:rsidRPr="00645DFF">
        <w:rPr>
          <w:rFonts w:ascii="Times New Roman" w:hAnsi="Times New Roman" w:cs="Times New Roman"/>
          <w:sz w:val="22"/>
        </w:rPr>
        <w:t xml:space="preserve"> </w:t>
      </w:r>
      <w:r w:rsidRPr="00645DFF">
        <w:rPr>
          <w:rFonts w:ascii="Times New Roman" w:hAnsi="Times New Roman" w:cs="Times New Roman"/>
          <w:sz w:val="22"/>
        </w:rPr>
        <w:t>The</w:t>
      </w:r>
      <w:r w:rsidR="009A79DF" w:rsidRPr="00645DFF">
        <w:rPr>
          <w:rFonts w:ascii="Times New Roman" w:hAnsi="Times New Roman" w:cs="Times New Roman"/>
          <w:sz w:val="22"/>
        </w:rPr>
        <w:t xml:space="preserve"> topological </w:t>
      </w:r>
      <w:r w:rsidRPr="00645DFF">
        <w:rPr>
          <w:rFonts w:ascii="Times New Roman" w:hAnsi="Times New Roman" w:cs="Times New Roman"/>
          <w:sz w:val="22"/>
        </w:rPr>
        <w:t xml:space="preserve">surface states, exhibiting spin-momentum locking and described by massless Dirac fermions, enable </w:t>
      </w:r>
      <w:proofErr w:type="spellStart"/>
      <w:r w:rsidRPr="00645DFF">
        <w:rPr>
          <w:rFonts w:ascii="Times New Roman" w:hAnsi="Times New Roman" w:cs="Times New Roman"/>
          <w:sz w:val="22"/>
        </w:rPr>
        <w:t>dissipationless</w:t>
      </w:r>
      <w:proofErr w:type="spellEnd"/>
      <w:r w:rsidRPr="00645DFF">
        <w:rPr>
          <w:rFonts w:ascii="Times New Roman" w:hAnsi="Times New Roman" w:cs="Times New Roman"/>
          <w:sz w:val="22"/>
        </w:rPr>
        <w:t xml:space="preserve"> spin transport, making TIs particularly appealing for applications in spintronics and low-power </w:t>
      </w:r>
      <w:r w:rsidR="000B535C" w:rsidRPr="00645DFF">
        <w:rPr>
          <w:rFonts w:ascii="Times New Roman" w:hAnsi="Times New Roman" w:cs="Times New Roman"/>
          <w:sz w:val="22"/>
        </w:rPr>
        <w:t>nanoelectronics</w:t>
      </w:r>
      <w:r w:rsidRPr="00645DFF">
        <w:rPr>
          <w:rFonts w:ascii="Times New Roman" w:hAnsi="Times New Roman" w:cs="Times New Roman"/>
          <w:sz w:val="22"/>
        </w:rPr>
        <w:t xml:space="preserve"> devices</w:t>
      </w:r>
      <w:r w:rsidR="009A79DF" w:rsidRPr="00645DFF">
        <w:rPr>
          <w:rFonts w:ascii="Times New Roman" w:hAnsi="Times New Roman" w:cs="Times New Roman"/>
          <w:sz w:val="22"/>
        </w:rPr>
        <w:t>.</w:t>
      </w:r>
      <w:r w:rsidR="00E31F29"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{"citationID":"gSJP7NVK","properties":{"unsorted":true,"formattedCitation":"\\super 3\\uc0\\u8211{}6\\nosupersub{}","plainCitation":"3–6","noteIndex":0},"citationItems":[{"id":6424,"uris":["http://zotero.org/users/2200358/items/DTVCDKAA"],"itemData":{"id":6424,"type":"article-journal","abstract":"Topological insulator surfaces support metallic surface states with closed Fermi contours, encircling an odd number of Dirac points. Experimental studies have so far concentrated on surfaces with only one Dirac point, but three Dirac points can be expected for certain surface orientations of several topological insulator materials. Here we experimentally realize the Bi1−xSbx(110) surface for which an electronic structure with three Dirac points has been predicted (Teo et al 2008 Phys. Rev. B 78 045426), in contrast to the closed-packed (111) surface of the same material that supports only one Dirac point. We study the electronic structure of Bi1−xSbx(110) with angle-resolved photoemission and tight-binding calculations. We observe several metallic surface states, confirming not only the expectation that a topological insulator should be enclosed by metallic surfaces on all faces, but also the prediction of the surface state topology. Tight-binding calculations of the electronic structure are found to reproduce the expected topology of the surface states but they show one Dirac point that is not observed in the experiment, in the mirror line of the surface Brillouin zone. As in the case of Bi1−xSbx(111), this can be ascribed to an incorrect value of the mirror Chern number in the tight-binding parameters employed for the calculation. The quantitative agreement of the tight-binding calculation and the experiment is poorer than in the case of the (111) surface, something that is ascribed to the existence of dangling bonds on the (110) surface.","container-title":"New Journal of Physics","DOI":"10.1088/1367-2630/15/10/103011","ISSN":"1367-2630","issue":"10","journalAbbreviation":"New J. Phys.","language":"en","page":"103011","publisher":"IOP Publishing","source":"Institute of Physics","title":"Three Dirac points on the (110) surface of the topological insulator Bi1−xSbx","URL":"https://dx.doi.org/10.1088/1367-2630/15/10/103011","volume":"15","author":[{"family":"Zhu","given":"Xie-Gang"},{"family":"Stensgaard","given":"Malthe"},{"family":"Barreto","given":"Lucas"},{"family":"Silva","given":"Wendell Simoes","dropping-particle":"e"},{"family":"Ulstrup","given":"Søren"},{"family":"Michiardi","given":"Matteo"},{"family":"Bianchi","given":"Marco"},{"family":"Dendzik","given":"Maciej"},{"family":"Hofmann","given":"Philip"}],"accessed":{"date-parts":[["2023",2,24]]},"issued":{"date-parts":[["2013",10]]}}},{"id":3744,"uris":["http://zotero.org/users/2200358/items/962PWI5G"],"itemData":{"id":3744,"type":"article-journal","container-title":"Physical Review Letters","DOI":"10.1103/PhysRevLett.113.196601","ISSN":"0031-9007, 1079-7114","issue":"19","journalAbbreviation":"Phys. Rev. Lett.","language":"en","note":"00009","page":"196601","source":"CrossRef","title":"Spin-Electricity Conversion Induced by Spin Injection into Topological Insulators","URL":"http://link.aps.org/doi/10.1103/PhysRevLett.113.196601","volume":"113","author":[{"family":"Shiomi","given":"Y."},{"family":"Nomura","given":"K."},{"family":"Kajiwara","given":"Y."},{"family":"Eto","given":"K."},{"family":"Novak","given":"M."},{"family":"Segawa","given":"Kouji"},{"family":"Ando","given":"Yoichi"},{"family":"Saitoh","given":"E."}],"accessed":{"date-parts":[["2015",8,8]]},"issued":{"date-parts":[["2014",11,3]]}}},{"id":293,"uris":["http://zotero.org/users/2200358/items/6NPHEHDI"],"itemData":{"id":293,"type":"article-journal","container-title":"Nature","DOI":"10.1038/nature13534","ISSN":"0028-0836, 1476-4687","issue":"7510","language":"en","page":"449-451","source":"CrossRef","title":"Spin-transfer torque generated by a topological insulator","URL":"http://www.nature.com/articles/nature13534","volume":"511","author":[{"family":"Mellnik","given":"A. R."},{"family":"Lee","given":"J. S."},{"family":"Richardella","given":"A."},{"family":"Grab","given":"J. L."},{"family":"Mintun","given":"P. J."},{"family":"Fischer","given":"M. H."},{"family":"Vaezi","given":"A."},{"family":"Manchon","given":"A."},{"family":"Kim","given":"E.-A."},{"family":"Samarth","given":"N."},{"family":"Ralph","given":"D. C."}],"accessed":{"date-parts":[["2018",2,27]]},"issued":{"date-parts":[["2014",7]]}}},{"id":2568,"uris":["http://zotero.org/users/2200358/items/KEFHLU6M"],"itemData":{"id":2568,"type":"article-journal","abstract":"A large spin–orbit torque, generated in a conductive topological insulator (TI) Bi0.9Sb0.1 is further employed to effectively switch the magnetization of MnGa in a BiSb/MnGa bilayer Hall-bar device at room temperature.","container-title":"Nat. Mater.","DOI":"10.1038/s41563-018-0137-y","ISSN":"1476-4660","journalAbbreviation":"Nat. Mater.","language":"en","license":"2018 The Author(s)","page":"808–813","source":"www.nature.com","title":"A conductive topological insulator with large spin Hall effect for ultralow power spin–orbit torque switching","URL":"https://www.nature.com/articles/s41563-018-0137-y","volume":"17","author":[{"family":"Khang","given":"Nguyen Huynh Duy"},{"family":"Ueda","given":"Yugo"},{"family":"Hai","given":"Pham Nam"}],"accessed":{"date-parts":[["2018",8,1]]},"issued":{"date-parts":[["2018",7,30]]}}}],"schema":"https://github.com/citation-style-language/schema/raw/master/csl-citation.json"} </w:instrText>
      </w:r>
      <w:r w:rsidR="00E31F29"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3–6</w:t>
      </w:r>
      <w:r w:rsidR="00E31F29" w:rsidRPr="00645DFF">
        <w:rPr>
          <w:rFonts w:ascii="Times New Roman" w:hAnsi="Times New Roman" w:cs="Times New Roman"/>
          <w:sz w:val="22"/>
        </w:rPr>
        <w:fldChar w:fldCharType="end"/>
      </w:r>
      <w:r w:rsidRPr="00645DFF">
        <w:rPr>
          <w:rFonts w:ascii="Times New Roman" w:hAnsi="Times New Roman" w:cs="Times New Roman"/>
          <w:sz w:val="22"/>
        </w:rPr>
        <w:t xml:space="preserve"> </w:t>
      </w:r>
      <w:r w:rsidR="007F0BCC" w:rsidRPr="00645DFF">
        <w:rPr>
          <w:rFonts w:ascii="Times New Roman" w:hAnsi="Times New Roman" w:cs="Times New Roman"/>
          <w:sz w:val="22"/>
        </w:rPr>
        <w:t>In particular, their potential to generate strong spin–orbit torques (SOTs) provides a promising route toward efficient, nonvolatile memory devices such as SOT-magnetoresistive random access memories (MRAMs), which require materials with large spin Hall angles</w:t>
      </w:r>
      <w:r w:rsidR="00964E79" w:rsidRPr="00645DFF">
        <w:rPr>
          <w:rFonts w:ascii="Times New Roman" w:hAnsi="Times New Roman" w:cs="Times New Roman"/>
          <w:sz w:val="22"/>
        </w:rPr>
        <w:t>.</w:t>
      </w:r>
      <w:r w:rsidR="00D66EC0"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{"citationID":"muziOQR8","properties":{"unsorted":true,"formattedCitation":"\\super 7\\uc0\\u8211{}9\\nosupersub{}","plainCitation":"7–9","noteIndex":0},"citationItems":[{"id":6926,"uris":["http://zotero.org/users/2200358/items/GW5MD8AI"],"itemData":{"id":6926,"type":"article-journal","abstract":"Topological insulators (TIs) hold promise as a platform for unique quantum phenomena. However, realizing these phenomena experimentally requires sophisticated devices. In this Technical Review, we discuss four topics of particular interest for TI devices: topological superconductivity, quantum anomalous Hall insulators as a platform for exotic phenomena, spintronic functionalities and topological mesoscopic physics. We also discuss the status and technical challenges in fabricating TI devices to address new physics.","container-title":"Nature Reviews Physics","DOI":"10.1038/s42254-021-00402-6","ISSN":"2522-5820","issue":"3","journalAbbreviation":"Nat. Rev. Phys.","language":"en","license":"2021 Springer Nature Limited","page":"184-193","publisher":"Nature Publishing Group","source":"www.nature.com","title":"Opportunities in topological insulator devices","URL":"https://www.nature.com/articles/s42254-021-00402-6","volume":"4","author":[{"family":"Breunig","given":"Oliver"},{"family":"Ando","given":"Yoichi"}],"accessed":{"date-parts":[["2025",9,24]]},"issued":{"date-parts":[["2022",3]]}}},{"id":6393,"uris":["http://zotero.org/users/2200358/items/QRU6EWGR"],"itemData":{"id":6393,"type":"article-journal","abstract":"The spin–orbit torque (SOT) that arises from materials with large spin–orbit coupling promises a path for ultralow power and fast magnetic-based storage and computational devices. We investigated the SOT from magnetron-sputtered BixSe(1–x) thin films in BixSe(1–x)/Co20Fe60B20 heterostructures by using d.c. planar Hall and spin-torque ferromagnetic resonance (ST-FMR) methods. Remarkably, the spin torque efficiency (θS) was determined to be as large as 18.62 ± 0.13 and 8.67 ± 1.08 using the d.c. planar Hall and ST-FMR methods, respectively. Moreover, switching of the perpendicular CoFeB multilayers using the SOT from the BixSe(1–x) was observed at room temperature with a low critical magnetization switching current density of 4.3 × 105 A cm–2. Quantum transport simulations using a realistic sp3 tight-binding model suggests that the high SOT in sputtered BixSe(1–x) is due to the quantum confinement effect with a charge-to-spin conversion efficiency that enhances with reduced size and dimensionality. The demonstrated θS, ease of growth of the films on a silicon substrate and successful growth and switching of perpendicular CoFeB multilayers on BixSe(1–x) films provide an avenue for the use of BixSe(1–x) as a spin density generator in SOT-based memory and logic devices.","container-title":"Nature Materials","DOI":"10.1038/s41563-018-0136-z","ISSN":"1476-4660","issue":"9","journalAbbreviation":"Nat. Mater.","language":"en","license":"2018 The Author(s)","note":"number: 9","page":"800-807","publisher":"Nature Publishing Group","source":"www.nature.com","title":"Room-temperature high spin–orbit torque due to quantum confinement in sputtered BixSe(1–x) films","URL":"https://www.nature.com/articles/s41563-018-0136-z","volume":"17","author":[{"family":"Dc","given":"Mahendra"},{"family":"Grassi","given":"Roberto"},{"family":"Chen","given":"Jun-Yang"},{"family":"Jamali","given":"Mahdi"},{"family":"Reifsnyder Hickey","given":"Danielle"},{"family":"Zhang","given":"Delin"},{"family":"Zhao","given":"Zhengyang"},{"family":"Li","given":"Hongshi"},{"family":"Quarterman","given":"P."},{"family":"Lv","given":"Yang"},{"family":"Li","given":"Mo"},{"family":"Manchon","given":"Aurelien"},{"family":"Mkhoyan","given":"K. Andre"},{"family":"Low","given":"Tony"},{"family":"Wang","given":"Jian-Ping"}],"accessed":{"date-parts":[["2023",1,31]]},"issued":{"date-parts":[["2018",9]]}}},{"id":6394,"uris":["http://zotero.org/users/2200358/items/I63TID74"],"itemData":{"id":6394,"type":"article-journal","abstract":"It is technically challenging to shrink the size of a tunneling magnetoresistance reader to below 20 nm for magnetic recording technology beyond 4 Tb/in2 due to its complex film stack. Recently, we proposed a reader architecture based on the inverse spin Hall effect to resolve those challenges, referred below as spin–orbit torque (SOT) reader, whose structure consists of a SOT layer and a ferromagnetic layer. However, the heavy metal-based SOT reader has small output voltage and low signal-to-noise ratio (SNR) due to the limited spin Hall angle θSH (&lt; 1) of heavy metals. In this Letter, we demonstrate the integration of BiSb topological insulator with strong inverse spin Hall effect into the SOT reader that can significantly improve the output voltage and SNR. First, we theoretically calculate the noises in a 20 × 20 nm2 BiSb-based SOT reader to establish the relationships between SNR and θSH at various bias currents. We then demonstrate proof-of-concept BiSb-based SOT readers using CoFe/MgO/BiSb stack, which show large output voltages up to 15 mV at an input current of 9.4 kA/cm2 at room temperature. We project a giant θSH = 61 for BiSb. Our work demonstrates the potential of BiSb for SOT reader beyond 4 Tb/in2 magnetic recording technology.","container-title":"Applied Physics Letters","DOI":"10.1063/5.0135831","ISSN":"0003-6951","issue":"5","journalAbbreviation":"Appl. Phys. Lett.","page":"052401","publisher":"American Institute of Physics","source":"aip.scitation.org (Atypon)","title":"Large inverse spin Hall effect in BiSb topological insulator for 4 Tb/in2 magnetic recording technology","URL":"https://aip.scitation.org/doi/10.1063/5.0135831","volume":"122","author":[{"family":"Huy","given":"Ho Hoang"},{"family":"Sasaki","given":"Julian"},{"family":"Khang","given":"Nguyen Huynh Duy"},{"family":"Namba","given":"Shota"},{"family":"Hai","given":"Pham Nam"},{"family":"Le","given":"Quang"},{"family":"York","given":"Brian"},{"family":"Hwang","given":"Cherngye"},{"family":"Liu","given":"Xiaoyong"},{"family":"Gribelyuk","given":"Michael"},{"family":"Xu","given":"Xiaoyu"},{"family":"Le","given":"Son"},{"family":"Ho","given":"Michael"},{"family":"Takano","given":"Hisashi"}],"accessed":{"date-parts":[["2023",2,2]]},"issued":{"date-parts":[["2023",1,30]]}}}],"schema":"https://github.com/citation-style-language/schema/raw/master/csl-citation.json"} </w:instrText>
      </w:r>
      <w:r w:rsidR="00D66EC0"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7–9</w:t>
      </w:r>
      <w:r w:rsidR="00D66EC0" w:rsidRPr="00645DFF">
        <w:rPr>
          <w:rFonts w:ascii="Times New Roman" w:hAnsi="Times New Roman" w:cs="Times New Roman"/>
          <w:sz w:val="22"/>
        </w:rPr>
        <w:fldChar w:fldCharType="end"/>
      </w:r>
      <w:r w:rsidR="00F00C5A" w:rsidRPr="00645DFF">
        <w:rPr>
          <w:rFonts w:ascii="Times New Roman" w:hAnsi="Times New Roman" w:cs="Times New Roman"/>
          <w:sz w:val="22"/>
        </w:rPr>
        <w:t xml:space="preserve"> </w:t>
      </w:r>
      <w:r w:rsidR="009279DD" w:rsidRPr="00645DFF">
        <w:rPr>
          <w:rFonts w:ascii="Times New Roman" w:hAnsi="Times New Roman" w:cs="Times New Roman"/>
          <w:sz w:val="22"/>
        </w:rPr>
        <w:t>Beyond memory applications, TIs have also emerged as promising candidates for magnetic field sensors</w:t>
      </w:r>
      <w:r w:rsidR="00DA7E3A" w:rsidRPr="00645DFF">
        <w:rPr>
          <w:rFonts w:ascii="Times New Roman" w:hAnsi="Times New Roman" w:cs="Times New Roman"/>
          <w:sz w:val="22"/>
        </w:rPr>
        <w:t>.</w:t>
      </w:r>
      <w:r w:rsidR="00F0721E"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{"citationID":"OmC9Uqzv","properties":{"unsorted":true,"formattedCitation":"\\super 10,11\\nosupersub{}","plainCitation":"10,11","noteIndex":0},"citationItems":[{"id":6867,"uris":["http://zotero.org/users/2200358/items/P35XBRTU"],"itemData":{"id":6867,"type":"article-journal","abstract":"The “direct” spin Hall (DSH) effect has been intensively studied to manipulate the magnetic state in spin–orbit torque magnetic random access memory. Meanwhile, its reciprocal phenomenon, known as the “inverse” spin Hall (ISH) effect, has been studied as a method to read the magnetic state of a magnetic element in a magnetic read head sensor and magnetoelectric spin–orbit logic device. This work studies a magnetic field sensing device structure in which the DSH effect is used for reading the magnetic state in a ferromagnetic (FM)/topological insulator (TI) heterostructure. We found that while the output of our DSH sensing device is consistent with that based on the ISH effect, the spin Hall angle calculated from its magnitude is colossal (θSH </w:instrText>
      </w:r>
      <w:r w:rsidR="003839CD" w:rsidRPr="00645DFF">
        <w:rPr>
          <w:rFonts w:ascii="Cambria Math" w:hAnsi="Cambria Math" w:cs="Cambria Math"/>
          <w:sz w:val="22"/>
        </w:rPr>
        <w:instrText>∼</w:instrText>
      </w:r>
      <w:r w:rsidR="003839CD" w:rsidRPr="00645DFF">
        <w:rPr>
          <w:rFonts w:ascii="Times New Roman" w:hAnsi="Times New Roman" w:cs="Times New Roman"/>
          <w:sz w:val="22"/>
        </w:rPr>
        <w:instrText xml:space="preserve"> 164) and significantly higher than that (θSH </w:instrText>
      </w:r>
      <w:r w:rsidR="003839CD" w:rsidRPr="00645DFF">
        <w:rPr>
          <w:rFonts w:ascii="Cambria Math" w:hAnsi="Cambria Math" w:cs="Cambria Math"/>
          <w:sz w:val="22"/>
        </w:rPr>
        <w:instrText>∼</w:instrText>
      </w:r>
      <w:r w:rsidR="003839CD" w:rsidRPr="00645DFF">
        <w:rPr>
          <w:rFonts w:ascii="Times New Roman" w:hAnsi="Times New Roman" w:cs="Times New Roman"/>
          <w:sz w:val="22"/>
        </w:rPr>
        <w:instrText xml:space="preserve"> 3.5) obtained from the second harmonic measurement. Our findings show that the giant DSH and ISH effects in TI-based heterostructures are useful for realizing next-generation magnetic read head device and have important implications for engineering topological quantum materials with high spin Hall performance.","container-title":"Applied Physics Letters","DOI":"10.1063/5.0233246","ISSN":"0003-6951","issue":"24","journalAbbreviation":"Appl. Phys. Lett.","page":"242401","source":"Silverchair","title":"Spin Hall magnetic field sensing device using topological insulator","URL":"https://doi.org/10.1063/5.0233246","volume":"125","author":[{"family":"Liu","given":"Min"},{"family":"Ruixian","given":"Zhang"},{"family":"Le","given":"Quang"},{"family":"York","given":"Brian"},{"family":"Hwang","given":"Cherngye"},{"family":"Liu","given":"Xiaoyong"},{"family":"Gribelyuk","given":"Michael"},{"family":"Xu","given":"Xiaoyu"},{"family":"Le","given":"Son"},{"family":"Maeda","given":"Maki"},{"family":"Fan","given":"Tuo"},{"family":"Tao","given":"Yu"},{"family":"Takano","given":"Hisashi"},{"family":"Hai","given":"Pham Nam"}],"accessed":{"date-parts":[["2025",5,8]]},"issued":{"date-parts":[["2024",12,9]]}}},{"id":7014,"uris":["http://zotero.org/users/2200358/items/CNUV3KEF"],"itemData":{"id":7014,"type":"article-journal","abstract":"Quantum spin Hall (QSH) insulators are materials with nontrivial topological properties, characterized by helical edge currents. In 2D strips, the application of a bias voltage along the edge generates a magnetization that can be measured using quantum sensors and magnetometry techniques. In this work, we calculate the magnetic field in the vicinity of the edge and explore the potential role of nitrogen-vacancy centers in diamond as local probes for the characterization of QSH edge states in topological insulators. We characterize the magnetic field near the edges produced by both electron currents and spin accumulation at the edge. We focus on identifying the position from the edge at which the effects of spin accumulation become detectable. We observe that a larger gap between the conduction and valence bands, along with a lower Fermi velocity, results in a stronger magnetic field, with the detectable spin accumulation being more concentrated near the edge. Conversely, a smaller gap results in a slight reduction in the magnetic field magnitude, but the field associated with spin accumulation becomes detectable further from the edge. This work provides insights that could be useful for the characterization of topological materials and the development of novel electro-optical devices.","container-title":"New Journal of Physics","DOI":"10.1088/1367-2630/ada634","ISSN":"1367-2630","issue":"1","journalAbbreviation":"New J. Phys.","language":"en","page":"013008","publisher":"IOP Publishing","source":"Institute of Physics","title":"Magnetic field characterization of edge currents in quantum spin Hall insulators","URL":"https://doi.org/10.1088/1367-2630/ada634","volume":"27","author":[{"family":"A Pinto","given":"Felipe"},{"family":"C Heitzer","given":"Ricardo"},{"family":"Dvorquez","given":"Eitan"},{"family":"Rodriguez","given":"Roberto"},{"family":"Sun","given":"Qiang"},{"family":"D Greentree","given":"Andrew"},{"family":"C Gibson","given":"Brant"},{"family":"R Maze","given":"Jerónimo"}],"accessed":{"date-parts":[["2026",3,19]]},"issued":{"date-parts":[["2025",1]]}}}],"schema":"https://github.com/citation-style-language/schema/raw/master/csl-citation.json"} </w:instrText>
      </w:r>
      <w:r w:rsidR="00F0721E"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10,11</w:t>
      </w:r>
      <w:r w:rsidR="00F0721E" w:rsidRPr="00645DFF">
        <w:rPr>
          <w:rFonts w:ascii="Times New Roman" w:hAnsi="Times New Roman" w:cs="Times New Roman"/>
          <w:sz w:val="22"/>
        </w:rPr>
        <w:fldChar w:fldCharType="end"/>
      </w:r>
      <w:r w:rsidR="00DA7E3A" w:rsidRPr="00645DFF">
        <w:rPr>
          <w:rFonts w:ascii="Times New Roman" w:hAnsi="Times New Roman" w:cs="Times New Roman"/>
          <w:sz w:val="22"/>
        </w:rPr>
        <w:t xml:space="preserve"> </w:t>
      </w:r>
      <w:r w:rsidR="004A7F57" w:rsidRPr="00645DFF">
        <w:rPr>
          <w:rFonts w:ascii="Times New Roman" w:hAnsi="Times New Roman" w:cs="Times New Roman"/>
          <w:sz w:val="22"/>
        </w:rPr>
        <w:t xml:space="preserve">In </w:t>
      </w:r>
      <w:r w:rsidR="00DA7E3A" w:rsidRPr="00645DFF">
        <w:rPr>
          <w:rFonts w:ascii="Times New Roman" w:hAnsi="Times New Roman" w:cs="Times New Roman"/>
          <w:sz w:val="22"/>
        </w:rPr>
        <w:t>TI/</w:t>
      </w:r>
      <w:r w:rsidR="004A7F57" w:rsidRPr="00645DFF">
        <w:rPr>
          <w:rFonts w:ascii="Times New Roman" w:hAnsi="Times New Roman" w:cs="Times New Roman"/>
          <w:sz w:val="22"/>
        </w:rPr>
        <w:t>ferromagnet</w:t>
      </w:r>
      <w:r w:rsidR="00964E79" w:rsidRPr="00645DFF">
        <w:rPr>
          <w:rFonts w:ascii="Times New Roman" w:hAnsi="Times New Roman" w:cs="Times New Roman"/>
          <w:sz w:val="22"/>
        </w:rPr>
        <w:t xml:space="preserve"> (FM)</w:t>
      </w:r>
      <w:r w:rsidR="004A7F57" w:rsidRPr="00645DFF">
        <w:rPr>
          <w:rFonts w:ascii="Times New Roman" w:hAnsi="Times New Roman" w:cs="Times New Roman"/>
          <w:sz w:val="22"/>
        </w:rPr>
        <w:t xml:space="preserve"> h</w:t>
      </w:r>
      <w:r w:rsidR="00DA7E3A" w:rsidRPr="00645DFF">
        <w:rPr>
          <w:rFonts w:ascii="Times New Roman" w:hAnsi="Times New Roman" w:cs="Times New Roman"/>
          <w:sz w:val="22"/>
        </w:rPr>
        <w:t>eterostructures</w:t>
      </w:r>
      <w:r w:rsidR="004A7F57" w:rsidRPr="00645DFF">
        <w:rPr>
          <w:rFonts w:ascii="Times New Roman" w:hAnsi="Times New Roman" w:cs="Times New Roman"/>
          <w:sz w:val="22"/>
        </w:rPr>
        <w:t>,</w:t>
      </w:r>
      <w:r w:rsidR="00DA7E3A" w:rsidRPr="00645DFF">
        <w:rPr>
          <w:rFonts w:ascii="Times New Roman" w:hAnsi="Times New Roman" w:cs="Times New Roman"/>
          <w:sz w:val="22"/>
        </w:rPr>
        <w:t xml:space="preserve"> </w:t>
      </w:r>
      <w:r w:rsidR="004A7F57" w:rsidRPr="00645DFF">
        <w:rPr>
          <w:rFonts w:ascii="Times New Roman" w:hAnsi="Times New Roman" w:cs="Times New Roman"/>
          <w:sz w:val="22"/>
        </w:rPr>
        <w:t>the robust spin-charge interconversion within TIs enables effective transduction of magnetic field-induced magnetization modulation into electrical signals</w:t>
      </w:r>
      <w:r w:rsidR="00A747A3" w:rsidRPr="00645DFF">
        <w:rPr>
          <w:rFonts w:ascii="Times New Roman" w:hAnsi="Times New Roman" w:cs="Times New Roman"/>
          <w:sz w:val="22"/>
        </w:rPr>
        <w:t xml:space="preserve">, </w:t>
      </w:r>
      <w:r w:rsidR="004A7F57" w:rsidRPr="00645DFF">
        <w:rPr>
          <w:rFonts w:ascii="Times New Roman" w:hAnsi="Times New Roman" w:cs="Times New Roman"/>
          <w:sz w:val="22"/>
        </w:rPr>
        <w:t>thereby offering enhanced performance compared to conventional heavy metal</w:t>
      </w:r>
      <w:r w:rsidR="00964E79" w:rsidRPr="00645DFF">
        <w:rPr>
          <w:rFonts w:ascii="Times New Roman" w:hAnsi="Times New Roman" w:cs="Times New Roman"/>
          <w:sz w:val="22"/>
        </w:rPr>
        <w:t>/FM</w:t>
      </w:r>
      <w:r w:rsidR="004A7F57" w:rsidRPr="00645DFF">
        <w:rPr>
          <w:rFonts w:ascii="Times New Roman" w:hAnsi="Times New Roman" w:cs="Times New Roman"/>
          <w:sz w:val="22"/>
        </w:rPr>
        <w:t>-based devices</w:t>
      </w:r>
      <w:r w:rsidR="00964E79" w:rsidRPr="00645DFF">
        <w:rPr>
          <w:rFonts w:ascii="Times New Roman" w:hAnsi="Times New Roman" w:cs="Times New Roman"/>
          <w:sz w:val="22"/>
        </w:rPr>
        <w:t>.</w:t>
      </w:r>
      <w:r w:rsidR="00F0721E" w:rsidRPr="00645DFF" w:rsidDel="00F0721E">
        <w:rPr>
          <w:rFonts w:ascii="Times New Roman" w:hAnsi="Times New Roman" w:cs="Times New Roman"/>
          <w:sz w:val="22"/>
        </w:rPr>
        <w:t xml:space="preserve"> </w:t>
      </w:r>
    </w:p>
    <w:p w14:paraId="4F214785" w14:textId="4E048512" w:rsidR="00C37753" w:rsidRPr="00645DFF" w:rsidRDefault="00A4748D"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t>TIs are categorized based on symmetry protections and surface state characteristics, such as Dirac cone dispersion and mirror symmetry, into various types, including three-dimensional strong TIs and magnetic TIs</w:t>
      </w:r>
      <w:r w:rsidR="00B31FE4" w:rsidRPr="00645DFF">
        <w:rPr>
          <w:rFonts w:ascii="Times New Roman" w:hAnsi="Times New Roman" w:cs="Times New Roman"/>
          <w:sz w:val="22"/>
        </w:rPr>
        <w:t>.</w:t>
      </w:r>
      <w:r w:rsidR="00F37260"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{"citationID":"NYy0tZKc","properties":{"unsorted":true,"formattedCitation":"\\super 12\\uc0\\u8211{}14\\nosupersub{}","plainCitation":"12–14","noteIndex":0},"citationItems":[{"id":6928,"uris":["http://zotero.org/users/2200358/items/AKT6LKYM"],"itemData":{"id":6928,"type":"article-journal","abstract":"Topological insulators in three dimensions are nonmagnetic insulators that possess metallic surface states (SSs) as a consequence of the nontrivial topology of electronic wavefunctions in the bulk of the material. They are the first known examples of topological order in bulk solids. We review the basic phenomena and experimental history, starting with the observation of topological insulator behavior in BixSb1−x by angle and spin-resolved photoemission spectroscopy (spin-ARPES) and continuing through measurements on other materials and by other probes. A self-contained introduction to the single-particle theory is then given, followed by the many-particle definition of a topological insulator as a material with quantized magnetoelectric polarizability. The last section reviews recent work on strongly correlated topological insulators and new effects that arise from the proximity effect between a topological insulator and a superconductor. Although this article is not intended to be a comprehensive review of what is already a rather large field, we hope that it serves as a useful introduction, summary of recent progress, and guideline to future directions.","container-title":"Annual Review of Condensed Matter Physics","DOI":"10.1146/annurev-conmatphys-062910-140432","ISSN":"1947-5454, 1947-5462","issue":"Volume 2, 2011","language":"en","page":"55-78","publisher":"Annual Reviews","source":"www.annualreviews.org","title":"Three-Dimensional Topological Insulators","URL":"https://www.annualreviews.org/content/journals/10.1146/annurev-conmatphys-062910-140432","volume":"2","author":[{"family":"Hasan","given":"M. Zahid"},{"family":"Moore","given":"Joel E."}],"accessed":{"date-parts":[["2025",9,24]]},"issued":{"date-parts":[["2011",3,10]]}}},{"id":6927,"uris":["http://zotero.org/users/2200358/items/8CDHRAEV"],"itemData":{"id":6927,"type":"article-journal","abstract":"The importance of global band topology is unequivocally recognized in condensed matter physics, and new states of matter, such as topological insulators, have been discovered. Owing to their bulk band topology, 3D topological insulators possess a massless Dirac dispersion with spin–momentum locking at the surface. Although 3D topological insulators were originally proposed in time-reversal invariant systems, the onset of a spontaneous magnetization or, equivalently, a broken time-reversal symmetry leads to the formation of an exchange gap in the Dirac band dispersion. In such magnetic topological insulators, tuning of the Fermi level in the exchange gap results in the emergence of a quantum Hall effect at zero magnetic field, that is, of a quantum anomalous Hall effect. Here, we review the basic concepts of magnetic topological insulators and their experimental realization, together with the discovery and verification of their emergent properties. In particular, we discuss how the development of tailored materials through heterostructure engineering has made it possible to access the quantum anomalous Hall effect, the topological magnetoelectric effect, the physics related to the chiral edge states that appear in these materials and various spintronic phenomena. Further theoretical and experimental research on magnetic topological insulators will provide fertile ground for the development of new concepts for next-generation electronic devices for applications such as spintronics with low energy consumption, dissipationless topological electronics and topological quantum computation.","container-title":"Nature Reviews Physics","DOI":"10.1038/s42254-018-0011-5","ISSN":"2522-5820","issue":"2","journalAbbreviation":"Nat. Rev. Phys.","language":"en","license":"2018 The Author(s), under exclusive licence to Springer Nature Limited","page":"126-143","publisher":"Nature Publishing Group","source":"www.nature.com","title":"Magnetic topological insulators","URL":"https://www.nature.com/articles/s42254-018-0011-5","volume":"1","author":[{"family":"Tokura","given":"Yoshinori"},{"family":"Yasuda","given":"Kenji"},{"family":"Tsukazaki","given":"Atsushi"}],"accessed":{"date-parts":[["2025",9,24]]},"issued":{"date-parts":[["2019",2]]}}},{"id":6426,"uris":["http://zotero.org/users/2200358/items/EK9EMBBD"],"itemData":{"id":6426,"type":"article-journal","abstract":"We study the electronic surface states of the semiconducting alloy bismuth antimony (Bi1−xSbx). Using a phenomenological tight-binding model, we show that the Fermi surface for the 111 surface states encloses an odd number of time-reversal-invariant momenta (TRIM) in the surface Brillouin zone. This confirms that the alloy is a strong topological insulator in the (1;111) Z2 topological class. We go on to develop general arguments which show that spatial symmetries lead to additional topological structure of the bulk energy bands, and impose further constraints on the surface band structure. Inversion-symmetric band structures are characterized by eight Z2 “parity invariants,” which include the four Z2 invariants defined by time-reversal symmetry. The extra invariants determine the “surface fermion parity,” which specifies which surface TRIM are enclosed by an odd number of electron or hole pockets. We provide a simple proof of this result, which provides a direct link between the surface-state structure and the parity eigenvalues characterizing the bulk. Using this result, we make specific predictions for the surface-state structure for several faces of Bi1−xSbx. We next show that mirror-invariant band structures are characterized by an integer “mirror Chern number” nM, which further constrains the surface states. We show that the sign of nM in the topological insulator phase of Bi1−xSbx is related to a previously unexplored Z2 parameter in the L point k</w:instrText>
      </w:r>
      <w:r w:rsidR="003839CD" w:rsidRPr="00645DFF">
        <w:rPr>
          <w:rFonts w:ascii="Cambria Math" w:hAnsi="Cambria Math" w:cs="Cambria Math"/>
          <w:sz w:val="22"/>
        </w:rPr>
        <w:instrText>⋅</w:instrText>
      </w:r>
      <w:r w:rsidR="003839CD" w:rsidRPr="00645DFF">
        <w:rPr>
          <w:rFonts w:ascii="Times New Roman" w:hAnsi="Times New Roman" w:cs="Times New Roman"/>
          <w:sz w:val="22"/>
        </w:rPr>
        <w:instrText xml:space="preserve">p theory of pure bismuth, which we refer to as the “mirror chirality” η. The value of η predicted by the tight-binding model for bismuth disagrees with the value predicted by a more fundamental pseudopotential calculation. This explains a subtle disagreement between our tight-binding surface-state calculation and previous first-principles calculations of the surface states of bismuth. This suggests that the tight-binding parameters in the Liu-Allen model of bismuth need to be reconsidered. Implications for existing and future angle-resolved photoemission spectroscopy (ARPES) experiments and spin-polarized ARPES experiments will be discussed.","container-title":"Physical Review B","DOI":"10.1103/PhysRevB.78.045426","issue":"4","journalAbbreviation":"Phys. Rev. B","page":"045426","publisher":"American Physical Society","source":"APS","title":"Surface states and topological invariants in three-dimensional topological insulators: Application to ${\\text{Bi}}_{1\\ensuremath{-}x}{\\text{Sb}}_{x}$","title-short":"Surface states and topological invariants in three-dimensional topological insulators","URL":"https://link.aps.org/doi/10.1103/PhysRevB.78.045426","volume":"78","author":[{"family":"Teo","given":"Jeffrey C. Y."},{"family":"Fu","given":"Liang"},{"family":"Kane","given":"C. L."}],"accessed":{"date-parts":[["2023",2,24]]},"issued":{"date-parts":[["2008",7,23]]}}}],"schema":"https://github.com/citation-style-language/schema/raw/master/csl-citation.json"} </w:instrText>
      </w:r>
      <w:r w:rsidR="00F37260"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12–14</w:t>
      </w:r>
      <w:r w:rsidR="00F37260" w:rsidRPr="00645DFF">
        <w:rPr>
          <w:rFonts w:ascii="Times New Roman" w:hAnsi="Times New Roman" w:cs="Times New Roman"/>
          <w:sz w:val="22"/>
        </w:rPr>
        <w:fldChar w:fldCharType="end"/>
      </w:r>
      <w:r w:rsidR="00355479" w:rsidRPr="00645DFF">
        <w:rPr>
          <w:rFonts w:ascii="Times New Roman" w:hAnsi="Times New Roman" w:cs="Times New Roman"/>
          <w:sz w:val="22"/>
        </w:rPr>
        <w:t xml:space="preserve"> </w:t>
      </w:r>
      <w:r w:rsidR="00B31FE4" w:rsidRPr="00645DFF">
        <w:rPr>
          <w:rFonts w:ascii="Times New Roman" w:hAnsi="Times New Roman" w:cs="Times New Roman"/>
          <w:sz w:val="22"/>
        </w:rPr>
        <w:t xml:space="preserve">Among the </w:t>
      </w:r>
      <w:r w:rsidR="00C90C4B" w:rsidRPr="00645DFF">
        <w:rPr>
          <w:rFonts w:ascii="Times New Roman" w:hAnsi="Times New Roman" w:cs="Times New Roman"/>
          <w:sz w:val="22"/>
        </w:rPr>
        <w:t xml:space="preserve">candidate </w:t>
      </w:r>
      <w:r w:rsidR="00B31FE4" w:rsidRPr="00645DFF">
        <w:rPr>
          <w:rFonts w:ascii="Times New Roman" w:hAnsi="Times New Roman" w:cs="Times New Roman"/>
          <w:sz w:val="22"/>
        </w:rPr>
        <w:t>TI materials for spintronic applications,</w:t>
      </w:r>
      <w:r w:rsidR="001D183F" w:rsidRPr="00645DFF">
        <w:rPr>
          <w:rFonts w:ascii="Times New Roman" w:hAnsi="Times New Roman" w:cs="Times New Roman"/>
          <w:sz w:val="22"/>
        </w:rPr>
        <w:t xml:space="preserve"> Bi</w:t>
      </w:r>
      <w:r w:rsidR="006C4E10" w:rsidRPr="00645DFF">
        <w:rPr>
          <w:rFonts w:ascii="Times New Roman" w:hAnsi="Times New Roman" w:cs="Times New Roman"/>
          <w:sz w:val="22"/>
          <w:vertAlign w:val="subscript"/>
        </w:rPr>
        <w:t>1-x</w:t>
      </w:r>
      <w:r w:rsidR="001D183F" w:rsidRPr="00645DFF">
        <w:rPr>
          <w:rFonts w:ascii="Times New Roman" w:hAnsi="Times New Roman" w:cs="Times New Roman"/>
          <w:sz w:val="22"/>
        </w:rPr>
        <w:t>Sb</w:t>
      </w:r>
      <w:r w:rsidR="000D0B0E" w:rsidRPr="00645DFF">
        <w:rPr>
          <w:rFonts w:ascii="Times New Roman" w:hAnsi="Times New Roman" w:cs="Times New Roman"/>
          <w:sz w:val="22"/>
          <w:vertAlign w:val="subscript"/>
        </w:rPr>
        <w:t>x</w:t>
      </w:r>
      <w:r w:rsidR="001D183F" w:rsidRPr="00645DFF">
        <w:rPr>
          <w:rFonts w:ascii="Times New Roman" w:hAnsi="Times New Roman" w:cs="Times New Roman"/>
          <w:sz w:val="22"/>
        </w:rPr>
        <w:t xml:space="preserve"> (</w:t>
      </w:r>
      <w:proofErr w:type="spellStart"/>
      <w:r w:rsidR="001D183F" w:rsidRPr="00645DFF">
        <w:rPr>
          <w:rFonts w:ascii="Times New Roman" w:hAnsi="Times New Roman" w:cs="Times New Roman"/>
          <w:sz w:val="22"/>
        </w:rPr>
        <w:t>BiSb</w:t>
      </w:r>
      <w:proofErr w:type="spellEnd"/>
      <w:r w:rsidR="001D183F" w:rsidRPr="00645DFF">
        <w:rPr>
          <w:rFonts w:ascii="Times New Roman" w:hAnsi="Times New Roman" w:cs="Times New Roman"/>
          <w:sz w:val="22"/>
        </w:rPr>
        <w:t>) alloys</w:t>
      </w:r>
      <w:r w:rsidR="007971B4" w:rsidRPr="00645DFF">
        <w:rPr>
          <w:rFonts w:ascii="Times New Roman" w:eastAsia="DengXian" w:hAnsi="Times New Roman" w:cs="Times New Roman"/>
          <w:sz w:val="22"/>
          <w:lang w:eastAsia="zh-CN"/>
        </w:rPr>
        <w:t xml:space="preserve"> </w:t>
      </w:r>
      <w:r w:rsidR="007971B4" w:rsidRPr="00645DFF">
        <w:rPr>
          <w:rFonts w:ascii="Times New Roman" w:hAnsi="Times New Roman" w:cs="Times New Roman"/>
          <w:sz w:val="22"/>
        </w:rPr>
        <w:t xml:space="preserve">with Sb concentration </w:t>
      </w:r>
      <w:r w:rsidR="007971B4" w:rsidRPr="00645DFF">
        <w:rPr>
          <w:rFonts w:ascii="Times New Roman" w:hAnsi="Times New Roman" w:cs="Times New Roman"/>
          <w:i/>
          <w:iCs/>
          <w:sz w:val="22"/>
        </w:rPr>
        <w:t>x</w:t>
      </w:r>
      <w:r w:rsidR="007971B4" w:rsidRPr="00645DFF">
        <w:rPr>
          <w:rFonts w:ascii="Times New Roman" w:hAnsi="Times New Roman" w:cs="Times New Roman"/>
          <w:sz w:val="22"/>
        </w:rPr>
        <w:t xml:space="preserve"> typically below 20%</w:t>
      </w:r>
      <w:r w:rsidR="001D183F" w:rsidRPr="00645DFF">
        <w:rPr>
          <w:rFonts w:ascii="Times New Roman" w:hAnsi="Times New Roman" w:cs="Times New Roman"/>
          <w:sz w:val="22"/>
        </w:rPr>
        <w:t xml:space="preserve"> have garnered significant interest due to their large </w:t>
      </w:r>
      <w:r w:rsidR="0044472A" w:rsidRPr="00645DFF">
        <w:rPr>
          <w:rFonts w:ascii="Times New Roman" w:hAnsi="Times New Roman" w:cs="Times New Roman"/>
          <w:sz w:val="22"/>
        </w:rPr>
        <w:t>SOT efficiency</w:t>
      </w:r>
      <w:r w:rsidR="00C90C4B" w:rsidRPr="00645DFF">
        <w:rPr>
          <w:rFonts w:ascii="Times New Roman" w:hAnsi="Times New Roman" w:cs="Times New Roman"/>
          <w:sz w:val="22"/>
        </w:rPr>
        <w:t xml:space="preserve">, </w:t>
      </w:r>
      <w:r w:rsidR="001D183F" w:rsidRPr="00645DFF">
        <w:rPr>
          <w:rFonts w:ascii="Times New Roman" w:hAnsi="Times New Roman" w:cs="Times New Roman"/>
          <w:sz w:val="22"/>
        </w:rPr>
        <w:t xml:space="preserve">tunable </w:t>
      </w:r>
      <w:r w:rsidR="009D3B70" w:rsidRPr="00645DFF">
        <w:rPr>
          <w:rFonts w:ascii="Times New Roman" w:hAnsi="Times New Roman" w:cs="Times New Roman"/>
          <w:sz w:val="22"/>
        </w:rPr>
        <w:t xml:space="preserve">electronic </w:t>
      </w:r>
      <w:r w:rsidR="001D183F" w:rsidRPr="00645DFF">
        <w:rPr>
          <w:rFonts w:ascii="Times New Roman" w:hAnsi="Times New Roman" w:cs="Times New Roman"/>
          <w:sz w:val="22"/>
        </w:rPr>
        <w:t>band structure, and compatibility with conventional</w:t>
      </w:r>
      <w:r w:rsidR="00F0721E" w:rsidRPr="00645DFF">
        <w:rPr>
          <w:rFonts w:ascii="Times New Roman" w:hAnsi="Times New Roman" w:cs="Times New Roman"/>
          <w:sz w:val="22"/>
        </w:rPr>
        <w:t xml:space="preserve"> sputtering</w:t>
      </w:r>
      <w:r w:rsidR="001D183F" w:rsidRPr="00645DFF">
        <w:rPr>
          <w:rFonts w:ascii="Times New Roman" w:hAnsi="Times New Roman" w:cs="Times New Roman"/>
          <w:sz w:val="22"/>
        </w:rPr>
        <w:t xml:space="preserve"> deposition techniques</w:t>
      </w:r>
      <w:r w:rsidR="00B81186" w:rsidRPr="00645DFF">
        <w:rPr>
          <w:rFonts w:ascii="Times New Roman" w:hAnsi="Times New Roman" w:cs="Times New Roman"/>
          <w:sz w:val="22"/>
        </w:rPr>
        <w:t>.</w:t>
      </w:r>
      <w:r w:rsidR="007971B4"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{"citationID":"S977oLTc","properties":{"unsorted":true,"formattedCitation":"\\super 15,16\\nosupersub{}","plainCitation":"15,16","noteIndex":0},"citationItems":[{"id":7020,"uris":["http://zotero.org/users/2200358/items/BIKB9E3C"],"itemData":{"id":7020,"type":"article-journal","abstract":"The large spin Hall effect in topological insulators (TIs) is very attractive for ultralow-power spintronic devices. However, evaluation of the spin Hall angle and spin–orbit torque (SOT) of TIs is usually performed on high-quality single-crystalline TI thin films grown on dedicated III-V semiconductor substrates. Here, we report on room-temperature ultralow power SOT magnetization switching of a ferrimagnetic layer by non-epitaxial BiSb TI thin films deposited on Si/SiO2 substrates. We show that non-epitaxial BiSb thin films outperform heavy metals and other epitaxial TI thin films in terms of the effective spin Hall angle and switching current density by one to nearly two orders of magnitude. The critical SOT switching current density in BiSb is as low as 7 × 104 A/cm2 at room temperature. The robustness of BiSb against crystal defects demonstrate its potential applications to SOT-based spintronic devices.","container-title":"Scientific Reports","DOI":"10.1038/s41598-020-69027-6","ISSN":"2045-2322","issue":"1","journalAbbreviation":"Sci. Rep.","language":"en","license":"2020 The Author(s)","page":"12185","publisher":"Nature Publishing Group","source":"www.nature.com","title":"Ultralow power spin–orbit torque magnetization switching induced by a non-epitaxial topological insulator on Si substrates","URL":"https://www.nature.com/articles/s41598-020-69027-6","volume":"10","author":[{"family":"Khang","given":"Nguyen Huynh Duy"},{"family":"Nakano","given":"Soichiro"},{"family":"Shirokura","given":"Takanori"},{"family":"Miyamoto","given":"Yasuyoshi"},{"family":"Hai","given":"Pham Nam"}],"accessed":{"date-parts":[["2026",3,19]]},"issued":{"date-parts":[["2020",7,22]]}}},{"id":7018,"uris":["http://zotero.org/users/2200358/items/BJGP6UGA"],"itemData":{"id":7018,"type":"article-journal","abstract":"We report on the growth and characterization of BiSb thin films deposited on sapphire substrates by sputtering deposition with Ar and Kr plasma. By optimizing the growth conditions, we are able to obtain quasi-single-crystal BiSb(001) thin films with equivalent twin crystals. The conductivity of BiSb at the studied thicknesses exceeds 105 Ω−1 m−1, reaching 1.8 × 105 Ω−1 m−1 at 10 nm. From the temperature dependence of the electrical resistivity, we confirm the existence of metallic surface states. Our results demonstrate that it is possible to obtain sputtered BiSb thin films with quality approaching that of epitaxial BiSb grown by molecular beam epitaxy.","container-title":"Japanese Journal of Applied Physics","DOI":"10.35848/1347-4065/ab91d0","ISSN":"1347-4065","issue":"6","journalAbbreviation":"Jpn. J. Appl. Phys.","language":"en","page":"063001","publisher":"IOP Publishing","source":"Institute of Physics","title":"Crystal growth and characterization of topological insulator BiSb thin films by sputtering deposition on sapphire substrates","URL":"https://doi.org/10.35848/1347-4065/ab91d0","volume":"59","author":[{"family":"Fan","given":"Tuo"},{"family":"Tobah","given":"Mustafa"},{"family":"Shirokura","given":"Takanori"},{"family":"Huynh Duy Khang","given":"Nguyen"},{"family":"Nam Hai","given":"Pham"}],"accessed":{"date-parts":[["2026",3,19]]},"issued":{"date-parts":[["2020",6]]}}}],"schema":"https://github.com/citation-style-language/schema/raw/master/csl-citation.json"} </w:instrText>
      </w:r>
      <w:r w:rsidR="007971B4"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15,16</w:t>
      </w:r>
      <w:r w:rsidR="007971B4" w:rsidRPr="00645DFF">
        <w:rPr>
          <w:rFonts w:ascii="Times New Roman" w:hAnsi="Times New Roman" w:cs="Times New Roman"/>
          <w:sz w:val="22"/>
        </w:rPr>
        <w:fldChar w:fldCharType="end"/>
      </w:r>
      <w:r w:rsidR="00B56744" w:rsidRPr="00645DFF">
        <w:rPr>
          <w:rFonts w:ascii="Times New Roman" w:hAnsi="Times New Roman" w:cs="Times New Roman"/>
        </w:rPr>
        <w:t xml:space="preserve"> </w:t>
      </w:r>
      <w:r w:rsidR="00632576" w:rsidRPr="00645DFF">
        <w:rPr>
          <w:rFonts w:ascii="Times New Roman" w:hAnsi="Times New Roman" w:cs="Times New Roman"/>
          <w:sz w:val="22"/>
        </w:rPr>
        <w:t>Figure 1</w:t>
      </w:r>
      <w:r w:rsidR="00013063" w:rsidRPr="00645DFF">
        <w:rPr>
          <w:rFonts w:ascii="Times New Roman" w:hAnsi="Times New Roman" w:cs="Times New Roman"/>
          <w:sz w:val="22"/>
        </w:rPr>
        <w:t>(a)</w:t>
      </w:r>
      <w:r w:rsidR="00632576" w:rsidRPr="00645DFF">
        <w:rPr>
          <w:rFonts w:ascii="Times New Roman" w:hAnsi="Times New Roman" w:cs="Times New Roman"/>
          <w:sz w:val="22"/>
        </w:rPr>
        <w:t xml:space="preserve"> shows the </w:t>
      </w:r>
      <w:r w:rsidR="00986D38" w:rsidRPr="00645DFF">
        <w:rPr>
          <w:rFonts w:ascii="Times New Roman" w:hAnsi="Times New Roman" w:cs="Times New Roman"/>
          <w:sz w:val="22"/>
        </w:rPr>
        <w:t xml:space="preserve">schematic </w:t>
      </w:r>
      <w:r w:rsidR="00147F59" w:rsidRPr="00645DFF">
        <w:rPr>
          <w:rFonts w:ascii="Times New Roman" w:hAnsi="Times New Roman" w:cs="Times New Roman"/>
          <w:sz w:val="22"/>
        </w:rPr>
        <w:t xml:space="preserve">illustration </w:t>
      </w:r>
      <w:r w:rsidR="00632576" w:rsidRPr="00645DFF">
        <w:rPr>
          <w:rFonts w:ascii="Times New Roman" w:hAnsi="Times New Roman" w:cs="Times New Roman"/>
          <w:sz w:val="22"/>
        </w:rPr>
        <w:t xml:space="preserve">of </w:t>
      </w:r>
      <w:r w:rsidR="009F3D0B" w:rsidRPr="00645DFF">
        <w:rPr>
          <w:rFonts w:ascii="Times New Roman" w:hAnsi="Times New Roman" w:cs="Times New Roman"/>
          <w:sz w:val="22"/>
        </w:rPr>
        <w:t xml:space="preserve">the </w:t>
      </w:r>
      <w:r w:rsidR="00632576" w:rsidRPr="00645DFF">
        <w:rPr>
          <w:rFonts w:ascii="Times New Roman" w:hAnsi="Times New Roman" w:cs="Times New Roman"/>
          <w:sz w:val="22"/>
        </w:rPr>
        <w:t xml:space="preserve">atomic arrangement and </w:t>
      </w:r>
      <w:r w:rsidR="009F3D0B" w:rsidRPr="00645DFF">
        <w:rPr>
          <w:rFonts w:ascii="Times New Roman" w:hAnsi="Times New Roman" w:cs="Times New Roman"/>
          <w:sz w:val="22"/>
        </w:rPr>
        <w:t xml:space="preserve">the </w:t>
      </w:r>
      <w:r w:rsidR="00632576" w:rsidRPr="00645DFF">
        <w:rPr>
          <w:rFonts w:ascii="Times New Roman" w:hAnsi="Times New Roman" w:cs="Times New Roman"/>
          <w:sz w:val="22"/>
        </w:rPr>
        <w:t xml:space="preserve">topological band structure of </w:t>
      </w:r>
      <w:proofErr w:type="spellStart"/>
      <w:r w:rsidR="00632576" w:rsidRPr="00645DFF">
        <w:rPr>
          <w:rFonts w:ascii="Times New Roman" w:hAnsi="Times New Roman" w:cs="Times New Roman"/>
          <w:sz w:val="22"/>
        </w:rPr>
        <w:t>BiSb</w:t>
      </w:r>
      <w:proofErr w:type="spellEnd"/>
      <w:r w:rsidR="00632576" w:rsidRPr="00645DFF">
        <w:rPr>
          <w:rFonts w:ascii="Times New Roman" w:hAnsi="Times New Roman" w:cs="Times New Roman"/>
          <w:sz w:val="22"/>
        </w:rPr>
        <w:t xml:space="preserve">. </w:t>
      </w:r>
      <w:r w:rsidR="00147F59" w:rsidRPr="00645DFF">
        <w:rPr>
          <w:rFonts w:ascii="Times New Roman" w:hAnsi="Times New Roman" w:cs="Times New Roman"/>
          <w:sz w:val="22"/>
        </w:rPr>
        <w:t>Nevertheless</w:t>
      </w:r>
      <w:r w:rsidR="001D183F" w:rsidRPr="00645DFF">
        <w:rPr>
          <w:rFonts w:ascii="Times New Roman" w:hAnsi="Times New Roman" w:cs="Times New Roman"/>
          <w:sz w:val="22"/>
        </w:rPr>
        <w:t xml:space="preserve">, integrating </w:t>
      </w:r>
      <w:proofErr w:type="spellStart"/>
      <w:r w:rsidR="001D183F" w:rsidRPr="00645DFF">
        <w:rPr>
          <w:rFonts w:ascii="Times New Roman" w:hAnsi="Times New Roman" w:cs="Times New Roman"/>
          <w:sz w:val="22"/>
        </w:rPr>
        <w:t>BiSb</w:t>
      </w:r>
      <w:proofErr w:type="spellEnd"/>
      <w:r w:rsidR="001D183F" w:rsidRPr="00645DFF">
        <w:rPr>
          <w:rFonts w:ascii="Times New Roman" w:hAnsi="Times New Roman" w:cs="Times New Roman"/>
          <w:sz w:val="22"/>
        </w:rPr>
        <w:t xml:space="preserve"> into practical SOT device architectures </w:t>
      </w:r>
      <w:r w:rsidR="00B31FE4" w:rsidRPr="00645DFF">
        <w:rPr>
          <w:rFonts w:ascii="Times New Roman" w:hAnsi="Times New Roman" w:cs="Times New Roman"/>
          <w:sz w:val="22"/>
        </w:rPr>
        <w:t>remains</w:t>
      </w:r>
      <w:r w:rsidR="001D183F" w:rsidRPr="00645DFF">
        <w:rPr>
          <w:rFonts w:ascii="Times New Roman" w:hAnsi="Times New Roman" w:cs="Times New Roman"/>
          <w:sz w:val="22"/>
        </w:rPr>
        <w:t xml:space="preserve"> </w:t>
      </w:r>
      <w:r w:rsidR="009F3D0B" w:rsidRPr="00645DFF">
        <w:rPr>
          <w:rFonts w:ascii="Times New Roman" w:hAnsi="Times New Roman" w:cs="Times New Roman"/>
          <w:sz w:val="22"/>
        </w:rPr>
        <w:t xml:space="preserve">a </w:t>
      </w:r>
      <w:r w:rsidR="001D183F" w:rsidRPr="00645DFF">
        <w:rPr>
          <w:rFonts w:ascii="Times New Roman" w:hAnsi="Times New Roman" w:cs="Times New Roman"/>
          <w:sz w:val="22"/>
        </w:rPr>
        <w:t>considerable challenge</w:t>
      </w:r>
      <w:r w:rsidR="00B31FE4" w:rsidRPr="00645DFF">
        <w:rPr>
          <w:rFonts w:ascii="Times New Roman" w:hAnsi="Times New Roman" w:cs="Times New Roman"/>
          <w:sz w:val="22"/>
        </w:rPr>
        <w:t>.</w:t>
      </w:r>
      <w:r w:rsidR="00202A63"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{"citationID":"PqP7BCGf","properties":{"unsorted":false,"formattedCitation":"\\super 17\\nosupersub{}","plainCitation":"17","noteIndex":0},"citationItems":[{"id":7022,"uris":["http://zotero.org/users/2200358/items/B8XVBMYJ"],"itemData":{"id":7022,"type":"article-journal","abstract":"Topological insulator (TI), a promising quantum and semiconductor material, has gapless surface state and narrow bulk band gap. Firstly, the properties, classifications and compounds of TI are introduced. Secondly, the preparation and doping of TI are assessed. Some results are listed. (1) Although various preparation methods are used to improve the crystal quality of the TI, it cannot reach the industrialization. Fermi level regulation still faces challenges; (2) The carrier type and lattice of TI are affected by non-magnetic impurities. The most promising property is the superconductivity at low temperature; (3) Magnetic impurities can destroy the time-reversal symmetry of the TI surface, which opens the band gap on the TI surface resulting in some novel physical effects such as quantum anomalous Hall effect (QAHE). Thirdly, this paper summarizes various applications of TI including photodetector, magnetic device, field-effect transistor (FET), laser, and so on. Furthermore, many of their parameters are compared based on TI and some common materials. It is found that TI-based devices exhibit excellent performance, but some parameters such as signal to noise ratio (S/N) are still lower than other materials. Finally, its advantages, challenges and future prospects are discussed. Overall, this paper provides an opportunity to improve crystal quality, doping regulation and application of TI.","container-title":"Materials","DOI":"10.3390/ma10070814","ISSN":"1996-1944","issue":"7","language":"en","license":"http://creativecommons.org/licenses/by/3.0/","page":"814","publisher":"Multidisciplinary Digital Publishing Institute","source":"www.mdpi.com","title":"The Property, Preparation and Application of Topological Insulators: A Review","title-short":"The Property, Preparation and Application of Topological Insulators","URL":"https://www.mdpi.com/1996-1944/10/7/814","volume":"10","author":[{"family":"Tian","given":"Wenchao"},{"family":"Yu","given":"Wenbo"},{"family":"Shi","given":"Jing"},{"family":"Wang","given":"Yongkun"}],"accessed":{"date-parts":[["2026",3,19]]},"issued":{"date-parts":[["2017",7]]}}}],"schema":"https://github.com/citation-style-language/schema/raw/master/csl-citation.json"} </w:instrText>
      </w:r>
      <w:r w:rsidR="00202A63"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17</w:t>
      </w:r>
      <w:r w:rsidR="00202A63" w:rsidRPr="00645DFF">
        <w:rPr>
          <w:rFonts w:ascii="Times New Roman" w:hAnsi="Times New Roman" w:cs="Times New Roman"/>
          <w:sz w:val="22"/>
        </w:rPr>
        <w:fldChar w:fldCharType="end"/>
      </w:r>
      <w:r w:rsidR="000C59F3" w:rsidRPr="00645DFF">
        <w:rPr>
          <w:rFonts w:ascii="Times New Roman" w:hAnsi="Times New Roman" w:cs="Times New Roman"/>
          <w:sz w:val="22"/>
        </w:rPr>
        <w:t xml:space="preserve"> </w:t>
      </w:r>
      <w:r w:rsidR="00B31FE4" w:rsidRPr="00645DFF">
        <w:rPr>
          <w:rFonts w:ascii="Times New Roman" w:hAnsi="Times New Roman" w:cs="Times New Roman"/>
          <w:sz w:val="22"/>
        </w:rPr>
        <w:t xml:space="preserve">The </w:t>
      </w:r>
      <w:r w:rsidR="001D183F" w:rsidRPr="00645DFF">
        <w:rPr>
          <w:rFonts w:ascii="Times New Roman" w:hAnsi="Times New Roman" w:cs="Times New Roman"/>
          <w:sz w:val="22"/>
        </w:rPr>
        <w:t>low</w:t>
      </w:r>
      <w:r w:rsidR="0036669A" w:rsidRPr="00645DFF">
        <w:rPr>
          <w:rFonts w:ascii="Times New Roman" w:hAnsi="Times New Roman" w:cs="Times New Roman"/>
          <w:sz w:val="22"/>
        </w:rPr>
        <w:t xml:space="preserve"> melting point </w:t>
      </w:r>
      <w:r w:rsidR="001D183F" w:rsidRPr="00645DFF">
        <w:rPr>
          <w:rFonts w:ascii="Times New Roman" w:hAnsi="Times New Roman" w:cs="Times New Roman"/>
          <w:sz w:val="22"/>
        </w:rPr>
        <w:t xml:space="preserve">and high reactivity of </w:t>
      </w:r>
      <w:proofErr w:type="spellStart"/>
      <w:r w:rsidR="001D183F" w:rsidRPr="00645DFF">
        <w:rPr>
          <w:rFonts w:ascii="Times New Roman" w:hAnsi="Times New Roman" w:cs="Times New Roman"/>
          <w:sz w:val="22"/>
        </w:rPr>
        <w:t>BiSb</w:t>
      </w:r>
      <w:proofErr w:type="spellEnd"/>
      <w:r w:rsidR="001D183F" w:rsidRPr="00645DFF">
        <w:rPr>
          <w:rFonts w:ascii="Times New Roman" w:hAnsi="Times New Roman" w:cs="Times New Roman"/>
          <w:sz w:val="22"/>
        </w:rPr>
        <w:t xml:space="preserve"> lead to interfacial interdiffusion during thin-film deposition and </w:t>
      </w:r>
      <w:r w:rsidR="007961FB" w:rsidRPr="00645DFF">
        <w:rPr>
          <w:rFonts w:ascii="Times New Roman" w:hAnsi="Times New Roman" w:cs="Times New Roman"/>
          <w:sz w:val="22"/>
        </w:rPr>
        <w:t xml:space="preserve">subsequent </w:t>
      </w:r>
      <w:r w:rsidR="001D183F" w:rsidRPr="00645DFF">
        <w:rPr>
          <w:rFonts w:ascii="Times New Roman" w:hAnsi="Times New Roman" w:cs="Times New Roman"/>
          <w:sz w:val="22"/>
        </w:rPr>
        <w:t xml:space="preserve">thermal processing, especially </w:t>
      </w:r>
      <w:r w:rsidR="00C90C4B" w:rsidRPr="00645DFF">
        <w:rPr>
          <w:rFonts w:ascii="Times New Roman" w:hAnsi="Times New Roman" w:cs="Times New Roman"/>
          <w:sz w:val="22"/>
        </w:rPr>
        <w:t xml:space="preserve">when </w:t>
      </w:r>
      <w:r w:rsidR="007961FB" w:rsidRPr="00645DFF">
        <w:rPr>
          <w:rFonts w:ascii="Times New Roman" w:hAnsi="Times New Roman" w:cs="Times New Roman"/>
          <w:sz w:val="22"/>
        </w:rPr>
        <w:t>i</w:t>
      </w:r>
      <w:r w:rsidR="001D183F" w:rsidRPr="00645DFF">
        <w:rPr>
          <w:rFonts w:ascii="Times New Roman" w:hAnsi="Times New Roman" w:cs="Times New Roman"/>
          <w:sz w:val="22"/>
        </w:rPr>
        <w:t>n contact with FM</w:t>
      </w:r>
      <w:r w:rsidR="00C90C4B" w:rsidRPr="00645DFF">
        <w:rPr>
          <w:rFonts w:ascii="Times New Roman" w:hAnsi="Times New Roman" w:cs="Times New Roman"/>
          <w:sz w:val="22"/>
        </w:rPr>
        <w:t xml:space="preserve"> layers</w:t>
      </w:r>
      <w:r w:rsidR="003D1B69" w:rsidRPr="00645DFF">
        <w:rPr>
          <w:rFonts w:ascii="Times New Roman" w:hAnsi="Times New Roman" w:cs="Times New Roman"/>
          <w:sz w:val="22"/>
        </w:rPr>
        <w:fldChar w:fldCharType="begin"/>
      </w:r>
      <w:r w:rsidR="003839CD" w:rsidRPr="00645DFF">
        <w:rPr>
          <w:rFonts w:ascii="Times New Roman" w:hAnsi="Times New Roman" w:cs="Times New Roman"/>
          <w:sz w:val="22"/>
        </w:rPr>
        <w:instrText xml:space="preserve"> ADDIN ZOTERO_ITEM CSL_CITATION {"citationID":"q4LjSO5W","properties":{"unsorted":false,"formattedCitation":"\\super 18,19\\nosupersub{}","plainCitation":"18,19","noteIndex":0},"citationItems":[{"id":7024,"uris":["http://zotero.org/users/2200358/items/HTHQYWG9"],"itemData":{"id":7024,"type":"paper-conference","abstract":"The Topological Insulator (TI) BiSb, grown with a (012) film texture using molecular beam epitaxy, and coupled with a FM layer has been shown to have a very high Spin Hall Angle (SHA) &gt; 2 and high electrical conductivity (&gt;10 5 Ohm -1 m -1 ) in thin film stacks 1 . This makes the TI material ideally suited for spin transfer devices requiring several orders of magnitude less power consumption to operate than other traditional devices 2 . However, the practical implementation of this TI material into devices using PVD requires you overcome many severe material challenges. The BiSb material is very soft, easily damaged in ion milling or by subsequent depositions, it has a very low melting point 280C, and hence possesses a very large in-plane grain size as deposited at room temperature, 6X the targeted thickness in devices. Thermal Migration of Sb out of the TI material is also a severe problem, which is exacerbated by film roughness and large grain sizes, and all of this must be solved while growing and maintaining a non-prismatic (012) texture of BiSb with low roughness, good interfacial TI properties, at reasonable operating temperatures &gt; 180C in actual device stacks, non-epitaxially on SiOx or ceramic substrates. We discuss here how we addressed these challenges through appropriate selection of epitaxial and non-epitaxial materials for buffer layer(s) (bottom interface), and (top interface) interlayer(s), and by using a non-uniform thickness doping of the BiSb(X) material to stabilize and grow a BiSbX(012) textured layer with low roughness, good TI properties, at elevated temperatures in FM thin film stacks.","container-title":"2021 IEEE 32nd Magnetic Recording Conference (TMRC)","DOI":"10.1109/TMRC53175.2021.9605108","event-title":"2021 IEEE 32nd Magnetic Recording Conference (TMRC)","page":"1-2","source":"IEEE Xplore","title":"The Practical Material Challenges Involved in using the Topological Insulator BiSb in a Spin Transfer Device","URL":"https://ieeexplore.ieee.org/document/9605108","author":[{"family":"York","given":"B."},{"family":"Hai","given":"P."},{"family":"Le","given":"Q."},{"family":"Hwang","given":"C."},{"family":"Nguyen","given":"K."},{"family":"Ho","given":"H."},{"family":"Sasaki","given":"J."},{"family":"Liu","given":"X."},{"family":"Le","given":"S."},{"family":"Ho","given":"M."},{"family":"Takano","given":"H."}],"accessed":{"date-parts":[["2026",3,19]]},"issued":{"date-parts":[["2021",8]]}}},{"id":7026,"uris":["http://zotero.org/users/2200358/items/GKLWSMRD"],"itemData":{"id":7026,"type":"article-journal","abstract":"We grew and characterized Bi1-xSbx thin films on GaAs(111)A substrates by molecular beam epitaxy. By optimizing the growth condition, we were able to grow Bi1-xSbx thin films epitaxially with the Sb concentration ranging from 0% to 100% and the epitaxial orientation of Bi1-xSbx(001)//GaAs(111). The conductivity of Bi1-xSbx exceeds 105 Ω−1 m−1 and approaches those of bulk values for thick enough thin films, which are higher than those of other Bi-based topological insulators by at least an order of magnitude. From the temperature dependence of their electrical conductivity, we confirmed the existence of metallic surface states of Bi1-xSbx inside and outside of the topological insulating region. Our results demonstrate the potential of Bi1-xSbx as a spin Hall material with high conductivity and possibly large spin Hall angle for spintronic applications.","container-title":"Applied Physics Letters","DOI":"10.1063/1.4975492","ISSN":"0003-6951","issue":"6","journalAbbreviation":"Appl. Phys. Lett.","page":"062401","source":"Silverchair","title":"Epitaxial growth and characterization of Bi1-xSbx spin Hall thin films on GaAs(111)A substrates","URL":"https://doi.org/10.1063/1.4975492","volume":"110","author":[{"family":"Ueda","given":"Yugo"},{"family":"Duy Khang","given":"Nguyen Huynh"},{"family":"Yao","given":"Kenichiro"},{"family":"Hai","given":"Pham Nam"}],"accessed":{"date-parts":[["2026",3,19]]},"issued":{"date-parts":[["2017",2,6]]}}}],"schema":"https://github.com/citation-style-language/schema/raw/master/csl-citation.json"} </w:instrText>
      </w:r>
      <w:r w:rsidR="003D1B69"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18,19</w:t>
      </w:r>
      <w:r w:rsidR="003D1B69" w:rsidRPr="00645DFF">
        <w:rPr>
          <w:rFonts w:ascii="Times New Roman" w:hAnsi="Times New Roman" w:cs="Times New Roman"/>
          <w:sz w:val="22"/>
        </w:rPr>
        <w:fldChar w:fldCharType="end"/>
      </w:r>
      <w:r w:rsidR="007961FB" w:rsidRPr="00645DFF">
        <w:rPr>
          <w:rFonts w:ascii="Times New Roman" w:hAnsi="Times New Roman" w:cs="Times New Roman"/>
          <w:sz w:val="22"/>
        </w:rPr>
        <w:t>.</w:t>
      </w:r>
      <w:r w:rsidR="001D183F" w:rsidRPr="00645DFF">
        <w:rPr>
          <w:rFonts w:ascii="Times New Roman" w:hAnsi="Times New Roman" w:cs="Times New Roman"/>
          <w:sz w:val="22"/>
        </w:rPr>
        <w:t xml:space="preserve"> </w:t>
      </w:r>
      <w:r w:rsidR="007A7CF6" w:rsidRPr="00645DFF">
        <w:rPr>
          <w:rFonts w:ascii="Times New Roman" w:hAnsi="Times New Roman" w:cs="Times New Roman"/>
          <w:sz w:val="22"/>
        </w:rPr>
        <w:t>Such intermixing degrades the topological surface states and diminishes spin–charge conversion efficiency.</w:t>
      </w:r>
      <w:r w:rsidR="007961FB" w:rsidRPr="00645DFF">
        <w:rPr>
          <w:rFonts w:ascii="Times New Roman" w:hAnsi="Times New Roman" w:cs="Times New Roman"/>
          <w:sz w:val="22"/>
        </w:rPr>
        <w:t xml:space="preserve"> </w:t>
      </w:r>
      <w:r w:rsidR="004116A1" w:rsidRPr="00645DFF">
        <w:rPr>
          <w:rFonts w:ascii="Times New Roman" w:hAnsi="Times New Roman" w:cs="Times New Roman"/>
          <w:sz w:val="22"/>
        </w:rPr>
        <w:t xml:space="preserve">To address these </w:t>
      </w:r>
      <w:r w:rsidR="00F22CA0" w:rsidRPr="00645DFF">
        <w:rPr>
          <w:rFonts w:ascii="Times New Roman" w:hAnsi="Times New Roman" w:cs="Times New Roman"/>
          <w:sz w:val="22"/>
        </w:rPr>
        <w:t>challenges</w:t>
      </w:r>
      <w:r w:rsidR="004116A1" w:rsidRPr="00645DFF">
        <w:rPr>
          <w:rFonts w:ascii="Times New Roman" w:hAnsi="Times New Roman" w:cs="Times New Roman"/>
          <w:sz w:val="22"/>
        </w:rPr>
        <w:t xml:space="preserve">, </w:t>
      </w:r>
      <w:r w:rsidR="007A7CF6" w:rsidRPr="00645DFF">
        <w:rPr>
          <w:rFonts w:ascii="Times New Roman" w:hAnsi="Times New Roman" w:cs="Times New Roman"/>
          <w:sz w:val="22"/>
        </w:rPr>
        <w:t>recent studies have focused on interface engineering using interlayers,</w:t>
      </w:r>
      <w:r w:rsidR="00291188" w:rsidRPr="00645DFF">
        <w:rPr>
          <w:rFonts w:ascii="Times New Roman" w:hAnsi="Times New Roman" w:cs="Times New Roman"/>
          <w:sz w:val="22"/>
        </w:rPr>
        <w:t xml:space="preserve"> </w:t>
      </w:r>
      <w:r w:rsidR="00826FB3" w:rsidRPr="00645DFF">
        <w:rPr>
          <w:rFonts w:ascii="Times New Roman" w:hAnsi="Times New Roman" w:cs="Times New Roman"/>
          <w:sz w:val="22"/>
        </w:rPr>
        <w:t xml:space="preserve">which serve multiple roles in TI/FM heterostructures. </w:t>
      </w:r>
      <w:r w:rsidR="009F3D0B" w:rsidRPr="00645DFF">
        <w:rPr>
          <w:rFonts w:ascii="Times New Roman" w:hAnsi="Times New Roman" w:cs="Times New Roman"/>
          <w:sz w:val="22"/>
        </w:rPr>
        <w:t xml:space="preserve">Interlayers </w:t>
      </w:r>
      <w:r w:rsidR="00826FB3" w:rsidRPr="00645DFF">
        <w:rPr>
          <w:rFonts w:ascii="Times New Roman" w:hAnsi="Times New Roman" w:cs="Times New Roman"/>
          <w:sz w:val="22"/>
        </w:rPr>
        <w:t xml:space="preserve">can act as diffusion barriers to suppress interfacial reactions, stabilize the structural and chemical interface, and improve the crystallinity and spin transparency of the system. </w:t>
      </w:r>
      <w:r w:rsidR="002958BC" w:rsidRPr="00645DFF">
        <w:rPr>
          <w:rFonts w:ascii="Times New Roman" w:hAnsi="Times New Roman" w:cs="Times New Roman"/>
          <w:sz w:val="22"/>
        </w:rPr>
        <w:fldChar w:fldCharType="begin" w:fldLock="1"/>
      </w:r>
      <w:r w:rsidR="00FE2BAE" w:rsidRPr="00645DFF">
        <w:rPr>
          <w:rFonts w:ascii="Times New Roman" w:hAnsi="Times New Roman" w:cs="Times New Roman"/>
          <w:sz w:val="22"/>
        </w:rPr>
        <w:instrText xml:space="preserve"> ADDIN ZOTERO_ITEM CSL_CITATION {"citationID":"HcHPX12I","properties":{"unsorted":false,"formattedCitation":"\\super 20\\uc0\\u8211{}25\\nosupersub{}","plainCitation":"20–25","noteIndex":0},"citationItems":[{"id":7063,"uris":["http://zotero.org/users/2200358/items/WWRGXBC9"],"itemData":{"id":7063,"type":"article-journal","abstract":"Topological insulator (TI) based heterostructure is a prospective candidate for ultrahigh spin-to-charge conversion efficiency due to its unique surface states. We investigate the spin-to-charge conversion in (Bi,Sb)2Te3 (BST)/CoFeB, BST/Ru/CoFeB, and BST/Ti/CoFeB by spin pumping measurement. We find that the inverse Edelstein effect length (λIEE) increases by 60% with a Ru insertion while remains constant with a Ti insertion. This can be potentially explained by the protection of BST surface states due to the high electronegativity of Ru. Such enhancement is independent of the insertion layer thickness once the thickness of Ru is larger than 0.5 nm, and this result suggests that λIEE is very sensitive to the TI interface. In addition, an effectively perpendicular magnetic anisotropy field and additional magnetic damping are observed in the BST/CoFeB sample, which comes from the interfacial spin–orbit coupling between the BST and the CoFeB. Our work provides a method to enhance λIEE and is useful for the understanding of charge-to-spin conversion in TI-based systems.","container-title":"APL Materials","DOI":"10.1063/5.0049044","ISSN":"2166-532X","issue":"7","journalAbbreviation":"APL Mater.","page":"071104","source":"Silverchair","title":"Enhancement of spin-to-charge conversion efficiency in topological insulators by interface engineering","URL":"https://doi.org/10.1063/5.0049044","volume":"9","author":[{"family":"He","given":"Haoran"},{"family":"Tai","given":"Lixuan"},{"family":"Wu","given":"Di"},{"family":"Wu","given":"Hao"},{"family":"Razavi","given":"Armin"},{"family":"Wong","given":"Kin"},{"family":"Liu","given":"Yuxiang"},{"family":"Wang","given":"Kang L."}],"accessed":{"date-parts":[["2026",3,19]]},"issued":{"date-parts":[["2021",7,2]]}}},{"id":"Wnkjn3Rf/tWGjfJC9","uris":["http://zotero.org/users/17579442/items/UYKC9U88"],"itemData":{"id":"BMUZIrgb/EMDIE7r4","type":"article-journal","container-title":"Physical Review Applied","DOI":"10.1103/physrevapplied.19.034012","ISSN":"2331-7019","issue":"3","journalAbbreviation":"Phys. Rev. Applied","language":"en","license":"https://link.aps.org/licenses/aps-default-license","publisher":"American Physical Society (APS)","source":"Crossref","title":"Crystallinity Control of the Topological-Insulator Surface Bi85Sb15(012) via Interfacial Engineering for Enhanced Spin-Orbit Torque","URL":"https://link.aps.org/doi/10.1103/PhysRevApplied.19.034012","volume":"19","author":[{"family":"Poh","given":"H. Y."},{"family":"Ang","given":"C. C. I."},{"family":"Lim","given":"G. J."},{"family":"Jin","given":"T. L."},{"family":"Lee","given":"S. H."},{"family":"Koh","given":"E. K."},{"family":"Poh","given":"F."},{"family":"Lew","given":"W. S."}],"accessed":{"date-parts":[["2025",7,16]]},"issued":{"date-parts":[["2023",3,3]]}}},{"id":"Wnkjn3Rf/k9NNvfy2","uris":["http://zotero.org/users/17579442/items/5KXHSQ83"],"itemData":{"id":"BMUZIrgb/t71UEUp4","type":"article-journal","container-title":"Physical Review B","DOI":"10.1103/physrevb.97.041115","ISSN":"2469-9950, 2469-9969","issue":"4","journalAbbreviation":"Phys. Rev. B","language":"en","license":"https://link.aps.org/licenses/aps-default-license","publisher":"American Physical Society (APS)","source":"Crossref","title":"Efficient charge-spin conversion and magnetization switching through the Rashba effect at topological-insulator/Ag interfaces","URL":"https://link.aps.org/doi/10.1103/PhysRevB.97.041115","volume":"97","author":[{"family":"Shi","given":"Shuyuan"},{"family":"Wang","given":"Aizhu"},{"family":"Wang","given":"Yi"},{"family":"Ramaswamy","given":"Rajagopalan"},{"family":"Shen","given":"Lei"},{"family":"Moon","given":"Jisoo"},{"family":"Zhu","given":"Dapeng"},{"family":"Yu","given":"Jiawei"},{"family":"Oh","given":"Seongshik"},{"family":"Feng","given":"Yuanping"},{"family":"Yang","given":"Hyunsoo"}],"accessed":{"date-parts":[["2025",7,16]]},"issued":{"date-parts":[["2018",1,23]]}}},{"id":7060,"uris":["http://zotero.org/users/2200358/items/WZVFFRS3"],"itemData":{"id":7060,"type":"article-journal","abstract":"The charge-to-spin conversion efficiency at the interface between a topological insulator and a ferromagnetic (FM) layer can be enhanced by inserting an interlayer (ITL). However, the mechanism of this enhancement is unclear. In this work, we systematically investigate the ITL effects by introducing various metal, oxide, and hybrid metal/oxide ITL between a BiSb topological insulator and a CoFe ferromagnetic layer. Our findings revealed that using a metallic NiFeGe or insulating MgO ITL resulted in similarly high efficiencies, with the highest efficiency achieved when employing hybrid NiFeGe/MgO ITL. However, efficiency decreased when NiFeGe was combined with MgTiO with increasing TiO composition. Such behaviors can be qualitatively understood by considering the ITL intrinsic effect of enhancing the intrinsic spin Hall angle of BiSb via preventing Sb diffusion from BiSb and migration of the FM and the extrinsic effect where the ITL spin transparency is determined by the spin tunneling/diffusion across the ITL and the spin-flip/spin-transfer at the ITL/FM interface. This study provides valuable insights and a framework for understanding and optimizing interlayer materials for ultralow power spin–orbit torque applications.","container-title":"Journal of Applied Physics","DOI":"10.1063/5.0253596","ISSN":"0021-8979","issue":"12","journalAbbreviation":"J. Appl. Phys.","page":"123903","source":"Silverchair","title":"Effects of metal, oxide, and hybrid metal-oxide interlayers on spin–orbit torque in BiSb topological insulator and magnetic interfaces","URL":"https://doi.org/10.1063/5.0253596","volume":"137","author":[{"family":"Le","given":"Quang"},{"family":"Liu","given":"Xiaoyong"},{"family":"Xu","given":"Lei"},{"family":"York","given":"Brian R."},{"family":"Hwang","given":"Cherngye"},{"family":"Le","given":"Son"},{"family":"Maeda","given":"Maki"},{"family":"Fan","given":"Tuo"},{"family":"Tao","given":"Yu"},{"family":"Takano","given":"Hisashi"},{"family":"Liu","given":"Min"},{"family":"Ruixian","given":"Zhang"},{"family":"Namba","given":"Shota"},{"family":"Hai","given":"Pham Nam"}],"accessed":{"date-parts":[["2026",3,19]]},"issued":{"date-parts":[["2025",3,25]]}}},{"id":7029,"uris":["http://zotero.org/users/2200358/items/29JW7NJV"],"itemData":{"id":7029,"type":"article-journal","abstract":"In this study, we investigate the spin Hall effect in heterostructures of Bi0.85Sb0.15 (10 nm) topological insulator/Ru(Ti)/Ta/Co20Fe60B20/MgO with perpendicular magnetic anisotropy. By optimizing the Ru (Ti) interfacial layer thickness as well as deposition condition of BiSb, we achieve a large effective spin Hall angle of 6.0 ± 0.1 and relatively high electrical conductivity of 1.5 × 105 Ω−1 m−1 at room temperature. We, then, demonstrate spin–orbit torque-induced magnetization switching driven by a small threshold current density of 1 × 106 Acm−2. Benchmarking shows that the writing power consumption of our stack is 2–3 orders smaller than that of heavy metals.","container-title":"Applied Physics Letters","DOI":"10.1063/5.0184870","ISSN":"0003-6951","issue":"7","journalAbbreviation":"Appl. Phys. Lett.","page":"072402","source":"Silverchair","title":"High spin Hall angle in BiSb topological insulator and perpendicularly magnetized CoFeB/MgO multilayers with metallic interfacial layers","URL":"https://doi.org/10.1063/5.0184870","volume":"124","author":[{"family":"Ruixian","given":"Zhang"},{"family":"Huy","given":"Ho Hoang"},{"family":"Shirokura","given":"Takanori"},{"family":"Hai","given":"Pham Nam"},{"family":"Le","given":"Quang"},{"family":"York","given":"Brian"},{"family":"Hwang","given":"Cherngye"},{"family":"Liu","given":"Xiaoyong"},{"family":"Gribelyuk","given":"Michael"},{"family":"Xu","given":"Xiaoyu"},{"family":"Le","given":"Son"},{"family":"Maeda","given":"Maki"},{"family":"Fan","given":"Tuo"},{"family":"Tao","given":"Yu"},{"family":"Takano","given":"Hisashi"}],"accessed":{"date-parts":[["2026",3,19]]},"issued":{"date-parts":[["2024",2,14]]}}},{"id":"Wnkjn3Rf/IgVotlSa","uris":["http://zotero.org/users/17579442/items/XTQKW726"],"itemData":{"id":"BMUZIrgb/O6krweLG","type":"article-journal","abstract":"Topological insulators are intriguing materials in the field of spintronics because they exhibit unique electronic properties that hold great promise for device applications. BiSb has attracted more research interest among topological materials due to its remarkably high spin−orbit torque (SOT) efficiency. However, due to the low melting point of the alloy, high diffusivities of Bi/Sb tend to degrade the SOT efficiency with temperature and aging. In this work, we utilize interfacial chemistry driven by a titanium (Ti) spacer between BiSb and NiFe bilayers to improve the SOT efficiency. We investigated the effect of the Ti insertion layer on the SOT efficiency under as-deposited, room-temperature aging, and annealing conditions. The SOT efficiency, estimated from the spin-torque ferromagnetic resonance response, revealed that the samples with the Ti layer had shown a multifold increase in the SOT efficiency compared to those without Ti insertion. Atomic resolution microstructural analyses provided a clear understanding of the interfacial chemistry where Ti successfully hindered the interdiffusion of Ni and Sb. The interfacial chemistry in the vicinity of Ti contributed significantly to the improvement of the SOT efficiency. These results highlight the importance of the Ti insertion layer in the BiSb-based topological material/ferromagnet bilayer systems for SOT applications in spintronics.","container-title":"ACS Applied Electronic Materials","DOI":"10.1021/acsaelm.4c00357","ISSN":"2637-6113, 2637-6113","issue":"6","journalAbbreviation":"ACS Appl. Electron. Mater.","language":"en","license":"https://doi.org/10.15223/policy-029","page":"4269-4276","publisher":"American Chemical Society (ACS)","source":"Crossref","title":"Spin–Orbit Torque Modulated by Interface Chemistry in Topological BiSb/NiFe Bilayers with Titanium Insertion","volume":"6","author":[{"family":"Manoj","given":"Talluri"},{"family":"Wen","given":"Zhenchao"},{"family":"Uzuhashi","given":"Jun"},{"family":"Ohkubo","given":"Tadakatsu"},{"family":"Sukegawa","given":"Hiroaki"},{"family":"Murapaka","given":"Chandrasekhar"},{"family":"York","given":"Brian"},{"family":"Liu","given":"Xiaoyong"},{"family":"Le","given":"Quang"},{"family":"Mitani","given":"Seiji"}],"issued":{"date-parts":[["2024",6,25]]}}}],"schema":"https://github.com/citation-style-language/schema/raw/master/csl-citation.json"} </w:instrText>
      </w:r>
      <w:r w:rsidR="002958BC"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20–25</w:t>
      </w:r>
      <w:r w:rsidR="002958BC" w:rsidRPr="00645DFF">
        <w:rPr>
          <w:rFonts w:ascii="Times New Roman" w:hAnsi="Times New Roman" w:cs="Times New Roman"/>
          <w:sz w:val="22"/>
        </w:rPr>
        <w:fldChar w:fldCharType="end"/>
      </w:r>
      <w:r w:rsidR="007A7CF6" w:rsidRPr="00645DFF">
        <w:rPr>
          <w:rFonts w:ascii="Times New Roman" w:hAnsi="Times New Roman" w:cs="Times New Roman"/>
          <w:sz w:val="22"/>
        </w:rPr>
        <w:t xml:space="preserve"> These effects are crucial for preserving topological surface states and enhancing SOT performance. </w:t>
      </w:r>
    </w:p>
    <w:p w14:paraId="493DDB60" w14:textId="58F9F84F" w:rsidR="00772ABA" w:rsidRPr="00645DFF" w:rsidRDefault="007A7CF6"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lastRenderedPageBreak/>
        <w:t xml:space="preserve">Experimental efforts have demonstrated the effectiveness of various </w:t>
      </w:r>
      <w:r w:rsidR="00F91960" w:rsidRPr="00645DFF">
        <w:rPr>
          <w:rFonts w:ascii="Times New Roman" w:hAnsi="Times New Roman" w:cs="Times New Roman"/>
          <w:sz w:val="22"/>
        </w:rPr>
        <w:t xml:space="preserve">interlayers </w:t>
      </w:r>
      <w:r w:rsidRPr="00645DFF">
        <w:rPr>
          <w:rFonts w:ascii="Times New Roman" w:hAnsi="Times New Roman" w:cs="Times New Roman"/>
          <w:sz w:val="22"/>
        </w:rPr>
        <w:t>in modulating interfacial properties and spin–charge conversion.</w:t>
      </w:r>
      <w:r w:rsidR="00D73A7C" w:rsidRPr="00645DFF">
        <w:rPr>
          <w:rFonts w:ascii="Times New Roman" w:hAnsi="Times New Roman" w:cs="Times New Roman"/>
          <w:sz w:val="22"/>
        </w:rPr>
        <w:t xml:space="preserve"> </w:t>
      </w:r>
      <w:r w:rsidR="00905252" w:rsidRPr="00645DFF">
        <w:rPr>
          <w:rFonts w:ascii="Times New Roman" w:hAnsi="Times New Roman" w:cs="Times New Roman"/>
          <w:sz w:val="22"/>
        </w:rPr>
        <w:t>For example, the use of Ru as an interlayer in (</w:t>
      </w:r>
      <w:proofErr w:type="spellStart"/>
      <w:r w:rsidR="00905252" w:rsidRPr="00645DFF">
        <w:rPr>
          <w:rFonts w:ascii="Times New Roman" w:hAnsi="Times New Roman" w:cs="Times New Roman"/>
          <w:sz w:val="22"/>
        </w:rPr>
        <w:t>Bi,Sb</w:t>
      </w:r>
      <w:proofErr w:type="spellEnd"/>
      <w:r w:rsidR="00905252" w:rsidRPr="00645DFF">
        <w:rPr>
          <w:rFonts w:ascii="Times New Roman" w:hAnsi="Times New Roman" w:cs="Times New Roman"/>
          <w:sz w:val="22"/>
        </w:rPr>
        <w:t>)</w:t>
      </w:r>
      <w:r w:rsidR="00AE0E00" w:rsidRPr="00645DFF">
        <w:rPr>
          <w:rFonts w:ascii="Times New Roman" w:hAnsi="Times New Roman" w:cs="Times New Roman"/>
          <w:sz w:val="22"/>
          <w:vertAlign w:val="subscript"/>
        </w:rPr>
        <w:t>2</w:t>
      </w:r>
      <w:r w:rsidR="00905252" w:rsidRPr="00645DFF">
        <w:rPr>
          <w:rFonts w:ascii="Times New Roman" w:hAnsi="Times New Roman" w:cs="Times New Roman"/>
          <w:sz w:val="22"/>
        </w:rPr>
        <w:t>Te</w:t>
      </w:r>
      <w:r w:rsidR="00AE0E00" w:rsidRPr="00645DFF">
        <w:rPr>
          <w:rFonts w:ascii="Times New Roman" w:hAnsi="Times New Roman" w:cs="Times New Roman"/>
          <w:sz w:val="22"/>
          <w:vertAlign w:val="subscript"/>
        </w:rPr>
        <w:t>3</w:t>
      </w:r>
      <w:r w:rsidR="00905252" w:rsidRPr="00645DFF">
        <w:rPr>
          <w:rFonts w:ascii="Times New Roman" w:hAnsi="Times New Roman" w:cs="Times New Roman"/>
          <w:sz w:val="22"/>
        </w:rPr>
        <w:t>/</w:t>
      </w:r>
      <w:proofErr w:type="spellStart"/>
      <w:r w:rsidR="00905252" w:rsidRPr="00645DFF">
        <w:rPr>
          <w:rFonts w:ascii="Times New Roman" w:hAnsi="Times New Roman" w:cs="Times New Roman"/>
          <w:sz w:val="22"/>
        </w:rPr>
        <w:t>CoFeB</w:t>
      </w:r>
      <w:proofErr w:type="spellEnd"/>
      <w:r w:rsidR="00905252" w:rsidRPr="00645DFF">
        <w:rPr>
          <w:rFonts w:ascii="Times New Roman" w:hAnsi="Times New Roman" w:cs="Times New Roman"/>
          <w:sz w:val="22"/>
        </w:rPr>
        <w:t xml:space="preserve"> structures was found to yield higher spin-charge conversion efficiency than Ti.</w:t>
      </w:r>
      <w:r w:rsidR="00905252" w:rsidRPr="00645DFF">
        <w:rPr>
          <w:rFonts w:ascii="Times New Roman" w:hAnsi="Times New Roman" w:cs="Times New Roman"/>
          <w:sz w:val="22"/>
        </w:rPr>
        <w:fldChar w:fldCharType="begin" w:fldLock="1"/>
      </w:r>
      <w:r w:rsidR="003839CD" w:rsidRPr="00645DFF">
        <w:rPr>
          <w:rFonts w:ascii="Times New Roman" w:hAnsi="Times New Roman" w:cs="Times New Roman"/>
          <w:sz w:val="22"/>
        </w:rPr>
        <w:instrText xml:space="preserve"> ADDIN ZOTERO_ITEM CSL_CITATION {"citationID":"jBRJVHJq","properties":{"unsorted":false,"formattedCitation":"\\super 20\\nosupersub{}","plainCitation":"20","noteIndex":0},"citationItems":[{"id":7063,"uris":["http://zotero.org/users/2200358/items/WWRGXBC9"],"itemData":{"id":7063,"type":"article-journal","abstract":"Topological insulator (TI) based heterostructure is a prospective candidate for ultrahigh spin-to-charge conversion efficiency due to its unique surface states. We investigate the spin-to-charge conversion in (Bi,Sb)2Te3 (BST)/CoFeB, BST/Ru/CoFeB, and BST/Ti/CoFeB by spin pumping measurement. We find that the inverse Edelstein effect length (λIEE) increases by 60% with a Ru insertion while remains constant with a Ti insertion. This can be potentially explained by the protection of BST surface states due to the high electronegativity of Ru. Such enhancement is independent of the insertion layer thickness once the thickness of Ru is larger than 0.5 nm, and this result suggests that λIEE is very sensitive to the TI interface. In addition, an effectively perpendicular magnetic anisotropy field and additional magnetic damping are observed in the BST/CoFeB sample, which comes from the interfacial spin–orbit coupling between the BST and the CoFeB. Our work provides a method to enhance λIEE and is useful for the understanding of charge-to-spin conversion in TI-based systems.","container-title":"APL Materials","DOI":"10.1063/5.0049044","ISSN":"2166-532X","issue":"7","journalAbbreviation":"APL Mater.","page":"071104","source":"Silverchair","title":"Enhancement of spin-to-charge conversion efficiency in topological insulators by interface engineering","URL":"https://doi.org/10.1063/5.0049044","volume":"9","author":[{"family":"He","given":"Haoran"},{"family":"Tai","given":"Lixuan"},{"family":"Wu","given":"Di"},{"family":"Wu","given":"Hao"},{"family":"Razavi","given":"Armin"},{"family":"Wong","given":"Kin"},{"family":"Liu","given":"Yuxiang"},{"family":"Wang","given":"Kang L."}],"accessed":{"date-parts":[["2026",3,19]]},"issued":{"date-parts":[["2021",7,2]]}}}],"schema":"https://github.com/citation-style-language/schema/raw/master/csl-citation.json"} </w:instrText>
      </w:r>
      <w:r w:rsidR="00905252"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20</w:t>
      </w:r>
      <w:r w:rsidR="00905252" w:rsidRPr="00645DFF">
        <w:rPr>
          <w:rFonts w:ascii="Times New Roman" w:hAnsi="Times New Roman" w:cs="Times New Roman"/>
          <w:sz w:val="22"/>
        </w:rPr>
        <w:fldChar w:fldCharType="end"/>
      </w:r>
      <w:r w:rsidR="00905252" w:rsidRPr="00645DFF">
        <w:rPr>
          <w:rFonts w:ascii="Times New Roman" w:hAnsi="Times New Roman" w:cs="Times New Roman"/>
          <w:sz w:val="22"/>
        </w:rPr>
        <w:t xml:space="preserve"> In </w:t>
      </w:r>
      <w:proofErr w:type="spellStart"/>
      <w:r w:rsidR="00905252" w:rsidRPr="00645DFF">
        <w:rPr>
          <w:rFonts w:ascii="Times New Roman" w:hAnsi="Times New Roman" w:cs="Times New Roman"/>
          <w:sz w:val="22"/>
        </w:rPr>
        <w:t>BiSb</w:t>
      </w:r>
      <w:proofErr w:type="spellEnd"/>
      <w:r w:rsidR="00905252" w:rsidRPr="00645DFF">
        <w:rPr>
          <w:rFonts w:ascii="Times New Roman" w:hAnsi="Times New Roman" w:cs="Times New Roman"/>
          <w:sz w:val="22"/>
        </w:rPr>
        <w:t xml:space="preserve">/Co stacks, introducing Pt was shown to promote (012)-textured </w:t>
      </w:r>
      <w:proofErr w:type="spellStart"/>
      <w:r w:rsidR="00905252" w:rsidRPr="00645DFF">
        <w:rPr>
          <w:rFonts w:ascii="Times New Roman" w:hAnsi="Times New Roman" w:cs="Times New Roman"/>
          <w:sz w:val="22"/>
        </w:rPr>
        <w:t>BiSb</w:t>
      </w:r>
      <w:proofErr w:type="spellEnd"/>
      <w:r w:rsidR="00905252" w:rsidRPr="00645DFF">
        <w:rPr>
          <w:rFonts w:ascii="Times New Roman" w:hAnsi="Times New Roman" w:cs="Times New Roman"/>
          <w:sz w:val="22"/>
        </w:rPr>
        <w:t xml:space="preserve"> growth, thereby enhancing SOT efficiency and improving spin transparency at the interface.</w:t>
      </w:r>
      <w:r w:rsidR="0075311E" w:rsidRPr="00645DFF">
        <w:rPr>
          <w:rFonts w:ascii="Times New Roman" w:hAnsi="Times New Roman" w:cs="Times New Roman"/>
          <w:sz w:val="22"/>
        </w:rPr>
        <w:fldChar w:fldCharType="begin"/>
      </w:r>
      <w:r w:rsidR="00FE2BAE" w:rsidRPr="00645DFF">
        <w:rPr>
          <w:rFonts w:ascii="Times New Roman" w:hAnsi="Times New Roman" w:cs="Times New Roman"/>
          <w:sz w:val="22"/>
        </w:rPr>
        <w:instrText xml:space="preserve"> ADDIN ZOTERO_ITEM CSL_CITATION {"citationID":"NHlwHnkF","properties":{"unsorted":false,"formattedCitation":"\\super 21\\nosupersub{}","plainCitation":"21","noteIndex":0},"citationItems":[{"id":"Wnkjn3Rf/tWGjfJC9","uris":["http://zotero.org/users/17579442/items/UYKC9U88"],"itemData":{"id":"BMUZIrgb/EMDIE7r4","type":"article-journal","container-title":"Physical Review Applied","DOI":"10.1103/physrevapplied.19.034012","ISSN":"2331-7019","issue":"3","journalAbbreviation":"Phys. Rev. Applied","language":"en","license":"https://link.aps.org/licenses/aps-default-license","publisher":"American Physical Society (APS)","source":"Crossref","title":"Crystallinity Control of the Topological-Insulator Surface Bi85Sb15(012) via Interfacial Engineering for Enhanced Spin-Orbit Torque","URL":"https://link.aps.org/doi/10.1103/PhysRevApplied.19.034012","volume":"19","author":[{"family":"Poh","given":"H. Y."},{"family":"Ang","given":"C. C. I."},{"family":"Lim","given":"G. J."},{"family":"Jin","given":"T. L."},{"family":"Lee","given":"S. H."},{"family":"Koh","given":"E. K."},{"family":"Poh","given":"F."},{"family":"Lew","given":"W. S."}],"accessed":{"date-parts":[["2025",7,16]]},"issued":{"date-parts":[["2023",3,3]]}}}],"schema":"https://github.com/citation-style-language/schema/raw/master/csl-citation.json"} </w:instrText>
      </w:r>
      <w:r w:rsidR="0075311E"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21</w:t>
      </w:r>
      <w:r w:rsidR="0075311E" w:rsidRPr="00645DFF">
        <w:rPr>
          <w:rFonts w:ascii="Times New Roman" w:hAnsi="Times New Roman" w:cs="Times New Roman"/>
          <w:sz w:val="22"/>
        </w:rPr>
        <w:fldChar w:fldCharType="end"/>
      </w:r>
      <w:r w:rsidR="00905252" w:rsidRPr="00645DFF">
        <w:rPr>
          <w:rFonts w:ascii="Times New Roman" w:hAnsi="Times New Roman" w:cs="Times New Roman"/>
          <w:sz w:val="22"/>
        </w:rPr>
        <w:t xml:space="preserve"> In another study on Bi</w:t>
      </w:r>
      <w:r w:rsidR="00AE0E00" w:rsidRPr="00645DFF">
        <w:rPr>
          <w:rFonts w:ascii="Times New Roman" w:hAnsi="Times New Roman" w:cs="Times New Roman"/>
          <w:sz w:val="22"/>
          <w:vertAlign w:val="subscript"/>
        </w:rPr>
        <w:t>2</w:t>
      </w:r>
      <w:r w:rsidR="00905252" w:rsidRPr="00645DFF">
        <w:rPr>
          <w:rFonts w:ascii="Times New Roman" w:hAnsi="Times New Roman" w:cs="Times New Roman"/>
          <w:sz w:val="22"/>
        </w:rPr>
        <w:t>Se</w:t>
      </w:r>
      <w:r w:rsidR="00AE0E00" w:rsidRPr="00645DFF">
        <w:rPr>
          <w:rFonts w:ascii="Times New Roman" w:hAnsi="Times New Roman" w:cs="Times New Roman"/>
          <w:sz w:val="22"/>
          <w:vertAlign w:val="subscript"/>
        </w:rPr>
        <w:t>3</w:t>
      </w:r>
      <w:r w:rsidR="00905252" w:rsidRPr="00645DFF">
        <w:rPr>
          <w:rFonts w:ascii="Times New Roman" w:hAnsi="Times New Roman" w:cs="Times New Roman"/>
          <w:sz w:val="22"/>
        </w:rPr>
        <w:t>/</w:t>
      </w:r>
      <w:proofErr w:type="spellStart"/>
      <w:r w:rsidR="00905252" w:rsidRPr="00645DFF">
        <w:rPr>
          <w:rFonts w:ascii="Times New Roman" w:hAnsi="Times New Roman" w:cs="Times New Roman"/>
          <w:sz w:val="22"/>
        </w:rPr>
        <w:t>CoFeB</w:t>
      </w:r>
      <w:proofErr w:type="spellEnd"/>
      <w:r w:rsidR="00905252" w:rsidRPr="00645DFF">
        <w:rPr>
          <w:rFonts w:ascii="Times New Roman" w:hAnsi="Times New Roman" w:cs="Times New Roman"/>
          <w:sz w:val="22"/>
        </w:rPr>
        <w:t xml:space="preserve"> heterostructures, inserting a thin Ag layer led to nearly a threefold enhancement in spin–charge conversion compared to configurations without Ag.</w:t>
      </w:r>
      <w:r w:rsidR="0075311E" w:rsidRPr="00645DFF">
        <w:rPr>
          <w:rFonts w:ascii="Times New Roman" w:hAnsi="Times New Roman" w:cs="Times New Roman"/>
          <w:sz w:val="22"/>
        </w:rPr>
        <w:fldChar w:fldCharType="begin"/>
      </w:r>
      <w:r w:rsidR="00FE2BAE" w:rsidRPr="00645DFF">
        <w:rPr>
          <w:rFonts w:ascii="Times New Roman" w:hAnsi="Times New Roman" w:cs="Times New Roman"/>
          <w:sz w:val="22"/>
        </w:rPr>
        <w:instrText xml:space="preserve"> ADDIN ZOTERO_ITEM CSL_CITATION {"citationID":"jSKY3h4z","properties":{"unsorted":false,"formattedCitation":"\\super 22\\nosupersub{}","plainCitation":"22","noteIndex":0},"citationItems":[{"id":"Wnkjn3Rf/k9NNvfy2","uris":["http://zotero.org/users/17579442/items/5KXHSQ83"],"itemData":{"id":"BMUZIrgb/t71UEUp4","type":"article-journal","container-title":"Physical Review B","DOI":"10.1103/physrevb.97.041115","ISSN":"2469-9950, 2469-9969","issue":"4","journalAbbreviation":"Phys. Rev. B","language":"en","license":"https://link.aps.org/licenses/aps-default-license","publisher":"American Physical Society (APS)","source":"Crossref","title":"Efficient charge-spin conversion and magnetization switching through the Rashba effect at topological-insulator/Ag interfaces","URL":"https://link.aps.org/doi/10.1103/PhysRevB.97.041115","volume":"97","author":[{"family":"Shi","given":"Shuyuan"},{"family":"Wang","given":"Aizhu"},{"family":"Wang","given":"Yi"},{"family":"Ramaswamy","given":"Rajagopalan"},{"family":"Shen","given":"Lei"},{"family":"Moon","given":"Jisoo"},{"family":"Zhu","given":"Dapeng"},{"family":"Yu","given":"Jiawei"},{"family":"Oh","given":"Seongshik"},{"family":"Feng","given":"Yuanping"},{"family":"Yang","given":"Hyunsoo"}],"accessed":{"date-parts":[["2025",7,16]]},"issued":{"date-parts":[["2018",1,23]]}}}],"schema":"https://github.com/citation-style-language/schema/raw/master/csl-citation.json"} </w:instrText>
      </w:r>
      <w:r w:rsidR="0075311E"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22</w:t>
      </w:r>
      <w:r w:rsidR="0075311E" w:rsidRPr="00645DFF">
        <w:rPr>
          <w:rFonts w:ascii="Times New Roman" w:hAnsi="Times New Roman" w:cs="Times New Roman"/>
          <w:sz w:val="22"/>
        </w:rPr>
        <w:fldChar w:fldCharType="end"/>
      </w:r>
      <w:r w:rsidR="00EE0156" w:rsidRPr="00645DFF">
        <w:rPr>
          <w:rFonts w:ascii="Times New Roman" w:hAnsi="Times New Roman" w:cs="Times New Roman"/>
          <w:sz w:val="22"/>
        </w:rPr>
        <w:t xml:space="preserve"> </w:t>
      </w:r>
      <w:r w:rsidR="00905252" w:rsidRPr="00645DFF">
        <w:rPr>
          <w:rFonts w:ascii="Times New Roman" w:hAnsi="Times New Roman" w:cs="Times New Roman"/>
          <w:sz w:val="22"/>
        </w:rPr>
        <w:t xml:space="preserve">Recent research has also extended to hybrid metal-oxide </w:t>
      </w:r>
      <w:r w:rsidR="00F91960" w:rsidRPr="00645DFF">
        <w:rPr>
          <w:rFonts w:ascii="Times New Roman" w:hAnsi="Times New Roman" w:cs="Times New Roman"/>
          <w:sz w:val="22"/>
        </w:rPr>
        <w:t>interlayer</w:t>
      </w:r>
      <w:r w:rsidR="00905252" w:rsidRPr="00645DFF">
        <w:rPr>
          <w:rFonts w:ascii="Times New Roman" w:hAnsi="Times New Roman" w:cs="Times New Roman"/>
          <w:sz w:val="22"/>
        </w:rPr>
        <w:t xml:space="preserve">s, such as </w:t>
      </w:r>
      <w:proofErr w:type="spellStart"/>
      <w:r w:rsidR="00905252" w:rsidRPr="00645DFF">
        <w:rPr>
          <w:rFonts w:ascii="Times New Roman" w:hAnsi="Times New Roman" w:cs="Times New Roman"/>
          <w:sz w:val="22"/>
        </w:rPr>
        <w:t>NiFeGe</w:t>
      </w:r>
      <w:proofErr w:type="spellEnd"/>
      <w:r w:rsidR="00905252" w:rsidRPr="00645DFF">
        <w:rPr>
          <w:rFonts w:ascii="Times New Roman" w:hAnsi="Times New Roman" w:cs="Times New Roman"/>
          <w:sz w:val="22"/>
        </w:rPr>
        <w:t>/Mg</w:t>
      </w:r>
      <w:r w:rsidR="00531297" w:rsidRPr="00645DFF">
        <w:rPr>
          <w:rFonts w:ascii="Times New Roman" w:hAnsi="Times New Roman" w:cs="Times New Roman"/>
          <w:sz w:val="22"/>
        </w:rPr>
        <w:t>(Ti)</w:t>
      </w:r>
      <w:r w:rsidR="00905252" w:rsidRPr="00645DFF">
        <w:rPr>
          <w:rFonts w:ascii="Times New Roman" w:hAnsi="Times New Roman" w:cs="Times New Roman"/>
          <w:sz w:val="22"/>
        </w:rPr>
        <w:t xml:space="preserve">O in </w:t>
      </w:r>
      <w:proofErr w:type="spellStart"/>
      <w:r w:rsidR="00905252" w:rsidRPr="00645DFF">
        <w:rPr>
          <w:rFonts w:ascii="Times New Roman" w:hAnsi="Times New Roman" w:cs="Times New Roman"/>
          <w:sz w:val="22"/>
        </w:rPr>
        <w:t>BiSb</w:t>
      </w:r>
      <w:proofErr w:type="spellEnd"/>
      <w:r w:rsidR="00531297" w:rsidRPr="00645DFF">
        <w:rPr>
          <w:rFonts w:ascii="Times New Roman" w:hAnsi="Times New Roman" w:cs="Times New Roman"/>
          <w:sz w:val="22"/>
        </w:rPr>
        <w:t>/</w:t>
      </w:r>
      <w:proofErr w:type="spellStart"/>
      <w:r w:rsidR="00531297" w:rsidRPr="00645DFF">
        <w:rPr>
          <w:rFonts w:ascii="Times New Roman" w:hAnsi="Times New Roman" w:cs="Times New Roman"/>
          <w:sz w:val="22"/>
        </w:rPr>
        <w:t>CoFe</w:t>
      </w:r>
      <w:proofErr w:type="spellEnd"/>
      <w:r w:rsidR="00531297" w:rsidRPr="00645DFF">
        <w:rPr>
          <w:rFonts w:ascii="Times New Roman" w:hAnsi="Times New Roman" w:cs="Times New Roman"/>
          <w:sz w:val="22"/>
        </w:rPr>
        <w:t xml:space="preserve"> </w:t>
      </w:r>
      <w:r w:rsidR="00905252" w:rsidRPr="00645DFF">
        <w:rPr>
          <w:rFonts w:ascii="Times New Roman" w:hAnsi="Times New Roman" w:cs="Times New Roman"/>
          <w:sz w:val="22"/>
        </w:rPr>
        <w:t>based systems, which offer added flexibility in tuning interface properties.</w:t>
      </w:r>
      <w:r w:rsidR="006B7C74" w:rsidRPr="00645DFF">
        <w:rPr>
          <w:rFonts w:ascii="Times New Roman" w:hAnsi="Times New Roman" w:cs="Times New Roman"/>
          <w:sz w:val="22"/>
        </w:rPr>
        <w:fldChar w:fldCharType="begin"/>
      </w:r>
      <w:r w:rsidR="003839CD" w:rsidRPr="00645DFF">
        <w:rPr>
          <w:rFonts w:ascii="Times New Roman" w:hAnsi="Times New Roman" w:cs="Times New Roman"/>
          <w:sz w:val="22"/>
        </w:rPr>
        <w:instrText xml:space="preserve"> ADDIN ZOTERO_ITEM CSL_CITATION {"citationID":"6TNXADFx","properties":{"unsorted":false,"formattedCitation":"\\super 23\\nosupersub{}","plainCitation":"23","noteIndex":0},"citationItems":[{"id":7060,"uris":["http://zotero.org/users/2200358/items/WZVFFRS3"],"itemData":{"id":7060,"type":"article-journal","abstract":"The charge-to-spin conversion efficiency at the interface between a topological insulator and a ferromagnetic (FM) layer can be enhanced by inserting an interlayer (ITL). However, the mechanism of this enhancement is unclear. In this work, we systematically investigate the ITL effects by introducing various metal, oxide, and hybrid metal/oxide ITL between a BiSb topological insulator and a CoFe ferromagnetic layer. Our findings revealed that using a metallic NiFeGe or insulating MgO ITL resulted in similarly high efficiencies, with the highest efficiency achieved when employing hybrid NiFeGe/MgO ITL. However, efficiency decreased when NiFeGe was combined with MgTiO with increasing TiO composition. Such behaviors can be qualitatively understood by considering the ITL intrinsic effect of enhancing the intrinsic spin Hall angle of BiSb via preventing Sb diffusion from BiSb and migration of the FM and the extrinsic effect where the ITL spin transparency is determined by the spin tunneling/diffusion across the ITL and the spin-flip/spin-transfer at the ITL/FM interface. This study provides valuable insights and a framework for understanding and optimizing interlayer materials for ultralow power spin–orbit torque applications.","container-title":"Journal of Applied Physics","DOI":"10.1063/5.0253596","ISSN":"0021-8979","issue":"12","journalAbbreviation":"J. Appl. Phys.","page":"123903","source":"Silverchair","title":"Effects of metal, oxide, and hybrid metal-oxide interlayers on spin–orbit torque in BiSb topological insulator and magnetic interfaces","URL":"https://doi.org/10.1063/5.0253596","volume":"137","author":[{"family":"Le","given":"Quang"},{"family":"Liu","given":"Xiaoyong"},{"family":"Xu","given":"Lei"},{"family":"York","given":"Brian R."},{"family":"Hwang","given":"Cherngye"},{"family":"Le","given":"Son"},{"family":"Maeda","given":"Maki"},{"family":"Fan","given":"Tuo"},{"family":"Tao","given":"Yu"},{"family":"Takano","given":"Hisashi"},{"family":"Liu","given":"Min"},{"family":"Ruixian","given":"Zhang"},{"family":"Namba","given":"Shota"},{"family":"Hai","given":"Pham Nam"}],"accessed":{"date-parts":[["2026",3,19]]},"issued":{"date-parts":[["2025",3,25]]}}}],"schema":"https://github.com/citation-style-language/schema/raw/master/csl-citation.json"} </w:instrText>
      </w:r>
      <w:r w:rsidR="006B7C74"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23</w:t>
      </w:r>
      <w:r w:rsidR="006B7C74" w:rsidRPr="00645DFF">
        <w:rPr>
          <w:rFonts w:ascii="Times New Roman" w:hAnsi="Times New Roman" w:cs="Times New Roman"/>
          <w:sz w:val="22"/>
        </w:rPr>
        <w:fldChar w:fldCharType="end"/>
      </w:r>
      <w:r w:rsidR="00905252" w:rsidRPr="00645DFF">
        <w:rPr>
          <w:rFonts w:ascii="Times New Roman" w:hAnsi="Times New Roman" w:cs="Times New Roman"/>
          <w:sz w:val="22"/>
        </w:rPr>
        <w:t xml:space="preserve"> Other approaches have explored combining multiple metallic </w:t>
      </w:r>
      <w:r w:rsidR="00F91960" w:rsidRPr="00645DFF">
        <w:rPr>
          <w:rFonts w:ascii="Times New Roman" w:hAnsi="Times New Roman" w:cs="Times New Roman"/>
          <w:sz w:val="22"/>
        </w:rPr>
        <w:t>interlayers</w:t>
      </w:r>
      <w:r w:rsidR="00905252" w:rsidRPr="00645DFF">
        <w:rPr>
          <w:rFonts w:ascii="Times New Roman" w:hAnsi="Times New Roman" w:cs="Times New Roman"/>
          <w:sz w:val="22"/>
        </w:rPr>
        <w:t xml:space="preserve">, such as Ru(Ti) with Ta, to enhance spin current generation and injection in </w:t>
      </w:r>
      <w:proofErr w:type="spellStart"/>
      <w:r w:rsidR="00905252" w:rsidRPr="00645DFF">
        <w:rPr>
          <w:rFonts w:ascii="Times New Roman" w:hAnsi="Times New Roman" w:cs="Times New Roman"/>
          <w:sz w:val="22"/>
        </w:rPr>
        <w:t>BiSb</w:t>
      </w:r>
      <w:proofErr w:type="spellEnd"/>
      <w:r w:rsidR="00905252" w:rsidRPr="00645DFF">
        <w:rPr>
          <w:rFonts w:ascii="Times New Roman" w:hAnsi="Times New Roman" w:cs="Times New Roman"/>
          <w:sz w:val="22"/>
        </w:rPr>
        <w:t>/</w:t>
      </w:r>
      <w:proofErr w:type="spellStart"/>
      <w:r w:rsidR="00905252" w:rsidRPr="00645DFF">
        <w:rPr>
          <w:rFonts w:ascii="Times New Roman" w:hAnsi="Times New Roman" w:cs="Times New Roman"/>
          <w:sz w:val="22"/>
        </w:rPr>
        <w:t>CoFeB</w:t>
      </w:r>
      <w:proofErr w:type="spellEnd"/>
      <w:r w:rsidR="00905252" w:rsidRPr="00645DFF">
        <w:rPr>
          <w:rFonts w:ascii="Times New Roman" w:hAnsi="Times New Roman" w:cs="Times New Roman"/>
          <w:sz w:val="22"/>
        </w:rPr>
        <w:t>/MgO heterostructures.</w:t>
      </w:r>
      <w:r w:rsidR="0075311E" w:rsidRPr="00645DFF">
        <w:rPr>
          <w:rFonts w:ascii="Times New Roman" w:hAnsi="Times New Roman" w:cs="Times New Roman"/>
          <w:sz w:val="22"/>
        </w:rPr>
        <w:fldChar w:fldCharType="begin"/>
      </w:r>
      <w:r w:rsidR="003839CD" w:rsidRPr="00645DFF">
        <w:rPr>
          <w:rFonts w:ascii="Times New Roman" w:hAnsi="Times New Roman" w:cs="Times New Roman"/>
          <w:sz w:val="22"/>
        </w:rPr>
        <w:instrText xml:space="preserve"> ADDIN ZOTERO_ITEM CSL_CITATION {"citationID":"vOyqPyxO","properties":{"unsorted":false,"formattedCitation":"\\super 24\\nosupersub{}","plainCitation":"24","noteIndex":0},"citationItems":[{"id":7029,"uris":["http://zotero.org/users/2200358/items/29JW7NJV"],"itemData":{"id":7029,"type":"article-journal","abstract":"In this study, we investigate the spin Hall effect in heterostructures of Bi0.85Sb0.15 (10 nm) topological insulator/Ru(Ti)/Ta/Co20Fe60B20/MgO with perpendicular magnetic anisotropy. By optimizing the Ru (Ti) interfacial layer thickness as well as deposition condition of BiSb, we achieve a large effective spin Hall angle of 6.0 ± 0.1 and relatively high electrical conductivity of 1.5 × 105 Ω−1 m−1 at room temperature. We, then, demonstrate spin–orbit torque-induced magnetization switching driven by a small threshold current density of 1 × 106 Acm−2. Benchmarking shows that the writing power consumption of our stack is 2–3 orders smaller than that of heavy metals.","container-title":"Applied Physics Letters","DOI":"10.1063/5.0184870","ISSN":"0003-6951","issue":"7","journalAbbreviation":"Appl. Phys. Lett.","page":"072402","source":"Silverchair","title":"High spin Hall angle in BiSb topological insulator and perpendicularly magnetized CoFeB/MgO multilayers with metallic interfacial layers","URL":"https://doi.org/10.1063/5.0184870","volume":"124","author":[{"family":"Ruixian","given":"Zhang"},{"family":"Huy","given":"Ho Hoang"},{"family":"Shirokura","given":"Takanori"},{"family":"Hai","given":"Pham Nam"},{"family":"Le","given":"Quang"},{"family":"York","given":"Brian"},{"family":"Hwang","given":"Cherngye"},{"family":"Liu","given":"Xiaoyong"},{"family":"Gribelyuk","given":"Michael"},{"family":"Xu","given":"Xiaoyu"},{"family":"Le","given":"Son"},{"family":"Maeda","given":"Maki"},{"family":"Fan","given":"Tuo"},{"family":"Tao","given":"Yu"},{"family":"Takano","given":"Hisashi"}],"accessed":{"date-parts":[["2026",3,19]]},"issued":{"date-parts":[["2024",2,14]]}}}],"schema":"https://github.com/citation-style-language/schema/raw/master/csl-citation.json"} </w:instrText>
      </w:r>
      <w:r w:rsidR="0075311E"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24</w:t>
      </w:r>
      <w:r w:rsidR="0075311E" w:rsidRPr="00645DFF">
        <w:rPr>
          <w:rFonts w:ascii="Times New Roman" w:hAnsi="Times New Roman" w:cs="Times New Roman"/>
          <w:sz w:val="22"/>
        </w:rPr>
        <w:fldChar w:fldCharType="end"/>
      </w:r>
      <w:r w:rsidR="00905252" w:rsidRPr="00645DFF">
        <w:rPr>
          <w:rFonts w:ascii="Times New Roman" w:hAnsi="Times New Roman" w:cs="Times New Roman"/>
          <w:sz w:val="22"/>
        </w:rPr>
        <w:t xml:space="preserve"> Investigations into thermal stability have also shown that Ti interlayers can mitigate interface degradation during annealing and aging, while simultaneously preserving SOT characteristics</w:t>
      </w:r>
      <w:r w:rsidR="0079507A" w:rsidRPr="00645DFF">
        <w:rPr>
          <w:rFonts w:ascii="Times New Roman" w:hAnsi="Times New Roman" w:cs="Times New Roman"/>
          <w:sz w:val="22"/>
        </w:rPr>
        <w:t xml:space="preserve"> in </w:t>
      </w:r>
      <w:proofErr w:type="spellStart"/>
      <w:r w:rsidR="0079507A" w:rsidRPr="00645DFF">
        <w:rPr>
          <w:rFonts w:ascii="Times New Roman" w:hAnsi="Times New Roman" w:cs="Times New Roman"/>
          <w:sz w:val="22"/>
        </w:rPr>
        <w:t>BiSb</w:t>
      </w:r>
      <w:proofErr w:type="spellEnd"/>
      <w:r w:rsidR="0079507A" w:rsidRPr="00645DFF">
        <w:rPr>
          <w:rFonts w:ascii="Times New Roman" w:hAnsi="Times New Roman" w:cs="Times New Roman"/>
          <w:sz w:val="22"/>
        </w:rPr>
        <w:t>/</w:t>
      </w:r>
      <w:proofErr w:type="spellStart"/>
      <w:r w:rsidR="0079507A" w:rsidRPr="00645DFF">
        <w:rPr>
          <w:rFonts w:ascii="Times New Roman" w:hAnsi="Times New Roman" w:cs="Times New Roman"/>
          <w:sz w:val="22"/>
        </w:rPr>
        <w:t>NiFe</w:t>
      </w:r>
      <w:proofErr w:type="spellEnd"/>
      <w:r w:rsidR="0079507A" w:rsidRPr="00645DFF">
        <w:rPr>
          <w:rFonts w:ascii="Times New Roman" w:hAnsi="Times New Roman" w:cs="Times New Roman"/>
          <w:sz w:val="22"/>
        </w:rPr>
        <w:t xml:space="preserve"> heterostructures</w:t>
      </w:r>
      <w:r w:rsidR="00905252" w:rsidRPr="00645DFF">
        <w:rPr>
          <w:rFonts w:ascii="Times New Roman" w:hAnsi="Times New Roman" w:cs="Times New Roman"/>
          <w:sz w:val="22"/>
        </w:rPr>
        <w:t>.</w:t>
      </w:r>
      <w:r w:rsidR="0075311E" w:rsidRPr="00645DFF">
        <w:rPr>
          <w:rFonts w:ascii="Times New Roman" w:hAnsi="Times New Roman" w:cs="Times New Roman"/>
          <w:sz w:val="22"/>
        </w:rPr>
        <w:fldChar w:fldCharType="begin"/>
      </w:r>
      <w:r w:rsidR="00FE2BAE" w:rsidRPr="00645DFF">
        <w:rPr>
          <w:rFonts w:ascii="Times New Roman" w:hAnsi="Times New Roman" w:cs="Times New Roman"/>
          <w:sz w:val="22"/>
        </w:rPr>
        <w:instrText xml:space="preserve"> ADDIN ZOTERO_ITEM CSL_CITATION {"citationID":"mioH5Igv","properties":{"unsorted":false,"formattedCitation":"\\super 25\\nosupersub{}","plainCitation":"25","noteIndex":0},"citationItems":[{"id":"Wnkjn3Rf/IgVotlSa","uris":["http://zotero.org/users/17579442/items/XTQKW726"],"itemData":{"id":"BMUZIrgb/O6krweLG","type":"article-journal","abstract":"Topological insulators are intriguing materials in the field of spintronics because they exhibit unique electronic properties that hold great promise for device applications. BiSb has attracted more research interest among topological materials due to its remarkably high spin−orbit torque (SOT) efficiency. However, due to the low melting point of the alloy, high diffusivities of Bi/Sb tend to degrade the SOT efficiency with temperature and aging. In this work, we utilize interfacial chemistry driven by a titanium (Ti) spacer between BiSb and NiFe bilayers to improve the SOT efficiency. We investigated the effect of the Ti insertion layer on the SOT efficiency under as-deposited, room-temperature aging, and annealing conditions. The SOT efficiency, estimated from the spin-torque ferromagnetic resonance response, revealed that the samples with the Ti layer had shown a multifold increase in the SOT efficiency compared to those without Ti insertion. Atomic resolution microstructural analyses provided a clear understanding of the interfacial chemistry where Ti successfully hindered the interdiffusion of Ni and Sb. The interfacial chemistry in the vicinity of Ti contributed significantly to the improvement of the SOT efficiency. These results highlight the importance of the Ti insertion layer in the BiSb-based topological material/ferromagnet bilayer systems for SOT applications in spintronics.","container-title":"ACS Applied Electronic Materials","DOI":"10.1021/acsaelm.4c00357","ISSN":"2637-6113, 2637-6113","issue":"6","journalAbbreviation":"ACS Appl. Electron. Mater.","language":"en","license":"https://doi.org/10.15223/policy-029","page":"4269-4276","publisher":"American Chemical Society (ACS)","source":"Crossref","title":"Spin–Orbit Torque Modulated by Interface Chemistry in Topological BiSb/NiFe Bilayers with Titanium Insertion","volume":"6","author":[{"family":"Manoj","given":"Talluri"},{"family":"Wen","given":"Zhenchao"},{"family":"Uzuhashi","given":"Jun"},{"family":"Ohkubo","given":"Tadakatsu"},{"family":"Sukegawa","given":"Hiroaki"},{"family":"Murapaka","given":"Chandrasekhar"},{"family":"York","given":"Brian"},{"family":"Liu","given":"Xiaoyong"},{"family":"Le","given":"Quang"},{"family":"Mitani","given":"Seiji"}],"issued":{"date-parts":[["2024",6,25]]}}}],"schema":"https://github.com/citation-style-language/schema/raw/master/csl-citation.json"} </w:instrText>
      </w:r>
      <w:r w:rsidR="0075311E"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25</w:t>
      </w:r>
      <w:r w:rsidR="0075311E" w:rsidRPr="00645DFF">
        <w:rPr>
          <w:rFonts w:ascii="Times New Roman" w:hAnsi="Times New Roman" w:cs="Times New Roman"/>
          <w:sz w:val="22"/>
        </w:rPr>
        <w:fldChar w:fldCharType="end"/>
      </w:r>
      <w:r w:rsidR="00905252" w:rsidRPr="00645DFF">
        <w:rPr>
          <w:rFonts w:ascii="Times New Roman" w:hAnsi="Times New Roman" w:cs="Times New Roman"/>
          <w:sz w:val="22"/>
        </w:rPr>
        <w:t xml:space="preserve"> </w:t>
      </w:r>
      <w:r w:rsidR="00A641AE" w:rsidRPr="00645DFF">
        <w:rPr>
          <w:rFonts w:ascii="Times New Roman" w:hAnsi="Times New Roman" w:cs="Times New Roman"/>
          <w:sz w:val="22"/>
        </w:rPr>
        <w:t>These studies collectively emphasize the importance of interlayer selection in tuning band alignment and interfacial electronic structure</w:t>
      </w:r>
      <w:r w:rsidR="00AE0E00" w:rsidRPr="00645DFF">
        <w:rPr>
          <w:rFonts w:ascii="Times New Roman" w:hAnsi="Times New Roman" w:cs="Times New Roman"/>
          <w:sz w:val="22"/>
        </w:rPr>
        <w:t>s</w:t>
      </w:r>
      <w:r w:rsidR="00A641AE" w:rsidRPr="00645DFF">
        <w:rPr>
          <w:rFonts w:ascii="Times New Roman" w:hAnsi="Times New Roman" w:cs="Times New Roman"/>
          <w:sz w:val="22"/>
        </w:rPr>
        <w:t xml:space="preserve">. A suitable </w:t>
      </w:r>
      <w:r w:rsidR="00F91960" w:rsidRPr="00645DFF">
        <w:rPr>
          <w:rFonts w:ascii="Times New Roman" w:hAnsi="Times New Roman" w:cs="Times New Roman"/>
          <w:sz w:val="22"/>
        </w:rPr>
        <w:t>interlayer</w:t>
      </w:r>
      <w:r w:rsidR="00A641AE" w:rsidRPr="00645DFF">
        <w:rPr>
          <w:rFonts w:ascii="Times New Roman" w:hAnsi="Times New Roman" w:cs="Times New Roman"/>
          <w:sz w:val="22"/>
        </w:rPr>
        <w:t xml:space="preserve"> can act as an electronic bridge between the TI and FM layers, facilitating </w:t>
      </w:r>
      <w:r w:rsidR="00AE0E00" w:rsidRPr="00645DFF">
        <w:rPr>
          <w:rFonts w:ascii="Times New Roman" w:hAnsi="Times New Roman" w:cs="Times New Roman"/>
          <w:sz w:val="22"/>
        </w:rPr>
        <w:t xml:space="preserve">large spin current generation, </w:t>
      </w:r>
      <w:r w:rsidR="00A641AE" w:rsidRPr="00645DFF">
        <w:rPr>
          <w:rFonts w:ascii="Times New Roman" w:hAnsi="Times New Roman" w:cs="Times New Roman"/>
          <w:sz w:val="22"/>
        </w:rPr>
        <w:t>efficient spin injection</w:t>
      </w:r>
      <w:r w:rsidR="00AE0E00" w:rsidRPr="00645DFF">
        <w:rPr>
          <w:rFonts w:ascii="Times New Roman" w:hAnsi="Times New Roman" w:cs="Times New Roman"/>
          <w:sz w:val="22"/>
        </w:rPr>
        <w:t>, and enhanced SOT efficiency. In the meantime, a</w:t>
      </w:r>
      <w:r w:rsidR="00F05047" w:rsidRPr="00645DFF">
        <w:rPr>
          <w:rFonts w:ascii="Times New Roman" w:hAnsi="Times New Roman" w:cs="Times New Roman"/>
          <w:sz w:val="22"/>
        </w:rPr>
        <w:t xml:space="preserve"> critical consideration is the trade-off between the spin transparency and electrical conductivity of the chosen </w:t>
      </w:r>
      <w:r w:rsidR="00F91960" w:rsidRPr="00645DFF">
        <w:rPr>
          <w:rFonts w:ascii="Times New Roman" w:hAnsi="Times New Roman" w:cs="Times New Roman"/>
          <w:sz w:val="22"/>
        </w:rPr>
        <w:t>interlayer</w:t>
      </w:r>
      <w:r w:rsidR="00AE0E00" w:rsidRPr="00645DFF">
        <w:rPr>
          <w:rFonts w:ascii="Times New Roman" w:hAnsi="Times New Roman" w:cs="Times New Roman"/>
          <w:sz w:val="22"/>
        </w:rPr>
        <w:t>s</w:t>
      </w:r>
      <w:r w:rsidR="00F05047" w:rsidRPr="00645DFF">
        <w:rPr>
          <w:rFonts w:ascii="Times New Roman" w:hAnsi="Times New Roman" w:cs="Times New Roman"/>
          <w:sz w:val="22"/>
        </w:rPr>
        <w:t xml:space="preserve">. Metallic </w:t>
      </w:r>
      <w:r w:rsidR="00F91960" w:rsidRPr="00645DFF">
        <w:rPr>
          <w:rFonts w:ascii="Times New Roman" w:hAnsi="Times New Roman" w:cs="Times New Roman"/>
          <w:sz w:val="22"/>
        </w:rPr>
        <w:t>interlayer</w:t>
      </w:r>
      <w:r w:rsidR="00AE0E00" w:rsidRPr="00645DFF">
        <w:rPr>
          <w:rFonts w:ascii="Times New Roman" w:hAnsi="Times New Roman" w:cs="Times New Roman"/>
          <w:sz w:val="22"/>
        </w:rPr>
        <w:t>s</w:t>
      </w:r>
      <w:r w:rsidR="00F05047" w:rsidRPr="00645DFF">
        <w:rPr>
          <w:rFonts w:ascii="Times New Roman" w:hAnsi="Times New Roman" w:cs="Times New Roman"/>
          <w:sz w:val="22"/>
        </w:rPr>
        <w:t xml:space="preserve"> may introduce parasitic current shunting under in-plane bias, thereby undermining the </w:t>
      </w:r>
      <w:r w:rsidR="00AE0E00" w:rsidRPr="00645DFF">
        <w:rPr>
          <w:rFonts w:ascii="Times New Roman" w:hAnsi="Times New Roman" w:cs="Times New Roman"/>
          <w:sz w:val="22"/>
        </w:rPr>
        <w:t xml:space="preserve">signal </w:t>
      </w:r>
      <w:r w:rsidR="00F05047" w:rsidRPr="00645DFF">
        <w:rPr>
          <w:rFonts w:ascii="Times New Roman" w:hAnsi="Times New Roman" w:cs="Times New Roman"/>
          <w:sz w:val="22"/>
        </w:rPr>
        <w:t xml:space="preserve">contribution from the topological surface states. Conversely, insulating or oxide-based </w:t>
      </w:r>
      <w:r w:rsidR="00F91960" w:rsidRPr="00645DFF">
        <w:rPr>
          <w:rFonts w:ascii="Times New Roman" w:hAnsi="Times New Roman" w:cs="Times New Roman"/>
          <w:sz w:val="22"/>
        </w:rPr>
        <w:t>interlayer</w:t>
      </w:r>
      <w:r w:rsidR="00AE0E00" w:rsidRPr="00645DFF">
        <w:rPr>
          <w:rFonts w:ascii="Times New Roman" w:hAnsi="Times New Roman" w:cs="Times New Roman"/>
          <w:sz w:val="22"/>
        </w:rPr>
        <w:t>s</w:t>
      </w:r>
      <w:r w:rsidR="00F05047" w:rsidRPr="00645DFF">
        <w:rPr>
          <w:rFonts w:ascii="Times New Roman" w:hAnsi="Times New Roman" w:cs="Times New Roman"/>
          <w:sz w:val="22"/>
        </w:rPr>
        <w:t xml:space="preserve"> can effectively suppress shunting, but often at the cost of attenuated spin transmission. This dichotomy motivates the exploration of </w:t>
      </w:r>
      <w:r w:rsidR="00F05047" w:rsidRPr="00645DFF">
        <w:rPr>
          <w:rFonts w:ascii="Times New Roman" w:hAnsi="Times New Roman" w:cs="Times New Roman"/>
          <w:i/>
          <w:iCs/>
          <w:sz w:val="22"/>
        </w:rPr>
        <w:t xml:space="preserve">semiconducting </w:t>
      </w:r>
      <w:r w:rsidR="0068525B" w:rsidRPr="00645DFF">
        <w:rPr>
          <w:rFonts w:ascii="Times New Roman" w:hAnsi="Times New Roman" w:cs="Times New Roman"/>
          <w:i/>
          <w:iCs/>
          <w:sz w:val="22"/>
        </w:rPr>
        <w:t>and</w:t>
      </w:r>
      <w:r w:rsidR="00F05047" w:rsidRPr="00645DFF">
        <w:rPr>
          <w:rFonts w:ascii="Times New Roman" w:hAnsi="Times New Roman" w:cs="Times New Roman"/>
          <w:i/>
          <w:iCs/>
          <w:sz w:val="22"/>
        </w:rPr>
        <w:t xml:space="preserve"> intermetallic </w:t>
      </w:r>
      <w:r w:rsidR="00F91960" w:rsidRPr="00645DFF">
        <w:rPr>
          <w:rFonts w:ascii="Times New Roman" w:hAnsi="Times New Roman" w:cs="Times New Roman"/>
          <w:sz w:val="22"/>
        </w:rPr>
        <w:t>interlayer</w:t>
      </w:r>
      <w:r w:rsidR="00846E14" w:rsidRPr="00645DFF">
        <w:rPr>
          <w:rFonts w:ascii="Times New Roman" w:hAnsi="Times New Roman" w:cs="Times New Roman"/>
          <w:sz w:val="22"/>
        </w:rPr>
        <w:t>s</w:t>
      </w:r>
      <w:r w:rsidR="00F05047" w:rsidRPr="00645DFF">
        <w:rPr>
          <w:rFonts w:ascii="Times New Roman" w:hAnsi="Times New Roman" w:cs="Times New Roman"/>
          <w:sz w:val="22"/>
        </w:rPr>
        <w:t xml:space="preserve"> as promising alternatives</w:t>
      </w:r>
      <w:r w:rsidR="00AE0E00" w:rsidRPr="00645DFF">
        <w:rPr>
          <w:rFonts w:ascii="Times New Roman" w:hAnsi="Times New Roman" w:cs="Times New Roman"/>
          <w:sz w:val="22"/>
        </w:rPr>
        <w:t>, o</w:t>
      </w:r>
      <w:r w:rsidR="00F05047" w:rsidRPr="00645DFF">
        <w:rPr>
          <w:rFonts w:ascii="Times New Roman" w:hAnsi="Times New Roman" w:cs="Times New Roman"/>
          <w:sz w:val="22"/>
        </w:rPr>
        <w:t>ffering a balanced platform t</w:t>
      </w:r>
      <w:r w:rsidR="009F3D0B" w:rsidRPr="00645DFF">
        <w:rPr>
          <w:rFonts w:ascii="Times New Roman" w:hAnsi="Times New Roman" w:cs="Times New Roman"/>
          <w:sz w:val="22"/>
        </w:rPr>
        <w:t>hat</w:t>
      </w:r>
      <w:r w:rsidR="00F05047" w:rsidRPr="00645DFF">
        <w:rPr>
          <w:rFonts w:ascii="Times New Roman" w:hAnsi="Times New Roman" w:cs="Times New Roman"/>
          <w:sz w:val="22"/>
        </w:rPr>
        <w:t xml:space="preserve"> preserve</w:t>
      </w:r>
      <w:r w:rsidR="009F3D0B" w:rsidRPr="00645DFF">
        <w:rPr>
          <w:rFonts w:ascii="Times New Roman" w:hAnsi="Times New Roman" w:cs="Times New Roman"/>
          <w:sz w:val="22"/>
        </w:rPr>
        <w:t>s</w:t>
      </w:r>
      <w:r w:rsidR="00F05047" w:rsidRPr="00645DFF">
        <w:rPr>
          <w:rFonts w:ascii="Times New Roman" w:hAnsi="Times New Roman" w:cs="Times New Roman"/>
          <w:sz w:val="22"/>
        </w:rPr>
        <w:t xml:space="preserve"> spin transport while maintaining sufficient electrical isolation to </w:t>
      </w:r>
      <w:r w:rsidR="00A54677" w:rsidRPr="00645DFF">
        <w:rPr>
          <w:rFonts w:ascii="Times New Roman" w:hAnsi="Times New Roman" w:cs="Times New Roman"/>
          <w:sz w:val="22"/>
        </w:rPr>
        <w:t>utilize</w:t>
      </w:r>
      <w:r w:rsidR="00F05047" w:rsidRPr="00645DFF">
        <w:rPr>
          <w:rFonts w:ascii="Times New Roman" w:hAnsi="Times New Roman" w:cs="Times New Roman"/>
          <w:sz w:val="22"/>
        </w:rPr>
        <w:t xml:space="preserve"> the potential of topological surface states</w:t>
      </w:r>
      <w:r w:rsidR="009F3D0B" w:rsidRPr="00645DFF">
        <w:rPr>
          <w:rFonts w:ascii="Times New Roman" w:hAnsi="Times New Roman" w:cs="Times New Roman"/>
          <w:sz w:val="22"/>
        </w:rPr>
        <w:t xml:space="preserve"> fully</w:t>
      </w:r>
      <w:r w:rsidR="00F05047" w:rsidRPr="00645DFF">
        <w:rPr>
          <w:rFonts w:ascii="Times New Roman" w:hAnsi="Times New Roman" w:cs="Times New Roman"/>
          <w:sz w:val="22"/>
        </w:rPr>
        <w:t>.</w:t>
      </w:r>
      <w:r w:rsidR="00A41FA0" w:rsidRPr="00645DFF">
        <w:rPr>
          <w:rFonts w:ascii="Times New Roman" w:hAnsi="Times New Roman" w:cs="Times New Roman"/>
          <w:sz w:val="22"/>
        </w:rPr>
        <w:t xml:space="preserve"> To date, a systematic comparison of different classes of interlayers under identical fabrication conditions remains limited.</w:t>
      </w:r>
    </w:p>
    <w:p w14:paraId="5B45A3A6" w14:textId="6D9201A4" w:rsidR="000E285F" w:rsidRPr="00645DFF" w:rsidRDefault="00AA3CF8" w:rsidP="00C37753">
      <w:pPr>
        <w:spacing w:line="480" w:lineRule="auto"/>
        <w:ind w:firstLine="720"/>
        <w:rPr>
          <w:rFonts w:ascii="Times New Roman" w:eastAsia="DengXian" w:hAnsi="Times New Roman" w:cs="Times New Roman"/>
          <w:sz w:val="22"/>
          <w:lang w:eastAsia="zh-CN"/>
        </w:rPr>
      </w:pPr>
      <w:r w:rsidRPr="00645DFF">
        <w:rPr>
          <w:rFonts w:ascii="Times New Roman" w:hAnsi="Times New Roman" w:cs="Times New Roman"/>
          <w:sz w:val="22"/>
        </w:rPr>
        <w:t xml:space="preserve">In this </w:t>
      </w:r>
      <w:r w:rsidR="00B6103E" w:rsidRPr="00645DFF">
        <w:rPr>
          <w:rFonts w:ascii="Times New Roman" w:hAnsi="Times New Roman" w:cs="Times New Roman"/>
          <w:sz w:val="22"/>
        </w:rPr>
        <w:t>work</w:t>
      </w:r>
      <w:r w:rsidRPr="00645DFF">
        <w:rPr>
          <w:rFonts w:ascii="Times New Roman" w:hAnsi="Times New Roman" w:cs="Times New Roman"/>
          <w:sz w:val="22"/>
        </w:rPr>
        <w:t xml:space="preserve">, we </w:t>
      </w:r>
      <w:proofErr w:type="gramStart"/>
      <w:r w:rsidRPr="00645DFF">
        <w:rPr>
          <w:rFonts w:ascii="Times New Roman" w:hAnsi="Times New Roman" w:cs="Times New Roman"/>
          <w:sz w:val="22"/>
        </w:rPr>
        <w:t>investigate</w:t>
      </w:r>
      <w:proofErr w:type="gramEnd"/>
      <w:r w:rsidRPr="00645DFF">
        <w:rPr>
          <w:rFonts w:ascii="Times New Roman" w:hAnsi="Times New Roman" w:cs="Times New Roman"/>
          <w:sz w:val="22"/>
        </w:rPr>
        <w:t xml:space="preserve"> Ge,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and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 as representative semiconducting and intermetallic interlayers </w:t>
      </w:r>
      <w:r w:rsidR="00731B49" w:rsidRPr="00645DFF">
        <w:rPr>
          <w:rFonts w:ascii="Times New Roman" w:hAnsi="Times New Roman" w:cs="Times New Roman"/>
          <w:sz w:val="22"/>
        </w:rPr>
        <w:t>designed to meet</w:t>
      </w:r>
      <w:r w:rsidRPr="00645DFF">
        <w:rPr>
          <w:rFonts w:ascii="Times New Roman" w:hAnsi="Times New Roman" w:cs="Times New Roman"/>
          <w:sz w:val="22"/>
        </w:rPr>
        <w:t xml:space="preserve"> requirements of balanced electronic conductivity, chemical stability, and structural compatibility with sputtered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and </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w:t>
      </w:r>
      <w:r w:rsidR="00731B49" w:rsidRPr="00645DFF">
        <w:rPr>
          <w:rFonts w:ascii="Times New Roman" w:hAnsi="Times New Roman" w:cs="Times New Roman"/>
          <w:sz w:val="22"/>
        </w:rPr>
        <w:t>Through</w:t>
      </w:r>
      <w:r w:rsidRPr="00645DFF">
        <w:rPr>
          <w:rFonts w:ascii="Times New Roman" w:hAnsi="Times New Roman" w:cs="Times New Roman"/>
          <w:sz w:val="22"/>
        </w:rPr>
        <w:t xml:space="preserve"> comprehensive structural and transport characterizations, we assess how these interlayers </w:t>
      </w:r>
      <w:r w:rsidR="00731B49" w:rsidRPr="00645DFF">
        <w:rPr>
          <w:rFonts w:ascii="Times New Roman" w:hAnsi="Times New Roman" w:cs="Times New Roman"/>
          <w:sz w:val="22"/>
        </w:rPr>
        <w:t>affect</w:t>
      </w:r>
      <w:r w:rsidRPr="00645DFF">
        <w:rPr>
          <w:rFonts w:ascii="Times New Roman" w:hAnsi="Times New Roman" w:cs="Times New Roman"/>
          <w:sz w:val="22"/>
        </w:rPr>
        <w:t xml:space="preserve"> </w:t>
      </w:r>
      <w:r w:rsidR="00731B49" w:rsidRPr="00645DFF">
        <w:rPr>
          <w:rFonts w:ascii="Times New Roman" w:hAnsi="Times New Roman" w:cs="Times New Roman"/>
          <w:sz w:val="22"/>
        </w:rPr>
        <w:t xml:space="preserve">crystal structure, </w:t>
      </w:r>
      <w:r w:rsidRPr="00645DFF">
        <w:rPr>
          <w:rFonts w:ascii="Times New Roman" w:hAnsi="Times New Roman" w:cs="Times New Roman"/>
          <w:sz w:val="22"/>
        </w:rPr>
        <w:t xml:space="preserve">SOT </w:t>
      </w:r>
      <w:r w:rsidRPr="00645DFF">
        <w:rPr>
          <w:rFonts w:ascii="Times New Roman" w:hAnsi="Times New Roman" w:cs="Times New Roman"/>
          <w:sz w:val="22"/>
        </w:rPr>
        <w:lastRenderedPageBreak/>
        <w:t>efficiency</w:t>
      </w:r>
      <w:r w:rsidR="00731B49" w:rsidRPr="00645DFF">
        <w:rPr>
          <w:rFonts w:ascii="Times New Roman" w:hAnsi="Times New Roman" w:cs="Times New Roman"/>
          <w:sz w:val="22"/>
        </w:rPr>
        <w:t>, and magnetic damping</w:t>
      </w:r>
      <w:r w:rsidRPr="00645DFF">
        <w:rPr>
          <w:rFonts w:ascii="Times New Roman" w:hAnsi="Times New Roman" w:cs="Times New Roman"/>
          <w:sz w:val="22"/>
        </w:rPr>
        <w:t xml:space="preserve">. </w:t>
      </w:r>
      <w:r w:rsidR="00A41FA0" w:rsidRPr="00645DFF">
        <w:rPr>
          <w:rFonts w:ascii="Times New Roman" w:hAnsi="Times New Roman" w:cs="Times New Roman"/>
          <w:sz w:val="22"/>
        </w:rPr>
        <w:t>This comparative approach enables a consistent evaluation of interfacial transport within a unified material platform.</w:t>
      </w:r>
      <w:r w:rsidR="00A41FA0" w:rsidRPr="00645DFF">
        <w:rPr>
          <w:rFonts w:ascii="Times New Roman" w:eastAsia="DengXian" w:hAnsi="Times New Roman" w:cs="Times New Roman"/>
          <w:sz w:val="22"/>
          <w:lang w:eastAsia="zh-CN"/>
        </w:rPr>
        <w:t xml:space="preserve"> </w:t>
      </w:r>
      <w:r w:rsidRPr="00645DFF">
        <w:rPr>
          <w:rFonts w:ascii="Times New Roman" w:hAnsi="Times New Roman" w:cs="Times New Roman"/>
          <w:sz w:val="22"/>
        </w:rPr>
        <w:t>Among them, Ge emerges as the most effective interlayer, and its thickness optimization further reveals the conditions for achieving superior spin transport. These findings provide interface-engineering guidelines for enhancing SOT efficiency in TI-based heterostructures and support the development of advanced SOT technologies using topological materials.</w:t>
      </w:r>
    </w:p>
    <w:p w14:paraId="6877C3B8" w14:textId="5559DF6C" w:rsidR="00AC4542" w:rsidRPr="00645DFF" w:rsidRDefault="00AC4542" w:rsidP="00AC4542">
      <w:pPr>
        <w:spacing w:line="480" w:lineRule="auto"/>
        <w:rPr>
          <w:rFonts w:ascii="Times New Roman" w:hAnsi="Times New Roman" w:cs="Times New Roman"/>
          <w:b/>
          <w:bCs/>
          <w:sz w:val="22"/>
        </w:rPr>
      </w:pPr>
      <w:r w:rsidRPr="00645DFF">
        <w:rPr>
          <w:rFonts w:ascii="Times New Roman" w:hAnsi="Times New Roman" w:cs="Times New Roman"/>
          <w:b/>
          <w:bCs/>
          <w:sz w:val="22"/>
        </w:rPr>
        <w:t>II. EXPERIMENTAL PROCEDURES</w:t>
      </w:r>
    </w:p>
    <w:p w14:paraId="36989B5A" w14:textId="390AA564" w:rsidR="00C8500E" w:rsidRPr="00645DFF" w:rsidRDefault="00C8500E" w:rsidP="00C8500E">
      <w:pPr>
        <w:spacing w:line="480" w:lineRule="auto"/>
        <w:ind w:firstLine="720"/>
        <w:rPr>
          <w:rFonts w:ascii="Times New Roman" w:hAnsi="Times New Roman" w:cs="Times New Roman"/>
          <w:sz w:val="22"/>
        </w:rPr>
      </w:pPr>
      <w:r w:rsidRPr="00645DFF">
        <w:rPr>
          <w:rFonts w:ascii="Times New Roman" w:hAnsi="Times New Roman" w:cs="Times New Roman"/>
          <w:sz w:val="22"/>
        </w:rPr>
        <w:t>Two sets of samples were deposited in a DC magnetron sputtering system. The first set of samples consists of the following stack: Al</w:t>
      </w:r>
      <w:r w:rsidRPr="00645DFF">
        <w:rPr>
          <w:rFonts w:ascii="Times New Roman" w:hAnsi="Times New Roman" w:cs="Times New Roman"/>
          <w:sz w:val="22"/>
          <w:vertAlign w:val="subscript"/>
        </w:rPr>
        <w:t>2</w:t>
      </w:r>
      <w:r w:rsidRPr="00645DFF">
        <w:rPr>
          <w:rFonts w:ascii="Times New Roman" w:hAnsi="Times New Roman" w:cs="Times New Roman"/>
          <w:sz w:val="22"/>
        </w:rPr>
        <w:t>O</w:t>
      </w:r>
      <w:r w:rsidRPr="00645DFF">
        <w:rPr>
          <w:rFonts w:ascii="Times New Roman" w:hAnsi="Times New Roman" w:cs="Times New Roman"/>
          <w:sz w:val="22"/>
          <w:vertAlign w:val="subscript"/>
        </w:rPr>
        <w:t>3</w:t>
      </w:r>
      <w:r w:rsidRPr="00645DFF">
        <w:rPr>
          <w:rFonts w:ascii="Times New Roman" w:hAnsi="Times New Roman" w:cs="Times New Roman"/>
          <w:sz w:val="22"/>
        </w:rPr>
        <w:t>(0001)</w:t>
      </w:r>
      <w:r w:rsidRPr="00645DFF" w:rsidDel="00B85C2C">
        <w:rPr>
          <w:rFonts w:ascii="Times New Roman" w:hAnsi="Times New Roman" w:cs="Times New Roman"/>
          <w:sz w:val="22"/>
        </w:rPr>
        <w:t xml:space="preserve"> </w:t>
      </w:r>
      <w:proofErr w:type="gramStart"/>
      <w:r w:rsidRPr="00645DFF">
        <w:rPr>
          <w:rFonts w:ascii="Times New Roman" w:hAnsi="Times New Roman" w:cs="Times New Roman"/>
          <w:sz w:val="22"/>
        </w:rPr>
        <w:t>substrate//</w:t>
      </w:r>
      <w:proofErr w:type="spellStart"/>
      <w:proofErr w:type="gramEnd"/>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(10)/interlayer (1)/</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(15)/Ti (1) (unit: nm), where interlayer represents Ge,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or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In the second set, the stacks are Al</w:t>
      </w:r>
      <w:r w:rsidRPr="00645DFF">
        <w:rPr>
          <w:rFonts w:ascii="Times New Roman" w:hAnsi="Times New Roman" w:cs="Times New Roman"/>
          <w:sz w:val="22"/>
          <w:vertAlign w:val="subscript"/>
        </w:rPr>
        <w:t>2</w:t>
      </w:r>
      <w:r w:rsidRPr="00645DFF">
        <w:rPr>
          <w:rFonts w:ascii="Times New Roman" w:hAnsi="Times New Roman" w:cs="Times New Roman"/>
          <w:sz w:val="22"/>
        </w:rPr>
        <w:t>O</w:t>
      </w:r>
      <w:r w:rsidRPr="00645DFF">
        <w:rPr>
          <w:rFonts w:ascii="Times New Roman" w:hAnsi="Times New Roman" w:cs="Times New Roman"/>
          <w:sz w:val="22"/>
          <w:vertAlign w:val="subscript"/>
        </w:rPr>
        <w:t>3</w:t>
      </w:r>
      <w:r w:rsidRPr="00645DFF">
        <w:rPr>
          <w:rFonts w:ascii="Times New Roman" w:hAnsi="Times New Roman" w:cs="Times New Roman"/>
          <w:sz w:val="22"/>
        </w:rPr>
        <w:t>(0001) substrate//</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(10)/Ge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(15)/Ti (1)</w:t>
      </w:r>
      <w:r w:rsidR="007714FC" w:rsidRPr="00645DFF">
        <w:rPr>
          <w:rFonts w:ascii="Times New Roman" w:hAnsi="Times New Roman" w:cs="Times New Roman"/>
          <w:sz w:val="22"/>
        </w:rPr>
        <w:t xml:space="preserve"> (unit: nm),</w:t>
      </w:r>
      <w:r w:rsidRPr="00645DFF">
        <w:rPr>
          <w:rFonts w:ascii="Times New Roman" w:hAnsi="Times New Roman" w:cs="Times New Roman"/>
        </w:rPr>
        <w:t xml:space="preserve"> </w:t>
      </w:r>
      <w:r w:rsidRPr="00645DFF">
        <w:rPr>
          <w:rFonts w:ascii="Times New Roman" w:hAnsi="Times New Roman" w:cs="Times New Roman"/>
          <w:sz w:val="22"/>
        </w:rPr>
        <w:t>where the Ge interlayer thickness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Pr="00645DFF">
        <w:rPr>
          <w:rFonts w:ascii="Times New Roman" w:hAnsi="Times New Roman" w:cs="Times New Roman"/>
          <w:sz w:val="22"/>
        </w:rPr>
        <w:t xml:space="preserve">) varies from 0 to 4 nm in 1 nm increments. </w:t>
      </w:r>
      <w:r w:rsidRPr="00645DFF">
        <w:rPr>
          <w:rFonts w:ascii="Times New Roman" w:eastAsia="DengXian" w:hAnsi="Times New Roman" w:cs="Times New Roman"/>
          <w:sz w:val="22"/>
          <w:lang w:eastAsia="zh-CN"/>
        </w:rPr>
        <w:t>All films were deposited at room temperature</w:t>
      </w:r>
      <w:r w:rsidRPr="00645DFF">
        <w:rPr>
          <w:rFonts w:ascii="Times New Roman" w:hAnsi="Times New Roman" w:cs="Times New Roman"/>
          <w:sz w:val="22"/>
        </w:rPr>
        <w:t xml:space="preserve">. The </w:t>
      </w:r>
      <w:r w:rsidRPr="00645DFF">
        <w:rPr>
          <w:rFonts w:ascii="Times New Roman" w:eastAsia="DengXian" w:hAnsi="Times New Roman" w:cs="Times New Roman"/>
          <w:sz w:val="22"/>
          <w:lang w:eastAsia="zh-CN"/>
        </w:rPr>
        <w:t xml:space="preserve"> </w:t>
      </w:r>
      <w:r w:rsidRPr="00645DFF">
        <w:rPr>
          <w:rFonts w:ascii="Times New Roman" w:hAnsi="Times New Roman" w:cs="Times New Roman"/>
          <w:sz w:val="22"/>
        </w:rPr>
        <w:t>Al</w:t>
      </w:r>
      <w:r w:rsidRPr="00645DFF">
        <w:rPr>
          <w:rFonts w:ascii="Times New Roman" w:hAnsi="Times New Roman" w:cs="Times New Roman"/>
          <w:sz w:val="22"/>
          <w:vertAlign w:val="subscript"/>
        </w:rPr>
        <w:t>2</w:t>
      </w:r>
      <w:r w:rsidRPr="00645DFF">
        <w:rPr>
          <w:rFonts w:ascii="Times New Roman" w:hAnsi="Times New Roman" w:cs="Times New Roman"/>
          <w:sz w:val="22"/>
        </w:rPr>
        <w:t>O</w:t>
      </w:r>
      <w:r w:rsidRPr="00645DFF">
        <w:rPr>
          <w:rFonts w:ascii="Times New Roman" w:hAnsi="Times New Roman" w:cs="Times New Roman"/>
          <w:sz w:val="22"/>
          <w:vertAlign w:val="subscript"/>
        </w:rPr>
        <w:t>3</w:t>
      </w:r>
      <w:r w:rsidRPr="00645DFF">
        <w:rPr>
          <w:rFonts w:ascii="Times New Roman" w:hAnsi="Times New Roman" w:cs="Times New Roman"/>
          <w:sz w:val="22"/>
        </w:rPr>
        <w:t>(0001)</w:t>
      </w:r>
      <w:r w:rsidRPr="00645DFF" w:rsidDel="00B85C2C">
        <w:rPr>
          <w:rFonts w:ascii="Times New Roman" w:hAnsi="Times New Roman" w:cs="Times New Roman"/>
          <w:sz w:val="22"/>
        </w:rPr>
        <w:t xml:space="preserve"> </w:t>
      </w:r>
      <w:r w:rsidRPr="00645DFF">
        <w:rPr>
          <w:rFonts w:ascii="Times New Roman" w:hAnsi="Times New Roman" w:cs="Times New Roman"/>
          <w:sz w:val="22"/>
        </w:rPr>
        <w:t>substrate</w:t>
      </w:r>
      <w:r w:rsidRPr="00645DFF">
        <w:rPr>
          <w:rFonts w:ascii="Times New Roman" w:eastAsia="DengXian" w:hAnsi="Times New Roman" w:cs="Times New Roman"/>
          <w:sz w:val="22"/>
          <w:lang w:eastAsia="zh-CN"/>
        </w:rPr>
        <w:t xml:space="preserve"> w</w:t>
      </w:r>
      <w:r w:rsidRPr="00645DFF">
        <w:rPr>
          <w:rFonts w:ascii="Times New Roman" w:hAnsi="Times New Roman" w:cs="Times New Roman"/>
          <w:sz w:val="22"/>
        </w:rPr>
        <w:t>as</w:t>
      </w:r>
      <w:r w:rsidRPr="00645DFF">
        <w:rPr>
          <w:rFonts w:ascii="Times New Roman" w:eastAsia="DengXian" w:hAnsi="Times New Roman" w:cs="Times New Roman"/>
          <w:sz w:val="22"/>
          <w:lang w:eastAsia="zh-CN"/>
        </w:rPr>
        <w:t xml:space="preserve"> pre-</w:t>
      </w:r>
      <w:r w:rsidRPr="00645DFF">
        <w:rPr>
          <w:rFonts w:ascii="Times New Roman" w:hAnsi="Times New Roman" w:cs="Times New Roman"/>
          <w:sz w:val="22"/>
        </w:rPr>
        <w:t xml:space="preserve">baked </w:t>
      </w:r>
      <w:r w:rsidRPr="00645DFF">
        <w:rPr>
          <w:rFonts w:ascii="Times New Roman" w:eastAsia="DengXian" w:hAnsi="Times New Roman" w:cs="Times New Roman"/>
          <w:sz w:val="22"/>
          <w:lang w:eastAsia="zh-CN"/>
        </w:rPr>
        <w:t xml:space="preserve">at 1000 °C for 1 </w:t>
      </w:r>
      <w:r w:rsidRPr="00645DFF">
        <w:rPr>
          <w:rFonts w:ascii="Times New Roman" w:hAnsi="Times New Roman" w:cs="Times New Roman"/>
          <w:sz w:val="22"/>
        </w:rPr>
        <w:t>h</w:t>
      </w:r>
      <w:r w:rsidRPr="00645DFF">
        <w:rPr>
          <w:rFonts w:ascii="Times New Roman" w:eastAsia="DengXian" w:hAnsi="Times New Roman" w:cs="Times New Roman"/>
          <w:sz w:val="22"/>
          <w:lang w:eastAsia="zh-CN"/>
        </w:rPr>
        <w:t xml:space="preserve"> in a muffle furnace to improve surface </w:t>
      </w:r>
      <w:r w:rsidRPr="00645DFF">
        <w:rPr>
          <w:rFonts w:ascii="Times New Roman" w:hAnsi="Times New Roman" w:cs="Times New Roman"/>
          <w:sz w:val="22"/>
        </w:rPr>
        <w:t>structures</w:t>
      </w:r>
      <w:r w:rsidRPr="00645DFF">
        <w:rPr>
          <w:rFonts w:ascii="Times New Roman" w:eastAsia="DengXian" w:hAnsi="Times New Roman" w:cs="Times New Roman"/>
          <w:sz w:val="22"/>
          <w:lang w:eastAsia="zh-CN"/>
        </w:rPr>
        <w:t xml:space="preserve">. </w:t>
      </w:r>
      <w:r w:rsidRPr="00645DFF">
        <w:rPr>
          <w:rFonts w:ascii="Times New Roman" w:hAnsi="Times New Roman" w:cs="Times New Roman"/>
          <w:sz w:val="22"/>
        </w:rPr>
        <w:t>A single alloy target of Bi</w:t>
      </w:r>
      <w:r w:rsidRPr="00645DFF">
        <w:rPr>
          <w:rFonts w:ascii="Times New Roman" w:hAnsi="Times New Roman" w:cs="Times New Roman"/>
          <w:sz w:val="22"/>
          <w:vertAlign w:val="subscript"/>
        </w:rPr>
        <w:t>85</w:t>
      </w:r>
      <w:r w:rsidRPr="00645DFF">
        <w:rPr>
          <w:rFonts w:ascii="Times New Roman" w:hAnsi="Times New Roman" w:cs="Times New Roman"/>
          <w:sz w:val="22"/>
        </w:rPr>
        <w:t>Sb</w:t>
      </w:r>
      <w:r w:rsidRPr="00645DFF">
        <w:rPr>
          <w:rFonts w:ascii="Times New Roman" w:hAnsi="Times New Roman" w:cs="Times New Roman"/>
          <w:sz w:val="22"/>
          <w:vertAlign w:val="subscript"/>
        </w:rPr>
        <w:t>15</w:t>
      </w:r>
      <w:r w:rsidRPr="00645DFF">
        <w:rPr>
          <w:rFonts w:ascii="Times New Roman" w:hAnsi="Times New Roman" w:cs="Times New Roman"/>
          <w:sz w:val="22"/>
        </w:rPr>
        <w:t xml:space="preserve"> </w:t>
      </w:r>
      <w:r w:rsidRPr="00645DFF">
        <w:rPr>
          <w:rFonts w:ascii="Times New Roman" w:eastAsia="DengXian" w:hAnsi="Times New Roman" w:cs="Times New Roman"/>
          <w:sz w:val="22"/>
          <w:lang w:eastAsia="zh-CN"/>
        </w:rPr>
        <w:t xml:space="preserve">was used for </w:t>
      </w:r>
      <w:r w:rsidRPr="00645DFF">
        <w:rPr>
          <w:rFonts w:ascii="Times New Roman" w:hAnsi="Times New Roman" w:cs="Times New Roman"/>
          <w:sz w:val="22"/>
        </w:rPr>
        <w:t xml:space="preserve">the </w:t>
      </w:r>
      <w:proofErr w:type="spellStart"/>
      <w:r w:rsidRPr="00645DFF">
        <w:rPr>
          <w:rFonts w:ascii="Times New Roman" w:eastAsia="DengXian" w:hAnsi="Times New Roman" w:cs="Times New Roman"/>
          <w:sz w:val="22"/>
          <w:lang w:eastAsia="zh-CN"/>
        </w:rPr>
        <w:t>BiSb</w:t>
      </w:r>
      <w:proofErr w:type="spellEnd"/>
      <w:r w:rsidRPr="00645DFF">
        <w:rPr>
          <w:rFonts w:ascii="Times New Roman" w:eastAsia="DengXian" w:hAnsi="Times New Roman" w:cs="Times New Roman"/>
          <w:sz w:val="22"/>
          <w:lang w:eastAsia="zh-CN"/>
        </w:rPr>
        <w:t xml:space="preserve"> deposition</w:t>
      </w:r>
      <w:r w:rsidRPr="00645DFF">
        <w:rPr>
          <w:rFonts w:ascii="Times New Roman" w:hAnsi="Times New Roman" w:cs="Times New Roman"/>
          <w:sz w:val="22"/>
        </w:rPr>
        <w:t xml:space="preserve">. The deposited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w:t>
      </w:r>
      <w:r w:rsidRPr="00645DFF">
        <w:rPr>
          <w:rFonts w:ascii="Times New Roman" w:eastAsia="DengXian" w:hAnsi="Times New Roman" w:cs="Times New Roman"/>
          <w:sz w:val="22"/>
          <w:lang w:eastAsia="zh-CN"/>
        </w:rPr>
        <w:t>film composition</w:t>
      </w:r>
      <w:r w:rsidRPr="00645DFF">
        <w:rPr>
          <w:rFonts w:ascii="Times New Roman" w:hAnsi="Times New Roman" w:cs="Times New Roman"/>
          <w:sz w:val="22"/>
        </w:rPr>
        <w:t xml:space="preserve"> was confirmed to be Bi</w:t>
      </w:r>
      <w:r w:rsidRPr="00645DFF">
        <w:rPr>
          <w:rFonts w:ascii="Times New Roman" w:hAnsi="Times New Roman" w:cs="Times New Roman"/>
          <w:sz w:val="22"/>
          <w:vertAlign w:val="subscript"/>
        </w:rPr>
        <w:t>86</w:t>
      </w:r>
      <w:r w:rsidRPr="00645DFF">
        <w:rPr>
          <w:rFonts w:ascii="Times New Roman" w:hAnsi="Times New Roman" w:cs="Times New Roman"/>
          <w:sz w:val="22"/>
        </w:rPr>
        <w:t>Sb</w:t>
      </w:r>
      <w:r w:rsidRPr="00645DFF">
        <w:rPr>
          <w:rFonts w:ascii="Times New Roman" w:hAnsi="Times New Roman" w:cs="Times New Roman"/>
          <w:sz w:val="22"/>
          <w:vertAlign w:val="subscript"/>
        </w:rPr>
        <w:t>14</w:t>
      </w:r>
      <w:r w:rsidRPr="00645DFF">
        <w:rPr>
          <w:rFonts w:ascii="Times New Roman" w:hAnsi="Times New Roman" w:cs="Times New Roman"/>
          <w:sz w:val="22"/>
        </w:rPr>
        <w:t xml:space="preserve"> by inductively coupled plasma optical emission spectrometry. The surface crystal structure and morphology of each layer were qualitatively examined using </w:t>
      </w:r>
      <w:r w:rsidRPr="00645DFF">
        <w:rPr>
          <w:rFonts w:ascii="Times New Roman" w:hAnsi="Times New Roman" w:cs="Times New Roman"/>
          <w:i/>
          <w:iCs/>
          <w:sz w:val="22"/>
        </w:rPr>
        <w:t>in-situ</w:t>
      </w:r>
      <w:r w:rsidRPr="00645DFF">
        <w:rPr>
          <w:rFonts w:ascii="Times New Roman" w:hAnsi="Times New Roman" w:cs="Times New Roman"/>
          <w:sz w:val="22"/>
        </w:rPr>
        <w:t xml:space="preserve"> reflection high-energy electron diffraction (RHEED). To further investigate the crystal structure and orientation, X-ray diffraction (XRD) </w:t>
      </w:r>
      <w:r w:rsidR="00044592" w:rsidRPr="00645DFF">
        <w:rPr>
          <w:rFonts w:ascii="Times New Roman" w:hAnsi="Times New Roman" w:cs="Times New Roman"/>
          <w:sz w:val="22"/>
        </w:rPr>
        <w:t>was</w:t>
      </w:r>
      <w:r w:rsidRPr="00645DFF">
        <w:rPr>
          <w:rFonts w:ascii="Times New Roman" w:hAnsi="Times New Roman" w:cs="Times New Roman"/>
          <w:sz w:val="22"/>
        </w:rPr>
        <w:t xml:space="preserve"> used. Magnetic characterization was performed using vibrating sample magnetometry (VSM) to determine the saturation magnetization (</w:t>
      </w:r>
      <w:proofErr w:type="spellStart"/>
      <w:r w:rsidRPr="00645DFF">
        <w:rPr>
          <w:rFonts w:ascii="Times New Roman" w:hAnsi="Times New Roman" w:cs="Times New Roman"/>
          <w:i/>
          <w:iCs/>
          <w:sz w:val="22"/>
        </w:rPr>
        <w:t>M</w:t>
      </w:r>
      <w:r w:rsidRPr="00645DFF">
        <w:rPr>
          <w:rFonts w:ascii="Times New Roman" w:hAnsi="Times New Roman" w:cs="Times New Roman"/>
          <w:sz w:val="22"/>
          <w:vertAlign w:val="subscript"/>
        </w:rPr>
        <w:t>s</w:t>
      </w:r>
      <w:proofErr w:type="spellEnd"/>
      <w:r w:rsidRPr="00645DFF">
        <w:rPr>
          <w:rFonts w:ascii="Times New Roman" w:hAnsi="Times New Roman" w:cs="Times New Roman"/>
          <w:sz w:val="22"/>
        </w:rPr>
        <w:t xml:space="preserve">). To evaluate the SOT efficiency, a spin-torque ferromagnetic resonance (ST-FMR) setup has been employed, as illustrated in Fig. 1(b). A lock-in amplifier, combined with an RF signal generator utilizing an amplitude modulation (AM) technique, was used to detect the output DC mixing voltage. The samples were patterned into microscale bar devices (10×40 </w:t>
      </w:r>
      <w:r w:rsidRPr="00645DFF">
        <w:rPr>
          <w:rFonts w:ascii="Times New Roman" w:eastAsia="Yu Gothic" w:hAnsi="Times New Roman" w:cs="Times New Roman"/>
          <w:sz w:val="22"/>
        </w:rPr>
        <w:t>μ</w:t>
      </w:r>
      <w:r w:rsidRPr="00645DFF">
        <w:rPr>
          <w:rFonts w:ascii="Times New Roman" w:hAnsi="Times New Roman" w:cs="Times New Roman"/>
          <w:sz w:val="22"/>
        </w:rPr>
        <w:t>m</w:t>
      </w:r>
      <w:r w:rsidRPr="00645DFF">
        <w:rPr>
          <w:rFonts w:ascii="Times New Roman" w:hAnsi="Times New Roman" w:cs="Times New Roman"/>
          <w:sz w:val="22"/>
          <w:vertAlign w:val="superscript"/>
        </w:rPr>
        <w:t>2</w:t>
      </w:r>
      <w:r w:rsidRPr="00645DFF">
        <w:rPr>
          <w:rFonts w:ascii="Times New Roman" w:hAnsi="Times New Roman" w:cs="Times New Roman"/>
          <w:sz w:val="22"/>
        </w:rPr>
        <w:t xml:space="preserve">) using maskless UV lithography and integrated with coplanar waveguide (CPW) structures in a ground–signal–ground (GSG) configuration for probing, as shown in the microscopy image in Fig. 1(b). </w:t>
      </w:r>
    </w:p>
    <w:p w14:paraId="019BED08" w14:textId="5AC24109" w:rsidR="00B6103E" w:rsidRPr="00645DFF" w:rsidRDefault="00B6103E" w:rsidP="00935431">
      <w:pPr>
        <w:spacing w:line="360" w:lineRule="auto"/>
        <w:jc w:val="center"/>
        <w:rPr>
          <w:rFonts w:ascii="Times New Roman" w:hAnsi="Times New Roman" w:cs="Times New Roman"/>
          <w:sz w:val="22"/>
        </w:rPr>
      </w:pPr>
      <w:r w:rsidRPr="00645DFF">
        <w:rPr>
          <w:rFonts w:ascii="Times New Roman" w:hAnsi="Times New Roman" w:cs="Times New Roman"/>
          <w:noProof/>
        </w:rPr>
        <w:lastRenderedPageBreak/>
        <w:drawing>
          <wp:inline distT="0" distB="0" distL="0" distR="0" wp14:anchorId="0E4017F0" wp14:editId="66327FF7">
            <wp:extent cx="5643475" cy="1944624"/>
            <wp:effectExtent l="0" t="0" r="0" b="0"/>
            <wp:docPr id="1541932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46" t="15825" r="4853" b="27481"/>
                    <a:stretch>
                      <a:fillRect/>
                    </a:stretch>
                  </pic:blipFill>
                  <pic:spPr bwMode="auto">
                    <a:xfrm>
                      <a:off x="0" y="0"/>
                      <a:ext cx="5661203" cy="1950733"/>
                    </a:xfrm>
                    <a:prstGeom prst="rect">
                      <a:avLst/>
                    </a:prstGeom>
                    <a:noFill/>
                    <a:ln>
                      <a:noFill/>
                    </a:ln>
                    <a:extLst>
                      <a:ext uri="{53640926-AAD7-44D8-BBD7-CCE9431645EC}">
                        <a14:shadowObscured xmlns:a14="http://schemas.microsoft.com/office/drawing/2010/main"/>
                      </a:ext>
                    </a:extLst>
                  </pic:spPr>
                </pic:pic>
              </a:graphicData>
            </a:graphic>
          </wp:inline>
        </w:drawing>
      </w:r>
    </w:p>
    <w:p w14:paraId="3379E77A" w14:textId="56F73ED6" w:rsidR="00F749FC" w:rsidRPr="00645DFF" w:rsidRDefault="00F749FC" w:rsidP="00C8500E">
      <w:pPr>
        <w:spacing w:line="360" w:lineRule="auto"/>
        <w:jc w:val="center"/>
        <w:rPr>
          <w:rFonts w:ascii="Times New Roman" w:hAnsi="Times New Roman" w:cs="Times New Roman"/>
          <w:sz w:val="22"/>
        </w:rPr>
      </w:pPr>
    </w:p>
    <w:p w14:paraId="24230F3F" w14:textId="640FF5B3" w:rsidR="00536AB3" w:rsidRPr="00645DFF" w:rsidRDefault="00163743" w:rsidP="00104ED8">
      <w:pPr>
        <w:spacing w:line="360" w:lineRule="auto"/>
        <w:rPr>
          <w:rFonts w:ascii="Times New Roman" w:hAnsi="Times New Roman" w:cs="Times New Roman"/>
          <w:sz w:val="22"/>
        </w:rPr>
      </w:pPr>
      <w:r w:rsidRPr="00645DFF">
        <w:rPr>
          <w:rFonts w:ascii="Times New Roman" w:hAnsi="Times New Roman" w:cs="Times New Roman"/>
          <w:b/>
          <w:bCs/>
          <w:sz w:val="22"/>
        </w:rPr>
        <w:t>F</w:t>
      </w:r>
      <w:r w:rsidR="004A0D30" w:rsidRPr="00645DFF">
        <w:rPr>
          <w:rFonts w:ascii="Times New Roman" w:hAnsi="Times New Roman" w:cs="Times New Roman"/>
          <w:b/>
          <w:bCs/>
          <w:sz w:val="22"/>
        </w:rPr>
        <w:t>IG</w:t>
      </w:r>
      <w:r w:rsidRPr="00645DFF">
        <w:rPr>
          <w:rFonts w:ascii="Times New Roman" w:hAnsi="Times New Roman" w:cs="Times New Roman"/>
          <w:b/>
          <w:bCs/>
          <w:sz w:val="22"/>
        </w:rPr>
        <w:t>.1</w:t>
      </w:r>
      <w:r w:rsidR="004A0D30" w:rsidRPr="00645DFF">
        <w:rPr>
          <w:rFonts w:ascii="Times New Roman" w:hAnsi="Times New Roman" w:cs="Times New Roman"/>
          <w:b/>
          <w:bCs/>
          <w:sz w:val="22"/>
        </w:rPr>
        <w:t>.</w:t>
      </w:r>
      <w:r w:rsidRPr="00645DFF">
        <w:rPr>
          <w:rFonts w:ascii="Times New Roman" w:hAnsi="Times New Roman" w:cs="Times New Roman"/>
          <w:sz w:val="22"/>
        </w:rPr>
        <w:t xml:space="preserve"> (a)</w:t>
      </w:r>
      <w:r w:rsidR="008F6DB6" w:rsidRPr="00645DFF">
        <w:rPr>
          <w:rFonts w:ascii="Times New Roman" w:hAnsi="Times New Roman" w:cs="Times New Roman"/>
          <w:sz w:val="22"/>
        </w:rPr>
        <w:t xml:space="preserve"> Schematic illustration of the crystal structure</w:t>
      </w:r>
      <w:r w:rsidR="00C8500E" w:rsidRPr="00645DFF">
        <w:rPr>
          <w:rFonts w:ascii="Times New Roman" w:hAnsi="Times New Roman" w:cs="Times New Roman"/>
          <w:sz w:val="22"/>
        </w:rPr>
        <w:t xml:space="preserve"> model</w:t>
      </w:r>
      <w:r w:rsidR="008F6DB6" w:rsidRPr="00645DFF">
        <w:rPr>
          <w:rFonts w:ascii="Times New Roman" w:hAnsi="Times New Roman" w:cs="Times New Roman"/>
          <w:sz w:val="22"/>
        </w:rPr>
        <w:t xml:space="preserve"> and topological band structure of </w:t>
      </w:r>
      <w:proofErr w:type="spellStart"/>
      <w:r w:rsidR="008F6DB6" w:rsidRPr="00645DFF">
        <w:rPr>
          <w:rFonts w:ascii="Times New Roman" w:hAnsi="Times New Roman" w:cs="Times New Roman"/>
          <w:sz w:val="22"/>
        </w:rPr>
        <w:t>BiSb</w:t>
      </w:r>
      <w:proofErr w:type="spellEnd"/>
      <w:r w:rsidR="008F6DB6" w:rsidRPr="00645DFF">
        <w:rPr>
          <w:rFonts w:ascii="Times New Roman" w:hAnsi="Times New Roman" w:cs="Times New Roman"/>
          <w:sz w:val="22"/>
        </w:rPr>
        <w:t>.</w:t>
      </w:r>
      <w:r w:rsidR="00D2704C" w:rsidRPr="00645DFF">
        <w:rPr>
          <w:rFonts w:ascii="Times New Roman" w:eastAsia="DengXian" w:hAnsi="Times New Roman" w:cs="Times New Roman"/>
          <w:sz w:val="22"/>
          <w:lang w:eastAsia="zh-CN"/>
        </w:rPr>
        <w:t xml:space="preserve"> </w:t>
      </w:r>
      <w:r w:rsidR="008F6DB6" w:rsidRPr="00645DFF">
        <w:rPr>
          <w:rFonts w:ascii="Times New Roman" w:hAnsi="Times New Roman" w:cs="Times New Roman"/>
          <w:sz w:val="22"/>
        </w:rPr>
        <w:t xml:space="preserve">(b) Schematic representation of the ST-FMR measurement setup accompanied by a microscopy image of a microfabricated </w:t>
      </w:r>
      <w:proofErr w:type="spellStart"/>
      <w:r w:rsidR="008F6DB6" w:rsidRPr="00645DFF">
        <w:rPr>
          <w:rFonts w:ascii="Times New Roman" w:hAnsi="Times New Roman" w:cs="Times New Roman"/>
          <w:sz w:val="22"/>
        </w:rPr>
        <w:t>BiSb</w:t>
      </w:r>
      <w:proofErr w:type="spellEnd"/>
      <w:r w:rsidR="008F6DB6" w:rsidRPr="00645DFF">
        <w:rPr>
          <w:rFonts w:ascii="Times New Roman" w:hAnsi="Times New Roman" w:cs="Times New Roman"/>
          <w:sz w:val="22"/>
        </w:rPr>
        <w:t>/</w:t>
      </w:r>
      <w:r w:rsidR="00F91960" w:rsidRPr="00645DFF">
        <w:rPr>
          <w:rFonts w:ascii="Times New Roman" w:hAnsi="Times New Roman" w:cs="Times New Roman"/>
          <w:sz w:val="22"/>
        </w:rPr>
        <w:t>interlayer</w:t>
      </w:r>
      <w:r w:rsidR="008F6DB6" w:rsidRPr="00645DFF">
        <w:rPr>
          <w:rFonts w:ascii="Times New Roman" w:hAnsi="Times New Roman" w:cs="Times New Roman"/>
          <w:sz w:val="22"/>
        </w:rPr>
        <w:t>/</w:t>
      </w:r>
      <w:proofErr w:type="spellStart"/>
      <w:r w:rsidR="008F6DB6" w:rsidRPr="00645DFF">
        <w:rPr>
          <w:rFonts w:ascii="Times New Roman" w:hAnsi="Times New Roman" w:cs="Times New Roman"/>
          <w:sz w:val="22"/>
        </w:rPr>
        <w:t>CoFeB</w:t>
      </w:r>
      <w:proofErr w:type="spellEnd"/>
      <w:r w:rsidR="008F6DB6" w:rsidRPr="00645DFF">
        <w:rPr>
          <w:rFonts w:ascii="Times New Roman" w:hAnsi="Times New Roman" w:cs="Times New Roman"/>
          <w:sz w:val="22"/>
        </w:rPr>
        <w:t xml:space="preserve"> device.</w:t>
      </w:r>
    </w:p>
    <w:p w14:paraId="5F8E5E3E" w14:textId="77777777" w:rsidR="00163743" w:rsidRPr="00645DFF" w:rsidRDefault="00163743" w:rsidP="00163743">
      <w:pPr>
        <w:rPr>
          <w:rFonts w:ascii="Times New Roman" w:hAnsi="Times New Roman" w:cs="Times New Roman"/>
          <w:sz w:val="22"/>
        </w:rPr>
      </w:pPr>
    </w:p>
    <w:p w14:paraId="1640451F" w14:textId="75A6519C" w:rsidR="00F05B7F" w:rsidRPr="00645DFF" w:rsidRDefault="00F05B7F" w:rsidP="00F05B7F">
      <w:pPr>
        <w:spacing w:line="480" w:lineRule="auto"/>
        <w:rPr>
          <w:rFonts w:ascii="Times New Roman" w:hAnsi="Times New Roman" w:cs="Times New Roman"/>
          <w:b/>
          <w:bCs/>
          <w:sz w:val="22"/>
        </w:rPr>
      </w:pPr>
      <w:r w:rsidRPr="00645DFF">
        <w:rPr>
          <w:rFonts w:ascii="Times New Roman" w:hAnsi="Times New Roman" w:cs="Times New Roman"/>
          <w:b/>
          <w:bCs/>
          <w:sz w:val="22"/>
        </w:rPr>
        <w:t>III. RESULTS</w:t>
      </w:r>
      <w:r w:rsidR="00C30423" w:rsidRPr="00645DFF">
        <w:rPr>
          <w:rFonts w:ascii="Times New Roman" w:hAnsi="Times New Roman" w:cs="Times New Roman"/>
          <w:b/>
          <w:bCs/>
        </w:rPr>
        <w:t xml:space="preserve"> AND </w:t>
      </w:r>
      <w:r w:rsidR="00C30423" w:rsidRPr="00645DFF">
        <w:rPr>
          <w:rFonts w:ascii="Times New Roman" w:hAnsi="Times New Roman" w:cs="Times New Roman"/>
          <w:b/>
          <w:bCs/>
          <w:sz w:val="22"/>
        </w:rPr>
        <w:t>DISCUSSION</w:t>
      </w:r>
    </w:p>
    <w:p w14:paraId="73603ECD" w14:textId="676B30E9" w:rsidR="007E2680" w:rsidRPr="00645DFF" w:rsidRDefault="007E2680"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t xml:space="preserve">Figure 2 presents a comparative analysis of the crystalline quality of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film and its upper</w:t>
      </w:r>
      <w:r w:rsidRPr="00645DFF">
        <w:rPr>
          <w:rFonts w:ascii="Times New Roman" w:eastAsia="DengXian" w:hAnsi="Times New Roman" w:cs="Times New Roman"/>
          <w:sz w:val="22"/>
          <w:lang w:eastAsia="zh-CN"/>
        </w:rPr>
        <w:t xml:space="preserve"> </w:t>
      </w:r>
      <w:r w:rsidRPr="00645DFF">
        <w:rPr>
          <w:rFonts w:ascii="Times New Roman" w:hAnsi="Times New Roman" w:cs="Times New Roman"/>
          <w:sz w:val="22"/>
        </w:rPr>
        <w:t xml:space="preserve">interlayers, i.e., Ge,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and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 evaluated using in-situ RHEED and ex-situ XRD measurements. The RHEED pattern of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surface grown directly on </w:t>
      </w:r>
      <w:r w:rsidR="002348D6" w:rsidRPr="00645DFF">
        <w:rPr>
          <w:rFonts w:ascii="Times New Roman" w:hAnsi="Times New Roman" w:cs="Times New Roman"/>
          <w:sz w:val="22"/>
        </w:rPr>
        <w:t>an Al</w:t>
      </w:r>
      <w:r w:rsidR="002348D6" w:rsidRPr="00645DFF">
        <w:rPr>
          <w:rFonts w:ascii="Times New Roman" w:hAnsi="Times New Roman" w:cs="Times New Roman"/>
          <w:sz w:val="22"/>
          <w:vertAlign w:val="subscript"/>
        </w:rPr>
        <w:t>2</w:t>
      </w:r>
      <w:r w:rsidR="002348D6" w:rsidRPr="00645DFF">
        <w:rPr>
          <w:rFonts w:ascii="Times New Roman" w:hAnsi="Times New Roman" w:cs="Times New Roman"/>
          <w:sz w:val="22"/>
        </w:rPr>
        <w:t>O</w:t>
      </w:r>
      <w:r w:rsidR="002348D6" w:rsidRPr="00645DFF">
        <w:rPr>
          <w:rFonts w:ascii="Times New Roman" w:hAnsi="Times New Roman" w:cs="Times New Roman"/>
          <w:sz w:val="22"/>
          <w:vertAlign w:val="subscript"/>
        </w:rPr>
        <w:t>3</w:t>
      </w:r>
      <w:r w:rsidR="002348D6" w:rsidRPr="00645DFF">
        <w:rPr>
          <w:rFonts w:ascii="Times New Roman" w:hAnsi="Times New Roman" w:cs="Times New Roman"/>
          <w:sz w:val="22"/>
        </w:rPr>
        <w:t>(0001)</w:t>
      </w:r>
      <w:r w:rsidRPr="00645DFF">
        <w:rPr>
          <w:rFonts w:ascii="Times New Roman" w:hAnsi="Times New Roman" w:cs="Times New Roman"/>
          <w:sz w:val="22"/>
        </w:rPr>
        <w:t xml:space="preserve"> substrate, as shown in Fig. 2(a), </w:t>
      </w:r>
      <w:r w:rsidR="009F3D0B" w:rsidRPr="00645DFF">
        <w:rPr>
          <w:rFonts w:ascii="Times New Roman" w:hAnsi="Times New Roman" w:cs="Times New Roman"/>
          <w:sz w:val="22"/>
        </w:rPr>
        <w:t xml:space="preserve">exhibits </w:t>
      </w:r>
      <w:r w:rsidRPr="00645DFF">
        <w:rPr>
          <w:rFonts w:ascii="Times New Roman" w:hAnsi="Times New Roman" w:cs="Times New Roman"/>
          <w:sz w:val="22"/>
        </w:rPr>
        <w:t>clear streaks and</w:t>
      </w:r>
      <w:r w:rsidR="001F0FDE" w:rsidRPr="00645DFF">
        <w:rPr>
          <w:rFonts w:ascii="Times New Roman" w:hAnsi="Times New Roman" w:cs="Times New Roman"/>
          <w:sz w:val="22"/>
        </w:rPr>
        <w:t xml:space="preserve"> </w:t>
      </w:r>
      <w:r w:rsidRPr="00645DFF">
        <w:rPr>
          <w:rFonts w:ascii="Times New Roman" w:hAnsi="Times New Roman" w:cs="Times New Roman"/>
          <w:sz w:val="22"/>
        </w:rPr>
        <w:t xml:space="preserve">ring features that indicate a textured </w:t>
      </w:r>
      <w:r w:rsidR="001F0FDE" w:rsidRPr="00645DFF">
        <w:rPr>
          <w:rFonts w:ascii="Times New Roman" w:hAnsi="Times New Roman" w:cs="Times New Roman"/>
          <w:sz w:val="22"/>
        </w:rPr>
        <w:t xml:space="preserve">polycrystalline </w:t>
      </w:r>
      <w:r w:rsidRPr="00645DFF">
        <w:rPr>
          <w:rFonts w:ascii="Times New Roman" w:hAnsi="Times New Roman" w:cs="Times New Roman"/>
          <w:sz w:val="22"/>
        </w:rPr>
        <w:t>growth mode. Figures 2(b)</w:t>
      </w:r>
      <w:r w:rsidR="00AC79C3" w:rsidRPr="00645DFF">
        <w:rPr>
          <w:rFonts w:ascii="Times New Roman" w:hAnsi="Times New Roman" w:cs="Times New Roman"/>
          <w:sz w:val="22"/>
        </w:rPr>
        <w:t>-</w:t>
      </w:r>
      <w:r w:rsidRPr="00645DFF">
        <w:rPr>
          <w:rFonts w:ascii="Times New Roman" w:hAnsi="Times New Roman" w:cs="Times New Roman"/>
          <w:sz w:val="22"/>
        </w:rPr>
        <w:t xml:space="preserve">(d) display the RHEED patterns of the respective interlayers deposited on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layer. Among these, the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surface exhibits the brightest diffraction spots, reflecting </w:t>
      </w:r>
      <w:r w:rsidR="009F3D0B" w:rsidRPr="00645DFF">
        <w:rPr>
          <w:rFonts w:ascii="Times New Roman" w:hAnsi="Times New Roman" w:cs="Times New Roman"/>
          <w:sz w:val="22"/>
        </w:rPr>
        <w:t xml:space="preserve">the </w:t>
      </w:r>
      <w:r w:rsidR="001F0FDE" w:rsidRPr="00645DFF">
        <w:rPr>
          <w:rFonts w:ascii="Times New Roman" w:hAnsi="Times New Roman" w:cs="Times New Roman"/>
          <w:sz w:val="22"/>
        </w:rPr>
        <w:t>favorable</w:t>
      </w:r>
      <w:r w:rsidRPr="00645DFF">
        <w:rPr>
          <w:rFonts w:ascii="Times New Roman" w:hAnsi="Times New Roman" w:cs="Times New Roman"/>
          <w:sz w:val="22"/>
        </w:rPr>
        <w:t xml:space="preserve"> surface crystallinity </w:t>
      </w:r>
      <w:r w:rsidR="001F0FDE" w:rsidRPr="00645DFF">
        <w:rPr>
          <w:rFonts w:ascii="Times New Roman" w:hAnsi="Times New Roman" w:cs="Times New Roman"/>
          <w:sz w:val="22"/>
        </w:rPr>
        <w:t xml:space="preserve">of </w:t>
      </w:r>
      <w:proofErr w:type="spellStart"/>
      <w:r w:rsidR="001F0FDE" w:rsidRPr="00645DFF">
        <w:rPr>
          <w:rFonts w:ascii="Times New Roman" w:hAnsi="Times New Roman" w:cs="Times New Roman"/>
          <w:sz w:val="22"/>
        </w:rPr>
        <w:t>NiAl</w:t>
      </w:r>
      <w:proofErr w:type="spellEnd"/>
      <w:r w:rsidRPr="00645DFF">
        <w:rPr>
          <w:rFonts w:ascii="Times New Roman" w:hAnsi="Times New Roman" w:cs="Times New Roman"/>
          <w:sz w:val="22"/>
        </w:rPr>
        <w:t xml:space="preserve">. In contrast, the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 interlayer produces more diffuse ring features, suggesting a</w:t>
      </w:r>
      <w:r w:rsidR="00A1403F" w:rsidRPr="00645DFF">
        <w:rPr>
          <w:rFonts w:ascii="Times New Roman" w:hAnsi="Times New Roman" w:cs="Times New Roman"/>
          <w:sz w:val="22"/>
        </w:rPr>
        <w:t xml:space="preserve">n </w:t>
      </w:r>
      <w:r w:rsidRPr="00645DFF">
        <w:rPr>
          <w:rFonts w:ascii="Times New Roman" w:hAnsi="Times New Roman" w:cs="Times New Roman"/>
          <w:sz w:val="22"/>
        </w:rPr>
        <w:t>amorphous-like surface structure, while the Ge interlayer shows distinct ring patterns characteristic of polycrystalline Ge with a textured growth mode.</w:t>
      </w:r>
    </w:p>
    <w:p w14:paraId="31535BAB" w14:textId="1980EB40" w:rsidR="009721D0" w:rsidRPr="00645DFF" w:rsidRDefault="009721D0"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t xml:space="preserve">To further assess the crystal orientation, XRD measurements with an out-of-plane scan were performed, as shown in Fig. 2(e). The diffraction patterns of the full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/interlayer/</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stacks reveal the presence of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(003), (006), and (009) reflections, confirming textured growth along 001 orientation for all the samples. Remarkably,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/Ge/CFB sample exhibits significantly stronger peak intensities compared with the other interlayer samples, indicating enhanced crystallinity of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In contrast,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/CFB and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/CFB films show reduced peak intensities, implying a lower degree of structural texture. A distinct </w:t>
      </w:r>
      <w:proofErr w:type="spellStart"/>
      <w:proofErr w:type="gramStart"/>
      <w:r w:rsidRPr="00645DFF">
        <w:rPr>
          <w:rFonts w:ascii="Times New Roman" w:hAnsi="Times New Roman" w:cs="Times New Roman"/>
          <w:sz w:val="22"/>
        </w:rPr>
        <w:t>BiSb</w:t>
      </w:r>
      <w:proofErr w:type="spellEnd"/>
      <w:r w:rsidRPr="00645DFF">
        <w:rPr>
          <w:rFonts w:ascii="Times New Roman" w:hAnsi="Times New Roman" w:cs="Times New Roman"/>
          <w:sz w:val="22"/>
        </w:rPr>
        <w:t>(</w:t>
      </w:r>
      <w:proofErr w:type="gramEnd"/>
      <w:r w:rsidRPr="00645DFF">
        <w:rPr>
          <w:rFonts w:ascii="Times New Roman" w:hAnsi="Times New Roman" w:cs="Times New Roman"/>
          <w:sz w:val="22"/>
        </w:rPr>
        <w:t xml:space="preserve">012) peak emerges in the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 </w:t>
      </w:r>
      <w:proofErr w:type="gramStart"/>
      <w:r w:rsidRPr="00645DFF">
        <w:rPr>
          <w:rFonts w:ascii="Times New Roman" w:hAnsi="Times New Roman" w:cs="Times New Roman"/>
          <w:sz w:val="22"/>
        </w:rPr>
        <w:t>interlayer based</w:t>
      </w:r>
      <w:proofErr w:type="gramEnd"/>
      <w:r w:rsidRPr="00645DFF">
        <w:rPr>
          <w:rFonts w:ascii="Times New Roman" w:hAnsi="Times New Roman" w:cs="Times New Roman"/>
          <w:sz w:val="22"/>
        </w:rPr>
        <w:t xml:space="preserve"> sample, which indicates the interlayer also influences crystal orientation. Figure 2(f) </w:t>
      </w:r>
      <w:r w:rsidRPr="00645DFF">
        <w:rPr>
          <w:rFonts w:ascii="Times New Roman" w:hAnsi="Times New Roman" w:cs="Times New Roman"/>
          <w:sz w:val="22"/>
        </w:rPr>
        <w:lastRenderedPageBreak/>
        <w:t xml:space="preserve">summarizes the variation in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(006) peak intensity and its full width at half maximum (FWHM) for the different interlayer samples. The Ge and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interlayers yield lower FWHM values, indicating larger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grain sizes than the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-interlayer sample. Meanwhile, the relative intensity profile highlights the Ge interlayer as the most effective in promoting high-quality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growth, as evidenced by its highest diffraction peak intensity. </w:t>
      </w:r>
      <w:r w:rsidR="00F3568F" w:rsidRPr="00645DFF">
        <w:rPr>
          <w:rFonts w:ascii="Times New Roman" w:eastAsia="DengXian" w:hAnsi="Times New Roman" w:cs="Times New Roman"/>
          <w:sz w:val="22"/>
          <w:lang w:eastAsia="zh-CN"/>
        </w:rPr>
        <w:t xml:space="preserve">Although </w:t>
      </w:r>
      <w:proofErr w:type="spellStart"/>
      <w:r w:rsidR="00F3568F" w:rsidRPr="00645DFF">
        <w:rPr>
          <w:rFonts w:ascii="Times New Roman" w:eastAsia="DengXian" w:hAnsi="Times New Roman" w:cs="Times New Roman"/>
          <w:sz w:val="22"/>
          <w:lang w:eastAsia="zh-CN"/>
        </w:rPr>
        <w:t>BiSb</w:t>
      </w:r>
      <w:proofErr w:type="spellEnd"/>
      <w:r w:rsidR="00F3568F" w:rsidRPr="00645DFF">
        <w:rPr>
          <w:rFonts w:ascii="Times New Roman" w:eastAsia="DengXian" w:hAnsi="Times New Roman" w:cs="Times New Roman"/>
          <w:sz w:val="22"/>
          <w:lang w:eastAsia="zh-CN"/>
        </w:rPr>
        <w:t xml:space="preserve"> is initially grown on the Al</w:t>
      </w:r>
      <w:r w:rsidR="00F3568F" w:rsidRPr="00645DFF">
        <w:rPr>
          <w:rFonts w:ascii="Times New Roman" w:eastAsia="DengXian" w:hAnsi="Times New Roman" w:cs="Times New Roman"/>
          <w:sz w:val="22"/>
          <w:vertAlign w:val="subscript"/>
          <w:lang w:eastAsia="zh-CN"/>
        </w:rPr>
        <w:t>2</w:t>
      </w:r>
      <w:r w:rsidR="00F3568F" w:rsidRPr="00645DFF">
        <w:rPr>
          <w:rFonts w:ascii="Times New Roman" w:hAnsi="Times New Roman" w:cs="Times New Roman"/>
          <w:sz w:val="22"/>
        </w:rPr>
        <w:t>O</w:t>
      </w:r>
      <w:r w:rsidR="00F3568F" w:rsidRPr="00645DFF">
        <w:rPr>
          <w:rFonts w:ascii="Times New Roman" w:hAnsi="Times New Roman" w:cs="Times New Roman"/>
          <w:sz w:val="22"/>
          <w:vertAlign w:val="subscript"/>
        </w:rPr>
        <w:t>3</w:t>
      </w:r>
      <w:r w:rsidR="00F3568F" w:rsidRPr="00645DFF">
        <w:rPr>
          <w:rFonts w:ascii="Times New Roman" w:hAnsi="Times New Roman" w:cs="Times New Roman"/>
          <w:sz w:val="22"/>
        </w:rPr>
        <w:t xml:space="preserve"> </w:t>
      </w:r>
      <w:r w:rsidR="00F3568F" w:rsidRPr="00645DFF">
        <w:rPr>
          <w:rFonts w:ascii="Times New Roman" w:eastAsia="DengXian" w:hAnsi="Times New Roman" w:cs="Times New Roman"/>
          <w:sz w:val="22"/>
          <w:lang w:eastAsia="zh-CN"/>
        </w:rPr>
        <w:t xml:space="preserve">substrate, its relatively low thermal stability makes it susceptible to interfacial interdiffusion and structural relaxation during subsequent layer deposition, which can modify its </w:t>
      </w:r>
      <w:proofErr w:type="gramStart"/>
      <w:r w:rsidR="00F3568F" w:rsidRPr="00645DFF">
        <w:rPr>
          <w:rFonts w:ascii="Times New Roman" w:eastAsia="DengXian" w:hAnsi="Times New Roman" w:cs="Times New Roman"/>
          <w:sz w:val="22"/>
          <w:lang w:eastAsia="zh-CN"/>
        </w:rPr>
        <w:t>crystallinity</w:t>
      </w:r>
      <w:proofErr w:type="gramEnd"/>
      <w:r w:rsidR="00F3568F" w:rsidRPr="00645DFF">
        <w:rPr>
          <w:rFonts w:ascii="Times New Roman" w:eastAsia="DengXian" w:hAnsi="Times New Roman" w:cs="Times New Roman"/>
          <w:sz w:val="22"/>
          <w:lang w:eastAsia="zh-CN"/>
        </w:rPr>
        <w:t xml:space="preserve"> and preferred orientation. </w:t>
      </w:r>
      <w:r w:rsidRPr="00645DFF">
        <w:rPr>
          <w:rFonts w:ascii="Times New Roman" w:hAnsi="Times New Roman" w:cs="Times New Roman"/>
          <w:sz w:val="22"/>
        </w:rPr>
        <w:t xml:space="preserve">These results demonstrate that the selection of the appropriate interlayer plays a crucial role for dictating the crystallographic orientation and structural quality of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layer. Since </w:t>
      </w:r>
      <w:proofErr w:type="gramStart"/>
      <w:r w:rsidRPr="00645DFF">
        <w:rPr>
          <w:rFonts w:ascii="Times New Roman" w:hAnsi="Times New Roman" w:cs="Times New Roman"/>
          <w:sz w:val="22"/>
        </w:rPr>
        <w:t>crystallinity</w:t>
      </w:r>
      <w:proofErr w:type="gramEnd"/>
      <w:r w:rsidRPr="00645DFF">
        <w:rPr>
          <w:rFonts w:ascii="Times New Roman" w:hAnsi="Times New Roman" w:cs="Times New Roman"/>
          <w:sz w:val="22"/>
        </w:rPr>
        <w:t xml:space="preserve"> directly influences the electronic band structure, which in turn affects the intrinsic spin-charge conversion of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optimizing the interlayer is crucial for achieving superior performance in spintronic devices.</w:t>
      </w:r>
    </w:p>
    <w:p w14:paraId="26803F01" w14:textId="56DE32AB" w:rsidR="005D7485" w:rsidRPr="00645DFF" w:rsidRDefault="00DF0C0A" w:rsidP="00D45546">
      <w:pPr>
        <w:spacing w:line="360" w:lineRule="auto"/>
        <w:jc w:val="center"/>
        <w:rPr>
          <w:rFonts w:ascii="Times New Roman" w:hAnsi="Times New Roman" w:cs="Times New Roman"/>
          <w:sz w:val="22"/>
        </w:rPr>
      </w:pPr>
      <w:r w:rsidRPr="00645DFF">
        <w:rPr>
          <w:rFonts w:ascii="Times New Roman" w:hAnsi="Times New Roman" w:cs="Times New Roman"/>
          <w:noProof/>
        </w:rPr>
        <w:drawing>
          <wp:inline distT="0" distB="0" distL="0" distR="0" wp14:anchorId="7D9A2EFB" wp14:editId="070F8199">
            <wp:extent cx="5020167" cy="4288778"/>
            <wp:effectExtent l="0" t="0" r="0" b="0"/>
            <wp:docPr id="228324458" name="Picture 4"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24458" name="Picture 4" descr="A diagram of a graph&#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7119" cy="4294717"/>
                    </a:xfrm>
                    <a:prstGeom prst="rect">
                      <a:avLst/>
                    </a:prstGeom>
                    <a:noFill/>
                    <a:ln>
                      <a:noFill/>
                    </a:ln>
                  </pic:spPr>
                </pic:pic>
              </a:graphicData>
            </a:graphic>
          </wp:inline>
        </w:drawing>
      </w:r>
    </w:p>
    <w:p w14:paraId="60A72364" w14:textId="56E12A6D" w:rsidR="005D7485" w:rsidRPr="00645DFF" w:rsidRDefault="005D7485" w:rsidP="00B74644">
      <w:pPr>
        <w:spacing w:line="360" w:lineRule="auto"/>
        <w:rPr>
          <w:rFonts w:ascii="Times New Roman" w:hAnsi="Times New Roman" w:cs="Times New Roman"/>
          <w:sz w:val="22"/>
        </w:rPr>
      </w:pPr>
      <w:r w:rsidRPr="00645DFF">
        <w:rPr>
          <w:rFonts w:ascii="Times New Roman" w:hAnsi="Times New Roman" w:cs="Times New Roman"/>
          <w:b/>
          <w:bCs/>
          <w:sz w:val="22"/>
        </w:rPr>
        <w:t>F</w:t>
      </w:r>
      <w:r w:rsidR="004A0D30" w:rsidRPr="00645DFF">
        <w:rPr>
          <w:rFonts w:ascii="Times New Roman" w:hAnsi="Times New Roman" w:cs="Times New Roman"/>
          <w:b/>
          <w:bCs/>
          <w:sz w:val="22"/>
        </w:rPr>
        <w:t>IG</w:t>
      </w:r>
      <w:r w:rsidRPr="00645DFF">
        <w:rPr>
          <w:rFonts w:ascii="Times New Roman" w:hAnsi="Times New Roman" w:cs="Times New Roman"/>
          <w:b/>
          <w:bCs/>
          <w:sz w:val="22"/>
        </w:rPr>
        <w:t>. 2</w:t>
      </w:r>
      <w:r w:rsidR="004A0D30" w:rsidRPr="00645DFF">
        <w:rPr>
          <w:rFonts w:ascii="Times New Roman" w:hAnsi="Times New Roman" w:cs="Times New Roman"/>
          <w:b/>
          <w:bCs/>
          <w:sz w:val="22"/>
        </w:rPr>
        <w:t>.</w:t>
      </w:r>
      <w:r w:rsidRPr="00645DFF">
        <w:rPr>
          <w:rFonts w:ascii="Times New Roman" w:hAnsi="Times New Roman" w:cs="Times New Roman"/>
          <w:sz w:val="22"/>
        </w:rPr>
        <w:t xml:space="preserve"> RHEED patterns </w:t>
      </w:r>
      <w:r w:rsidR="00DE35B1" w:rsidRPr="00645DFF">
        <w:rPr>
          <w:rFonts w:ascii="Times New Roman" w:hAnsi="Times New Roman" w:cs="Times New Roman"/>
          <w:sz w:val="22"/>
        </w:rPr>
        <w:t>for</w:t>
      </w:r>
      <w:r w:rsidRPr="00645DFF">
        <w:rPr>
          <w:rFonts w:ascii="Times New Roman" w:hAnsi="Times New Roman" w:cs="Times New Roman"/>
          <w:sz w:val="22"/>
        </w:rPr>
        <w:t xml:space="preserve"> the surface</w:t>
      </w:r>
      <w:r w:rsidR="00DE35B1" w:rsidRPr="00645DFF">
        <w:rPr>
          <w:rFonts w:ascii="Times New Roman" w:hAnsi="Times New Roman" w:cs="Times New Roman"/>
          <w:sz w:val="22"/>
        </w:rPr>
        <w:t>s</w:t>
      </w:r>
      <w:r w:rsidRPr="00645DFF">
        <w:rPr>
          <w:rFonts w:ascii="Times New Roman" w:hAnsi="Times New Roman" w:cs="Times New Roman"/>
          <w:sz w:val="22"/>
        </w:rPr>
        <w:t xml:space="preserve"> of (a) </w:t>
      </w:r>
      <w:proofErr w:type="spellStart"/>
      <w:r w:rsidRPr="00645DFF">
        <w:rPr>
          <w:rFonts w:ascii="Times New Roman" w:hAnsi="Times New Roman" w:cs="Times New Roman"/>
          <w:sz w:val="22"/>
        </w:rPr>
        <w:t>BiSb</w:t>
      </w:r>
      <w:proofErr w:type="spellEnd"/>
      <w:r w:rsidR="00DE35B1" w:rsidRPr="00645DFF">
        <w:rPr>
          <w:rFonts w:ascii="Times New Roman" w:hAnsi="Times New Roman" w:cs="Times New Roman"/>
          <w:sz w:val="22"/>
        </w:rPr>
        <w:t xml:space="preserve"> layer</w:t>
      </w:r>
      <w:r w:rsidRPr="00645DFF">
        <w:rPr>
          <w:rFonts w:ascii="Times New Roman" w:hAnsi="Times New Roman" w:cs="Times New Roman"/>
          <w:sz w:val="22"/>
        </w:rPr>
        <w:t>, (b) Ge</w:t>
      </w:r>
      <w:r w:rsidR="00DE35B1" w:rsidRPr="00645DFF">
        <w:rPr>
          <w:rFonts w:ascii="Times New Roman" w:hAnsi="Times New Roman" w:cs="Times New Roman"/>
          <w:sz w:val="22"/>
        </w:rPr>
        <w:t xml:space="preserve"> layer</w:t>
      </w:r>
      <w:r w:rsidR="00EB7DB2" w:rsidRPr="00645DFF">
        <w:rPr>
          <w:rFonts w:ascii="Times New Roman" w:hAnsi="Times New Roman" w:cs="Times New Roman"/>
          <w:sz w:val="22"/>
        </w:rPr>
        <w:t>,</w:t>
      </w:r>
      <w:r w:rsidRPr="00645DFF">
        <w:rPr>
          <w:rFonts w:ascii="Times New Roman" w:hAnsi="Times New Roman" w:cs="Times New Roman"/>
          <w:sz w:val="22"/>
        </w:rPr>
        <w:t xml:space="preserve"> (c) </w:t>
      </w:r>
      <w:proofErr w:type="spellStart"/>
      <w:r w:rsidRPr="00645DFF">
        <w:rPr>
          <w:rFonts w:ascii="Times New Roman" w:hAnsi="Times New Roman" w:cs="Times New Roman"/>
          <w:sz w:val="22"/>
        </w:rPr>
        <w:t>NiAl</w:t>
      </w:r>
      <w:proofErr w:type="spellEnd"/>
      <w:r w:rsidR="00DE35B1" w:rsidRPr="00645DFF">
        <w:rPr>
          <w:rFonts w:ascii="Times New Roman" w:hAnsi="Times New Roman" w:cs="Times New Roman"/>
          <w:sz w:val="22"/>
        </w:rPr>
        <w:t xml:space="preserve"> layer</w:t>
      </w:r>
      <w:r w:rsidR="00EB7DB2" w:rsidRPr="00645DFF">
        <w:rPr>
          <w:rFonts w:ascii="Times New Roman" w:hAnsi="Times New Roman" w:cs="Times New Roman"/>
          <w:sz w:val="22"/>
        </w:rPr>
        <w:t xml:space="preserve">, </w:t>
      </w:r>
      <w:r w:rsidRPr="00645DFF">
        <w:rPr>
          <w:rFonts w:ascii="Times New Roman" w:hAnsi="Times New Roman" w:cs="Times New Roman"/>
          <w:sz w:val="22"/>
        </w:rPr>
        <w:t xml:space="preserve">(d) </w:t>
      </w:r>
      <w:proofErr w:type="spellStart"/>
      <w:r w:rsidRPr="00645DFF">
        <w:rPr>
          <w:rFonts w:ascii="Times New Roman" w:hAnsi="Times New Roman" w:cs="Times New Roman"/>
          <w:sz w:val="22"/>
        </w:rPr>
        <w:t>NiFeGe</w:t>
      </w:r>
      <w:proofErr w:type="spellEnd"/>
      <w:r w:rsidR="00DE35B1" w:rsidRPr="00645DFF">
        <w:rPr>
          <w:rFonts w:ascii="Times New Roman" w:hAnsi="Times New Roman" w:cs="Times New Roman"/>
          <w:sz w:val="22"/>
        </w:rPr>
        <w:t xml:space="preserve"> layer</w:t>
      </w:r>
      <w:r w:rsidRPr="00645DFF">
        <w:rPr>
          <w:rFonts w:ascii="Times New Roman" w:hAnsi="Times New Roman" w:cs="Times New Roman"/>
          <w:sz w:val="22"/>
        </w:rPr>
        <w:t xml:space="preserve">. (e) </w:t>
      </w:r>
      <w:r w:rsidR="00EB7DB2" w:rsidRPr="00645DFF">
        <w:rPr>
          <w:rFonts w:ascii="Times New Roman" w:hAnsi="Times New Roman" w:cs="Times New Roman"/>
          <w:sz w:val="22"/>
        </w:rPr>
        <w:t xml:space="preserve">Out-of-plane </w:t>
      </w:r>
      <w:r w:rsidRPr="00645DFF">
        <w:rPr>
          <w:rFonts w:ascii="Times New Roman" w:hAnsi="Times New Roman" w:cs="Times New Roman"/>
          <w:sz w:val="22"/>
        </w:rPr>
        <w:t>XRD pattern</w:t>
      </w:r>
      <w:r w:rsidR="00EB7DB2" w:rsidRPr="00645DFF">
        <w:rPr>
          <w:rFonts w:ascii="Times New Roman" w:hAnsi="Times New Roman" w:cs="Times New Roman"/>
          <w:sz w:val="22"/>
        </w:rPr>
        <w:t>s</w:t>
      </w:r>
      <w:r w:rsidR="005D2570" w:rsidRPr="00645DFF">
        <w:rPr>
          <w:rFonts w:ascii="Times New Roman" w:hAnsi="Times New Roman" w:cs="Times New Roman"/>
          <w:sz w:val="22"/>
        </w:rPr>
        <w:t xml:space="preserve"> </w:t>
      </w:r>
      <w:r w:rsidR="00C0208B" w:rsidRPr="00645DFF">
        <w:rPr>
          <w:rFonts w:ascii="Times New Roman" w:hAnsi="Times New Roman" w:cs="Times New Roman"/>
          <w:sz w:val="22"/>
        </w:rPr>
        <w:t xml:space="preserve">for the full stacks of </w:t>
      </w:r>
      <w:proofErr w:type="spellStart"/>
      <w:r w:rsidR="00C0208B" w:rsidRPr="00645DFF">
        <w:rPr>
          <w:rFonts w:ascii="Times New Roman" w:hAnsi="Times New Roman" w:cs="Times New Roman"/>
          <w:sz w:val="22"/>
        </w:rPr>
        <w:t>BiSb</w:t>
      </w:r>
      <w:proofErr w:type="spellEnd"/>
      <w:r w:rsidR="00C0208B" w:rsidRPr="00645DFF">
        <w:rPr>
          <w:rFonts w:ascii="Times New Roman" w:hAnsi="Times New Roman" w:cs="Times New Roman"/>
          <w:sz w:val="22"/>
        </w:rPr>
        <w:t>/</w:t>
      </w:r>
      <w:r w:rsidR="00F91960" w:rsidRPr="00645DFF">
        <w:rPr>
          <w:rFonts w:ascii="Times New Roman" w:hAnsi="Times New Roman" w:cs="Times New Roman"/>
          <w:sz w:val="22"/>
        </w:rPr>
        <w:t>interlayer</w:t>
      </w:r>
      <w:r w:rsidR="00C0208B" w:rsidRPr="00645DFF">
        <w:rPr>
          <w:rFonts w:ascii="Times New Roman" w:hAnsi="Times New Roman" w:cs="Times New Roman"/>
          <w:sz w:val="22"/>
        </w:rPr>
        <w:t>/</w:t>
      </w:r>
      <w:proofErr w:type="spellStart"/>
      <w:r w:rsidR="00C0208B" w:rsidRPr="00645DFF">
        <w:rPr>
          <w:rFonts w:ascii="Times New Roman" w:hAnsi="Times New Roman" w:cs="Times New Roman"/>
          <w:sz w:val="22"/>
        </w:rPr>
        <w:t>CoFeB</w:t>
      </w:r>
      <w:proofErr w:type="spellEnd"/>
      <w:r w:rsidR="00C0208B" w:rsidRPr="00645DFF">
        <w:rPr>
          <w:rFonts w:ascii="Times New Roman" w:hAnsi="Times New Roman" w:cs="Times New Roman"/>
          <w:sz w:val="22"/>
        </w:rPr>
        <w:t>. (</w:t>
      </w:r>
      <w:r w:rsidRPr="00645DFF">
        <w:rPr>
          <w:rFonts w:ascii="Times New Roman" w:hAnsi="Times New Roman" w:cs="Times New Roman"/>
          <w:sz w:val="22"/>
        </w:rPr>
        <w:t xml:space="preserve">f) FWHM and XRD peak </w:t>
      </w:r>
      <w:proofErr w:type="spellStart"/>
      <w:r w:rsidR="005D2570" w:rsidRPr="00645DFF">
        <w:rPr>
          <w:rFonts w:ascii="Times New Roman" w:hAnsi="Times New Roman" w:cs="Times New Roman"/>
          <w:sz w:val="22"/>
        </w:rPr>
        <w:t>BiSb</w:t>
      </w:r>
      <w:proofErr w:type="spellEnd"/>
      <w:r w:rsidRPr="00645DFF">
        <w:rPr>
          <w:rFonts w:ascii="Times New Roman" w:hAnsi="Times New Roman" w:cs="Times New Roman"/>
          <w:sz w:val="22"/>
        </w:rPr>
        <w:t>(006) intensity.</w:t>
      </w:r>
    </w:p>
    <w:p w14:paraId="1F0111DA" w14:textId="59E4FC04" w:rsidR="003A4CD6" w:rsidRPr="00645DFF" w:rsidRDefault="003A4CD6" w:rsidP="003A4CD6">
      <w:pPr>
        <w:spacing w:line="360" w:lineRule="auto"/>
        <w:rPr>
          <w:rFonts w:ascii="Times New Roman" w:hAnsi="Times New Roman" w:cs="Times New Roman"/>
          <w:sz w:val="22"/>
        </w:rPr>
      </w:pPr>
    </w:p>
    <w:p w14:paraId="7172F534" w14:textId="7BB64208" w:rsidR="00E12DCA" w:rsidRPr="00645DFF" w:rsidRDefault="007F653D" w:rsidP="00C37753">
      <w:pPr>
        <w:spacing w:line="480" w:lineRule="auto"/>
        <w:ind w:firstLine="720"/>
        <w:rPr>
          <w:rFonts w:ascii="Times New Roman" w:hAnsi="Times New Roman" w:cs="Times New Roman"/>
          <w:sz w:val="22"/>
        </w:rPr>
      </w:pPr>
      <w:bookmarkStart w:id="0" w:name="_Hlk210662581"/>
      <w:r w:rsidRPr="00645DFF">
        <w:rPr>
          <w:rFonts w:ascii="Times New Roman" w:hAnsi="Times New Roman" w:cs="Times New Roman"/>
          <w:sz w:val="22"/>
        </w:rPr>
        <w:lastRenderedPageBreak/>
        <w:t xml:space="preserve">To evaluate the interlayer dependence of the SOT efficiency, we performed ST-FMR measurements on </w:t>
      </w:r>
      <w:r w:rsidR="00DE35B1" w:rsidRPr="00645DFF">
        <w:rPr>
          <w:rFonts w:ascii="Times New Roman" w:hAnsi="Times New Roman" w:cs="Times New Roman"/>
          <w:sz w:val="22"/>
        </w:rPr>
        <w:t xml:space="preserve">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/IL/</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heterostructures. A microwave (</w:t>
      </w:r>
      <w:proofErr w:type="gramStart"/>
      <w:r w:rsidRPr="00645DFF">
        <w:rPr>
          <w:rFonts w:ascii="Times New Roman" w:hAnsi="Times New Roman" w:cs="Times New Roman"/>
          <w:sz w:val="22"/>
        </w:rPr>
        <w:t>radio-frequency</w:t>
      </w:r>
      <w:proofErr w:type="gramEnd"/>
      <w:r w:rsidRPr="00645DFF">
        <w:rPr>
          <w:rFonts w:ascii="Times New Roman" w:hAnsi="Times New Roman" w:cs="Times New Roman"/>
          <w:sz w:val="22"/>
        </w:rPr>
        <w:t xml:space="preserve">) current was applied to </w:t>
      </w:r>
      <w:r w:rsidR="00DE35B1" w:rsidRPr="00645DFF">
        <w:rPr>
          <w:rFonts w:ascii="Times New Roman" w:hAnsi="Times New Roman" w:cs="Times New Roman"/>
          <w:sz w:val="22"/>
        </w:rPr>
        <w:t xml:space="preserve">a </w:t>
      </w:r>
      <w:r w:rsidRPr="00645DFF">
        <w:rPr>
          <w:rFonts w:ascii="Times New Roman" w:hAnsi="Times New Roman" w:cs="Times New Roman"/>
          <w:sz w:val="22"/>
        </w:rPr>
        <w:t xml:space="preserve">microfabricated </w:t>
      </w:r>
      <w:r w:rsidR="00CB7B90" w:rsidRPr="00645DFF">
        <w:rPr>
          <w:rFonts w:ascii="Times New Roman" w:hAnsi="Times New Roman" w:cs="Times New Roman"/>
          <w:sz w:val="22"/>
        </w:rPr>
        <w:t xml:space="preserve">bar </w:t>
      </w:r>
      <w:r w:rsidRPr="00645DFF">
        <w:rPr>
          <w:rFonts w:ascii="Times New Roman" w:hAnsi="Times New Roman" w:cs="Times New Roman"/>
          <w:sz w:val="22"/>
        </w:rPr>
        <w:t>device</w:t>
      </w:r>
      <w:r w:rsidR="00CB7B90" w:rsidRPr="00645DFF">
        <w:rPr>
          <w:rFonts w:ascii="Times New Roman" w:hAnsi="Times New Roman" w:cs="Times New Roman"/>
          <w:sz w:val="22"/>
        </w:rPr>
        <w:t xml:space="preserve"> integrated with a CPW</w:t>
      </w:r>
      <w:r w:rsidRPr="00645DFF">
        <w:rPr>
          <w:rFonts w:ascii="Times New Roman" w:hAnsi="Times New Roman" w:cs="Times New Roman"/>
          <w:sz w:val="22"/>
        </w:rPr>
        <w:t xml:space="preserve">, where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layer generates an oscillating spin current via spin–orbit coupling. This </w:t>
      </w:r>
      <w:proofErr w:type="gramStart"/>
      <w:r w:rsidRPr="00645DFF">
        <w:rPr>
          <w:rFonts w:ascii="Times New Roman" w:hAnsi="Times New Roman" w:cs="Times New Roman"/>
          <w:sz w:val="22"/>
        </w:rPr>
        <w:t>spin current</w:t>
      </w:r>
      <w:proofErr w:type="gramEnd"/>
      <w:r w:rsidRPr="00645DFF">
        <w:rPr>
          <w:rFonts w:ascii="Times New Roman" w:hAnsi="Times New Roman" w:cs="Times New Roman"/>
          <w:sz w:val="22"/>
        </w:rPr>
        <w:t xml:space="preserve"> is injected into the CoFeB layer through the </w:t>
      </w:r>
      <w:r w:rsidR="00F91960" w:rsidRPr="00645DFF">
        <w:rPr>
          <w:rFonts w:ascii="Times New Roman" w:hAnsi="Times New Roman" w:cs="Times New Roman"/>
          <w:sz w:val="22"/>
        </w:rPr>
        <w:t>interlayer</w:t>
      </w:r>
      <w:r w:rsidRPr="00645DFF">
        <w:rPr>
          <w:rFonts w:ascii="Times New Roman" w:hAnsi="Times New Roman" w:cs="Times New Roman"/>
          <w:sz w:val="22"/>
        </w:rPr>
        <w:t xml:space="preserve">, exerting a torque on its magnetization and driving magnetization precession at resonance as described by the Kittel equation. The </w:t>
      </w:r>
      <w:proofErr w:type="spellStart"/>
      <w:r w:rsidRPr="00645DFF">
        <w:rPr>
          <w:rFonts w:ascii="Times New Roman" w:hAnsi="Times New Roman" w:cs="Times New Roman"/>
          <w:sz w:val="22"/>
        </w:rPr>
        <w:t>precessing</w:t>
      </w:r>
      <w:proofErr w:type="spellEnd"/>
      <w:r w:rsidRPr="00645DFF">
        <w:rPr>
          <w:rFonts w:ascii="Times New Roman" w:hAnsi="Times New Roman" w:cs="Times New Roman"/>
          <w:sz w:val="22"/>
        </w:rPr>
        <w:t xml:space="preserve"> magnetization modulates the device resistance through anisotropic magnetoresistance, and the mixing of the microwave current with the oscillating resistance </w:t>
      </w:r>
      <w:r w:rsidR="00DE35B1" w:rsidRPr="00645DFF">
        <w:rPr>
          <w:rFonts w:ascii="Times New Roman" w:hAnsi="Times New Roman" w:cs="Times New Roman"/>
          <w:sz w:val="22"/>
        </w:rPr>
        <w:t>produces</w:t>
      </w:r>
      <w:r w:rsidRPr="00645DFF">
        <w:rPr>
          <w:rFonts w:ascii="Times New Roman" w:hAnsi="Times New Roman" w:cs="Times New Roman"/>
          <w:sz w:val="22"/>
        </w:rPr>
        <w:t xml:space="preserve"> a rectified </w:t>
      </w:r>
      <w:r w:rsidR="00DE35B1" w:rsidRPr="00645DFF">
        <w:rPr>
          <w:rFonts w:ascii="Times New Roman" w:hAnsi="Times New Roman" w:cs="Times New Roman"/>
          <w:sz w:val="22"/>
        </w:rPr>
        <w:t>DC</w:t>
      </w:r>
      <w:r w:rsidRPr="00645DFF">
        <w:rPr>
          <w:rFonts w:ascii="Times New Roman" w:hAnsi="Times New Roman" w:cs="Times New Roman"/>
          <w:sz w:val="22"/>
        </w:rPr>
        <w:t xml:space="preserve"> voltage. By analyzing the amplitude and symmetry of this voltage, key parameters such as the SOT efficiency, effective magnetization, and damping constant can be quantitatively extracted.</w:t>
      </w:r>
      <w:r w:rsidR="00503129" w:rsidRPr="00645DFF">
        <w:rPr>
          <w:rFonts w:ascii="Times New Roman" w:hAnsi="Times New Roman" w:cs="Times New Roman"/>
          <w:sz w:val="22"/>
        </w:rPr>
        <w:t xml:space="preserve"> </w:t>
      </w:r>
      <w:r w:rsidRPr="00645DFF">
        <w:rPr>
          <w:rFonts w:ascii="Times New Roman" w:hAnsi="Times New Roman" w:cs="Times New Roman"/>
          <w:sz w:val="22"/>
        </w:rPr>
        <w:t xml:space="preserve">Representative ST-FMR spectra of the </w:t>
      </w:r>
      <w:proofErr w:type="spellStart"/>
      <w:r w:rsidR="0031336C" w:rsidRPr="00645DFF">
        <w:rPr>
          <w:rFonts w:ascii="Times New Roman" w:hAnsi="Times New Roman" w:cs="Times New Roman"/>
          <w:iCs/>
          <w:sz w:val="22"/>
        </w:rPr>
        <w:t>BiSb</w:t>
      </w:r>
      <w:proofErr w:type="spellEnd"/>
      <w:r w:rsidR="0031336C" w:rsidRPr="00645DFF">
        <w:rPr>
          <w:rFonts w:ascii="Times New Roman" w:hAnsi="Times New Roman" w:cs="Times New Roman"/>
          <w:iCs/>
          <w:sz w:val="22"/>
        </w:rPr>
        <w:t>/Ge/</w:t>
      </w:r>
      <w:proofErr w:type="spellStart"/>
      <w:r w:rsidR="0031336C" w:rsidRPr="00645DFF">
        <w:rPr>
          <w:rFonts w:ascii="Times New Roman" w:hAnsi="Times New Roman" w:cs="Times New Roman"/>
          <w:iCs/>
          <w:sz w:val="22"/>
        </w:rPr>
        <w:t>CoFeB</w:t>
      </w:r>
      <w:proofErr w:type="spellEnd"/>
      <w:r w:rsidR="0031336C" w:rsidRPr="00645DFF">
        <w:rPr>
          <w:rFonts w:ascii="Times New Roman" w:hAnsi="Times New Roman" w:cs="Times New Roman"/>
          <w:iCs/>
          <w:sz w:val="22"/>
        </w:rPr>
        <w:t xml:space="preserve"> </w:t>
      </w:r>
      <w:r w:rsidRPr="00645DFF">
        <w:rPr>
          <w:rFonts w:ascii="Times New Roman" w:hAnsi="Times New Roman" w:cs="Times New Roman"/>
          <w:sz w:val="22"/>
        </w:rPr>
        <w:t xml:space="preserve">sample, recorded between 8 and 14 GHz, are shown in Fig. 3(a). The </w:t>
      </w:r>
      <w:r w:rsidR="00DE35B1" w:rsidRPr="00645DFF">
        <w:rPr>
          <w:rFonts w:ascii="Times New Roman" w:hAnsi="Times New Roman" w:cs="Times New Roman"/>
          <w:sz w:val="22"/>
        </w:rPr>
        <w:t>DC</w:t>
      </w:r>
      <w:r w:rsidRPr="00645DFF">
        <w:rPr>
          <w:rFonts w:ascii="Times New Roman" w:hAnsi="Times New Roman" w:cs="Times New Roman"/>
          <w:sz w:val="22"/>
        </w:rPr>
        <w:t xml:space="preserve"> mixing voltage </w:t>
      </w:r>
      <w:r w:rsidR="00A42BB3" w:rsidRPr="00645DFF">
        <w:rPr>
          <w:rFonts w:ascii="Times New Roman" w:hAnsi="Times New Roman" w:cs="Times New Roman"/>
          <w:sz w:val="22"/>
        </w:rPr>
        <w:t>(</w:t>
      </w:r>
      <w:proofErr w:type="spellStart"/>
      <w:r w:rsidR="00A42BB3" w:rsidRPr="00645DFF">
        <w:rPr>
          <w:rFonts w:ascii="Times New Roman" w:hAnsi="Times New Roman" w:cs="Times New Roman"/>
          <w:i/>
          <w:iCs/>
          <w:sz w:val="22"/>
        </w:rPr>
        <w:t>V</w:t>
      </w:r>
      <w:r w:rsidR="00A42BB3" w:rsidRPr="00645DFF">
        <w:rPr>
          <w:rFonts w:ascii="Times New Roman" w:hAnsi="Times New Roman" w:cs="Times New Roman"/>
          <w:sz w:val="22"/>
          <w:vertAlign w:val="subscript"/>
        </w:rPr>
        <w:t>mix</w:t>
      </w:r>
      <w:proofErr w:type="spellEnd"/>
      <w:r w:rsidR="0048259D" w:rsidRPr="00645DFF">
        <w:rPr>
          <w:rFonts w:ascii="Times New Roman" w:hAnsi="Times New Roman" w:cs="Times New Roman"/>
          <w:sz w:val="22"/>
        </w:rPr>
        <w:t xml:space="preserve"> </w:t>
      </w:r>
      <w:r w:rsidR="00A42BB3" w:rsidRPr="00645DFF">
        <w:rPr>
          <w:rFonts w:ascii="Times New Roman" w:hAnsi="Times New Roman" w:cs="Times New Roman"/>
          <w:sz w:val="22"/>
        </w:rPr>
        <w:t xml:space="preserve">​) </w:t>
      </w:r>
      <w:r w:rsidRPr="00645DFF">
        <w:rPr>
          <w:rFonts w:ascii="Times New Roman" w:hAnsi="Times New Roman" w:cs="Times New Roman"/>
          <w:sz w:val="22"/>
        </w:rPr>
        <w:t xml:space="preserve">was measured while an external magnetic field was applied </w:t>
      </w:r>
      <w:r w:rsidR="00A42BB3" w:rsidRPr="00645DFF">
        <w:rPr>
          <w:rFonts w:ascii="Times New Roman" w:hAnsi="Times New Roman" w:cs="Times New Roman"/>
          <w:sz w:val="22"/>
        </w:rPr>
        <w:t xml:space="preserve">at 45° to the current direction. Each </w:t>
      </w:r>
      <w:proofErr w:type="spellStart"/>
      <w:r w:rsidR="00A42BB3" w:rsidRPr="00645DFF">
        <w:rPr>
          <w:rFonts w:ascii="Times New Roman" w:hAnsi="Times New Roman" w:cs="Times New Roman"/>
          <w:i/>
          <w:iCs/>
          <w:sz w:val="22"/>
        </w:rPr>
        <w:t>V</w:t>
      </w:r>
      <w:r w:rsidR="00A42BB3" w:rsidRPr="00645DFF">
        <w:rPr>
          <w:rFonts w:ascii="Times New Roman" w:hAnsi="Times New Roman" w:cs="Times New Roman"/>
          <w:sz w:val="22"/>
          <w:vertAlign w:val="subscript"/>
        </w:rPr>
        <w:t>mix</w:t>
      </w:r>
      <w:proofErr w:type="spellEnd"/>
      <w:r w:rsidR="00A42BB3" w:rsidRPr="00645DFF">
        <w:rPr>
          <w:rFonts w:ascii="Times New Roman" w:hAnsi="Times New Roman" w:cs="Times New Roman"/>
          <w:sz w:val="22"/>
        </w:rPr>
        <w:t xml:space="preserve"> trace </w:t>
      </w:r>
      <w:r w:rsidRPr="00645DFF">
        <w:rPr>
          <w:rFonts w:ascii="Times New Roman" w:hAnsi="Times New Roman" w:cs="Times New Roman"/>
          <w:sz w:val="22"/>
        </w:rPr>
        <w:t>wa</w:t>
      </w:r>
      <w:r w:rsidR="00A42BB3" w:rsidRPr="00645DFF">
        <w:rPr>
          <w:rFonts w:ascii="Times New Roman" w:hAnsi="Times New Roman" w:cs="Times New Roman"/>
          <w:sz w:val="22"/>
        </w:rPr>
        <w:t xml:space="preserve">s fitted </w:t>
      </w:r>
      <w:r w:rsidRPr="00645DFF">
        <w:rPr>
          <w:rFonts w:ascii="Times New Roman" w:hAnsi="Times New Roman" w:cs="Times New Roman"/>
          <w:sz w:val="22"/>
        </w:rPr>
        <w:t xml:space="preserve">using </w:t>
      </w:r>
      <w:r w:rsidR="004A32BA" w:rsidRPr="00645DFF">
        <w:rPr>
          <w:rFonts w:ascii="Times New Roman" w:hAnsi="Times New Roman" w:cs="Times New Roman"/>
          <w:sz w:val="22"/>
        </w:rPr>
        <w:t>the following equation</w:t>
      </w:r>
      <w:r w:rsidRPr="00645DFF">
        <w:rPr>
          <w:rFonts w:ascii="Times New Roman" w:hAnsi="Times New Roman" w:cs="Times New Roman"/>
          <w:sz w:val="22"/>
        </w:rPr>
        <w:t>:</w:t>
      </w:r>
    </w:p>
    <w:p w14:paraId="3D12D30D" w14:textId="13CCEACE" w:rsidR="004A32BA" w:rsidRPr="00645DFF" w:rsidRDefault="00000000" w:rsidP="00E926D1">
      <w:pPr>
        <w:spacing w:line="480" w:lineRule="auto"/>
        <w:ind w:left="1440" w:firstLine="720"/>
        <w:rPr>
          <w:rFonts w:ascii="Times New Roman" w:hAnsi="Times New Roman" w:cs="Times New Roman"/>
          <w:sz w:val="22"/>
        </w:rPr>
      </w:pPr>
      <m:oMath>
        <m:sSub>
          <m:sSubPr>
            <m:ctrlPr>
              <w:rPr>
                <w:rFonts w:ascii="Cambria Math" w:hAnsi="Cambria Math" w:cs="Times New Roman"/>
                <w:i/>
                <w:iCs/>
                <w:sz w:val="22"/>
              </w:rPr>
            </m:ctrlPr>
          </m:sSubPr>
          <m:e>
            <m:r>
              <w:rPr>
                <w:rFonts w:ascii="Cambria Math" w:hAnsi="Cambria Math" w:cs="Times New Roman"/>
                <w:sz w:val="22"/>
              </w:rPr>
              <m:t>V</m:t>
            </m:r>
          </m:e>
          <m:sub>
            <m:r>
              <m:rPr>
                <m:sty m:val="p"/>
              </m:rPr>
              <w:rPr>
                <w:rFonts w:ascii="Cambria Math" w:hAnsi="Cambria Math" w:cs="Times New Roman"/>
                <w:sz w:val="22"/>
              </w:rPr>
              <m:t>mix</m:t>
            </m:r>
          </m:sub>
        </m:sSub>
        <m:sSub>
          <m:sSubPr>
            <m:ctrlPr>
              <w:rPr>
                <w:rFonts w:ascii="Cambria Math" w:hAnsi="Cambria Math" w:cs="Times New Roman"/>
                <w:i/>
                <w:iCs/>
                <w:sz w:val="22"/>
              </w:rPr>
            </m:ctrlPr>
          </m:sSubPr>
          <m:e>
            <m:r>
              <w:rPr>
                <w:rFonts w:ascii="Cambria Math" w:hAnsi="Cambria Math" w:cs="Times New Roman"/>
                <w:sz w:val="22"/>
              </w:rPr>
              <m:t>=V</m:t>
            </m:r>
          </m:e>
          <m:sub>
            <m:r>
              <m:rPr>
                <m:sty m:val="p"/>
              </m:rPr>
              <w:rPr>
                <w:rFonts w:ascii="Cambria Math" w:hAnsi="Cambria Math" w:cs="Times New Roman"/>
                <w:sz w:val="22"/>
              </w:rPr>
              <m:t>sym</m:t>
            </m:r>
          </m:sub>
        </m:sSub>
        <m:f>
          <m:fPr>
            <m:ctrlPr>
              <w:rPr>
                <w:rFonts w:ascii="Cambria Math" w:hAnsi="Cambria Math" w:cs="Times New Roman"/>
                <w:i/>
                <w:iCs/>
                <w:sz w:val="22"/>
              </w:rPr>
            </m:ctrlPr>
          </m:fPr>
          <m:num>
            <m:sSup>
              <m:sSupPr>
                <m:ctrlPr>
                  <w:rPr>
                    <w:rFonts w:ascii="Cambria Math" w:hAnsi="Cambria Math" w:cs="Times New Roman"/>
                    <w:i/>
                    <w:iCs/>
                    <w:sz w:val="22"/>
                  </w:rPr>
                </m:ctrlPr>
              </m:sSupPr>
              <m:e>
                <m:d>
                  <m:dPr>
                    <m:ctrlPr>
                      <w:rPr>
                        <w:rFonts w:ascii="Cambria Math" w:hAnsi="Cambria Math" w:cs="Times New Roman"/>
                        <w:i/>
                        <w:sz w:val="22"/>
                      </w:rPr>
                    </m:ctrlPr>
                  </m:dPr>
                  <m:e>
                    <m:r>
                      <w:rPr>
                        <w:rFonts w:ascii="Cambria Math" w:hAnsi="Cambria Math" w:cs="Times New Roman"/>
                        <w:sz w:val="22"/>
                      </w:rPr>
                      <m:t>∆H</m:t>
                    </m:r>
                  </m:e>
                </m:d>
              </m:e>
              <m:sup>
                <m:r>
                  <w:rPr>
                    <w:rFonts w:ascii="Cambria Math" w:hAnsi="Cambria Math" w:cs="Times New Roman"/>
                    <w:sz w:val="22"/>
                  </w:rPr>
                  <m:t>2</m:t>
                </m:r>
              </m:sup>
            </m:sSup>
          </m:num>
          <m:den>
            <m:sSup>
              <m:sSupPr>
                <m:ctrlPr>
                  <w:rPr>
                    <w:rFonts w:ascii="Cambria Math" w:hAnsi="Cambria Math" w:cs="Times New Roman"/>
                    <w:i/>
                    <w:iCs/>
                    <w:sz w:val="22"/>
                  </w:rPr>
                </m:ctrlPr>
              </m:sSupPr>
              <m:e>
                <m:d>
                  <m:dPr>
                    <m:ctrlPr>
                      <w:rPr>
                        <w:rFonts w:ascii="Cambria Math" w:hAnsi="Cambria Math" w:cs="Times New Roman"/>
                        <w:i/>
                        <w:sz w:val="22"/>
                      </w:rPr>
                    </m:ctrlPr>
                  </m:dPr>
                  <m:e>
                    <m:r>
                      <w:rPr>
                        <w:rFonts w:ascii="Cambria Math" w:hAnsi="Cambria Math" w:cs="Times New Roman"/>
                        <w:sz w:val="22"/>
                      </w:rPr>
                      <m:t>H-</m:t>
                    </m:r>
                    <m:sSub>
                      <m:sSubPr>
                        <m:ctrlPr>
                          <w:rPr>
                            <w:rFonts w:ascii="Cambria Math" w:hAnsi="Cambria Math" w:cs="Times New Roman"/>
                            <w:i/>
                            <w:iCs/>
                            <w:sz w:val="22"/>
                          </w:rPr>
                        </m:ctrlPr>
                      </m:sSubPr>
                      <m:e>
                        <m:r>
                          <w:rPr>
                            <w:rFonts w:ascii="Cambria Math" w:hAnsi="Cambria Math" w:cs="Times New Roman"/>
                            <w:sz w:val="22"/>
                          </w:rPr>
                          <m:t>H</m:t>
                        </m:r>
                      </m:e>
                      <m:sub>
                        <m:r>
                          <m:rPr>
                            <m:sty m:val="p"/>
                          </m:rPr>
                          <w:rPr>
                            <w:rFonts w:ascii="Cambria Math" w:hAnsi="Cambria Math" w:cs="Times New Roman"/>
                            <w:sz w:val="22"/>
                          </w:rPr>
                          <m:t>r</m:t>
                        </m:r>
                      </m:sub>
                    </m:sSub>
                  </m:e>
                </m:d>
              </m:e>
              <m:sup>
                <m:r>
                  <w:rPr>
                    <w:rFonts w:ascii="Cambria Math" w:hAnsi="Cambria Math" w:cs="Times New Roman"/>
                    <w:sz w:val="22"/>
                  </w:rPr>
                  <m:t>2</m:t>
                </m:r>
              </m:sup>
            </m:sSup>
            <m:r>
              <w:rPr>
                <w:rFonts w:ascii="Cambria Math" w:hAnsi="Cambria Math" w:cs="Times New Roman"/>
                <w:sz w:val="22"/>
              </w:rPr>
              <m:t>+</m:t>
            </m:r>
            <m:sSup>
              <m:sSupPr>
                <m:ctrlPr>
                  <w:rPr>
                    <w:rFonts w:ascii="Cambria Math" w:hAnsi="Cambria Math" w:cs="Times New Roman"/>
                    <w:i/>
                    <w:iCs/>
                    <w:sz w:val="22"/>
                  </w:rPr>
                </m:ctrlPr>
              </m:sSupPr>
              <m:e>
                <m:d>
                  <m:dPr>
                    <m:ctrlPr>
                      <w:rPr>
                        <w:rFonts w:ascii="Cambria Math" w:hAnsi="Cambria Math" w:cs="Times New Roman"/>
                        <w:i/>
                        <w:sz w:val="22"/>
                      </w:rPr>
                    </m:ctrlPr>
                  </m:dPr>
                  <m:e>
                    <m:r>
                      <w:rPr>
                        <w:rFonts w:ascii="Cambria Math" w:hAnsi="Cambria Math" w:cs="Times New Roman"/>
                        <w:sz w:val="22"/>
                      </w:rPr>
                      <m:t>∆H</m:t>
                    </m:r>
                  </m:e>
                </m:d>
              </m:e>
              <m:sup>
                <m:r>
                  <w:rPr>
                    <w:rFonts w:ascii="Cambria Math" w:hAnsi="Cambria Math" w:cs="Times New Roman"/>
                    <w:sz w:val="22"/>
                  </w:rPr>
                  <m:t>2</m:t>
                </m:r>
              </m:sup>
            </m:sSup>
          </m:den>
        </m:f>
        <m:r>
          <w:rPr>
            <w:rFonts w:ascii="Cambria Math" w:hAnsi="Cambria Math" w:cs="Times New Roman"/>
            <w:sz w:val="22"/>
          </w:rPr>
          <m:t>+</m:t>
        </m:r>
        <m:sSub>
          <m:sSubPr>
            <m:ctrlPr>
              <w:rPr>
                <w:rFonts w:ascii="Cambria Math" w:hAnsi="Cambria Math" w:cs="Times New Roman"/>
                <w:i/>
                <w:iCs/>
                <w:sz w:val="22"/>
              </w:rPr>
            </m:ctrlPr>
          </m:sSubPr>
          <m:e>
            <m:r>
              <w:rPr>
                <w:rFonts w:ascii="Cambria Math" w:hAnsi="Cambria Math" w:cs="Times New Roman"/>
                <w:sz w:val="22"/>
              </w:rPr>
              <m:t>V</m:t>
            </m:r>
          </m:e>
          <m:sub>
            <m:r>
              <m:rPr>
                <m:sty m:val="p"/>
              </m:rPr>
              <w:rPr>
                <w:rFonts w:ascii="Cambria Math" w:hAnsi="Cambria Math" w:cs="Times New Roman"/>
                <w:sz w:val="22"/>
              </w:rPr>
              <m:t>asym</m:t>
            </m:r>
          </m:sub>
        </m:sSub>
        <m:f>
          <m:fPr>
            <m:ctrlPr>
              <w:rPr>
                <w:rFonts w:ascii="Cambria Math" w:hAnsi="Cambria Math" w:cs="Times New Roman"/>
                <w:i/>
                <w:iCs/>
                <w:sz w:val="22"/>
              </w:rPr>
            </m:ctrlPr>
          </m:fPr>
          <m:num>
            <m:r>
              <w:rPr>
                <w:rFonts w:ascii="Cambria Math" w:hAnsi="Cambria Math" w:cs="Times New Roman"/>
                <w:sz w:val="22"/>
              </w:rPr>
              <m:t>-2∆H</m:t>
            </m:r>
            <m:d>
              <m:dPr>
                <m:ctrlPr>
                  <w:rPr>
                    <w:rFonts w:ascii="Cambria Math" w:hAnsi="Cambria Math" w:cs="Times New Roman"/>
                    <w:i/>
                    <w:sz w:val="22"/>
                  </w:rPr>
                </m:ctrlPr>
              </m:dPr>
              <m:e>
                <m:r>
                  <w:rPr>
                    <w:rFonts w:ascii="Cambria Math" w:hAnsi="Cambria Math" w:cs="Times New Roman"/>
                    <w:sz w:val="22"/>
                  </w:rPr>
                  <m:t>H-</m:t>
                </m:r>
                <m:sSub>
                  <m:sSubPr>
                    <m:ctrlPr>
                      <w:rPr>
                        <w:rFonts w:ascii="Cambria Math" w:hAnsi="Cambria Math" w:cs="Times New Roman"/>
                        <w:i/>
                        <w:iCs/>
                        <w:sz w:val="22"/>
                      </w:rPr>
                    </m:ctrlPr>
                  </m:sSubPr>
                  <m:e>
                    <m:r>
                      <w:rPr>
                        <w:rFonts w:ascii="Cambria Math" w:hAnsi="Cambria Math" w:cs="Times New Roman"/>
                        <w:sz w:val="22"/>
                      </w:rPr>
                      <m:t>H</m:t>
                    </m:r>
                  </m:e>
                  <m:sub>
                    <m:r>
                      <m:rPr>
                        <m:sty m:val="p"/>
                      </m:rPr>
                      <w:rPr>
                        <w:rFonts w:ascii="Cambria Math" w:hAnsi="Cambria Math" w:cs="Times New Roman"/>
                        <w:sz w:val="22"/>
                      </w:rPr>
                      <m:t>r</m:t>
                    </m:r>
                  </m:sub>
                </m:sSub>
              </m:e>
            </m:d>
          </m:num>
          <m:den>
            <m:sSup>
              <m:sSupPr>
                <m:ctrlPr>
                  <w:rPr>
                    <w:rFonts w:ascii="Cambria Math" w:hAnsi="Cambria Math" w:cs="Times New Roman"/>
                    <w:i/>
                    <w:iCs/>
                    <w:sz w:val="22"/>
                  </w:rPr>
                </m:ctrlPr>
              </m:sSupPr>
              <m:e>
                <m:d>
                  <m:dPr>
                    <m:ctrlPr>
                      <w:rPr>
                        <w:rFonts w:ascii="Cambria Math" w:hAnsi="Cambria Math" w:cs="Times New Roman"/>
                        <w:i/>
                        <w:sz w:val="22"/>
                      </w:rPr>
                    </m:ctrlPr>
                  </m:dPr>
                  <m:e>
                    <m:r>
                      <w:rPr>
                        <w:rFonts w:ascii="Cambria Math" w:hAnsi="Cambria Math" w:cs="Times New Roman"/>
                        <w:sz w:val="22"/>
                      </w:rPr>
                      <m:t>H-</m:t>
                    </m:r>
                    <m:sSub>
                      <m:sSubPr>
                        <m:ctrlPr>
                          <w:rPr>
                            <w:rFonts w:ascii="Cambria Math" w:hAnsi="Cambria Math" w:cs="Times New Roman"/>
                            <w:i/>
                            <w:iCs/>
                            <w:sz w:val="22"/>
                          </w:rPr>
                        </m:ctrlPr>
                      </m:sSubPr>
                      <m:e>
                        <m:r>
                          <w:rPr>
                            <w:rFonts w:ascii="Cambria Math" w:hAnsi="Cambria Math" w:cs="Times New Roman"/>
                            <w:sz w:val="22"/>
                          </w:rPr>
                          <m:t>H</m:t>
                        </m:r>
                      </m:e>
                      <m:sub>
                        <m:r>
                          <m:rPr>
                            <m:sty m:val="p"/>
                          </m:rPr>
                          <w:rPr>
                            <w:rFonts w:ascii="Cambria Math" w:hAnsi="Cambria Math" w:cs="Times New Roman"/>
                            <w:sz w:val="22"/>
                          </w:rPr>
                          <m:t>r</m:t>
                        </m:r>
                      </m:sub>
                    </m:sSub>
                  </m:e>
                </m:d>
              </m:e>
              <m:sup>
                <m:r>
                  <w:rPr>
                    <w:rFonts w:ascii="Cambria Math" w:hAnsi="Cambria Math" w:cs="Times New Roman"/>
                    <w:sz w:val="22"/>
                  </w:rPr>
                  <m:t>2</m:t>
                </m:r>
              </m:sup>
            </m:sSup>
            <m:r>
              <w:rPr>
                <w:rFonts w:ascii="Cambria Math" w:hAnsi="Cambria Math" w:cs="Times New Roman"/>
                <w:sz w:val="22"/>
              </w:rPr>
              <m:t>+</m:t>
            </m:r>
            <m:sSup>
              <m:sSupPr>
                <m:ctrlPr>
                  <w:rPr>
                    <w:rFonts w:ascii="Cambria Math" w:hAnsi="Cambria Math" w:cs="Times New Roman"/>
                    <w:i/>
                    <w:iCs/>
                    <w:sz w:val="22"/>
                  </w:rPr>
                </m:ctrlPr>
              </m:sSupPr>
              <m:e>
                <m:d>
                  <m:dPr>
                    <m:ctrlPr>
                      <w:rPr>
                        <w:rFonts w:ascii="Cambria Math" w:hAnsi="Cambria Math" w:cs="Times New Roman"/>
                        <w:i/>
                        <w:sz w:val="22"/>
                      </w:rPr>
                    </m:ctrlPr>
                  </m:dPr>
                  <m:e>
                    <m:r>
                      <w:rPr>
                        <w:rFonts w:ascii="Cambria Math" w:hAnsi="Cambria Math" w:cs="Times New Roman"/>
                        <w:sz w:val="22"/>
                      </w:rPr>
                      <m:t>∆H</m:t>
                    </m:r>
                  </m:e>
                </m:d>
              </m:e>
              <m:sup>
                <m:r>
                  <w:rPr>
                    <w:rFonts w:ascii="Cambria Math" w:hAnsi="Cambria Math" w:cs="Times New Roman"/>
                    <w:sz w:val="22"/>
                  </w:rPr>
                  <m:t>2</m:t>
                </m:r>
              </m:sup>
            </m:sSup>
          </m:den>
        </m:f>
      </m:oMath>
      <w:r w:rsidR="00DF2F9B" w:rsidRPr="00645DFF">
        <w:rPr>
          <w:rFonts w:ascii="Times New Roman" w:hAnsi="Times New Roman" w:cs="Times New Roman"/>
          <w:iCs/>
          <w:sz w:val="22"/>
        </w:rPr>
        <w:t>,</w:t>
      </w:r>
      <w:r w:rsidR="004A32BA" w:rsidRPr="00645DFF">
        <w:rPr>
          <w:rFonts w:ascii="Times New Roman" w:hAnsi="Times New Roman" w:cs="Times New Roman"/>
          <w:iCs/>
          <w:sz w:val="22"/>
        </w:rPr>
        <w:tab/>
      </w:r>
      <w:r w:rsidR="004A32BA" w:rsidRPr="00645DFF">
        <w:rPr>
          <w:rFonts w:ascii="Times New Roman" w:hAnsi="Times New Roman" w:cs="Times New Roman"/>
          <w:iCs/>
          <w:sz w:val="22"/>
        </w:rPr>
        <w:tab/>
      </w:r>
      <w:r w:rsidR="004A32BA" w:rsidRPr="00645DFF">
        <w:rPr>
          <w:rFonts w:ascii="Times New Roman" w:hAnsi="Times New Roman" w:cs="Times New Roman"/>
          <w:iCs/>
          <w:sz w:val="22"/>
        </w:rPr>
        <w:tab/>
        <w:t>(1)</w:t>
      </w:r>
    </w:p>
    <w:p w14:paraId="290A5C02" w14:textId="1523EC3F" w:rsidR="00C37753" w:rsidRPr="00645DFF" w:rsidRDefault="00DF2F9B" w:rsidP="00E926D1">
      <w:pPr>
        <w:spacing w:line="480" w:lineRule="auto"/>
        <w:rPr>
          <w:rFonts w:ascii="Times New Roman" w:hAnsi="Times New Roman" w:cs="Times New Roman"/>
          <w:sz w:val="22"/>
        </w:rPr>
      </w:pPr>
      <w:bookmarkStart w:id="1" w:name="_Hlk209713526"/>
      <w:r w:rsidRPr="00645DFF">
        <w:rPr>
          <w:rFonts w:ascii="Times New Roman" w:hAnsi="Times New Roman" w:cs="Times New Roman"/>
          <w:sz w:val="22"/>
        </w:rPr>
        <w:t>wher</w:t>
      </w:r>
      <w:r w:rsidR="00263E39" w:rsidRPr="00645DFF">
        <w:rPr>
          <w:rFonts w:ascii="Times New Roman" w:hAnsi="Times New Roman" w:cs="Times New Roman"/>
          <w:sz w:val="22"/>
        </w:rPr>
        <w:t xml:space="preserve">e </w:t>
      </w:r>
      <m:oMath>
        <m:sSub>
          <m:sSubPr>
            <m:ctrlPr>
              <w:rPr>
                <w:rFonts w:ascii="Cambria Math" w:hAnsi="Cambria Math" w:cs="Times New Roman"/>
                <w:i/>
                <w:iCs/>
                <w:sz w:val="22"/>
              </w:rPr>
            </m:ctrlPr>
          </m:sSubPr>
          <m:e>
            <m:r>
              <w:rPr>
                <w:rFonts w:ascii="Cambria Math" w:hAnsi="Cambria Math" w:cs="Times New Roman"/>
                <w:sz w:val="22"/>
              </w:rPr>
              <m:t>V</m:t>
            </m:r>
          </m:e>
          <m:sub>
            <m:r>
              <m:rPr>
                <m:sty m:val="p"/>
              </m:rPr>
              <w:rPr>
                <w:rFonts w:ascii="Cambria Math" w:hAnsi="Cambria Math" w:cs="Times New Roman"/>
                <w:sz w:val="22"/>
              </w:rPr>
              <m:t>sym</m:t>
            </m:r>
          </m:sub>
        </m:sSub>
      </m:oMath>
      <w:r w:rsidR="00263E39" w:rsidRPr="00645DFF">
        <w:rPr>
          <w:rFonts w:ascii="Times New Roman" w:hAnsi="Times New Roman" w:cs="Times New Roman"/>
          <w:iCs/>
          <w:sz w:val="22"/>
        </w:rPr>
        <w:t xml:space="preserve"> and </w:t>
      </w:r>
      <m:oMath>
        <m:sSub>
          <m:sSubPr>
            <m:ctrlPr>
              <w:rPr>
                <w:rFonts w:ascii="Cambria Math" w:hAnsi="Cambria Math" w:cs="Times New Roman"/>
                <w:i/>
                <w:iCs/>
                <w:sz w:val="22"/>
              </w:rPr>
            </m:ctrlPr>
          </m:sSubPr>
          <m:e>
            <m:r>
              <w:rPr>
                <w:rFonts w:ascii="Cambria Math" w:hAnsi="Cambria Math" w:cs="Times New Roman"/>
                <w:sz w:val="22"/>
              </w:rPr>
              <m:t>V</m:t>
            </m:r>
          </m:e>
          <m:sub>
            <m:r>
              <m:rPr>
                <m:sty m:val="p"/>
              </m:rPr>
              <w:rPr>
                <w:rFonts w:ascii="Cambria Math" w:hAnsi="Cambria Math" w:cs="Times New Roman"/>
                <w:sz w:val="22"/>
              </w:rPr>
              <m:t>asym</m:t>
            </m:r>
          </m:sub>
        </m:sSub>
      </m:oMath>
      <w:r w:rsidR="00263E39" w:rsidRPr="00645DFF">
        <w:rPr>
          <w:rFonts w:ascii="Times New Roman" w:hAnsi="Times New Roman" w:cs="Times New Roman"/>
          <w:iCs/>
          <w:sz w:val="22"/>
        </w:rPr>
        <w:t xml:space="preserve"> are the symmetric and antisymmetric </w:t>
      </w:r>
      <w:r w:rsidR="00DC0C4C" w:rsidRPr="00645DFF">
        <w:rPr>
          <w:rFonts w:ascii="Times New Roman" w:hAnsi="Times New Roman" w:cs="Times New Roman"/>
          <w:iCs/>
          <w:sz w:val="22"/>
        </w:rPr>
        <w:t xml:space="preserve">Lorentzian </w:t>
      </w:r>
      <w:r w:rsidR="00263E39" w:rsidRPr="00645DFF">
        <w:rPr>
          <w:rFonts w:ascii="Times New Roman" w:hAnsi="Times New Roman" w:cs="Times New Roman"/>
          <w:iCs/>
          <w:sz w:val="22"/>
        </w:rPr>
        <w:t xml:space="preserve">components </w:t>
      </w:r>
      <w:r w:rsidR="007F653D" w:rsidRPr="00645DFF">
        <w:rPr>
          <w:rFonts w:ascii="Times New Roman" w:hAnsi="Times New Roman" w:cs="Times New Roman"/>
          <w:iCs/>
          <w:sz w:val="22"/>
        </w:rPr>
        <w:t>a</w:t>
      </w:r>
      <w:r w:rsidR="00263E39" w:rsidRPr="00645DFF">
        <w:rPr>
          <w:rFonts w:ascii="Times New Roman" w:hAnsi="Times New Roman" w:cs="Times New Roman"/>
          <w:iCs/>
          <w:sz w:val="22"/>
        </w:rPr>
        <w:t>t the resonance frequency</w:t>
      </w:r>
      <w:r w:rsidR="007F653D" w:rsidRPr="00645DFF">
        <w:rPr>
          <w:rFonts w:ascii="Times New Roman" w:hAnsi="Times New Roman" w:cs="Times New Roman"/>
          <w:iCs/>
          <w:sz w:val="22"/>
        </w:rPr>
        <w:t xml:space="preserve">, and </w:t>
      </w:r>
      <m:oMath>
        <m:r>
          <w:rPr>
            <w:rFonts w:ascii="Cambria Math" w:hAnsi="Cambria Math" w:cs="Times New Roman"/>
            <w:sz w:val="22"/>
          </w:rPr>
          <m:t>∆H</m:t>
        </m:r>
      </m:oMath>
      <w:r w:rsidR="00263E39" w:rsidRPr="00645DFF">
        <w:rPr>
          <w:rFonts w:ascii="Times New Roman" w:hAnsi="Times New Roman" w:cs="Times New Roman"/>
          <w:sz w:val="22"/>
        </w:rPr>
        <w:t xml:space="preserve"> and </w:t>
      </w:r>
      <m:oMath>
        <m:sSub>
          <m:sSubPr>
            <m:ctrlPr>
              <w:rPr>
                <w:rFonts w:ascii="Cambria Math" w:hAnsi="Cambria Math" w:cs="Times New Roman"/>
                <w:i/>
                <w:iCs/>
                <w:sz w:val="22"/>
              </w:rPr>
            </m:ctrlPr>
          </m:sSubPr>
          <m:e>
            <m:r>
              <w:rPr>
                <w:rFonts w:ascii="Cambria Math" w:hAnsi="Cambria Math" w:cs="Times New Roman"/>
                <w:sz w:val="22"/>
              </w:rPr>
              <m:t>H</m:t>
            </m:r>
          </m:e>
          <m:sub>
            <m:r>
              <m:rPr>
                <m:sty m:val="p"/>
              </m:rPr>
              <w:rPr>
                <w:rFonts w:ascii="Cambria Math" w:hAnsi="Cambria Math" w:cs="Times New Roman"/>
                <w:sz w:val="22"/>
              </w:rPr>
              <m:t>r</m:t>
            </m:r>
          </m:sub>
        </m:sSub>
      </m:oMath>
      <w:r w:rsidR="00263E39" w:rsidRPr="00645DFF">
        <w:rPr>
          <w:rFonts w:ascii="Times New Roman" w:hAnsi="Times New Roman" w:cs="Times New Roman"/>
          <w:iCs/>
          <w:sz w:val="22"/>
        </w:rPr>
        <w:t xml:space="preserve"> </w:t>
      </w:r>
      <w:r w:rsidR="007F653D" w:rsidRPr="00645DFF">
        <w:rPr>
          <w:rFonts w:ascii="Times New Roman" w:hAnsi="Times New Roman" w:cs="Times New Roman"/>
          <w:iCs/>
          <w:sz w:val="22"/>
        </w:rPr>
        <w:t>denote the linewidth of the</w:t>
      </w:r>
      <w:r w:rsidR="007F653D" w:rsidRPr="00645DFF">
        <w:rPr>
          <w:rFonts w:ascii="Times New Roman" w:eastAsia="DengXian" w:hAnsi="Times New Roman" w:cs="Times New Roman"/>
          <w:iCs/>
          <w:sz w:val="22"/>
          <w:lang w:eastAsia="zh-CN"/>
        </w:rPr>
        <w:t xml:space="preserve"> </w:t>
      </w:r>
      <w:r w:rsidR="007F653D" w:rsidRPr="00645DFF">
        <w:rPr>
          <w:rFonts w:ascii="Times New Roman" w:hAnsi="Times New Roman" w:cs="Times New Roman"/>
          <w:iCs/>
          <w:sz w:val="22"/>
        </w:rPr>
        <w:t>resonance signal and resonance field, respectively.</w:t>
      </w:r>
      <w:r w:rsidR="00DC0C4C" w:rsidRPr="00645DFF">
        <w:rPr>
          <w:rFonts w:ascii="Times New Roman" w:hAnsi="Times New Roman" w:cs="Times New Roman"/>
          <w:iCs/>
          <w:sz w:val="22"/>
        </w:rPr>
        <w:t xml:space="preserve"> </w:t>
      </w:r>
      <w:bookmarkEnd w:id="0"/>
      <w:r w:rsidR="00BA0CBD" w:rsidRPr="00645DFF">
        <w:rPr>
          <w:rFonts w:ascii="Times New Roman" w:hAnsi="Times New Roman" w:cs="Times New Roman"/>
          <w:iCs/>
          <w:sz w:val="22"/>
        </w:rPr>
        <w:t xml:space="preserve">Figure 3(b) shows a representative ST-FMR spectrum of the </w:t>
      </w:r>
      <w:proofErr w:type="spellStart"/>
      <w:r w:rsidR="00BA0CBD" w:rsidRPr="00645DFF">
        <w:rPr>
          <w:rFonts w:ascii="Times New Roman" w:hAnsi="Times New Roman" w:cs="Times New Roman"/>
          <w:iCs/>
          <w:sz w:val="22"/>
        </w:rPr>
        <w:t>BiSb</w:t>
      </w:r>
      <w:proofErr w:type="spellEnd"/>
      <w:r w:rsidR="00BA0CBD" w:rsidRPr="00645DFF">
        <w:rPr>
          <w:rFonts w:ascii="Times New Roman" w:hAnsi="Times New Roman" w:cs="Times New Roman"/>
          <w:iCs/>
          <w:sz w:val="22"/>
        </w:rPr>
        <w:t>/Ge/</w:t>
      </w:r>
      <w:proofErr w:type="spellStart"/>
      <w:r w:rsidR="00BA0CBD" w:rsidRPr="00645DFF">
        <w:rPr>
          <w:rFonts w:ascii="Times New Roman" w:hAnsi="Times New Roman" w:cs="Times New Roman"/>
          <w:iCs/>
          <w:sz w:val="22"/>
        </w:rPr>
        <w:t>CoFeB</w:t>
      </w:r>
      <w:proofErr w:type="spellEnd"/>
      <w:r w:rsidR="00BA0CBD" w:rsidRPr="00645DFF">
        <w:rPr>
          <w:rFonts w:ascii="Times New Roman" w:hAnsi="Times New Roman" w:cs="Times New Roman"/>
          <w:iCs/>
          <w:sz w:val="22"/>
        </w:rPr>
        <w:t xml:space="preserve"> sample measured at 10 GHz, together with the fitting based on Eq. (1). The spectrum </w:t>
      </w:r>
      <w:r w:rsidR="00B941E4" w:rsidRPr="00645DFF">
        <w:rPr>
          <w:rFonts w:ascii="Times New Roman" w:hAnsi="Times New Roman" w:cs="Times New Roman"/>
          <w:iCs/>
          <w:sz w:val="22"/>
        </w:rPr>
        <w:t xml:space="preserve">is </w:t>
      </w:r>
      <w:r w:rsidR="00BA0CBD" w:rsidRPr="00645DFF">
        <w:rPr>
          <w:rFonts w:ascii="Times New Roman" w:hAnsi="Times New Roman" w:cs="Times New Roman"/>
          <w:iCs/>
          <w:sz w:val="22"/>
        </w:rPr>
        <w:t>well decomposed into symmetric and antisymmetric Lorentzian components</w:t>
      </w:r>
      <w:r w:rsidR="007E388A" w:rsidRPr="00645DFF">
        <w:rPr>
          <w:rFonts w:ascii="Times New Roman" w:hAnsi="Times New Roman" w:cs="Times New Roman"/>
          <w:iCs/>
          <w:sz w:val="22"/>
        </w:rPr>
        <w:t>. T</w:t>
      </w:r>
      <w:r w:rsidR="00BA0CBD" w:rsidRPr="00645DFF">
        <w:rPr>
          <w:rFonts w:ascii="Times New Roman" w:hAnsi="Times New Roman" w:cs="Times New Roman"/>
          <w:iCs/>
          <w:sz w:val="22"/>
        </w:rPr>
        <w:t xml:space="preserve">he overall fit exhibits excellent agreement with the experimental data. </w:t>
      </w:r>
      <w:r w:rsidR="00B33D90" w:rsidRPr="00645DFF">
        <w:rPr>
          <w:rFonts w:ascii="Times New Roman" w:hAnsi="Times New Roman" w:cs="Times New Roman"/>
          <w:sz w:val="22"/>
        </w:rPr>
        <w:t>The e</w:t>
      </w:r>
      <w:r w:rsidR="000D21BC" w:rsidRPr="00645DFF">
        <w:rPr>
          <w:rFonts w:ascii="Times New Roman" w:hAnsi="Times New Roman" w:cs="Times New Roman"/>
          <w:sz w:val="22"/>
        </w:rPr>
        <w:t xml:space="preserve">xtracted </w:t>
      </w:r>
      <m:oMath>
        <m:r>
          <w:rPr>
            <w:rFonts w:ascii="Cambria Math" w:hAnsi="Cambria Math" w:cs="Times New Roman"/>
            <w:sz w:val="22"/>
          </w:rPr>
          <m:t>∆H</m:t>
        </m:r>
      </m:oMath>
      <w:r w:rsidR="000D21BC" w:rsidRPr="00645DFF">
        <w:rPr>
          <w:rFonts w:ascii="Times New Roman" w:hAnsi="Times New Roman" w:cs="Times New Roman"/>
          <w:sz w:val="22"/>
        </w:rPr>
        <w:t xml:space="preserve"> values </w:t>
      </w:r>
      <w:r w:rsidRPr="00645DFF">
        <w:rPr>
          <w:rFonts w:ascii="Times New Roman" w:hAnsi="Times New Roman" w:cs="Times New Roman"/>
          <w:sz w:val="22"/>
        </w:rPr>
        <w:t>at each frequency are plotted as a function of the resonance frequency in Fig. 3(c). By employing the relation of</w:t>
      </w:r>
      <w:r w:rsidR="000D21BC" w:rsidRPr="00645DFF">
        <w:rPr>
          <w:rFonts w:ascii="Times New Roman" w:hAnsi="Times New Roman" w:cs="Times New Roman"/>
          <w:sz w:val="22"/>
        </w:rPr>
        <w:t xml:space="preserve"> </w:t>
      </w:r>
      <m:oMath>
        <m:r>
          <w:rPr>
            <w:rFonts w:ascii="Cambria Math" w:hAnsi="Cambria Math" w:cs="Times New Roman"/>
            <w:sz w:val="22"/>
          </w:rPr>
          <m:t>∆H=∆</m:t>
        </m:r>
        <m:sSub>
          <m:sSubPr>
            <m:ctrlPr>
              <w:rPr>
                <w:rFonts w:ascii="Cambria Math" w:hAnsi="Cambria Math" w:cs="Times New Roman"/>
                <w:i/>
                <w:iCs/>
                <w:sz w:val="22"/>
              </w:rPr>
            </m:ctrlPr>
          </m:sSubPr>
          <m:e>
            <m:r>
              <w:rPr>
                <w:rFonts w:ascii="Cambria Math" w:hAnsi="Cambria Math" w:cs="Times New Roman"/>
                <w:sz w:val="22"/>
              </w:rPr>
              <m:t>H</m:t>
            </m:r>
          </m:e>
          <m:sub>
            <m:r>
              <w:rPr>
                <w:rFonts w:ascii="Cambria Math" w:hAnsi="Cambria Math" w:cs="Times New Roman"/>
                <w:sz w:val="22"/>
              </w:rPr>
              <m:t>0</m:t>
            </m:r>
          </m:sub>
        </m:sSub>
        <m:r>
          <w:rPr>
            <w:rFonts w:ascii="Cambria Math" w:hAnsi="Cambria Math" w:cs="Times New Roman"/>
            <w:sz w:val="22"/>
          </w:rPr>
          <m:t>+</m:t>
        </m:r>
        <m:f>
          <m:fPr>
            <m:type m:val="lin"/>
            <m:ctrlPr>
              <w:rPr>
                <w:rFonts w:ascii="Cambria Math" w:hAnsi="Cambria Math" w:cs="Times New Roman"/>
                <w:i/>
                <w:iCs/>
                <w:sz w:val="22"/>
              </w:rPr>
            </m:ctrlPr>
          </m:fPr>
          <m:num>
            <m:r>
              <w:rPr>
                <w:rFonts w:ascii="Cambria Math" w:hAnsi="Cambria Math" w:cs="Times New Roman"/>
                <w:sz w:val="22"/>
              </w:rPr>
              <m:t>4πf</m:t>
            </m:r>
            <m:sSub>
              <m:sSubPr>
                <m:ctrlPr>
                  <w:rPr>
                    <w:rFonts w:ascii="Cambria Math" w:hAnsi="Cambria Math" w:cs="Times New Roman"/>
                    <w:i/>
                    <w:iCs/>
                    <w:sz w:val="22"/>
                  </w:rPr>
                </m:ctrlPr>
              </m:sSubPr>
              <m:e>
                <m:r>
                  <w:rPr>
                    <w:rFonts w:ascii="Cambria Math" w:hAnsi="Cambria Math" w:cs="Times New Roman"/>
                    <w:sz w:val="22"/>
                  </w:rPr>
                  <m:t>α</m:t>
                </m:r>
              </m:e>
              <m:sub>
                <m:r>
                  <m:rPr>
                    <m:sty m:val="p"/>
                  </m:rPr>
                  <w:rPr>
                    <w:rFonts w:ascii="Cambria Math" w:hAnsi="Cambria Math" w:cs="Times New Roman"/>
                    <w:sz w:val="22"/>
                  </w:rPr>
                  <m:t>eff</m:t>
                </m:r>
              </m:sub>
            </m:sSub>
          </m:num>
          <m:den>
            <m:sSub>
              <m:sSubPr>
                <m:ctrlPr>
                  <w:rPr>
                    <w:rFonts w:ascii="Cambria Math" w:hAnsi="Cambria Math" w:cs="Times New Roman"/>
                    <w:i/>
                    <w:iCs/>
                    <w:sz w:val="22"/>
                  </w:rPr>
                </m:ctrlPr>
              </m:sSubPr>
              <m:e>
                <m:r>
                  <w:rPr>
                    <w:rFonts w:ascii="Cambria Math" w:hAnsi="Cambria Math" w:cs="Times New Roman"/>
                    <w:sz w:val="22"/>
                  </w:rPr>
                  <m:t>γ</m:t>
                </m:r>
              </m:e>
              <m:sub>
                <m:r>
                  <m:rPr>
                    <m:sty m:val="p"/>
                  </m:rPr>
                  <w:rPr>
                    <w:rFonts w:ascii="Cambria Math" w:hAnsi="Cambria Math" w:cs="Times New Roman"/>
                    <w:sz w:val="22"/>
                  </w:rPr>
                  <m:t>eff</m:t>
                </m:r>
              </m:sub>
            </m:sSub>
          </m:den>
        </m:f>
      </m:oMath>
      <w:r w:rsidRPr="00645DFF">
        <w:rPr>
          <w:rFonts w:ascii="Times New Roman" w:hAnsi="Times New Roman" w:cs="Times New Roman"/>
          <w:iCs/>
          <w:sz w:val="22"/>
        </w:rPr>
        <w:t xml:space="preserve">, </w:t>
      </w:r>
      <w:r w:rsidRPr="00645DFF">
        <w:rPr>
          <w:rFonts w:ascii="Times New Roman" w:hAnsi="Times New Roman" w:cs="Times New Roman"/>
          <w:sz w:val="22"/>
        </w:rPr>
        <w:t xml:space="preserve">the effective Gilbert damping constant can be evaluated from the slope of the linear fit. </w:t>
      </w:r>
      <w:r w:rsidR="00922CFC" w:rsidRPr="00645DFF">
        <w:rPr>
          <w:rFonts w:ascii="Times New Roman" w:hAnsi="Times New Roman" w:cs="Times New Roman"/>
          <w:sz w:val="22"/>
        </w:rPr>
        <w:t>H</w:t>
      </w:r>
      <w:r w:rsidR="00C723A3" w:rsidRPr="00645DFF">
        <w:rPr>
          <w:rFonts w:ascii="Times New Roman" w:hAnsi="Times New Roman" w:cs="Times New Roman"/>
          <w:sz w:val="22"/>
        </w:rPr>
        <w:t>ere,</w:t>
      </w:r>
      <w:r w:rsidR="00C723A3" w:rsidRPr="00645DFF">
        <w:rPr>
          <w:rFonts w:ascii="Times New Roman" w:hAnsi="Times New Roman" w:cs="Times New Roman"/>
          <w:sz w:val="24"/>
          <w:szCs w:val="24"/>
        </w:rPr>
        <w:t xml:space="preserve"> </w:t>
      </w:r>
      <m:oMath>
        <m:r>
          <w:rPr>
            <w:rFonts w:ascii="Cambria Math" w:hAnsi="Cambria Math" w:cs="Times New Roman"/>
            <w:sz w:val="22"/>
          </w:rPr>
          <m:t>∆</m:t>
        </m:r>
        <m:sSub>
          <m:sSubPr>
            <m:ctrlPr>
              <w:rPr>
                <w:rFonts w:ascii="Cambria Math" w:hAnsi="Cambria Math" w:cs="Times New Roman"/>
                <w:i/>
                <w:iCs/>
                <w:sz w:val="22"/>
              </w:rPr>
            </m:ctrlPr>
          </m:sSubPr>
          <m:e>
            <m:r>
              <w:rPr>
                <w:rFonts w:ascii="Cambria Math" w:hAnsi="Cambria Math" w:cs="Times New Roman"/>
                <w:sz w:val="22"/>
              </w:rPr>
              <m:t>H</m:t>
            </m:r>
          </m:e>
          <m:sub>
            <m:r>
              <w:rPr>
                <w:rFonts w:ascii="Cambria Math" w:hAnsi="Cambria Math" w:cs="Times New Roman"/>
                <w:sz w:val="22"/>
              </w:rPr>
              <m:t>0</m:t>
            </m:r>
          </m:sub>
        </m:sSub>
      </m:oMath>
      <w:r w:rsidR="00C723A3" w:rsidRPr="00645DFF">
        <w:rPr>
          <w:rFonts w:ascii="Times New Roman" w:hAnsi="Times New Roman" w:cs="Times New Roman"/>
        </w:rPr>
        <w:t xml:space="preserve"> </w:t>
      </w:r>
      <w:r w:rsidR="00981BB1" w:rsidRPr="00645DFF">
        <w:rPr>
          <w:rFonts w:ascii="Times New Roman" w:hAnsi="Times New Roman" w:cs="Times New Roman"/>
          <w:sz w:val="22"/>
        </w:rPr>
        <w:t>represents the inhomogeneous linewidth broadening,</w:t>
      </w:r>
      <w:r w:rsidR="00C723A3" w:rsidRPr="00645DFF">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m:rPr>
                <m:sty m:val="p"/>
              </m:rPr>
              <w:rPr>
                <w:rFonts w:ascii="Cambria Math" w:hAnsi="Cambria Math" w:cs="Times New Roman"/>
                <w:sz w:val="24"/>
                <w:szCs w:val="24"/>
              </w:rPr>
              <m:t>eff</m:t>
            </m:r>
          </m:sub>
        </m:sSub>
      </m:oMath>
      <w:r w:rsidR="00C723A3" w:rsidRPr="00645DFF">
        <w:rPr>
          <w:rFonts w:ascii="Times New Roman" w:hAnsi="Times New Roman" w:cs="Times New Roman"/>
        </w:rPr>
        <w:t xml:space="preserve"> </w:t>
      </w:r>
      <w:r w:rsidR="00C723A3" w:rsidRPr="00645DFF">
        <w:rPr>
          <w:rFonts w:ascii="Times New Roman" w:hAnsi="Times New Roman" w:cs="Times New Roman"/>
          <w:sz w:val="22"/>
        </w:rPr>
        <w:t>is the effective</w:t>
      </w:r>
      <w:r w:rsidR="00C723A3" w:rsidRPr="00645DFF">
        <w:rPr>
          <w:rFonts w:ascii="Times New Roman" w:hAnsi="Times New Roman" w:cs="Times New Roman"/>
          <w:sz w:val="24"/>
          <w:szCs w:val="24"/>
        </w:rPr>
        <w:t xml:space="preserve"> </w:t>
      </w:r>
      <w:r w:rsidR="00C723A3" w:rsidRPr="00645DFF">
        <w:rPr>
          <w:rFonts w:ascii="Times New Roman" w:hAnsi="Times New Roman" w:cs="Times New Roman"/>
          <w:sz w:val="22"/>
        </w:rPr>
        <w:t>Gilbert damping</w:t>
      </w:r>
      <w:r w:rsidR="00981BB1" w:rsidRPr="00645DFF">
        <w:rPr>
          <w:rFonts w:ascii="Times New Roman" w:hAnsi="Times New Roman" w:cs="Times New Roman"/>
          <w:sz w:val="22"/>
        </w:rPr>
        <w:t>,</w:t>
      </w:r>
      <w:r w:rsidR="00C723A3" w:rsidRPr="00645DFF">
        <w:rPr>
          <w:rFonts w:ascii="Times New Roman" w:hAnsi="Times New Roman" w:cs="Times New Roman"/>
          <w:sz w:val="22"/>
        </w:rPr>
        <w:t xml:space="preserve"> and</w:t>
      </w:r>
      <w:r w:rsidR="00C723A3" w:rsidRPr="00645DFF">
        <w:rPr>
          <w:rFonts w:ascii="Times New Roman" w:hAnsi="Times New Roman" w:cs="Times New Roman"/>
          <w:sz w:val="24"/>
          <w:szCs w:val="24"/>
        </w:rPr>
        <w:t xml:space="preserve">  </w:t>
      </w:r>
      <m:oMath>
        <m:sSub>
          <m:sSubPr>
            <m:ctrlPr>
              <w:rPr>
                <w:rFonts w:ascii="Cambria Math" w:hAnsi="Cambria Math" w:cs="Times New Roman"/>
                <w:i/>
              </w:rPr>
            </m:ctrlPr>
          </m:sSubPr>
          <m:e>
            <m:r>
              <w:rPr>
                <w:rFonts w:ascii="Cambria Math" w:hAnsi="Cambria Math" w:cs="Times New Roman"/>
              </w:rPr>
              <m:t>γ</m:t>
            </m:r>
          </m:e>
          <m:sub>
            <m:r>
              <m:rPr>
                <m:sty m:val="p"/>
              </m:rPr>
              <w:rPr>
                <w:rFonts w:ascii="Cambria Math" w:hAnsi="Cambria Math" w:cs="Times New Roman"/>
              </w:rPr>
              <m:t>eff</m:t>
            </m:r>
          </m:sub>
        </m:sSub>
      </m:oMath>
      <w:r w:rsidR="00C723A3" w:rsidRPr="00645DFF">
        <w:rPr>
          <w:rFonts w:ascii="Times New Roman" w:hAnsi="Times New Roman" w:cs="Times New Roman"/>
          <w:sz w:val="24"/>
          <w:szCs w:val="24"/>
        </w:rPr>
        <w:t xml:space="preserve"> </w:t>
      </w:r>
      <w:r w:rsidR="00C723A3" w:rsidRPr="00645DFF">
        <w:rPr>
          <w:rFonts w:ascii="Times New Roman" w:hAnsi="Times New Roman" w:cs="Times New Roman"/>
          <w:sz w:val="22"/>
        </w:rPr>
        <w:t xml:space="preserve">is the effective gyromagnetic ratio. </w:t>
      </w:r>
      <w:r w:rsidR="00B33D90" w:rsidRPr="00645DFF">
        <w:rPr>
          <w:rFonts w:ascii="Times New Roman" w:hAnsi="Times New Roman" w:cs="Times New Roman"/>
          <w:sz w:val="22"/>
        </w:rPr>
        <w:t xml:space="preserve">For </w:t>
      </w:r>
      <w:r w:rsidRPr="00645DFF">
        <w:rPr>
          <w:rFonts w:ascii="Times New Roman" w:hAnsi="Times New Roman" w:cs="Times New Roman"/>
          <w:sz w:val="22"/>
        </w:rPr>
        <w:t xml:space="preserve">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w:t>
      </w:r>
      <w:r w:rsidR="00B33D90" w:rsidRPr="00645DFF">
        <w:rPr>
          <w:rFonts w:ascii="Times New Roman" w:hAnsi="Times New Roman" w:cs="Times New Roman"/>
          <w:sz w:val="22"/>
        </w:rPr>
        <w:t>Ge</w:t>
      </w:r>
      <w:r w:rsidRPr="00645DFF">
        <w:rPr>
          <w:rFonts w:ascii="Times New Roman" w:hAnsi="Times New Roman" w:cs="Times New Roman"/>
          <w:sz w:val="22"/>
        </w:rPr>
        <w:t>/</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sample,</w:t>
      </w:r>
      <w:r w:rsidR="00B33D90" w:rsidRPr="00645DF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α</m:t>
            </m:r>
          </m:e>
          <m:sub>
            <m:r>
              <m:rPr>
                <m:sty m:val="p"/>
              </m:rPr>
              <w:rPr>
                <w:rFonts w:ascii="Cambria Math" w:hAnsi="Cambria Math" w:cs="Times New Roman"/>
                <w:sz w:val="22"/>
              </w:rPr>
              <m:t>eff</m:t>
            </m:r>
          </m:sub>
        </m:sSub>
      </m:oMath>
      <w:r w:rsidR="00B33D90" w:rsidRPr="00645DFF">
        <w:rPr>
          <w:rFonts w:ascii="Times New Roman" w:hAnsi="Times New Roman" w:cs="Times New Roman"/>
          <w:sz w:val="22"/>
        </w:rPr>
        <w:t xml:space="preserve"> </w:t>
      </w:r>
      <w:r w:rsidR="00981BB1" w:rsidRPr="00645DFF">
        <w:rPr>
          <w:rFonts w:ascii="Times New Roman" w:hAnsi="Times New Roman" w:cs="Times New Roman"/>
          <w:sz w:val="22"/>
        </w:rPr>
        <w:t>is determined to be approximately 0.006.</w:t>
      </w:r>
      <w:r w:rsidR="00392CEB" w:rsidRPr="00645DFF">
        <w:rPr>
          <w:rFonts w:ascii="Times New Roman" w:hAnsi="Times New Roman" w:cs="Times New Roman"/>
          <w:sz w:val="22"/>
        </w:rPr>
        <w:t xml:space="preserve"> </w:t>
      </w:r>
      <w:r w:rsidR="005A2014" w:rsidRPr="00645DFF">
        <w:rPr>
          <w:rFonts w:ascii="Times New Roman" w:hAnsi="Times New Roman" w:cs="Times New Roman"/>
          <w:sz w:val="22"/>
        </w:rPr>
        <w:t xml:space="preserve">In </w:t>
      </w:r>
      <w:r w:rsidR="00392CEB" w:rsidRPr="00645DFF">
        <w:rPr>
          <w:rFonts w:ascii="Times New Roman" w:hAnsi="Times New Roman" w:cs="Times New Roman"/>
          <w:sz w:val="22"/>
        </w:rPr>
        <w:t>F</w:t>
      </w:r>
      <w:r w:rsidR="005A2014" w:rsidRPr="00645DFF">
        <w:rPr>
          <w:rFonts w:ascii="Times New Roman" w:hAnsi="Times New Roman" w:cs="Times New Roman"/>
          <w:sz w:val="22"/>
        </w:rPr>
        <w:t>ig</w:t>
      </w:r>
      <w:r w:rsidR="00392CEB" w:rsidRPr="00645DFF">
        <w:rPr>
          <w:rFonts w:ascii="Times New Roman" w:hAnsi="Times New Roman" w:cs="Times New Roman"/>
          <w:sz w:val="22"/>
        </w:rPr>
        <w:t xml:space="preserve">. </w:t>
      </w:r>
      <w:r w:rsidR="005A2014" w:rsidRPr="00645DFF">
        <w:rPr>
          <w:rFonts w:ascii="Times New Roman" w:hAnsi="Times New Roman" w:cs="Times New Roman"/>
          <w:sz w:val="22"/>
        </w:rPr>
        <w:t>3(</w:t>
      </w:r>
      <w:r w:rsidR="007F653D" w:rsidRPr="00645DFF">
        <w:rPr>
          <w:rFonts w:ascii="Times New Roman" w:hAnsi="Times New Roman" w:cs="Times New Roman"/>
          <w:sz w:val="22"/>
        </w:rPr>
        <w:t>d</w:t>
      </w:r>
      <w:r w:rsidR="005A2014" w:rsidRPr="00645DFF">
        <w:rPr>
          <w:rFonts w:ascii="Times New Roman" w:hAnsi="Times New Roman" w:cs="Times New Roman"/>
          <w:sz w:val="22"/>
        </w:rPr>
        <w:t>)</w:t>
      </w:r>
      <w:r w:rsidR="009A0CA7" w:rsidRPr="00645DFF">
        <w:rPr>
          <w:rFonts w:ascii="Times New Roman" w:hAnsi="Times New Roman" w:cs="Times New Roman"/>
          <w:sz w:val="22"/>
        </w:rPr>
        <w:t>,</w:t>
      </w:r>
      <w:r w:rsidR="005A2014" w:rsidRPr="00645DFF">
        <w:rPr>
          <w:rFonts w:ascii="Times New Roman" w:hAnsi="Times New Roman" w:cs="Times New Roman"/>
          <w:sz w:val="22"/>
        </w:rPr>
        <w:t xml:space="preserve"> the resonance </w:t>
      </w:r>
      <w:r w:rsidR="009A0CA7" w:rsidRPr="00645DFF">
        <w:rPr>
          <w:rFonts w:ascii="Times New Roman" w:hAnsi="Times New Roman" w:cs="Times New Roman"/>
          <w:sz w:val="22"/>
        </w:rPr>
        <w:t>field</w:t>
      </w:r>
      <w:r w:rsidR="006F3710" w:rsidRPr="00645DFF">
        <w:rPr>
          <w:rFonts w:ascii="Times New Roman" w:hAnsi="Times New Roman" w:cs="Times New Roman"/>
          <w:sz w:val="22"/>
        </w:rPr>
        <w:t xml:space="preserve"> </w:t>
      </w:r>
      <m:oMath>
        <m:sSub>
          <m:sSubPr>
            <m:ctrlPr>
              <w:rPr>
                <w:rFonts w:ascii="Cambria Math" w:hAnsi="Cambria Math" w:cs="Times New Roman"/>
                <w:i/>
                <w:sz w:val="22"/>
              </w:rPr>
            </m:ctrlPr>
          </m:sSubPr>
          <m:e>
            <m:r>
              <w:rPr>
                <w:rFonts w:ascii="Cambria Math" w:hAnsi="Cambria Math" w:cs="Times New Roman"/>
                <w:sz w:val="22"/>
              </w:rPr>
              <m:t>H</m:t>
            </m:r>
          </m:e>
          <m:sub>
            <m:r>
              <w:rPr>
                <w:rFonts w:ascii="Cambria Math" w:hAnsi="Cambria Math" w:cs="Times New Roman"/>
                <w:sz w:val="22"/>
              </w:rPr>
              <m:t>r</m:t>
            </m:r>
          </m:sub>
        </m:sSub>
      </m:oMath>
      <w:r w:rsidR="006F3710" w:rsidRPr="00645DFF">
        <w:rPr>
          <w:rFonts w:ascii="Times New Roman" w:hAnsi="Times New Roman" w:cs="Times New Roman"/>
          <w:sz w:val="22"/>
        </w:rPr>
        <w:t xml:space="preserve"> i</w:t>
      </w:r>
      <w:r w:rsidR="00392CEB" w:rsidRPr="00645DFF">
        <w:rPr>
          <w:rFonts w:ascii="Times New Roman" w:hAnsi="Times New Roman" w:cs="Times New Roman"/>
          <w:sz w:val="22"/>
        </w:rPr>
        <w:t xml:space="preserve">s plotted as a function of frequency to extract the </w:t>
      </w:r>
      <w:r w:rsidR="007F69F5" w:rsidRPr="00645DFF">
        <w:rPr>
          <w:rFonts w:ascii="Times New Roman" w:hAnsi="Times New Roman" w:cs="Times New Roman"/>
          <w:sz w:val="22"/>
        </w:rPr>
        <w:t>effective magnetization value</w:t>
      </w:r>
      <w:r w:rsidR="00392CEB" w:rsidRPr="00645DFF">
        <w:rPr>
          <w:rFonts w:ascii="Times New Roman" w:hAnsi="Times New Roman" w:cs="Times New Roman"/>
          <w:sz w:val="22"/>
        </w:rPr>
        <w:t xml:space="preserve"> (</w:t>
      </w:r>
      <w:proofErr w:type="spellStart"/>
      <w:r w:rsidR="00392CEB" w:rsidRPr="00645DFF">
        <w:rPr>
          <w:rFonts w:ascii="Times New Roman" w:hAnsi="Times New Roman" w:cs="Times New Roman"/>
          <w:i/>
          <w:iCs/>
          <w:sz w:val="22"/>
        </w:rPr>
        <w:t>M</w:t>
      </w:r>
      <w:r w:rsidR="00392CEB" w:rsidRPr="00645DFF">
        <w:rPr>
          <w:rFonts w:ascii="Times New Roman" w:hAnsi="Times New Roman" w:cs="Times New Roman"/>
          <w:sz w:val="22"/>
          <w:vertAlign w:val="subscript"/>
        </w:rPr>
        <w:t>eff</w:t>
      </w:r>
      <w:proofErr w:type="spellEnd"/>
      <w:r w:rsidR="00392CEB" w:rsidRPr="00645DFF">
        <w:rPr>
          <w:rFonts w:ascii="Times New Roman" w:hAnsi="Times New Roman" w:cs="Times New Roman"/>
          <w:sz w:val="22"/>
        </w:rPr>
        <w:t xml:space="preserve">) </w:t>
      </w:r>
      <w:r w:rsidR="006114D1" w:rsidRPr="00645DFF">
        <w:rPr>
          <w:rFonts w:ascii="Times New Roman" w:hAnsi="Times New Roman" w:cs="Times New Roman"/>
          <w:sz w:val="22"/>
        </w:rPr>
        <w:t xml:space="preserve">using </w:t>
      </w:r>
      <w:r w:rsidR="00813397" w:rsidRPr="00645DFF">
        <w:rPr>
          <w:rFonts w:ascii="Times New Roman" w:hAnsi="Times New Roman" w:cs="Times New Roman"/>
          <w:sz w:val="22"/>
        </w:rPr>
        <w:t xml:space="preserve">the </w:t>
      </w:r>
      <w:r w:rsidR="0084515F" w:rsidRPr="00645DFF">
        <w:rPr>
          <w:rFonts w:ascii="Times New Roman" w:hAnsi="Times New Roman" w:cs="Times New Roman"/>
          <w:sz w:val="22"/>
        </w:rPr>
        <w:t xml:space="preserve">Kittel </w:t>
      </w:r>
      <w:r w:rsidR="00813397" w:rsidRPr="00645DFF">
        <w:rPr>
          <w:rFonts w:ascii="Times New Roman" w:hAnsi="Times New Roman" w:cs="Times New Roman"/>
          <w:sz w:val="22"/>
        </w:rPr>
        <w:t xml:space="preserve">equation </w:t>
      </w:r>
      <m:oMath>
        <m:r>
          <w:rPr>
            <w:rFonts w:ascii="Cambria Math" w:hAnsi="Cambria Math" w:cs="Times New Roman"/>
            <w:sz w:val="22"/>
          </w:rPr>
          <m:t>f=</m:t>
        </m:r>
        <m:f>
          <m:fPr>
            <m:type m:val="lin"/>
            <m:ctrlPr>
              <w:rPr>
                <w:rFonts w:ascii="Cambria Math" w:hAnsi="Cambria Math" w:cs="Times New Roman"/>
                <w:i/>
                <w:sz w:val="22"/>
              </w:rPr>
            </m:ctrlPr>
          </m:fPr>
          <m:num>
            <m:sSub>
              <m:sSubPr>
                <m:ctrlPr>
                  <w:rPr>
                    <w:rFonts w:ascii="Cambria Math" w:hAnsi="Cambria Math" w:cs="Times New Roman"/>
                    <w:i/>
                    <w:sz w:val="22"/>
                  </w:rPr>
                </m:ctrlPr>
              </m:sSubPr>
              <m:e>
                <m:r>
                  <w:rPr>
                    <w:rFonts w:ascii="Cambria Math" w:hAnsi="Cambria Math" w:cs="Times New Roman"/>
                    <w:sz w:val="22"/>
                  </w:rPr>
                  <m:t>γ</m:t>
                </m:r>
              </m:e>
              <m:sub>
                <m:r>
                  <m:rPr>
                    <m:sty m:val="p"/>
                  </m:rPr>
                  <w:rPr>
                    <w:rFonts w:ascii="Cambria Math" w:hAnsi="Cambria Math" w:cs="Times New Roman"/>
                    <w:sz w:val="22"/>
                  </w:rPr>
                  <m:t>eff</m:t>
                </m:r>
              </m:sub>
            </m:sSub>
          </m:num>
          <m:den>
            <m:r>
              <w:rPr>
                <w:rFonts w:ascii="Cambria Math" w:hAnsi="Cambria Math" w:cs="Times New Roman"/>
                <w:sz w:val="22"/>
              </w:rPr>
              <m:t>2π</m:t>
            </m:r>
          </m:den>
        </m:f>
        <m:rad>
          <m:radPr>
            <m:degHide m:val="1"/>
            <m:ctrlPr>
              <w:rPr>
                <w:rFonts w:ascii="Cambria Math" w:hAnsi="Cambria Math" w:cs="Times New Roman"/>
                <w:i/>
                <w:sz w:val="22"/>
              </w:rPr>
            </m:ctrlPr>
          </m:radPr>
          <m:deg/>
          <m:e>
            <m:sSub>
              <m:sSubPr>
                <m:ctrlPr>
                  <w:rPr>
                    <w:rFonts w:ascii="Cambria Math" w:hAnsi="Cambria Math" w:cs="Times New Roman"/>
                    <w:i/>
                    <w:sz w:val="22"/>
                  </w:rPr>
                </m:ctrlPr>
              </m:sSubPr>
              <m:e>
                <m:r>
                  <w:rPr>
                    <w:rFonts w:ascii="Cambria Math" w:hAnsi="Cambria Math" w:cs="Times New Roman"/>
                    <w:sz w:val="22"/>
                  </w:rPr>
                  <m:t>H</m:t>
                </m:r>
              </m:e>
              <m:sub>
                <m:r>
                  <m:rPr>
                    <m:sty m:val="p"/>
                  </m:rPr>
                  <w:rPr>
                    <w:rFonts w:ascii="Cambria Math" w:hAnsi="Cambria Math" w:cs="Times New Roman"/>
                    <w:sz w:val="22"/>
                  </w:rPr>
                  <m:t>r</m:t>
                </m:r>
              </m:sub>
            </m:sSub>
            <m:d>
              <m:dPr>
                <m:ctrlPr>
                  <w:rPr>
                    <w:rFonts w:ascii="Cambria Math" w:hAnsi="Cambria Math" w:cs="Times New Roman"/>
                    <w:sz w:val="22"/>
                  </w:rPr>
                </m:ctrlPr>
              </m:dPr>
              <m:e>
                <m:sSub>
                  <m:sSubPr>
                    <m:ctrlPr>
                      <w:rPr>
                        <w:rFonts w:ascii="Cambria Math" w:hAnsi="Cambria Math" w:cs="Times New Roman"/>
                        <w:i/>
                        <w:sz w:val="22"/>
                      </w:rPr>
                    </m:ctrlPr>
                  </m:sSubPr>
                  <m:e>
                    <m:r>
                      <w:rPr>
                        <w:rFonts w:ascii="Cambria Math" w:hAnsi="Cambria Math" w:cs="Times New Roman"/>
                        <w:sz w:val="22"/>
                      </w:rPr>
                      <m:t>H</m:t>
                    </m:r>
                  </m:e>
                  <m:sub>
                    <m:r>
                      <m:rPr>
                        <m:sty m:val="p"/>
                      </m:rPr>
                      <w:rPr>
                        <w:rFonts w:ascii="Cambria Math" w:hAnsi="Cambria Math" w:cs="Times New Roman"/>
                        <w:sz w:val="22"/>
                      </w:rPr>
                      <m:t>r</m:t>
                    </m:r>
                  </m:sub>
                </m:sSub>
                <m:r>
                  <m:rPr>
                    <m:sty m:val="p"/>
                  </m:rPr>
                  <w:rPr>
                    <w:rFonts w:ascii="Cambria Math" w:hAnsi="Cambria Math" w:cs="Times New Roman"/>
                    <w:sz w:val="22"/>
                  </w:rPr>
                  <m:t>+4π</m:t>
                </m:r>
                <m:sSub>
                  <m:sSubPr>
                    <m:ctrlPr>
                      <w:rPr>
                        <w:rFonts w:ascii="Cambria Math" w:hAnsi="Cambria Math" w:cs="Times New Roman"/>
                        <w:i/>
                        <w:sz w:val="22"/>
                      </w:rPr>
                    </m:ctrlPr>
                  </m:sSubPr>
                  <m:e>
                    <m:r>
                      <w:rPr>
                        <w:rFonts w:ascii="Cambria Math" w:hAnsi="Cambria Math" w:cs="Times New Roman"/>
                        <w:sz w:val="22"/>
                      </w:rPr>
                      <m:t>M</m:t>
                    </m:r>
                  </m:e>
                  <m:sub>
                    <m:r>
                      <m:rPr>
                        <m:sty m:val="p"/>
                      </m:rPr>
                      <w:rPr>
                        <w:rFonts w:ascii="Cambria Math" w:hAnsi="Cambria Math" w:cs="Times New Roman"/>
                        <w:sz w:val="22"/>
                      </w:rPr>
                      <m:t>eff</m:t>
                    </m:r>
                  </m:sub>
                </m:sSub>
              </m:e>
            </m:d>
            <m:r>
              <w:rPr>
                <w:rFonts w:ascii="Cambria Math" w:hAnsi="Cambria Math" w:cs="Times New Roman"/>
                <w:sz w:val="22"/>
              </w:rPr>
              <m:t xml:space="preserve"> </m:t>
            </m:r>
          </m:e>
        </m:rad>
      </m:oMath>
      <w:r w:rsidR="007622BB" w:rsidRPr="00645DFF">
        <w:rPr>
          <w:rFonts w:ascii="Times New Roman" w:hAnsi="Times New Roman" w:cs="Times New Roman"/>
          <w:sz w:val="22"/>
        </w:rPr>
        <w:t>.</w:t>
      </w:r>
      <w:r w:rsidR="008F38AA" w:rsidRPr="00645DFF">
        <w:rPr>
          <w:rFonts w:ascii="Times New Roman" w:hAnsi="Times New Roman" w:cs="Times New Roman"/>
          <w:sz w:val="22"/>
        </w:rPr>
        <w:t xml:space="preserve"> </w:t>
      </w:r>
      <w:r w:rsidR="00A47C52" w:rsidRPr="00645DFF">
        <w:rPr>
          <w:rFonts w:ascii="Times New Roman" w:hAnsi="Times New Roman" w:cs="Times New Roman"/>
          <w:sz w:val="22"/>
        </w:rPr>
        <w:t>T</w:t>
      </w:r>
      <w:r w:rsidR="00FE7DA0" w:rsidRPr="00645DFF">
        <w:rPr>
          <w:rFonts w:ascii="Times New Roman" w:hAnsi="Times New Roman" w:cs="Times New Roman"/>
          <w:sz w:val="22"/>
        </w:rPr>
        <w:t xml:space="preserve">he extracted </w:t>
      </w:r>
      <w:proofErr w:type="spellStart"/>
      <w:r w:rsidR="00FE7DA0" w:rsidRPr="00645DFF">
        <w:rPr>
          <w:rFonts w:ascii="Times New Roman" w:hAnsi="Times New Roman" w:cs="Times New Roman"/>
          <w:i/>
          <w:iCs/>
          <w:sz w:val="22"/>
        </w:rPr>
        <w:t>M</w:t>
      </w:r>
      <w:r w:rsidR="00FE7DA0" w:rsidRPr="00645DFF">
        <w:rPr>
          <w:rFonts w:ascii="Times New Roman" w:hAnsi="Times New Roman" w:cs="Times New Roman"/>
          <w:sz w:val="22"/>
          <w:vertAlign w:val="subscript"/>
        </w:rPr>
        <w:t>eff</w:t>
      </w:r>
      <w:proofErr w:type="spellEnd"/>
      <w:r w:rsidR="00FE7DA0" w:rsidRPr="00645DFF">
        <w:rPr>
          <w:rFonts w:ascii="Times New Roman" w:hAnsi="Times New Roman" w:cs="Times New Roman"/>
          <w:sz w:val="22"/>
        </w:rPr>
        <w:t xml:space="preserve"> value is 12</w:t>
      </w:r>
      <w:r w:rsidR="001805B6" w:rsidRPr="00645DFF">
        <w:rPr>
          <w:rFonts w:ascii="Times New Roman" w:eastAsia="DengXian" w:hAnsi="Times New Roman" w:cs="Times New Roman"/>
          <w:sz w:val="22"/>
          <w:lang w:eastAsia="zh-CN"/>
        </w:rPr>
        <w:t>89</w:t>
      </w:r>
      <w:r w:rsidR="00FE7DA0" w:rsidRPr="00645DFF">
        <w:rPr>
          <w:rFonts w:ascii="Times New Roman" w:hAnsi="Times New Roman" w:cs="Times New Roman"/>
          <w:sz w:val="22"/>
        </w:rPr>
        <w:t xml:space="preserve"> </w:t>
      </w:r>
      <w:r w:rsidR="00290357" w:rsidRPr="00645DFF">
        <w:rPr>
          <w:rFonts w:ascii="Times New Roman" w:hAnsi="Times New Roman" w:cs="Times New Roman"/>
          <w:sz w:val="22"/>
        </w:rPr>
        <w:t>emu/cm</w:t>
      </w:r>
      <w:r w:rsidR="00804B18" w:rsidRPr="00645DFF">
        <w:rPr>
          <w:rFonts w:ascii="Times New Roman" w:hAnsi="Times New Roman" w:cs="Times New Roman"/>
          <w:sz w:val="22"/>
          <w:vertAlign w:val="superscript"/>
        </w:rPr>
        <w:t>3</w:t>
      </w:r>
      <w:r w:rsidR="00804B18" w:rsidRPr="00645DFF">
        <w:rPr>
          <w:rFonts w:ascii="Times New Roman" w:hAnsi="Times New Roman" w:cs="Times New Roman"/>
          <w:sz w:val="22"/>
        </w:rPr>
        <w:t xml:space="preserve"> </w:t>
      </w:r>
      <w:r w:rsidR="00A47C52" w:rsidRPr="00645DFF">
        <w:rPr>
          <w:rFonts w:ascii="Times New Roman" w:hAnsi="Times New Roman" w:cs="Times New Roman"/>
          <w:sz w:val="22"/>
        </w:rPr>
        <w:t xml:space="preserve">for the </w:t>
      </w:r>
      <w:proofErr w:type="spellStart"/>
      <w:r w:rsidR="00A47C52" w:rsidRPr="00645DFF">
        <w:rPr>
          <w:rFonts w:ascii="Times New Roman" w:hAnsi="Times New Roman" w:cs="Times New Roman"/>
          <w:sz w:val="22"/>
        </w:rPr>
        <w:t>BiSb</w:t>
      </w:r>
      <w:proofErr w:type="spellEnd"/>
      <w:r w:rsidR="00A47C52" w:rsidRPr="00645DFF">
        <w:rPr>
          <w:rFonts w:ascii="Times New Roman" w:hAnsi="Times New Roman" w:cs="Times New Roman"/>
          <w:sz w:val="22"/>
        </w:rPr>
        <w:t>/Ge/</w:t>
      </w:r>
      <w:proofErr w:type="spellStart"/>
      <w:r w:rsidR="00A47C52" w:rsidRPr="00645DFF">
        <w:rPr>
          <w:rFonts w:ascii="Times New Roman" w:hAnsi="Times New Roman" w:cs="Times New Roman"/>
          <w:sz w:val="22"/>
        </w:rPr>
        <w:t>CoFeB</w:t>
      </w:r>
      <w:proofErr w:type="spellEnd"/>
      <w:r w:rsidR="00A47C52" w:rsidRPr="00645DFF">
        <w:rPr>
          <w:rFonts w:ascii="Times New Roman" w:hAnsi="Times New Roman" w:cs="Times New Roman"/>
          <w:sz w:val="22"/>
        </w:rPr>
        <w:t xml:space="preserve"> sample</w:t>
      </w:r>
      <w:r w:rsidR="00804AC3" w:rsidRPr="00645DFF">
        <w:rPr>
          <w:rFonts w:ascii="Times New Roman" w:hAnsi="Times New Roman" w:cs="Times New Roman"/>
          <w:sz w:val="22"/>
        </w:rPr>
        <w:t>.</w:t>
      </w:r>
    </w:p>
    <w:p w14:paraId="3FA4F296" w14:textId="00CF3AAB" w:rsidR="00907F10" w:rsidRPr="00645DFF" w:rsidRDefault="00804B18"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lastRenderedPageBreak/>
        <w:t xml:space="preserve">Figures 3(e) and 3(f) show representative ST-FMR spectra for the samples with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and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 interlayers, respectively. The</w:t>
      </w:r>
      <w:r w:rsidR="007E388A" w:rsidRPr="00645DFF">
        <w:rPr>
          <w:rFonts w:ascii="Times New Roman" w:hAnsi="Times New Roman" w:cs="Times New Roman"/>
          <w:sz w:val="22"/>
        </w:rPr>
        <w:t>se</w:t>
      </w:r>
      <w:r w:rsidRPr="00645DFF">
        <w:rPr>
          <w:rFonts w:ascii="Times New Roman" w:hAnsi="Times New Roman" w:cs="Times New Roman"/>
          <w:sz w:val="22"/>
        </w:rPr>
        <w:t xml:space="preserve"> spectra </w:t>
      </w:r>
      <w:r w:rsidR="007E388A" w:rsidRPr="00645DFF">
        <w:rPr>
          <w:rFonts w:ascii="Times New Roman" w:hAnsi="Times New Roman" w:cs="Times New Roman"/>
          <w:sz w:val="22"/>
        </w:rPr>
        <w:t>we</w:t>
      </w:r>
      <w:r w:rsidRPr="00645DFF">
        <w:rPr>
          <w:rFonts w:ascii="Times New Roman" w:hAnsi="Times New Roman" w:cs="Times New Roman"/>
          <w:sz w:val="22"/>
        </w:rPr>
        <w:t xml:space="preserve">re fitted with symmetric and antisymmetric Lorentzian components according to Eq. (1). From the frequency dependence of the linewidths, </w:t>
      </w:r>
      <m:oMath>
        <m:sSub>
          <m:sSubPr>
            <m:ctrlPr>
              <w:rPr>
                <w:rFonts w:ascii="Cambria Math" w:hAnsi="Cambria Math" w:cs="Times New Roman"/>
                <w:i/>
                <w:sz w:val="22"/>
              </w:rPr>
            </m:ctrlPr>
          </m:sSubPr>
          <m:e>
            <m:r>
              <w:rPr>
                <w:rFonts w:ascii="Cambria Math" w:hAnsi="Cambria Math" w:cs="Times New Roman"/>
                <w:sz w:val="22"/>
              </w:rPr>
              <m:t>α</m:t>
            </m:r>
          </m:e>
          <m:sub>
            <m:r>
              <w:rPr>
                <w:rFonts w:ascii="Cambria Math" w:hAnsi="Cambria Math" w:cs="Times New Roman"/>
                <w:sz w:val="22"/>
              </w:rPr>
              <m:t>eff</m:t>
            </m:r>
          </m:sub>
        </m:sSub>
      </m:oMath>
      <w:r w:rsidRPr="00645DFF">
        <w:rPr>
          <w:rFonts w:ascii="Times New Roman" w:hAnsi="Times New Roman" w:cs="Times New Roman"/>
          <w:sz w:val="22"/>
        </w:rPr>
        <w:t xml:space="preserve"> and </w:t>
      </w:r>
      <w:proofErr w:type="spellStart"/>
      <w:r w:rsidRPr="00645DFF">
        <w:rPr>
          <w:rFonts w:ascii="Times New Roman" w:hAnsi="Times New Roman" w:cs="Times New Roman"/>
          <w:i/>
          <w:iCs/>
          <w:sz w:val="22"/>
        </w:rPr>
        <w:t>M</w:t>
      </w:r>
      <w:r w:rsidRPr="00645DFF">
        <w:rPr>
          <w:rFonts w:ascii="Times New Roman" w:hAnsi="Times New Roman" w:cs="Times New Roman"/>
          <w:sz w:val="22"/>
          <w:vertAlign w:val="subscript"/>
        </w:rPr>
        <w:t>eff</w:t>
      </w:r>
      <w:proofErr w:type="spellEnd"/>
      <w:r w:rsidRPr="00645DFF">
        <w:rPr>
          <w:rFonts w:ascii="Times New Roman" w:hAnsi="Times New Roman" w:cs="Times New Roman"/>
          <w:sz w:val="22"/>
        </w:rPr>
        <w:t xml:space="preserve"> were extracted to be 0.005 and 1381 emu/cm</w:t>
      </w:r>
      <w:r w:rsidRPr="00645DFF">
        <w:rPr>
          <w:rFonts w:ascii="Times New Roman" w:hAnsi="Times New Roman" w:cs="Times New Roman"/>
          <w:sz w:val="22"/>
          <w:vertAlign w:val="superscript"/>
        </w:rPr>
        <w:t>3</w:t>
      </w:r>
      <w:r w:rsidRPr="00645DFF">
        <w:rPr>
          <w:rFonts w:ascii="Times New Roman" w:hAnsi="Times New Roman" w:cs="Times New Roman"/>
          <w:sz w:val="22"/>
        </w:rPr>
        <w:t xml:space="preserve"> for the </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 xml:space="preserve"> sample, and 0.024 and 1307 emu/cm</w:t>
      </w:r>
      <w:r w:rsidRPr="00645DFF">
        <w:rPr>
          <w:rFonts w:ascii="Times New Roman" w:hAnsi="Times New Roman" w:cs="Times New Roman"/>
          <w:sz w:val="22"/>
          <w:vertAlign w:val="superscript"/>
        </w:rPr>
        <w:t>3</w:t>
      </w:r>
      <w:r w:rsidRPr="00645DFF">
        <w:rPr>
          <w:rFonts w:ascii="Times New Roman" w:hAnsi="Times New Roman" w:cs="Times New Roman"/>
          <w:sz w:val="22"/>
        </w:rPr>
        <w:t xml:space="preserve"> for the </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 xml:space="preserve"> sample, respectively.</w:t>
      </w:r>
      <w:r w:rsidR="00053B64" w:rsidRPr="00645DFF">
        <w:rPr>
          <w:rFonts w:ascii="Times New Roman" w:hAnsi="Times New Roman" w:cs="Times New Roman"/>
          <w:sz w:val="22"/>
        </w:rPr>
        <w:t xml:space="preserve"> </w:t>
      </w:r>
      <w:r w:rsidRPr="00645DFF">
        <w:rPr>
          <w:rFonts w:ascii="Times New Roman" w:hAnsi="Times New Roman" w:cs="Times New Roman"/>
          <w:sz w:val="22"/>
        </w:rPr>
        <w:t xml:space="preserve">After obtaining the symmetric and </w:t>
      </w:r>
      <w:proofErr w:type="gramStart"/>
      <w:r w:rsidRPr="00645DFF">
        <w:rPr>
          <w:rFonts w:ascii="Times New Roman" w:hAnsi="Times New Roman" w:cs="Times New Roman"/>
          <w:sz w:val="22"/>
        </w:rPr>
        <w:t>antisymmetric</w:t>
      </w:r>
      <w:proofErr w:type="gramEnd"/>
      <w:r w:rsidRPr="00645DFF">
        <w:rPr>
          <w:rFonts w:ascii="Times New Roman" w:hAnsi="Times New Roman" w:cs="Times New Roman"/>
          <w:sz w:val="22"/>
        </w:rPr>
        <w:t xml:space="preserve"> components of the </w:t>
      </w:r>
      <w:r w:rsidR="007E388A" w:rsidRPr="00645DFF">
        <w:rPr>
          <w:rFonts w:ascii="Times New Roman" w:hAnsi="Times New Roman" w:cs="Times New Roman"/>
          <w:sz w:val="22"/>
        </w:rPr>
        <w:t>DC</w:t>
      </w:r>
      <w:r w:rsidRPr="00645DFF">
        <w:rPr>
          <w:rFonts w:ascii="Times New Roman" w:hAnsi="Times New Roman" w:cs="Times New Roman"/>
          <w:sz w:val="22"/>
        </w:rPr>
        <w:t xml:space="preserve"> voltage, the SOT efficiencies of the samples were evaluated using the following equation:</w:t>
      </w:r>
    </w:p>
    <w:p w14:paraId="5DEA9631" w14:textId="5D75628F" w:rsidR="00377E42" w:rsidRPr="00645DFF" w:rsidRDefault="00907F10" w:rsidP="00E926D1">
      <w:pPr>
        <w:spacing w:line="480" w:lineRule="auto"/>
        <w:rPr>
          <w:rFonts w:ascii="Times New Roman" w:hAnsi="Times New Roman" w:cs="Times New Roman"/>
          <w:sz w:val="22"/>
        </w:rPr>
      </w:pPr>
      <w:r w:rsidRPr="00645DFF">
        <w:rPr>
          <w:rFonts w:ascii="Times New Roman" w:hAnsi="Times New Roman" w:cs="Times New Roman"/>
          <w:sz w:val="22"/>
        </w:rPr>
        <w:tab/>
      </w:r>
      <w:r w:rsidRPr="00645DFF">
        <w:rPr>
          <w:rFonts w:ascii="Times New Roman" w:hAnsi="Times New Roman" w:cs="Times New Roman"/>
          <w:sz w:val="22"/>
        </w:rPr>
        <w:tab/>
        <w:t xml:space="preserve">  </w:t>
      </w:r>
      <w:r w:rsidRPr="00645DFF">
        <w:rPr>
          <w:rFonts w:ascii="Times New Roman" w:hAnsi="Times New Roman" w:cs="Times New Roman"/>
          <w:sz w:val="22"/>
        </w:rPr>
        <w:tab/>
      </w:r>
      <m:oMath>
        <m:sSub>
          <m:sSubPr>
            <m:ctrlPr>
              <w:rPr>
                <w:rFonts w:ascii="Cambria Math" w:hAnsi="Cambria Math" w:cs="Times New Roman"/>
                <w:i/>
                <w:iCs/>
                <w:sz w:val="22"/>
              </w:rPr>
            </m:ctrlPr>
          </m:sSubPr>
          <m:e>
            <m:r>
              <w:rPr>
                <w:rFonts w:ascii="Cambria Math" w:hAnsi="Cambria Math" w:cs="Times New Roman"/>
                <w:sz w:val="22"/>
              </w:rPr>
              <m:t>ξ</m:t>
            </m:r>
          </m:e>
          <m:sub>
            <m:r>
              <m:rPr>
                <m:sty m:val="p"/>
              </m:rPr>
              <w:rPr>
                <w:rFonts w:ascii="Cambria Math" w:hAnsi="Cambria Math" w:cs="Times New Roman"/>
                <w:sz w:val="22"/>
              </w:rPr>
              <m:t>ST-FMR</m:t>
            </m:r>
          </m:sub>
        </m:sSub>
        <m:r>
          <w:rPr>
            <w:rFonts w:ascii="Cambria Math" w:hAnsi="Cambria Math" w:cs="Times New Roman"/>
            <w:sz w:val="22"/>
          </w:rPr>
          <m:t>=(</m:t>
        </m:r>
        <m:f>
          <m:fPr>
            <m:ctrlPr>
              <w:rPr>
                <w:rFonts w:ascii="Cambria Math" w:hAnsi="Cambria Math" w:cs="Times New Roman"/>
                <w:i/>
                <w:iCs/>
                <w:sz w:val="22"/>
              </w:rPr>
            </m:ctrlPr>
          </m:fPr>
          <m:num>
            <m:sSub>
              <m:sSubPr>
                <m:ctrlPr>
                  <w:rPr>
                    <w:rFonts w:ascii="Cambria Math" w:hAnsi="Cambria Math" w:cs="Times New Roman"/>
                    <w:i/>
                    <w:iCs/>
                    <w:sz w:val="22"/>
                  </w:rPr>
                </m:ctrlPr>
              </m:sSubPr>
              <m:e>
                <m:r>
                  <w:rPr>
                    <w:rFonts w:ascii="Cambria Math" w:hAnsi="Cambria Math" w:cs="Times New Roman"/>
                    <w:sz w:val="22"/>
                  </w:rPr>
                  <m:t>V</m:t>
                </m:r>
              </m:e>
              <m:sub>
                <m:r>
                  <m:rPr>
                    <m:sty m:val="p"/>
                  </m:rPr>
                  <w:rPr>
                    <w:rFonts w:ascii="Cambria Math" w:hAnsi="Cambria Math" w:cs="Times New Roman"/>
                    <w:sz w:val="22"/>
                  </w:rPr>
                  <m:t>sym</m:t>
                </m:r>
              </m:sub>
            </m:sSub>
          </m:num>
          <m:den>
            <m:sSub>
              <m:sSubPr>
                <m:ctrlPr>
                  <w:rPr>
                    <w:rFonts w:ascii="Cambria Math" w:hAnsi="Cambria Math" w:cs="Times New Roman"/>
                    <w:i/>
                    <w:iCs/>
                    <w:sz w:val="22"/>
                  </w:rPr>
                </m:ctrlPr>
              </m:sSubPr>
              <m:e>
                <m:r>
                  <w:rPr>
                    <w:rFonts w:ascii="Cambria Math" w:hAnsi="Cambria Math" w:cs="Times New Roman"/>
                    <w:sz w:val="22"/>
                  </w:rPr>
                  <m:t>V</m:t>
                </m:r>
              </m:e>
              <m:sub>
                <m:r>
                  <w:rPr>
                    <w:rFonts w:ascii="Cambria Math" w:hAnsi="Cambria Math" w:cs="Times New Roman"/>
                    <w:sz w:val="22"/>
                  </w:rPr>
                  <m:t>asym</m:t>
                </m:r>
              </m:sub>
            </m:sSub>
          </m:den>
        </m:f>
        <m:r>
          <w:rPr>
            <w:rFonts w:ascii="Cambria Math" w:hAnsi="Cambria Math" w:cs="Times New Roman"/>
            <w:sz w:val="22"/>
          </w:rPr>
          <m:t>)(</m:t>
        </m:r>
        <m:f>
          <m:fPr>
            <m:ctrlPr>
              <w:rPr>
                <w:rFonts w:ascii="Cambria Math" w:hAnsi="Cambria Math" w:cs="Times New Roman"/>
                <w:i/>
                <w:iCs/>
                <w:sz w:val="22"/>
              </w:rPr>
            </m:ctrlPr>
          </m:fPr>
          <m:num>
            <m:r>
              <w:rPr>
                <w:rFonts w:ascii="Cambria Math" w:hAnsi="Cambria Math" w:cs="Times New Roman"/>
                <w:sz w:val="22"/>
              </w:rPr>
              <m:t>e</m:t>
            </m:r>
            <m:sSub>
              <m:sSubPr>
                <m:ctrlPr>
                  <w:rPr>
                    <w:rFonts w:ascii="Cambria Math" w:hAnsi="Cambria Math" w:cs="Times New Roman"/>
                    <w:i/>
                    <w:iCs/>
                    <w:sz w:val="22"/>
                  </w:rPr>
                </m:ctrlPr>
              </m:sSubPr>
              <m:e>
                <m:r>
                  <w:rPr>
                    <w:rFonts w:ascii="Cambria Math" w:hAnsi="Cambria Math" w:cs="Times New Roman"/>
                    <w:sz w:val="22"/>
                  </w:rPr>
                  <m:t>μ</m:t>
                </m:r>
              </m:e>
              <m:sub>
                <m:r>
                  <w:rPr>
                    <w:rFonts w:ascii="Cambria Math" w:hAnsi="Cambria Math" w:cs="Times New Roman"/>
                    <w:sz w:val="22"/>
                  </w:rPr>
                  <m:t>0</m:t>
                </m:r>
              </m:sub>
            </m:sSub>
            <m:sSub>
              <m:sSubPr>
                <m:ctrlPr>
                  <w:rPr>
                    <w:rFonts w:ascii="Cambria Math" w:hAnsi="Cambria Math" w:cs="Times New Roman"/>
                    <w:i/>
                    <w:iCs/>
                    <w:sz w:val="22"/>
                  </w:rPr>
                </m:ctrlPr>
              </m:sSubPr>
              <m:e>
                <m:r>
                  <w:rPr>
                    <w:rFonts w:ascii="Cambria Math" w:hAnsi="Cambria Math" w:cs="Times New Roman"/>
                    <w:sz w:val="22"/>
                  </w:rPr>
                  <m:t>M</m:t>
                </m:r>
              </m:e>
              <m:sub>
                <m:r>
                  <m:rPr>
                    <m:sty m:val="p"/>
                  </m:rPr>
                  <w:rPr>
                    <w:rFonts w:ascii="Cambria Math" w:hAnsi="Cambria Math" w:cs="Times New Roman"/>
                    <w:sz w:val="22"/>
                  </w:rPr>
                  <m:t>s</m:t>
                </m:r>
              </m:sub>
            </m:sSub>
            <m:sSub>
              <m:sSubPr>
                <m:ctrlPr>
                  <w:rPr>
                    <w:rFonts w:ascii="Cambria Math" w:hAnsi="Cambria Math" w:cs="Times New Roman"/>
                    <w:i/>
                    <w:iCs/>
                    <w:sz w:val="22"/>
                  </w:rPr>
                </m:ctrlPr>
              </m:sSubPr>
              <m:e>
                <m:r>
                  <w:rPr>
                    <w:rFonts w:ascii="Cambria Math" w:hAnsi="Cambria Math" w:cs="Times New Roman"/>
                    <w:sz w:val="22"/>
                  </w:rPr>
                  <m:t>d</m:t>
                </m:r>
              </m:e>
              <m:sub>
                <m:r>
                  <m:rPr>
                    <m:sty m:val="p"/>
                  </m:rPr>
                  <w:rPr>
                    <w:rFonts w:ascii="Cambria Math" w:hAnsi="Cambria Math" w:cs="Times New Roman"/>
                    <w:sz w:val="22"/>
                  </w:rPr>
                  <m:t>BiSb</m:t>
                </m:r>
              </m:sub>
            </m:sSub>
            <m:sSub>
              <m:sSubPr>
                <m:ctrlPr>
                  <w:rPr>
                    <w:rFonts w:ascii="Cambria Math" w:hAnsi="Cambria Math" w:cs="Times New Roman"/>
                    <w:i/>
                    <w:iCs/>
                    <w:sz w:val="22"/>
                  </w:rPr>
                </m:ctrlPr>
              </m:sSubPr>
              <m:e>
                <m:r>
                  <w:rPr>
                    <w:rFonts w:ascii="Cambria Math" w:hAnsi="Cambria Math" w:cs="Times New Roman"/>
                    <w:sz w:val="22"/>
                  </w:rPr>
                  <m:t>t</m:t>
                </m:r>
              </m:e>
              <m:sub>
                <m:r>
                  <m:rPr>
                    <m:sty m:val="p"/>
                  </m:rPr>
                  <w:rPr>
                    <w:rFonts w:ascii="Cambria Math" w:hAnsi="Cambria Math" w:cs="Times New Roman"/>
                    <w:sz w:val="22"/>
                  </w:rPr>
                  <m:t>CFB</m:t>
                </m:r>
              </m:sub>
            </m:sSub>
          </m:num>
          <m:den>
            <m:r>
              <m:rPr>
                <m:sty m:val="p"/>
              </m:rPr>
              <w:rPr>
                <w:rFonts w:ascii="Cambria Math" w:hAnsi="Cambria Math" w:cs="Times New Roman"/>
                <w:sz w:val="22"/>
              </w:rPr>
              <m:t>ħ</m:t>
            </m:r>
          </m:den>
        </m:f>
        <m:r>
          <w:rPr>
            <w:rFonts w:ascii="Cambria Math" w:hAnsi="Cambria Math" w:cs="Times New Roman"/>
            <w:sz w:val="22"/>
          </w:rPr>
          <m:t>)</m:t>
        </m:r>
        <m:rad>
          <m:radPr>
            <m:degHide m:val="1"/>
            <m:ctrlPr>
              <w:rPr>
                <w:rFonts w:ascii="Cambria Math" w:hAnsi="Cambria Math" w:cs="Times New Roman"/>
                <w:i/>
                <w:iCs/>
                <w:sz w:val="22"/>
              </w:rPr>
            </m:ctrlPr>
          </m:radPr>
          <m:deg/>
          <m:e>
            <m:r>
              <w:rPr>
                <w:rFonts w:ascii="Cambria Math" w:hAnsi="Cambria Math" w:cs="Times New Roman"/>
                <w:sz w:val="22"/>
              </w:rPr>
              <m:t>1+(</m:t>
            </m:r>
            <m:f>
              <m:fPr>
                <m:ctrlPr>
                  <w:rPr>
                    <w:rFonts w:ascii="Cambria Math" w:hAnsi="Cambria Math" w:cs="Times New Roman"/>
                    <w:i/>
                    <w:iCs/>
                    <w:sz w:val="22"/>
                  </w:rPr>
                </m:ctrlPr>
              </m:fPr>
              <m:num>
                <m:r>
                  <w:rPr>
                    <w:rFonts w:ascii="Cambria Math" w:hAnsi="Cambria Math" w:cs="Times New Roman"/>
                    <w:sz w:val="22"/>
                  </w:rPr>
                  <m:t>4π</m:t>
                </m:r>
                <m:sSub>
                  <m:sSubPr>
                    <m:ctrlPr>
                      <w:rPr>
                        <w:rFonts w:ascii="Cambria Math" w:hAnsi="Cambria Math" w:cs="Times New Roman"/>
                        <w:i/>
                        <w:iCs/>
                        <w:sz w:val="22"/>
                      </w:rPr>
                    </m:ctrlPr>
                  </m:sSubPr>
                  <m:e>
                    <m:r>
                      <w:rPr>
                        <w:rFonts w:ascii="Cambria Math" w:hAnsi="Cambria Math" w:cs="Times New Roman"/>
                        <w:sz w:val="22"/>
                      </w:rPr>
                      <m:t>M</m:t>
                    </m:r>
                  </m:e>
                  <m:sub>
                    <m:r>
                      <m:rPr>
                        <m:sty m:val="p"/>
                      </m:rPr>
                      <w:rPr>
                        <w:rFonts w:ascii="Cambria Math" w:hAnsi="Cambria Math" w:cs="Times New Roman"/>
                        <w:sz w:val="22"/>
                      </w:rPr>
                      <m:t>eff</m:t>
                    </m:r>
                  </m:sub>
                </m:sSub>
              </m:num>
              <m:den>
                <m:sSub>
                  <m:sSubPr>
                    <m:ctrlPr>
                      <w:rPr>
                        <w:rFonts w:ascii="Cambria Math" w:hAnsi="Cambria Math" w:cs="Times New Roman"/>
                        <w:i/>
                        <w:iCs/>
                        <w:sz w:val="22"/>
                      </w:rPr>
                    </m:ctrlPr>
                  </m:sSubPr>
                  <m:e>
                    <m:r>
                      <w:rPr>
                        <w:rFonts w:ascii="Cambria Math" w:hAnsi="Cambria Math" w:cs="Times New Roman"/>
                        <w:sz w:val="22"/>
                      </w:rPr>
                      <m:t>H</m:t>
                    </m:r>
                  </m:e>
                  <m:sub>
                    <m:r>
                      <m:rPr>
                        <m:sty m:val="p"/>
                      </m:rPr>
                      <w:rPr>
                        <w:rFonts w:ascii="Cambria Math" w:hAnsi="Cambria Math" w:cs="Times New Roman"/>
                        <w:sz w:val="22"/>
                      </w:rPr>
                      <m:t>r</m:t>
                    </m:r>
                  </m:sub>
                </m:sSub>
              </m:den>
            </m:f>
            <m:r>
              <w:rPr>
                <w:rFonts w:ascii="Cambria Math" w:hAnsi="Cambria Math" w:cs="Times New Roman"/>
                <w:sz w:val="22"/>
              </w:rPr>
              <m:t>)</m:t>
            </m:r>
          </m:e>
        </m:rad>
      </m:oMath>
      <w:r w:rsidRPr="00645DFF">
        <w:rPr>
          <w:rFonts w:ascii="Times New Roman" w:hAnsi="Times New Roman" w:cs="Times New Roman"/>
          <w:sz w:val="22"/>
        </w:rPr>
        <w:t xml:space="preserve"> </w:t>
      </w:r>
      <w:r w:rsidR="00053B64" w:rsidRPr="00645DFF">
        <w:rPr>
          <w:rFonts w:ascii="Times New Roman" w:hAnsi="Times New Roman" w:cs="Times New Roman"/>
          <w:sz w:val="22"/>
        </w:rPr>
        <w:t>,</w:t>
      </w:r>
      <w:r w:rsidR="005C1D52" w:rsidRPr="00645DFF">
        <w:rPr>
          <w:rFonts w:ascii="Times New Roman" w:hAnsi="Times New Roman" w:cs="Times New Roman"/>
          <w:sz w:val="22"/>
        </w:rPr>
        <w:tab/>
      </w:r>
      <w:r w:rsidR="005C1D52" w:rsidRPr="00645DFF">
        <w:rPr>
          <w:rFonts w:ascii="Times New Roman" w:hAnsi="Times New Roman" w:cs="Times New Roman"/>
          <w:sz w:val="22"/>
        </w:rPr>
        <w:tab/>
        <w:t>(2)</w:t>
      </w:r>
    </w:p>
    <w:p w14:paraId="1CDE3B2B" w14:textId="52DC6124" w:rsidR="00A32431" w:rsidRPr="00645DFF" w:rsidRDefault="00053B64" w:rsidP="00A32431">
      <w:pPr>
        <w:spacing w:line="480" w:lineRule="auto"/>
        <w:rPr>
          <w:rFonts w:ascii="Times New Roman" w:hAnsi="Times New Roman" w:cs="Times New Roman"/>
          <w:sz w:val="22"/>
        </w:rPr>
      </w:pPr>
      <w:r w:rsidRPr="00645DFF">
        <w:rPr>
          <w:rFonts w:ascii="Times New Roman" w:hAnsi="Times New Roman" w:cs="Times New Roman"/>
          <w:sz w:val="22"/>
        </w:rPr>
        <w:t>wh</w:t>
      </w:r>
      <w:r w:rsidR="00B2377A" w:rsidRPr="00645DFF">
        <w:rPr>
          <w:rFonts w:ascii="Times New Roman" w:hAnsi="Times New Roman" w:cs="Times New Roman"/>
          <w:sz w:val="22"/>
        </w:rPr>
        <w:t xml:space="preserve">ere </w:t>
      </w:r>
      <m:oMath>
        <m:r>
          <w:rPr>
            <w:rFonts w:ascii="Cambria Math" w:hAnsi="Cambria Math" w:cs="Times New Roman"/>
            <w:sz w:val="22"/>
          </w:rPr>
          <m:t>e</m:t>
        </m:r>
      </m:oMath>
      <w:r w:rsidR="00713A92" w:rsidRPr="00645DFF">
        <w:rPr>
          <w:rFonts w:ascii="Times New Roman" w:hAnsi="Times New Roman" w:cs="Times New Roman"/>
          <w:iCs/>
          <w:sz w:val="22"/>
        </w:rPr>
        <w:t xml:space="preserve"> is </w:t>
      </w:r>
      <w:r w:rsidRPr="00645DFF">
        <w:rPr>
          <w:rFonts w:ascii="Times New Roman" w:hAnsi="Times New Roman" w:cs="Times New Roman"/>
          <w:sz w:val="22"/>
        </w:rPr>
        <w:t>the elementary charge</w:t>
      </w:r>
      <w:r w:rsidR="00875D49" w:rsidRPr="00645DFF">
        <w:rPr>
          <w:rFonts w:ascii="Times New Roman" w:hAnsi="Times New Roman" w:cs="Times New Roman"/>
          <w:sz w:val="22"/>
        </w:rPr>
        <w:t>,</w:t>
      </w:r>
      <w:r w:rsidR="002B3040" w:rsidRPr="00645DFF">
        <w:rPr>
          <w:rFonts w:ascii="Times New Roman" w:hAnsi="Times New Roman" w:cs="Times New Roman"/>
          <w:sz w:val="22"/>
        </w:rPr>
        <w:t xml:space="preserve"> </w:t>
      </w:r>
      <m:oMath>
        <m:sSub>
          <m:sSubPr>
            <m:ctrlPr>
              <w:rPr>
                <w:rFonts w:ascii="Cambria Math" w:hAnsi="Cambria Math" w:cs="Times New Roman"/>
                <w:i/>
                <w:iCs/>
                <w:sz w:val="22"/>
              </w:rPr>
            </m:ctrlPr>
          </m:sSubPr>
          <m:e>
            <m:r>
              <w:rPr>
                <w:rFonts w:ascii="Cambria Math" w:hAnsi="Cambria Math" w:cs="Times New Roman"/>
                <w:sz w:val="22"/>
              </w:rPr>
              <m:t>μ</m:t>
            </m:r>
          </m:e>
          <m:sub>
            <m:r>
              <w:rPr>
                <w:rFonts w:ascii="Cambria Math" w:hAnsi="Cambria Math" w:cs="Times New Roman"/>
                <w:sz w:val="22"/>
              </w:rPr>
              <m:t>0</m:t>
            </m:r>
          </m:sub>
        </m:sSub>
      </m:oMath>
      <w:r w:rsidR="00875D49" w:rsidRPr="00645DFF">
        <w:rPr>
          <w:rFonts w:ascii="Times New Roman" w:hAnsi="Times New Roman" w:cs="Times New Roman"/>
          <w:sz w:val="22"/>
        </w:rPr>
        <w:t xml:space="preserve"> </w:t>
      </w:r>
      <w:r w:rsidR="00713A92" w:rsidRPr="00645DFF">
        <w:rPr>
          <w:rFonts w:ascii="Times New Roman" w:hAnsi="Times New Roman" w:cs="Times New Roman"/>
          <w:sz w:val="22"/>
        </w:rPr>
        <w:t xml:space="preserve">refers to the </w:t>
      </w:r>
      <w:r w:rsidRPr="00645DFF">
        <w:rPr>
          <w:rFonts w:ascii="Times New Roman" w:hAnsi="Times New Roman" w:cs="Times New Roman"/>
          <w:sz w:val="22"/>
        </w:rPr>
        <w:t>vacuum permeability</w:t>
      </w:r>
      <w:r w:rsidR="00875D49" w:rsidRPr="00645DFF">
        <w:rPr>
          <w:rFonts w:ascii="Times New Roman" w:hAnsi="Times New Roman" w:cs="Times New Roman"/>
          <w:sz w:val="22"/>
        </w:rPr>
        <w:t>,</w:t>
      </w:r>
      <w:r w:rsidR="002B3040" w:rsidRPr="00645DFF">
        <w:rPr>
          <w:rFonts w:ascii="Times New Roman" w:hAnsi="Times New Roman" w:cs="Times New Roman"/>
          <w:sz w:val="22"/>
        </w:rPr>
        <w:t xml:space="preserve"> </w:t>
      </w:r>
      <m:oMath>
        <m:sSub>
          <m:sSubPr>
            <m:ctrlPr>
              <w:rPr>
                <w:rFonts w:ascii="Cambria Math" w:hAnsi="Cambria Math" w:cs="Times New Roman"/>
                <w:i/>
                <w:iCs/>
                <w:sz w:val="22"/>
              </w:rPr>
            </m:ctrlPr>
          </m:sSubPr>
          <m:e>
            <m:r>
              <w:rPr>
                <w:rFonts w:ascii="Cambria Math" w:hAnsi="Cambria Math" w:cs="Times New Roman"/>
                <w:sz w:val="22"/>
              </w:rPr>
              <m:t>M</m:t>
            </m:r>
          </m:e>
          <m:sub>
            <m:r>
              <m:rPr>
                <m:sty m:val="p"/>
              </m:rPr>
              <w:rPr>
                <w:rFonts w:ascii="Cambria Math" w:hAnsi="Cambria Math" w:cs="Times New Roman"/>
                <w:sz w:val="22"/>
              </w:rPr>
              <m:t>s</m:t>
            </m:r>
          </m:sub>
        </m:sSub>
      </m:oMath>
      <w:r w:rsidR="00713A92" w:rsidRPr="00645DFF">
        <w:rPr>
          <w:rFonts w:ascii="Times New Roman" w:hAnsi="Times New Roman" w:cs="Times New Roman"/>
          <w:iCs/>
          <w:sz w:val="22"/>
        </w:rPr>
        <w:t xml:space="preserve"> stands for</w:t>
      </w:r>
      <w:r w:rsidR="00875D49" w:rsidRPr="00645DFF">
        <w:rPr>
          <w:rFonts w:ascii="Times New Roman" w:hAnsi="Times New Roman" w:cs="Times New Roman"/>
          <w:sz w:val="22"/>
        </w:rPr>
        <w:t xml:space="preserve"> saturation magnetization value,</w:t>
      </w:r>
      <m:oMath>
        <m:r>
          <w:rPr>
            <w:rFonts w:ascii="Cambria Math" w:hAnsi="Cambria Math" w:cs="Times New Roman"/>
            <w:sz w:val="22"/>
          </w:rPr>
          <m:t xml:space="preserve"> </m:t>
        </m:r>
        <m:sSub>
          <m:sSubPr>
            <m:ctrlPr>
              <w:rPr>
                <w:rFonts w:ascii="Cambria Math" w:hAnsi="Cambria Math" w:cs="Times New Roman"/>
                <w:i/>
                <w:iCs/>
                <w:sz w:val="22"/>
              </w:rPr>
            </m:ctrlPr>
          </m:sSubPr>
          <m:e>
            <m:r>
              <w:rPr>
                <w:rFonts w:ascii="Cambria Math" w:hAnsi="Cambria Math" w:cs="Times New Roman"/>
                <w:sz w:val="22"/>
              </w:rPr>
              <m:t>d</m:t>
            </m:r>
          </m:e>
          <m:sub>
            <m:r>
              <m:rPr>
                <m:sty m:val="p"/>
              </m:rPr>
              <w:rPr>
                <w:rFonts w:ascii="Cambria Math" w:hAnsi="Cambria Math" w:cs="Times New Roman"/>
                <w:sz w:val="22"/>
              </w:rPr>
              <m:t>BiSb</m:t>
            </m:r>
          </m:sub>
        </m:sSub>
      </m:oMath>
      <w:r w:rsidR="00713A92" w:rsidRPr="00645DFF">
        <w:rPr>
          <w:rFonts w:ascii="Times New Roman" w:hAnsi="Times New Roman" w:cs="Times New Roman"/>
          <w:iCs/>
          <w:sz w:val="22"/>
        </w:rPr>
        <w:t xml:space="preserve"> and </w:t>
      </w:r>
      <m:oMath>
        <m:sSub>
          <m:sSubPr>
            <m:ctrlPr>
              <w:rPr>
                <w:rFonts w:ascii="Cambria Math" w:hAnsi="Cambria Math" w:cs="Times New Roman"/>
                <w:i/>
                <w:iCs/>
                <w:sz w:val="22"/>
              </w:rPr>
            </m:ctrlPr>
          </m:sSubPr>
          <m:e>
            <m:r>
              <w:rPr>
                <w:rFonts w:ascii="Cambria Math" w:hAnsi="Cambria Math" w:cs="Times New Roman"/>
                <w:sz w:val="22"/>
              </w:rPr>
              <m:t>t</m:t>
            </m:r>
          </m:e>
          <m:sub>
            <m:r>
              <m:rPr>
                <m:sty m:val="p"/>
              </m:rPr>
              <w:rPr>
                <w:rFonts w:ascii="Cambria Math" w:hAnsi="Cambria Math" w:cs="Times New Roman"/>
                <w:sz w:val="22"/>
              </w:rPr>
              <m:t>CFB</m:t>
            </m:r>
          </m:sub>
        </m:sSub>
      </m:oMath>
      <w:r w:rsidR="00713A92" w:rsidRPr="00645DFF">
        <w:rPr>
          <w:rFonts w:ascii="Times New Roman" w:hAnsi="Times New Roman" w:cs="Times New Roman"/>
          <w:iCs/>
          <w:sz w:val="22"/>
        </w:rPr>
        <w:t xml:space="preserve"> </w:t>
      </w:r>
      <w:r w:rsidR="00927EB1" w:rsidRPr="00645DFF">
        <w:rPr>
          <w:rFonts w:ascii="Times New Roman" w:hAnsi="Times New Roman" w:cs="Times New Roman"/>
          <w:sz w:val="22"/>
        </w:rPr>
        <w:t>are</w:t>
      </w:r>
      <w:r w:rsidR="00713A92" w:rsidRPr="00645DFF">
        <w:rPr>
          <w:rFonts w:ascii="Times New Roman" w:hAnsi="Times New Roman" w:cs="Times New Roman"/>
          <w:sz w:val="22"/>
        </w:rPr>
        <w:t xml:space="preserve"> the film </w:t>
      </w:r>
      <w:r w:rsidR="00875D49" w:rsidRPr="00645DFF">
        <w:rPr>
          <w:rFonts w:ascii="Times New Roman" w:hAnsi="Times New Roman" w:cs="Times New Roman"/>
          <w:sz w:val="22"/>
        </w:rPr>
        <w:t>thickness</w:t>
      </w:r>
      <w:r w:rsidR="00927EB1" w:rsidRPr="00645DFF">
        <w:rPr>
          <w:rFonts w:ascii="Times New Roman" w:hAnsi="Times New Roman" w:cs="Times New Roman"/>
          <w:sz w:val="22"/>
        </w:rPr>
        <w:t>es</w:t>
      </w:r>
      <w:r w:rsidR="00875D49" w:rsidRPr="00645DFF">
        <w:rPr>
          <w:rFonts w:ascii="Times New Roman" w:hAnsi="Times New Roman" w:cs="Times New Roman"/>
          <w:sz w:val="22"/>
        </w:rPr>
        <w:t xml:space="preserve"> of the </w:t>
      </w:r>
      <w:proofErr w:type="spellStart"/>
      <w:r w:rsidR="00875D49" w:rsidRPr="00645DFF">
        <w:rPr>
          <w:rFonts w:ascii="Times New Roman" w:hAnsi="Times New Roman" w:cs="Times New Roman"/>
          <w:sz w:val="22"/>
        </w:rPr>
        <w:t>BiSb</w:t>
      </w:r>
      <w:proofErr w:type="spellEnd"/>
      <w:r w:rsidR="00713A92" w:rsidRPr="00645DFF">
        <w:rPr>
          <w:rFonts w:ascii="Times New Roman" w:hAnsi="Times New Roman" w:cs="Times New Roman"/>
          <w:sz w:val="22"/>
        </w:rPr>
        <w:t xml:space="preserve"> and </w:t>
      </w:r>
      <w:proofErr w:type="spellStart"/>
      <w:r w:rsidR="00713A92" w:rsidRPr="00645DFF">
        <w:rPr>
          <w:rFonts w:ascii="Times New Roman" w:hAnsi="Times New Roman" w:cs="Times New Roman"/>
          <w:sz w:val="22"/>
        </w:rPr>
        <w:t>CoFeB</w:t>
      </w:r>
      <w:proofErr w:type="spellEnd"/>
      <w:r w:rsidR="00875D49" w:rsidRPr="00645DFF">
        <w:rPr>
          <w:rFonts w:ascii="Times New Roman" w:hAnsi="Times New Roman" w:cs="Times New Roman"/>
          <w:sz w:val="22"/>
        </w:rPr>
        <w:t xml:space="preserve"> layer</w:t>
      </w:r>
      <w:r w:rsidR="00713A92" w:rsidRPr="00645DFF">
        <w:rPr>
          <w:rFonts w:ascii="Times New Roman" w:hAnsi="Times New Roman" w:cs="Times New Roman"/>
          <w:sz w:val="22"/>
        </w:rPr>
        <w:t>s</w:t>
      </w:r>
      <w:r w:rsidRPr="00645DFF">
        <w:rPr>
          <w:rFonts w:ascii="Times New Roman" w:hAnsi="Times New Roman" w:cs="Times New Roman"/>
          <w:sz w:val="22"/>
        </w:rPr>
        <w:t>,</w:t>
      </w:r>
      <w:r w:rsidR="00713A92" w:rsidRPr="00645DFF">
        <w:rPr>
          <w:rFonts w:ascii="Times New Roman" w:hAnsi="Times New Roman" w:cs="Times New Roman"/>
          <w:sz w:val="22"/>
        </w:rPr>
        <w:t xml:space="preserve"> respectively</w:t>
      </w:r>
      <w:r w:rsidR="00875D49" w:rsidRPr="00645DFF">
        <w:rPr>
          <w:rFonts w:ascii="Times New Roman" w:hAnsi="Times New Roman" w:cs="Times New Roman"/>
          <w:sz w:val="22"/>
        </w:rPr>
        <w:t>,</w:t>
      </w:r>
      <w:r w:rsidR="00713A92" w:rsidRPr="00645DFF">
        <w:rPr>
          <w:rFonts w:ascii="Times New Roman" w:hAnsi="Times New Roman" w:cs="Times New Roman"/>
          <w:sz w:val="22"/>
        </w:rPr>
        <w:t xml:space="preserve"> </w:t>
      </w:r>
      <w:r w:rsidRPr="00645DFF">
        <w:rPr>
          <w:rFonts w:ascii="Times New Roman" w:hAnsi="Times New Roman" w:cs="Times New Roman"/>
          <w:sz w:val="22"/>
        </w:rPr>
        <w:t xml:space="preserve">and </w:t>
      </w:r>
      <m:oMath>
        <m:r>
          <w:rPr>
            <w:rFonts w:ascii="Cambria Math" w:hAnsi="Cambria Math" w:cs="Times New Roman"/>
            <w:sz w:val="22"/>
          </w:rPr>
          <m:t>ħ(=</m:t>
        </m:r>
        <m:f>
          <m:fPr>
            <m:type m:val="lin"/>
            <m:ctrlPr>
              <w:rPr>
                <w:rFonts w:ascii="Cambria Math" w:hAnsi="Cambria Math" w:cs="Times New Roman"/>
                <w:i/>
                <w:iCs/>
                <w:sz w:val="22"/>
              </w:rPr>
            </m:ctrlPr>
          </m:fPr>
          <m:num>
            <m:r>
              <w:rPr>
                <w:rFonts w:ascii="Cambria Math" w:hAnsi="Cambria Math" w:cs="Times New Roman"/>
                <w:sz w:val="22"/>
              </w:rPr>
              <m:t>h</m:t>
            </m:r>
          </m:num>
          <m:den>
            <m:r>
              <w:rPr>
                <w:rFonts w:ascii="Cambria Math" w:hAnsi="Cambria Math" w:cs="Times New Roman"/>
                <w:sz w:val="22"/>
              </w:rPr>
              <m:t>2π</m:t>
            </m:r>
          </m:den>
        </m:f>
        <m:r>
          <w:rPr>
            <w:rFonts w:ascii="Cambria Math" w:hAnsi="Cambria Math" w:cs="Times New Roman"/>
            <w:sz w:val="22"/>
          </w:rPr>
          <m:t>)</m:t>
        </m:r>
      </m:oMath>
      <w:r w:rsidR="00875D49" w:rsidRPr="00645DFF">
        <w:rPr>
          <w:rFonts w:ascii="Times New Roman" w:hAnsi="Times New Roman" w:cs="Times New Roman"/>
          <w:sz w:val="22"/>
        </w:rPr>
        <w:t xml:space="preserve"> </w:t>
      </w:r>
      <w:r w:rsidR="008B203B" w:rsidRPr="00645DFF">
        <w:rPr>
          <w:rFonts w:ascii="Times New Roman" w:hAnsi="Times New Roman" w:cs="Times New Roman"/>
          <w:sz w:val="22"/>
        </w:rPr>
        <w:t xml:space="preserve"> is the </w:t>
      </w:r>
      <w:r w:rsidR="00875D49" w:rsidRPr="00645DFF">
        <w:rPr>
          <w:rFonts w:ascii="Times New Roman" w:hAnsi="Times New Roman" w:cs="Times New Roman"/>
          <w:sz w:val="22"/>
        </w:rPr>
        <w:t>reduced Planck’s constant</w:t>
      </w:r>
      <w:r w:rsidR="00713A92" w:rsidRPr="00645DFF">
        <w:rPr>
          <w:rFonts w:ascii="Times New Roman" w:hAnsi="Times New Roman" w:cs="Times New Roman"/>
          <w:sz w:val="22"/>
        </w:rPr>
        <w:t>.</w:t>
      </w:r>
      <w:r w:rsidR="005546F1" w:rsidRPr="00645DFF">
        <w:rPr>
          <w:rFonts w:ascii="Times New Roman" w:hAnsi="Times New Roman" w:cs="Times New Roman"/>
          <w:sz w:val="22"/>
        </w:rPr>
        <w:t xml:space="preserve"> </w:t>
      </w:r>
      <w:r w:rsidR="006B750F" w:rsidRPr="00645DFF">
        <w:rPr>
          <w:rFonts w:ascii="Times New Roman" w:hAnsi="Times New Roman" w:cs="Times New Roman"/>
          <w:sz w:val="22"/>
        </w:rPr>
        <w:t xml:space="preserve">Using Eq. (2), the SOT efficiency was estimated to be approximately 50% for both the </w:t>
      </w:r>
      <w:r w:rsidR="005546F1" w:rsidRPr="00645DFF">
        <w:rPr>
          <w:rFonts w:ascii="Times New Roman" w:hAnsi="Times New Roman" w:cs="Times New Roman"/>
          <w:sz w:val="22"/>
        </w:rPr>
        <w:t xml:space="preserve">samples with </w:t>
      </w:r>
      <w:r w:rsidR="006B750F" w:rsidRPr="00645DFF">
        <w:rPr>
          <w:rFonts w:ascii="Times New Roman" w:hAnsi="Times New Roman" w:cs="Times New Roman"/>
          <w:sz w:val="22"/>
        </w:rPr>
        <w:t xml:space="preserve">Ge and </w:t>
      </w:r>
      <w:proofErr w:type="spellStart"/>
      <w:r w:rsidR="006B750F" w:rsidRPr="00645DFF">
        <w:rPr>
          <w:rFonts w:ascii="Times New Roman" w:hAnsi="Times New Roman" w:cs="Times New Roman"/>
          <w:sz w:val="22"/>
        </w:rPr>
        <w:t>NiFeGe</w:t>
      </w:r>
      <w:proofErr w:type="spellEnd"/>
      <w:r w:rsidR="006B750F" w:rsidRPr="00645DFF">
        <w:rPr>
          <w:rFonts w:ascii="Times New Roman" w:hAnsi="Times New Roman" w:cs="Times New Roman"/>
          <w:sz w:val="22"/>
        </w:rPr>
        <w:t xml:space="preserve"> interlayers, whereas the </w:t>
      </w:r>
      <w:proofErr w:type="spellStart"/>
      <w:r w:rsidR="006B750F" w:rsidRPr="00645DFF">
        <w:rPr>
          <w:rFonts w:ascii="Times New Roman" w:hAnsi="Times New Roman" w:cs="Times New Roman"/>
          <w:sz w:val="22"/>
        </w:rPr>
        <w:t>NiAl</w:t>
      </w:r>
      <w:proofErr w:type="spellEnd"/>
      <w:r w:rsidR="006B750F" w:rsidRPr="00645DFF">
        <w:rPr>
          <w:rFonts w:ascii="Times New Roman" w:hAnsi="Times New Roman" w:cs="Times New Roman"/>
          <w:sz w:val="22"/>
        </w:rPr>
        <w:t xml:space="preserve"> interlayer </w:t>
      </w:r>
      <w:r w:rsidR="005546F1" w:rsidRPr="00645DFF">
        <w:rPr>
          <w:rFonts w:ascii="Times New Roman" w:hAnsi="Times New Roman" w:cs="Times New Roman"/>
          <w:sz w:val="22"/>
        </w:rPr>
        <w:t xml:space="preserve">sample </w:t>
      </w:r>
      <w:r w:rsidR="006B750F" w:rsidRPr="00645DFF">
        <w:rPr>
          <w:rFonts w:ascii="Times New Roman" w:hAnsi="Times New Roman" w:cs="Times New Roman"/>
          <w:sz w:val="22"/>
        </w:rPr>
        <w:t>exhibited a lower efficiency of about 38%. Ni and Sb are prone to forming solid solutions at room temperature</w:t>
      </w:r>
      <w:r w:rsidR="00544478" w:rsidRPr="00645DFF">
        <w:rPr>
          <w:rFonts w:ascii="Times New Roman" w:hAnsi="Times New Roman" w:cs="Times New Roman"/>
          <w:sz w:val="22"/>
        </w:rPr>
        <w:t>, which can result in complex interlayer structures that enhance surface scattering and reduce spin transparency.</w:t>
      </w:r>
      <w:r w:rsidR="0000765B" w:rsidRPr="00645DFF">
        <w:rPr>
          <w:rFonts w:ascii="Times New Roman" w:hAnsi="Times New Roman" w:cs="Times New Roman"/>
          <w:sz w:val="22"/>
        </w:rPr>
        <w:fldChar w:fldCharType="begin"/>
      </w:r>
      <w:r w:rsidR="003839CD" w:rsidRPr="00645DFF">
        <w:rPr>
          <w:rFonts w:ascii="Times New Roman" w:hAnsi="Times New Roman" w:cs="Times New Roman"/>
          <w:sz w:val="22"/>
        </w:rPr>
        <w:instrText xml:space="preserve"> ADDIN ZOTERO_ITEM CSL_CITATION {"citationID":"vOCs3LGG","properties":{"unsorted":false,"formattedCitation":"\\super 26\\nosupersub{}","plainCitation":"26","noteIndex":0},"citationItems":[{"id":7035,"uris":["http://zotero.org/users/2200358/items/LTGPPBTY"],"itemData":{"id":7035,"type":"article-journal","abstract":"Transition-metal di-pnictides and di-chalcogenides of the pyrite-marcasite family are model systems for crystal chemistry. Phase formation and stability of transition-metal di-antimonides in the orthorhombic marcasite structure are investigated. A two-step synthesis of granular films, comprised of combinatorial deposition of the transition metal and subsequent antimonization at different temperatures, is employed. This technique allows to efficiently and quickly explore the possible ranges of substitution and evolution of lattice parameters within the marcasite structure. In particular, the formation and crystal structures of the (Fe,Ni)Sb2 and the (Fe,Cr)Sb2 substitution series are investigated. Continuous substitution of FeSb2 (class-A marcasite) with Ni up to Fe0.5Ni0.5Sb2, and the clear phase separation between Fe0.5Ni0.5Sb2 and a Ni-rich Ni1−zFezSb2 phase (class-B marcasite) is evidenced. Cr-substituted FeSb2 shows a subtle phase separation into a Fe-rich Fe1−yCrySb2 and a Cr-rich Cr1−zFezSb2-phase (both class-A marcasite) when synthesized at 500 °C. At a slightly higher synthesis temperature of 540 °C, the continuous substitution of Fe by Cr in FeSb2 is possible. These results represent an example for the agility of combinatorial deposition of thin films in exploring phase diagrams of transition-metal di-pnictides as a unique tool to study this broad material family.","container-title":"Advanced Engineering Materials","DOI":"10.1002/adem.202402988","ISSN":"1527-2648","issue":"18","journalAbbreviation":"Adv. Eng. Mater.","language":"en","license":"© 2025 The Author(s). Advanced Engineering Materials published by Wiley-VCH GmbH","note":"_eprint: https://advanced.onlinelibrary.wiley.com/doi/pdf/10.1002/adem.202402988","page":"2402988","source":"Wiley Online Library","title":"Phase Stability Study of the Marcasite-Structure Solid Solutions (Fe,TM)Sb2 (TM = Cr, Ni) Synthesized via Combinatorial Co-Deposition and Antimonization","URL":"https://onlinelibrary.wiley.com/doi/abs/10.1002/adem.202402988","volume":"27","author":[{"family":"Kostka","given":"Martin"},{"family":"Mustafa","given":"Luqman"},{"family":"Golombiewski","given":"Maik"},{"family":"Fortmann","given":"Jill"},{"family":"Mockute","given":"Aurelija"},{"family":"Savan","given":"Alan"},{"family":"Ludwig","given":"Alfred"},{"family":"Kreyssig","given":"Andreas"},{"family":"Böhmer","given":"Anna E."}],"accessed":{"date-parts":[["2026",3,19]]},"issued":{"date-parts":[["2025"]]}}}],"schema":"https://github.com/citation-style-language/schema/raw/master/csl-citation.json"} </w:instrText>
      </w:r>
      <w:r w:rsidR="0000765B"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26</w:t>
      </w:r>
      <w:r w:rsidR="0000765B" w:rsidRPr="00645DFF">
        <w:rPr>
          <w:rFonts w:ascii="Times New Roman" w:hAnsi="Times New Roman" w:cs="Times New Roman"/>
          <w:sz w:val="22"/>
        </w:rPr>
        <w:fldChar w:fldCharType="end"/>
      </w:r>
      <w:r w:rsidR="00544478" w:rsidRPr="00645DFF">
        <w:rPr>
          <w:rFonts w:ascii="Times New Roman" w:hAnsi="Times New Roman" w:cs="Times New Roman"/>
          <w:sz w:val="22"/>
        </w:rPr>
        <w:t xml:space="preserve"> </w:t>
      </w:r>
      <w:r w:rsidR="006B750F" w:rsidRPr="00645DFF">
        <w:rPr>
          <w:rFonts w:ascii="Times New Roman" w:hAnsi="Times New Roman" w:cs="Times New Roman"/>
          <w:sz w:val="22"/>
        </w:rPr>
        <w:t xml:space="preserve">Therefore, the relatively large damping constant of the </w:t>
      </w:r>
      <w:proofErr w:type="spellStart"/>
      <w:r w:rsidR="006B750F" w:rsidRPr="00645DFF">
        <w:rPr>
          <w:rFonts w:ascii="Times New Roman" w:hAnsi="Times New Roman" w:cs="Times New Roman"/>
          <w:sz w:val="22"/>
        </w:rPr>
        <w:t>NiFeGe</w:t>
      </w:r>
      <w:proofErr w:type="spellEnd"/>
      <w:r w:rsidR="00832F15" w:rsidRPr="00645DFF">
        <w:rPr>
          <w:rFonts w:ascii="Times New Roman" w:hAnsi="Times New Roman" w:cs="Times New Roman"/>
          <w:sz w:val="22"/>
        </w:rPr>
        <w:t>-based</w:t>
      </w:r>
      <w:r w:rsidR="006B750F" w:rsidRPr="00645DFF">
        <w:rPr>
          <w:rFonts w:ascii="Times New Roman" w:hAnsi="Times New Roman" w:cs="Times New Roman"/>
          <w:sz w:val="22"/>
        </w:rPr>
        <w:t xml:space="preserve"> sample and the lower SOT efficiency observed for the </w:t>
      </w:r>
      <w:proofErr w:type="spellStart"/>
      <w:r w:rsidR="006B750F" w:rsidRPr="00645DFF">
        <w:rPr>
          <w:rFonts w:ascii="Times New Roman" w:hAnsi="Times New Roman" w:cs="Times New Roman"/>
          <w:sz w:val="22"/>
        </w:rPr>
        <w:t>NiAl</w:t>
      </w:r>
      <w:proofErr w:type="spellEnd"/>
      <w:r w:rsidR="00832F15" w:rsidRPr="00645DFF">
        <w:rPr>
          <w:rFonts w:ascii="Times New Roman" w:hAnsi="Times New Roman" w:cs="Times New Roman"/>
          <w:sz w:val="22"/>
        </w:rPr>
        <w:t>-based</w:t>
      </w:r>
      <w:r w:rsidR="006B750F" w:rsidRPr="00645DFF">
        <w:rPr>
          <w:rFonts w:ascii="Times New Roman" w:hAnsi="Times New Roman" w:cs="Times New Roman"/>
          <w:sz w:val="22"/>
        </w:rPr>
        <w:t xml:space="preserve"> sample can be attributed to such interfacial mixing effects. In contrast, Ge appears to be an appropriate interlayer material. As an intrinsic semiconductor with a small indirect band gap and weak spin–orbit coupling, Ge can help maintain a low damping constant in the CoFeB layer and promote diffusive spin-current transport from </w:t>
      </w:r>
      <w:proofErr w:type="spellStart"/>
      <w:r w:rsidR="006B750F" w:rsidRPr="00645DFF">
        <w:rPr>
          <w:rFonts w:ascii="Times New Roman" w:hAnsi="Times New Roman" w:cs="Times New Roman"/>
          <w:sz w:val="22"/>
        </w:rPr>
        <w:t>BiSb</w:t>
      </w:r>
      <w:proofErr w:type="spellEnd"/>
      <w:r w:rsidR="006B750F" w:rsidRPr="00645DFF">
        <w:rPr>
          <w:rFonts w:ascii="Times New Roman" w:hAnsi="Times New Roman" w:cs="Times New Roman"/>
          <w:sz w:val="22"/>
        </w:rPr>
        <w:t xml:space="preserve"> to </w:t>
      </w:r>
      <w:proofErr w:type="spellStart"/>
      <w:r w:rsidR="006B750F" w:rsidRPr="00645DFF">
        <w:rPr>
          <w:rFonts w:ascii="Times New Roman" w:hAnsi="Times New Roman" w:cs="Times New Roman"/>
          <w:sz w:val="22"/>
        </w:rPr>
        <w:t>CoFeB</w:t>
      </w:r>
      <w:proofErr w:type="spellEnd"/>
      <w:r w:rsidR="006B750F" w:rsidRPr="00645DFF">
        <w:rPr>
          <w:rFonts w:ascii="Times New Roman" w:hAnsi="Times New Roman" w:cs="Times New Roman"/>
          <w:sz w:val="22"/>
        </w:rPr>
        <w:t>.</w:t>
      </w:r>
      <w:r w:rsidR="00950CD3" w:rsidRPr="00645DFF">
        <w:rPr>
          <w:rFonts w:ascii="Times New Roman" w:hAnsi="Times New Roman" w:cs="Times New Roman"/>
          <w:sz w:val="22"/>
        </w:rPr>
        <w:t xml:space="preserve"> </w:t>
      </w:r>
    </w:p>
    <w:p w14:paraId="7835B7DC" w14:textId="21A8744F" w:rsidR="00FE6D57" w:rsidRPr="00645DFF" w:rsidRDefault="00D80B60" w:rsidP="008215A8">
      <w:pPr>
        <w:spacing w:line="480" w:lineRule="auto"/>
        <w:ind w:firstLine="720"/>
        <w:rPr>
          <w:rFonts w:ascii="Times New Roman" w:eastAsia="DengXian" w:hAnsi="Times New Roman" w:cs="Times New Roman"/>
          <w:sz w:val="22"/>
          <w:lang w:eastAsia="zh-CN"/>
        </w:rPr>
      </w:pPr>
      <w:r w:rsidRPr="00645DFF">
        <w:rPr>
          <w:rFonts w:ascii="Times New Roman" w:hAnsi="Times New Roman" w:cs="Times New Roman" w:hint="eastAsia"/>
          <w:sz w:val="22"/>
        </w:rPr>
        <w:t>W</w:t>
      </w:r>
      <w:r w:rsidR="002806F3" w:rsidRPr="00645DFF">
        <w:rPr>
          <w:rFonts w:ascii="Times New Roman" w:hAnsi="Times New Roman" w:cs="Times New Roman"/>
          <w:sz w:val="22"/>
        </w:rPr>
        <w:t xml:space="preserve">e evaluated the </w:t>
      </w:r>
      <w:r w:rsidRPr="00645DFF">
        <w:rPr>
          <w:rFonts w:ascii="Times New Roman" w:hAnsi="Times New Roman" w:cs="Times New Roman" w:hint="eastAsia"/>
          <w:sz w:val="22"/>
        </w:rPr>
        <w:t xml:space="preserve">current </w:t>
      </w:r>
      <w:r w:rsidR="002806F3" w:rsidRPr="00645DFF">
        <w:rPr>
          <w:rFonts w:ascii="Times New Roman" w:hAnsi="Times New Roman" w:cs="Times New Roman"/>
          <w:sz w:val="22"/>
        </w:rPr>
        <w:t>shunting effect using a modified expression for the SOT efficiency,</w:t>
      </w:r>
      <w:r w:rsidR="00AF0785" w:rsidRPr="00645DFF">
        <w:rPr>
          <w:rFonts w:ascii="Times New Roman" w:hAnsi="Times New Roman" w:cs="Times New Roman"/>
          <w:sz w:val="22"/>
        </w:rPr>
        <w:fldChar w:fldCharType="begin"/>
      </w:r>
      <w:r w:rsidR="003839CD" w:rsidRPr="00645DFF">
        <w:rPr>
          <w:rFonts w:ascii="Times New Roman" w:hAnsi="Times New Roman" w:cs="Times New Roman"/>
          <w:sz w:val="22"/>
        </w:rPr>
        <w:instrText xml:space="preserve"> ADDIN ZOTERO_ITEM CSL_CITATION {"citationID":"n2G0rqzv","properties":{"unsorted":false,"formattedCitation":"\\super 27\\nosupersub{}","plainCitation":"27","noteIndex":0},"citationItems":[{"id":6360,"uris":["http://zotero.org/users/2200358/items/XQYXEFGU"],"itemData":{"id":6360,"type":"article-journal","abstract":"This work reports on Ni and Fe doping and interface effects on spin–orbit torques (SOTs) generated from a topological semimetal CoSi. CoSi thin films grown on Al2O3(0001) substrates by magnetron co-sputtering show the B20 structure with a texture in the [210] orientation even after Ni or Fe doping. The SOTs from the films exerted on the magnetization of a CoFeB layer are evaluated by harmonic Hall and spin-torque ferromagnetic resonance measurements. The spin Hall efficiency ξSH of the textured B20-CoSi at room temperature is determined to be 9.6%, which decreases to 1.8% for Ni0.15Co0.85Si and to 5.5% for Fe0.26Co0.74Si. The electrical conductivity dependence of the spin Hall conductivity is assigned to the regime of intrinsic mechanism of spin Hall effect, suggesting that the reduction of ξSH with the element doping can be due to the degradation in topological electronic structures of CoSi. Furthermore, inserting a Cu layer at the Co(Ni, Fe)Si/CoFeB interface results in an increase of the ξSH up to 10.9% for CoSi, 4.0% for Ni0.15Co0.85Si, and 8.3% for Fe0.26Co0.74Si. These enhancements of the ξSH can be attributed to the improvement in the interfacial spin transparency between the Co(Ni, Fe)Si and CoFeB layers.","container-title":"Advanced Materials Interfaces","ISSN":"2196-7350","issue":"36","journalAbbreviation":"Adv. Mater. Interfaces","language":"en","note":"_eprint: https://onlinelibrary.wiley.com/doi/pdf/10.1002/admi.202201332","page":"2201332","source":"Wiley Online Library","title":"Elemental Doping and Interface Effects on Spin–Orbit Torques in CoSi-Based Topological Semimetal Thin Films","URL":"https://onlinelibrary.wiley.com/doi/abs/10.1002/admi.202201332","volume":"9","author":[{"family":"Tang","given":"Ke"},{"family":"Wen","given":"Zhenchao"},{"family":"Seki","given":"Takeshi"},{"family":"Sukegawa","given":"Hiroaki"},{"family":"Mitani","given":"Seiji"}],"accessed":{"date-parts":[["2022",12,24]]},"issued":{"date-parts":[["2022",12]]}}}],"schema":"https://github.com/citation-style-language/schema/raw/master/csl-citation.json"} </w:instrText>
      </w:r>
      <w:r w:rsidR="00AF0785"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27</w:t>
      </w:r>
      <w:r w:rsidR="00AF0785" w:rsidRPr="00645DFF">
        <w:rPr>
          <w:rFonts w:ascii="Times New Roman" w:hAnsi="Times New Roman" w:cs="Times New Roman"/>
          <w:sz w:val="22"/>
        </w:rPr>
        <w:fldChar w:fldCharType="end"/>
      </w:r>
      <w:r w:rsidR="002806F3" w:rsidRPr="00645DFF">
        <w:rPr>
          <w:rFonts w:ascii="Times New Roman" w:hAnsi="Times New Roman" w:cs="Times New Roman"/>
          <w:sz w:val="22"/>
        </w:rPr>
        <w:t xml:space="preserve"> and found that the extracted SOT efficiency can exceed 100% when current redistribution among the layers is taken into account. Therefore, the value of ~50% should be regarded as a conservative estimate (i.e., a lower bound) of the actual SOT efficiency.</w:t>
      </w:r>
      <w:r w:rsidR="00BB2CCC" w:rsidRPr="00645DFF">
        <w:rPr>
          <w:rFonts w:ascii="Times New Roman" w:hAnsi="Times New Roman" w:cs="Times New Roman"/>
          <w:sz w:val="22"/>
        </w:rPr>
        <w:t xml:space="preserve"> </w:t>
      </w:r>
      <w:r w:rsidR="009D4499" w:rsidRPr="00645DFF">
        <w:rPr>
          <w:rFonts w:ascii="Times New Roman" w:hAnsi="Times New Roman" w:cs="Times New Roman"/>
          <w:sz w:val="22"/>
        </w:rPr>
        <w:t xml:space="preserve">Although higher SOT efficiencies have been reported in </w:t>
      </w:r>
      <w:r w:rsidR="00950CD3" w:rsidRPr="00645DFF">
        <w:rPr>
          <w:rFonts w:ascii="Times New Roman" w:hAnsi="Times New Roman" w:cs="Times New Roman"/>
          <w:sz w:val="22"/>
        </w:rPr>
        <w:t xml:space="preserve">other </w:t>
      </w:r>
      <w:r w:rsidR="009D4499" w:rsidRPr="00645DFF">
        <w:rPr>
          <w:rFonts w:ascii="Times New Roman" w:hAnsi="Times New Roman" w:cs="Times New Roman"/>
          <w:sz w:val="22"/>
        </w:rPr>
        <w:t>optimized systems,</w:t>
      </w:r>
      <w:r w:rsidR="00AF0785" w:rsidRPr="00645DFF">
        <w:rPr>
          <w:rFonts w:ascii="Times New Roman" w:hAnsi="Times New Roman" w:cs="Times New Roman"/>
          <w:sz w:val="22"/>
        </w:rPr>
        <w:fldChar w:fldCharType="begin"/>
      </w:r>
      <w:r w:rsidR="003839CD" w:rsidRPr="00645DFF">
        <w:rPr>
          <w:rFonts w:ascii="Times New Roman" w:hAnsi="Times New Roman" w:cs="Times New Roman"/>
          <w:sz w:val="22"/>
        </w:rPr>
        <w:instrText xml:space="preserve"> ADDIN ZOTERO_ITEM CSL_CITATION {"citationID":"vxpC4bHY","properties":{"unsorted":false,"formattedCitation":"\\super 28,29\\nosupersub{}","plainCitation":"28,29","noteIndex":0},"citationItems":[{"id":7038,"uris":["http://zotero.org/users/2200358/items/6JBUMX3U"],"itemData":{"id":7038,"type":"article-journal","abstract":"In this study, we examine the impact of various seed layer materials that facilitate the growth of highly textured or epitaxial topological insulator Bi0.9Sb0.1(012) on Si/SiOx substrates. We found that cubic-textured (100) or tetragonal (001) seed layers facilitate the epitaxial growth of undoped Bi1−xSbx(012) with more square surface, while seed layers composed of (111) polycrystalline or, alternatively, nanocrystalline or amorphous materials are suitable for growth of highly textured Bi1−xSbx(012):X with more rectangular surface (012), where X is a dopant. By post annealing, we obtained a maximum spin Hall angle of 24 for epitaxial Bi0.9Sb0.1(012). Furthermore, we found a clear correlation between the spin Hall angle and the column height in Bi0.9Sb0.1(012) subjected to post annealing up to 215 °C and 3 h. Our findings establish a foundation for effective methodologies aimed at producing high-performance Bi1−xSbx in the (012) orientation on practical Si/SiOx substrates using physical vapor deposition.","container-title":"Japanese Journal of Applied Physics","DOI":"10.35848/1347-4065/adca78","ISSN":"1347-4065","issue":"4","journalAbbreviation":"Jpn. J. Appl. Phys.","language":"en","page":"043001","publisher":"IOP Publishing","source":"Institute of Physics","title":"Thermal reliability and spin Hall angle of highly textured and epitaxial Bi0.9Sb0.1(012) topological insulator","URL":"https://doi.org/10.35848/1347-4065/adca78","volume":"64","author":[{"family":"Le","given":"Quang"},{"family":"York","given":"Brian R."},{"family":"Hwang","given":"Cherngye"},{"family":"Liu","given":"Xiaoyong"},{"family":"Xu","given":"Lei"},{"family":"Le","given":"Son"},{"family":"Maeda","given":"Maki"},{"family":"Fan","given":"Tuo"},{"family":"Tao","given":"Yu"},{"family":"Takano","given":"Hisashi"},{"family":"Liu","given":"Min"},{"family":"Ruixian","given":"Zhang"},{"family":"Namba","given":"Shota"},{"family":"Nam Hai","given":"Pham"}],"accessed":{"date-parts":[["2026",3,19]]},"issued":{"date-parts":[["2025",4]]}}},{"id":7040,"uris":["http://zotero.org/users/2200358/items/BQIQ2TI5"],"itemData":{"id":7040,"type":"article-journal","abstract":"The strong spin–orbit torque generated by topological insulators (TIs) interfaced with ferromagnetic layers paves the path toward the low-power, high-speed spintronic device applications. To date, large charge-spin or spin-charge conversion efficiency (ξ) of TIs is accomplished on high-quality epitaxially grown TI thin films on specifically oriented substrates. Here, we report the sputtering growth of polycrystalline BiSb on an industrially adaptable Si substrate, preserving the topological surface states (TSS) in BiSb. We have performed spin pumping and inverse spin Hall effect measurements on BiSb(x)/Ti(y)/Py(10 nm) stacks by varying the thicknesses of BiSb and Ti insertion layers (ILs). The ξ has improved from 8 to 12 nm of BiSb, and we found ξ of 3.27 in the BiSb(12 nm)/Ti(3 nm)/Py(10 nm) sample. This increasing trend in ξ with the thickness of BiSb is also consistently observed in spin-torque ferromagnetic resonance measurements. The improvement in ξ is attributed to the improved stability of TSS in BiSb when the thickness increased from 8 to 12 nm. The Ti IL thickness dependence of the ξ study has shown that a 3 nm Ti layer has successfully achieved a trade-off to hinder the interdiffusion between BiSb and NiFe and promote the efficient spin current transport, highlighting the critical role of IL thickness. Our results demonstrate the process involved in depositing a homogeneous BiSb layer directly on the Si substrate and the impact of the thickness of the IL and BiSb on the ξ in topological insulator/ferromagnet bilayer systems.","container-title":"Journal of Applied Physics","DOI":"10.1063/5.0280905","ISSN":"0021-8979","issue":"5","journalAbbreviation":"J. Appl. Phys.","page":"053903","source":"Silverchair","title":"Thickness dependent spin to charge interconversion efficiency in polycrystalline BiSb layers deposited on Si substrate","URL":"https://doi.org/10.1063/5.0280905","volume":"138","author":[{"family":"Manoj","given":"Talluri"},{"family":"Mattela","given":"Venkat"},{"family":"Salimath","given":"Akshay Kumar"},{"family":"Debroy","given":"Sanghamitra"},{"family":"Kakinada","given":"Tarun Raju"},{"family":"Devapriya","given":"M. S."},{"family":"Haldar","given":"Arabinda"},{"family":"Wen","given":"Zhenchao"},{"family":"Sukegawa","given":"Hiroaki"},{"family":"Mitani","given":"Seiji"},{"family":"Murapaka","given":"Chandrasekhar"}],"accessed":{"date-parts":[["2026",3,19]]},"issued":{"date-parts":[["2025",8,1]]}}}],"schema":"https://github.com/citation-style-language/schema/raw/master/csl-citation.json"} </w:instrText>
      </w:r>
      <w:r w:rsidR="00AF0785" w:rsidRPr="00645DFF">
        <w:rPr>
          <w:rFonts w:ascii="Times New Roman" w:hAnsi="Times New Roman" w:cs="Times New Roman"/>
          <w:sz w:val="22"/>
        </w:rPr>
        <w:fldChar w:fldCharType="separate"/>
      </w:r>
      <w:r w:rsidR="003839CD" w:rsidRPr="00645DFF">
        <w:rPr>
          <w:rFonts w:ascii="Times New Roman" w:hAnsi="Times New Roman" w:cs="Times New Roman"/>
          <w:kern w:val="0"/>
          <w:sz w:val="22"/>
          <w:vertAlign w:val="superscript"/>
        </w:rPr>
        <w:t>28,29</w:t>
      </w:r>
      <w:r w:rsidR="00AF0785" w:rsidRPr="00645DFF">
        <w:rPr>
          <w:rFonts w:ascii="Times New Roman" w:hAnsi="Times New Roman" w:cs="Times New Roman"/>
          <w:sz w:val="22"/>
        </w:rPr>
        <w:fldChar w:fldCharType="end"/>
      </w:r>
      <w:r w:rsidR="009D4499" w:rsidRPr="00645DFF">
        <w:rPr>
          <w:rFonts w:ascii="Times New Roman" w:hAnsi="Times New Roman" w:cs="Times New Roman"/>
          <w:sz w:val="22"/>
        </w:rPr>
        <w:t xml:space="preserve"> the present work emphasizes reproducible performance in sputtered heterostructures, where interface stability, reduced damping, and fabrication compatibility are equally critical. </w:t>
      </w:r>
      <w:r w:rsidR="00A32431" w:rsidRPr="00645DFF">
        <w:rPr>
          <w:rFonts w:ascii="Times New Roman" w:eastAsia="DengXian" w:hAnsi="Times New Roman" w:cs="Times New Roman"/>
          <w:sz w:val="22"/>
          <w:lang w:eastAsia="zh-CN"/>
        </w:rPr>
        <w:t xml:space="preserve">Manipulating magnetic moments via SOT, in combination with magnetic domain control </w:t>
      </w:r>
      <w:r w:rsidR="00A32431" w:rsidRPr="00645DFF">
        <w:rPr>
          <w:rFonts w:ascii="Times New Roman" w:eastAsia="DengXian" w:hAnsi="Times New Roman" w:cs="Times New Roman"/>
          <w:sz w:val="22"/>
          <w:lang w:eastAsia="zh-CN"/>
        </w:rPr>
        <w:lastRenderedPageBreak/>
        <w:t>techniques such as magnetic domain lithography, is important for the development of low-power and multifunctional devices based on artificial magnetic structures.</w:t>
      </w:r>
      <w:r w:rsidR="00AF0785" w:rsidRPr="00645DFF">
        <w:rPr>
          <w:rFonts w:ascii="Times New Roman" w:eastAsia="DengXian" w:hAnsi="Times New Roman" w:cs="Times New Roman"/>
          <w:sz w:val="22"/>
          <w:lang w:eastAsia="zh-CN"/>
        </w:rPr>
        <w:fldChar w:fldCharType="begin"/>
      </w:r>
      <w:r w:rsidR="003839CD" w:rsidRPr="00645DFF">
        <w:rPr>
          <w:rFonts w:ascii="Times New Roman" w:eastAsia="DengXian" w:hAnsi="Times New Roman" w:cs="Times New Roman"/>
          <w:sz w:val="22"/>
          <w:lang w:eastAsia="zh-CN"/>
        </w:rPr>
        <w:instrText xml:space="preserve"> ADDIN ZOTERO_ITEM CSL_CITATION {"citationID":"D06crByE","properties":{"unsorted":true,"formattedCitation":"\\super 30\\uc0\\u8211{}32\\nosupersub{}","plainCitation":"30–32","noteIndex":0},"citationItems":[{"id":7048,"uris":["http://zotero.org/users/2200358/items/6AAZNSG9"],"itemData":{"id":7048,"type":"article-journal","container-title":"Physical Review Letters","DOI":"10.1103/PhysRevLett.127.217201","ISSN":"0031-9007, 1079-7114","issue":"21","journalAbbreviation":"Phys. Rev. Lett.","language":"en","page":"217201","source":"DOI.org (Crossref)","title":"Superposition of Emergent Monopole and Antimonopole in CoTb Thin Films","URL":"https://link.aps.org/doi/10.1103/PhysRevLett.127.217201","volume":"127","author":[{"family":"Guang","given":"Yao"},{"family":"Ran","given":"Kejing"},{"family":"Zhang","given":"Junwei"},{"family":"Liu","given":"Yizhou"},{"family":"Zhang","given":"Senfu"},{"family":"Qiu","given":"Xuepeng"},{"family":"Peng","given":"Yong"},{"family":"Zhang","given":"Xixiang"},{"family":"Weigand","given":"Markus"},{"family":"Gräfe","given":"Joachim"},{"family":"Schütz","given":"Gisela"},{"family":"Van Der Laan","given":"Gerrit"},{"family":"Hesjedal","given":"Thorsten"},{"family":"Zhang","given":"Shilei"},{"family":"Yu","given":"Guoqiang"},{"family":"Han","given":"Xiufeng"}],"accessed":{"date-parts":[["2026",3,19]]},"issued":{"date-parts":[["2021",11,16]]}}},{"id":7052,"uris":["http://zotero.org/users/2200358/items/ZWXTITR4"],"itemData":{"id":7052,"type":"article-journal","container-title":"Nano Letters","DOI":"10.1021/acs.nanolett.3c02978","ISSN":"1530-6984, 1530-6992","issue":"20","journalAbbreviation":"Nano Lett.","language":"en","license":"https://doi.org/10.15223/policy-029","page":"9482-9490","source":"DOI.org (Crossref)","title":"All-Electrical 9-Bit Skyrmion-Based Racetrack Memory Designed with Laser Irradiation","URL":"https://pubs.acs.org/doi/10.1021/acs.nanolett.3c02978","volume":"23","author":[{"family":"He","given":"Bin"},{"family":"Tomasello","given":"Riccardo"},{"family":"Luo","given":"Xuming"},{"family":"Zhang","given":"Ran"},{"family":"Nie","given":"Zhuyang"},{"family":"Carpentieri","given":"Mario"},{"family":"Han","given":"Xiufeng"},{"family":"Finocchio","given":"Giovanni"},{"family":"Yu","given":"Guoqiang"}],"accessed":{"date-parts":[["2026",3,19]]},"issued":{"date-parts":[["2023",10,25]]}}},{"id":7043,"uris":["http://zotero.org/users/2200358/items/WKBI2D2A"],"itemData":{"id":7043,"type":"article-journal","abstract":"Ensuring authentication, data security, and privacy has become critically important with the rise of Internet of Things (IoT) systems. Physical unclonable functions (PUFs) employ the intrinsic physical randomness of materials to generate unique, nonreplicable outputs, ensuring device authenticity and protection against cloning. Although silicon-based PUFs have significantly advanced, developing practical and cost-effective solutions for resource-constrained embedded systems remains challenging. This study demonstrates a reconfigurable PUF design that leverages spontaneously formed labyrinth domain patterns in magnetic thin films as a high-entropy source, without requiring any external stimuli or control. The resulting PUFs display nearly ideal performance in uniqueness, uniformity, bit-aliasing, and robustness, underscoring their practicality and reliability. These PUFs demonstrate high indivisibility in linear feature spaces and robustness against compromising the security or functionality of machine learning. More importantly, the electrical readout of domain-based PUF signals is demonstrated using magnetic tunnel junctions and propose an architecture for integrating the PUF system with existing silicon-based circuits. Overall, the proposed PUF system offers a practical and innovative solution for advanced anti-counterfeiting measures and secure device identification.","container-title":"Advanced Materials","DOI":"10.1002/adma.202517750","ISSN":"1521-4095","issue":"9","journalAbbreviation":"Adv. Mater.","language":"en","license":"© 2025 Wiley-VCH GmbH","note":"_eprint: https://advanced.onlinelibrary.wiley.com/doi/pdf/10.1002/adma.202517750","page":"e17750","source":"Wiley Online Library","title":"Reconfigurable Physical Unclonable Functions Based on Magnetic Domain Patterns","URL":"https://onlinelibrary.wiley.com/doi/abs/10.1002/adma.202517750","volume":"38","author":[{"family":"He","given":"Bin"},{"family":"Wan","given":"Caihua"},{"family":"Zhang","given":"Senfu"},{"family":"Tang","given":"Meng"},{"family":"Wang","given":"Heng"},{"family":"Gao","given":"Fangshuo"},{"family":"Peng","given":"Rong"},{"family":"Zhang","given":"Junwei"},{"family":"Zheng","given":"Dongxing"},{"family":"Li","given":"Yan"},{"family":"Xu","given":"Jingkai"},{"family":"Chen","given":"Maolin"},{"family":"Finocchio","given":"Giovanni"},{"family":"Yu","given":"Guoqiang"},{"family":"Zhang","given":"Xixiang"}],"accessed":{"date-parts":[["2026",3,19]]},"issued":{"date-parts":[["2026"]]}}}],"schema":"https://github.com/citation-style-language/schema/raw/master/csl-citation.json"} </w:instrText>
      </w:r>
      <w:r w:rsidR="00AF0785" w:rsidRPr="00645DFF">
        <w:rPr>
          <w:rFonts w:ascii="Times New Roman" w:eastAsia="DengXian" w:hAnsi="Times New Roman" w:cs="Times New Roman"/>
          <w:sz w:val="22"/>
          <w:lang w:eastAsia="zh-CN"/>
        </w:rPr>
        <w:fldChar w:fldCharType="separate"/>
      </w:r>
      <w:r w:rsidR="003839CD" w:rsidRPr="00645DFF">
        <w:rPr>
          <w:rFonts w:ascii="Times New Roman" w:hAnsi="Times New Roman" w:cs="Times New Roman"/>
          <w:kern w:val="0"/>
          <w:sz w:val="22"/>
          <w:vertAlign w:val="superscript"/>
        </w:rPr>
        <w:t>30–32</w:t>
      </w:r>
      <w:r w:rsidR="00AF0785" w:rsidRPr="00645DFF">
        <w:rPr>
          <w:rFonts w:ascii="Times New Roman" w:eastAsia="DengXian" w:hAnsi="Times New Roman" w:cs="Times New Roman"/>
          <w:sz w:val="22"/>
          <w:lang w:eastAsia="zh-CN"/>
        </w:rPr>
        <w:fldChar w:fldCharType="end"/>
      </w:r>
      <w:r w:rsidR="00C605E9" w:rsidRPr="00645DFF">
        <w:rPr>
          <w:rFonts w:ascii="Times New Roman" w:eastAsia="DengXian" w:hAnsi="Times New Roman" w:cs="Times New Roman"/>
          <w:sz w:val="22"/>
          <w:lang w:eastAsia="zh-CN"/>
        </w:rPr>
        <w:t xml:space="preserve"> </w:t>
      </w:r>
      <w:r w:rsidR="00A32431" w:rsidRPr="00645DFF">
        <w:rPr>
          <w:rFonts w:ascii="Times New Roman" w:eastAsia="DengXian" w:hAnsi="Times New Roman" w:cs="Times New Roman"/>
          <w:sz w:val="22"/>
          <w:lang w:eastAsia="zh-CN"/>
        </w:rPr>
        <w:t xml:space="preserve">The SOT efficiency achieved in the present </w:t>
      </w:r>
      <w:proofErr w:type="spellStart"/>
      <w:r w:rsidR="00A32431" w:rsidRPr="00645DFF">
        <w:rPr>
          <w:rFonts w:ascii="Times New Roman" w:eastAsia="DengXian" w:hAnsi="Times New Roman" w:cs="Times New Roman"/>
          <w:sz w:val="22"/>
          <w:lang w:eastAsia="zh-CN"/>
        </w:rPr>
        <w:t>BiSb</w:t>
      </w:r>
      <w:proofErr w:type="spellEnd"/>
      <w:r w:rsidR="00A32431" w:rsidRPr="00645DFF">
        <w:rPr>
          <w:rFonts w:ascii="Times New Roman" w:eastAsia="DengXian" w:hAnsi="Times New Roman" w:cs="Times New Roman"/>
          <w:sz w:val="22"/>
          <w:lang w:eastAsia="zh-CN"/>
        </w:rPr>
        <w:t xml:space="preserve"> system </w:t>
      </w:r>
      <w:r w:rsidR="006A67B9" w:rsidRPr="00645DFF">
        <w:rPr>
          <w:rFonts w:ascii="Times New Roman" w:hAnsi="Times New Roman" w:cs="Times New Roman"/>
          <w:sz w:val="22"/>
        </w:rPr>
        <w:t xml:space="preserve">is within the range reported for </w:t>
      </w:r>
      <w:r w:rsidR="00C605E9" w:rsidRPr="00645DFF">
        <w:rPr>
          <w:rFonts w:ascii="Times New Roman" w:hAnsi="Times New Roman" w:cs="Times New Roman"/>
          <w:sz w:val="22"/>
        </w:rPr>
        <w:t xml:space="preserve">topological material </w:t>
      </w:r>
      <w:r w:rsidR="006A67B9" w:rsidRPr="00645DFF">
        <w:rPr>
          <w:rFonts w:ascii="Times New Roman" w:hAnsi="Times New Roman" w:cs="Times New Roman"/>
          <w:sz w:val="22"/>
        </w:rPr>
        <w:t>systems</w:t>
      </w:r>
      <w:r w:rsidR="00C605E9" w:rsidRPr="00645DFF">
        <w:rPr>
          <w:rFonts w:ascii="Times New Roman" w:hAnsi="Times New Roman" w:cs="Times New Roman"/>
          <w:sz w:val="22"/>
        </w:rPr>
        <w:fldChar w:fldCharType="begin"/>
      </w:r>
      <w:r w:rsidR="00FE2BAE" w:rsidRPr="00645DFF">
        <w:rPr>
          <w:rFonts w:ascii="Times New Roman" w:hAnsi="Times New Roman" w:cs="Times New Roman"/>
          <w:sz w:val="22"/>
        </w:rPr>
        <w:instrText xml:space="preserve"> ADDIN ZOTERO_ITEM CSL_CITATION {"citationID":"gl2jS4Yf","properties":{"unsorted":true,"formattedCitation":"\\super 33\\uc0\\u8211{}36\\nosupersub{}","plainCitation":"33–36","noteIndex":0},"citationItems":[{"id":238,"uris":["http://zotero.org/users/2200358/items/NB2XWHVF"],"itemData":{"id":238,"type":"article-journal","abstract":"The application of spin-orbit torque in topological insulator heterostructures is limited only under low temperature. Here, the authors report room temperature magnetization switching in topological insulator-ferromagnet heterostructures by spin-orbit torques.","container-title":"Nature Communications","DOI":"10.1038/s41467-017-01583-4","ISSN":"2041-1723","issue":"1","language":"en","license":"2017 The Author(s)","page":"1364","source":"www.nature.com","title":"Room temperature magnetization switching in topological insulator-ferromagnet heterostructures by spin-orbit torques","URL":"https://www.nature.com/articles/s41467-017-01583-4","volume":"8","author":[{"family":"Wang","given":"Yi"},{"family":"Zhu","given":"Dapeng"},{"family":"Wu","given":"Yang"},{"family":"Yang","given":"Yumeng"},{"family":"Yu","given":"Jiawei"},{"family":"Ramaswamy","given":"Rajagopalan"},{"family":"Mishra","given":"Rahul"},{"family":"Shi","given":"Shuyuan"},{"family":"Elyasi","given":"Mehrdad"},{"family":"Teo","given":"Kie-Leong"},{"family":"Wu","given":"Yihong"},{"family":"Yang","given":"Hyunsoo"}],"accessed":{"date-parts":[["2018",2,14]]},"issued":{"date-parts":[["2017",11,8]]}}},{"id":5313,"uris":["http://zotero.org/users/2200358/items/7VRYKZAQ"],"itemData":{"id":5313,"type":"article-journal","abstract":"Toward magnonic devices\nThe field of magnonics aims to use spin waves (SWs) and their associated quasiparticles—magnons—as carriers of information. Compared with the movement of charge in conventional electronics, a major advantage of SWs is reduced Joule heating. However, SWs are trickier to direct and control. Two groups now go a step further toward magnon-based devices. Han et al. show that in multilayer films, domain walls can be used to change the phase and magnitude of a spin wave. Wang et al. demonstrate how magnon currents can be used to switch the magnetization of an adjacent layer.\nScience, this issue p. 1121, p. 1125\nWidespread applications of magnetic devices require an efficient means to manipulate the local magnetization. One mechanism is the electrical spin-transfer torque associated with electron-mediated spin currents; however, this suffers from substantial energy dissipation caused by Joule heating. We experimentally demonstrated an alternative approach based on magnon currents and achieved magnon-torque–induced magnetization switching in Bi2Se3/antiferromagnetic insulator NiO/ferromagnet devices at room temperature. The magnon currents carry spin angular momentum efficiently without involving moving electrons through a 25-nanometer-thick NiO layer. The magnon torque is sufficient to control the magnetization, which is comparable with previously observed electrical spin torque ratios. This research, which is relevant to the energy-efficient control of spintronic devices, will invigorate magnon-based memory and logic devices.\nMagnon currents are used to switch the magnetization of an adjacent ferromagnetic layer.\nMagnon currents are used to switch the magnetization of an adjacent ferromagnetic layer.","container-title":"Science","DOI":"10.1126/science.aav8076","ISSN":"0036-8075, 1095-9203","issue":"6469","language":"en","license":"Copyright © 2019 The Authors, some rights reserved; exclusive licensee American Association for the Advancement of Science. No claim to original U.S. Government Works. http://www.sciencemag.org/about/science-licenses-journal-article-reuseThis is an article distributed under the terms of the Science Journals Default License.","page":"1125-1128","PMID":"31780558","source":"science.sciencemag.org","title":"Magnetization switching by magnon-mediated spin torque through an antiferromagnetic insulator","URL":"https://science.sciencemag.org/content/366/6469/1125","volume":"366","author":[{"family":"Wang","given":"Yi"},{"family":"Zhu","given":"Dapeng"},{"family":"Yang","given":"Yumeng"},{"family":"Lee","given":"Kyusup"},{"family":"Mishra","given":"Rahul"},{"family":"Go","given":"Gyungchoon"},{"family":"Oh","given":"Se-Hyeok"},{"family":"Kim","given":"Dong-Hyun"},{"family":"Cai","given":"Kaiming"},{"family":"Liu","given":"Enlong"},{"family":"Pollard","given":"Shawn D."},{"family":"Shi","given":"Shuyuan"},{"family":"Lee","given":"Jongmin"},{"family":"Teo","given":"Kie Leong"},{"family":"Wu","given":"Yihong"},{"family":"Lee","given":"Kyung-Jin"},{"family":"Yang","given":"Hyunsoo"}],"accessed":{"date-parts":[["2019",12,2]]},"issued":{"date-parts":[["2019",11,29]]}}},{"id":5640,"uris":["http://zotero.org/users/2200358/items/RK3JDT27"],"itemData":{"id":5640,"type":"article-journal","abstract":"This study reports the magnetization switching induced by spin–orbit torque (SOT) from the spin current generated in Co2MnGa magnetic Weyl semimetal (WSM) thin ﬁlms. We deposited epitaxial Co2MnGa thin ﬁlms with a highly B2-ordered structure on MgO(001) substrates. The SOT was characterized by harmonic Hall measurements in a Co2MnGa/Ti/CoFeB heterostructure, and a relatively large spin Hall efﬁciency (nSH) of À7.8% was obtained. The SOT-induced magnetization switching of the perpendicularly magnetized CoFeB layer was further demonstrated using the structure. The symmetry of second harmonic signals, thickness dependence of nSH, and shift of anomalous Hall loops under applied currents were also investigated. This study not only contributes to the understanding of the mechanisms of spincurrent generation from magnetic-WSM-based heterostructures but also paves the way for the applications of magnetic WSMs in spintronic devices.","container-title":"Applied Physics Letters","DOI":"10.1063/5.0037178","ISSN":"0003-6951, 1077-3118","issue":"6","journalAbbreviation":"Appl. Phys. Lett.","language":"en","page":"062402","source":"Crossref","title":"Magnetization switching induced by spin–orbit torque from Co &lt;sub&gt;2&lt;/sub&gt; MnGa magnetic Weyl semimetal thin films","URL":"https://aip.scitation.org/doi/10.1063/5.0037178","volume":"118","author":[{"family":"Tang","given":"Ke"},{"family":"Wen","given":"Zhenchao"},{"family":"Lau","given":"Yong-Chang"},{"family":"Sukegawa","given":"Hiroaki"},{"family":"Seki","given":"Takeshi"},{"family":"Mitani","given":"Seiji"}],"accessed":{"date-parts":[["2021",2,9]]},"issued":{"date-parts":[["2021",2,8]]}}},{"id":5860,"uris":["http://zotero.org/users/2200358/items/4T778Y2N"],"itemData":{"id":5860,"type":"article-journal","container-title":"Physical Review Research","DOI":"10.1103/PhysRevResearch.3.033101","ISSN":"2643-1564","issue":"3","journalAbbreviation":"Phys. Rev. Research","language":"en","page":"033101","source":"DOI.org (Crossref)","title":"Spin Hall effect in a spin-1 chiral semimetal","URL":"https://link.aps.org/doi/10.1103/PhysRevResearch.3.033101","volume":"3","author":[{"family":"Tang","given":"Ke"},{"family":"Lau","given":"Yong-Chang"},{"family":"Nawa","given":"Kenji"},{"family":"Wen","given":"Zhenchao"},{"family":"Xiang","given":"Qingyi"},{"family":"Sukegawa","given":"Hiroaki"},{"family":"Seki","given":"Takeshi"},{"family":"Miura","given":"Yoshio"},{"family":"Takanashi","given":"Koki"},{"family":"Mitani","given":"Seiji"}],"accessed":{"date-parts":[["2021",7,30]]},"issued":{"date-parts":[["2021",7,29]]}}}],"schema":"https://github.com/citation-style-language/schema/raw/master/csl-citation.json"} </w:instrText>
      </w:r>
      <w:r w:rsidR="00C605E9" w:rsidRPr="00645DFF">
        <w:rPr>
          <w:rFonts w:ascii="Times New Roman" w:hAnsi="Times New Roman" w:cs="Times New Roman"/>
          <w:sz w:val="22"/>
        </w:rPr>
        <w:fldChar w:fldCharType="separate"/>
      </w:r>
      <w:r w:rsidR="00FE2BAE" w:rsidRPr="00645DFF">
        <w:rPr>
          <w:rFonts w:ascii="Times New Roman" w:hAnsi="Times New Roman" w:cs="Times New Roman"/>
          <w:kern w:val="0"/>
          <w:sz w:val="22"/>
          <w:vertAlign w:val="superscript"/>
        </w:rPr>
        <w:t>33–36</w:t>
      </w:r>
      <w:r w:rsidR="00C605E9" w:rsidRPr="00645DFF">
        <w:rPr>
          <w:rFonts w:ascii="Times New Roman" w:hAnsi="Times New Roman" w:cs="Times New Roman"/>
          <w:sz w:val="22"/>
        </w:rPr>
        <w:fldChar w:fldCharType="end"/>
      </w:r>
      <w:r w:rsidR="006A67B9" w:rsidRPr="00645DFF">
        <w:rPr>
          <w:rFonts w:ascii="Times New Roman" w:hAnsi="Times New Roman" w:cs="Times New Roman"/>
          <w:sz w:val="22"/>
        </w:rPr>
        <w:t xml:space="preserve"> and </w:t>
      </w:r>
      <w:r w:rsidR="00A32431" w:rsidRPr="00645DFF">
        <w:rPr>
          <w:rFonts w:ascii="Times New Roman" w:eastAsia="DengXian" w:hAnsi="Times New Roman" w:cs="Times New Roman"/>
          <w:sz w:val="22"/>
          <w:lang w:eastAsia="zh-CN"/>
        </w:rPr>
        <w:t>is beneficial for the development of such SOT-driven multifunctional devices.</w:t>
      </w:r>
      <w:r w:rsidR="008215A8" w:rsidRPr="00645DFF">
        <w:rPr>
          <w:rFonts w:ascii="Times New Roman" w:eastAsia="DengXian" w:hAnsi="Times New Roman" w:cs="Times New Roman"/>
          <w:sz w:val="22"/>
          <w:lang w:eastAsia="zh-CN"/>
        </w:rPr>
        <w:t xml:space="preserve"> </w:t>
      </w:r>
      <w:r w:rsidR="003F19BE" w:rsidRPr="00645DFF">
        <w:rPr>
          <w:rFonts w:ascii="Times New Roman" w:hAnsi="Times New Roman" w:cs="Times New Roman"/>
          <w:sz w:val="22"/>
        </w:rPr>
        <w:t>Also, the comparable SOT efficiency observed for</w:t>
      </w:r>
      <w:r w:rsidRPr="00645DFF">
        <w:rPr>
          <w:rFonts w:ascii="Times New Roman" w:hAnsi="Times New Roman" w:cs="Times New Roman" w:hint="eastAsia"/>
          <w:sz w:val="22"/>
        </w:rPr>
        <w:t xml:space="preserve"> the</w:t>
      </w:r>
      <w:r w:rsidR="003F19BE" w:rsidRPr="00645DFF">
        <w:rPr>
          <w:rFonts w:ascii="Times New Roman" w:hAnsi="Times New Roman" w:cs="Times New Roman"/>
          <w:sz w:val="22"/>
        </w:rPr>
        <w:t xml:space="preserve"> Ge and </w:t>
      </w:r>
      <w:proofErr w:type="spellStart"/>
      <w:r w:rsidR="003F19BE" w:rsidRPr="00645DFF">
        <w:rPr>
          <w:rFonts w:ascii="Times New Roman" w:hAnsi="Times New Roman" w:cs="Times New Roman"/>
          <w:sz w:val="22"/>
        </w:rPr>
        <w:t>NiFeGe</w:t>
      </w:r>
      <w:proofErr w:type="spellEnd"/>
      <w:r w:rsidR="003F19BE" w:rsidRPr="00645DFF">
        <w:rPr>
          <w:rFonts w:ascii="Times New Roman" w:hAnsi="Times New Roman" w:cs="Times New Roman"/>
          <w:sz w:val="22"/>
        </w:rPr>
        <w:t xml:space="preserve"> samples, despite the higher damping in the </w:t>
      </w:r>
      <w:proofErr w:type="spellStart"/>
      <w:r w:rsidR="003F19BE" w:rsidRPr="00645DFF">
        <w:rPr>
          <w:rFonts w:ascii="Times New Roman" w:hAnsi="Times New Roman" w:cs="Times New Roman"/>
          <w:sz w:val="22"/>
        </w:rPr>
        <w:t>NiFeGe</w:t>
      </w:r>
      <w:proofErr w:type="spellEnd"/>
      <w:r w:rsidR="003F19BE" w:rsidRPr="00645DFF">
        <w:rPr>
          <w:rFonts w:ascii="Times New Roman" w:hAnsi="Times New Roman" w:cs="Times New Roman"/>
          <w:sz w:val="22"/>
        </w:rPr>
        <w:t xml:space="preserve"> case, indicates that these quantities are governed by different interfacial mechanisms. While SOT efficiency reflects spin current transmission across the interface, the enhanced damping in </w:t>
      </w:r>
      <w:r w:rsidRPr="00645DFF">
        <w:rPr>
          <w:rFonts w:ascii="Times New Roman" w:hAnsi="Times New Roman" w:cs="Times New Roman" w:hint="eastAsia"/>
          <w:sz w:val="22"/>
        </w:rPr>
        <w:t xml:space="preserve">the </w:t>
      </w:r>
      <w:proofErr w:type="spellStart"/>
      <w:r w:rsidR="003F19BE" w:rsidRPr="00645DFF">
        <w:rPr>
          <w:rFonts w:ascii="Times New Roman" w:hAnsi="Times New Roman" w:cs="Times New Roman"/>
          <w:sz w:val="22"/>
        </w:rPr>
        <w:t>NiFeGe</w:t>
      </w:r>
      <w:proofErr w:type="spellEnd"/>
      <w:r w:rsidR="00C605E9" w:rsidRPr="00645DFF">
        <w:rPr>
          <w:rFonts w:ascii="Times New Roman" w:hAnsi="Times New Roman" w:cs="Times New Roman"/>
          <w:sz w:val="22"/>
        </w:rPr>
        <w:t xml:space="preserve"> case</w:t>
      </w:r>
      <w:r w:rsidR="003F19BE" w:rsidRPr="00645DFF">
        <w:rPr>
          <w:rFonts w:ascii="Times New Roman" w:hAnsi="Times New Roman" w:cs="Times New Roman"/>
          <w:sz w:val="22"/>
        </w:rPr>
        <w:t xml:space="preserve"> is attributed to increased spin pumping and magnetic relaxation.</w:t>
      </w:r>
      <w:r w:rsidR="003F19BE" w:rsidRPr="00645DFF">
        <w:rPr>
          <w:rFonts w:ascii="Times New Roman" w:eastAsia="DengXian" w:hAnsi="Times New Roman" w:cs="Times New Roman"/>
          <w:sz w:val="22"/>
          <w:lang w:eastAsia="zh-CN"/>
        </w:rPr>
        <w:t xml:space="preserve"> </w:t>
      </w:r>
      <w:r w:rsidR="009D4499" w:rsidRPr="00645DFF">
        <w:rPr>
          <w:rFonts w:ascii="Times New Roman" w:hAnsi="Times New Roman" w:cs="Times New Roman"/>
          <w:sz w:val="22"/>
        </w:rPr>
        <w:t xml:space="preserve">The </w:t>
      </w:r>
      <w:r w:rsidRPr="00645DFF">
        <w:rPr>
          <w:rFonts w:ascii="Times New Roman" w:hAnsi="Times New Roman" w:cs="Times New Roman" w:hint="eastAsia"/>
          <w:sz w:val="22"/>
        </w:rPr>
        <w:t>low</w:t>
      </w:r>
      <w:r w:rsidRPr="00645DFF">
        <w:rPr>
          <w:rFonts w:ascii="Times New Roman" w:hAnsi="Times New Roman" w:cs="Times New Roman"/>
          <w:sz w:val="22"/>
        </w:rPr>
        <w:t xml:space="preserve"> </w:t>
      </w:r>
      <w:r w:rsidR="009D4499" w:rsidRPr="00645DFF">
        <w:rPr>
          <w:rFonts w:ascii="Times New Roman" w:hAnsi="Times New Roman" w:cs="Times New Roman"/>
          <w:sz w:val="22"/>
        </w:rPr>
        <w:t>damping</w:t>
      </w:r>
      <w:r w:rsidR="00C605E9" w:rsidRPr="00645DFF">
        <w:rPr>
          <w:rFonts w:ascii="Times New Roman" w:hAnsi="Times New Roman" w:cs="Times New Roman"/>
          <w:sz w:val="22"/>
        </w:rPr>
        <w:t xml:space="preserve"> in</w:t>
      </w:r>
      <w:r w:rsidRPr="00645DFF">
        <w:rPr>
          <w:rFonts w:ascii="Times New Roman" w:hAnsi="Times New Roman" w:cs="Times New Roman" w:hint="eastAsia"/>
          <w:sz w:val="22"/>
        </w:rPr>
        <w:t xml:space="preserve"> the</w:t>
      </w:r>
      <w:r w:rsidR="00C605E9" w:rsidRPr="00645DFF">
        <w:rPr>
          <w:rFonts w:ascii="Times New Roman" w:hAnsi="Times New Roman" w:cs="Times New Roman"/>
          <w:sz w:val="22"/>
        </w:rPr>
        <w:t xml:space="preserve"> Ge case</w:t>
      </w:r>
      <w:r w:rsidR="009D4499" w:rsidRPr="00645DFF">
        <w:rPr>
          <w:rFonts w:ascii="Times New Roman" w:hAnsi="Times New Roman" w:cs="Times New Roman"/>
          <w:sz w:val="22"/>
        </w:rPr>
        <w:t xml:space="preserve"> is beneficial for lowering energy dissipation during current-driven magnetization dynamics, which is advantageous for low-power SOT device operation</w:t>
      </w:r>
      <w:r w:rsidRPr="00645DFF">
        <w:rPr>
          <w:rFonts w:ascii="Times New Roman" w:hAnsi="Times New Roman" w:cs="Times New Roman" w:hint="eastAsia"/>
          <w:sz w:val="22"/>
        </w:rPr>
        <w:t>. Meanwhile</w:t>
      </w:r>
      <w:r w:rsidR="009D4499" w:rsidRPr="00645DFF">
        <w:rPr>
          <w:rFonts w:ascii="Times New Roman" w:hAnsi="Times New Roman" w:cs="Times New Roman"/>
          <w:sz w:val="22"/>
        </w:rPr>
        <w:t xml:space="preserve">, </w:t>
      </w:r>
      <w:r w:rsidR="003838E6" w:rsidRPr="00645DFF">
        <w:rPr>
          <w:rFonts w:ascii="Times New Roman" w:hAnsi="Times New Roman" w:cs="Times New Roman"/>
          <w:sz w:val="22"/>
        </w:rPr>
        <w:t>the</w:t>
      </w:r>
      <w:r w:rsidR="009D4499" w:rsidRPr="00645DFF">
        <w:rPr>
          <w:rFonts w:ascii="Times New Roman" w:hAnsi="Times New Roman" w:cs="Times New Roman"/>
          <w:sz w:val="22"/>
        </w:rPr>
        <w:t xml:space="preserve"> high damping </w:t>
      </w:r>
      <w:r w:rsidR="003838E6" w:rsidRPr="00645DFF">
        <w:rPr>
          <w:rFonts w:ascii="Times New Roman" w:hAnsi="Times New Roman" w:cs="Times New Roman"/>
          <w:sz w:val="22"/>
        </w:rPr>
        <w:t xml:space="preserve">in </w:t>
      </w:r>
      <w:r w:rsidRPr="00645DFF">
        <w:rPr>
          <w:rFonts w:ascii="Times New Roman" w:hAnsi="Times New Roman" w:cs="Times New Roman" w:hint="eastAsia"/>
          <w:sz w:val="22"/>
        </w:rPr>
        <w:t xml:space="preserve">the </w:t>
      </w:r>
      <w:proofErr w:type="spellStart"/>
      <w:r w:rsidR="003838E6" w:rsidRPr="00645DFF">
        <w:rPr>
          <w:rFonts w:ascii="Times New Roman" w:hAnsi="Times New Roman" w:cs="Times New Roman"/>
          <w:sz w:val="22"/>
        </w:rPr>
        <w:t>NiFeGe</w:t>
      </w:r>
      <w:proofErr w:type="spellEnd"/>
      <w:r w:rsidR="003838E6" w:rsidRPr="00645DFF">
        <w:rPr>
          <w:rFonts w:ascii="Times New Roman" w:hAnsi="Times New Roman" w:cs="Times New Roman"/>
          <w:sz w:val="22"/>
        </w:rPr>
        <w:t xml:space="preserve"> case </w:t>
      </w:r>
      <w:r w:rsidR="009D4499" w:rsidRPr="00645DFF">
        <w:rPr>
          <w:rFonts w:ascii="Times New Roman" w:hAnsi="Times New Roman" w:cs="Times New Roman"/>
          <w:sz w:val="22"/>
        </w:rPr>
        <w:t>may facilitate faster switching in certain regimes.</w:t>
      </w:r>
      <w:r w:rsidR="00D67F85" w:rsidRPr="00645DFF">
        <w:rPr>
          <w:rFonts w:ascii="Times New Roman" w:hAnsi="Times New Roman" w:cs="Times New Roman"/>
        </w:rPr>
        <w:t xml:space="preserve"> </w:t>
      </w:r>
    </w:p>
    <w:p w14:paraId="3FDB6C3B" w14:textId="77777777" w:rsidR="00FE6D57" w:rsidRPr="00645DFF" w:rsidRDefault="00FE6D57" w:rsidP="00FE6D57">
      <w:pPr>
        <w:spacing w:line="360" w:lineRule="auto"/>
        <w:jc w:val="center"/>
        <w:rPr>
          <w:rFonts w:ascii="Times New Roman" w:hAnsi="Times New Roman" w:cs="Times New Roman"/>
          <w:sz w:val="22"/>
        </w:rPr>
      </w:pPr>
      <w:r w:rsidRPr="00645DFF">
        <w:rPr>
          <w:rFonts w:ascii="Times New Roman" w:hAnsi="Times New Roman" w:cs="Times New Roman"/>
          <w:noProof/>
          <w:sz w:val="22"/>
        </w:rPr>
        <w:drawing>
          <wp:inline distT="0" distB="0" distL="0" distR="0" wp14:anchorId="60B562ED" wp14:editId="29A11277">
            <wp:extent cx="5731510" cy="2828925"/>
            <wp:effectExtent l="0" t="0" r="0" b="0"/>
            <wp:docPr id="2" name="Picture 1" descr="A screenshot of a computer graphics&#10;&#10;AI-generated content may be incorrect.">
              <a:extLst xmlns:a="http://schemas.openxmlformats.org/drawingml/2006/main">
                <a:ext uri="{FF2B5EF4-FFF2-40B4-BE49-F238E27FC236}">
                  <a16:creationId xmlns:a16="http://schemas.microsoft.com/office/drawing/2014/main" id="{AC75185E-3F24-CC2C-A302-78AFFE2D7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graphics&#10;&#10;AI-generated content may be incorrect.">
                      <a:extLst>
                        <a:ext uri="{FF2B5EF4-FFF2-40B4-BE49-F238E27FC236}">
                          <a16:creationId xmlns:a16="http://schemas.microsoft.com/office/drawing/2014/main" id="{AC75185E-3F24-CC2C-A302-78AFFE2D7C7F}"/>
                        </a:ext>
                      </a:extLst>
                    </pic:cNvPr>
                    <pic:cNvPicPr>
                      <a:picLocks noChangeAspect="1"/>
                    </pic:cNvPicPr>
                  </pic:nvPicPr>
                  <pic:blipFill>
                    <a:blip r:embed="rId13"/>
                    <a:stretch>
                      <a:fillRect/>
                    </a:stretch>
                  </pic:blipFill>
                  <pic:spPr>
                    <a:xfrm>
                      <a:off x="0" y="0"/>
                      <a:ext cx="5731510" cy="2828925"/>
                    </a:xfrm>
                    <a:prstGeom prst="rect">
                      <a:avLst/>
                    </a:prstGeom>
                  </pic:spPr>
                </pic:pic>
              </a:graphicData>
            </a:graphic>
          </wp:inline>
        </w:drawing>
      </w:r>
    </w:p>
    <w:p w14:paraId="5FD3F045" w14:textId="3C62A2C6" w:rsidR="00FE6D57" w:rsidRPr="00645DFF" w:rsidRDefault="00FE6D57" w:rsidP="00FE6D57">
      <w:pPr>
        <w:spacing w:line="360" w:lineRule="auto"/>
        <w:rPr>
          <w:rFonts w:ascii="Times New Roman" w:eastAsia="DengXian" w:hAnsi="Times New Roman" w:cs="Times New Roman"/>
          <w:sz w:val="22"/>
          <w:lang w:eastAsia="zh-CN"/>
        </w:rPr>
      </w:pPr>
      <w:r w:rsidRPr="00645DFF">
        <w:rPr>
          <w:rFonts w:ascii="Times New Roman" w:hAnsi="Times New Roman" w:cs="Times New Roman"/>
          <w:b/>
          <w:bCs/>
          <w:sz w:val="22"/>
        </w:rPr>
        <w:t>F</w:t>
      </w:r>
      <w:r w:rsidR="004A0D30" w:rsidRPr="00645DFF">
        <w:rPr>
          <w:rFonts w:ascii="Times New Roman" w:hAnsi="Times New Roman" w:cs="Times New Roman"/>
          <w:b/>
          <w:bCs/>
          <w:sz w:val="22"/>
        </w:rPr>
        <w:t>IG</w:t>
      </w:r>
      <w:r w:rsidRPr="00645DFF">
        <w:rPr>
          <w:rFonts w:ascii="Times New Roman" w:hAnsi="Times New Roman" w:cs="Times New Roman"/>
          <w:b/>
          <w:bCs/>
          <w:sz w:val="22"/>
        </w:rPr>
        <w:t>. 3</w:t>
      </w:r>
      <w:r w:rsidR="004A0D30" w:rsidRPr="00645DFF">
        <w:rPr>
          <w:rFonts w:ascii="Times New Roman" w:hAnsi="Times New Roman" w:cs="Times New Roman"/>
          <w:b/>
          <w:bCs/>
          <w:sz w:val="22"/>
        </w:rPr>
        <w:t>.</w:t>
      </w:r>
      <w:r w:rsidRPr="00645DFF">
        <w:rPr>
          <w:rFonts w:ascii="Times New Roman" w:hAnsi="Times New Roman" w:cs="Times New Roman"/>
          <w:sz w:val="22"/>
        </w:rPr>
        <w:t xml:space="preserve"> (a) ST-FMR spectra of the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/Ge/</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sample measured in the frequency range of 8–14 GHz. (b) A representative spectrum at 10 GHz for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/Ge/</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decomposed into symmetric (red) and antisymmetric (blue) Lorentzian components with the corresponding total fit (black line). (c) Frequency dependence of the linewidth Δ</w:t>
      </w:r>
      <w:r w:rsidRPr="00645DFF">
        <w:rPr>
          <w:rFonts w:ascii="Times New Roman" w:hAnsi="Times New Roman" w:cs="Times New Roman"/>
          <w:i/>
          <w:iCs/>
          <w:sz w:val="22"/>
        </w:rPr>
        <w:t>H</w:t>
      </w:r>
      <w:r w:rsidRPr="00645DFF">
        <w:rPr>
          <w:rFonts w:ascii="Times New Roman" w:hAnsi="Times New Roman" w:cs="Times New Roman"/>
          <w:sz w:val="22"/>
        </w:rPr>
        <w:t xml:space="preserve"> extracted from the ST-FMR spectra, used to evaluate the effective Gilbert damping. (d) Resonance field </w:t>
      </w:r>
      <w:proofErr w:type="spellStart"/>
      <w:r w:rsidRPr="00645DFF">
        <w:rPr>
          <w:rFonts w:ascii="Times New Roman" w:hAnsi="Times New Roman" w:cs="Times New Roman"/>
          <w:i/>
          <w:iCs/>
          <w:sz w:val="22"/>
        </w:rPr>
        <w:t>H</w:t>
      </w:r>
      <w:r w:rsidRPr="00645DFF">
        <w:rPr>
          <w:rFonts w:ascii="Times New Roman" w:hAnsi="Times New Roman" w:cs="Times New Roman"/>
          <w:sz w:val="22"/>
          <w:vertAlign w:val="subscript"/>
        </w:rPr>
        <w:t>r</w:t>
      </w:r>
      <w:proofErr w:type="spellEnd"/>
      <w:r w:rsidRPr="00645DFF">
        <w:rPr>
          <w:rFonts w:ascii="Times New Roman" w:hAnsi="Times New Roman" w:cs="Times New Roman"/>
          <w:sz w:val="22"/>
        </w:rPr>
        <w:t xml:space="preserve"> as a function of frequency for </w:t>
      </w:r>
      <w:proofErr w:type="spellStart"/>
      <w:r w:rsidR="00F91960" w:rsidRPr="00645DFF">
        <w:rPr>
          <w:rFonts w:ascii="Times New Roman" w:hAnsi="Times New Roman" w:cs="Times New Roman"/>
          <w:sz w:val="22"/>
        </w:rPr>
        <w:t>BiSb</w:t>
      </w:r>
      <w:proofErr w:type="spellEnd"/>
      <w:r w:rsidR="00F91960" w:rsidRPr="00645DFF">
        <w:rPr>
          <w:rFonts w:ascii="Times New Roman" w:hAnsi="Times New Roman" w:cs="Times New Roman"/>
          <w:sz w:val="22"/>
        </w:rPr>
        <w:t>/Ge/</w:t>
      </w:r>
      <w:proofErr w:type="spellStart"/>
      <w:r w:rsidR="00F91960" w:rsidRPr="00645DFF">
        <w:rPr>
          <w:rFonts w:ascii="Times New Roman" w:hAnsi="Times New Roman" w:cs="Times New Roman"/>
          <w:sz w:val="22"/>
        </w:rPr>
        <w:t>CoFeB</w:t>
      </w:r>
      <w:proofErr w:type="spellEnd"/>
      <w:r w:rsidRPr="00645DFF">
        <w:rPr>
          <w:rFonts w:ascii="Times New Roman" w:hAnsi="Times New Roman" w:cs="Times New Roman"/>
          <w:sz w:val="22"/>
        </w:rPr>
        <w:t xml:space="preserve">, fitted with the Kittel equation to determine the effective magnetization </w:t>
      </w:r>
      <w:proofErr w:type="spellStart"/>
      <w:r w:rsidRPr="00645DFF">
        <w:rPr>
          <w:rFonts w:ascii="Times New Roman" w:hAnsi="Times New Roman" w:cs="Times New Roman"/>
          <w:i/>
          <w:iCs/>
          <w:sz w:val="22"/>
        </w:rPr>
        <w:t>M</w:t>
      </w:r>
      <w:r w:rsidRPr="00645DFF">
        <w:rPr>
          <w:rFonts w:ascii="Times New Roman" w:hAnsi="Times New Roman" w:cs="Times New Roman"/>
          <w:sz w:val="22"/>
          <w:vertAlign w:val="subscript"/>
        </w:rPr>
        <w:t>eff</w:t>
      </w:r>
      <w:proofErr w:type="spellEnd"/>
      <w:r w:rsidRPr="00645DFF">
        <w:rPr>
          <w:rFonts w:ascii="Times New Roman" w:hAnsi="Times New Roman" w:cs="Times New Roman"/>
          <w:sz w:val="22"/>
        </w:rPr>
        <w:t xml:space="preserve">. (e, f) ST-FMR spectra at 10 GHz for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NiAl</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and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NiFeGe</w:t>
      </w:r>
      <w:proofErr w:type="spellEnd"/>
      <w:r w:rsidRPr="00645DFF">
        <w:rPr>
          <w:rFonts w:ascii="Times New Roman" w:hAnsi="Times New Roman" w:cs="Times New Roman"/>
          <w:sz w:val="22"/>
        </w:rPr>
        <w:t>/</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respectively, shown with their symmetric (red) and antisymmetric (blue) Lorentzian components and total fits (black lines).</w:t>
      </w:r>
    </w:p>
    <w:bookmarkEnd w:id="1"/>
    <w:p w14:paraId="64EB56BB" w14:textId="77777777" w:rsidR="00C37753" w:rsidRPr="00645DFF" w:rsidRDefault="00C37753" w:rsidP="00E926D1">
      <w:pPr>
        <w:spacing w:line="480" w:lineRule="auto"/>
        <w:rPr>
          <w:rFonts w:ascii="Times New Roman" w:hAnsi="Times New Roman" w:cs="Times New Roman"/>
          <w:sz w:val="22"/>
        </w:rPr>
      </w:pPr>
    </w:p>
    <w:p w14:paraId="67B49983" w14:textId="6D6CF748" w:rsidR="00E45609" w:rsidRPr="00645DFF" w:rsidRDefault="00E45609" w:rsidP="00496364">
      <w:pPr>
        <w:spacing w:line="480" w:lineRule="auto"/>
        <w:ind w:firstLine="720"/>
        <w:rPr>
          <w:rFonts w:ascii="Times New Roman" w:hAnsi="Times New Roman" w:cs="Times New Roman"/>
          <w:sz w:val="22"/>
        </w:rPr>
      </w:pPr>
      <w:r w:rsidRPr="00645DFF">
        <w:rPr>
          <w:rFonts w:ascii="Times New Roman" w:hAnsi="Times New Roman" w:cs="Times New Roman"/>
          <w:sz w:val="22"/>
        </w:rPr>
        <w:t xml:space="preserve">To further clarify the role of Ge as an interlayer, we investigated the dependence of the SOT </w:t>
      </w:r>
      <w:r w:rsidRPr="00645DFF">
        <w:rPr>
          <w:rFonts w:ascii="Times New Roman" w:hAnsi="Times New Roman" w:cs="Times New Roman"/>
          <w:sz w:val="22"/>
        </w:rPr>
        <w:lastRenderedPageBreak/>
        <w:t>efficiency on the Ge thickness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Pr="00645DFF">
        <w:rPr>
          <w:rFonts w:ascii="Times New Roman" w:hAnsi="Times New Roman" w:cs="Times New Roman"/>
          <w:sz w:val="22"/>
        </w:rPr>
        <w:t xml:space="preserve">​) in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/Ge</w:t>
      </w:r>
      <w:r w:rsidR="009C3F08" w:rsidRPr="00645DFF">
        <w:rPr>
          <w:rFonts w:ascii="Times New Roman" w:hAnsi="Times New Roman" w:cs="Times New Roman"/>
          <w:sz w:val="22"/>
        </w:rPr>
        <w:t>(</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009C3F08" w:rsidRPr="00645DFF">
        <w:rPr>
          <w:rFonts w:ascii="Times New Roman" w:hAnsi="Times New Roman" w:cs="Times New Roman"/>
          <w:sz w:val="22"/>
        </w:rPr>
        <w:t>)</w:t>
      </w:r>
      <w:r w:rsidRPr="00645DFF">
        <w:rPr>
          <w:rFonts w:ascii="Times New Roman" w:hAnsi="Times New Roman" w:cs="Times New Roman"/>
          <w:sz w:val="22"/>
        </w:rPr>
        <w:t>​/</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heterostructures. Figures 4(a) and 4(b) present representative ST-FMR spectra for the samples with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009C3F08" w:rsidRPr="00645DFF">
        <w:rPr>
          <w:rFonts w:ascii="Times New Roman" w:hAnsi="Times New Roman" w:cs="Times New Roman"/>
          <w:sz w:val="22"/>
        </w:rPr>
        <w:t xml:space="preserve"> </w:t>
      </w:r>
      <w:r w:rsidRPr="00645DFF">
        <w:rPr>
          <w:rFonts w:ascii="Times New Roman" w:hAnsi="Times New Roman" w:cs="Times New Roman"/>
          <w:sz w:val="22"/>
        </w:rPr>
        <w:t>=</w:t>
      </w:r>
      <w:r w:rsidR="009C3F08" w:rsidRPr="00645DFF">
        <w:rPr>
          <w:rFonts w:ascii="Times New Roman" w:hAnsi="Times New Roman" w:cs="Times New Roman"/>
          <w:sz w:val="22"/>
        </w:rPr>
        <w:t xml:space="preserve"> </w:t>
      </w:r>
      <w:r w:rsidRPr="00645DFF">
        <w:rPr>
          <w:rFonts w:ascii="Times New Roman" w:hAnsi="Times New Roman" w:cs="Times New Roman"/>
          <w:sz w:val="22"/>
        </w:rPr>
        <w:t>0</w:t>
      </w:r>
      <w:r w:rsidR="009C3F08" w:rsidRPr="00645DFF">
        <w:rPr>
          <w:rFonts w:ascii="Times New Roman" w:hAnsi="Times New Roman" w:cs="Times New Roman"/>
          <w:sz w:val="22"/>
        </w:rPr>
        <w:t xml:space="preserve"> nm </w:t>
      </w:r>
      <w:r w:rsidRPr="00645DFF">
        <w:rPr>
          <w:rFonts w:ascii="Times New Roman" w:hAnsi="Times New Roman" w:cs="Times New Roman"/>
          <w:sz w:val="22"/>
        </w:rPr>
        <w:t xml:space="preserve">(i.e., without a Ge layer) and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009C3F08" w:rsidRPr="00645DFF">
        <w:rPr>
          <w:rFonts w:ascii="Times New Roman" w:hAnsi="Times New Roman" w:cs="Times New Roman"/>
          <w:sz w:val="22"/>
        </w:rPr>
        <w:t xml:space="preserve"> </w:t>
      </w:r>
      <w:r w:rsidRPr="00645DFF">
        <w:rPr>
          <w:rFonts w:ascii="Times New Roman" w:hAnsi="Times New Roman" w:cs="Times New Roman"/>
          <w:sz w:val="22"/>
        </w:rPr>
        <w:t>=</w:t>
      </w:r>
      <w:r w:rsidR="009C3F08" w:rsidRPr="00645DFF">
        <w:rPr>
          <w:rFonts w:ascii="Times New Roman" w:hAnsi="Times New Roman" w:cs="Times New Roman"/>
          <w:sz w:val="22"/>
        </w:rPr>
        <w:t xml:space="preserve"> </w:t>
      </w:r>
      <w:r w:rsidRPr="00645DFF">
        <w:rPr>
          <w:rFonts w:ascii="Times New Roman" w:hAnsi="Times New Roman" w:cs="Times New Roman"/>
          <w:sz w:val="22"/>
        </w:rPr>
        <w:t xml:space="preserve">4 nm, respectively, together with Lorentzian fittings. The extracted </w:t>
      </w:r>
      <w:r w:rsidRPr="00645DFF">
        <w:rPr>
          <w:rFonts w:ascii="Times New Roman" w:hAnsi="Times New Roman" w:cs="Times New Roman"/>
          <w:i/>
          <w:iCs/>
          <w:sz w:val="22"/>
        </w:rPr>
        <w:t>α</w:t>
      </w:r>
      <w:r w:rsidRPr="00645DFF">
        <w:rPr>
          <w:rFonts w:ascii="Times New Roman" w:hAnsi="Times New Roman" w:cs="Times New Roman"/>
          <w:sz w:val="22"/>
          <w:vertAlign w:val="subscript"/>
        </w:rPr>
        <w:t>eff</w:t>
      </w:r>
      <w:r w:rsidRPr="00645DFF">
        <w:rPr>
          <w:rFonts w:ascii="Times New Roman" w:hAnsi="Times New Roman" w:cs="Times New Roman"/>
          <w:sz w:val="22"/>
        </w:rPr>
        <w:t xml:space="preserve">​ and SOT efficiency as functions of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Pr="00645DFF">
        <w:rPr>
          <w:rFonts w:ascii="Times New Roman" w:hAnsi="Times New Roman" w:cs="Times New Roman"/>
          <w:sz w:val="22"/>
        </w:rPr>
        <w:t>​ are summarized in Figs. 4(c) and 4(d).</w:t>
      </w:r>
      <w:r w:rsidR="009C3F08" w:rsidRPr="00645DFF">
        <w:rPr>
          <w:rFonts w:ascii="Times New Roman" w:hAnsi="Times New Roman" w:cs="Times New Roman"/>
          <w:sz w:val="22"/>
        </w:rPr>
        <w:t xml:space="preserve"> </w:t>
      </w:r>
      <w:r w:rsidRPr="00645DFF">
        <w:rPr>
          <w:rFonts w:ascii="Times New Roman" w:hAnsi="Times New Roman" w:cs="Times New Roman"/>
          <w:sz w:val="22"/>
        </w:rPr>
        <w:t xml:space="preserve">As shown in Fig. 4(c), </w:t>
      </w:r>
      <w:r w:rsidR="00F30F03" w:rsidRPr="00645DFF">
        <w:rPr>
          <w:rFonts w:ascii="Times New Roman" w:hAnsi="Times New Roman" w:cs="Times New Roman"/>
          <w:sz w:val="22"/>
        </w:rPr>
        <w:t xml:space="preserve">a large Gilbert damping constant was observed for the sample without a Ge interlayer, which can be attributed to direct coupling between the </w:t>
      </w:r>
      <w:proofErr w:type="spellStart"/>
      <w:r w:rsidR="00F30F03" w:rsidRPr="00645DFF">
        <w:rPr>
          <w:rFonts w:ascii="Times New Roman" w:hAnsi="Times New Roman" w:cs="Times New Roman"/>
          <w:sz w:val="22"/>
        </w:rPr>
        <w:t>BiSb</w:t>
      </w:r>
      <w:proofErr w:type="spellEnd"/>
      <w:r w:rsidR="00F30F03" w:rsidRPr="00645DFF">
        <w:rPr>
          <w:rFonts w:ascii="Times New Roman" w:hAnsi="Times New Roman" w:cs="Times New Roman"/>
          <w:sz w:val="22"/>
        </w:rPr>
        <w:t xml:space="preserve"> and </w:t>
      </w:r>
      <w:proofErr w:type="spellStart"/>
      <w:r w:rsidR="00F30F03" w:rsidRPr="00645DFF">
        <w:rPr>
          <w:rFonts w:ascii="Times New Roman" w:hAnsi="Times New Roman" w:cs="Times New Roman"/>
          <w:sz w:val="22"/>
        </w:rPr>
        <w:t>CoFeB</w:t>
      </w:r>
      <w:proofErr w:type="spellEnd"/>
      <w:r w:rsidR="00F30F03" w:rsidRPr="00645DFF">
        <w:rPr>
          <w:rFonts w:ascii="Times New Roman" w:hAnsi="Times New Roman" w:cs="Times New Roman"/>
          <w:sz w:val="22"/>
        </w:rPr>
        <w:t xml:space="preserve"> layers and enhanced spin backscattering at the intermixed </w:t>
      </w:r>
      <w:proofErr w:type="spellStart"/>
      <w:r w:rsidR="00F30F03" w:rsidRPr="00645DFF">
        <w:rPr>
          <w:rFonts w:ascii="Times New Roman" w:hAnsi="Times New Roman" w:cs="Times New Roman"/>
          <w:sz w:val="22"/>
        </w:rPr>
        <w:t>BiSb</w:t>
      </w:r>
      <w:proofErr w:type="spellEnd"/>
      <w:r w:rsidR="00F30F03" w:rsidRPr="00645DFF">
        <w:rPr>
          <w:rFonts w:ascii="Times New Roman" w:hAnsi="Times New Roman" w:cs="Times New Roman"/>
          <w:sz w:val="22"/>
        </w:rPr>
        <w:t>/</w:t>
      </w:r>
      <w:proofErr w:type="spellStart"/>
      <w:r w:rsidR="00F30F03" w:rsidRPr="00645DFF">
        <w:rPr>
          <w:rFonts w:ascii="Times New Roman" w:hAnsi="Times New Roman" w:cs="Times New Roman"/>
          <w:sz w:val="22"/>
        </w:rPr>
        <w:t>CoFeB</w:t>
      </w:r>
      <w:proofErr w:type="spellEnd"/>
      <w:r w:rsidR="00F30F03" w:rsidRPr="00645DFF">
        <w:rPr>
          <w:rFonts w:ascii="Times New Roman" w:hAnsi="Times New Roman" w:cs="Times New Roman"/>
          <w:sz w:val="22"/>
        </w:rPr>
        <w:t xml:space="preserve"> interface. T</w:t>
      </w:r>
      <w:r w:rsidRPr="00645DFF">
        <w:rPr>
          <w:rFonts w:ascii="Times New Roman" w:hAnsi="Times New Roman" w:cs="Times New Roman"/>
          <w:sz w:val="22"/>
        </w:rPr>
        <w:t xml:space="preserve">he damping </w:t>
      </w:r>
      <w:proofErr w:type="gramStart"/>
      <w:r w:rsidRPr="00645DFF">
        <w:rPr>
          <w:rFonts w:ascii="Times New Roman" w:hAnsi="Times New Roman" w:cs="Times New Roman"/>
          <w:sz w:val="22"/>
        </w:rPr>
        <w:t>constant</w:t>
      </w:r>
      <w:proofErr w:type="gramEnd"/>
      <w:r w:rsidRPr="00645DFF">
        <w:rPr>
          <w:rFonts w:ascii="Times New Roman" w:hAnsi="Times New Roman" w:cs="Times New Roman"/>
          <w:sz w:val="22"/>
        </w:rPr>
        <w:t xml:space="preserve"> decreases with increasing Ge thickness and tends to saturate beyond approximately 2 nm, indicating reduced magnetic relaxation when a Ge spacer is inserted. The SOT efficiency (Fig. 4(d)) exhibits a non-monotonic dependence on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Pr="00645DFF">
        <w:rPr>
          <w:rFonts w:ascii="Times New Roman" w:hAnsi="Times New Roman" w:cs="Times New Roman"/>
          <w:sz w:val="22"/>
        </w:rPr>
        <w:t xml:space="preserve">​: it increases from about 18% at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009C3F08" w:rsidRPr="00645DFF">
        <w:rPr>
          <w:rFonts w:ascii="Times New Roman" w:hAnsi="Times New Roman" w:cs="Times New Roman"/>
          <w:sz w:val="22"/>
        </w:rPr>
        <w:t xml:space="preserve"> </w:t>
      </w:r>
      <w:r w:rsidRPr="00645DFF">
        <w:rPr>
          <w:rFonts w:ascii="Times New Roman" w:hAnsi="Times New Roman" w:cs="Times New Roman"/>
          <w:sz w:val="22"/>
        </w:rPr>
        <w:t>​=</w:t>
      </w:r>
      <w:r w:rsidR="009C3F08" w:rsidRPr="00645DFF">
        <w:rPr>
          <w:rFonts w:ascii="Times New Roman" w:hAnsi="Times New Roman" w:cs="Times New Roman"/>
          <w:sz w:val="22"/>
        </w:rPr>
        <w:t xml:space="preserve"> </w:t>
      </w:r>
      <w:r w:rsidRPr="00645DFF">
        <w:rPr>
          <w:rFonts w:ascii="Times New Roman" w:hAnsi="Times New Roman" w:cs="Times New Roman"/>
          <w:sz w:val="22"/>
        </w:rPr>
        <w:t xml:space="preserve">0 nm to a maximum of ~50 % at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009C3F08" w:rsidRPr="00645DFF">
        <w:rPr>
          <w:rFonts w:ascii="Times New Roman" w:hAnsi="Times New Roman" w:cs="Times New Roman"/>
          <w:sz w:val="22"/>
        </w:rPr>
        <w:t xml:space="preserve"> </w:t>
      </w:r>
      <w:r w:rsidRPr="00645DFF">
        <w:rPr>
          <w:rFonts w:ascii="Times New Roman" w:hAnsi="Times New Roman" w:cs="Times New Roman"/>
          <w:sz w:val="22"/>
        </w:rPr>
        <w:t>​=</w:t>
      </w:r>
      <w:r w:rsidR="009C3F08" w:rsidRPr="00645DFF">
        <w:rPr>
          <w:rFonts w:ascii="Times New Roman" w:hAnsi="Times New Roman" w:cs="Times New Roman"/>
          <w:sz w:val="22"/>
        </w:rPr>
        <w:t xml:space="preserve"> </w:t>
      </w:r>
      <w:r w:rsidRPr="00645DFF">
        <w:rPr>
          <w:rFonts w:ascii="Times New Roman" w:hAnsi="Times New Roman" w:cs="Times New Roman"/>
          <w:sz w:val="22"/>
        </w:rPr>
        <w:t xml:space="preserve">1 nm, and then gradually decreases with further </w:t>
      </w:r>
      <w:r w:rsidR="009C3F08" w:rsidRPr="00645DFF">
        <w:rPr>
          <w:rFonts w:ascii="Times New Roman" w:hAnsi="Times New Roman" w:cs="Times New Roman"/>
          <w:sz w:val="22"/>
        </w:rPr>
        <w:t xml:space="preserve">increasing </w:t>
      </w:r>
      <w:proofErr w:type="spellStart"/>
      <w:r w:rsidR="009C3F08"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Pr="00645DFF">
        <w:rPr>
          <w:rFonts w:ascii="Times New Roman" w:hAnsi="Times New Roman" w:cs="Times New Roman"/>
          <w:sz w:val="22"/>
        </w:rPr>
        <w:t>. In the absence of a Ge interlayer (</w:t>
      </w:r>
      <w:proofErr w:type="spellStart"/>
      <w:r w:rsidRPr="00645DFF">
        <w:rPr>
          <w:rFonts w:ascii="Times New Roman" w:hAnsi="Times New Roman" w:cs="Times New Roman"/>
          <w:i/>
          <w:iCs/>
          <w:sz w:val="22"/>
        </w:rPr>
        <w:t>t</w:t>
      </w:r>
      <w:r w:rsidRPr="00645DFF">
        <w:rPr>
          <w:rFonts w:ascii="Times New Roman" w:hAnsi="Times New Roman" w:cs="Times New Roman"/>
          <w:sz w:val="22"/>
          <w:vertAlign w:val="subscript"/>
        </w:rPr>
        <w:t>Ge</w:t>
      </w:r>
      <w:proofErr w:type="spellEnd"/>
      <w:r w:rsidR="00CB174C" w:rsidRPr="00645DFF">
        <w:rPr>
          <w:rFonts w:ascii="Times New Roman" w:hAnsi="Times New Roman" w:cs="Times New Roman"/>
          <w:sz w:val="22"/>
        </w:rPr>
        <w:t xml:space="preserve"> </w:t>
      </w:r>
      <w:r w:rsidRPr="00645DFF">
        <w:rPr>
          <w:rFonts w:ascii="Times New Roman" w:hAnsi="Times New Roman" w:cs="Times New Roman"/>
          <w:sz w:val="22"/>
        </w:rPr>
        <w:t>​=</w:t>
      </w:r>
      <w:r w:rsidR="00CB174C" w:rsidRPr="00645DFF">
        <w:rPr>
          <w:rFonts w:ascii="Times New Roman" w:hAnsi="Times New Roman" w:cs="Times New Roman"/>
          <w:sz w:val="22"/>
        </w:rPr>
        <w:t xml:space="preserve"> </w:t>
      </w:r>
      <w:r w:rsidRPr="00645DFF">
        <w:rPr>
          <w:rFonts w:ascii="Times New Roman" w:hAnsi="Times New Roman" w:cs="Times New Roman"/>
          <w:sz w:val="22"/>
        </w:rPr>
        <w:t xml:space="preserve">0 nm), the direct contact between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and </w:t>
      </w:r>
      <w:proofErr w:type="spellStart"/>
      <w:r w:rsidRPr="00645DFF">
        <w:rPr>
          <w:rFonts w:ascii="Times New Roman" w:hAnsi="Times New Roman" w:cs="Times New Roman"/>
          <w:sz w:val="22"/>
        </w:rPr>
        <w:t>CoFeB</w:t>
      </w:r>
      <w:proofErr w:type="spellEnd"/>
      <w:r w:rsidRPr="00645DFF">
        <w:rPr>
          <w:rFonts w:ascii="Times New Roman" w:hAnsi="Times New Roman" w:cs="Times New Roman"/>
          <w:sz w:val="22"/>
        </w:rPr>
        <w:t xml:space="preserve"> disrupts the topological surface states of </w:t>
      </w:r>
      <w:proofErr w:type="spellStart"/>
      <w:r w:rsidRPr="00645DFF">
        <w:rPr>
          <w:rFonts w:ascii="Times New Roman" w:hAnsi="Times New Roman" w:cs="Times New Roman"/>
          <w:sz w:val="22"/>
        </w:rPr>
        <w:t>BiSb</w:t>
      </w:r>
      <w:proofErr w:type="spellEnd"/>
      <w:r w:rsidRPr="00645DFF">
        <w:rPr>
          <w:rFonts w:ascii="Times New Roman" w:hAnsi="Times New Roman" w:cs="Times New Roman"/>
          <w:sz w:val="22"/>
        </w:rPr>
        <w:t xml:space="preserve"> due to interfacial intermixing and magnetic proximity effects</w:t>
      </w:r>
      <w:r w:rsidR="00544478" w:rsidRPr="00645DFF">
        <w:rPr>
          <w:rFonts w:ascii="Times New Roman" w:hAnsi="Times New Roman" w:cs="Times New Roman"/>
          <w:sz w:val="22"/>
        </w:rPr>
        <w:t>.</w:t>
      </w:r>
      <w:r w:rsidR="00544478" w:rsidRPr="00645DFF">
        <w:rPr>
          <w:rFonts w:ascii="Times New Roman" w:hAnsi="Times New Roman" w:cs="Times New Roman"/>
          <w:sz w:val="22"/>
        </w:rPr>
        <w:fldChar w:fldCharType="begin"/>
      </w:r>
      <w:r w:rsidR="00FE2BAE" w:rsidRPr="00645DFF">
        <w:rPr>
          <w:rFonts w:ascii="Times New Roman" w:hAnsi="Times New Roman" w:cs="Times New Roman"/>
          <w:sz w:val="22"/>
        </w:rPr>
        <w:instrText xml:space="preserve"> ADDIN ZOTERO_ITEM CSL_CITATION {"citationID":"Uz4H8Vj6","properties":{"unsorted":false,"formattedCitation":"\\super 37,38\\nosupersub{}","plainCitation":"37,38","noteIndex":0},"citationItems":[{"id":"Wnkjn3Rf/cm6duHwM","uris":["http://zotero.org/users/17579442/items/FN53SGUF"],"itemData":{"id":"BMUZIrgb/9G2ylfhW","type":"article-journal","container-title":"Physical Review B","DOI":"10.1103/PhysRevB.97.054405","ISSN":"2469-9950, 2469-9969","issue":"5","journalAbbreviation":"Phys. Rev. B","language":"en","page":"054405","source":"DOI.org (Crossref)","title":"Magnetic proximity effect of a topological insulator and a ferromagnet in thin-film bilayers of Bi 0.5 Sb 1.5 Te 3 and SrRuO 3","volume":"97","author":[{"family":"Koren","given":"Gad"}],"issued":{"date-parts":[["2018",2,5]]}}},{"id":7054,"uris":["http://zotero.org/users/2200358/items/KD4ZXQJH"],"itemData":{"id":7054,"type":"article-journal","abstract":"In this progress report, we examine recent efforts towards the introduction of magnetic order into topologically nontrivial systems through magnetic proximity effects, with a particular emphasis on the methods of characterizing magnetization induced at the interface. We focus on the challenges associated with comparing magneto-transport measurements with magnetic scattering and spectroscopy techniques, considering the limitations and potential artifacts associated with topological insulator heterostructures. Taking the (Bi,Sb)2⁢(Se,Te)3 family of three-dimensional topological insulators as an example, we discuss the results associated with a wide range of magnetically ordered reservoirs and highlight the wide discrepancies in reported magnetic proximity effect strengths detected using different characterization techniques. Finally, we discuss the outlook of magnetic proximity effects in topological insulator heterostructures as a route towards a higher-temperature quantum anomalous Hall effect.","container-title":"Physical Review Materials","DOI":"10.1103/PhysRevMaterials.5.090301","issue":"9","journalAbbreviation":"Phys. Rev. Mater.","page":"090301","publisher":"American Physical Society","source":"APS","title":"Magnetic proximity effects in topological insulator heterostructures: Implementation and characterization","title-short":"Magnetic proximity effects in topological insulator heterostructures","URL":"https://link.aps.org/doi/10.1103/PhysRevMaterials.5.090301","volume":"5","author":[{"family":"Grutter","given":"A. J."},{"family":"He","given":"Q. L."}],"accessed":{"date-parts":[["2026",3,19]]},"issued":{"date-parts":[["2021",9,14]]}}}],"schema":"https://github.com/citation-style-language/schema/raw/master/csl-citation.json"} </w:instrText>
      </w:r>
      <w:r w:rsidR="00544478" w:rsidRPr="00645DFF">
        <w:rPr>
          <w:rFonts w:ascii="Times New Roman" w:hAnsi="Times New Roman" w:cs="Times New Roman"/>
          <w:sz w:val="22"/>
        </w:rPr>
        <w:fldChar w:fldCharType="separate"/>
      </w:r>
      <w:r w:rsidR="00FE2BAE" w:rsidRPr="00645DFF">
        <w:rPr>
          <w:rFonts w:ascii="Aptos" w:hAnsi="Aptos" w:cs="Times New Roman"/>
          <w:kern w:val="0"/>
          <w:sz w:val="22"/>
          <w:vertAlign w:val="superscript"/>
        </w:rPr>
        <w:t>37,38</w:t>
      </w:r>
      <w:r w:rsidR="00544478" w:rsidRPr="00645DFF">
        <w:rPr>
          <w:rFonts w:ascii="Times New Roman" w:hAnsi="Times New Roman" w:cs="Times New Roman"/>
          <w:sz w:val="22"/>
        </w:rPr>
        <w:fldChar w:fldCharType="end"/>
      </w:r>
      <w:r w:rsidR="00544478" w:rsidRPr="00645DFF">
        <w:rPr>
          <w:rFonts w:ascii="Times New Roman" w:hAnsi="Times New Roman" w:cs="Times New Roman"/>
          <w:sz w:val="22"/>
        </w:rPr>
        <w:t xml:space="preserve"> </w:t>
      </w:r>
      <w:r w:rsidRPr="00645DFF">
        <w:rPr>
          <w:rFonts w:ascii="Times New Roman" w:hAnsi="Times New Roman" w:cs="Times New Roman"/>
          <w:sz w:val="22"/>
        </w:rPr>
        <w:t xml:space="preserve">Introducing a thin (~1 nm) Ge layer effectively suppresses this interfacial perturbation, preserving the </w:t>
      </w:r>
      <w:r w:rsidR="00CB174C" w:rsidRPr="00645DFF">
        <w:rPr>
          <w:rFonts w:ascii="Times New Roman" w:hAnsi="Times New Roman" w:cs="Times New Roman"/>
          <w:sz w:val="22"/>
        </w:rPr>
        <w:t xml:space="preserve">topological surface </w:t>
      </w:r>
      <w:r w:rsidRPr="00645DFF">
        <w:rPr>
          <w:rFonts w:ascii="Times New Roman" w:hAnsi="Times New Roman" w:cs="Times New Roman"/>
          <w:sz w:val="22"/>
        </w:rPr>
        <w:t xml:space="preserve">states and enhancing spin transparency across the interface. </w:t>
      </w:r>
      <w:r w:rsidR="00CB174C" w:rsidRPr="00645DFF">
        <w:rPr>
          <w:rFonts w:ascii="Times New Roman" w:hAnsi="Times New Roman" w:cs="Times New Roman"/>
          <w:sz w:val="22"/>
        </w:rPr>
        <w:t xml:space="preserve">However, when the Ge layer becomes thicker than a few nanometers, the interfacial spin transparency decreases, leading to partial attenuation of the spin current transmitted from </w:t>
      </w:r>
      <w:proofErr w:type="spellStart"/>
      <w:r w:rsidR="00CB174C" w:rsidRPr="00645DFF">
        <w:rPr>
          <w:rFonts w:ascii="Times New Roman" w:hAnsi="Times New Roman" w:cs="Times New Roman"/>
          <w:sz w:val="22"/>
        </w:rPr>
        <w:t>BiSb</w:t>
      </w:r>
      <w:proofErr w:type="spellEnd"/>
      <w:r w:rsidR="00CB174C" w:rsidRPr="00645DFF">
        <w:rPr>
          <w:rFonts w:ascii="Times New Roman" w:hAnsi="Times New Roman" w:cs="Times New Roman"/>
          <w:sz w:val="22"/>
        </w:rPr>
        <w:t xml:space="preserve"> to </w:t>
      </w:r>
      <w:proofErr w:type="spellStart"/>
      <w:r w:rsidR="00CB174C" w:rsidRPr="00645DFF">
        <w:rPr>
          <w:rFonts w:ascii="Times New Roman" w:hAnsi="Times New Roman" w:cs="Times New Roman"/>
          <w:sz w:val="22"/>
        </w:rPr>
        <w:t>CoFeB</w:t>
      </w:r>
      <w:proofErr w:type="spellEnd"/>
      <w:r w:rsidR="00CB174C" w:rsidRPr="00645DFF">
        <w:rPr>
          <w:rFonts w:ascii="Times New Roman" w:hAnsi="Times New Roman" w:cs="Times New Roman"/>
          <w:sz w:val="22"/>
        </w:rPr>
        <w:t>.</w:t>
      </w:r>
      <w:r w:rsidR="00F30F03" w:rsidRPr="00645DFF">
        <w:rPr>
          <w:rFonts w:ascii="Times New Roman" w:hAnsi="Times New Roman" w:cs="Times New Roman"/>
          <w:sz w:val="22"/>
        </w:rPr>
        <w:t xml:space="preserve"> T</w:t>
      </w:r>
      <w:r w:rsidR="00CB174C" w:rsidRPr="00645DFF">
        <w:rPr>
          <w:rFonts w:ascii="Times New Roman" w:hAnsi="Times New Roman" w:cs="Times New Roman"/>
          <w:sz w:val="22"/>
        </w:rPr>
        <w:t>he reduced interfacial transparency across a thicker Ge spacer limits the torque efficiency observed in the ferromagnet.</w:t>
      </w:r>
      <w:r w:rsidR="00F30F03" w:rsidRPr="00645DFF">
        <w:rPr>
          <w:rFonts w:ascii="Times New Roman" w:hAnsi="Times New Roman" w:cs="Times New Roman"/>
          <w:sz w:val="22"/>
        </w:rPr>
        <w:t xml:space="preserve"> </w:t>
      </w:r>
      <w:r w:rsidR="00CB174C" w:rsidRPr="00645DFF">
        <w:rPr>
          <w:rFonts w:ascii="Times New Roman" w:hAnsi="Times New Roman" w:cs="Times New Roman"/>
          <w:sz w:val="22"/>
        </w:rPr>
        <w:t>These results demonstrate that inserting an ultrathin Ge layer optimizes the interface quality and spin transmission, resulting in both a lower damping constant and a higher SOT efficiency. The optim</w:t>
      </w:r>
      <w:r w:rsidR="009F3D0B" w:rsidRPr="00645DFF">
        <w:rPr>
          <w:rFonts w:ascii="Times New Roman" w:hAnsi="Times New Roman" w:cs="Times New Roman"/>
          <w:sz w:val="22"/>
        </w:rPr>
        <w:t>al</w:t>
      </w:r>
      <w:r w:rsidR="00CB174C" w:rsidRPr="00645DFF">
        <w:rPr>
          <w:rFonts w:ascii="Times New Roman" w:hAnsi="Times New Roman" w:cs="Times New Roman"/>
          <w:sz w:val="22"/>
        </w:rPr>
        <w:t xml:space="preserve"> Ge thickness of a</w:t>
      </w:r>
      <w:r w:rsidR="009F3D0B" w:rsidRPr="00645DFF">
        <w:rPr>
          <w:rFonts w:ascii="Times New Roman" w:hAnsi="Times New Roman" w:cs="Times New Roman"/>
          <w:sz w:val="22"/>
        </w:rPr>
        <w:t>pproximately</w:t>
      </w:r>
      <w:r w:rsidR="00CB174C" w:rsidRPr="00645DFF">
        <w:rPr>
          <w:rFonts w:ascii="Times New Roman" w:hAnsi="Times New Roman" w:cs="Times New Roman"/>
          <w:sz w:val="22"/>
        </w:rPr>
        <w:t xml:space="preserve"> 1 nm provides the best balance between interface preservation and spin-current transmission in </w:t>
      </w:r>
      <w:proofErr w:type="spellStart"/>
      <w:r w:rsidR="00CB174C" w:rsidRPr="00645DFF">
        <w:rPr>
          <w:rFonts w:ascii="Times New Roman" w:hAnsi="Times New Roman" w:cs="Times New Roman"/>
          <w:sz w:val="22"/>
        </w:rPr>
        <w:t>BiSb</w:t>
      </w:r>
      <w:proofErr w:type="spellEnd"/>
      <w:r w:rsidR="00CB174C" w:rsidRPr="00645DFF">
        <w:rPr>
          <w:rFonts w:ascii="Times New Roman" w:hAnsi="Times New Roman" w:cs="Times New Roman"/>
          <w:sz w:val="22"/>
        </w:rPr>
        <w:t>-based heterostructures.</w:t>
      </w:r>
      <w:r w:rsidR="00496364" w:rsidRPr="00645DFF">
        <w:rPr>
          <w:rFonts w:ascii="Times New Roman" w:hAnsi="Times New Roman" w:cs="Times New Roman"/>
        </w:rPr>
        <w:t xml:space="preserve"> </w:t>
      </w:r>
      <w:r w:rsidR="00496364" w:rsidRPr="00645DFF">
        <w:rPr>
          <w:rFonts w:ascii="Times New Roman" w:hAnsi="Times New Roman" w:cs="Times New Roman"/>
          <w:sz w:val="22"/>
        </w:rPr>
        <w:t>The correlation between SOT efficiency, damping behavior, and Ge thickness suggests improved spin transparency at the optimized thickness (~1 nm), supporting enhanced spin transmission across the interface.</w:t>
      </w:r>
    </w:p>
    <w:p w14:paraId="3D936282" w14:textId="52F09B74" w:rsidR="00FE6D57" w:rsidRPr="00645DFF" w:rsidRDefault="00302A8D" w:rsidP="00FE6D57">
      <w:pPr>
        <w:spacing w:line="360" w:lineRule="auto"/>
        <w:jc w:val="center"/>
        <w:rPr>
          <w:rFonts w:ascii="Times New Roman" w:hAnsi="Times New Roman" w:cs="Times New Roman"/>
          <w:sz w:val="22"/>
        </w:rPr>
      </w:pPr>
      <w:r w:rsidRPr="00645DFF">
        <w:rPr>
          <w:rFonts w:ascii="Times New Roman" w:hAnsi="Times New Roman" w:cs="Times New Roman"/>
          <w:noProof/>
        </w:rPr>
        <w:lastRenderedPageBreak/>
        <w:drawing>
          <wp:inline distT="0" distB="0" distL="0" distR="0" wp14:anchorId="5D13AFF7" wp14:editId="0F7A5C83">
            <wp:extent cx="4384306" cy="3585746"/>
            <wp:effectExtent l="0" t="0" r="0" b="0"/>
            <wp:docPr id="922101980" name="Picture 3" descr="A graph of a graph of a sam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1980" name="Picture 3" descr="A graph of a graph of a sampl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0634" cy="3590922"/>
                    </a:xfrm>
                    <a:prstGeom prst="rect">
                      <a:avLst/>
                    </a:prstGeom>
                    <a:noFill/>
                    <a:ln>
                      <a:noFill/>
                    </a:ln>
                  </pic:spPr>
                </pic:pic>
              </a:graphicData>
            </a:graphic>
          </wp:inline>
        </w:drawing>
      </w:r>
    </w:p>
    <w:p w14:paraId="3BC2EDEA" w14:textId="181F9A97" w:rsidR="008F6BAF" w:rsidRPr="00645DFF" w:rsidRDefault="00FE6D57" w:rsidP="00FE6D57">
      <w:pPr>
        <w:spacing w:line="360" w:lineRule="auto"/>
        <w:rPr>
          <w:rFonts w:ascii="Times New Roman" w:eastAsia="DengXian" w:hAnsi="Times New Roman" w:cs="Times New Roman"/>
          <w:sz w:val="22"/>
          <w:lang w:eastAsia="zh-CN"/>
        </w:rPr>
      </w:pPr>
      <w:r w:rsidRPr="00645DFF">
        <w:rPr>
          <w:rFonts w:ascii="Times New Roman" w:hAnsi="Times New Roman" w:cs="Times New Roman"/>
          <w:b/>
          <w:bCs/>
          <w:sz w:val="22"/>
        </w:rPr>
        <w:t>F</w:t>
      </w:r>
      <w:r w:rsidR="008F6BAF" w:rsidRPr="00645DFF">
        <w:rPr>
          <w:rFonts w:ascii="Times New Roman" w:hAnsi="Times New Roman" w:cs="Times New Roman"/>
          <w:b/>
          <w:bCs/>
          <w:sz w:val="22"/>
        </w:rPr>
        <w:t xml:space="preserve">IG. </w:t>
      </w:r>
      <w:r w:rsidRPr="00645DFF">
        <w:rPr>
          <w:rFonts w:ascii="Times New Roman" w:hAnsi="Times New Roman" w:cs="Times New Roman"/>
          <w:b/>
          <w:bCs/>
          <w:sz w:val="22"/>
        </w:rPr>
        <w:t>4</w:t>
      </w:r>
      <w:r w:rsidR="008F6BAF" w:rsidRPr="00645DFF">
        <w:rPr>
          <w:rFonts w:ascii="Times New Roman" w:hAnsi="Times New Roman" w:cs="Times New Roman"/>
          <w:b/>
          <w:bCs/>
          <w:sz w:val="22"/>
        </w:rPr>
        <w:t>.</w:t>
      </w:r>
      <w:r w:rsidRPr="00645DFF">
        <w:rPr>
          <w:rFonts w:ascii="Times New Roman" w:hAnsi="Times New Roman" w:cs="Times New Roman"/>
          <w:sz w:val="22"/>
        </w:rPr>
        <w:t xml:space="preserve"> </w:t>
      </w:r>
      <w:r w:rsidR="008F6BAF" w:rsidRPr="00645DFF">
        <w:rPr>
          <w:rFonts w:ascii="Times New Roman" w:hAnsi="Times New Roman" w:cs="Times New Roman"/>
          <w:sz w:val="22"/>
        </w:rPr>
        <w:t xml:space="preserve">(a, b) Representative ST-FMR spectra for </w:t>
      </w:r>
      <w:proofErr w:type="spellStart"/>
      <w:r w:rsidR="008F6BAF" w:rsidRPr="00645DFF">
        <w:rPr>
          <w:rFonts w:ascii="Times New Roman" w:hAnsi="Times New Roman" w:cs="Times New Roman"/>
          <w:sz w:val="22"/>
        </w:rPr>
        <w:t>BiSb</w:t>
      </w:r>
      <w:proofErr w:type="spellEnd"/>
      <w:r w:rsidR="008F6BAF" w:rsidRPr="00645DFF">
        <w:rPr>
          <w:rFonts w:ascii="Times New Roman" w:hAnsi="Times New Roman" w:cs="Times New Roman"/>
          <w:sz w:val="22"/>
        </w:rPr>
        <w:t>/</w:t>
      </w:r>
      <w:proofErr w:type="spellStart"/>
      <w:r w:rsidR="008F6BAF" w:rsidRPr="00645DFF">
        <w:rPr>
          <w:rFonts w:ascii="Times New Roman" w:hAnsi="Times New Roman" w:cs="Times New Roman"/>
          <w:sz w:val="22"/>
        </w:rPr>
        <w:t>CoFeB</w:t>
      </w:r>
      <w:proofErr w:type="spellEnd"/>
      <w:r w:rsidR="008F6BAF" w:rsidRPr="00645DFF">
        <w:rPr>
          <w:rFonts w:ascii="Times New Roman" w:hAnsi="Times New Roman" w:cs="Times New Roman"/>
          <w:sz w:val="22"/>
        </w:rPr>
        <w:t xml:space="preserve"> (without Ge interlayer) and </w:t>
      </w:r>
      <w:proofErr w:type="spellStart"/>
      <w:r w:rsidR="008F6BAF" w:rsidRPr="00645DFF">
        <w:rPr>
          <w:rFonts w:ascii="Times New Roman" w:hAnsi="Times New Roman" w:cs="Times New Roman"/>
          <w:sz w:val="22"/>
        </w:rPr>
        <w:t>BiSb</w:t>
      </w:r>
      <w:proofErr w:type="spellEnd"/>
      <w:r w:rsidR="008F6BAF" w:rsidRPr="00645DFF">
        <w:rPr>
          <w:rFonts w:ascii="Times New Roman" w:hAnsi="Times New Roman" w:cs="Times New Roman"/>
          <w:sz w:val="22"/>
        </w:rPr>
        <w:t>/Ge (4 nm)/</w:t>
      </w:r>
      <w:proofErr w:type="spellStart"/>
      <w:r w:rsidR="008F6BAF" w:rsidRPr="00645DFF">
        <w:rPr>
          <w:rFonts w:ascii="Times New Roman" w:hAnsi="Times New Roman" w:cs="Times New Roman"/>
          <w:sz w:val="22"/>
        </w:rPr>
        <w:t>CoFeB</w:t>
      </w:r>
      <w:proofErr w:type="spellEnd"/>
      <w:r w:rsidR="008F6BAF" w:rsidRPr="00645DFF">
        <w:rPr>
          <w:rFonts w:ascii="Times New Roman" w:hAnsi="Times New Roman" w:cs="Times New Roman"/>
          <w:sz w:val="22"/>
        </w:rPr>
        <w:t xml:space="preserve"> samples, respectively. The experimental data (open circles) are fitted using Eq. (1) with symmetric (</w:t>
      </w:r>
      <w:r w:rsidR="00302A8D" w:rsidRPr="00645DFF">
        <w:rPr>
          <w:rFonts w:ascii="Times New Roman" w:hAnsi="Times New Roman" w:cs="Times New Roman"/>
          <w:sz w:val="22"/>
        </w:rPr>
        <w:t>red</w:t>
      </w:r>
      <w:r w:rsidR="008F6BAF" w:rsidRPr="00645DFF">
        <w:rPr>
          <w:rFonts w:ascii="Times New Roman" w:hAnsi="Times New Roman" w:cs="Times New Roman"/>
          <w:sz w:val="22"/>
        </w:rPr>
        <w:t>) and antisymmetric (</w:t>
      </w:r>
      <w:r w:rsidR="00302A8D" w:rsidRPr="00645DFF">
        <w:rPr>
          <w:rFonts w:ascii="Times New Roman" w:hAnsi="Times New Roman" w:cs="Times New Roman"/>
          <w:sz w:val="22"/>
        </w:rPr>
        <w:t>blue</w:t>
      </w:r>
      <w:r w:rsidR="008F6BAF" w:rsidRPr="00645DFF">
        <w:rPr>
          <w:rFonts w:ascii="Times New Roman" w:hAnsi="Times New Roman" w:cs="Times New Roman"/>
          <w:sz w:val="22"/>
        </w:rPr>
        <w:t>) Lorentzian components</w:t>
      </w:r>
      <w:r w:rsidR="009F3D0B" w:rsidRPr="00645DFF">
        <w:rPr>
          <w:rFonts w:ascii="Times New Roman" w:hAnsi="Times New Roman" w:cs="Times New Roman"/>
          <w:sz w:val="22"/>
        </w:rPr>
        <w:t>,</w:t>
      </w:r>
      <w:r w:rsidR="008F6BAF" w:rsidRPr="00645DFF">
        <w:rPr>
          <w:rFonts w:ascii="Times New Roman" w:hAnsi="Times New Roman" w:cs="Times New Roman"/>
          <w:sz w:val="22"/>
        </w:rPr>
        <w:t xml:space="preserve"> a</w:t>
      </w:r>
      <w:r w:rsidR="009F3D0B" w:rsidRPr="00645DFF">
        <w:rPr>
          <w:rFonts w:ascii="Times New Roman" w:hAnsi="Times New Roman" w:cs="Times New Roman"/>
          <w:sz w:val="22"/>
        </w:rPr>
        <w:t>s well as</w:t>
      </w:r>
      <w:r w:rsidR="008F6BAF" w:rsidRPr="00645DFF">
        <w:rPr>
          <w:rFonts w:ascii="Times New Roman" w:hAnsi="Times New Roman" w:cs="Times New Roman"/>
          <w:sz w:val="22"/>
        </w:rPr>
        <w:t xml:space="preserve"> the total fit (</w:t>
      </w:r>
      <w:r w:rsidR="00302A8D" w:rsidRPr="00645DFF">
        <w:rPr>
          <w:rFonts w:ascii="Times New Roman" w:hAnsi="Times New Roman" w:cs="Times New Roman"/>
          <w:sz w:val="22"/>
        </w:rPr>
        <w:t xml:space="preserve">black </w:t>
      </w:r>
      <w:r w:rsidR="008F6BAF" w:rsidRPr="00645DFF">
        <w:rPr>
          <w:rFonts w:ascii="Times New Roman" w:hAnsi="Times New Roman" w:cs="Times New Roman"/>
          <w:sz w:val="22"/>
        </w:rPr>
        <w:t>lines).</w:t>
      </w:r>
      <w:r w:rsidR="008F6BAF" w:rsidRPr="00645DFF">
        <w:rPr>
          <w:rFonts w:ascii="Times New Roman" w:hAnsi="Times New Roman" w:cs="Times New Roman"/>
          <w:sz w:val="22"/>
        </w:rPr>
        <w:br/>
        <w:t xml:space="preserve">(c) Dependence of the </w:t>
      </w:r>
      <w:r w:rsidR="008F6BAF" w:rsidRPr="00645DFF">
        <w:rPr>
          <w:rFonts w:ascii="Times New Roman" w:hAnsi="Times New Roman" w:cs="Times New Roman"/>
          <w:i/>
          <w:iCs/>
          <w:sz w:val="22"/>
        </w:rPr>
        <w:t>α</w:t>
      </w:r>
      <w:r w:rsidR="008F6BAF" w:rsidRPr="00645DFF">
        <w:rPr>
          <w:rFonts w:ascii="Times New Roman" w:hAnsi="Times New Roman" w:cs="Times New Roman"/>
          <w:sz w:val="22"/>
          <w:vertAlign w:val="subscript"/>
        </w:rPr>
        <w:t>eff</w:t>
      </w:r>
      <w:r w:rsidR="008F6BAF" w:rsidRPr="00645DFF">
        <w:rPr>
          <w:rFonts w:ascii="Times New Roman" w:hAnsi="Times New Roman" w:cs="Times New Roman"/>
          <w:sz w:val="22"/>
        </w:rPr>
        <w:t>​ on the Ge interlayer thickness (</w:t>
      </w:r>
      <w:proofErr w:type="spellStart"/>
      <w:r w:rsidR="008F6BAF" w:rsidRPr="00645DFF">
        <w:rPr>
          <w:rFonts w:ascii="Times New Roman" w:hAnsi="Times New Roman" w:cs="Times New Roman"/>
          <w:i/>
          <w:iCs/>
          <w:sz w:val="22"/>
        </w:rPr>
        <w:t>t</w:t>
      </w:r>
      <w:r w:rsidR="008F6BAF" w:rsidRPr="00645DFF">
        <w:rPr>
          <w:rFonts w:ascii="Times New Roman" w:hAnsi="Times New Roman" w:cs="Times New Roman"/>
          <w:sz w:val="22"/>
          <w:vertAlign w:val="subscript"/>
        </w:rPr>
        <w:t>Ge</w:t>
      </w:r>
      <w:proofErr w:type="spellEnd"/>
      <w:r w:rsidR="008F6BAF" w:rsidRPr="00645DFF">
        <w:rPr>
          <w:rFonts w:ascii="Times New Roman" w:hAnsi="Times New Roman" w:cs="Times New Roman"/>
          <w:sz w:val="22"/>
        </w:rPr>
        <w:t>​).</w:t>
      </w:r>
      <w:r w:rsidR="00C27D84" w:rsidRPr="00645DFF">
        <w:rPr>
          <w:rFonts w:ascii="Times New Roman" w:hAnsi="Times New Roman" w:cs="Times New Roman"/>
          <w:sz w:val="22"/>
        </w:rPr>
        <w:t xml:space="preserve"> </w:t>
      </w:r>
      <w:r w:rsidR="008F6BAF" w:rsidRPr="00645DFF">
        <w:rPr>
          <w:rFonts w:ascii="Times New Roman" w:hAnsi="Times New Roman" w:cs="Times New Roman"/>
          <w:sz w:val="22"/>
        </w:rPr>
        <w:t xml:space="preserve">(d) </w:t>
      </w:r>
      <w:r w:rsidR="00A52327" w:rsidRPr="00645DFF">
        <w:rPr>
          <w:rFonts w:ascii="Times New Roman" w:hAnsi="Times New Roman" w:cs="Times New Roman"/>
          <w:sz w:val="22"/>
        </w:rPr>
        <w:t xml:space="preserve">Corresponding change of </w:t>
      </w:r>
      <w:r w:rsidR="008F6BAF" w:rsidRPr="00645DFF">
        <w:rPr>
          <w:rFonts w:ascii="Times New Roman" w:hAnsi="Times New Roman" w:cs="Times New Roman"/>
          <w:sz w:val="22"/>
        </w:rPr>
        <w:t>the SOT efficiency (</w:t>
      </w:r>
      <w:proofErr w:type="spellStart"/>
      <w:r w:rsidR="008F6BAF" w:rsidRPr="00645DFF">
        <w:rPr>
          <w:rFonts w:ascii="Times New Roman" w:hAnsi="Times New Roman" w:cs="Times New Roman"/>
          <w:i/>
          <w:iCs/>
          <w:sz w:val="22"/>
        </w:rPr>
        <w:t>ξ</w:t>
      </w:r>
      <w:r w:rsidR="008F6BAF" w:rsidRPr="00645DFF">
        <w:rPr>
          <w:rFonts w:ascii="Times New Roman" w:hAnsi="Times New Roman" w:cs="Times New Roman"/>
          <w:sz w:val="22"/>
          <w:vertAlign w:val="subscript"/>
        </w:rPr>
        <w:t>SOT</w:t>
      </w:r>
      <w:proofErr w:type="spellEnd"/>
      <w:r w:rsidR="008F6BAF" w:rsidRPr="00645DFF">
        <w:rPr>
          <w:rFonts w:ascii="Times New Roman" w:hAnsi="Times New Roman" w:cs="Times New Roman"/>
          <w:sz w:val="22"/>
        </w:rPr>
        <w:t xml:space="preserve">​) </w:t>
      </w:r>
      <w:r w:rsidR="00A52327" w:rsidRPr="00645DFF">
        <w:rPr>
          <w:rFonts w:ascii="Times New Roman" w:hAnsi="Times New Roman" w:cs="Times New Roman"/>
          <w:sz w:val="22"/>
        </w:rPr>
        <w:t xml:space="preserve">as a function of </w:t>
      </w:r>
      <w:proofErr w:type="spellStart"/>
      <w:r w:rsidR="008F6BAF" w:rsidRPr="00645DFF">
        <w:rPr>
          <w:rFonts w:ascii="Times New Roman" w:hAnsi="Times New Roman" w:cs="Times New Roman"/>
          <w:i/>
          <w:iCs/>
          <w:sz w:val="22"/>
        </w:rPr>
        <w:t>t</w:t>
      </w:r>
      <w:r w:rsidR="008F6BAF" w:rsidRPr="00645DFF">
        <w:rPr>
          <w:rFonts w:ascii="Times New Roman" w:hAnsi="Times New Roman" w:cs="Times New Roman"/>
          <w:sz w:val="22"/>
          <w:vertAlign w:val="subscript"/>
        </w:rPr>
        <w:t>Ge</w:t>
      </w:r>
      <w:proofErr w:type="spellEnd"/>
      <w:r w:rsidR="008F6BAF" w:rsidRPr="00645DFF">
        <w:rPr>
          <w:rFonts w:ascii="Times New Roman" w:hAnsi="Times New Roman" w:cs="Times New Roman"/>
          <w:sz w:val="22"/>
        </w:rPr>
        <w:t>​.</w:t>
      </w:r>
    </w:p>
    <w:p w14:paraId="75F4EE39" w14:textId="77777777" w:rsidR="00C30423" w:rsidRPr="00645DFF" w:rsidRDefault="00C30423" w:rsidP="00C37753">
      <w:pPr>
        <w:spacing w:line="480" w:lineRule="auto"/>
        <w:ind w:firstLine="720"/>
        <w:rPr>
          <w:rFonts w:ascii="Times New Roman" w:hAnsi="Times New Roman" w:cs="Times New Roman"/>
          <w:sz w:val="22"/>
        </w:rPr>
      </w:pPr>
    </w:p>
    <w:p w14:paraId="640C2271" w14:textId="4853EDBC" w:rsidR="00C30423" w:rsidRPr="00645DFF" w:rsidRDefault="00C30423" w:rsidP="00C30423">
      <w:pPr>
        <w:spacing w:line="480" w:lineRule="auto"/>
        <w:rPr>
          <w:rFonts w:ascii="Times New Roman" w:hAnsi="Times New Roman" w:cs="Times New Roman"/>
          <w:b/>
          <w:bCs/>
          <w:sz w:val="22"/>
        </w:rPr>
      </w:pPr>
      <w:r w:rsidRPr="00645DFF">
        <w:rPr>
          <w:rFonts w:ascii="Times New Roman" w:hAnsi="Times New Roman" w:cs="Times New Roman"/>
          <w:b/>
          <w:bCs/>
          <w:sz w:val="22"/>
        </w:rPr>
        <w:t>IV. CONCLUSION</w:t>
      </w:r>
    </w:p>
    <w:p w14:paraId="6C0401F5" w14:textId="485AF23E" w:rsidR="00B859DD" w:rsidRPr="00645DFF" w:rsidRDefault="00220F72" w:rsidP="00C37753">
      <w:pPr>
        <w:spacing w:line="480" w:lineRule="auto"/>
        <w:ind w:firstLine="720"/>
        <w:rPr>
          <w:rFonts w:ascii="Times New Roman" w:hAnsi="Times New Roman" w:cs="Times New Roman"/>
          <w:sz w:val="22"/>
        </w:rPr>
      </w:pPr>
      <w:r w:rsidRPr="00645DFF">
        <w:rPr>
          <w:rFonts w:ascii="Times New Roman" w:hAnsi="Times New Roman" w:cs="Times New Roman"/>
          <w:sz w:val="22"/>
        </w:rPr>
        <w:t xml:space="preserve">In </w:t>
      </w:r>
      <w:r w:rsidR="00B859DD" w:rsidRPr="00645DFF">
        <w:rPr>
          <w:rFonts w:ascii="Times New Roman" w:hAnsi="Times New Roman" w:cs="Times New Roman"/>
          <w:sz w:val="22"/>
        </w:rPr>
        <w:t xml:space="preserve">summary, we have investigated the influence of semiconducting and intermetallic interlayers, i.e., Ge, </w:t>
      </w:r>
      <w:proofErr w:type="spellStart"/>
      <w:r w:rsidR="00B859DD" w:rsidRPr="00645DFF">
        <w:rPr>
          <w:rFonts w:ascii="Times New Roman" w:hAnsi="Times New Roman" w:cs="Times New Roman"/>
          <w:sz w:val="22"/>
        </w:rPr>
        <w:t>NiAl</w:t>
      </w:r>
      <w:proofErr w:type="spellEnd"/>
      <w:r w:rsidR="00B859DD" w:rsidRPr="00645DFF">
        <w:rPr>
          <w:rFonts w:ascii="Times New Roman" w:hAnsi="Times New Roman" w:cs="Times New Roman"/>
          <w:sz w:val="22"/>
        </w:rPr>
        <w:t xml:space="preserve">, and </w:t>
      </w:r>
      <w:proofErr w:type="spellStart"/>
      <w:r w:rsidR="00B859DD" w:rsidRPr="00645DFF">
        <w:rPr>
          <w:rFonts w:ascii="Times New Roman" w:hAnsi="Times New Roman" w:cs="Times New Roman"/>
          <w:sz w:val="22"/>
        </w:rPr>
        <w:t>NiFeGe</w:t>
      </w:r>
      <w:proofErr w:type="spellEnd"/>
      <w:r w:rsidR="00B859DD" w:rsidRPr="00645DFF">
        <w:rPr>
          <w:rFonts w:ascii="Times New Roman" w:hAnsi="Times New Roman" w:cs="Times New Roman"/>
          <w:sz w:val="22"/>
        </w:rPr>
        <w:t xml:space="preserve">, on the SOT efficiency of </w:t>
      </w:r>
      <w:proofErr w:type="spellStart"/>
      <w:r w:rsidR="00B859DD" w:rsidRPr="00645DFF">
        <w:rPr>
          <w:rFonts w:ascii="Times New Roman" w:hAnsi="Times New Roman" w:cs="Times New Roman"/>
          <w:sz w:val="22"/>
        </w:rPr>
        <w:t>BiSb</w:t>
      </w:r>
      <w:proofErr w:type="spellEnd"/>
      <w:r w:rsidR="00B859DD" w:rsidRPr="00645DFF">
        <w:rPr>
          <w:rFonts w:ascii="Times New Roman" w:hAnsi="Times New Roman" w:cs="Times New Roman"/>
          <w:sz w:val="22"/>
        </w:rPr>
        <w:t>/</w:t>
      </w:r>
      <w:proofErr w:type="spellStart"/>
      <w:r w:rsidR="00B859DD" w:rsidRPr="00645DFF">
        <w:rPr>
          <w:rFonts w:ascii="Times New Roman" w:hAnsi="Times New Roman" w:cs="Times New Roman"/>
          <w:sz w:val="22"/>
        </w:rPr>
        <w:t>CoFeB</w:t>
      </w:r>
      <w:proofErr w:type="spellEnd"/>
      <w:r w:rsidR="00B859DD" w:rsidRPr="00645DFF">
        <w:rPr>
          <w:rFonts w:ascii="Times New Roman" w:hAnsi="Times New Roman" w:cs="Times New Roman"/>
          <w:sz w:val="22"/>
        </w:rPr>
        <w:t xml:space="preserve"> heterostructures. Structural analyses demonstrate that the Ge interlayer enhances the crystallinity of the </w:t>
      </w:r>
      <w:proofErr w:type="spellStart"/>
      <w:r w:rsidR="00B859DD" w:rsidRPr="00645DFF">
        <w:rPr>
          <w:rFonts w:ascii="Times New Roman" w:hAnsi="Times New Roman" w:cs="Times New Roman"/>
          <w:sz w:val="22"/>
        </w:rPr>
        <w:t>BiSb</w:t>
      </w:r>
      <w:proofErr w:type="spellEnd"/>
      <w:r w:rsidR="00B859DD" w:rsidRPr="00645DFF">
        <w:rPr>
          <w:rFonts w:ascii="Times New Roman" w:hAnsi="Times New Roman" w:cs="Times New Roman"/>
          <w:sz w:val="22"/>
        </w:rPr>
        <w:t xml:space="preserve"> layer and effectively suppresses interfacial interdiffusion. ST-FMR measurements reveal that the </w:t>
      </w:r>
      <w:proofErr w:type="spellStart"/>
      <w:r w:rsidR="00B859DD" w:rsidRPr="00645DFF">
        <w:rPr>
          <w:rFonts w:ascii="Times New Roman" w:hAnsi="Times New Roman" w:cs="Times New Roman"/>
          <w:sz w:val="22"/>
        </w:rPr>
        <w:t>BiSb</w:t>
      </w:r>
      <w:proofErr w:type="spellEnd"/>
      <w:r w:rsidR="00B859DD" w:rsidRPr="00645DFF">
        <w:rPr>
          <w:rFonts w:ascii="Times New Roman" w:hAnsi="Times New Roman" w:cs="Times New Roman"/>
          <w:sz w:val="22"/>
        </w:rPr>
        <w:t>/Ge/</w:t>
      </w:r>
      <w:proofErr w:type="spellStart"/>
      <w:r w:rsidR="00B859DD" w:rsidRPr="00645DFF">
        <w:rPr>
          <w:rFonts w:ascii="Times New Roman" w:hAnsi="Times New Roman" w:cs="Times New Roman"/>
          <w:sz w:val="22"/>
        </w:rPr>
        <w:t>CoFeB</w:t>
      </w:r>
      <w:proofErr w:type="spellEnd"/>
      <w:r w:rsidR="00B859DD" w:rsidRPr="00645DFF">
        <w:rPr>
          <w:rFonts w:ascii="Times New Roman" w:hAnsi="Times New Roman" w:cs="Times New Roman"/>
          <w:sz w:val="22"/>
        </w:rPr>
        <w:t xml:space="preserve"> structure exhibits both a reduced magnetic damping constant (</w:t>
      </w:r>
      <w:r w:rsidR="00B859DD" w:rsidRPr="00645DFF">
        <w:rPr>
          <w:rFonts w:ascii="Times New Roman" w:hAnsi="Times New Roman" w:cs="Times New Roman"/>
          <w:i/>
          <w:iCs/>
          <w:sz w:val="22"/>
        </w:rPr>
        <w:t>α</w:t>
      </w:r>
      <w:r w:rsidR="00B859DD" w:rsidRPr="00645DFF">
        <w:rPr>
          <w:rFonts w:ascii="Times New Roman" w:hAnsi="Times New Roman" w:cs="Times New Roman"/>
          <w:sz w:val="22"/>
          <w:vertAlign w:val="subscript"/>
        </w:rPr>
        <w:t>eff</w:t>
      </w:r>
      <w:r w:rsidR="00B859DD" w:rsidRPr="00645DFF">
        <w:rPr>
          <w:rFonts w:ascii="Times New Roman" w:hAnsi="Times New Roman" w:cs="Times New Roman"/>
          <w:sz w:val="22"/>
        </w:rPr>
        <w:t xml:space="preserve"> ~ 0.006) and an enhanced SOT efficiency (~50%), outperforming the other interlayer configurations. Moreover, the thickness-dependent study indicates that a 1 nm-thick Ge layer provides optimal interfacial spin transparency, while thicker Ge spacers lead to reduced torque efficiency. These findings establish Ge as an optimal interlayer material for </w:t>
      </w:r>
      <w:proofErr w:type="spellStart"/>
      <w:r w:rsidR="00B859DD" w:rsidRPr="00645DFF">
        <w:rPr>
          <w:rFonts w:ascii="Times New Roman" w:hAnsi="Times New Roman" w:cs="Times New Roman"/>
          <w:sz w:val="22"/>
        </w:rPr>
        <w:t>BiSb</w:t>
      </w:r>
      <w:proofErr w:type="spellEnd"/>
      <w:r w:rsidR="00B859DD" w:rsidRPr="00645DFF">
        <w:rPr>
          <w:rFonts w:ascii="Times New Roman" w:hAnsi="Times New Roman" w:cs="Times New Roman"/>
          <w:sz w:val="22"/>
        </w:rPr>
        <w:t xml:space="preserve">-based heterostructures and demonstrate that </w:t>
      </w:r>
      <w:r w:rsidR="009F3D0B" w:rsidRPr="00645DFF">
        <w:rPr>
          <w:rFonts w:ascii="Times New Roman" w:hAnsi="Times New Roman" w:cs="Times New Roman"/>
          <w:sz w:val="22"/>
        </w:rPr>
        <w:t>controlling</w:t>
      </w:r>
      <w:r w:rsidR="00B859DD" w:rsidRPr="00645DFF">
        <w:rPr>
          <w:rFonts w:ascii="Times New Roman" w:hAnsi="Times New Roman" w:cs="Times New Roman"/>
          <w:sz w:val="22"/>
        </w:rPr>
        <w:t xml:space="preserve"> </w:t>
      </w:r>
      <w:r w:rsidR="009F3D0B" w:rsidRPr="00645DFF">
        <w:rPr>
          <w:rFonts w:ascii="Times New Roman" w:hAnsi="Times New Roman" w:cs="Times New Roman"/>
          <w:sz w:val="22"/>
        </w:rPr>
        <w:t>the</w:t>
      </w:r>
      <w:r w:rsidR="00B859DD" w:rsidRPr="00645DFF">
        <w:rPr>
          <w:rFonts w:ascii="Times New Roman" w:hAnsi="Times New Roman" w:cs="Times New Roman"/>
          <w:sz w:val="22"/>
        </w:rPr>
        <w:t xml:space="preserve"> interlayer and thickness is essential for maximizing spin–charge conversion in topological</w:t>
      </w:r>
      <w:r w:rsidR="00443853" w:rsidRPr="00645DFF">
        <w:rPr>
          <w:rFonts w:ascii="Times New Roman" w:hAnsi="Times New Roman" w:cs="Times New Roman"/>
          <w:sz w:val="22"/>
        </w:rPr>
        <w:t xml:space="preserve"> insulator/ferromagnet</w:t>
      </w:r>
      <w:r w:rsidR="00B859DD" w:rsidRPr="00645DFF">
        <w:rPr>
          <w:rFonts w:ascii="Times New Roman" w:hAnsi="Times New Roman" w:cs="Times New Roman"/>
          <w:sz w:val="22"/>
        </w:rPr>
        <w:t xml:space="preserve"> systems. This study provides </w:t>
      </w:r>
      <w:r w:rsidR="00B859DD" w:rsidRPr="00645DFF">
        <w:rPr>
          <w:rFonts w:ascii="Times New Roman" w:hAnsi="Times New Roman" w:cs="Times New Roman"/>
          <w:sz w:val="22"/>
        </w:rPr>
        <w:lastRenderedPageBreak/>
        <w:t>valuable insights into interfacial spin transport and paves the way toward the development of high-performance, energy-efficient spintronic devices based on topological insulators.</w:t>
      </w:r>
    </w:p>
    <w:p w14:paraId="271C179B" w14:textId="77777777" w:rsidR="006438A4" w:rsidRPr="00645DFF" w:rsidRDefault="006438A4" w:rsidP="00C37753">
      <w:pPr>
        <w:spacing w:line="480" w:lineRule="auto"/>
        <w:rPr>
          <w:rFonts w:ascii="Times New Roman" w:hAnsi="Times New Roman" w:cs="Times New Roman"/>
          <w:sz w:val="22"/>
        </w:rPr>
      </w:pPr>
    </w:p>
    <w:p w14:paraId="6912C5CF" w14:textId="0B39CA82" w:rsidR="006438A4" w:rsidRPr="00645DFF" w:rsidRDefault="00220F72" w:rsidP="00C37753">
      <w:pPr>
        <w:spacing w:line="480" w:lineRule="auto"/>
        <w:rPr>
          <w:rFonts w:ascii="Times New Roman" w:hAnsi="Times New Roman" w:cs="Times New Roman"/>
          <w:b/>
          <w:bCs/>
          <w:sz w:val="22"/>
        </w:rPr>
      </w:pPr>
      <w:r w:rsidRPr="00645DFF">
        <w:rPr>
          <w:rFonts w:ascii="Times New Roman" w:hAnsi="Times New Roman" w:cs="Times New Roman"/>
          <w:b/>
          <w:bCs/>
          <w:sz w:val="22"/>
        </w:rPr>
        <w:t>ACKNOWLEDGMENTS</w:t>
      </w:r>
      <w:r w:rsidR="00291188" w:rsidRPr="00645DFF">
        <w:rPr>
          <w:rFonts w:ascii="Times New Roman" w:hAnsi="Times New Roman" w:cs="Times New Roman"/>
          <w:b/>
          <w:bCs/>
          <w:sz w:val="22"/>
        </w:rPr>
        <w:t>:</w:t>
      </w:r>
    </w:p>
    <w:p w14:paraId="30B2020A" w14:textId="3F325A40" w:rsidR="00291188" w:rsidRPr="00645DFF" w:rsidRDefault="00291188" w:rsidP="00C37753">
      <w:pPr>
        <w:spacing w:line="480" w:lineRule="auto"/>
        <w:rPr>
          <w:rFonts w:ascii="Times New Roman" w:hAnsi="Times New Roman" w:cs="Times New Roman"/>
          <w:sz w:val="22"/>
        </w:rPr>
      </w:pPr>
      <w:r w:rsidRPr="00645DFF">
        <w:rPr>
          <w:rFonts w:ascii="Times New Roman" w:hAnsi="Times New Roman" w:cs="Times New Roman"/>
          <w:sz w:val="22"/>
        </w:rPr>
        <w:t>R.</w:t>
      </w:r>
      <w:r w:rsidR="007D14E8" w:rsidRPr="00645DFF">
        <w:rPr>
          <w:rFonts w:ascii="Times New Roman" w:hAnsi="Times New Roman" w:cs="Times New Roman"/>
          <w:sz w:val="22"/>
        </w:rPr>
        <w:t>M. would like to thank the Ministry of Education (</w:t>
      </w:r>
      <w:proofErr w:type="spellStart"/>
      <w:r w:rsidR="007D14E8" w:rsidRPr="00645DFF">
        <w:rPr>
          <w:rFonts w:ascii="Times New Roman" w:hAnsi="Times New Roman" w:cs="Times New Roman"/>
          <w:sz w:val="22"/>
        </w:rPr>
        <w:t>MoE</w:t>
      </w:r>
      <w:proofErr w:type="spellEnd"/>
      <w:r w:rsidR="007D14E8" w:rsidRPr="00645DFF">
        <w:rPr>
          <w:rFonts w:ascii="Times New Roman" w:hAnsi="Times New Roman" w:cs="Times New Roman"/>
          <w:sz w:val="22"/>
        </w:rPr>
        <w:t>), India. R.M. would also like to acknowledge the International Cooperative Graduate Program (ICGP) in NIMS, Japan, for funding the internship tenure in Japan. C.M. would like to acknowledge the JICA Friendship Program 2.0.</w:t>
      </w:r>
      <w:r w:rsidR="008C27F6" w:rsidRPr="00645DFF">
        <w:rPr>
          <w:rFonts w:ascii="Times New Roman" w:hAnsi="Times New Roman" w:cs="Times New Roman"/>
          <w:sz w:val="22"/>
        </w:rPr>
        <w:t xml:space="preserve"> The authors also thank Dr. Talluri Manoj and Dr. Mouli Roy</w:t>
      </w:r>
      <w:r w:rsidR="004C3E5B" w:rsidRPr="00645DFF">
        <w:rPr>
          <w:rFonts w:ascii="Times New Roman" w:hAnsi="Times New Roman" w:cs="Times New Roman"/>
          <w:sz w:val="22"/>
        </w:rPr>
        <w:t xml:space="preserve"> </w:t>
      </w:r>
      <w:r w:rsidR="008C27F6" w:rsidRPr="00645DFF">
        <w:rPr>
          <w:rFonts w:ascii="Times New Roman" w:hAnsi="Times New Roman" w:cs="Times New Roman"/>
          <w:sz w:val="22"/>
        </w:rPr>
        <w:t>Chowdhury for their experimental support.</w:t>
      </w:r>
    </w:p>
    <w:p w14:paraId="5AC3037E" w14:textId="77777777" w:rsidR="00DA41C4" w:rsidRPr="00645DFF" w:rsidRDefault="00DA41C4" w:rsidP="00C37753">
      <w:pPr>
        <w:spacing w:line="480" w:lineRule="auto"/>
        <w:rPr>
          <w:rFonts w:ascii="Times New Roman" w:hAnsi="Times New Roman" w:cs="Times New Roman"/>
          <w:sz w:val="22"/>
        </w:rPr>
      </w:pPr>
    </w:p>
    <w:p w14:paraId="18D64693" w14:textId="77777777" w:rsidR="00220F72" w:rsidRPr="00645DFF" w:rsidRDefault="00220F72" w:rsidP="00C37753">
      <w:pPr>
        <w:spacing w:line="480" w:lineRule="auto"/>
        <w:rPr>
          <w:rFonts w:ascii="Times New Roman" w:hAnsi="Times New Roman" w:cs="Times New Roman"/>
          <w:b/>
          <w:bCs/>
          <w:sz w:val="22"/>
        </w:rPr>
      </w:pPr>
      <w:r w:rsidRPr="00645DFF">
        <w:rPr>
          <w:rFonts w:ascii="Times New Roman" w:hAnsi="Times New Roman" w:cs="Times New Roman"/>
          <w:b/>
          <w:bCs/>
          <w:sz w:val="22"/>
        </w:rPr>
        <w:t>DATA AVAILABILITY:</w:t>
      </w:r>
    </w:p>
    <w:p w14:paraId="6F5E29C6" w14:textId="77777777" w:rsidR="00220F72" w:rsidRPr="00645DFF" w:rsidRDefault="00220F72" w:rsidP="00C37753">
      <w:pPr>
        <w:spacing w:line="480" w:lineRule="auto"/>
        <w:rPr>
          <w:rFonts w:ascii="Times New Roman" w:hAnsi="Times New Roman" w:cs="Times New Roman"/>
          <w:sz w:val="22"/>
        </w:rPr>
      </w:pPr>
      <w:r w:rsidRPr="00645DFF">
        <w:rPr>
          <w:rFonts w:ascii="Times New Roman" w:hAnsi="Times New Roman" w:cs="Times New Roman"/>
          <w:sz w:val="22"/>
        </w:rPr>
        <w:t>The data that support the findings of this study are available within the article and from the corresponding author upon reasonable request.</w:t>
      </w:r>
    </w:p>
    <w:p w14:paraId="38872482" w14:textId="77777777" w:rsidR="00E40B2D" w:rsidRPr="00645DFF" w:rsidRDefault="00E40B2D" w:rsidP="00D45546">
      <w:pPr>
        <w:rPr>
          <w:rFonts w:ascii="Times New Roman" w:hAnsi="Times New Roman" w:cs="Times New Roman"/>
          <w:sz w:val="22"/>
        </w:rPr>
      </w:pPr>
    </w:p>
    <w:p w14:paraId="4460D6C4" w14:textId="0CC82389" w:rsidR="00E40B2D" w:rsidRPr="00645DFF" w:rsidRDefault="00C30423" w:rsidP="00E40B2D">
      <w:pPr>
        <w:rPr>
          <w:rFonts w:ascii="Times New Roman" w:hAnsi="Times New Roman" w:cs="Times New Roman"/>
          <w:b/>
          <w:bCs/>
          <w:sz w:val="22"/>
        </w:rPr>
      </w:pPr>
      <w:r w:rsidRPr="00645DFF">
        <w:rPr>
          <w:rFonts w:ascii="Times New Roman" w:hAnsi="Times New Roman" w:cs="Times New Roman"/>
          <w:b/>
          <w:bCs/>
          <w:sz w:val="22"/>
        </w:rPr>
        <w:t>REFERENCES</w:t>
      </w:r>
    </w:p>
    <w:p w14:paraId="4FD92A8C" w14:textId="77777777" w:rsidR="00C30423" w:rsidRPr="00645DFF" w:rsidRDefault="00C30423" w:rsidP="00E40B2D">
      <w:pPr>
        <w:rPr>
          <w:rFonts w:ascii="Times New Roman" w:hAnsi="Times New Roman" w:cs="Times New Roman"/>
          <w:sz w:val="22"/>
        </w:rPr>
      </w:pPr>
    </w:p>
    <w:p w14:paraId="61906249" w14:textId="77777777" w:rsidR="00FE2BAE" w:rsidRPr="00645DFF" w:rsidRDefault="00E40B2D" w:rsidP="00FE2BAE">
      <w:pPr>
        <w:pStyle w:val="Bibliography"/>
        <w:rPr>
          <w:rFonts w:cs="Times New Roman"/>
          <w:kern w:val="0"/>
        </w:rPr>
      </w:pPr>
      <w:r w:rsidRPr="00645DFF">
        <w:fldChar w:fldCharType="begin" w:fldLock="1"/>
      </w:r>
      <w:r w:rsidR="001B3539" w:rsidRPr="00645DFF">
        <w:instrText xml:space="preserve"> ADDIN ZOTERO_BIBL {"uncited":[],"omitted":[],"custom":[]} CSL_BIBLIOGRAPHY </w:instrText>
      </w:r>
      <w:r w:rsidRPr="00645DFF">
        <w:fldChar w:fldCharType="separate"/>
      </w:r>
      <w:r w:rsidR="00FE2BAE" w:rsidRPr="00645DFF">
        <w:rPr>
          <w:rFonts w:cs="Times New Roman"/>
          <w:kern w:val="0"/>
          <w:vertAlign w:val="superscript"/>
        </w:rPr>
        <w:t>1</w:t>
      </w:r>
      <w:r w:rsidR="00FE2BAE" w:rsidRPr="00645DFF">
        <w:rPr>
          <w:rFonts w:cs="Times New Roman"/>
          <w:kern w:val="0"/>
        </w:rPr>
        <w:t xml:space="preserve"> M.Z. Hasan and C.L. Kane, Rev. Mod. Phys. </w:t>
      </w:r>
      <w:r w:rsidR="00FE2BAE" w:rsidRPr="00645DFF">
        <w:rPr>
          <w:rFonts w:cs="Times New Roman"/>
          <w:b/>
          <w:bCs/>
          <w:kern w:val="0"/>
        </w:rPr>
        <w:t>82</w:t>
      </w:r>
      <w:r w:rsidR="00FE2BAE" w:rsidRPr="00645DFF">
        <w:rPr>
          <w:rFonts w:cs="Times New Roman"/>
          <w:kern w:val="0"/>
        </w:rPr>
        <w:t>, 3045 (2010).</w:t>
      </w:r>
    </w:p>
    <w:p w14:paraId="7B17658E" w14:textId="77777777" w:rsidR="00FE2BAE" w:rsidRPr="00645DFF" w:rsidRDefault="00FE2BAE" w:rsidP="00FE2BAE">
      <w:pPr>
        <w:pStyle w:val="Bibliography"/>
        <w:rPr>
          <w:rFonts w:cs="Times New Roman"/>
          <w:kern w:val="0"/>
        </w:rPr>
      </w:pPr>
      <w:r w:rsidRPr="00645DFF">
        <w:rPr>
          <w:rFonts w:cs="Times New Roman"/>
          <w:kern w:val="0"/>
          <w:vertAlign w:val="superscript"/>
        </w:rPr>
        <w:t>2</w:t>
      </w:r>
      <w:r w:rsidRPr="00645DFF">
        <w:rPr>
          <w:rFonts w:cs="Times New Roman"/>
          <w:kern w:val="0"/>
        </w:rPr>
        <w:t xml:space="preserve"> L. Fu and C.L. Kane, Phys. Rev. B </w:t>
      </w:r>
      <w:r w:rsidRPr="00645DFF">
        <w:rPr>
          <w:rFonts w:cs="Times New Roman"/>
          <w:b/>
          <w:bCs/>
          <w:kern w:val="0"/>
        </w:rPr>
        <w:t>76</w:t>
      </w:r>
      <w:r w:rsidRPr="00645DFF">
        <w:rPr>
          <w:rFonts w:cs="Times New Roman"/>
          <w:kern w:val="0"/>
        </w:rPr>
        <w:t>, 045302 (2007).</w:t>
      </w:r>
    </w:p>
    <w:p w14:paraId="4B9FED06" w14:textId="77777777" w:rsidR="00FE2BAE" w:rsidRPr="00645DFF" w:rsidRDefault="00FE2BAE" w:rsidP="00FE2BAE">
      <w:pPr>
        <w:pStyle w:val="Bibliography"/>
        <w:rPr>
          <w:rFonts w:cs="Times New Roman"/>
          <w:kern w:val="0"/>
        </w:rPr>
      </w:pPr>
      <w:r w:rsidRPr="00645DFF">
        <w:rPr>
          <w:rFonts w:cs="Times New Roman"/>
          <w:kern w:val="0"/>
          <w:vertAlign w:val="superscript"/>
        </w:rPr>
        <w:t>3</w:t>
      </w:r>
      <w:r w:rsidRPr="00645DFF">
        <w:rPr>
          <w:rFonts w:cs="Times New Roman"/>
          <w:kern w:val="0"/>
        </w:rPr>
        <w:t xml:space="preserve"> X.-G. Zhu, M. Stensgaard, L. Barreto, W.S. e Silva, S. Ulstrup, M. Michiardi, M. Bianchi, M. Dendzik, and P. Hofmann, New J. Phys. </w:t>
      </w:r>
      <w:r w:rsidRPr="00645DFF">
        <w:rPr>
          <w:rFonts w:cs="Times New Roman"/>
          <w:b/>
          <w:bCs/>
          <w:kern w:val="0"/>
        </w:rPr>
        <w:t>15</w:t>
      </w:r>
      <w:r w:rsidRPr="00645DFF">
        <w:rPr>
          <w:rFonts w:cs="Times New Roman"/>
          <w:kern w:val="0"/>
        </w:rPr>
        <w:t>, 103011 (2013).</w:t>
      </w:r>
    </w:p>
    <w:p w14:paraId="5154E382" w14:textId="77777777" w:rsidR="00FE2BAE" w:rsidRPr="00645DFF" w:rsidRDefault="00FE2BAE" w:rsidP="00FE2BAE">
      <w:pPr>
        <w:pStyle w:val="Bibliography"/>
        <w:rPr>
          <w:rFonts w:cs="Times New Roman"/>
          <w:kern w:val="0"/>
        </w:rPr>
      </w:pPr>
      <w:r w:rsidRPr="00645DFF">
        <w:rPr>
          <w:rFonts w:cs="Times New Roman"/>
          <w:kern w:val="0"/>
          <w:vertAlign w:val="superscript"/>
        </w:rPr>
        <w:t>4</w:t>
      </w:r>
      <w:r w:rsidRPr="00645DFF">
        <w:rPr>
          <w:rFonts w:cs="Times New Roman"/>
          <w:kern w:val="0"/>
        </w:rPr>
        <w:t xml:space="preserve"> Y. Shiomi, K. Nomura, Y. Kajiwara, K. Eto, M. Novak, K. Segawa, Y. Ando, and E. </w:t>
      </w:r>
      <w:proofErr w:type="spellStart"/>
      <w:r w:rsidRPr="00645DFF">
        <w:rPr>
          <w:rFonts w:cs="Times New Roman"/>
          <w:kern w:val="0"/>
        </w:rPr>
        <w:t>Saitoh</w:t>
      </w:r>
      <w:proofErr w:type="spellEnd"/>
      <w:r w:rsidRPr="00645DFF">
        <w:rPr>
          <w:rFonts w:cs="Times New Roman"/>
          <w:kern w:val="0"/>
        </w:rPr>
        <w:t xml:space="preserve">, Phys. Rev. Lett. </w:t>
      </w:r>
      <w:r w:rsidRPr="00645DFF">
        <w:rPr>
          <w:rFonts w:cs="Times New Roman"/>
          <w:b/>
          <w:bCs/>
          <w:kern w:val="0"/>
        </w:rPr>
        <w:t>113</w:t>
      </w:r>
      <w:r w:rsidRPr="00645DFF">
        <w:rPr>
          <w:rFonts w:cs="Times New Roman"/>
          <w:kern w:val="0"/>
        </w:rPr>
        <w:t>, 196601 (2014).</w:t>
      </w:r>
    </w:p>
    <w:p w14:paraId="40A8D462" w14:textId="77777777" w:rsidR="00FE2BAE" w:rsidRPr="00645DFF" w:rsidRDefault="00FE2BAE" w:rsidP="00FE2BAE">
      <w:pPr>
        <w:pStyle w:val="Bibliography"/>
        <w:rPr>
          <w:rFonts w:cs="Times New Roman"/>
          <w:kern w:val="0"/>
        </w:rPr>
      </w:pPr>
      <w:r w:rsidRPr="00645DFF">
        <w:rPr>
          <w:rFonts w:cs="Times New Roman"/>
          <w:kern w:val="0"/>
          <w:vertAlign w:val="superscript"/>
        </w:rPr>
        <w:t>5</w:t>
      </w:r>
      <w:r w:rsidRPr="00645DFF">
        <w:rPr>
          <w:rFonts w:cs="Times New Roman"/>
          <w:kern w:val="0"/>
        </w:rPr>
        <w:t xml:space="preserve"> A.R. </w:t>
      </w:r>
      <w:proofErr w:type="spellStart"/>
      <w:r w:rsidRPr="00645DFF">
        <w:rPr>
          <w:rFonts w:cs="Times New Roman"/>
          <w:kern w:val="0"/>
        </w:rPr>
        <w:t>Mellnik</w:t>
      </w:r>
      <w:proofErr w:type="spellEnd"/>
      <w:r w:rsidRPr="00645DFF">
        <w:rPr>
          <w:rFonts w:cs="Times New Roman"/>
          <w:kern w:val="0"/>
        </w:rPr>
        <w:t xml:space="preserve">, J.S. Lee, A. </w:t>
      </w:r>
      <w:proofErr w:type="spellStart"/>
      <w:r w:rsidRPr="00645DFF">
        <w:rPr>
          <w:rFonts w:cs="Times New Roman"/>
          <w:kern w:val="0"/>
        </w:rPr>
        <w:t>Richardella</w:t>
      </w:r>
      <w:proofErr w:type="spellEnd"/>
      <w:r w:rsidRPr="00645DFF">
        <w:rPr>
          <w:rFonts w:cs="Times New Roman"/>
          <w:kern w:val="0"/>
        </w:rPr>
        <w:t xml:space="preserve">, J.L. Grab, P.J. Mintun, M.H. Fischer, A. </w:t>
      </w:r>
      <w:proofErr w:type="spellStart"/>
      <w:r w:rsidRPr="00645DFF">
        <w:rPr>
          <w:rFonts w:cs="Times New Roman"/>
          <w:kern w:val="0"/>
        </w:rPr>
        <w:t>Vaezi</w:t>
      </w:r>
      <w:proofErr w:type="spellEnd"/>
      <w:r w:rsidRPr="00645DFF">
        <w:rPr>
          <w:rFonts w:cs="Times New Roman"/>
          <w:kern w:val="0"/>
        </w:rPr>
        <w:t xml:space="preserve">, A. Manchon, E.-A. Kim, N. Samarth, and D.C. Ralph, Nature </w:t>
      </w:r>
      <w:r w:rsidRPr="00645DFF">
        <w:rPr>
          <w:rFonts w:cs="Times New Roman"/>
          <w:b/>
          <w:bCs/>
          <w:kern w:val="0"/>
        </w:rPr>
        <w:t>511</w:t>
      </w:r>
      <w:r w:rsidRPr="00645DFF">
        <w:rPr>
          <w:rFonts w:cs="Times New Roman"/>
          <w:kern w:val="0"/>
        </w:rPr>
        <w:t>, 449 (2014).</w:t>
      </w:r>
    </w:p>
    <w:p w14:paraId="27E88B7F" w14:textId="77777777" w:rsidR="00FE2BAE" w:rsidRPr="00645DFF" w:rsidRDefault="00FE2BAE" w:rsidP="00FE2BAE">
      <w:pPr>
        <w:pStyle w:val="Bibliography"/>
        <w:rPr>
          <w:rFonts w:cs="Times New Roman"/>
          <w:kern w:val="0"/>
        </w:rPr>
      </w:pPr>
      <w:r w:rsidRPr="00645DFF">
        <w:rPr>
          <w:rFonts w:cs="Times New Roman"/>
          <w:kern w:val="0"/>
          <w:vertAlign w:val="superscript"/>
        </w:rPr>
        <w:t>6</w:t>
      </w:r>
      <w:r w:rsidRPr="00645DFF">
        <w:rPr>
          <w:rFonts w:cs="Times New Roman"/>
          <w:kern w:val="0"/>
        </w:rPr>
        <w:t xml:space="preserve"> N.H.D. Khang, Y. Ueda, and P.N. Hai, Nat. Mater. </w:t>
      </w:r>
      <w:r w:rsidRPr="00645DFF">
        <w:rPr>
          <w:rFonts w:cs="Times New Roman"/>
          <w:b/>
          <w:bCs/>
          <w:kern w:val="0"/>
        </w:rPr>
        <w:t>17</w:t>
      </w:r>
      <w:r w:rsidRPr="00645DFF">
        <w:rPr>
          <w:rFonts w:cs="Times New Roman"/>
          <w:kern w:val="0"/>
        </w:rPr>
        <w:t>, 808 (2018).</w:t>
      </w:r>
    </w:p>
    <w:p w14:paraId="1F3C3D16" w14:textId="77777777" w:rsidR="00FE2BAE" w:rsidRPr="00645DFF" w:rsidRDefault="00FE2BAE" w:rsidP="00FE2BAE">
      <w:pPr>
        <w:pStyle w:val="Bibliography"/>
        <w:rPr>
          <w:rFonts w:cs="Times New Roman"/>
          <w:kern w:val="0"/>
        </w:rPr>
      </w:pPr>
      <w:r w:rsidRPr="00645DFF">
        <w:rPr>
          <w:rFonts w:cs="Times New Roman"/>
          <w:kern w:val="0"/>
          <w:vertAlign w:val="superscript"/>
        </w:rPr>
        <w:t>7</w:t>
      </w:r>
      <w:r w:rsidRPr="00645DFF">
        <w:rPr>
          <w:rFonts w:cs="Times New Roman"/>
          <w:kern w:val="0"/>
        </w:rPr>
        <w:t xml:space="preserve"> O. Breunig and Y. Ando, Nat. Rev. Phys. </w:t>
      </w:r>
      <w:r w:rsidRPr="00645DFF">
        <w:rPr>
          <w:rFonts w:cs="Times New Roman"/>
          <w:b/>
          <w:bCs/>
          <w:kern w:val="0"/>
        </w:rPr>
        <w:t>4</w:t>
      </w:r>
      <w:r w:rsidRPr="00645DFF">
        <w:rPr>
          <w:rFonts w:cs="Times New Roman"/>
          <w:kern w:val="0"/>
        </w:rPr>
        <w:t>, 184 (2022).</w:t>
      </w:r>
    </w:p>
    <w:p w14:paraId="65004670" w14:textId="77777777" w:rsidR="00FE2BAE" w:rsidRPr="00645DFF" w:rsidRDefault="00FE2BAE" w:rsidP="00FE2BAE">
      <w:pPr>
        <w:pStyle w:val="Bibliography"/>
        <w:rPr>
          <w:rFonts w:cs="Times New Roman"/>
          <w:kern w:val="0"/>
        </w:rPr>
      </w:pPr>
      <w:r w:rsidRPr="00645DFF">
        <w:rPr>
          <w:rFonts w:cs="Times New Roman"/>
          <w:kern w:val="0"/>
          <w:vertAlign w:val="superscript"/>
        </w:rPr>
        <w:t>8</w:t>
      </w:r>
      <w:r w:rsidRPr="00645DFF">
        <w:rPr>
          <w:rFonts w:cs="Times New Roman"/>
          <w:kern w:val="0"/>
        </w:rPr>
        <w:t xml:space="preserve"> M. Dc, R. Grassi, J.-Y. Chen, M. Jamali, D. Reifsnyder Hickey, D. Zhang, Z. Zhao, H. Li, P. Quarterman, Y. </w:t>
      </w:r>
      <w:proofErr w:type="spellStart"/>
      <w:r w:rsidRPr="00645DFF">
        <w:rPr>
          <w:rFonts w:cs="Times New Roman"/>
          <w:kern w:val="0"/>
        </w:rPr>
        <w:t>Lv</w:t>
      </w:r>
      <w:proofErr w:type="spellEnd"/>
      <w:r w:rsidRPr="00645DFF">
        <w:rPr>
          <w:rFonts w:cs="Times New Roman"/>
          <w:kern w:val="0"/>
        </w:rPr>
        <w:t xml:space="preserve">, M. Li, A. Manchon, K.A. </w:t>
      </w:r>
      <w:proofErr w:type="spellStart"/>
      <w:r w:rsidRPr="00645DFF">
        <w:rPr>
          <w:rFonts w:cs="Times New Roman"/>
          <w:kern w:val="0"/>
        </w:rPr>
        <w:t>Mkhoyan</w:t>
      </w:r>
      <w:proofErr w:type="spellEnd"/>
      <w:r w:rsidRPr="00645DFF">
        <w:rPr>
          <w:rFonts w:cs="Times New Roman"/>
          <w:kern w:val="0"/>
        </w:rPr>
        <w:t xml:space="preserve">, T. Low, and J.-P. Wang, Nat. Mater. </w:t>
      </w:r>
      <w:r w:rsidRPr="00645DFF">
        <w:rPr>
          <w:rFonts w:cs="Times New Roman"/>
          <w:b/>
          <w:bCs/>
          <w:kern w:val="0"/>
        </w:rPr>
        <w:t>17</w:t>
      </w:r>
      <w:r w:rsidRPr="00645DFF">
        <w:rPr>
          <w:rFonts w:cs="Times New Roman"/>
          <w:kern w:val="0"/>
        </w:rPr>
        <w:t>, 800 (2018).</w:t>
      </w:r>
    </w:p>
    <w:p w14:paraId="569B2189" w14:textId="77777777" w:rsidR="00FE2BAE" w:rsidRPr="00645DFF" w:rsidRDefault="00FE2BAE" w:rsidP="00FE2BAE">
      <w:pPr>
        <w:pStyle w:val="Bibliography"/>
        <w:rPr>
          <w:rFonts w:cs="Times New Roman"/>
          <w:kern w:val="0"/>
        </w:rPr>
      </w:pPr>
      <w:r w:rsidRPr="00645DFF">
        <w:rPr>
          <w:rFonts w:cs="Times New Roman"/>
          <w:kern w:val="0"/>
          <w:vertAlign w:val="superscript"/>
        </w:rPr>
        <w:t>9</w:t>
      </w:r>
      <w:r w:rsidRPr="00645DFF">
        <w:rPr>
          <w:rFonts w:cs="Times New Roman"/>
          <w:kern w:val="0"/>
        </w:rPr>
        <w:t xml:space="preserve"> H.H. Huy, J. Sasaki, N.H.D. Khang, S. Namba, P.N. Hai, Q. Le, B. York, C. Hwang, X. Liu, M. </w:t>
      </w:r>
      <w:proofErr w:type="spellStart"/>
      <w:r w:rsidRPr="00645DFF">
        <w:rPr>
          <w:rFonts w:cs="Times New Roman"/>
          <w:kern w:val="0"/>
        </w:rPr>
        <w:t>Gribelyuk</w:t>
      </w:r>
      <w:proofErr w:type="spellEnd"/>
      <w:r w:rsidRPr="00645DFF">
        <w:rPr>
          <w:rFonts w:cs="Times New Roman"/>
          <w:kern w:val="0"/>
        </w:rPr>
        <w:t xml:space="preserve">, X. Xu, S. Le, M. Ho, and H. Takano, Appl. Phys. Lett. </w:t>
      </w:r>
      <w:r w:rsidRPr="00645DFF">
        <w:rPr>
          <w:rFonts w:cs="Times New Roman"/>
          <w:b/>
          <w:bCs/>
          <w:kern w:val="0"/>
        </w:rPr>
        <w:t>122</w:t>
      </w:r>
      <w:r w:rsidRPr="00645DFF">
        <w:rPr>
          <w:rFonts w:cs="Times New Roman"/>
          <w:kern w:val="0"/>
        </w:rPr>
        <w:t>, 052401 (2023).</w:t>
      </w:r>
    </w:p>
    <w:p w14:paraId="18625F5C" w14:textId="77777777" w:rsidR="00FE2BAE" w:rsidRPr="00645DFF" w:rsidRDefault="00FE2BAE" w:rsidP="00FE2BAE">
      <w:pPr>
        <w:pStyle w:val="Bibliography"/>
        <w:rPr>
          <w:rFonts w:cs="Times New Roman"/>
          <w:kern w:val="0"/>
        </w:rPr>
      </w:pPr>
      <w:r w:rsidRPr="00645DFF">
        <w:rPr>
          <w:rFonts w:cs="Times New Roman"/>
          <w:kern w:val="0"/>
          <w:vertAlign w:val="superscript"/>
        </w:rPr>
        <w:t>10</w:t>
      </w:r>
      <w:r w:rsidRPr="00645DFF">
        <w:rPr>
          <w:rFonts w:cs="Times New Roman"/>
          <w:kern w:val="0"/>
        </w:rPr>
        <w:t xml:space="preserve"> M. Liu, Z. </w:t>
      </w:r>
      <w:proofErr w:type="spellStart"/>
      <w:r w:rsidRPr="00645DFF">
        <w:rPr>
          <w:rFonts w:cs="Times New Roman"/>
          <w:kern w:val="0"/>
        </w:rPr>
        <w:t>Ruixian</w:t>
      </w:r>
      <w:proofErr w:type="spellEnd"/>
      <w:r w:rsidRPr="00645DFF">
        <w:rPr>
          <w:rFonts w:cs="Times New Roman"/>
          <w:kern w:val="0"/>
        </w:rPr>
        <w:t xml:space="preserve">, Q. Le, B. York, C. Hwang, X. Liu, M. </w:t>
      </w:r>
      <w:proofErr w:type="spellStart"/>
      <w:r w:rsidRPr="00645DFF">
        <w:rPr>
          <w:rFonts w:cs="Times New Roman"/>
          <w:kern w:val="0"/>
        </w:rPr>
        <w:t>Gribelyuk</w:t>
      </w:r>
      <w:proofErr w:type="spellEnd"/>
      <w:r w:rsidRPr="00645DFF">
        <w:rPr>
          <w:rFonts w:cs="Times New Roman"/>
          <w:kern w:val="0"/>
        </w:rPr>
        <w:t xml:space="preserve">, X. Xu, S. Le, M. Maeda, T. Fan, Y. Tao, H. Takano, and P.N. Hai, Appl. Phys. Lett. </w:t>
      </w:r>
      <w:r w:rsidRPr="00645DFF">
        <w:rPr>
          <w:rFonts w:cs="Times New Roman"/>
          <w:b/>
          <w:bCs/>
          <w:kern w:val="0"/>
        </w:rPr>
        <w:t>125</w:t>
      </w:r>
      <w:r w:rsidRPr="00645DFF">
        <w:rPr>
          <w:rFonts w:cs="Times New Roman"/>
          <w:kern w:val="0"/>
        </w:rPr>
        <w:t>, 242401 (2024).</w:t>
      </w:r>
    </w:p>
    <w:p w14:paraId="10F1170E" w14:textId="77777777" w:rsidR="00FE2BAE" w:rsidRPr="00645DFF" w:rsidRDefault="00FE2BAE" w:rsidP="00FE2BAE">
      <w:pPr>
        <w:pStyle w:val="Bibliography"/>
        <w:rPr>
          <w:rFonts w:cs="Times New Roman"/>
          <w:kern w:val="0"/>
        </w:rPr>
      </w:pPr>
      <w:r w:rsidRPr="00645DFF">
        <w:rPr>
          <w:rFonts w:cs="Times New Roman"/>
          <w:kern w:val="0"/>
          <w:vertAlign w:val="superscript"/>
        </w:rPr>
        <w:t>11</w:t>
      </w:r>
      <w:r w:rsidRPr="00645DFF">
        <w:rPr>
          <w:rFonts w:cs="Times New Roman"/>
          <w:kern w:val="0"/>
        </w:rPr>
        <w:t xml:space="preserve"> F. A Pinto, R. C Heitzer, E. Dvorquez, R. Rodriguez, Q. Sun, A. D Greentree, B. C Gibson, and J. R Maze, New J. Phys. </w:t>
      </w:r>
      <w:r w:rsidRPr="00645DFF">
        <w:rPr>
          <w:rFonts w:cs="Times New Roman"/>
          <w:b/>
          <w:bCs/>
          <w:kern w:val="0"/>
        </w:rPr>
        <w:t>27</w:t>
      </w:r>
      <w:r w:rsidRPr="00645DFF">
        <w:rPr>
          <w:rFonts w:cs="Times New Roman"/>
          <w:kern w:val="0"/>
        </w:rPr>
        <w:t>, 013008 (2025).</w:t>
      </w:r>
    </w:p>
    <w:p w14:paraId="0C0E2445" w14:textId="77777777" w:rsidR="00FE2BAE" w:rsidRPr="00645DFF" w:rsidRDefault="00FE2BAE" w:rsidP="00FE2BAE">
      <w:pPr>
        <w:pStyle w:val="Bibliography"/>
        <w:rPr>
          <w:rFonts w:cs="Times New Roman"/>
          <w:kern w:val="0"/>
        </w:rPr>
      </w:pPr>
      <w:r w:rsidRPr="00645DFF">
        <w:rPr>
          <w:rFonts w:cs="Times New Roman"/>
          <w:kern w:val="0"/>
          <w:vertAlign w:val="superscript"/>
        </w:rPr>
        <w:lastRenderedPageBreak/>
        <w:t>12</w:t>
      </w:r>
      <w:r w:rsidRPr="00645DFF">
        <w:rPr>
          <w:rFonts w:cs="Times New Roman"/>
          <w:kern w:val="0"/>
        </w:rPr>
        <w:t xml:space="preserve"> M.Z. Hasan and J.E. Moore, Annual Review of Condensed Matter Physics </w:t>
      </w:r>
      <w:r w:rsidRPr="00645DFF">
        <w:rPr>
          <w:rFonts w:cs="Times New Roman"/>
          <w:b/>
          <w:bCs/>
          <w:kern w:val="0"/>
        </w:rPr>
        <w:t>2</w:t>
      </w:r>
      <w:r w:rsidRPr="00645DFF">
        <w:rPr>
          <w:rFonts w:cs="Times New Roman"/>
          <w:kern w:val="0"/>
        </w:rPr>
        <w:t>, 55 (2011).</w:t>
      </w:r>
    </w:p>
    <w:p w14:paraId="159216AD" w14:textId="77777777" w:rsidR="00FE2BAE" w:rsidRPr="00645DFF" w:rsidRDefault="00FE2BAE" w:rsidP="00FE2BAE">
      <w:pPr>
        <w:pStyle w:val="Bibliography"/>
        <w:rPr>
          <w:rFonts w:cs="Times New Roman"/>
          <w:kern w:val="0"/>
        </w:rPr>
      </w:pPr>
      <w:r w:rsidRPr="00645DFF">
        <w:rPr>
          <w:rFonts w:cs="Times New Roman"/>
          <w:kern w:val="0"/>
          <w:vertAlign w:val="superscript"/>
        </w:rPr>
        <w:t>13</w:t>
      </w:r>
      <w:r w:rsidRPr="00645DFF">
        <w:rPr>
          <w:rFonts w:cs="Times New Roman"/>
          <w:kern w:val="0"/>
        </w:rPr>
        <w:t xml:space="preserve"> Y. </w:t>
      </w:r>
      <w:proofErr w:type="spellStart"/>
      <w:r w:rsidRPr="00645DFF">
        <w:rPr>
          <w:rFonts w:cs="Times New Roman"/>
          <w:kern w:val="0"/>
        </w:rPr>
        <w:t>Tokura</w:t>
      </w:r>
      <w:proofErr w:type="spellEnd"/>
      <w:r w:rsidRPr="00645DFF">
        <w:rPr>
          <w:rFonts w:cs="Times New Roman"/>
          <w:kern w:val="0"/>
        </w:rPr>
        <w:t xml:space="preserve">, K. Yasuda, and A. </w:t>
      </w:r>
      <w:proofErr w:type="spellStart"/>
      <w:r w:rsidRPr="00645DFF">
        <w:rPr>
          <w:rFonts w:cs="Times New Roman"/>
          <w:kern w:val="0"/>
        </w:rPr>
        <w:t>Tsukazaki</w:t>
      </w:r>
      <w:proofErr w:type="spellEnd"/>
      <w:r w:rsidRPr="00645DFF">
        <w:rPr>
          <w:rFonts w:cs="Times New Roman"/>
          <w:kern w:val="0"/>
        </w:rPr>
        <w:t xml:space="preserve">, Nat. Rev. Phys. </w:t>
      </w:r>
      <w:r w:rsidRPr="00645DFF">
        <w:rPr>
          <w:rFonts w:cs="Times New Roman"/>
          <w:b/>
          <w:bCs/>
          <w:kern w:val="0"/>
        </w:rPr>
        <w:t>1</w:t>
      </w:r>
      <w:r w:rsidRPr="00645DFF">
        <w:rPr>
          <w:rFonts w:cs="Times New Roman"/>
          <w:kern w:val="0"/>
        </w:rPr>
        <w:t>, 126 (2019).</w:t>
      </w:r>
    </w:p>
    <w:p w14:paraId="207CB9C0" w14:textId="77777777" w:rsidR="00FE2BAE" w:rsidRPr="00645DFF" w:rsidRDefault="00FE2BAE" w:rsidP="00FE2BAE">
      <w:pPr>
        <w:pStyle w:val="Bibliography"/>
        <w:rPr>
          <w:rFonts w:cs="Times New Roman"/>
          <w:kern w:val="0"/>
        </w:rPr>
      </w:pPr>
      <w:r w:rsidRPr="00645DFF">
        <w:rPr>
          <w:rFonts w:cs="Times New Roman"/>
          <w:kern w:val="0"/>
          <w:vertAlign w:val="superscript"/>
        </w:rPr>
        <w:t>14</w:t>
      </w:r>
      <w:r w:rsidRPr="00645DFF">
        <w:rPr>
          <w:rFonts w:cs="Times New Roman"/>
          <w:kern w:val="0"/>
        </w:rPr>
        <w:t xml:space="preserve"> J.C.Y. Teo, L. Fu, and C.L. Kane, Phys. Rev. B </w:t>
      </w:r>
      <w:r w:rsidRPr="00645DFF">
        <w:rPr>
          <w:rFonts w:cs="Times New Roman"/>
          <w:b/>
          <w:bCs/>
          <w:kern w:val="0"/>
        </w:rPr>
        <w:t>78</w:t>
      </w:r>
      <w:r w:rsidRPr="00645DFF">
        <w:rPr>
          <w:rFonts w:cs="Times New Roman"/>
          <w:kern w:val="0"/>
        </w:rPr>
        <w:t>, 045426 (2008).</w:t>
      </w:r>
    </w:p>
    <w:p w14:paraId="6BEEB87D" w14:textId="77777777" w:rsidR="00FE2BAE" w:rsidRPr="00645DFF" w:rsidRDefault="00FE2BAE" w:rsidP="00FE2BAE">
      <w:pPr>
        <w:pStyle w:val="Bibliography"/>
        <w:rPr>
          <w:rFonts w:cs="Times New Roman"/>
          <w:kern w:val="0"/>
        </w:rPr>
      </w:pPr>
      <w:r w:rsidRPr="00645DFF">
        <w:rPr>
          <w:rFonts w:cs="Times New Roman"/>
          <w:kern w:val="0"/>
          <w:vertAlign w:val="superscript"/>
        </w:rPr>
        <w:t>15</w:t>
      </w:r>
      <w:r w:rsidRPr="00645DFF">
        <w:rPr>
          <w:rFonts w:cs="Times New Roman"/>
          <w:kern w:val="0"/>
        </w:rPr>
        <w:t xml:space="preserve"> N.H.D. Khang, S. Nakano, T. </w:t>
      </w:r>
      <w:proofErr w:type="spellStart"/>
      <w:r w:rsidRPr="00645DFF">
        <w:rPr>
          <w:rFonts w:cs="Times New Roman"/>
          <w:kern w:val="0"/>
        </w:rPr>
        <w:t>Shirokura</w:t>
      </w:r>
      <w:proofErr w:type="spellEnd"/>
      <w:r w:rsidRPr="00645DFF">
        <w:rPr>
          <w:rFonts w:cs="Times New Roman"/>
          <w:kern w:val="0"/>
        </w:rPr>
        <w:t xml:space="preserve">, Y. Miyamoto, and P.N. Hai, Sci. Rep. </w:t>
      </w:r>
      <w:r w:rsidRPr="00645DFF">
        <w:rPr>
          <w:rFonts w:cs="Times New Roman"/>
          <w:b/>
          <w:bCs/>
          <w:kern w:val="0"/>
        </w:rPr>
        <w:t>10</w:t>
      </w:r>
      <w:r w:rsidRPr="00645DFF">
        <w:rPr>
          <w:rFonts w:cs="Times New Roman"/>
          <w:kern w:val="0"/>
        </w:rPr>
        <w:t>, 12185 (2020).</w:t>
      </w:r>
    </w:p>
    <w:p w14:paraId="40288706" w14:textId="77777777" w:rsidR="00FE2BAE" w:rsidRPr="00645DFF" w:rsidRDefault="00FE2BAE" w:rsidP="00FE2BAE">
      <w:pPr>
        <w:pStyle w:val="Bibliography"/>
        <w:rPr>
          <w:rFonts w:cs="Times New Roman"/>
          <w:kern w:val="0"/>
        </w:rPr>
      </w:pPr>
      <w:r w:rsidRPr="00645DFF">
        <w:rPr>
          <w:rFonts w:cs="Times New Roman"/>
          <w:kern w:val="0"/>
          <w:vertAlign w:val="superscript"/>
        </w:rPr>
        <w:t>16</w:t>
      </w:r>
      <w:r w:rsidRPr="00645DFF">
        <w:rPr>
          <w:rFonts w:cs="Times New Roman"/>
          <w:kern w:val="0"/>
        </w:rPr>
        <w:t xml:space="preserve"> T. Fan, M. </w:t>
      </w:r>
      <w:proofErr w:type="spellStart"/>
      <w:r w:rsidRPr="00645DFF">
        <w:rPr>
          <w:rFonts w:cs="Times New Roman"/>
          <w:kern w:val="0"/>
        </w:rPr>
        <w:t>Tobah</w:t>
      </w:r>
      <w:proofErr w:type="spellEnd"/>
      <w:r w:rsidRPr="00645DFF">
        <w:rPr>
          <w:rFonts w:cs="Times New Roman"/>
          <w:kern w:val="0"/>
        </w:rPr>
        <w:t xml:space="preserve">, T. </w:t>
      </w:r>
      <w:proofErr w:type="spellStart"/>
      <w:r w:rsidRPr="00645DFF">
        <w:rPr>
          <w:rFonts w:cs="Times New Roman"/>
          <w:kern w:val="0"/>
        </w:rPr>
        <w:t>Shirokura</w:t>
      </w:r>
      <w:proofErr w:type="spellEnd"/>
      <w:r w:rsidRPr="00645DFF">
        <w:rPr>
          <w:rFonts w:cs="Times New Roman"/>
          <w:kern w:val="0"/>
        </w:rPr>
        <w:t xml:space="preserve">, N. Huynh Duy Khang, and P. Nam Hai, </w:t>
      </w:r>
      <w:proofErr w:type="spellStart"/>
      <w:r w:rsidRPr="00645DFF">
        <w:rPr>
          <w:rFonts w:cs="Times New Roman"/>
          <w:kern w:val="0"/>
        </w:rPr>
        <w:t>Jpn</w:t>
      </w:r>
      <w:proofErr w:type="spellEnd"/>
      <w:r w:rsidRPr="00645DFF">
        <w:rPr>
          <w:rFonts w:cs="Times New Roman"/>
          <w:kern w:val="0"/>
        </w:rPr>
        <w:t xml:space="preserve">. J. Appl. Phys. </w:t>
      </w:r>
      <w:r w:rsidRPr="00645DFF">
        <w:rPr>
          <w:rFonts w:cs="Times New Roman"/>
          <w:b/>
          <w:bCs/>
          <w:kern w:val="0"/>
        </w:rPr>
        <w:t>59</w:t>
      </w:r>
      <w:r w:rsidRPr="00645DFF">
        <w:rPr>
          <w:rFonts w:cs="Times New Roman"/>
          <w:kern w:val="0"/>
        </w:rPr>
        <w:t>, 063001 (2020).</w:t>
      </w:r>
    </w:p>
    <w:p w14:paraId="6DD0D582" w14:textId="77777777" w:rsidR="00FE2BAE" w:rsidRPr="00645DFF" w:rsidRDefault="00FE2BAE" w:rsidP="00FE2BAE">
      <w:pPr>
        <w:pStyle w:val="Bibliography"/>
        <w:rPr>
          <w:rFonts w:cs="Times New Roman"/>
          <w:kern w:val="0"/>
        </w:rPr>
      </w:pPr>
      <w:r w:rsidRPr="00645DFF">
        <w:rPr>
          <w:rFonts w:cs="Times New Roman"/>
          <w:kern w:val="0"/>
          <w:vertAlign w:val="superscript"/>
        </w:rPr>
        <w:t>17</w:t>
      </w:r>
      <w:r w:rsidRPr="00645DFF">
        <w:rPr>
          <w:rFonts w:cs="Times New Roman"/>
          <w:kern w:val="0"/>
        </w:rPr>
        <w:t xml:space="preserve"> W. Tian, W. Yu, J. Shi, and Y. Wang, Materials </w:t>
      </w:r>
      <w:r w:rsidRPr="00645DFF">
        <w:rPr>
          <w:rFonts w:cs="Times New Roman"/>
          <w:b/>
          <w:bCs/>
          <w:kern w:val="0"/>
        </w:rPr>
        <w:t>10</w:t>
      </w:r>
      <w:r w:rsidRPr="00645DFF">
        <w:rPr>
          <w:rFonts w:cs="Times New Roman"/>
          <w:kern w:val="0"/>
        </w:rPr>
        <w:t>, 814 (2017).</w:t>
      </w:r>
    </w:p>
    <w:p w14:paraId="7F9BBE61" w14:textId="77777777" w:rsidR="00FE2BAE" w:rsidRPr="00645DFF" w:rsidRDefault="00FE2BAE" w:rsidP="00FE2BAE">
      <w:pPr>
        <w:pStyle w:val="Bibliography"/>
        <w:rPr>
          <w:rFonts w:cs="Times New Roman"/>
          <w:kern w:val="0"/>
        </w:rPr>
      </w:pPr>
      <w:r w:rsidRPr="00645DFF">
        <w:rPr>
          <w:rFonts w:cs="Times New Roman"/>
          <w:kern w:val="0"/>
          <w:vertAlign w:val="superscript"/>
        </w:rPr>
        <w:t>18</w:t>
      </w:r>
      <w:r w:rsidRPr="00645DFF">
        <w:rPr>
          <w:rFonts w:cs="Times New Roman"/>
          <w:kern w:val="0"/>
        </w:rPr>
        <w:t xml:space="preserve"> B. York, P. Hai, Q. Le, C. Hwang, K. Nguyen, H. Ho, J. Sasaki, X. Liu, S. Le, M. Ho, and H. Takano, in </w:t>
      </w:r>
      <w:r w:rsidRPr="00645DFF">
        <w:rPr>
          <w:rFonts w:cs="Times New Roman"/>
          <w:i/>
          <w:iCs/>
          <w:kern w:val="0"/>
        </w:rPr>
        <w:t>2021 IEEE 32nd Magnetic Recording Conference (TMRC)</w:t>
      </w:r>
      <w:r w:rsidRPr="00645DFF">
        <w:rPr>
          <w:rFonts w:cs="Times New Roman"/>
          <w:kern w:val="0"/>
        </w:rPr>
        <w:t xml:space="preserve"> (2021), pp. 1–2.</w:t>
      </w:r>
    </w:p>
    <w:p w14:paraId="14E38DA5" w14:textId="77777777" w:rsidR="00FE2BAE" w:rsidRPr="00645DFF" w:rsidRDefault="00FE2BAE" w:rsidP="00FE2BAE">
      <w:pPr>
        <w:pStyle w:val="Bibliography"/>
        <w:rPr>
          <w:rFonts w:cs="Times New Roman"/>
          <w:kern w:val="0"/>
        </w:rPr>
      </w:pPr>
      <w:r w:rsidRPr="00645DFF">
        <w:rPr>
          <w:rFonts w:cs="Times New Roman"/>
          <w:kern w:val="0"/>
          <w:vertAlign w:val="superscript"/>
        </w:rPr>
        <w:t>19</w:t>
      </w:r>
      <w:r w:rsidRPr="00645DFF">
        <w:rPr>
          <w:rFonts w:cs="Times New Roman"/>
          <w:kern w:val="0"/>
        </w:rPr>
        <w:t xml:space="preserve"> Y. Ueda, N.H. Duy Khang, K. Yao, and P.N. Hai, Appl. Phys. Lett. </w:t>
      </w:r>
      <w:r w:rsidRPr="00645DFF">
        <w:rPr>
          <w:rFonts w:cs="Times New Roman"/>
          <w:b/>
          <w:bCs/>
          <w:kern w:val="0"/>
        </w:rPr>
        <w:t>110</w:t>
      </w:r>
      <w:r w:rsidRPr="00645DFF">
        <w:rPr>
          <w:rFonts w:cs="Times New Roman"/>
          <w:kern w:val="0"/>
        </w:rPr>
        <w:t>, 062401 (2017).</w:t>
      </w:r>
    </w:p>
    <w:p w14:paraId="78BDB6E6" w14:textId="77777777" w:rsidR="00FE2BAE" w:rsidRPr="00645DFF" w:rsidRDefault="00FE2BAE" w:rsidP="00FE2BAE">
      <w:pPr>
        <w:pStyle w:val="Bibliography"/>
        <w:rPr>
          <w:rFonts w:cs="Times New Roman"/>
          <w:kern w:val="0"/>
        </w:rPr>
      </w:pPr>
      <w:r w:rsidRPr="00645DFF">
        <w:rPr>
          <w:rFonts w:cs="Times New Roman"/>
          <w:kern w:val="0"/>
          <w:vertAlign w:val="superscript"/>
        </w:rPr>
        <w:t>20</w:t>
      </w:r>
      <w:r w:rsidRPr="00645DFF">
        <w:rPr>
          <w:rFonts w:cs="Times New Roman"/>
          <w:kern w:val="0"/>
        </w:rPr>
        <w:t xml:space="preserve"> H. He, L. Tai, D. Wu, H. Wu, A. Razavi, K. Wong, Y. Liu, and K.L. Wang, APL Mater. </w:t>
      </w:r>
      <w:r w:rsidRPr="00645DFF">
        <w:rPr>
          <w:rFonts w:cs="Times New Roman"/>
          <w:b/>
          <w:bCs/>
          <w:kern w:val="0"/>
        </w:rPr>
        <w:t>9</w:t>
      </w:r>
      <w:r w:rsidRPr="00645DFF">
        <w:rPr>
          <w:rFonts w:cs="Times New Roman"/>
          <w:kern w:val="0"/>
        </w:rPr>
        <w:t>, 071104 (2021).</w:t>
      </w:r>
    </w:p>
    <w:p w14:paraId="211E8C18" w14:textId="77777777" w:rsidR="00FE2BAE" w:rsidRPr="00645DFF" w:rsidRDefault="00FE2BAE" w:rsidP="00FE2BAE">
      <w:pPr>
        <w:pStyle w:val="Bibliography"/>
        <w:rPr>
          <w:rFonts w:cs="Times New Roman"/>
          <w:kern w:val="0"/>
        </w:rPr>
      </w:pPr>
      <w:r w:rsidRPr="00645DFF">
        <w:rPr>
          <w:rFonts w:cs="Times New Roman"/>
          <w:kern w:val="0"/>
          <w:vertAlign w:val="superscript"/>
        </w:rPr>
        <w:t>21</w:t>
      </w:r>
      <w:r w:rsidRPr="00645DFF">
        <w:rPr>
          <w:rFonts w:cs="Times New Roman"/>
          <w:kern w:val="0"/>
        </w:rPr>
        <w:t xml:space="preserve"> H.Y. Poh, C.C.I. Ang, G.J. Lim, T.L. Jin, S.H. Lee, E.K. Koh, F. Poh, and W.S. Lew, Phys. Rev. Applied </w:t>
      </w:r>
      <w:r w:rsidRPr="00645DFF">
        <w:rPr>
          <w:rFonts w:cs="Times New Roman"/>
          <w:b/>
          <w:bCs/>
          <w:kern w:val="0"/>
        </w:rPr>
        <w:t>19</w:t>
      </w:r>
      <w:r w:rsidRPr="00645DFF">
        <w:rPr>
          <w:rFonts w:cs="Times New Roman"/>
          <w:kern w:val="0"/>
        </w:rPr>
        <w:t>, (2023).</w:t>
      </w:r>
    </w:p>
    <w:p w14:paraId="2BF135FC" w14:textId="77777777" w:rsidR="00FE2BAE" w:rsidRPr="00645DFF" w:rsidRDefault="00FE2BAE" w:rsidP="00FE2BAE">
      <w:pPr>
        <w:pStyle w:val="Bibliography"/>
        <w:rPr>
          <w:rFonts w:cs="Times New Roman"/>
          <w:kern w:val="0"/>
        </w:rPr>
      </w:pPr>
      <w:r w:rsidRPr="00645DFF">
        <w:rPr>
          <w:rFonts w:cs="Times New Roman"/>
          <w:kern w:val="0"/>
          <w:vertAlign w:val="superscript"/>
        </w:rPr>
        <w:t>22</w:t>
      </w:r>
      <w:r w:rsidRPr="00645DFF">
        <w:rPr>
          <w:rFonts w:cs="Times New Roman"/>
          <w:kern w:val="0"/>
        </w:rPr>
        <w:t xml:space="preserve"> S. Shi, A. Wang, Y. Wang, R. Ramaswamy, L. Shen, J. Moon, D. Zhu, J. Yu, S. Oh, Y. Feng, and H. Yang, Phys. Rev. B </w:t>
      </w:r>
      <w:r w:rsidRPr="00645DFF">
        <w:rPr>
          <w:rFonts w:cs="Times New Roman"/>
          <w:b/>
          <w:bCs/>
          <w:kern w:val="0"/>
        </w:rPr>
        <w:t>97</w:t>
      </w:r>
      <w:r w:rsidRPr="00645DFF">
        <w:rPr>
          <w:rFonts w:cs="Times New Roman"/>
          <w:kern w:val="0"/>
        </w:rPr>
        <w:t>, (2018).</w:t>
      </w:r>
    </w:p>
    <w:p w14:paraId="5FB0C00A" w14:textId="77777777" w:rsidR="00FE2BAE" w:rsidRPr="00645DFF" w:rsidRDefault="00FE2BAE" w:rsidP="00FE2BAE">
      <w:pPr>
        <w:pStyle w:val="Bibliography"/>
        <w:rPr>
          <w:rFonts w:cs="Times New Roman"/>
          <w:kern w:val="0"/>
        </w:rPr>
      </w:pPr>
      <w:r w:rsidRPr="00645DFF">
        <w:rPr>
          <w:rFonts w:cs="Times New Roman"/>
          <w:kern w:val="0"/>
          <w:vertAlign w:val="superscript"/>
        </w:rPr>
        <w:t>23</w:t>
      </w:r>
      <w:r w:rsidRPr="00645DFF">
        <w:rPr>
          <w:rFonts w:cs="Times New Roman"/>
          <w:kern w:val="0"/>
        </w:rPr>
        <w:t xml:space="preserve"> Q. Le, X. Liu, L. Xu, B.R. York, C. Hwang, S. Le, M. Maeda, T. Fan, Y. Tao, H. Takano, M. Liu, Z. </w:t>
      </w:r>
      <w:proofErr w:type="spellStart"/>
      <w:r w:rsidRPr="00645DFF">
        <w:rPr>
          <w:rFonts w:cs="Times New Roman"/>
          <w:kern w:val="0"/>
        </w:rPr>
        <w:t>Ruixian</w:t>
      </w:r>
      <w:proofErr w:type="spellEnd"/>
      <w:r w:rsidRPr="00645DFF">
        <w:rPr>
          <w:rFonts w:cs="Times New Roman"/>
          <w:kern w:val="0"/>
        </w:rPr>
        <w:t xml:space="preserve">, S. Namba, and P.N. Hai, J. Appl. Phys. </w:t>
      </w:r>
      <w:r w:rsidRPr="00645DFF">
        <w:rPr>
          <w:rFonts w:cs="Times New Roman"/>
          <w:b/>
          <w:bCs/>
          <w:kern w:val="0"/>
        </w:rPr>
        <w:t>137</w:t>
      </w:r>
      <w:r w:rsidRPr="00645DFF">
        <w:rPr>
          <w:rFonts w:cs="Times New Roman"/>
          <w:kern w:val="0"/>
        </w:rPr>
        <w:t>, 123903 (2025).</w:t>
      </w:r>
    </w:p>
    <w:p w14:paraId="1AC42204" w14:textId="77777777" w:rsidR="00FE2BAE" w:rsidRPr="00645DFF" w:rsidRDefault="00FE2BAE" w:rsidP="00FE2BAE">
      <w:pPr>
        <w:pStyle w:val="Bibliography"/>
        <w:rPr>
          <w:rFonts w:cs="Times New Roman"/>
          <w:kern w:val="0"/>
        </w:rPr>
      </w:pPr>
      <w:r w:rsidRPr="00645DFF">
        <w:rPr>
          <w:rFonts w:cs="Times New Roman"/>
          <w:kern w:val="0"/>
          <w:vertAlign w:val="superscript"/>
        </w:rPr>
        <w:t>24</w:t>
      </w:r>
      <w:r w:rsidRPr="00645DFF">
        <w:rPr>
          <w:rFonts w:cs="Times New Roman"/>
          <w:kern w:val="0"/>
        </w:rPr>
        <w:t xml:space="preserve"> Z. </w:t>
      </w:r>
      <w:proofErr w:type="spellStart"/>
      <w:r w:rsidRPr="00645DFF">
        <w:rPr>
          <w:rFonts w:cs="Times New Roman"/>
          <w:kern w:val="0"/>
        </w:rPr>
        <w:t>Ruixian</w:t>
      </w:r>
      <w:proofErr w:type="spellEnd"/>
      <w:r w:rsidRPr="00645DFF">
        <w:rPr>
          <w:rFonts w:cs="Times New Roman"/>
          <w:kern w:val="0"/>
        </w:rPr>
        <w:t xml:space="preserve">, H.H. Huy, T. </w:t>
      </w:r>
      <w:proofErr w:type="spellStart"/>
      <w:r w:rsidRPr="00645DFF">
        <w:rPr>
          <w:rFonts w:cs="Times New Roman"/>
          <w:kern w:val="0"/>
        </w:rPr>
        <w:t>Shirokura</w:t>
      </w:r>
      <w:proofErr w:type="spellEnd"/>
      <w:r w:rsidRPr="00645DFF">
        <w:rPr>
          <w:rFonts w:cs="Times New Roman"/>
          <w:kern w:val="0"/>
        </w:rPr>
        <w:t xml:space="preserve">, P.N. Hai, Q. Le, B. York, C. Hwang, X. Liu, M. </w:t>
      </w:r>
      <w:proofErr w:type="spellStart"/>
      <w:r w:rsidRPr="00645DFF">
        <w:rPr>
          <w:rFonts w:cs="Times New Roman"/>
          <w:kern w:val="0"/>
        </w:rPr>
        <w:t>Gribelyuk</w:t>
      </w:r>
      <w:proofErr w:type="spellEnd"/>
      <w:r w:rsidRPr="00645DFF">
        <w:rPr>
          <w:rFonts w:cs="Times New Roman"/>
          <w:kern w:val="0"/>
        </w:rPr>
        <w:t xml:space="preserve">, X. Xu, S. Le, M. Maeda, T. Fan, Y. Tao, and H. Takano, Appl. Phys. Lett. </w:t>
      </w:r>
      <w:r w:rsidRPr="00645DFF">
        <w:rPr>
          <w:rFonts w:cs="Times New Roman"/>
          <w:b/>
          <w:bCs/>
          <w:kern w:val="0"/>
        </w:rPr>
        <w:t>124</w:t>
      </w:r>
      <w:r w:rsidRPr="00645DFF">
        <w:rPr>
          <w:rFonts w:cs="Times New Roman"/>
          <w:kern w:val="0"/>
        </w:rPr>
        <w:t>, 072402 (2024).</w:t>
      </w:r>
    </w:p>
    <w:p w14:paraId="7159B9E2" w14:textId="77777777" w:rsidR="00FE2BAE" w:rsidRPr="00645DFF" w:rsidRDefault="00FE2BAE" w:rsidP="00FE2BAE">
      <w:pPr>
        <w:pStyle w:val="Bibliography"/>
        <w:rPr>
          <w:rFonts w:cs="Times New Roman"/>
          <w:kern w:val="0"/>
        </w:rPr>
      </w:pPr>
      <w:r w:rsidRPr="00645DFF">
        <w:rPr>
          <w:rFonts w:cs="Times New Roman"/>
          <w:kern w:val="0"/>
          <w:vertAlign w:val="superscript"/>
        </w:rPr>
        <w:t>25</w:t>
      </w:r>
      <w:r w:rsidRPr="00645DFF">
        <w:rPr>
          <w:rFonts w:cs="Times New Roman"/>
          <w:kern w:val="0"/>
        </w:rPr>
        <w:t xml:space="preserve"> T. Manoj, Z. Wen, J. </w:t>
      </w:r>
      <w:proofErr w:type="spellStart"/>
      <w:r w:rsidRPr="00645DFF">
        <w:rPr>
          <w:rFonts w:cs="Times New Roman"/>
          <w:kern w:val="0"/>
        </w:rPr>
        <w:t>Uzuhashi</w:t>
      </w:r>
      <w:proofErr w:type="spellEnd"/>
      <w:r w:rsidRPr="00645DFF">
        <w:rPr>
          <w:rFonts w:cs="Times New Roman"/>
          <w:kern w:val="0"/>
        </w:rPr>
        <w:t xml:space="preserve">, T. Ohkubo, H. </w:t>
      </w:r>
      <w:proofErr w:type="spellStart"/>
      <w:r w:rsidRPr="00645DFF">
        <w:rPr>
          <w:rFonts w:cs="Times New Roman"/>
          <w:kern w:val="0"/>
        </w:rPr>
        <w:t>Sukegawa</w:t>
      </w:r>
      <w:proofErr w:type="spellEnd"/>
      <w:r w:rsidRPr="00645DFF">
        <w:rPr>
          <w:rFonts w:cs="Times New Roman"/>
          <w:kern w:val="0"/>
        </w:rPr>
        <w:t xml:space="preserve">, C. </w:t>
      </w:r>
      <w:proofErr w:type="spellStart"/>
      <w:r w:rsidRPr="00645DFF">
        <w:rPr>
          <w:rFonts w:cs="Times New Roman"/>
          <w:kern w:val="0"/>
        </w:rPr>
        <w:t>Murapaka</w:t>
      </w:r>
      <w:proofErr w:type="spellEnd"/>
      <w:r w:rsidRPr="00645DFF">
        <w:rPr>
          <w:rFonts w:cs="Times New Roman"/>
          <w:kern w:val="0"/>
        </w:rPr>
        <w:t xml:space="preserve">, B. York, X. Liu, Q. Le, and S. Mitani, ACS Appl. Electron. Mater. </w:t>
      </w:r>
      <w:r w:rsidRPr="00645DFF">
        <w:rPr>
          <w:rFonts w:cs="Times New Roman"/>
          <w:b/>
          <w:bCs/>
          <w:kern w:val="0"/>
        </w:rPr>
        <w:t>6</w:t>
      </w:r>
      <w:r w:rsidRPr="00645DFF">
        <w:rPr>
          <w:rFonts w:cs="Times New Roman"/>
          <w:kern w:val="0"/>
        </w:rPr>
        <w:t>, 4269 (2024).</w:t>
      </w:r>
    </w:p>
    <w:p w14:paraId="1A3D096A" w14:textId="77777777" w:rsidR="00FE2BAE" w:rsidRPr="00645DFF" w:rsidRDefault="00FE2BAE" w:rsidP="00FE2BAE">
      <w:pPr>
        <w:pStyle w:val="Bibliography"/>
        <w:rPr>
          <w:rFonts w:cs="Times New Roman"/>
          <w:kern w:val="0"/>
        </w:rPr>
      </w:pPr>
      <w:r w:rsidRPr="00645DFF">
        <w:rPr>
          <w:rFonts w:cs="Times New Roman"/>
          <w:kern w:val="0"/>
          <w:vertAlign w:val="superscript"/>
        </w:rPr>
        <w:t>26</w:t>
      </w:r>
      <w:r w:rsidRPr="00645DFF">
        <w:rPr>
          <w:rFonts w:cs="Times New Roman"/>
          <w:kern w:val="0"/>
        </w:rPr>
        <w:t xml:space="preserve"> M. Kostka, L. Mustafa, M. Golombiewski, J. Fortmann, A. </w:t>
      </w:r>
      <w:proofErr w:type="spellStart"/>
      <w:r w:rsidRPr="00645DFF">
        <w:rPr>
          <w:rFonts w:cs="Times New Roman"/>
          <w:kern w:val="0"/>
        </w:rPr>
        <w:t>Mockute</w:t>
      </w:r>
      <w:proofErr w:type="spellEnd"/>
      <w:r w:rsidRPr="00645DFF">
        <w:rPr>
          <w:rFonts w:cs="Times New Roman"/>
          <w:kern w:val="0"/>
        </w:rPr>
        <w:t xml:space="preserve">, A. Savan, A. Ludwig, A. Kreyssig, and A.E. Böhmer, Adv. Eng. Mater. </w:t>
      </w:r>
      <w:r w:rsidRPr="00645DFF">
        <w:rPr>
          <w:rFonts w:cs="Times New Roman"/>
          <w:b/>
          <w:bCs/>
          <w:kern w:val="0"/>
        </w:rPr>
        <w:t>27</w:t>
      </w:r>
      <w:r w:rsidRPr="00645DFF">
        <w:rPr>
          <w:rFonts w:cs="Times New Roman"/>
          <w:kern w:val="0"/>
        </w:rPr>
        <w:t>, 2402988 (2025).</w:t>
      </w:r>
    </w:p>
    <w:p w14:paraId="329EFA28" w14:textId="77777777" w:rsidR="00FE2BAE" w:rsidRPr="00645DFF" w:rsidRDefault="00FE2BAE" w:rsidP="00FE2BAE">
      <w:pPr>
        <w:pStyle w:val="Bibliography"/>
        <w:rPr>
          <w:rFonts w:cs="Times New Roman"/>
          <w:kern w:val="0"/>
        </w:rPr>
      </w:pPr>
      <w:r w:rsidRPr="00645DFF">
        <w:rPr>
          <w:rFonts w:cs="Times New Roman"/>
          <w:kern w:val="0"/>
          <w:vertAlign w:val="superscript"/>
        </w:rPr>
        <w:t>27</w:t>
      </w:r>
      <w:r w:rsidRPr="00645DFF">
        <w:rPr>
          <w:rFonts w:cs="Times New Roman"/>
          <w:kern w:val="0"/>
        </w:rPr>
        <w:t xml:space="preserve"> K. Tang, Z. Wen, T. Seki, H. </w:t>
      </w:r>
      <w:proofErr w:type="spellStart"/>
      <w:r w:rsidRPr="00645DFF">
        <w:rPr>
          <w:rFonts w:cs="Times New Roman"/>
          <w:kern w:val="0"/>
        </w:rPr>
        <w:t>Sukegawa</w:t>
      </w:r>
      <w:proofErr w:type="spellEnd"/>
      <w:r w:rsidRPr="00645DFF">
        <w:rPr>
          <w:rFonts w:cs="Times New Roman"/>
          <w:kern w:val="0"/>
        </w:rPr>
        <w:t xml:space="preserve">, and S. Mitani, Adv. Mater. Interfaces </w:t>
      </w:r>
      <w:r w:rsidRPr="00645DFF">
        <w:rPr>
          <w:rFonts w:cs="Times New Roman"/>
          <w:b/>
          <w:bCs/>
          <w:kern w:val="0"/>
        </w:rPr>
        <w:t>9</w:t>
      </w:r>
      <w:r w:rsidRPr="00645DFF">
        <w:rPr>
          <w:rFonts w:cs="Times New Roman"/>
          <w:kern w:val="0"/>
        </w:rPr>
        <w:t>, 2201332 (2022).</w:t>
      </w:r>
    </w:p>
    <w:p w14:paraId="17EF916C" w14:textId="77777777" w:rsidR="00FE2BAE" w:rsidRPr="00645DFF" w:rsidRDefault="00FE2BAE" w:rsidP="00FE2BAE">
      <w:pPr>
        <w:pStyle w:val="Bibliography"/>
        <w:rPr>
          <w:rFonts w:cs="Times New Roman"/>
          <w:kern w:val="0"/>
        </w:rPr>
      </w:pPr>
      <w:r w:rsidRPr="00645DFF">
        <w:rPr>
          <w:rFonts w:cs="Times New Roman"/>
          <w:kern w:val="0"/>
          <w:vertAlign w:val="superscript"/>
        </w:rPr>
        <w:t>28</w:t>
      </w:r>
      <w:r w:rsidRPr="00645DFF">
        <w:rPr>
          <w:rFonts w:cs="Times New Roman"/>
          <w:kern w:val="0"/>
        </w:rPr>
        <w:t xml:space="preserve"> Q. Le, B.R. York, C. Hwang, X. Liu, L. Xu, S. Le, M. Maeda, T. Fan, Y. Tao, H. Takano, M. Liu, Z. </w:t>
      </w:r>
      <w:proofErr w:type="spellStart"/>
      <w:r w:rsidRPr="00645DFF">
        <w:rPr>
          <w:rFonts w:cs="Times New Roman"/>
          <w:kern w:val="0"/>
        </w:rPr>
        <w:t>Ruixian</w:t>
      </w:r>
      <w:proofErr w:type="spellEnd"/>
      <w:r w:rsidRPr="00645DFF">
        <w:rPr>
          <w:rFonts w:cs="Times New Roman"/>
          <w:kern w:val="0"/>
        </w:rPr>
        <w:t xml:space="preserve">, S. Namba, and P. Nam Hai, </w:t>
      </w:r>
      <w:proofErr w:type="spellStart"/>
      <w:r w:rsidRPr="00645DFF">
        <w:rPr>
          <w:rFonts w:cs="Times New Roman"/>
          <w:kern w:val="0"/>
        </w:rPr>
        <w:t>Jpn</w:t>
      </w:r>
      <w:proofErr w:type="spellEnd"/>
      <w:r w:rsidRPr="00645DFF">
        <w:rPr>
          <w:rFonts w:cs="Times New Roman"/>
          <w:kern w:val="0"/>
        </w:rPr>
        <w:t xml:space="preserve">. J. Appl. Phys. </w:t>
      </w:r>
      <w:r w:rsidRPr="00645DFF">
        <w:rPr>
          <w:rFonts w:cs="Times New Roman"/>
          <w:b/>
          <w:bCs/>
          <w:kern w:val="0"/>
        </w:rPr>
        <w:t>64</w:t>
      </w:r>
      <w:r w:rsidRPr="00645DFF">
        <w:rPr>
          <w:rFonts w:cs="Times New Roman"/>
          <w:kern w:val="0"/>
        </w:rPr>
        <w:t>, 043001 (2025).</w:t>
      </w:r>
    </w:p>
    <w:p w14:paraId="5CAA9B3F" w14:textId="77777777" w:rsidR="00FE2BAE" w:rsidRPr="00645DFF" w:rsidRDefault="00FE2BAE" w:rsidP="00FE2BAE">
      <w:pPr>
        <w:pStyle w:val="Bibliography"/>
        <w:rPr>
          <w:rFonts w:cs="Times New Roman"/>
          <w:kern w:val="0"/>
        </w:rPr>
      </w:pPr>
      <w:r w:rsidRPr="00645DFF">
        <w:rPr>
          <w:rFonts w:cs="Times New Roman"/>
          <w:kern w:val="0"/>
          <w:vertAlign w:val="superscript"/>
        </w:rPr>
        <w:t>29</w:t>
      </w:r>
      <w:r w:rsidRPr="00645DFF">
        <w:rPr>
          <w:rFonts w:cs="Times New Roman"/>
          <w:kern w:val="0"/>
        </w:rPr>
        <w:t xml:space="preserve"> T. Manoj, V. </w:t>
      </w:r>
      <w:proofErr w:type="spellStart"/>
      <w:r w:rsidRPr="00645DFF">
        <w:rPr>
          <w:rFonts w:cs="Times New Roman"/>
          <w:kern w:val="0"/>
        </w:rPr>
        <w:t>Mattela</w:t>
      </w:r>
      <w:proofErr w:type="spellEnd"/>
      <w:r w:rsidRPr="00645DFF">
        <w:rPr>
          <w:rFonts w:cs="Times New Roman"/>
          <w:kern w:val="0"/>
        </w:rPr>
        <w:t xml:space="preserve">, A.K. </w:t>
      </w:r>
      <w:proofErr w:type="spellStart"/>
      <w:r w:rsidRPr="00645DFF">
        <w:rPr>
          <w:rFonts w:cs="Times New Roman"/>
          <w:kern w:val="0"/>
        </w:rPr>
        <w:t>Salimath</w:t>
      </w:r>
      <w:proofErr w:type="spellEnd"/>
      <w:r w:rsidRPr="00645DFF">
        <w:rPr>
          <w:rFonts w:cs="Times New Roman"/>
          <w:kern w:val="0"/>
        </w:rPr>
        <w:t xml:space="preserve">, S. Debroy, T.R. Kakinada, M.S. Devapriya, A. Haldar, Z. Wen, H. </w:t>
      </w:r>
      <w:proofErr w:type="spellStart"/>
      <w:r w:rsidRPr="00645DFF">
        <w:rPr>
          <w:rFonts w:cs="Times New Roman"/>
          <w:kern w:val="0"/>
        </w:rPr>
        <w:t>Sukegawa</w:t>
      </w:r>
      <w:proofErr w:type="spellEnd"/>
      <w:r w:rsidRPr="00645DFF">
        <w:rPr>
          <w:rFonts w:cs="Times New Roman"/>
          <w:kern w:val="0"/>
        </w:rPr>
        <w:t xml:space="preserve">, S. Mitani, and C. </w:t>
      </w:r>
      <w:proofErr w:type="spellStart"/>
      <w:r w:rsidRPr="00645DFF">
        <w:rPr>
          <w:rFonts w:cs="Times New Roman"/>
          <w:kern w:val="0"/>
        </w:rPr>
        <w:t>Murapaka</w:t>
      </w:r>
      <w:proofErr w:type="spellEnd"/>
      <w:r w:rsidRPr="00645DFF">
        <w:rPr>
          <w:rFonts w:cs="Times New Roman"/>
          <w:kern w:val="0"/>
        </w:rPr>
        <w:t xml:space="preserve">, J. Appl. Phys. </w:t>
      </w:r>
      <w:r w:rsidRPr="00645DFF">
        <w:rPr>
          <w:rFonts w:cs="Times New Roman"/>
          <w:b/>
          <w:bCs/>
          <w:kern w:val="0"/>
        </w:rPr>
        <w:t>138</w:t>
      </w:r>
      <w:r w:rsidRPr="00645DFF">
        <w:rPr>
          <w:rFonts w:cs="Times New Roman"/>
          <w:kern w:val="0"/>
        </w:rPr>
        <w:t>, 053903 (2025).</w:t>
      </w:r>
    </w:p>
    <w:p w14:paraId="1812B6E0" w14:textId="77777777" w:rsidR="00FE2BAE" w:rsidRPr="00645DFF" w:rsidRDefault="00FE2BAE" w:rsidP="00FE2BAE">
      <w:pPr>
        <w:pStyle w:val="Bibliography"/>
        <w:rPr>
          <w:rFonts w:cs="Times New Roman"/>
          <w:kern w:val="0"/>
        </w:rPr>
      </w:pPr>
      <w:r w:rsidRPr="00645DFF">
        <w:rPr>
          <w:rFonts w:cs="Times New Roman"/>
          <w:kern w:val="0"/>
          <w:vertAlign w:val="superscript"/>
        </w:rPr>
        <w:t>30</w:t>
      </w:r>
      <w:r w:rsidRPr="00645DFF">
        <w:rPr>
          <w:rFonts w:cs="Times New Roman"/>
          <w:kern w:val="0"/>
        </w:rPr>
        <w:t xml:space="preserve"> Y. Guang, K. Ran, J. Zhang, Y. Liu, S. Zhang, X. Qiu, Y. Peng, X. Zhang, M. Weigand, J. Gräfe, G. Schütz, G. Van Der Laan, T. Hesjedal, S. Zhang, G. Yu, and X. Han, Phys. Rev. Lett. </w:t>
      </w:r>
      <w:r w:rsidRPr="00645DFF">
        <w:rPr>
          <w:rFonts w:cs="Times New Roman"/>
          <w:b/>
          <w:bCs/>
          <w:kern w:val="0"/>
        </w:rPr>
        <w:t>127</w:t>
      </w:r>
      <w:r w:rsidRPr="00645DFF">
        <w:rPr>
          <w:rFonts w:cs="Times New Roman"/>
          <w:kern w:val="0"/>
        </w:rPr>
        <w:t>, 217201 (2021).</w:t>
      </w:r>
    </w:p>
    <w:p w14:paraId="20FE73F0" w14:textId="77777777" w:rsidR="00FE2BAE" w:rsidRPr="00645DFF" w:rsidRDefault="00FE2BAE" w:rsidP="00FE2BAE">
      <w:pPr>
        <w:pStyle w:val="Bibliography"/>
        <w:rPr>
          <w:rFonts w:cs="Times New Roman"/>
          <w:kern w:val="0"/>
        </w:rPr>
      </w:pPr>
      <w:r w:rsidRPr="00645DFF">
        <w:rPr>
          <w:rFonts w:cs="Times New Roman"/>
          <w:kern w:val="0"/>
          <w:vertAlign w:val="superscript"/>
        </w:rPr>
        <w:t>31</w:t>
      </w:r>
      <w:r w:rsidRPr="00645DFF">
        <w:rPr>
          <w:rFonts w:cs="Times New Roman"/>
          <w:kern w:val="0"/>
        </w:rPr>
        <w:t xml:space="preserve"> B. He, R. Tomasello, X. Luo, R. Zhang, Z. Nie, M. Carpentieri, X. Han, G. Finocchio, and G. Yu, Nano Lett. </w:t>
      </w:r>
      <w:r w:rsidRPr="00645DFF">
        <w:rPr>
          <w:rFonts w:cs="Times New Roman"/>
          <w:b/>
          <w:bCs/>
          <w:kern w:val="0"/>
        </w:rPr>
        <w:t>23</w:t>
      </w:r>
      <w:r w:rsidRPr="00645DFF">
        <w:rPr>
          <w:rFonts w:cs="Times New Roman"/>
          <w:kern w:val="0"/>
        </w:rPr>
        <w:t>, 9482 (2023).</w:t>
      </w:r>
    </w:p>
    <w:p w14:paraId="5CB27961" w14:textId="77777777" w:rsidR="00FE2BAE" w:rsidRPr="00645DFF" w:rsidRDefault="00FE2BAE" w:rsidP="00FE2BAE">
      <w:pPr>
        <w:pStyle w:val="Bibliography"/>
        <w:rPr>
          <w:rFonts w:cs="Times New Roman"/>
          <w:kern w:val="0"/>
        </w:rPr>
      </w:pPr>
      <w:r w:rsidRPr="00645DFF">
        <w:rPr>
          <w:rFonts w:cs="Times New Roman"/>
          <w:kern w:val="0"/>
          <w:vertAlign w:val="superscript"/>
        </w:rPr>
        <w:t>32</w:t>
      </w:r>
      <w:r w:rsidRPr="00645DFF">
        <w:rPr>
          <w:rFonts w:cs="Times New Roman"/>
          <w:kern w:val="0"/>
        </w:rPr>
        <w:t xml:space="preserve"> B. He, C. Wan, S. Zhang, M. Tang, H. Wang, F. Gao, R. Peng, J. Zhang, D. Zheng, Y. Li, J. Xu, M. Chen, G. Finocchio, G. Yu, and X. Zhang, Adv. Mater. </w:t>
      </w:r>
      <w:r w:rsidRPr="00645DFF">
        <w:rPr>
          <w:rFonts w:cs="Times New Roman"/>
          <w:b/>
          <w:bCs/>
          <w:kern w:val="0"/>
        </w:rPr>
        <w:t>38</w:t>
      </w:r>
      <w:r w:rsidRPr="00645DFF">
        <w:rPr>
          <w:rFonts w:cs="Times New Roman"/>
          <w:kern w:val="0"/>
        </w:rPr>
        <w:t>, e17750 (2026).</w:t>
      </w:r>
    </w:p>
    <w:p w14:paraId="45E76B1C" w14:textId="77777777" w:rsidR="00FE2BAE" w:rsidRPr="00645DFF" w:rsidRDefault="00FE2BAE" w:rsidP="00FE2BAE">
      <w:pPr>
        <w:pStyle w:val="Bibliography"/>
        <w:rPr>
          <w:rFonts w:cs="Times New Roman"/>
          <w:kern w:val="0"/>
        </w:rPr>
      </w:pPr>
      <w:r w:rsidRPr="00645DFF">
        <w:rPr>
          <w:rFonts w:cs="Times New Roman"/>
          <w:kern w:val="0"/>
          <w:vertAlign w:val="superscript"/>
        </w:rPr>
        <w:t>33</w:t>
      </w:r>
      <w:r w:rsidRPr="00645DFF">
        <w:rPr>
          <w:rFonts w:cs="Times New Roman"/>
          <w:kern w:val="0"/>
        </w:rPr>
        <w:t xml:space="preserve"> Y. Wang, D. Zhu, Y. Wu, Y. Yang, J. Yu, R. Ramaswamy, R. Mishra, S. Shi, M. </w:t>
      </w:r>
      <w:proofErr w:type="spellStart"/>
      <w:r w:rsidRPr="00645DFF">
        <w:rPr>
          <w:rFonts w:cs="Times New Roman"/>
          <w:kern w:val="0"/>
        </w:rPr>
        <w:t>Elyasi</w:t>
      </w:r>
      <w:proofErr w:type="spellEnd"/>
      <w:r w:rsidRPr="00645DFF">
        <w:rPr>
          <w:rFonts w:cs="Times New Roman"/>
          <w:kern w:val="0"/>
        </w:rPr>
        <w:t xml:space="preserve">, K.-L. Teo, </w:t>
      </w:r>
      <w:r w:rsidRPr="00645DFF">
        <w:rPr>
          <w:rFonts w:cs="Times New Roman"/>
          <w:kern w:val="0"/>
        </w:rPr>
        <w:lastRenderedPageBreak/>
        <w:t xml:space="preserve">Y. Wu, and H. Yang, Nature Communications </w:t>
      </w:r>
      <w:r w:rsidRPr="00645DFF">
        <w:rPr>
          <w:rFonts w:cs="Times New Roman"/>
          <w:b/>
          <w:bCs/>
          <w:kern w:val="0"/>
        </w:rPr>
        <w:t>8</w:t>
      </w:r>
      <w:r w:rsidRPr="00645DFF">
        <w:rPr>
          <w:rFonts w:cs="Times New Roman"/>
          <w:kern w:val="0"/>
        </w:rPr>
        <w:t>, 1364 (2017).</w:t>
      </w:r>
    </w:p>
    <w:p w14:paraId="5A04E816" w14:textId="77777777" w:rsidR="00FE2BAE" w:rsidRPr="00645DFF" w:rsidRDefault="00FE2BAE" w:rsidP="00FE2BAE">
      <w:pPr>
        <w:pStyle w:val="Bibliography"/>
        <w:rPr>
          <w:rFonts w:cs="Times New Roman"/>
          <w:kern w:val="0"/>
        </w:rPr>
      </w:pPr>
      <w:r w:rsidRPr="00645DFF">
        <w:rPr>
          <w:rFonts w:cs="Times New Roman"/>
          <w:kern w:val="0"/>
          <w:vertAlign w:val="superscript"/>
        </w:rPr>
        <w:t>34</w:t>
      </w:r>
      <w:r w:rsidRPr="00645DFF">
        <w:rPr>
          <w:rFonts w:cs="Times New Roman"/>
          <w:kern w:val="0"/>
        </w:rPr>
        <w:t xml:space="preserve"> Y. Wang, D. Zhu, Y. Yang, K. Lee, R. Mishra, G. Go, S.-H. Oh, D.-H. Kim, K. Cai, E. Liu, S.D. Pollard, S. Shi, J. Lee, K.L. Teo, Y. Wu, K.-J. Lee, and H. Yang, Science </w:t>
      </w:r>
      <w:r w:rsidRPr="00645DFF">
        <w:rPr>
          <w:rFonts w:cs="Times New Roman"/>
          <w:b/>
          <w:bCs/>
          <w:kern w:val="0"/>
        </w:rPr>
        <w:t>366</w:t>
      </w:r>
      <w:r w:rsidRPr="00645DFF">
        <w:rPr>
          <w:rFonts w:cs="Times New Roman"/>
          <w:kern w:val="0"/>
        </w:rPr>
        <w:t>, 1125 (2019).</w:t>
      </w:r>
    </w:p>
    <w:p w14:paraId="094888CF" w14:textId="77777777" w:rsidR="00FE2BAE" w:rsidRPr="00645DFF" w:rsidRDefault="00FE2BAE" w:rsidP="00FE2BAE">
      <w:pPr>
        <w:pStyle w:val="Bibliography"/>
        <w:rPr>
          <w:rFonts w:cs="Times New Roman"/>
          <w:kern w:val="0"/>
        </w:rPr>
      </w:pPr>
      <w:r w:rsidRPr="00645DFF">
        <w:rPr>
          <w:rFonts w:cs="Times New Roman"/>
          <w:kern w:val="0"/>
          <w:vertAlign w:val="superscript"/>
        </w:rPr>
        <w:t>35</w:t>
      </w:r>
      <w:r w:rsidRPr="00645DFF">
        <w:rPr>
          <w:rFonts w:cs="Times New Roman"/>
          <w:kern w:val="0"/>
        </w:rPr>
        <w:t xml:space="preserve"> K. Tang, Z. Wen, Y.-C. Lau, H. </w:t>
      </w:r>
      <w:proofErr w:type="spellStart"/>
      <w:r w:rsidRPr="00645DFF">
        <w:rPr>
          <w:rFonts w:cs="Times New Roman"/>
          <w:kern w:val="0"/>
        </w:rPr>
        <w:t>Sukegawa</w:t>
      </w:r>
      <w:proofErr w:type="spellEnd"/>
      <w:r w:rsidRPr="00645DFF">
        <w:rPr>
          <w:rFonts w:cs="Times New Roman"/>
          <w:kern w:val="0"/>
        </w:rPr>
        <w:t xml:space="preserve">, T. Seki, and S. Mitani, Appl. Phys. Lett. </w:t>
      </w:r>
      <w:r w:rsidRPr="00645DFF">
        <w:rPr>
          <w:rFonts w:cs="Times New Roman"/>
          <w:b/>
          <w:bCs/>
          <w:kern w:val="0"/>
        </w:rPr>
        <w:t>118</w:t>
      </w:r>
      <w:r w:rsidRPr="00645DFF">
        <w:rPr>
          <w:rFonts w:cs="Times New Roman"/>
          <w:kern w:val="0"/>
        </w:rPr>
        <w:t>, 062402 (2021).</w:t>
      </w:r>
    </w:p>
    <w:p w14:paraId="3EB5277E" w14:textId="77777777" w:rsidR="00FE2BAE" w:rsidRPr="00645DFF" w:rsidRDefault="00FE2BAE" w:rsidP="00FE2BAE">
      <w:pPr>
        <w:pStyle w:val="Bibliography"/>
        <w:rPr>
          <w:rFonts w:cs="Times New Roman"/>
          <w:kern w:val="0"/>
        </w:rPr>
      </w:pPr>
      <w:r w:rsidRPr="00645DFF">
        <w:rPr>
          <w:rFonts w:cs="Times New Roman"/>
          <w:kern w:val="0"/>
          <w:vertAlign w:val="superscript"/>
        </w:rPr>
        <w:t>36</w:t>
      </w:r>
      <w:r w:rsidRPr="00645DFF">
        <w:rPr>
          <w:rFonts w:cs="Times New Roman"/>
          <w:kern w:val="0"/>
        </w:rPr>
        <w:t xml:space="preserve"> K. Tang, Y.-C. Lau, K. Nawa, Z. Wen, Q. Xiang, H. </w:t>
      </w:r>
      <w:proofErr w:type="spellStart"/>
      <w:r w:rsidRPr="00645DFF">
        <w:rPr>
          <w:rFonts w:cs="Times New Roman"/>
          <w:kern w:val="0"/>
        </w:rPr>
        <w:t>Sukegawa</w:t>
      </w:r>
      <w:proofErr w:type="spellEnd"/>
      <w:r w:rsidRPr="00645DFF">
        <w:rPr>
          <w:rFonts w:cs="Times New Roman"/>
          <w:kern w:val="0"/>
        </w:rPr>
        <w:t xml:space="preserve">, T. Seki, Y. Miura, K. Takanashi, and S. Mitani, Phys. Rev. Research </w:t>
      </w:r>
      <w:r w:rsidRPr="00645DFF">
        <w:rPr>
          <w:rFonts w:cs="Times New Roman"/>
          <w:b/>
          <w:bCs/>
          <w:kern w:val="0"/>
        </w:rPr>
        <w:t>3</w:t>
      </w:r>
      <w:r w:rsidRPr="00645DFF">
        <w:rPr>
          <w:rFonts w:cs="Times New Roman"/>
          <w:kern w:val="0"/>
        </w:rPr>
        <w:t>, 033101 (2021).</w:t>
      </w:r>
    </w:p>
    <w:p w14:paraId="46B8F2C0" w14:textId="77777777" w:rsidR="00FE2BAE" w:rsidRPr="00645DFF" w:rsidRDefault="00FE2BAE" w:rsidP="00FE2BAE">
      <w:pPr>
        <w:pStyle w:val="Bibliography"/>
        <w:rPr>
          <w:rFonts w:cs="Times New Roman"/>
          <w:kern w:val="0"/>
        </w:rPr>
      </w:pPr>
      <w:r w:rsidRPr="00645DFF">
        <w:rPr>
          <w:rFonts w:cs="Times New Roman"/>
          <w:kern w:val="0"/>
          <w:vertAlign w:val="superscript"/>
        </w:rPr>
        <w:t>37</w:t>
      </w:r>
      <w:r w:rsidRPr="00645DFF">
        <w:rPr>
          <w:rFonts w:cs="Times New Roman"/>
          <w:kern w:val="0"/>
        </w:rPr>
        <w:t xml:space="preserve"> G. Koren, Phys. Rev. B </w:t>
      </w:r>
      <w:r w:rsidRPr="00645DFF">
        <w:rPr>
          <w:rFonts w:cs="Times New Roman"/>
          <w:b/>
          <w:bCs/>
          <w:kern w:val="0"/>
        </w:rPr>
        <w:t>97</w:t>
      </w:r>
      <w:r w:rsidRPr="00645DFF">
        <w:rPr>
          <w:rFonts w:cs="Times New Roman"/>
          <w:kern w:val="0"/>
        </w:rPr>
        <w:t>, 054405 (2018).</w:t>
      </w:r>
    </w:p>
    <w:p w14:paraId="404591C2" w14:textId="77777777" w:rsidR="00FE2BAE" w:rsidRPr="00645DFF" w:rsidRDefault="00FE2BAE" w:rsidP="00FE2BAE">
      <w:pPr>
        <w:pStyle w:val="Bibliography"/>
        <w:rPr>
          <w:rFonts w:cs="Times New Roman"/>
          <w:kern w:val="0"/>
        </w:rPr>
      </w:pPr>
      <w:r w:rsidRPr="00645DFF">
        <w:rPr>
          <w:rFonts w:cs="Times New Roman"/>
          <w:kern w:val="0"/>
          <w:vertAlign w:val="superscript"/>
        </w:rPr>
        <w:t>38</w:t>
      </w:r>
      <w:r w:rsidRPr="00645DFF">
        <w:rPr>
          <w:rFonts w:cs="Times New Roman"/>
          <w:kern w:val="0"/>
        </w:rPr>
        <w:t xml:space="preserve"> A.J. Grutter and Q.L. He, Phys. Rev. Mater. </w:t>
      </w:r>
      <w:r w:rsidRPr="00645DFF">
        <w:rPr>
          <w:rFonts w:cs="Times New Roman"/>
          <w:b/>
          <w:bCs/>
          <w:kern w:val="0"/>
        </w:rPr>
        <w:t>5</w:t>
      </w:r>
      <w:r w:rsidRPr="00645DFF">
        <w:rPr>
          <w:rFonts w:cs="Times New Roman"/>
          <w:kern w:val="0"/>
        </w:rPr>
        <w:t>, 090301 (2021).</w:t>
      </w:r>
    </w:p>
    <w:p w14:paraId="132F51B6" w14:textId="31A62584" w:rsidR="00E40B2D" w:rsidRPr="003B473E" w:rsidRDefault="00E40B2D" w:rsidP="00D45546">
      <w:pPr>
        <w:rPr>
          <w:rFonts w:ascii="Times New Roman" w:hAnsi="Times New Roman" w:cs="Times New Roman"/>
          <w:sz w:val="22"/>
        </w:rPr>
      </w:pPr>
      <w:r w:rsidRPr="00645DFF">
        <w:rPr>
          <w:rFonts w:ascii="Times New Roman" w:hAnsi="Times New Roman" w:cs="Times New Roman"/>
          <w:sz w:val="22"/>
        </w:rPr>
        <w:fldChar w:fldCharType="end"/>
      </w:r>
    </w:p>
    <w:sectPr w:rsidR="00E40B2D" w:rsidRPr="003B473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1003" w14:textId="77777777" w:rsidR="00E71A22" w:rsidRPr="008C27F6" w:rsidRDefault="00E71A22" w:rsidP="00505101">
      <w:r w:rsidRPr="008C27F6">
        <w:separator/>
      </w:r>
    </w:p>
  </w:endnote>
  <w:endnote w:type="continuationSeparator" w:id="0">
    <w:p w14:paraId="52981E5C" w14:textId="77777777" w:rsidR="00E71A22" w:rsidRPr="008C27F6" w:rsidRDefault="00E71A22" w:rsidP="00505101">
      <w:r w:rsidRPr="008C27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804892"/>
      <w:docPartObj>
        <w:docPartGallery w:val="Page Numbers (Bottom of Page)"/>
        <w:docPartUnique/>
      </w:docPartObj>
    </w:sdtPr>
    <w:sdtContent>
      <w:p w14:paraId="5F12794E" w14:textId="3DA67CAD" w:rsidR="00E1438A" w:rsidRPr="008C27F6" w:rsidRDefault="00E1438A">
        <w:pPr>
          <w:pStyle w:val="Footer"/>
          <w:jc w:val="center"/>
        </w:pPr>
        <w:r w:rsidRPr="008C27F6">
          <w:fldChar w:fldCharType="begin"/>
        </w:r>
        <w:r w:rsidRPr="008C27F6">
          <w:instrText xml:space="preserve"> PAGE   \* MERGEFORMAT </w:instrText>
        </w:r>
        <w:r w:rsidRPr="008C27F6">
          <w:fldChar w:fldCharType="separate"/>
        </w:r>
        <w:r w:rsidRPr="008C27F6">
          <w:t>2</w:t>
        </w:r>
        <w:r w:rsidRPr="008C27F6">
          <w:fldChar w:fldCharType="end"/>
        </w:r>
      </w:p>
    </w:sdtContent>
  </w:sdt>
  <w:p w14:paraId="50F3D55E" w14:textId="77777777" w:rsidR="00E1438A" w:rsidRPr="008C27F6" w:rsidRDefault="00E14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D5919" w14:textId="77777777" w:rsidR="00E71A22" w:rsidRPr="008C27F6" w:rsidRDefault="00E71A22" w:rsidP="00505101">
      <w:r w:rsidRPr="008C27F6">
        <w:separator/>
      </w:r>
    </w:p>
  </w:footnote>
  <w:footnote w:type="continuationSeparator" w:id="0">
    <w:p w14:paraId="74FF8071" w14:textId="77777777" w:rsidR="00E71A22" w:rsidRPr="008C27F6" w:rsidRDefault="00E71A22" w:rsidP="00505101">
      <w:r w:rsidRPr="008C27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445E" w14:textId="77777777" w:rsidR="00505101" w:rsidRPr="008C27F6" w:rsidRDefault="00505101" w:rsidP="00505101">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4C34"/>
    <w:multiLevelType w:val="multilevel"/>
    <w:tmpl w:val="68F8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6558D7"/>
    <w:multiLevelType w:val="multilevel"/>
    <w:tmpl w:val="F962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788266">
    <w:abstractNumId w:val="0"/>
  </w:num>
  <w:num w:numId="2" w16cid:durableId="127937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101"/>
    <w:rsid w:val="00003701"/>
    <w:rsid w:val="000074F9"/>
    <w:rsid w:val="0000765B"/>
    <w:rsid w:val="000077F9"/>
    <w:rsid w:val="00010CBE"/>
    <w:rsid w:val="00013063"/>
    <w:rsid w:val="000136FC"/>
    <w:rsid w:val="00020486"/>
    <w:rsid w:val="00021832"/>
    <w:rsid w:val="000227D8"/>
    <w:rsid w:val="00022AA6"/>
    <w:rsid w:val="00034BA1"/>
    <w:rsid w:val="00034E28"/>
    <w:rsid w:val="000357C4"/>
    <w:rsid w:val="00037704"/>
    <w:rsid w:val="00037CC4"/>
    <w:rsid w:val="00040678"/>
    <w:rsid w:val="00043CF3"/>
    <w:rsid w:val="00044592"/>
    <w:rsid w:val="00052A0F"/>
    <w:rsid w:val="00053B64"/>
    <w:rsid w:val="0006108C"/>
    <w:rsid w:val="00074081"/>
    <w:rsid w:val="000765B1"/>
    <w:rsid w:val="00077EE5"/>
    <w:rsid w:val="000857F8"/>
    <w:rsid w:val="00086353"/>
    <w:rsid w:val="000923DA"/>
    <w:rsid w:val="00095FF4"/>
    <w:rsid w:val="000961A3"/>
    <w:rsid w:val="000965B5"/>
    <w:rsid w:val="0009725E"/>
    <w:rsid w:val="000B320A"/>
    <w:rsid w:val="000B535C"/>
    <w:rsid w:val="000B5C63"/>
    <w:rsid w:val="000B6EB2"/>
    <w:rsid w:val="000C59F3"/>
    <w:rsid w:val="000C68B7"/>
    <w:rsid w:val="000D0B0E"/>
    <w:rsid w:val="000D10C8"/>
    <w:rsid w:val="000D21BC"/>
    <w:rsid w:val="000D2A40"/>
    <w:rsid w:val="000D6DF6"/>
    <w:rsid w:val="000D6EC0"/>
    <w:rsid w:val="000D71CF"/>
    <w:rsid w:val="000E285F"/>
    <w:rsid w:val="000F096F"/>
    <w:rsid w:val="000F29DE"/>
    <w:rsid w:val="000F3CDF"/>
    <w:rsid w:val="000F7A0A"/>
    <w:rsid w:val="00101DD3"/>
    <w:rsid w:val="001040CF"/>
    <w:rsid w:val="00104ED8"/>
    <w:rsid w:val="00104FD9"/>
    <w:rsid w:val="00110C5B"/>
    <w:rsid w:val="001162D4"/>
    <w:rsid w:val="00124400"/>
    <w:rsid w:val="00131961"/>
    <w:rsid w:val="00132623"/>
    <w:rsid w:val="00141E8B"/>
    <w:rsid w:val="00145082"/>
    <w:rsid w:val="00147F59"/>
    <w:rsid w:val="001551A1"/>
    <w:rsid w:val="00163743"/>
    <w:rsid w:val="001640BD"/>
    <w:rsid w:val="00170361"/>
    <w:rsid w:val="00174BE8"/>
    <w:rsid w:val="00174FF4"/>
    <w:rsid w:val="00177993"/>
    <w:rsid w:val="001805B6"/>
    <w:rsid w:val="00181949"/>
    <w:rsid w:val="00182A73"/>
    <w:rsid w:val="00183AF2"/>
    <w:rsid w:val="00183B86"/>
    <w:rsid w:val="00184671"/>
    <w:rsid w:val="0018621B"/>
    <w:rsid w:val="001905D7"/>
    <w:rsid w:val="00190B32"/>
    <w:rsid w:val="0019127E"/>
    <w:rsid w:val="001917B4"/>
    <w:rsid w:val="00191B94"/>
    <w:rsid w:val="0019270B"/>
    <w:rsid w:val="00192DA1"/>
    <w:rsid w:val="00193EA7"/>
    <w:rsid w:val="00197F9E"/>
    <w:rsid w:val="001A0CA7"/>
    <w:rsid w:val="001A0E9A"/>
    <w:rsid w:val="001A55D7"/>
    <w:rsid w:val="001A5D14"/>
    <w:rsid w:val="001A5EA7"/>
    <w:rsid w:val="001B0C01"/>
    <w:rsid w:val="001B3539"/>
    <w:rsid w:val="001B61FD"/>
    <w:rsid w:val="001C4176"/>
    <w:rsid w:val="001C5229"/>
    <w:rsid w:val="001C63B7"/>
    <w:rsid w:val="001C6FF4"/>
    <w:rsid w:val="001C7FFC"/>
    <w:rsid w:val="001D153A"/>
    <w:rsid w:val="001D183F"/>
    <w:rsid w:val="001D608D"/>
    <w:rsid w:val="001D712D"/>
    <w:rsid w:val="001E0471"/>
    <w:rsid w:val="001E1DBD"/>
    <w:rsid w:val="001E3497"/>
    <w:rsid w:val="001F0FDE"/>
    <w:rsid w:val="001F2231"/>
    <w:rsid w:val="001F2F08"/>
    <w:rsid w:val="001F454D"/>
    <w:rsid w:val="001F6180"/>
    <w:rsid w:val="001F66C1"/>
    <w:rsid w:val="00202A63"/>
    <w:rsid w:val="00204FCB"/>
    <w:rsid w:val="0020742C"/>
    <w:rsid w:val="002107A4"/>
    <w:rsid w:val="0021179C"/>
    <w:rsid w:val="00214BFB"/>
    <w:rsid w:val="002156DB"/>
    <w:rsid w:val="00220F72"/>
    <w:rsid w:val="0022259D"/>
    <w:rsid w:val="00222F3C"/>
    <w:rsid w:val="00224637"/>
    <w:rsid w:val="00225303"/>
    <w:rsid w:val="00227DBA"/>
    <w:rsid w:val="00233848"/>
    <w:rsid w:val="002348D6"/>
    <w:rsid w:val="00234EE8"/>
    <w:rsid w:val="00237AED"/>
    <w:rsid w:val="0024401C"/>
    <w:rsid w:val="002441BD"/>
    <w:rsid w:val="0024425E"/>
    <w:rsid w:val="00244A83"/>
    <w:rsid w:val="00247273"/>
    <w:rsid w:val="0025361F"/>
    <w:rsid w:val="002553FB"/>
    <w:rsid w:val="002568B9"/>
    <w:rsid w:val="002621D4"/>
    <w:rsid w:val="00262C50"/>
    <w:rsid w:val="00263551"/>
    <w:rsid w:val="00263E39"/>
    <w:rsid w:val="0026676D"/>
    <w:rsid w:val="00270094"/>
    <w:rsid w:val="002722AF"/>
    <w:rsid w:val="00273527"/>
    <w:rsid w:val="00273A4D"/>
    <w:rsid w:val="002741AF"/>
    <w:rsid w:val="00277F58"/>
    <w:rsid w:val="00280171"/>
    <w:rsid w:val="00280403"/>
    <w:rsid w:val="002806F3"/>
    <w:rsid w:val="00280C4A"/>
    <w:rsid w:val="00283F94"/>
    <w:rsid w:val="00287396"/>
    <w:rsid w:val="00290357"/>
    <w:rsid w:val="00290ECD"/>
    <w:rsid w:val="00291188"/>
    <w:rsid w:val="002939AF"/>
    <w:rsid w:val="002958BC"/>
    <w:rsid w:val="002A121E"/>
    <w:rsid w:val="002A2452"/>
    <w:rsid w:val="002A4307"/>
    <w:rsid w:val="002B16DB"/>
    <w:rsid w:val="002B3040"/>
    <w:rsid w:val="002B62E3"/>
    <w:rsid w:val="002C67F9"/>
    <w:rsid w:val="002C7571"/>
    <w:rsid w:val="002D05B7"/>
    <w:rsid w:val="002D1257"/>
    <w:rsid w:val="002D2E63"/>
    <w:rsid w:val="002D30BB"/>
    <w:rsid w:val="002D4C1A"/>
    <w:rsid w:val="002D6E98"/>
    <w:rsid w:val="002E0F4E"/>
    <w:rsid w:val="002E1F4E"/>
    <w:rsid w:val="002E3E13"/>
    <w:rsid w:val="002E4F6A"/>
    <w:rsid w:val="002E60DD"/>
    <w:rsid w:val="002E7ABC"/>
    <w:rsid w:val="002F1A70"/>
    <w:rsid w:val="002F2CF9"/>
    <w:rsid w:val="002F43A1"/>
    <w:rsid w:val="002F6765"/>
    <w:rsid w:val="003014BA"/>
    <w:rsid w:val="00302A8D"/>
    <w:rsid w:val="003036BA"/>
    <w:rsid w:val="00304913"/>
    <w:rsid w:val="0030575C"/>
    <w:rsid w:val="00305DE2"/>
    <w:rsid w:val="003077CB"/>
    <w:rsid w:val="0031336C"/>
    <w:rsid w:val="00314D78"/>
    <w:rsid w:val="0031585B"/>
    <w:rsid w:val="00322BB1"/>
    <w:rsid w:val="00324904"/>
    <w:rsid w:val="00324BDC"/>
    <w:rsid w:val="00327BA0"/>
    <w:rsid w:val="003342BF"/>
    <w:rsid w:val="003348FA"/>
    <w:rsid w:val="00345B9A"/>
    <w:rsid w:val="003508B0"/>
    <w:rsid w:val="0035340F"/>
    <w:rsid w:val="00355479"/>
    <w:rsid w:val="00363CEC"/>
    <w:rsid w:val="00363EF6"/>
    <w:rsid w:val="00364133"/>
    <w:rsid w:val="0036669A"/>
    <w:rsid w:val="00372096"/>
    <w:rsid w:val="003720AB"/>
    <w:rsid w:val="003723D0"/>
    <w:rsid w:val="0037606C"/>
    <w:rsid w:val="003774C1"/>
    <w:rsid w:val="00377E42"/>
    <w:rsid w:val="003838E6"/>
    <w:rsid w:val="003839CD"/>
    <w:rsid w:val="00383C09"/>
    <w:rsid w:val="00386D67"/>
    <w:rsid w:val="00392CEB"/>
    <w:rsid w:val="00392D56"/>
    <w:rsid w:val="00396A92"/>
    <w:rsid w:val="003A4CD6"/>
    <w:rsid w:val="003B1633"/>
    <w:rsid w:val="003B473E"/>
    <w:rsid w:val="003B6580"/>
    <w:rsid w:val="003B6EEF"/>
    <w:rsid w:val="003C3FB4"/>
    <w:rsid w:val="003C42A1"/>
    <w:rsid w:val="003C4D08"/>
    <w:rsid w:val="003D1B69"/>
    <w:rsid w:val="003D2D7B"/>
    <w:rsid w:val="003D55B3"/>
    <w:rsid w:val="003D6F92"/>
    <w:rsid w:val="003D7940"/>
    <w:rsid w:val="003E423B"/>
    <w:rsid w:val="003E5C86"/>
    <w:rsid w:val="003E6268"/>
    <w:rsid w:val="003E63F3"/>
    <w:rsid w:val="003F1970"/>
    <w:rsid w:val="003F19BE"/>
    <w:rsid w:val="003F28A3"/>
    <w:rsid w:val="003F52C2"/>
    <w:rsid w:val="004116A1"/>
    <w:rsid w:val="00416DA2"/>
    <w:rsid w:val="00420F2D"/>
    <w:rsid w:val="00443853"/>
    <w:rsid w:val="0044472A"/>
    <w:rsid w:val="00446E4F"/>
    <w:rsid w:val="00452B70"/>
    <w:rsid w:val="00453784"/>
    <w:rsid w:val="0045466C"/>
    <w:rsid w:val="00455EF5"/>
    <w:rsid w:val="00456224"/>
    <w:rsid w:val="00466440"/>
    <w:rsid w:val="004706B4"/>
    <w:rsid w:val="00471304"/>
    <w:rsid w:val="00471933"/>
    <w:rsid w:val="0048113A"/>
    <w:rsid w:val="0048159D"/>
    <w:rsid w:val="0048259D"/>
    <w:rsid w:val="0048288E"/>
    <w:rsid w:val="00483185"/>
    <w:rsid w:val="00484BC8"/>
    <w:rsid w:val="00485CFB"/>
    <w:rsid w:val="00491BA7"/>
    <w:rsid w:val="004926EB"/>
    <w:rsid w:val="00493827"/>
    <w:rsid w:val="00494652"/>
    <w:rsid w:val="00496364"/>
    <w:rsid w:val="00496437"/>
    <w:rsid w:val="004A0D30"/>
    <w:rsid w:val="004A32BA"/>
    <w:rsid w:val="004A5BE2"/>
    <w:rsid w:val="004A7F57"/>
    <w:rsid w:val="004B18B9"/>
    <w:rsid w:val="004B1FF5"/>
    <w:rsid w:val="004B33B8"/>
    <w:rsid w:val="004B39AC"/>
    <w:rsid w:val="004C3E5B"/>
    <w:rsid w:val="004D2F22"/>
    <w:rsid w:val="004E00BE"/>
    <w:rsid w:val="004E0991"/>
    <w:rsid w:val="004E6117"/>
    <w:rsid w:val="004F29C1"/>
    <w:rsid w:val="004F2D30"/>
    <w:rsid w:val="004F3FB7"/>
    <w:rsid w:val="004F432D"/>
    <w:rsid w:val="005018F1"/>
    <w:rsid w:val="00502B25"/>
    <w:rsid w:val="00503129"/>
    <w:rsid w:val="00503AA4"/>
    <w:rsid w:val="00505101"/>
    <w:rsid w:val="00511898"/>
    <w:rsid w:val="0051301B"/>
    <w:rsid w:val="005130E7"/>
    <w:rsid w:val="00515D43"/>
    <w:rsid w:val="0052177C"/>
    <w:rsid w:val="0052199F"/>
    <w:rsid w:val="00523395"/>
    <w:rsid w:val="005252B1"/>
    <w:rsid w:val="00525729"/>
    <w:rsid w:val="00530BDD"/>
    <w:rsid w:val="00531297"/>
    <w:rsid w:val="005319D7"/>
    <w:rsid w:val="00534292"/>
    <w:rsid w:val="0053479B"/>
    <w:rsid w:val="00536AB3"/>
    <w:rsid w:val="0053739E"/>
    <w:rsid w:val="005437AD"/>
    <w:rsid w:val="00544478"/>
    <w:rsid w:val="005452C5"/>
    <w:rsid w:val="00545BE9"/>
    <w:rsid w:val="00546069"/>
    <w:rsid w:val="00546553"/>
    <w:rsid w:val="00546747"/>
    <w:rsid w:val="00550A2B"/>
    <w:rsid w:val="00552549"/>
    <w:rsid w:val="00553517"/>
    <w:rsid w:val="005546F1"/>
    <w:rsid w:val="00554D43"/>
    <w:rsid w:val="0055690F"/>
    <w:rsid w:val="0056239A"/>
    <w:rsid w:val="00571524"/>
    <w:rsid w:val="00571BC7"/>
    <w:rsid w:val="00572148"/>
    <w:rsid w:val="00573AC5"/>
    <w:rsid w:val="00574530"/>
    <w:rsid w:val="0057511D"/>
    <w:rsid w:val="00576C02"/>
    <w:rsid w:val="00582C69"/>
    <w:rsid w:val="00585787"/>
    <w:rsid w:val="00591605"/>
    <w:rsid w:val="005919A3"/>
    <w:rsid w:val="005A2014"/>
    <w:rsid w:val="005A36CE"/>
    <w:rsid w:val="005A6522"/>
    <w:rsid w:val="005A7C1B"/>
    <w:rsid w:val="005A7D41"/>
    <w:rsid w:val="005B6ED4"/>
    <w:rsid w:val="005B7200"/>
    <w:rsid w:val="005B7EB7"/>
    <w:rsid w:val="005C1866"/>
    <w:rsid w:val="005C1D52"/>
    <w:rsid w:val="005C4095"/>
    <w:rsid w:val="005C722E"/>
    <w:rsid w:val="005D028F"/>
    <w:rsid w:val="005D1596"/>
    <w:rsid w:val="005D2570"/>
    <w:rsid w:val="005D3A8D"/>
    <w:rsid w:val="005D3BB8"/>
    <w:rsid w:val="005D489C"/>
    <w:rsid w:val="005D7485"/>
    <w:rsid w:val="005E1F7F"/>
    <w:rsid w:val="005E4ED3"/>
    <w:rsid w:val="005E604F"/>
    <w:rsid w:val="005E6C6E"/>
    <w:rsid w:val="005E7B9B"/>
    <w:rsid w:val="005F1090"/>
    <w:rsid w:val="005F1718"/>
    <w:rsid w:val="005F2A74"/>
    <w:rsid w:val="006037E4"/>
    <w:rsid w:val="00603889"/>
    <w:rsid w:val="006042CE"/>
    <w:rsid w:val="00604E96"/>
    <w:rsid w:val="00604F4B"/>
    <w:rsid w:val="00607625"/>
    <w:rsid w:val="006114D1"/>
    <w:rsid w:val="00611805"/>
    <w:rsid w:val="006211C8"/>
    <w:rsid w:val="00621F97"/>
    <w:rsid w:val="00624CE8"/>
    <w:rsid w:val="00630F38"/>
    <w:rsid w:val="00632576"/>
    <w:rsid w:val="00633C60"/>
    <w:rsid w:val="006438A4"/>
    <w:rsid w:val="00643C6D"/>
    <w:rsid w:val="00645DFF"/>
    <w:rsid w:val="006468F2"/>
    <w:rsid w:val="00654A1B"/>
    <w:rsid w:val="00660606"/>
    <w:rsid w:val="00661354"/>
    <w:rsid w:val="00661514"/>
    <w:rsid w:val="0066157E"/>
    <w:rsid w:val="0066205B"/>
    <w:rsid w:val="006625C9"/>
    <w:rsid w:val="00662948"/>
    <w:rsid w:val="006677DB"/>
    <w:rsid w:val="00672972"/>
    <w:rsid w:val="0067578B"/>
    <w:rsid w:val="00675E51"/>
    <w:rsid w:val="00676728"/>
    <w:rsid w:val="00676C84"/>
    <w:rsid w:val="00680CD2"/>
    <w:rsid w:val="006832C9"/>
    <w:rsid w:val="006844D0"/>
    <w:rsid w:val="0068525B"/>
    <w:rsid w:val="006864A9"/>
    <w:rsid w:val="00687CB9"/>
    <w:rsid w:val="00690693"/>
    <w:rsid w:val="00690ADA"/>
    <w:rsid w:val="00692BA5"/>
    <w:rsid w:val="006A635D"/>
    <w:rsid w:val="006A64D0"/>
    <w:rsid w:val="006A67B9"/>
    <w:rsid w:val="006A78FA"/>
    <w:rsid w:val="006B3736"/>
    <w:rsid w:val="006B70DE"/>
    <w:rsid w:val="006B750F"/>
    <w:rsid w:val="006B7C74"/>
    <w:rsid w:val="006C1178"/>
    <w:rsid w:val="006C32C5"/>
    <w:rsid w:val="006C4E10"/>
    <w:rsid w:val="006C57E9"/>
    <w:rsid w:val="006D09F9"/>
    <w:rsid w:val="006D3904"/>
    <w:rsid w:val="006D59D8"/>
    <w:rsid w:val="006D7C7D"/>
    <w:rsid w:val="006E0CDA"/>
    <w:rsid w:val="006E21A8"/>
    <w:rsid w:val="006E5B92"/>
    <w:rsid w:val="006E6D66"/>
    <w:rsid w:val="006E6F01"/>
    <w:rsid w:val="006F1375"/>
    <w:rsid w:val="006F1FAE"/>
    <w:rsid w:val="006F3710"/>
    <w:rsid w:val="006F3929"/>
    <w:rsid w:val="006F4AFB"/>
    <w:rsid w:val="006F544E"/>
    <w:rsid w:val="006F6DF0"/>
    <w:rsid w:val="007030C1"/>
    <w:rsid w:val="00705231"/>
    <w:rsid w:val="00705E3B"/>
    <w:rsid w:val="00707899"/>
    <w:rsid w:val="007100EE"/>
    <w:rsid w:val="00713A92"/>
    <w:rsid w:val="0071471B"/>
    <w:rsid w:val="00716A7C"/>
    <w:rsid w:val="00716B1B"/>
    <w:rsid w:val="00717094"/>
    <w:rsid w:val="00721D13"/>
    <w:rsid w:val="00730B5E"/>
    <w:rsid w:val="00731B49"/>
    <w:rsid w:val="0074069D"/>
    <w:rsid w:val="00752D64"/>
    <w:rsid w:val="0075311E"/>
    <w:rsid w:val="0075708C"/>
    <w:rsid w:val="0075731C"/>
    <w:rsid w:val="007622BB"/>
    <w:rsid w:val="0076477A"/>
    <w:rsid w:val="00764D52"/>
    <w:rsid w:val="00764DF4"/>
    <w:rsid w:val="00765274"/>
    <w:rsid w:val="00765B1F"/>
    <w:rsid w:val="0076617D"/>
    <w:rsid w:val="00767B14"/>
    <w:rsid w:val="007714FC"/>
    <w:rsid w:val="007722F2"/>
    <w:rsid w:val="00772ABA"/>
    <w:rsid w:val="00777A0F"/>
    <w:rsid w:val="00777EA4"/>
    <w:rsid w:val="00783DF4"/>
    <w:rsid w:val="00785543"/>
    <w:rsid w:val="00792909"/>
    <w:rsid w:val="0079507A"/>
    <w:rsid w:val="007961FB"/>
    <w:rsid w:val="007971B4"/>
    <w:rsid w:val="007A0DAC"/>
    <w:rsid w:val="007A3818"/>
    <w:rsid w:val="007A387C"/>
    <w:rsid w:val="007A5610"/>
    <w:rsid w:val="007A5ABF"/>
    <w:rsid w:val="007A601F"/>
    <w:rsid w:val="007A663C"/>
    <w:rsid w:val="007A7CF6"/>
    <w:rsid w:val="007B3AD8"/>
    <w:rsid w:val="007B6E9E"/>
    <w:rsid w:val="007C09CD"/>
    <w:rsid w:val="007C2FCD"/>
    <w:rsid w:val="007C3727"/>
    <w:rsid w:val="007C3D23"/>
    <w:rsid w:val="007C4041"/>
    <w:rsid w:val="007C5303"/>
    <w:rsid w:val="007D14E8"/>
    <w:rsid w:val="007D3B78"/>
    <w:rsid w:val="007D5124"/>
    <w:rsid w:val="007D58E0"/>
    <w:rsid w:val="007D7D02"/>
    <w:rsid w:val="007E0ED8"/>
    <w:rsid w:val="007E15EA"/>
    <w:rsid w:val="007E2680"/>
    <w:rsid w:val="007E388A"/>
    <w:rsid w:val="007E4126"/>
    <w:rsid w:val="007E6725"/>
    <w:rsid w:val="007E690E"/>
    <w:rsid w:val="007E738E"/>
    <w:rsid w:val="007F0BCC"/>
    <w:rsid w:val="007F2F48"/>
    <w:rsid w:val="007F3231"/>
    <w:rsid w:val="007F383F"/>
    <w:rsid w:val="007F3C20"/>
    <w:rsid w:val="007F653D"/>
    <w:rsid w:val="007F69F5"/>
    <w:rsid w:val="00800099"/>
    <w:rsid w:val="00801C40"/>
    <w:rsid w:val="008027B8"/>
    <w:rsid w:val="00804AC3"/>
    <w:rsid w:val="00804B18"/>
    <w:rsid w:val="00805118"/>
    <w:rsid w:val="0080600A"/>
    <w:rsid w:val="00813397"/>
    <w:rsid w:val="00813708"/>
    <w:rsid w:val="0081624F"/>
    <w:rsid w:val="00820A87"/>
    <w:rsid w:val="008215A8"/>
    <w:rsid w:val="00821F5E"/>
    <w:rsid w:val="008239F1"/>
    <w:rsid w:val="00824BBA"/>
    <w:rsid w:val="0082615A"/>
    <w:rsid w:val="00826FB3"/>
    <w:rsid w:val="008310F0"/>
    <w:rsid w:val="00831C72"/>
    <w:rsid w:val="00832F15"/>
    <w:rsid w:val="0083758B"/>
    <w:rsid w:val="0084515F"/>
    <w:rsid w:val="00845952"/>
    <w:rsid w:val="00846E14"/>
    <w:rsid w:val="008471C6"/>
    <w:rsid w:val="00852F60"/>
    <w:rsid w:val="008552C2"/>
    <w:rsid w:val="00863181"/>
    <w:rsid w:val="0086415A"/>
    <w:rsid w:val="00875D49"/>
    <w:rsid w:val="0087765B"/>
    <w:rsid w:val="0088031B"/>
    <w:rsid w:val="00880C61"/>
    <w:rsid w:val="00882F76"/>
    <w:rsid w:val="00887562"/>
    <w:rsid w:val="0089182D"/>
    <w:rsid w:val="00891E97"/>
    <w:rsid w:val="008A028D"/>
    <w:rsid w:val="008A6315"/>
    <w:rsid w:val="008A6B18"/>
    <w:rsid w:val="008B01AA"/>
    <w:rsid w:val="008B05C5"/>
    <w:rsid w:val="008B15CB"/>
    <w:rsid w:val="008B203B"/>
    <w:rsid w:val="008C04CB"/>
    <w:rsid w:val="008C1DD4"/>
    <w:rsid w:val="008C27F6"/>
    <w:rsid w:val="008D4188"/>
    <w:rsid w:val="008D4BAB"/>
    <w:rsid w:val="008D5F29"/>
    <w:rsid w:val="008D7F17"/>
    <w:rsid w:val="008E1277"/>
    <w:rsid w:val="008E2925"/>
    <w:rsid w:val="008E418E"/>
    <w:rsid w:val="008E490C"/>
    <w:rsid w:val="008E62B7"/>
    <w:rsid w:val="008F1F45"/>
    <w:rsid w:val="008F38AA"/>
    <w:rsid w:val="008F6BAF"/>
    <w:rsid w:val="008F6DB6"/>
    <w:rsid w:val="008F6E8F"/>
    <w:rsid w:val="008F6FC7"/>
    <w:rsid w:val="009006B5"/>
    <w:rsid w:val="0090474D"/>
    <w:rsid w:val="00905252"/>
    <w:rsid w:val="00907F10"/>
    <w:rsid w:val="0091100C"/>
    <w:rsid w:val="009112BE"/>
    <w:rsid w:val="00913E95"/>
    <w:rsid w:val="00917925"/>
    <w:rsid w:val="00922395"/>
    <w:rsid w:val="00922CFC"/>
    <w:rsid w:val="00926282"/>
    <w:rsid w:val="009279DD"/>
    <w:rsid w:val="00927EB1"/>
    <w:rsid w:val="00932891"/>
    <w:rsid w:val="0093338A"/>
    <w:rsid w:val="00935431"/>
    <w:rsid w:val="0093769B"/>
    <w:rsid w:val="00942CD9"/>
    <w:rsid w:val="009442B6"/>
    <w:rsid w:val="009463BF"/>
    <w:rsid w:val="00950CD3"/>
    <w:rsid w:val="00950D86"/>
    <w:rsid w:val="00952AC8"/>
    <w:rsid w:val="009537B3"/>
    <w:rsid w:val="00954833"/>
    <w:rsid w:val="00956763"/>
    <w:rsid w:val="00961250"/>
    <w:rsid w:val="00964E79"/>
    <w:rsid w:val="00966D95"/>
    <w:rsid w:val="00966D9E"/>
    <w:rsid w:val="00971F04"/>
    <w:rsid w:val="009721D0"/>
    <w:rsid w:val="009722E9"/>
    <w:rsid w:val="0097522D"/>
    <w:rsid w:val="00977518"/>
    <w:rsid w:val="00981683"/>
    <w:rsid w:val="0098175D"/>
    <w:rsid w:val="00981BB1"/>
    <w:rsid w:val="00981BDC"/>
    <w:rsid w:val="00986A79"/>
    <w:rsid w:val="00986D38"/>
    <w:rsid w:val="009905DC"/>
    <w:rsid w:val="00992133"/>
    <w:rsid w:val="009956E8"/>
    <w:rsid w:val="00996AF2"/>
    <w:rsid w:val="00997DC6"/>
    <w:rsid w:val="009A0CA7"/>
    <w:rsid w:val="009A35D9"/>
    <w:rsid w:val="009A385B"/>
    <w:rsid w:val="009A3CC6"/>
    <w:rsid w:val="009A79DF"/>
    <w:rsid w:val="009B0636"/>
    <w:rsid w:val="009B2F38"/>
    <w:rsid w:val="009B3195"/>
    <w:rsid w:val="009B3F00"/>
    <w:rsid w:val="009B4798"/>
    <w:rsid w:val="009C2CF3"/>
    <w:rsid w:val="009C3D46"/>
    <w:rsid w:val="009C3F08"/>
    <w:rsid w:val="009C6910"/>
    <w:rsid w:val="009D3B70"/>
    <w:rsid w:val="009D4499"/>
    <w:rsid w:val="009D5230"/>
    <w:rsid w:val="009D714B"/>
    <w:rsid w:val="009E4DCC"/>
    <w:rsid w:val="009E6A29"/>
    <w:rsid w:val="009F0B82"/>
    <w:rsid w:val="009F1C9D"/>
    <w:rsid w:val="009F3D0B"/>
    <w:rsid w:val="00A02F01"/>
    <w:rsid w:val="00A05CDF"/>
    <w:rsid w:val="00A06707"/>
    <w:rsid w:val="00A11D5C"/>
    <w:rsid w:val="00A12BDB"/>
    <w:rsid w:val="00A1403F"/>
    <w:rsid w:val="00A140B8"/>
    <w:rsid w:val="00A148A4"/>
    <w:rsid w:val="00A224A6"/>
    <w:rsid w:val="00A23B59"/>
    <w:rsid w:val="00A26E4C"/>
    <w:rsid w:val="00A32431"/>
    <w:rsid w:val="00A329BC"/>
    <w:rsid w:val="00A3531C"/>
    <w:rsid w:val="00A40E29"/>
    <w:rsid w:val="00A41FA0"/>
    <w:rsid w:val="00A42BB3"/>
    <w:rsid w:val="00A434D6"/>
    <w:rsid w:val="00A4748D"/>
    <w:rsid w:val="00A47C52"/>
    <w:rsid w:val="00A50F32"/>
    <w:rsid w:val="00A52327"/>
    <w:rsid w:val="00A525B4"/>
    <w:rsid w:val="00A54268"/>
    <w:rsid w:val="00A54677"/>
    <w:rsid w:val="00A54DEE"/>
    <w:rsid w:val="00A570BC"/>
    <w:rsid w:val="00A641AE"/>
    <w:rsid w:val="00A65540"/>
    <w:rsid w:val="00A6744E"/>
    <w:rsid w:val="00A73F08"/>
    <w:rsid w:val="00A743BA"/>
    <w:rsid w:val="00A747A3"/>
    <w:rsid w:val="00A76A53"/>
    <w:rsid w:val="00A774FB"/>
    <w:rsid w:val="00A804B2"/>
    <w:rsid w:val="00A80759"/>
    <w:rsid w:val="00A80815"/>
    <w:rsid w:val="00A80EA1"/>
    <w:rsid w:val="00A830D6"/>
    <w:rsid w:val="00A86EA0"/>
    <w:rsid w:val="00A90945"/>
    <w:rsid w:val="00A90A48"/>
    <w:rsid w:val="00A90E76"/>
    <w:rsid w:val="00A91302"/>
    <w:rsid w:val="00A921A1"/>
    <w:rsid w:val="00A94ADF"/>
    <w:rsid w:val="00A97031"/>
    <w:rsid w:val="00A9744C"/>
    <w:rsid w:val="00AA2532"/>
    <w:rsid w:val="00AA3CF8"/>
    <w:rsid w:val="00AC1F01"/>
    <w:rsid w:val="00AC4542"/>
    <w:rsid w:val="00AC495C"/>
    <w:rsid w:val="00AC79C3"/>
    <w:rsid w:val="00AD69D2"/>
    <w:rsid w:val="00AE0E00"/>
    <w:rsid w:val="00AE3B52"/>
    <w:rsid w:val="00AE5B30"/>
    <w:rsid w:val="00AE6386"/>
    <w:rsid w:val="00AF0785"/>
    <w:rsid w:val="00AF39DC"/>
    <w:rsid w:val="00AF39E0"/>
    <w:rsid w:val="00AF409E"/>
    <w:rsid w:val="00AF5727"/>
    <w:rsid w:val="00AF7EBC"/>
    <w:rsid w:val="00B116E8"/>
    <w:rsid w:val="00B12F56"/>
    <w:rsid w:val="00B139B0"/>
    <w:rsid w:val="00B1652D"/>
    <w:rsid w:val="00B215A0"/>
    <w:rsid w:val="00B2368B"/>
    <w:rsid w:val="00B2377A"/>
    <w:rsid w:val="00B26B18"/>
    <w:rsid w:val="00B31FE4"/>
    <w:rsid w:val="00B33D90"/>
    <w:rsid w:val="00B344D1"/>
    <w:rsid w:val="00B36EF4"/>
    <w:rsid w:val="00B41750"/>
    <w:rsid w:val="00B47936"/>
    <w:rsid w:val="00B50392"/>
    <w:rsid w:val="00B516ED"/>
    <w:rsid w:val="00B53056"/>
    <w:rsid w:val="00B53698"/>
    <w:rsid w:val="00B539D4"/>
    <w:rsid w:val="00B54A2A"/>
    <w:rsid w:val="00B55811"/>
    <w:rsid w:val="00B56744"/>
    <w:rsid w:val="00B56BD6"/>
    <w:rsid w:val="00B608A6"/>
    <w:rsid w:val="00B6103E"/>
    <w:rsid w:val="00B62D00"/>
    <w:rsid w:val="00B67CAB"/>
    <w:rsid w:val="00B724AE"/>
    <w:rsid w:val="00B73BE1"/>
    <w:rsid w:val="00B74644"/>
    <w:rsid w:val="00B746D3"/>
    <w:rsid w:val="00B7498E"/>
    <w:rsid w:val="00B7663C"/>
    <w:rsid w:val="00B76C8C"/>
    <w:rsid w:val="00B7715A"/>
    <w:rsid w:val="00B81132"/>
    <w:rsid w:val="00B81186"/>
    <w:rsid w:val="00B83DAC"/>
    <w:rsid w:val="00B84CDC"/>
    <w:rsid w:val="00B859DD"/>
    <w:rsid w:val="00B86793"/>
    <w:rsid w:val="00B9045B"/>
    <w:rsid w:val="00B941E4"/>
    <w:rsid w:val="00B96E5E"/>
    <w:rsid w:val="00BA0CBD"/>
    <w:rsid w:val="00BA1739"/>
    <w:rsid w:val="00BA6B5C"/>
    <w:rsid w:val="00BA6D63"/>
    <w:rsid w:val="00BB2CCC"/>
    <w:rsid w:val="00BB2DD4"/>
    <w:rsid w:val="00BB2FF3"/>
    <w:rsid w:val="00BB3D1A"/>
    <w:rsid w:val="00BB5592"/>
    <w:rsid w:val="00BB5635"/>
    <w:rsid w:val="00BB6100"/>
    <w:rsid w:val="00BC097F"/>
    <w:rsid w:val="00BC7AAA"/>
    <w:rsid w:val="00BD00D2"/>
    <w:rsid w:val="00BD32F6"/>
    <w:rsid w:val="00BE21DC"/>
    <w:rsid w:val="00BE58B9"/>
    <w:rsid w:val="00BE6061"/>
    <w:rsid w:val="00BE66D0"/>
    <w:rsid w:val="00BF095D"/>
    <w:rsid w:val="00BF1806"/>
    <w:rsid w:val="00BF354F"/>
    <w:rsid w:val="00BF3BA0"/>
    <w:rsid w:val="00C0208B"/>
    <w:rsid w:val="00C04A87"/>
    <w:rsid w:val="00C059CD"/>
    <w:rsid w:val="00C155FB"/>
    <w:rsid w:val="00C23516"/>
    <w:rsid w:val="00C27C1E"/>
    <w:rsid w:val="00C27D84"/>
    <w:rsid w:val="00C30150"/>
    <w:rsid w:val="00C30423"/>
    <w:rsid w:val="00C30BBC"/>
    <w:rsid w:val="00C31B79"/>
    <w:rsid w:val="00C3247C"/>
    <w:rsid w:val="00C357FF"/>
    <w:rsid w:val="00C36784"/>
    <w:rsid w:val="00C36AD6"/>
    <w:rsid w:val="00C37753"/>
    <w:rsid w:val="00C41633"/>
    <w:rsid w:val="00C44E82"/>
    <w:rsid w:val="00C53B48"/>
    <w:rsid w:val="00C54C61"/>
    <w:rsid w:val="00C602A9"/>
    <w:rsid w:val="00C605E9"/>
    <w:rsid w:val="00C60A29"/>
    <w:rsid w:val="00C615D8"/>
    <w:rsid w:val="00C64F28"/>
    <w:rsid w:val="00C65280"/>
    <w:rsid w:val="00C6602B"/>
    <w:rsid w:val="00C723A3"/>
    <w:rsid w:val="00C735C6"/>
    <w:rsid w:val="00C74CB7"/>
    <w:rsid w:val="00C76485"/>
    <w:rsid w:val="00C77529"/>
    <w:rsid w:val="00C8500E"/>
    <w:rsid w:val="00C861DA"/>
    <w:rsid w:val="00C905DE"/>
    <w:rsid w:val="00C90C4B"/>
    <w:rsid w:val="00C92592"/>
    <w:rsid w:val="00C94F83"/>
    <w:rsid w:val="00CA0146"/>
    <w:rsid w:val="00CA0E8A"/>
    <w:rsid w:val="00CA5866"/>
    <w:rsid w:val="00CB174C"/>
    <w:rsid w:val="00CB240D"/>
    <w:rsid w:val="00CB4A05"/>
    <w:rsid w:val="00CB7B90"/>
    <w:rsid w:val="00CC02BE"/>
    <w:rsid w:val="00CC35C3"/>
    <w:rsid w:val="00CC53EA"/>
    <w:rsid w:val="00CD0104"/>
    <w:rsid w:val="00CD3266"/>
    <w:rsid w:val="00CD5D29"/>
    <w:rsid w:val="00CE5B63"/>
    <w:rsid w:val="00CF20DD"/>
    <w:rsid w:val="00CF2232"/>
    <w:rsid w:val="00CF48EB"/>
    <w:rsid w:val="00D0183C"/>
    <w:rsid w:val="00D12ADD"/>
    <w:rsid w:val="00D16096"/>
    <w:rsid w:val="00D20AF0"/>
    <w:rsid w:val="00D2138F"/>
    <w:rsid w:val="00D240CF"/>
    <w:rsid w:val="00D252FF"/>
    <w:rsid w:val="00D2704C"/>
    <w:rsid w:val="00D30869"/>
    <w:rsid w:val="00D32725"/>
    <w:rsid w:val="00D34DA6"/>
    <w:rsid w:val="00D35B02"/>
    <w:rsid w:val="00D40F01"/>
    <w:rsid w:val="00D44834"/>
    <w:rsid w:val="00D44C9C"/>
    <w:rsid w:val="00D45546"/>
    <w:rsid w:val="00D46A38"/>
    <w:rsid w:val="00D53ABB"/>
    <w:rsid w:val="00D55830"/>
    <w:rsid w:val="00D56966"/>
    <w:rsid w:val="00D66EC0"/>
    <w:rsid w:val="00D67F85"/>
    <w:rsid w:val="00D72815"/>
    <w:rsid w:val="00D731F9"/>
    <w:rsid w:val="00D73A7C"/>
    <w:rsid w:val="00D7510D"/>
    <w:rsid w:val="00D80A2D"/>
    <w:rsid w:val="00D80B60"/>
    <w:rsid w:val="00D81D8B"/>
    <w:rsid w:val="00D84C52"/>
    <w:rsid w:val="00D86462"/>
    <w:rsid w:val="00D91A28"/>
    <w:rsid w:val="00D9402F"/>
    <w:rsid w:val="00D94F68"/>
    <w:rsid w:val="00D955B7"/>
    <w:rsid w:val="00D955D1"/>
    <w:rsid w:val="00D96D32"/>
    <w:rsid w:val="00DA1D69"/>
    <w:rsid w:val="00DA1EC0"/>
    <w:rsid w:val="00DA37BC"/>
    <w:rsid w:val="00DA41C4"/>
    <w:rsid w:val="00DA7E3A"/>
    <w:rsid w:val="00DC0C4C"/>
    <w:rsid w:val="00DC7B8C"/>
    <w:rsid w:val="00DD08AF"/>
    <w:rsid w:val="00DD16CF"/>
    <w:rsid w:val="00DE35B1"/>
    <w:rsid w:val="00DE3F8F"/>
    <w:rsid w:val="00DF0C0A"/>
    <w:rsid w:val="00DF2F9B"/>
    <w:rsid w:val="00DF6AF2"/>
    <w:rsid w:val="00E0212E"/>
    <w:rsid w:val="00E02543"/>
    <w:rsid w:val="00E048BA"/>
    <w:rsid w:val="00E05085"/>
    <w:rsid w:val="00E07E65"/>
    <w:rsid w:val="00E107C4"/>
    <w:rsid w:val="00E12A52"/>
    <w:rsid w:val="00E12DCA"/>
    <w:rsid w:val="00E13FC4"/>
    <w:rsid w:val="00E1438A"/>
    <w:rsid w:val="00E2330A"/>
    <w:rsid w:val="00E2690D"/>
    <w:rsid w:val="00E26920"/>
    <w:rsid w:val="00E27E26"/>
    <w:rsid w:val="00E31F29"/>
    <w:rsid w:val="00E3526E"/>
    <w:rsid w:val="00E36D46"/>
    <w:rsid w:val="00E40B2D"/>
    <w:rsid w:val="00E448AD"/>
    <w:rsid w:val="00E45609"/>
    <w:rsid w:val="00E52A44"/>
    <w:rsid w:val="00E56686"/>
    <w:rsid w:val="00E57B96"/>
    <w:rsid w:val="00E658B7"/>
    <w:rsid w:val="00E6735F"/>
    <w:rsid w:val="00E71A22"/>
    <w:rsid w:val="00E774C5"/>
    <w:rsid w:val="00E80340"/>
    <w:rsid w:val="00E82987"/>
    <w:rsid w:val="00E84114"/>
    <w:rsid w:val="00E84AAC"/>
    <w:rsid w:val="00E85CF5"/>
    <w:rsid w:val="00E918E2"/>
    <w:rsid w:val="00E926D1"/>
    <w:rsid w:val="00E961C8"/>
    <w:rsid w:val="00EA0CD8"/>
    <w:rsid w:val="00EA3204"/>
    <w:rsid w:val="00EB35BE"/>
    <w:rsid w:val="00EB3882"/>
    <w:rsid w:val="00EB56C6"/>
    <w:rsid w:val="00EB7DB2"/>
    <w:rsid w:val="00EC34CC"/>
    <w:rsid w:val="00EC4606"/>
    <w:rsid w:val="00EC4D89"/>
    <w:rsid w:val="00EC5945"/>
    <w:rsid w:val="00ED0D9E"/>
    <w:rsid w:val="00ED2561"/>
    <w:rsid w:val="00ED63EC"/>
    <w:rsid w:val="00ED652E"/>
    <w:rsid w:val="00EE0156"/>
    <w:rsid w:val="00EE0B4D"/>
    <w:rsid w:val="00EE2CD6"/>
    <w:rsid w:val="00EE51C7"/>
    <w:rsid w:val="00EF11B2"/>
    <w:rsid w:val="00F00C5A"/>
    <w:rsid w:val="00F029D3"/>
    <w:rsid w:val="00F0420C"/>
    <w:rsid w:val="00F05047"/>
    <w:rsid w:val="00F05B7F"/>
    <w:rsid w:val="00F0721E"/>
    <w:rsid w:val="00F10E56"/>
    <w:rsid w:val="00F13197"/>
    <w:rsid w:val="00F13872"/>
    <w:rsid w:val="00F14060"/>
    <w:rsid w:val="00F1510A"/>
    <w:rsid w:val="00F15DFB"/>
    <w:rsid w:val="00F228AD"/>
    <w:rsid w:val="00F22CA0"/>
    <w:rsid w:val="00F26ED0"/>
    <w:rsid w:val="00F30F03"/>
    <w:rsid w:val="00F316E9"/>
    <w:rsid w:val="00F3568F"/>
    <w:rsid w:val="00F35935"/>
    <w:rsid w:val="00F35A98"/>
    <w:rsid w:val="00F36DFC"/>
    <w:rsid w:val="00F37260"/>
    <w:rsid w:val="00F3770F"/>
    <w:rsid w:val="00F37B85"/>
    <w:rsid w:val="00F44B81"/>
    <w:rsid w:val="00F51CA4"/>
    <w:rsid w:val="00F528CB"/>
    <w:rsid w:val="00F53B22"/>
    <w:rsid w:val="00F55663"/>
    <w:rsid w:val="00F55AAA"/>
    <w:rsid w:val="00F55CBA"/>
    <w:rsid w:val="00F56E7B"/>
    <w:rsid w:val="00F60988"/>
    <w:rsid w:val="00F6117C"/>
    <w:rsid w:val="00F61FAE"/>
    <w:rsid w:val="00F63C2F"/>
    <w:rsid w:val="00F65433"/>
    <w:rsid w:val="00F67584"/>
    <w:rsid w:val="00F7260A"/>
    <w:rsid w:val="00F749FC"/>
    <w:rsid w:val="00F76BE9"/>
    <w:rsid w:val="00F776A9"/>
    <w:rsid w:val="00F80BBB"/>
    <w:rsid w:val="00F86A11"/>
    <w:rsid w:val="00F874A1"/>
    <w:rsid w:val="00F91960"/>
    <w:rsid w:val="00F924C3"/>
    <w:rsid w:val="00F92816"/>
    <w:rsid w:val="00F93A63"/>
    <w:rsid w:val="00F944F1"/>
    <w:rsid w:val="00F96DBF"/>
    <w:rsid w:val="00F96F1E"/>
    <w:rsid w:val="00F970E2"/>
    <w:rsid w:val="00FA0682"/>
    <w:rsid w:val="00FA637F"/>
    <w:rsid w:val="00FB102A"/>
    <w:rsid w:val="00FB25C3"/>
    <w:rsid w:val="00FB2B62"/>
    <w:rsid w:val="00FB756D"/>
    <w:rsid w:val="00FB7EE7"/>
    <w:rsid w:val="00FC39AE"/>
    <w:rsid w:val="00FC6728"/>
    <w:rsid w:val="00FD2788"/>
    <w:rsid w:val="00FD4341"/>
    <w:rsid w:val="00FE2215"/>
    <w:rsid w:val="00FE2BAE"/>
    <w:rsid w:val="00FE6D57"/>
    <w:rsid w:val="00FE798F"/>
    <w:rsid w:val="00FE7DA0"/>
    <w:rsid w:val="00FF2E76"/>
    <w:rsid w:val="00FF3EB3"/>
    <w:rsid w:val="00FF6ADE"/>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F710E4"/>
  <w15:chartTrackingRefBased/>
  <w15:docId w15:val="{B417E415-D8C6-406E-8142-95CF9D4C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101"/>
    <w:pPr>
      <w:widowControl w:val="0"/>
      <w:spacing w:after="0" w:line="240" w:lineRule="auto"/>
      <w:jc w:val="both"/>
    </w:pPr>
    <w:rPr>
      <w:sz w:val="21"/>
      <w:lang w:val="en-US" w:eastAsia="ja-JP"/>
    </w:rPr>
  </w:style>
  <w:style w:type="paragraph" w:styleId="Heading1">
    <w:name w:val="heading 1"/>
    <w:basedOn w:val="Normal"/>
    <w:next w:val="Normal"/>
    <w:link w:val="Heading1Char"/>
    <w:uiPriority w:val="9"/>
    <w:qFormat/>
    <w:rsid w:val="00505101"/>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505101"/>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505101"/>
    <w:pPr>
      <w:keepNext/>
      <w:keepLines/>
      <w:widowControl/>
      <w:spacing w:before="160" w:after="80" w:line="259" w:lineRule="auto"/>
      <w:jc w:val="left"/>
      <w:outlineLvl w:val="2"/>
    </w:pPr>
    <w:rPr>
      <w:rFonts w:eastAsiaTheme="majorEastAsia"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505101"/>
    <w:pPr>
      <w:keepNext/>
      <w:keepLines/>
      <w:widowControl/>
      <w:spacing w:before="80" w:after="40" w:line="259" w:lineRule="auto"/>
      <w:jc w:val="left"/>
      <w:outlineLvl w:val="3"/>
    </w:pPr>
    <w:rPr>
      <w:rFonts w:eastAsiaTheme="majorEastAsia" w:cstheme="majorBidi"/>
      <w:i/>
      <w:iCs/>
      <w:color w:val="0F4761" w:themeColor="accent1" w:themeShade="BF"/>
      <w:sz w:val="22"/>
      <w:lang w:val="en-IN" w:eastAsia="en-US"/>
    </w:rPr>
  </w:style>
  <w:style w:type="paragraph" w:styleId="Heading5">
    <w:name w:val="heading 5"/>
    <w:basedOn w:val="Normal"/>
    <w:next w:val="Normal"/>
    <w:link w:val="Heading5Char"/>
    <w:uiPriority w:val="9"/>
    <w:semiHidden/>
    <w:unhideWhenUsed/>
    <w:qFormat/>
    <w:rsid w:val="00505101"/>
    <w:pPr>
      <w:keepNext/>
      <w:keepLines/>
      <w:widowControl/>
      <w:spacing w:before="80" w:after="40" w:line="259" w:lineRule="auto"/>
      <w:jc w:val="left"/>
      <w:outlineLvl w:val="4"/>
    </w:pPr>
    <w:rPr>
      <w:rFonts w:eastAsiaTheme="majorEastAsia" w:cstheme="majorBidi"/>
      <w:color w:val="0F4761" w:themeColor="accent1" w:themeShade="BF"/>
      <w:sz w:val="22"/>
      <w:lang w:val="en-IN" w:eastAsia="en-US"/>
    </w:rPr>
  </w:style>
  <w:style w:type="paragraph" w:styleId="Heading6">
    <w:name w:val="heading 6"/>
    <w:basedOn w:val="Normal"/>
    <w:next w:val="Normal"/>
    <w:link w:val="Heading6Char"/>
    <w:uiPriority w:val="9"/>
    <w:semiHidden/>
    <w:unhideWhenUsed/>
    <w:qFormat/>
    <w:rsid w:val="00505101"/>
    <w:pPr>
      <w:keepNext/>
      <w:keepLines/>
      <w:widowControl/>
      <w:spacing w:before="40" w:line="259" w:lineRule="auto"/>
      <w:jc w:val="left"/>
      <w:outlineLvl w:val="5"/>
    </w:pPr>
    <w:rPr>
      <w:rFonts w:eastAsiaTheme="majorEastAsia" w:cstheme="majorBidi"/>
      <w:i/>
      <w:iCs/>
      <w:color w:val="595959" w:themeColor="text1" w:themeTint="A6"/>
      <w:sz w:val="22"/>
      <w:lang w:val="en-IN" w:eastAsia="en-US"/>
    </w:rPr>
  </w:style>
  <w:style w:type="paragraph" w:styleId="Heading7">
    <w:name w:val="heading 7"/>
    <w:basedOn w:val="Normal"/>
    <w:next w:val="Normal"/>
    <w:link w:val="Heading7Char"/>
    <w:uiPriority w:val="9"/>
    <w:semiHidden/>
    <w:unhideWhenUsed/>
    <w:qFormat/>
    <w:rsid w:val="00505101"/>
    <w:pPr>
      <w:keepNext/>
      <w:keepLines/>
      <w:widowControl/>
      <w:spacing w:before="40" w:line="259" w:lineRule="auto"/>
      <w:jc w:val="left"/>
      <w:outlineLvl w:val="6"/>
    </w:pPr>
    <w:rPr>
      <w:rFonts w:eastAsiaTheme="majorEastAsia" w:cstheme="majorBidi"/>
      <w:color w:val="595959" w:themeColor="text1" w:themeTint="A6"/>
      <w:sz w:val="22"/>
      <w:lang w:val="en-IN" w:eastAsia="en-US"/>
    </w:rPr>
  </w:style>
  <w:style w:type="paragraph" w:styleId="Heading8">
    <w:name w:val="heading 8"/>
    <w:basedOn w:val="Normal"/>
    <w:next w:val="Normal"/>
    <w:link w:val="Heading8Char"/>
    <w:uiPriority w:val="9"/>
    <w:semiHidden/>
    <w:unhideWhenUsed/>
    <w:qFormat/>
    <w:rsid w:val="00505101"/>
    <w:pPr>
      <w:keepNext/>
      <w:keepLines/>
      <w:widowControl/>
      <w:spacing w:line="259" w:lineRule="auto"/>
      <w:jc w:val="left"/>
      <w:outlineLvl w:val="7"/>
    </w:pPr>
    <w:rPr>
      <w:rFonts w:eastAsiaTheme="majorEastAsia" w:cstheme="majorBidi"/>
      <w:i/>
      <w:iCs/>
      <w:color w:val="272727" w:themeColor="text1" w:themeTint="D8"/>
      <w:sz w:val="22"/>
      <w:lang w:val="en-IN" w:eastAsia="en-US"/>
    </w:rPr>
  </w:style>
  <w:style w:type="paragraph" w:styleId="Heading9">
    <w:name w:val="heading 9"/>
    <w:basedOn w:val="Normal"/>
    <w:next w:val="Normal"/>
    <w:link w:val="Heading9Char"/>
    <w:uiPriority w:val="9"/>
    <w:semiHidden/>
    <w:unhideWhenUsed/>
    <w:qFormat/>
    <w:rsid w:val="00505101"/>
    <w:pPr>
      <w:keepNext/>
      <w:keepLines/>
      <w:widowControl/>
      <w:spacing w:line="259" w:lineRule="auto"/>
      <w:jc w:val="left"/>
      <w:outlineLvl w:val="8"/>
    </w:pPr>
    <w:rPr>
      <w:rFonts w:eastAsiaTheme="majorEastAsia" w:cstheme="majorBidi"/>
      <w:color w:val="272727" w:themeColor="text1" w:themeTint="D8"/>
      <w:sz w:val="22"/>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101"/>
    <w:rPr>
      <w:rFonts w:eastAsiaTheme="majorEastAsia" w:cstheme="majorBidi"/>
      <w:color w:val="272727" w:themeColor="text1" w:themeTint="D8"/>
    </w:rPr>
  </w:style>
  <w:style w:type="paragraph" w:styleId="Title">
    <w:name w:val="Title"/>
    <w:basedOn w:val="Normal"/>
    <w:next w:val="Normal"/>
    <w:link w:val="TitleChar"/>
    <w:uiPriority w:val="10"/>
    <w:qFormat/>
    <w:rsid w:val="00505101"/>
    <w:pPr>
      <w:widowControl/>
      <w:spacing w:after="80"/>
      <w:contextualSpacing/>
      <w:jc w:val="left"/>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505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101"/>
    <w:pPr>
      <w:widowControl/>
      <w:numPr>
        <w:ilvl w:val="1"/>
      </w:numPr>
      <w:spacing w:after="160" w:line="259" w:lineRule="auto"/>
      <w:jc w:val="left"/>
    </w:pPr>
    <w:rPr>
      <w:rFonts w:eastAsiaTheme="majorEastAsia"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505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101"/>
    <w:pPr>
      <w:widowControl/>
      <w:spacing w:before="160" w:after="160" w:line="259" w:lineRule="auto"/>
      <w:jc w:val="center"/>
    </w:pPr>
    <w:rPr>
      <w:rFonts w:eastAsiaTheme="minorHAnsi"/>
      <w:i/>
      <w:iCs/>
      <w:color w:val="404040" w:themeColor="text1" w:themeTint="BF"/>
      <w:sz w:val="22"/>
      <w:lang w:val="en-IN" w:eastAsia="en-US"/>
    </w:rPr>
  </w:style>
  <w:style w:type="character" w:customStyle="1" w:styleId="QuoteChar">
    <w:name w:val="Quote Char"/>
    <w:basedOn w:val="DefaultParagraphFont"/>
    <w:link w:val="Quote"/>
    <w:uiPriority w:val="29"/>
    <w:rsid w:val="00505101"/>
    <w:rPr>
      <w:i/>
      <w:iCs/>
      <w:color w:val="404040" w:themeColor="text1" w:themeTint="BF"/>
    </w:rPr>
  </w:style>
  <w:style w:type="paragraph" w:styleId="ListParagraph">
    <w:name w:val="List Paragraph"/>
    <w:basedOn w:val="Normal"/>
    <w:uiPriority w:val="34"/>
    <w:qFormat/>
    <w:rsid w:val="00505101"/>
    <w:pPr>
      <w:widowControl/>
      <w:spacing w:after="160" w:line="259" w:lineRule="auto"/>
      <w:ind w:left="720"/>
      <w:contextualSpacing/>
      <w:jc w:val="left"/>
    </w:pPr>
    <w:rPr>
      <w:rFonts w:eastAsiaTheme="minorHAnsi"/>
      <w:sz w:val="22"/>
      <w:lang w:val="en-IN" w:eastAsia="en-US"/>
    </w:rPr>
  </w:style>
  <w:style w:type="character" w:styleId="IntenseEmphasis">
    <w:name w:val="Intense Emphasis"/>
    <w:basedOn w:val="DefaultParagraphFont"/>
    <w:uiPriority w:val="21"/>
    <w:qFormat/>
    <w:rsid w:val="00505101"/>
    <w:rPr>
      <w:i/>
      <w:iCs/>
      <w:color w:val="0F4761" w:themeColor="accent1" w:themeShade="BF"/>
    </w:rPr>
  </w:style>
  <w:style w:type="paragraph" w:styleId="IntenseQuote">
    <w:name w:val="Intense Quote"/>
    <w:basedOn w:val="Normal"/>
    <w:next w:val="Normal"/>
    <w:link w:val="IntenseQuoteChar"/>
    <w:uiPriority w:val="30"/>
    <w:qFormat/>
    <w:rsid w:val="00505101"/>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lang w:val="en-IN" w:eastAsia="en-US"/>
    </w:rPr>
  </w:style>
  <w:style w:type="character" w:customStyle="1" w:styleId="IntenseQuoteChar">
    <w:name w:val="Intense Quote Char"/>
    <w:basedOn w:val="DefaultParagraphFont"/>
    <w:link w:val="IntenseQuote"/>
    <w:uiPriority w:val="30"/>
    <w:rsid w:val="00505101"/>
    <w:rPr>
      <w:i/>
      <w:iCs/>
      <w:color w:val="0F4761" w:themeColor="accent1" w:themeShade="BF"/>
    </w:rPr>
  </w:style>
  <w:style w:type="character" w:styleId="IntenseReference">
    <w:name w:val="Intense Reference"/>
    <w:basedOn w:val="DefaultParagraphFont"/>
    <w:uiPriority w:val="32"/>
    <w:qFormat/>
    <w:rsid w:val="00505101"/>
    <w:rPr>
      <w:b/>
      <w:bCs/>
      <w:smallCaps/>
      <w:color w:val="0F4761" w:themeColor="accent1" w:themeShade="BF"/>
      <w:spacing w:val="5"/>
    </w:rPr>
  </w:style>
  <w:style w:type="paragraph" w:styleId="Header">
    <w:name w:val="header"/>
    <w:basedOn w:val="Normal"/>
    <w:link w:val="HeaderChar"/>
    <w:uiPriority w:val="99"/>
    <w:unhideWhenUsed/>
    <w:rsid w:val="00505101"/>
    <w:pPr>
      <w:tabs>
        <w:tab w:val="center" w:pos="4513"/>
        <w:tab w:val="right" w:pos="9026"/>
      </w:tabs>
    </w:pPr>
  </w:style>
  <w:style w:type="character" w:customStyle="1" w:styleId="HeaderChar">
    <w:name w:val="Header Char"/>
    <w:basedOn w:val="DefaultParagraphFont"/>
    <w:link w:val="Header"/>
    <w:uiPriority w:val="99"/>
    <w:rsid w:val="00505101"/>
    <w:rPr>
      <w:rFonts w:eastAsiaTheme="minorEastAsia"/>
      <w:sz w:val="21"/>
      <w:lang w:val="en-US" w:eastAsia="ja-JP"/>
    </w:rPr>
  </w:style>
  <w:style w:type="paragraph" w:styleId="Footer">
    <w:name w:val="footer"/>
    <w:basedOn w:val="Normal"/>
    <w:link w:val="FooterChar"/>
    <w:uiPriority w:val="99"/>
    <w:unhideWhenUsed/>
    <w:rsid w:val="00505101"/>
    <w:pPr>
      <w:tabs>
        <w:tab w:val="center" w:pos="4513"/>
        <w:tab w:val="right" w:pos="9026"/>
      </w:tabs>
    </w:pPr>
  </w:style>
  <w:style w:type="character" w:customStyle="1" w:styleId="FooterChar">
    <w:name w:val="Footer Char"/>
    <w:basedOn w:val="DefaultParagraphFont"/>
    <w:link w:val="Footer"/>
    <w:uiPriority w:val="99"/>
    <w:rsid w:val="00505101"/>
    <w:rPr>
      <w:rFonts w:eastAsiaTheme="minorEastAsia"/>
      <w:sz w:val="21"/>
      <w:lang w:val="en-US" w:eastAsia="ja-JP"/>
    </w:rPr>
  </w:style>
  <w:style w:type="paragraph" w:customStyle="1" w:styleId="11MSJAuthor">
    <w:name w:val="11 MSJ Author"/>
    <w:basedOn w:val="Normal"/>
    <w:rsid w:val="009A3CC6"/>
    <w:pPr>
      <w:keepNext/>
      <w:jc w:val="center"/>
    </w:pPr>
    <w:rPr>
      <w:rFonts w:ascii="Times New Roman" w:eastAsia="Times New Roman" w:hAnsi="Times New Roman" w:cs="Times New Roman"/>
      <w:color w:val="000000"/>
      <w:sz w:val="22"/>
      <w:szCs w:val="24"/>
      <w14:ligatures w14:val="none"/>
    </w:rPr>
  </w:style>
  <w:style w:type="paragraph" w:customStyle="1" w:styleId="12MSJAffiliation">
    <w:name w:val="12 MSJ Affiliation"/>
    <w:basedOn w:val="Normal"/>
    <w:rsid w:val="009A3CC6"/>
    <w:pPr>
      <w:spacing w:afterLines="100" w:after="100"/>
      <w:jc w:val="center"/>
    </w:pPr>
    <w:rPr>
      <w:rFonts w:ascii="Times New Roman" w:eastAsia="Times New Roman" w:hAnsi="Times New Roman" w:cs="Times New Roman"/>
      <w:color w:val="000000"/>
      <w:sz w:val="22"/>
      <w:szCs w:val="24"/>
      <w14:ligatures w14:val="none"/>
    </w:rPr>
  </w:style>
  <w:style w:type="character" w:styleId="PlaceholderText">
    <w:name w:val="Placeholder Text"/>
    <w:basedOn w:val="DefaultParagraphFont"/>
    <w:uiPriority w:val="99"/>
    <w:semiHidden/>
    <w:rsid w:val="00377E42"/>
    <w:rPr>
      <w:color w:val="666666"/>
    </w:rPr>
  </w:style>
  <w:style w:type="paragraph" w:styleId="NormalWeb">
    <w:name w:val="Normal (Web)"/>
    <w:basedOn w:val="Normal"/>
    <w:uiPriority w:val="99"/>
    <w:semiHidden/>
    <w:unhideWhenUsed/>
    <w:rsid w:val="005A36CE"/>
    <w:rPr>
      <w:rFonts w:ascii="Times New Roman" w:hAnsi="Times New Roman" w:cs="Times New Roman"/>
      <w:sz w:val="24"/>
      <w:szCs w:val="24"/>
    </w:rPr>
  </w:style>
  <w:style w:type="paragraph" w:styleId="Revision">
    <w:name w:val="Revision"/>
    <w:hidden/>
    <w:uiPriority w:val="99"/>
    <w:semiHidden/>
    <w:rsid w:val="000074F9"/>
    <w:pPr>
      <w:spacing w:after="0" w:line="240" w:lineRule="auto"/>
    </w:pPr>
    <w:rPr>
      <w:sz w:val="21"/>
      <w:lang w:val="en-US" w:eastAsia="ja-JP"/>
    </w:rPr>
  </w:style>
  <w:style w:type="character" w:styleId="CommentReference">
    <w:name w:val="annotation reference"/>
    <w:basedOn w:val="DefaultParagraphFont"/>
    <w:uiPriority w:val="99"/>
    <w:semiHidden/>
    <w:unhideWhenUsed/>
    <w:rsid w:val="009B3F00"/>
    <w:rPr>
      <w:sz w:val="16"/>
      <w:szCs w:val="16"/>
    </w:rPr>
  </w:style>
  <w:style w:type="paragraph" w:styleId="CommentText">
    <w:name w:val="annotation text"/>
    <w:basedOn w:val="Normal"/>
    <w:link w:val="CommentTextChar"/>
    <w:uiPriority w:val="99"/>
    <w:unhideWhenUsed/>
    <w:rsid w:val="009B3F00"/>
    <w:rPr>
      <w:sz w:val="20"/>
      <w:szCs w:val="20"/>
    </w:rPr>
  </w:style>
  <w:style w:type="character" w:customStyle="1" w:styleId="CommentTextChar">
    <w:name w:val="Comment Text Char"/>
    <w:basedOn w:val="DefaultParagraphFont"/>
    <w:link w:val="CommentText"/>
    <w:uiPriority w:val="99"/>
    <w:rsid w:val="009B3F00"/>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9B3F00"/>
    <w:rPr>
      <w:b/>
      <w:bCs/>
    </w:rPr>
  </w:style>
  <w:style w:type="character" w:customStyle="1" w:styleId="CommentSubjectChar">
    <w:name w:val="Comment Subject Char"/>
    <w:basedOn w:val="CommentTextChar"/>
    <w:link w:val="CommentSubject"/>
    <w:uiPriority w:val="99"/>
    <w:semiHidden/>
    <w:rsid w:val="009B3F00"/>
    <w:rPr>
      <w:rFonts w:eastAsiaTheme="minorEastAsia"/>
      <w:b/>
      <w:bCs/>
      <w:sz w:val="20"/>
      <w:szCs w:val="20"/>
      <w:lang w:val="en-US" w:eastAsia="ja-JP"/>
    </w:rPr>
  </w:style>
  <w:style w:type="paragraph" w:styleId="Bibliography">
    <w:name w:val="Bibliography"/>
    <w:basedOn w:val="Normal"/>
    <w:next w:val="Normal"/>
    <w:autoRedefine/>
    <w:uiPriority w:val="37"/>
    <w:unhideWhenUsed/>
    <w:qFormat/>
    <w:rsid w:val="00BA6B5C"/>
    <w:pPr>
      <w:spacing w:line="360" w:lineRule="auto"/>
      <w:ind w:left="101" w:hanging="101"/>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787">
      <w:bodyDiv w:val="1"/>
      <w:marLeft w:val="0"/>
      <w:marRight w:val="0"/>
      <w:marTop w:val="0"/>
      <w:marBottom w:val="0"/>
      <w:divBdr>
        <w:top w:val="none" w:sz="0" w:space="0" w:color="auto"/>
        <w:left w:val="none" w:sz="0" w:space="0" w:color="auto"/>
        <w:bottom w:val="none" w:sz="0" w:space="0" w:color="auto"/>
        <w:right w:val="none" w:sz="0" w:space="0" w:color="auto"/>
      </w:divBdr>
    </w:div>
    <w:div w:id="76094383">
      <w:marLeft w:val="0"/>
      <w:marRight w:val="0"/>
      <w:marTop w:val="0"/>
      <w:marBottom w:val="0"/>
      <w:divBdr>
        <w:top w:val="none" w:sz="0" w:space="0" w:color="auto"/>
        <w:left w:val="none" w:sz="0" w:space="0" w:color="auto"/>
        <w:bottom w:val="none" w:sz="0" w:space="0" w:color="auto"/>
        <w:right w:val="none" w:sz="0" w:space="0" w:color="auto"/>
      </w:divBdr>
    </w:div>
    <w:div w:id="79789456">
      <w:bodyDiv w:val="1"/>
      <w:marLeft w:val="0"/>
      <w:marRight w:val="0"/>
      <w:marTop w:val="0"/>
      <w:marBottom w:val="0"/>
      <w:divBdr>
        <w:top w:val="none" w:sz="0" w:space="0" w:color="auto"/>
        <w:left w:val="none" w:sz="0" w:space="0" w:color="auto"/>
        <w:bottom w:val="none" w:sz="0" w:space="0" w:color="auto"/>
        <w:right w:val="none" w:sz="0" w:space="0" w:color="auto"/>
      </w:divBdr>
    </w:div>
    <w:div w:id="84309401">
      <w:bodyDiv w:val="1"/>
      <w:marLeft w:val="0"/>
      <w:marRight w:val="0"/>
      <w:marTop w:val="0"/>
      <w:marBottom w:val="0"/>
      <w:divBdr>
        <w:top w:val="none" w:sz="0" w:space="0" w:color="auto"/>
        <w:left w:val="none" w:sz="0" w:space="0" w:color="auto"/>
        <w:bottom w:val="none" w:sz="0" w:space="0" w:color="auto"/>
        <w:right w:val="none" w:sz="0" w:space="0" w:color="auto"/>
      </w:divBdr>
    </w:div>
    <w:div w:id="251670894">
      <w:bodyDiv w:val="1"/>
      <w:marLeft w:val="0"/>
      <w:marRight w:val="0"/>
      <w:marTop w:val="0"/>
      <w:marBottom w:val="0"/>
      <w:divBdr>
        <w:top w:val="none" w:sz="0" w:space="0" w:color="auto"/>
        <w:left w:val="none" w:sz="0" w:space="0" w:color="auto"/>
        <w:bottom w:val="none" w:sz="0" w:space="0" w:color="auto"/>
        <w:right w:val="none" w:sz="0" w:space="0" w:color="auto"/>
      </w:divBdr>
    </w:div>
    <w:div w:id="269550095">
      <w:bodyDiv w:val="1"/>
      <w:marLeft w:val="0"/>
      <w:marRight w:val="0"/>
      <w:marTop w:val="0"/>
      <w:marBottom w:val="0"/>
      <w:divBdr>
        <w:top w:val="none" w:sz="0" w:space="0" w:color="auto"/>
        <w:left w:val="none" w:sz="0" w:space="0" w:color="auto"/>
        <w:bottom w:val="none" w:sz="0" w:space="0" w:color="auto"/>
        <w:right w:val="none" w:sz="0" w:space="0" w:color="auto"/>
      </w:divBdr>
    </w:div>
    <w:div w:id="303900240">
      <w:marLeft w:val="0"/>
      <w:marRight w:val="0"/>
      <w:marTop w:val="0"/>
      <w:marBottom w:val="0"/>
      <w:divBdr>
        <w:top w:val="none" w:sz="0" w:space="0" w:color="auto"/>
        <w:left w:val="none" w:sz="0" w:space="0" w:color="auto"/>
        <w:bottom w:val="none" w:sz="0" w:space="0" w:color="auto"/>
        <w:right w:val="none" w:sz="0" w:space="0" w:color="auto"/>
      </w:divBdr>
    </w:div>
    <w:div w:id="316501832">
      <w:bodyDiv w:val="1"/>
      <w:marLeft w:val="0"/>
      <w:marRight w:val="0"/>
      <w:marTop w:val="0"/>
      <w:marBottom w:val="0"/>
      <w:divBdr>
        <w:top w:val="none" w:sz="0" w:space="0" w:color="auto"/>
        <w:left w:val="none" w:sz="0" w:space="0" w:color="auto"/>
        <w:bottom w:val="none" w:sz="0" w:space="0" w:color="auto"/>
        <w:right w:val="none" w:sz="0" w:space="0" w:color="auto"/>
      </w:divBdr>
    </w:div>
    <w:div w:id="331183145">
      <w:bodyDiv w:val="1"/>
      <w:marLeft w:val="0"/>
      <w:marRight w:val="0"/>
      <w:marTop w:val="0"/>
      <w:marBottom w:val="0"/>
      <w:divBdr>
        <w:top w:val="none" w:sz="0" w:space="0" w:color="auto"/>
        <w:left w:val="none" w:sz="0" w:space="0" w:color="auto"/>
        <w:bottom w:val="none" w:sz="0" w:space="0" w:color="auto"/>
        <w:right w:val="none" w:sz="0" w:space="0" w:color="auto"/>
      </w:divBdr>
    </w:div>
    <w:div w:id="428278509">
      <w:bodyDiv w:val="1"/>
      <w:marLeft w:val="0"/>
      <w:marRight w:val="0"/>
      <w:marTop w:val="0"/>
      <w:marBottom w:val="0"/>
      <w:divBdr>
        <w:top w:val="none" w:sz="0" w:space="0" w:color="auto"/>
        <w:left w:val="none" w:sz="0" w:space="0" w:color="auto"/>
        <w:bottom w:val="none" w:sz="0" w:space="0" w:color="auto"/>
        <w:right w:val="none" w:sz="0" w:space="0" w:color="auto"/>
      </w:divBdr>
    </w:div>
    <w:div w:id="444425438">
      <w:bodyDiv w:val="1"/>
      <w:marLeft w:val="0"/>
      <w:marRight w:val="0"/>
      <w:marTop w:val="0"/>
      <w:marBottom w:val="0"/>
      <w:divBdr>
        <w:top w:val="none" w:sz="0" w:space="0" w:color="auto"/>
        <w:left w:val="none" w:sz="0" w:space="0" w:color="auto"/>
        <w:bottom w:val="none" w:sz="0" w:space="0" w:color="auto"/>
        <w:right w:val="none" w:sz="0" w:space="0" w:color="auto"/>
      </w:divBdr>
    </w:div>
    <w:div w:id="536085466">
      <w:bodyDiv w:val="1"/>
      <w:marLeft w:val="0"/>
      <w:marRight w:val="0"/>
      <w:marTop w:val="0"/>
      <w:marBottom w:val="0"/>
      <w:divBdr>
        <w:top w:val="none" w:sz="0" w:space="0" w:color="auto"/>
        <w:left w:val="none" w:sz="0" w:space="0" w:color="auto"/>
        <w:bottom w:val="none" w:sz="0" w:space="0" w:color="auto"/>
        <w:right w:val="none" w:sz="0" w:space="0" w:color="auto"/>
      </w:divBdr>
    </w:div>
    <w:div w:id="573394980">
      <w:bodyDiv w:val="1"/>
      <w:marLeft w:val="0"/>
      <w:marRight w:val="0"/>
      <w:marTop w:val="0"/>
      <w:marBottom w:val="0"/>
      <w:divBdr>
        <w:top w:val="none" w:sz="0" w:space="0" w:color="auto"/>
        <w:left w:val="none" w:sz="0" w:space="0" w:color="auto"/>
        <w:bottom w:val="none" w:sz="0" w:space="0" w:color="auto"/>
        <w:right w:val="none" w:sz="0" w:space="0" w:color="auto"/>
      </w:divBdr>
    </w:div>
    <w:div w:id="584070369">
      <w:bodyDiv w:val="1"/>
      <w:marLeft w:val="0"/>
      <w:marRight w:val="0"/>
      <w:marTop w:val="0"/>
      <w:marBottom w:val="0"/>
      <w:divBdr>
        <w:top w:val="none" w:sz="0" w:space="0" w:color="auto"/>
        <w:left w:val="none" w:sz="0" w:space="0" w:color="auto"/>
        <w:bottom w:val="none" w:sz="0" w:space="0" w:color="auto"/>
        <w:right w:val="none" w:sz="0" w:space="0" w:color="auto"/>
      </w:divBdr>
    </w:div>
    <w:div w:id="585726450">
      <w:bodyDiv w:val="1"/>
      <w:marLeft w:val="0"/>
      <w:marRight w:val="0"/>
      <w:marTop w:val="0"/>
      <w:marBottom w:val="0"/>
      <w:divBdr>
        <w:top w:val="none" w:sz="0" w:space="0" w:color="auto"/>
        <w:left w:val="none" w:sz="0" w:space="0" w:color="auto"/>
        <w:bottom w:val="none" w:sz="0" w:space="0" w:color="auto"/>
        <w:right w:val="none" w:sz="0" w:space="0" w:color="auto"/>
      </w:divBdr>
    </w:div>
    <w:div w:id="718435318">
      <w:bodyDiv w:val="1"/>
      <w:marLeft w:val="0"/>
      <w:marRight w:val="0"/>
      <w:marTop w:val="0"/>
      <w:marBottom w:val="0"/>
      <w:divBdr>
        <w:top w:val="none" w:sz="0" w:space="0" w:color="auto"/>
        <w:left w:val="none" w:sz="0" w:space="0" w:color="auto"/>
        <w:bottom w:val="none" w:sz="0" w:space="0" w:color="auto"/>
        <w:right w:val="none" w:sz="0" w:space="0" w:color="auto"/>
      </w:divBdr>
    </w:div>
    <w:div w:id="748039331">
      <w:bodyDiv w:val="1"/>
      <w:marLeft w:val="0"/>
      <w:marRight w:val="0"/>
      <w:marTop w:val="0"/>
      <w:marBottom w:val="0"/>
      <w:divBdr>
        <w:top w:val="none" w:sz="0" w:space="0" w:color="auto"/>
        <w:left w:val="none" w:sz="0" w:space="0" w:color="auto"/>
        <w:bottom w:val="none" w:sz="0" w:space="0" w:color="auto"/>
        <w:right w:val="none" w:sz="0" w:space="0" w:color="auto"/>
      </w:divBdr>
    </w:div>
    <w:div w:id="794100724">
      <w:bodyDiv w:val="1"/>
      <w:marLeft w:val="0"/>
      <w:marRight w:val="0"/>
      <w:marTop w:val="0"/>
      <w:marBottom w:val="0"/>
      <w:divBdr>
        <w:top w:val="none" w:sz="0" w:space="0" w:color="auto"/>
        <w:left w:val="none" w:sz="0" w:space="0" w:color="auto"/>
        <w:bottom w:val="none" w:sz="0" w:space="0" w:color="auto"/>
        <w:right w:val="none" w:sz="0" w:space="0" w:color="auto"/>
      </w:divBdr>
    </w:div>
    <w:div w:id="827943044">
      <w:bodyDiv w:val="1"/>
      <w:marLeft w:val="0"/>
      <w:marRight w:val="0"/>
      <w:marTop w:val="0"/>
      <w:marBottom w:val="0"/>
      <w:divBdr>
        <w:top w:val="none" w:sz="0" w:space="0" w:color="auto"/>
        <w:left w:val="none" w:sz="0" w:space="0" w:color="auto"/>
        <w:bottom w:val="none" w:sz="0" w:space="0" w:color="auto"/>
        <w:right w:val="none" w:sz="0" w:space="0" w:color="auto"/>
      </w:divBdr>
    </w:div>
    <w:div w:id="957562065">
      <w:bodyDiv w:val="1"/>
      <w:marLeft w:val="0"/>
      <w:marRight w:val="0"/>
      <w:marTop w:val="0"/>
      <w:marBottom w:val="0"/>
      <w:divBdr>
        <w:top w:val="none" w:sz="0" w:space="0" w:color="auto"/>
        <w:left w:val="none" w:sz="0" w:space="0" w:color="auto"/>
        <w:bottom w:val="none" w:sz="0" w:space="0" w:color="auto"/>
        <w:right w:val="none" w:sz="0" w:space="0" w:color="auto"/>
      </w:divBdr>
    </w:div>
    <w:div w:id="989091565">
      <w:bodyDiv w:val="1"/>
      <w:marLeft w:val="0"/>
      <w:marRight w:val="0"/>
      <w:marTop w:val="0"/>
      <w:marBottom w:val="0"/>
      <w:divBdr>
        <w:top w:val="none" w:sz="0" w:space="0" w:color="auto"/>
        <w:left w:val="none" w:sz="0" w:space="0" w:color="auto"/>
        <w:bottom w:val="none" w:sz="0" w:space="0" w:color="auto"/>
        <w:right w:val="none" w:sz="0" w:space="0" w:color="auto"/>
      </w:divBdr>
    </w:div>
    <w:div w:id="993993389">
      <w:bodyDiv w:val="1"/>
      <w:marLeft w:val="0"/>
      <w:marRight w:val="0"/>
      <w:marTop w:val="0"/>
      <w:marBottom w:val="0"/>
      <w:divBdr>
        <w:top w:val="none" w:sz="0" w:space="0" w:color="auto"/>
        <w:left w:val="none" w:sz="0" w:space="0" w:color="auto"/>
        <w:bottom w:val="none" w:sz="0" w:space="0" w:color="auto"/>
        <w:right w:val="none" w:sz="0" w:space="0" w:color="auto"/>
      </w:divBdr>
    </w:div>
    <w:div w:id="1002583302">
      <w:bodyDiv w:val="1"/>
      <w:marLeft w:val="0"/>
      <w:marRight w:val="0"/>
      <w:marTop w:val="0"/>
      <w:marBottom w:val="0"/>
      <w:divBdr>
        <w:top w:val="none" w:sz="0" w:space="0" w:color="auto"/>
        <w:left w:val="none" w:sz="0" w:space="0" w:color="auto"/>
        <w:bottom w:val="none" w:sz="0" w:space="0" w:color="auto"/>
        <w:right w:val="none" w:sz="0" w:space="0" w:color="auto"/>
      </w:divBdr>
    </w:div>
    <w:div w:id="1020008610">
      <w:bodyDiv w:val="1"/>
      <w:marLeft w:val="0"/>
      <w:marRight w:val="0"/>
      <w:marTop w:val="0"/>
      <w:marBottom w:val="0"/>
      <w:divBdr>
        <w:top w:val="none" w:sz="0" w:space="0" w:color="auto"/>
        <w:left w:val="none" w:sz="0" w:space="0" w:color="auto"/>
        <w:bottom w:val="none" w:sz="0" w:space="0" w:color="auto"/>
        <w:right w:val="none" w:sz="0" w:space="0" w:color="auto"/>
      </w:divBdr>
    </w:div>
    <w:div w:id="1069497128">
      <w:bodyDiv w:val="1"/>
      <w:marLeft w:val="0"/>
      <w:marRight w:val="0"/>
      <w:marTop w:val="0"/>
      <w:marBottom w:val="0"/>
      <w:divBdr>
        <w:top w:val="none" w:sz="0" w:space="0" w:color="auto"/>
        <w:left w:val="none" w:sz="0" w:space="0" w:color="auto"/>
        <w:bottom w:val="none" w:sz="0" w:space="0" w:color="auto"/>
        <w:right w:val="none" w:sz="0" w:space="0" w:color="auto"/>
      </w:divBdr>
    </w:div>
    <w:div w:id="1128208236">
      <w:bodyDiv w:val="1"/>
      <w:marLeft w:val="0"/>
      <w:marRight w:val="0"/>
      <w:marTop w:val="0"/>
      <w:marBottom w:val="0"/>
      <w:divBdr>
        <w:top w:val="none" w:sz="0" w:space="0" w:color="auto"/>
        <w:left w:val="none" w:sz="0" w:space="0" w:color="auto"/>
        <w:bottom w:val="none" w:sz="0" w:space="0" w:color="auto"/>
        <w:right w:val="none" w:sz="0" w:space="0" w:color="auto"/>
      </w:divBdr>
    </w:div>
    <w:div w:id="1236670172">
      <w:bodyDiv w:val="1"/>
      <w:marLeft w:val="0"/>
      <w:marRight w:val="0"/>
      <w:marTop w:val="0"/>
      <w:marBottom w:val="0"/>
      <w:divBdr>
        <w:top w:val="none" w:sz="0" w:space="0" w:color="auto"/>
        <w:left w:val="none" w:sz="0" w:space="0" w:color="auto"/>
        <w:bottom w:val="none" w:sz="0" w:space="0" w:color="auto"/>
        <w:right w:val="none" w:sz="0" w:space="0" w:color="auto"/>
      </w:divBdr>
    </w:div>
    <w:div w:id="1248421516">
      <w:bodyDiv w:val="1"/>
      <w:marLeft w:val="0"/>
      <w:marRight w:val="0"/>
      <w:marTop w:val="0"/>
      <w:marBottom w:val="0"/>
      <w:divBdr>
        <w:top w:val="none" w:sz="0" w:space="0" w:color="auto"/>
        <w:left w:val="none" w:sz="0" w:space="0" w:color="auto"/>
        <w:bottom w:val="none" w:sz="0" w:space="0" w:color="auto"/>
        <w:right w:val="none" w:sz="0" w:space="0" w:color="auto"/>
      </w:divBdr>
    </w:div>
    <w:div w:id="1345549956">
      <w:marLeft w:val="0"/>
      <w:marRight w:val="0"/>
      <w:marTop w:val="0"/>
      <w:marBottom w:val="0"/>
      <w:divBdr>
        <w:top w:val="none" w:sz="0" w:space="0" w:color="auto"/>
        <w:left w:val="none" w:sz="0" w:space="0" w:color="auto"/>
        <w:bottom w:val="none" w:sz="0" w:space="0" w:color="auto"/>
        <w:right w:val="none" w:sz="0" w:space="0" w:color="auto"/>
      </w:divBdr>
    </w:div>
    <w:div w:id="1345981975">
      <w:bodyDiv w:val="1"/>
      <w:marLeft w:val="0"/>
      <w:marRight w:val="0"/>
      <w:marTop w:val="0"/>
      <w:marBottom w:val="0"/>
      <w:divBdr>
        <w:top w:val="none" w:sz="0" w:space="0" w:color="auto"/>
        <w:left w:val="none" w:sz="0" w:space="0" w:color="auto"/>
        <w:bottom w:val="none" w:sz="0" w:space="0" w:color="auto"/>
        <w:right w:val="none" w:sz="0" w:space="0" w:color="auto"/>
      </w:divBdr>
    </w:div>
    <w:div w:id="1406222500">
      <w:bodyDiv w:val="1"/>
      <w:marLeft w:val="0"/>
      <w:marRight w:val="0"/>
      <w:marTop w:val="0"/>
      <w:marBottom w:val="0"/>
      <w:divBdr>
        <w:top w:val="none" w:sz="0" w:space="0" w:color="auto"/>
        <w:left w:val="none" w:sz="0" w:space="0" w:color="auto"/>
        <w:bottom w:val="none" w:sz="0" w:space="0" w:color="auto"/>
        <w:right w:val="none" w:sz="0" w:space="0" w:color="auto"/>
      </w:divBdr>
    </w:div>
    <w:div w:id="1433625946">
      <w:bodyDiv w:val="1"/>
      <w:marLeft w:val="0"/>
      <w:marRight w:val="0"/>
      <w:marTop w:val="0"/>
      <w:marBottom w:val="0"/>
      <w:divBdr>
        <w:top w:val="none" w:sz="0" w:space="0" w:color="auto"/>
        <w:left w:val="none" w:sz="0" w:space="0" w:color="auto"/>
        <w:bottom w:val="none" w:sz="0" w:space="0" w:color="auto"/>
        <w:right w:val="none" w:sz="0" w:space="0" w:color="auto"/>
      </w:divBdr>
    </w:div>
    <w:div w:id="1587036752">
      <w:bodyDiv w:val="1"/>
      <w:marLeft w:val="0"/>
      <w:marRight w:val="0"/>
      <w:marTop w:val="0"/>
      <w:marBottom w:val="0"/>
      <w:divBdr>
        <w:top w:val="none" w:sz="0" w:space="0" w:color="auto"/>
        <w:left w:val="none" w:sz="0" w:space="0" w:color="auto"/>
        <w:bottom w:val="none" w:sz="0" w:space="0" w:color="auto"/>
        <w:right w:val="none" w:sz="0" w:space="0" w:color="auto"/>
      </w:divBdr>
    </w:div>
    <w:div w:id="1632204618">
      <w:bodyDiv w:val="1"/>
      <w:marLeft w:val="0"/>
      <w:marRight w:val="0"/>
      <w:marTop w:val="0"/>
      <w:marBottom w:val="0"/>
      <w:divBdr>
        <w:top w:val="none" w:sz="0" w:space="0" w:color="auto"/>
        <w:left w:val="none" w:sz="0" w:space="0" w:color="auto"/>
        <w:bottom w:val="none" w:sz="0" w:space="0" w:color="auto"/>
        <w:right w:val="none" w:sz="0" w:space="0" w:color="auto"/>
      </w:divBdr>
    </w:div>
    <w:div w:id="1734934629">
      <w:bodyDiv w:val="1"/>
      <w:marLeft w:val="0"/>
      <w:marRight w:val="0"/>
      <w:marTop w:val="0"/>
      <w:marBottom w:val="0"/>
      <w:divBdr>
        <w:top w:val="none" w:sz="0" w:space="0" w:color="auto"/>
        <w:left w:val="none" w:sz="0" w:space="0" w:color="auto"/>
        <w:bottom w:val="none" w:sz="0" w:space="0" w:color="auto"/>
        <w:right w:val="none" w:sz="0" w:space="0" w:color="auto"/>
      </w:divBdr>
    </w:div>
    <w:div w:id="1772360644">
      <w:bodyDiv w:val="1"/>
      <w:marLeft w:val="0"/>
      <w:marRight w:val="0"/>
      <w:marTop w:val="0"/>
      <w:marBottom w:val="0"/>
      <w:divBdr>
        <w:top w:val="none" w:sz="0" w:space="0" w:color="auto"/>
        <w:left w:val="none" w:sz="0" w:space="0" w:color="auto"/>
        <w:bottom w:val="none" w:sz="0" w:space="0" w:color="auto"/>
        <w:right w:val="none" w:sz="0" w:space="0" w:color="auto"/>
      </w:divBdr>
    </w:div>
    <w:div w:id="1778334042">
      <w:bodyDiv w:val="1"/>
      <w:marLeft w:val="0"/>
      <w:marRight w:val="0"/>
      <w:marTop w:val="0"/>
      <w:marBottom w:val="0"/>
      <w:divBdr>
        <w:top w:val="none" w:sz="0" w:space="0" w:color="auto"/>
        <w:left w:val="none" w:sz="0" w:space="0" w:color="auto"/>
        <w:bottom w:val="none" w:sz="0" w:space="0" w:color="auto"/>
        <w:right w:val="none" w:sz="0" w:space="0" w:color="auto"/>
      </w:divBdr>
    </w:div>
    <w:div w:id="1794788398">
      <w:bodyDiv w:val="1"/>
      <w:marLeft w:val="0"/>
      <w:marRight w:val="0"/>
      <w:marTop w:val="0"/>
      <w:marBottom w:val="0"/>
      <w:divBdr>
        <w:top w:val="none" w:sz="0" w:space="0" w:color="auto"/>
        <w:left w:val="none" w:sz="0" w:space="0" w:color="auto"/>
        <w:bottom w:val="none" w:sz="0" w:space="0" w:color="auto"/>
        <w:right w:val="none" w:sz="0" w:space="0" w:color="auto"/>
      </w:divBdr>
    </w:div>
    <w:div w:id="1885755198">
      <w:bodyDiv w:val="1"/>
      <w:marLeft w:val="0"/>
      <w:marRight w:val="0"/>
      <w:marTop w:val="0"/>
      <w:marBottom w:val="0"/>
      <w:divBdr>
        <w:top w:val="none" w:sz="0" w:space="0" w:color="auto"/>
        <w:left w:val="none" w:sz="0" w:space="0" w:color="auto"/>
        <w:bottom w:val="none" w:sz="0" w:space="0" w:color="auto"/>
        <w:right w:val="none" w:sz="0" w:space="0" w:color="auto"/>
      </w:divBdr>
    </w:div>
    <w:div w:id="2034987975">
      <w:bodyDiv w:val="1"/>
      <w:marLeft w:val="0"/>
      <w:marRight w:val="0"/>
      <w:marTop w:val="0"/>
      <w:marBottom w:val="0"/>
      <w:divBdr>
        <w:top w:val="none" w:sz="0" w:space="0" w:color="auto"/>
        <w:left w:val="none" w:sz="0" w:space="0" w:color="auto"/>
        <w:bottom w:val="none" w:sz="0" w:space="0" w:color="auto"/>
        <w:right w:val="none" w:sz="0" w:space="0" w:color="auto"/>
      </w:divBdr>
    </w:div>
    <w:div w:id="2049180908">
      <w:bodyDiv w:val="1"/>
      <w:marLeft w:val="0"/>
      <w:marRight w:val="0"/>
      <w:marTop w:val="0"/>
      <w:marBottom w:val="0"/>
      <w:divBdr>
        <w:top w:val="none" w:sz="0" w:space="0" w:color="auto"/>
        <w:left w:val="none" w:sz="0" w:space="0" w:color="auto"/>
        <w:bottom w:val="none" w:sz="0" w:space="0" w:color="auto"/>
        <w:right w:val="none" w:sz="0" w:space="0" w:color="auto"/>
      </w:divBdr>
    </w:div>
    <w:div w:id="2050185791">
      <w:bodyDiv w:val="1"/>
      <w:marLeft w:val="0"/>
      <w:marRight w:val="0"/>
      <w:marTop w:val="0"/>
      <w:marBottom w:val="0"/>
      <w:divBdr>
        <w:top w:val="none" w:sz="0" w:space="0" w:color="auto"/>
        <w:left w:val="none" w:sz="0" w:space="0" w:color="auto"/>
        <w:bottom w:val="none" w:sz="0" w:space="0" w:color="auto"/>
        <w:right w:val="none" w:sz="0" w:space="0" w:color="auto"/>
      </w:divBdr>
    </w:div>
    <w:div w:id="212049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F5B37A-EB48-44D7-967C-CB880FD40F09}">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62161571650"/>
    <we:property name="MENDELEY_CITATIONS" value="[]"/>
    <we:property name="MENDELEY_CITATIONS_LOCALE_CODE" value="&quot;en-US&quot;"/>
    <we:property name="MENDELEY_CITATIONS_STYLE" value="{&quot;id&quot;:&quot;https://www.zotero.org/styles/apl-materials&quot;,&quot;title&quot;:&quot;APL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6b21a6-7258-45a6-895b-7d5b15f121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AC68C62FE21C4F9FF35E6A8384D491" ma:contentTypeVersion="14" ma:contentTypeDescription="Create a new document." ma:contentTypeScope="" ma:versionID="6673c792aca7e6f39190ff87b944772b">
  <xsd:schema xmlns:xsd="http://www.w3.org/2001/XMLSchema" xmlns:xs="http://www.w3.org/2001/XMLSchema" xmlns:p="http://schemas.microsoft.com/office/2006/metadata/properties" xmlns:ns3="7b6b21a6-7258-45a6-895b-7d5b15f1213f" targetNamespace="http://schemas.microsoft.com/office/2006/metadata/properties" ma:root="true" ma:fieldsID="1d997a3b5ce59c8aaafc365d137c3c3e" ns3:_="">
    <xsd:import namespace="7b6b21a6-7258-45a6-895b-7d5b15f121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element ref="ns3:_activity" minOccurs="0"/>
                <xsd:element ref="ns3:MediaLengthInSeconds"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b21a6-7258-45a6-895b-7d5b15f12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430AE-09ED-481E-8E48-165D5D67B842}">
  <ds:schemaRefs>
    <ds:schemaRef ds:uri="http://schemas.microsoft.com/office/2006/metadata/properties"/>
    <ds:schemaRef ds:uri="http://schemas.microsoft.com/office/infopath/2007/PartnerControls"/>
    <ds:schemaRef ds:uri="7b6b21a6-7258-45a6-895b-7d5b15f1213f"/>
  </ds:schemaRefs>
</ds:datastoreItem>
</file>

<file path=customXml/itemProps2.xml><?xml version="1.0" encoding="utf-8"?>
<ds:datastoreItem xmlns:ds="http://schemas.openxmlformats.org/officeDocument/2006/customXml" ds:itemID="{AD82C74E-1160-46C7-BEFF-B210447B9289}">
  <ds:schemaRefs>
    <ds:schemaRef ds:uri="http://schemas.openxmlformats.org/officeDocument/2006/bibliography"/>
  </ds:schemaRefs>
</ds:datastoreItem>
</file>

<file path=customXml/itemProps3.xml><?xml version="1.0" encoding="utf-8"?>
<ds:datastoreItem xmlns:ds="http://schemas.openxmlformats.org/officeDocument/2006/customXml" ds:itemID="{FF6E64F8-C268-4C5D-8709-0F47F134E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b21a6-7258-45a6-895b-7d5b15f12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412FE-A39A-4DD2-8FFF-C3A19A52D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17225</Words>
  <Characters>99392</Characters>
  <Application>Microsoft Office Word</Application>
  <DocSecurity>0</DocSecurity>
  <Lines>1399</Lines>
  <Paragraphs>336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c:creator>
  <cp:keywords/>
  <dc:description/>
  <cp:lastModifiedBy>WEN ZhenChao</cp:lastModifiedBy>
  <cp:revision>2</cp:revision>
  <dcterms:created xsi:type="dcterms:W3CDTF">2026-03-31T00:55:00Z</dcterms:created>
  <dcterms:modified xsi:type="dcterms:W3CDTF">2026-03-31T00:55:00Z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c7f5367c-389f-41b1-ba58-c065cadc2f14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http://www.zotero.org/styles/physical-review-b</vt:lpwstr>
  </property>
  <property fmtid="{D5CDD505-2E9C-101B-9397-08002B2CF9AE}" pid="18" name="Mendeley Recent Style Name 7_1">
    <vt:lpwstr>Physical Review B</vt:lpwstr>
  </property>
  <property fmtid="{D5CDD505-2E9C-101B-9397-08002B2CF9AE}" pid="19" name="Mendeley Recent Style Id 8_1">
    <vt:lpwstr>http://www.zotero.org/styles/thin-solid-films</vt:lpwstr>
  </property>
  <property fmtid="{D5CDD505-2E9C-101B-9397-08002B2CF9AE}" pid="20" name="Mendeley Recent Style Name 8_1">
    <vt:lpwstr>Thin Solid Films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a86666bb-487f-3ed6-b190-f10d0b1f0ec7</vt:lpwstr>
  </property>
  <property fmtid="{D5CDD505-2E9C-101B-9397-08002B2CF9AE}" pid="25" name="Mendeley Citation Style_1">
    <vt:lpwstr>http://www.zotero.org/styles/physical-review-b</vt:lpwstr>
  </property>
  <property fmtid="{D5CDD505-2E9C-101B-9397-08002B2CF9AE}" pid="26" name="ZOTERO_PREF_1">
    <vt:lpwstr>&lt;data data-version="3" zotero-version="8.0.4"&gt;&lt;session id="Wnkjn3Rf"/&gt;&lt;style id="http://www.zotero.org/styles/taylor-and-francis-american-institute-of-physics" hasBibliography="1" bibliographyStyleHasBeenSet="1"/&gt;&lt;prefs&gt;&lt;pref name="fieldType" value="Field</vt:lpwstr>
  </property>
  <property fmtid="{D5CDD505-2E9C-101B-9397-08002B2CF9AE}" pid="27" name="ZOTERO_PREF_2">
    <vt:lpwstr>"/&gt;&lt;pref name="dontAskDelayCitationUpdates" value="true"/&gt;&lt;/prefs&gt;&lt;/data&gt;</vt:lpwstr>
  </property>
  <property fmtid="{D5CDD505-2E9C-101B-9397-08002B2CF9AE}" pid="28" name="ContentTypeId">
    <vt:lpwstr>0x0101009AAC68C62FE21C4F9FF35E6A8384D491</vt:lpwstr>
  </property>
</Properties>
</file>