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EB82C" w14:textId="3891F7E5" w:rsidR="00851F89" w:rsidRPr="00504310" w:rsidRDefault="002810D9" w:rsidP="00E522AC">
      <w:pPr>
        <w:pStyle w:val="10"/>
        <w:spacing w:line="360" w:lineRule="auto"/>
        <w:ind w:rightChars="0" w:right="-2"/>
        <w:rPr>
          <w:rFonts w:eastAsia="MS Mincho"/>
        </w:rPr>
      </w:pPr>
      <w:r w:rsidRPr="002810D9">
        <w:t>Numerical investigation of structural optimization and defect suppression for high-performance perovskite solar cells via SCAPS-1D</w:t>
      </w:r>
    </w:p>
    <w:p w14:paraId="314C3FDC" w14:textId="13D163ED" w:rsidR="00363FE3" w:rsidRPr="00341F2C" w:rsidRDefault="002810D9" w:rsidP="00E522AC">
      <w:pPr>
        <w:pStyle w:val="AUTHORS451"/>
        <w:spacing w:before="100" w:beforeAutospacing="1" w:line="360" w:lineRule="auto"/>
        <w:ind w:rightChars="0" w:right="-2"/>
        <w:rPr>
          <w:rFonts w:eastAsiaTheme="minorEastAsia" w:cs="Times New Roman"/>
          <w:sz w:val="24"/>
          <w:szCs w:val="24"/>
        </w:rPr>
      </w:pPr>
      <w:r>
        <w:rPr>
          <w:rFonts w:cs="Times New Roman"/>
          <w:sz w:val="24"/>
          <w:szCs w:val="24"/>
        </w:rPr>
        <w:t>Siliang Cao</w:t>
      </w:r>
      <w:r w:rsidR="00077476" w:rsidRPr="00341F2C">
        <w:rPr>
          <w:rFonts w:eastAsia="MS Mincho" w:cs="Times New Roman"/>
          <w:sz w:val="24"/>
          <w:szCs w:val="24"/>
          <w:vertAlign w:val="superscript"/>
        </w:rPr>
        <w:t>1</w:t>
      </w:r>
      <w:r w:rsidR="00036544" w:rsidRPr="00341F2C">
        <w:rPr>
          <w:rFonts w:cs="Times New Roman"/>
          <w:sz w:val="24"/>
          <w:szCs w:val="24"/>
        </w:rPr>
        <w:t xml:space="preserve">, </w:t>
      </w:r>
      <w:proofErr w:type="spellStart"/>
      <w:r>
        <w:rPr>
          <w:rFonts w:cs="Times New Roman"/>
          <w:sz w:val="24"/>
          <w:szCs w:val="24"/>
        </w:rPr>
        <w:t>Yulu</w:t>
      </w:r>
      <w:proofErr w:type="spellEnd"/>
      <w:r>
        <w:rPr>
          <w:rFonts w:cs="Times New Roman"/>
          <w:sz w:val="24"/>
          <w:szCs w:val="24"/>
        </w:rPr>
        <w:t xml:space="preserve"> He</w:t>
      </w:r>
      <w:r w:rsidRPr="00341F2C">
        <w:rPr>
          <w:rFonts w:eastAsia="MS Mincho" w:cs="Times New Roman"/>
          <w:sz w:val="24"/>
          <w:szCs w:val="24"/>
          <w:vertAlign w:val="superscript"/>
        </w:rPr>
        <w:t>1</w:t>
      </w:r>
      <w:r w:rsidR="00A60E38" w:rsidRPr="00341F2C">
        <w:rPr>
          <w:rFonts w:cs="Times New Roman"/>
          <w:sz w:val="24"/>
          <w:szCs w:val="24"/>
        </w:rPr>
        <w:t xml:space="preserve">, </w:t>
      </w:r>
      <w:r w:rsidRPr="002810D9">
        <w:rPr>
          <w:rFonts w:cs="Times New Roman"/>
          <w:sz w:val="24"/>
          <w:szCs w:val="24"/>
        </w:rPr>
        <w:t xml:space="preserve">Muhammad </w:t>
      </w:r>
      <w:proofErr w:type="spellStart"/>
      <w:r w:rsidRPr="002810D9">
        <w:rPr>
          <w:rFonts w:cs="Times New Roman"/>
          <w:sz w:val="24"/>
          <w:szCs w:val="24"/>
        </w:rPr>
        <w:t>Monirul</w:t>
      </w:r>
      <w:proofErr w:type="spellEnd"/>
      <w:r w:rsidRPr="002810D9">
        <w:rPr>
          <w:rFonts w:cs="Times New Roman"/>
          <w:sz w:val="24"/>
          <w:szCs w:val="24"/>
        </w:rPr>
        <w:t xml:space="preserve"> Islam</w:t>
      </w:r>
      <w:r w:rsidRPr="00341F2C">
        <w:rPr>
          <w:rFonts w:eastAsia="MS Mincho" w:cs="Times New Roman"/>
          <w:sz w:val="24"/>
          <w:szCs w:val="24"/>
          <w:vertAlign w:val="superscript"/>
        </w:rPr>
        <w:t>1</w:t>
      </w:r>
      <w:r>
        <w:rPr>
          <w:rFonts w:cs="Times New Roman"/>
          <w:sz w:val="24"/>
          <w:szCs w:val="24"/>
        </w:rPr>
        <w:t>,</w:t>
      </w:r>
      <w:r w:rsidRPr="002810D9">
        <w:rPr>
          <w:rFonts w:cs="Times New Roman"/>
          <w:sz w:val="24"/>
          <w:szCs w:val="24"/>
        </w:rPr>
        <w:t xml:space="preserve"> </w:t>
      </w:r>
      <w:proofErr w:type="spellStart"/>
      <w:r w:rsidRPr="002810D9">
        <w:rPr>
          <w:rFonts w:cs="Times New Roman"/>
          <w:sz w:val="24"/>
          <w:szCs w:val="24"/>
        </w:rPr>
        <w:t>Shaoqiang</w:t>
      </w:r>
      <w:proofErr w:type="spellEnd"/>
      <w:r w:rsidRPr="002810D9">
        <w:rPr>
          <w:rFonts w:cs="Times New Roman"/>
          <w:sz w:val="24"/>
          <w:szCs w:val="24"/>
        </w:rPr>
        <w:t xml:space="preserve"> Chen</w:t>
      </w:r>
      <w:r>
        <w:rPr>
          <w:rFonts w:eastAsia="MS Mincho" w:cs="Times New Roman"/>
          <w:sz w:val="24"/>
          <w:szCs w:val="24"/>
          <w:vertAlign w:val="superscript"/>
        </w:rPr>
        <w:t>2</w:t>
      </w:r>
      <w:r>
        <w:rPr>
          <w:rFonts w:cs="Times New Roman"/>
          <w:sz w:val="24"/>
          <w:szCs w:val="24"/>
        </w:rPr>
        <w:t xml:space="preserve">, </w:t>
      </w:r>
      <w:r w:rsidRPr="002810D9">
        <w:rPr>
          <w:rFonts w:cs="Times New Roman"/>
          <w:sz w:val="24"/>
          <w:szCs w:val="24"/>
        </w:rPr>
        <w:t>Ashraful Islam</w:t>
      </w:r>
      <w:r>
        <w:rPr>
          <w:rFonts w:eastAsiaTheme="minorEastAsia" w:cs="Times New Roman"/>
          <w:sz w:val="24"/>
          <w:szCs w:val="24"/>
          <w:vertAlign w:val="superscript"/>
        </w:rPr>
        <w:t>1</w:t>
      </w:r>
      <w:r w:rsidRPr="00341F2C">
        <w:rPr>
          <w:rFonts w:eastAsiaTheme="minorEastAsia" w:cs="Times New Roman"/>
          <w:sz w:val="24"/>
          <w:szCs w:val="24"/>
          <w:vertAlign w:val="superscript"/>
        </w:rPr>
        <w:t>,3</w:t>
      </w:r>
      <w:r w:rsidRPr="002810D9">
        <w:rPr>
          <w:rFonts w:cs="Times New Roman"/>
          <w:sz w:val="24"/>
          <w:szCs w:val="24"/>
        </w:rPr>
        <w:t xml:space="preserve"> </w:t>
      </w:r>
      <w:r w:rsidR="00036544" w:rsidRPr="00341F2C">
        <w:rPr>
          <w:rFonts w:cs="Times New Roman"/>
          <w:sz w:val="24"/>
          <w:szCs w:val="24"/>
        </w:rPr>
        <w:t xml:space="preserve">and </w:t>
      </w:r>
      <w:proofErr w:type="spellStart"/>
      <w:r w:rsidR="00FD19CF">
        <w:rPr>
          <w:rFonts w:cs="Times New Roman"/>
          <w:sz w:val="24"/>
          <w:szCs w:val="24"/>
        </w:rPr>
        <w:t>Takeaki</w:t>
      </w:r>
      <w:proofErr w:type="spellEnd"/>
      <w:r w:rsidRPr="002810D9">
        <w:rPr>
          <w:rFonts w:cs="Times New Roman"/>
          <w:sz w:val="24"/>
          <w:szCs w:val="24"/>
        </w:rPr>
        <w:t xml:space="preserve"> </w:t>
      </w:r>
      <w:r w:rsidR="00FD19CF">
        <w:rPr>
          <w:rFonts w:cs="Times New Roman"/>
          <w:sz w:val="24"/>
          <w:szCs w:val="24"/>
        </w:rPr>
        <w:t>Sakurai</w:t>
      </w:r>
      <w:r>
        <w:rPr>
          <w:rFonts w:eastAsiaTheme="minorEastAsia" w:cs="Times New Roman"/>
          <w:sz w:val="24"/>
          <w:szCs w:val="24"/>
          <w:vertAlign w:val="superscript"/>
        </w:rPr>
        <w:t>1</w:t>
      </w:r>
      <w:r w:rsidR="00A2597B" w:rsidRPr="00341F2C">
        <w:rPr>
          <w:rFonts w:cs="Times New Roman"/>
          <w:sz w:val="24"/>
          <w:szCs w:val="24"/>
        </w:rPr>
        <w:t>*</w:t>
      </w:r>
    </w:p>
    <w:p w14:paraId="553AA686" w14:textId="4BB4AF80" w:rsidR="00363073" w:rsidRPr="00341F2C" w:rsidRDefault="00077476" w:rsidP="00E522AC">
      <w:pPr>
        <w:pStyle w:val="AFFILIATIONS45"/>
        <w:spacing w:beforeLines="50" w:before="120" w:line="360" w:lineRule="auto"/>
        <w:ind w:rightChars="0" w:right="-2"/>
        <w:rPr>
          <w:rFonts w:ascii="Times New Roman" w:eastAsia="MS Mincho" w:hAnsi="Times New Roman" w:cs="Times New Roman"/>
          <w:sz w:val="24"/>
          <w:szCs w:val="24"/>
        </w:rPr>
      </w:pPr>
      <w:r w:rsidRPr="00341F2C">
        <w:rPr>
          <w:rFonts w:ascii="Times New Roman" w:eastAsiaTheme="minorEastAsia" w:hAnsi="Times New Roman" w:cs="Times New Roman"/>
          <w:sz w:val="24"/>
          <w:szCs w:val="24"/>
          <w:vertAlign w:val="superscript"/>
        </w:rPr>
        <w:t>1</w:t>
      </w:r>
      <w:r w:rsidR="008A695B" w:rsidRPr="008A695B">
        <w:rPr>
          <w:rFonts w:ascii="Times New Roman" w:hAnsi="Times New Roman" w:cs="Times New Roman"/>
          <w:sz w:val="24"/>
          <w:szCs w:val="24"/>
        </w:rPr>
        <w:t xml:space="preserve">Graduate School of Pure and Applied Sciences, University of Tsukuba, 1-1-1 </w:t>
      </w:r>
      <w:proofErr w:type="spellStart"/>
      <w:r w:rsidR="008A695B" w:rsidRPr="008A695B">
        <w:rPr>
          <w:rFonts w:ascii="Times New Roman" w:hAnsi="Times New Roman" w:cs="Times New Roman"/>
          <w:sz w:val="24"/>
          <w:szCs w:val="24"/>
        </w:rPr>
        <w:t>Tennodai</w:t>
      </w:r>
      <w:proofErr w:type="spellEnd"/>
      <w:r w:rsidR="008A695B" w:rsidRPr="008A695B">
        <w:rPr>
          <w:rFonts w:ascii="Times New Roman" w:hAnsi="Times New Roman" w:cs="Times New Roman"/>
          <w:sz w:val="24"/>
          <w:szCs w:val="24"/>
        </w:rPr>
        <w:t>, Tsukuba 305-8577, Ibaraki, Japan</w:t>
      </w:r>
    </w:p>
    <w:p w14:paraId="46134715" w14:textId="6DBDAE5E" w:rsidR="00036544" w:rsidRPr="00341F2C" w:rsidRDefault="00077476" w:rsidP="00E522AC">
      <w:pPr>
        <w:pStyle w:val="AFFILIATIONS45"/>
        <w:spacing w:line="360" w:lineRule="auto"/>
        <w:ind w:rightChars="0" w:right="-2"/>
        <w:rPr>
          <w:rFonts w:ascii="Times New Roman" w:hAnsi="Times New Roman" w:cs="Times New Roman"/>
          <w:sz w:val="24"/>
          <w:szCs w:val="24"/>
        </w:rPr>
      </w:pPr>
      <w:r w:rsidRPr="00341F2C">
        <w:rPr>
          <w:rFonts w:ascii="Times New Roman" w:eastAsiaTheme="minorEastAsia" w:hAnsi="Times New Roman" w:cs="Times New Roman"/>
          <w:sz w:val="24"/>
          <w:szCs w:val="24"/>
          <w:vertAlign w:val="superscript"/>
        </w:rPr>
        <w:t>2</w:t>
      </w:r>
      <w:r w:rsidR="008A695B" w:rsidRPr="008A695B">
        <w:rPr>
          <w:rFonts w:ascii="Times New Roman" w:hAnsi="Times New Roman" w:cs="Times New Roman"/>
          <w:sz w:val="24"/>
          <w:szCs w:val="24"/>
        </w:rPr>
        <w:t>State Key Laboratory of Precision Spectroscopy, Department of Electronic Engineering, East China Normal University, Shanghai, 200241, China</w:t>
      </w:r>
    </w:p>
    <w:p w14:paraId="6C9AD9C0" w14:textId="71598942" w:rsidR="00A946B1" w:rsidRPr="00341F2C" w:rsidRDefault="00077476" w:rsidP="00E522AC">
      <w:pPr>
        <w:pStyle w:val="AFFILIATIONS45"/>
        <w:spacing w:line="360" w:lineRule="auto"/>
        <w:ind w:rightChars="0" w:right="-2"/>
        <w:rPr>
          <w:rFonts w:ascii="Times New Roman" w:eastAsia="MS Mincho" w:hAnsi="Times New Roman" w:cs="Times New Roman"/>
          <w:sz w:val="24"/>
          <w:szCs w:val="24"/>
        </w:rPr>
      </w:pPr>
      <w:r w:rsidRPr="00341F2C">
        <w:rPr>
          <w:rFonts w:ascii="Times New Roman" w:eastAsiaTheme="minorEastAsia" w:hAnsi="Times New Roman" w:cs="Times New Roman"/>
          <w:sz w:val="24"/>
          <w:szCs w:val="24"/>
          <w:vertAlign w:val="superscript"/>
        </w:rPr>
        <w:t>3</w:t>
      </w:r>
      <w:r w:rsidR="008A695B" w:rsidRPr="008A695B">
        <w:rPr>
          <w:rFonts w:ascii="Times New Roman" w:hAnsi="Times New Roman" w:cs="Times New Roman"/>
          <w:sz w:val="24"/>
          <w:szCs w:val="24"/>
        </w:rPr>
        <w:t xml:space="preserve">Photovoltaic Materials Group, Center for Green Research on Energy and Environmental Materials, National Institute for Materials Science (NIMS), 1-2-1 </w:t>
      </w:r>
      <w:proofErr w:type="spellStart"/>
      <w:r w:rsidR="008A695B" w:rsidRPr="008A695B">
        <w:rPr>
          <w:rFonts w:ascii="Times New Roman" w:hAnsi="Times New Roman" w:cs="Times New Roman"/>
          <w:sz w:val="24"/>
          <w:szCs w:val="24"/>
        </w:rPr>
        <w:t>Sengen</w:t>
      </w:r>
      <w:proofErr w:type="spellEnd"/>
      <w:r w:rsidR="008A695B" w:rsidRPr="008A695B">
        <w:rPr>
          <w:rFonts w:ascii="Times New Roman" w:hAnsi="Times New Roman" w:cs="Times New Roman"/>
          <w:sz w:val="24"/>
          <w:szCs w:val="24"/>
        </w:rPr>
        <w:t>, Tsukuba, Ibaraki, 305-0047, Japan</w:t>
      </w:r>
    </w:p>
    <w:p w14:paraId="0BA094E3" w14:textId="1EEF02F8" w:rsidR="009C0E90" w:rsidRPr="00341F2C" w:rsidRDefault="00A2597B" w:rsidP="00E522AC">
      <w:pPr>
        <w:pStyle w:val="Email45"/>
        <w:spacing w:beforeLines="50" w:before="120" w:line="360" w:lineRule="auto"/>
        <w:ind w:rightChars="0" w:right="-2"/>
        <w:rPr>
          <w:rFonts w:eastAsia="MS Mincho" w:cs="Times New Roman"/>
          <w:i w:val="0"/>
          <w:sz w:val="24"/>
          <w:szCs w:val="24"/>
        </w:rPr>
      </w:pPr>
      <w:r w:rsidRPr="00341F2C">
        <w:rPr>
          <w:rFonts w:cs="Times New Roman"/>
          <w:i w:val="0"/>
          <w:sz w:val="24"/>
          <w:szCs w:val="24"/>
        </w:rPr>
        <w:t xml:space="preserve">E-mail: </w:t>
      </w:r>
      <w:r w:rsidR="008A695B" w:rsidRPr="008A695B">
        <w:rPr>
          <w:rFonts w:cs="Times New Roman"/>
          <w:i w:val="0"/>
          <w:sz w:val="24"/>
          <w:szCs w:val="24"/>
        </w:rPr>
        <w:t>sakurai.takeaki.ft@u.tsukuba.ac.jp</w:t>
      </w:r>
    </w:p>
    <w:p w14:paraId="2A7C7EF0" w14:textId="77777777" w:rsidR="00363073" w:rsidRPr="00686681" w:rsidRDefault="00363073" w:rsidP="00E522AC">
      <w:pPr>
        <w:pStyle w:val="Email45"/>
        <w:spacing w:line="360" w:lineRule="auto"/>
        <w:ind w:rightChars="0" w:right="-2"/>
        <w:rPr>
          <w:rFonts w:eastAsia="MS Mincho"/>
          <w:i w:val="0"/>
        </w:rPr>
      </w:pPr>
    </w:p>
    <w:p w14:paraId="051E990E" w14:textId="658221B4" w:rsidR="00086277" w:rsidRPr="00D206DC" w:rsidRDefault="008A695B" w:rsidP="00E522AC">
      <w:pPr>
        <w:pStyle w:val="Abstract"/>
        <w:spacing w:line="360" w:lineRule="auto"/>
        <w:ind w:rightChars="0" w:right="-2"/>
        <w:rPr>
          <w:rFonts w:eastAsia="MS Mincho"/>
          <w:sz w:val="24"/>
        </w:rPr>
      </w:pPr>
      <w:r w:rsidRPr="008A695B">
        <w:rPr>
          <w:sz w:val="24"/>
          <w:lang w:val="en"/>
        </w:rPr>
        <w:t xml:space="preserve">This work proposes a simple simulation method for </w:t>
      </w:r>
      <w:r w:rsidR="00AC6204">
        <w:rPr>
          <w:sz w:val="24"/>
          <w:lang w:val="en"/>
        </w:rPr>
        <w:t xml:space="preserve">optimization of </w:t>
      </w:r>
      <w:r w:rsidRPr="008A695B">
        <w:rPr>
          <w:sz w:val="24"/>
          <w:lang w:val="en"/>
        </w:rPr>
        <w:t>n-</w:t>
      </w:r>
      <w:proofErr w:type="spellStart"/>
      <w:r w:rsidRPr="008A695B">
        <w:rPr>
          <w:sz w:val="24"/>
          <w:lang w:val="en"/>
        </w:rPr>
        <w:t>i</w:t>
      </w:r>
      <w:proofErr w:type="spellEnd"/>
      <w:r w:rsidRPr="008A695B">
        <w:rPr>
          <w:sz w:val="24"/>
          <w:lang w:val="en"/>
        </w:rPr>
        <w:t>-p perovskite solar cell (PSCs) via SCAPS-1D and aims to achieve high-performance devices. Nowadays, the carrier recombination induced by heavy defects in bulk and interfaces is one of the main obstacles which restricts the PSCs efficiency and meanwhile is harmful to device stability. Here we modify the MAPbI</w:t>
      </w:r>
      <w:r w:rsidRPr="008A695B">
        <w:rPr>
          <w:sz w:val="24"/>
          <w:vertAlign w:val="subscript"/>
          <w:lang w:val="en"/>
        </w:rPr>
        <w:t>3</w:t>
      </w:r>
      <w:r w:rsidRPr="008A695B">
        <w:rPr>
          <w:sz w:val="24"/>
          <w:lang w:val="en"/>
        </w:rPr>
        <w:t xml:space="preserve"> device through a series of structural and basic optimization, including thickness of each layer, carrier diffusion length, interface recombination, doping concentration and overall series resistance. Through the modified simulation, high-performance MAPbI</w:t>
      </w:r>
      <w:r w:rsidRPr="008A695B">
        <w:rPr>
          <w:sz w:val="24"/>
          <w:vertAlign w:val="subscript"/>
          <w:lang w:val="en"/>
        </w:rPr>
        <w:t>3</w:t>
      </w:r>
      <w:r w:rsidRPr="008A695B">
        <w:rPr>
          <w:sz w:val="24"/>
          <w:lang w:val="en"/>
        </w:rPr>
        <w:t xml:space="preserve"> device with suppressed recombination and optimized structure is realized, resulting in an encouraging power conversion efficiency (PCE) of 20.09%, enhanced </w:t>
      </w:r>
      <w:proofErr w:type="spellStart"/>
      <w:r w:rsidRPr="008A695B">
        <w:rPr>
          <w:sz w:val="24"/>
          <w:lang w:val="en"/>
        </w:rPr>
        <w:t>V</w:t>
      </w:r>
      <w:r w:rsidRPr="008A695B">
        <w:rPr>
          <w:sz w:val="24"/>
          <w:vertAlign w:val="subscript"/>
          <w:lang w:val="en"/>
        </w:rPr>
        <w:t>oc</w:t>
      </w:r>
      <w:proofErr w:type="spellEnd"/>
      <w:r w:rsidRPr="008A695B">
        <w:rPr>
          <w:sz w:val="24"/>
          <w:lang w:val="en"/>
        </w:rPr>
        <w:t xml:space="preserve"> of 1.087 V, </w:t>
      </w:r>
      <w:proofErr w:type="spellStart"/>
      <w:r w:rsidRPr="008A695B">
        <w:rPr>
          <w:sz w:val="24"/>
          <w:lang w:val="en"/>
        </w:rPr>
        <w:t>J</w:t>
      </w:r>
      <w:r w:rsidRPr="008A695B">
        <w:rPr>
          <w:sz w:val="24"/>
          <w:vertAlign w:val="subscript"/>
          <w:lang w:val="en"/>
        </w:rPr>
        <w:t>sc</w:t>
      </w:r>
      <w:proofErr w:type="spellEnd"/>
      <w:r w:rsidRPr="008A695B">
        <w:rPr>
          <w:sz w:val="24"/>
          <w:lang w:val="en"/>
        </w:rPr>
        <w:t xml:space="preserve"> of 22.56 mA/cm</w:t>
      </w:r>
      <w:r w:rsidRPr="008A695B">
        <w:rPr>
          <w:sz w:val="24"/>
          <w:vertAlign w:val="superscript"/>
          <w:lang w:val="en"/>
        </w:rPr>
        <w:t>2</w:t>
      </w:r>
      <w:r w:rsidRPr="008A695B">
        <w:rPr>
          <w:sz w:val="24"/>
          <w:lang w:val="en"/>
        </w:rPr>
        <w:t xml:space="preserve"> and FF of 78.5%. These findings unveil the critical effect of defect suppression on PSCs and offer a simple method to achieve high-performance device.</w:t>
      </w:r>
    </w:p>
    <w:p w14:paraId="01E255BA" w14:textId="77777777" w:rsidR="00341F2C" w:rsidRDefault="00341F2C">
      <w:pPr>
        <w:widowControl/>
        <w:jc w:val="left"/>
      </w:pPr>
      <w:r>
        <w:rPr>
          <w:b/>
        </w:rPr>
        <w:br w:type="page"/>
      </w:r>
    </w:p>
    <w:p w14:paraId="62FF776B" w14:textId="77777777" w:rsidR="00EE2F33" w:rsidRPr="00341F2C" w:rsidRDefault="00EE2F33" w:rsidP="00341F2C">
      <w:pPr>
        <w:pStyle w:val="SectionTitle"/>
      </w:pPr>
      <w:r w:rsidRPr="00341F2C">
        <w:lastRenderedPageBreak/>
        <w:t xml:space="preserve">1. </w:t>
      </w:r>
      <w:r w:rsidR="00036544" w:rsidRPr="00341F2C">
        <w:t>Introduction</w:t>
      </w:r>
    </w:p>
    <w:p w14:paraId="4C3443F7" w14:textId="621A2140" w:rsidR="00AD1E9E" w:rsidRPr="00AD1E9E" w:rsidRDefault="00AD1E9E" w:rsidP="00AD1E9E">
      <w:pPr>
        <w:pStyle w:val="MainText151510"/>
        <w:adjustRightInd w:val="0"/>
        <w:spacing w:line="360" w:lineRule="auto"/>
        <w:ind w:firstLineChars="0" w:firstLine="0"/>
      </w:pPr>
      <w:bookmarkStart w:id="0" w:name="_Hlk122943328"/>
      <w:r w:rsidRPr="00AD1E9E">
        <w:t>As a renewable and eco-friendly energy, solar energy is a prospective substitution for traditional energy in the future. Therefore, the 3rd generation solar cells, especially perovskite solar cells have become a prevalent trend for worldwide researchers in recent years owing to their superior opto-electronic properties, including high absorption coefficient, tunable band gap and high charge carrier mobility, etc.</w:t>
      </w:r>
      <w:r w:rsidRPr="00AD1E9E">
        <w:fldChar w:fldCharType="begin" w:fldLock="1"/>
      </w:r>
      <w:r w:rsidR="00B564B5">
        <w:instrText>ADDIN CSL_CITATION {"citationItems":[{"id":"ITEM-1","itemData":{"DOI":"10.1021/ja809598r","ISSN":"00027863","PMID":"19366264","abstract":"Two organolead halide perovskite nanocrystals, CH3NH 3PbBr3 and CH3NH3PbI3, were found to efficiently sensitize TiO2 for visible-light conversion in photoelectrochemical cells. When self-assembled on mesoporous TiO 2 films, the nanocrystalline perovskites exhibit strong band-gap absorptions as semiconductors. The CH3NH3PbI 3-based photocell with spectral sensitivity of up to 800 nm yielded a solar energy conversion efficiency of 3.8%. The CH3NH 3PbBr3-based cell showed a high photovoltage of 0.96 V with an external quantum conversion efficiency of 65%. © 2009 American Chemical Society.","author":[{"dropping-particle":"","family":"Kojima","given":"Akihiro","non-dropping-particle":"","parse-names":false,"suffix":""},{"dropping-particle":"","family":"Teshima","given":"Kenjiro","non-dropping-particle":"","parse-names":false,"suffix":""},{"dropping-particle":"","family":"Shirai","given":"Yasuo","non-dropping-particle":"","parse-names":false,"suffix":""},{"dropping-particle":"","family":"Miyasaka","given":"Tsutomu","non-dropping-particle":"","parse-names":false,"suffix":""}],"container-title":"Journal of the American Chemical Society","id":"ITEM-1","issued":{"date-parts":[["2009"]]},"title":"Organometal halide perovskites as visible-light sensitizers for photovoltaic cells","type":"article-journal"},"uris":["http://www.mendeley.com/documents/?uuid=766f9ab1-eebb-4a5b-900f-f381d65ee47c"]},{"id":"ITEM-2","itemData":{"DOI":"10.1038/nenergy.2016.48","ISSN":"20587546","abstract":"Exploring prospective materials for energy production and storage is one of the biggest challenges of this century. Solar energy is one of the most important renewable energy resources, due to its wide availability and low environmental impact. Metal halide perovskites have emerged as a class of semiconductor materials with unique properties, including tunable bandgap, high absorption coefficient, broad absorption spectrum, high charge carrier mobility and long charge diffusion lengths, which enable a broad range of photovoltaic and optoelectronic applications. Since the first embodiment of perovskite solar cells showing a power conversion efficiency of 3.8%, the device performance has been boosted up to a certified 22.1% within a few years. In this Perspective, we discuss differing forms of perovskite materials produced via various deposition procedures. We focus on their energy-related applications and discuss current challenges and possible solutions, with the aim of stimulating potential new applications.","author":[{"dropping-particle":"","family":"Zhang","given":"Wei","non-dropping-particle":"","parse-names":false,"suffix":""},{"dropping-particle":"","family":"Eperon","given":"Giles E.","non-dropping-particle":"","parse-names":false,"suffix":""},{"dropping-particle":"","family":"Snaith","given":"Henry J.","non-dropping-particle":"","parse-names":false,"suffix":""}],"container-title":"Nature Energy","id":"ITEM-2","issued":{"date-parts":[["2016"]]},"title":"Metal halide perovskites for energy applications","type":"article"},"uris":["http://www.mendeley.com/documents/?uuid=e99b02d3-c244-4727-84ff-8d0d8e7f6aa4"]}],"mendeley":{"formattedCitation":"&lt;sup&gt;1),2)&lt;/sup&gt;"},"properties":{"noteIndex":0},"schema":"https://github.com/citation-style-language/schema/raw/master/csl-citation.json"}</w:instrText>
      </w:r>
      <w:r w:rsidRPr="00AD1E9E">
        <w:fldChar w:fldCharType="separate"/>
      </w:r>
      <w:r w:rsidR="00B564B5" w:rsidRPr="00B564B5">
        <w:rPr>
          <w:noProof/>
          <w:vertAlign w:val="superscript"/>
        </w:rPr>
        <w:t>1),2)</w:t>
      </w:r>
      <w:r w:rsidRPr="00AD1E9E">
        <w:rPr>
          <w:lang w:val="en"/>
        </w:rPr>
        <w:fldChar w:fldCharType="end"/>
      </w:r>
      <w:r w:rsidRPr="00AD1E9E">
        <w:t xml:space="preserve"> In 2012, Park et al. introduced an all-solid-state structure PSC with encouragingly improved stability, which utilized mesoporous TiO</w:t>
      </w:r>
      <w:r w:rsidRPr="00AD1E9E">
        <w:rPr>
          <w:vertAlign w:val="subscript"/>
        </w:rPr>
        <w:t>2</w:t>
      </w:r>
      <w:r w:rsidRPr="00AD1E9E">
        <w:t xml:space="preserve"> as electron transport layer and Spiro-</w:t>
      </w:r>
      <w:proofErr w:type="spellStart"/>
      <w:r w:rsidRPr="00AD1E9E">
        <w:t>OMeTAD</w:t>
      </w:r>
      <w:proofErr w:type="spellEnd"/>
      <w:r w:rsidRPr="00AD1E9E">
        <w:t xml:space="preserve"> as hole transport layer to substitute the electrolyte in dye-sensitized cell.</w:t>
      </w:r>
      <w:r w:rsidR="00E56312" w:rsidRPr="00AD1E9E">
        <w:fldChar w:fldCharType="begin" w:fldLock="1"/>
      </w:r>
      <w:r w:rsidR="00FD7B09">
        <w:instrText>ADDIN CSL_CITATION {"citationItems":[{"id":"ITEM-1","itemData":{"DOI":"10.1038/srep00591","ISSN":"2045-2322","abstract":"We report on solid-state mesoscopic heterojunction solar cells employing nanoparticles (NPs) of methyl ammonium lead iodide (CH3NH3)PbI3 as light harvesters. The perovskite NPs were produced by reaction of methylammonium iodide with PbI2 and deposited onto a submicron-thick mesoscopic TiO2 film, whose pores were infiltrated with the hole-conductor spiro-MeOTAD. Illumination with standard AM-1.5 sunlight generated large photocurrents (JSC) exceeding 17 mA/cm2, an open circuit photovoltage (VOC) of 0.888 V and a fill factor (FF) of 0.62 yielding a power conversion efficiency (PCE) of 9.7%, the highest reported to date for such cells. Femto second laser studies combined with photo-induced absorption measurements showed charge separation to proceed via hole injection from the excited (CH3NH3)PbI3 NPs into the spiro-MeOTAD followed by electron transfer to the mesoscopic TiO2 film. The use of a solid hole conductor dramatically improved the device stability compared to (CH3NH3)PbI3 -sensitized liquid junction cells.","author":[{"dropping-particle":"","family":"Kim","given":"Hui-Seon","non-dropping-particle":"","parse-names":false,"suffix":""},{"dropping-particle":"","family":"Lee","given":"Chang-Ryul","non-dropping-particle":"","parse-names":false,"suffix":""},{"dropping-particle":"","family":"Im","given":"Jeong-Hyeok","non-dropping-particle":"","parse-names":false,"suffix":""},{"dropping-particle":"","family":"Lee","given":"Ki-Beom","non-dropping-particle":"","parse-names":false,"suffix":""},{"dropping-particle":"","family":"Moehl","given":"Thomas","non-dropping-particle":"","parse-names":false,"suffix":""},{"dropping-particle":"","family":"Marchioro","given":"Arianna","non-dropping-particle":"","parse-names":false,"suffix":""},{"dropping-particle":"","family":"Moon","given":"Soo-Jin","non-dropping-particle":"","parse-names":false,"suffix":""},{"dropping-particle":"","family":"Humphry-Baker","given":"Robin","non-dropping-particle":"","parse-names":false,"suffix":""},{"dropping-particle":"","family":"Yum","given":"Jun-Ho","non-dropping-particle":"","parse-names":false,"suffix":""},{"dropping-particle":"","family":"Moser","given":"Jacques E","non-dropping-particle":"","parse-names":false,"suffix":""},{"dropping-particle":"","family":"Grätzel","given":"Michael","non-dropping-particle":"","parse-names":false,"suffix":""},{"dropping-particle":"","family":"Park","given":"Nam-Gyu","non-dropping-particle":"","parse-names":false,"suffix":""}],"container-title":"Scientific Reports","id":"ITEM-1","issue":"1","issued":{"date-parts":[["2012"]]},"page":"591","title":"Lead Iodide Perovskite Sensitized All-Solid-State Submicron Thin Film Mesoscopic Solar Cell with Efficiency Exceeding 9%","type":"article-journal","volume":"2"},"uris":["http://www.mendeley.com/documents/?uuid=38261518-edb8-465f-ba56-a92bf1807f96"]}],"mendeley":{"formattedCitation":"&lt;sup&gt;3)&lt;/sup&gt;","plainTextFormattedCitation":"3)","previouslyFormattedCitation":"&lt;sup&gt;3)&lt;/sup&gt;"},"properties":{"noteIndex":0},"schema":"https://github.com/citation-style-language/schema/raw/master/csl-citation.json"}</w:instrText>
      </w:r>
      <w:r w:rsidR="00E56312" w:rsidRPr="00AD1E9E">
        <w:fldChar w:fldCharType="separate"/>
      </w:r>
      <w:r w:rsidR="00E56312" w:rsidRPr="006300E4">
        <w:rPr>
          <w:noProof/>
          <w:vertAlign w:val="superscript"/>
        </w:rPr>
        <w:t>3)</w:t>
      </w:r>
      <w:r w:rsidR="00E56312" w:rsidRPr="00AD1E9E">
        <w:rPr>
          <w:lang w:val="en"/>
        </w:rPr>
        <w:fldChar w:fldCharType="end"/>
      </w:r>
      <w:r w:rsidRPr="00AD1E9E">
        <w:t xml:space="preserve"> The new mesoporous heterojunction structure achieved long-term stability over 500h without encapsulation. Simultaneously, </w:t>
      </w:r>
      <w:r w:rsidRPr="00AD1E9E">
        <w:rPr>
          <w:rFonts w:hint="eastAsia"/>
        </w:rPr>
        <w:t>t</w:t>
      </w:r>
      <w:r w:rsidRPr="00AD1E9E">
        <w:t>he solution processable perovskite solar cell with an excellent mesoporous Al</w:t>
      </w:r>
      <w:r w:rsidRPr="00AD1E9E">
        <w:rPr>
          <w:vertAlign w:val="subscript"/>
        </w:rPr>
        <w:t>2</w:t>
      </w:r>
      <w:r w:rsidRPr="00AD1E9E">
        <w:t>O</w:t>
      </w:r>
      <w:r w:rsidRPr="00AD1E9E">
        <w:rPr>
          <w:vertAlign w:val="subscript"/>
        </w:rPr>
        <w:t>3</w:t>
      </w:r>
      <w:r w:rsidRPr="00AD1E9E">
        <w:t xml:space="preserve"> scaffold beneficial for perovskite growth resulted in a power conversion efficiency (PCE) over 10%, which emerged rapidly and afterwards grew very fast in photovoltaic field within a decade.</w:t>
      </w:r>
      <w:r w:rsidR="00E56312" w:rsidRPr="00AD1E9E">
        <w:fldChar w:fldCharType="begin" w:fldLock="1"/>
      </w:r>
      <w:r w:rsidR="00FD7B09">
        <w:instrText>ADDIN CSL_CITATION {"citationItems":[{"id":"ITEM-1","itemData":{"ISSN":"0036-8075","author":[{"dropping-particle":"","family":"Lee","given":"Michael M","non-dropping-particle":"","parse-names":false,"suffix":""},{"dropping-particle":"","family":"Teuscher","given":"Joël","non-dropping-particle":"","parse-names":false,"suffix":""},{"dropping-particle":"","family":"Miyasaka","given":"Tsutomu","non-dropping-particle":"","parse-names":false,"suffix":""},{"dropping-particle":"","family":"Murakami","given":"Takurou N","non-dropping-particle":"","parse-names":false,"suffix":""},{"dropping-particle":"","family":"Snaith","given":"Henry J","non-dropping-particle":"","parse-names":false,"suffix":""}],"container-title":"Science","id":"ITEM-1","issue":"6107","issued":{"date-parts":[["2012"]]},"page":"643-647","publisher":"American Association for the Advancement of Science","title":"Efficient hybrid solar cells based on meso-superstructured organometal halide perovskites","type":"article-journal","volume":"338"},"uris":["http://www.mendeley.com/documents/?uuid=57e34e99-4550-4f7c-9fc8-533074611ac9"]}],"mendeley":{"formattedCitation":"&lt;sup&gt;4)&lt;/sup&gt;","plainTextFormattedCitation":"4)","previouslyFormattedCitation":"&lt;sup&gt;4)&lt;/sup&gt;"},"properties":{"noteIndex":0},"schema":"https://github.com/citation-style-language/schema/raw/master/csl-citation.json"}</w:instrText>
      </w:r>
      <w:r w:rsidR="00E56312" w:rsidRPr="00AD1E9E">
        <w:fldChar w:fldCharType="separate"/>
      </w:r>
      <w:r w:rsidR="00E56312" w:rsidRPr="006300E4">
        <w:rPr>
          <w:noProof/>
          <w:vertAlign w:val="superscript"/>
        </w:rPr>
        <w:t>4)</w:t>
      </w:r>
      <w:r w:rsidR="00E56312" w:rsidRPr="00AD1E9E">
        <w:rPr>
          <w:lang w:val="en"/>
        </w:rPr>
        <w:fldChar w:fldCharType="end"/>
      </w:r>
      <w:r w:rsidRPr="00AD1E9E">
        <w:t xml:space="preserve"> </w:t>
      </w:r>
    </w:p>
    <w:p w14:paraId="0C203DF0" w14:textId="169B3465" w:rsidR="00AD1E9E" w:rsidRPr="00AD1E9E" w:rsidRDefault="00AD1E9E" w:rsidP="00AD1E9E">
      <w:pPr>
        <w:pStyle w:val="MainText151510"/>
        <w:adjustRightInd w:val="0"/>
        <w:spacing w:line="360" w:lineRule="auto"/>
        <w:ind w:firstLineChars="0" w:firstLine="0"/>
      </w:pPr>
      <w:r w:rsidRPr="00AD1E9E">
        <w:rPr>
          <w:rFonts w:hint="eastAsia"/>
        </w:rPr>
        <w:t>A</w:t>
      </w:r>
      <w:r w:rsidRPr="00AD1E9E">
        <w:t>s the most typical organic-inorganic hybrid perovskite material, MAPbI</w:t>
      </w:r>
      <w:r w:rsidRPr="00AD1E9E">
        <w:rPr>
          <w:vertAlign w:val="subscript"/>
        </w:rPr>
        <w:t xml:space="preserve">3 </w:t>
      </w:r>
      <w:r w:rsidRPr="00AD1E9E">
        <w:t>performs desirable energy bandgap and exhibit</w:t>
      </w:r>
      <w:r w:rsidRPr="00AD1E9E">
        <w:rPr>
          <w:rFonts w:hint="eastAsia"/>
        </w:rPr>
        <w:t>s</w:t>
      </w:r>
      <w:r w:rsidRPr="00AD1E9E">
        <w:t xml:space="preserve"> great potential in obtaining high-performance devices. To date, the commonly used one-step solution method achieved a record PCE over 18% for </w:t>
      </w:r>
      <w:r w:rsidRPr="00AD1E9E">
        <w:rPr>
          <w:rFonts w:hint="eastAsia"/>
        </w:rPr>
        <w:t>pure</w:t>
      </w:r>
      <w:r w:rsidRPr="00AD1E9E">
        <w:t xml:space="preserve"> MAPbI</w:t>
      </w:r>
      <w:r w:rsidRPr="00AD1E9E">
        <w:rPr>
          <w:vertAlign w:val="subscript"/>
        </w:rPr>
        <w:t xml:space="preserve">3 </w:t>
      </w:r>
      <w:r w:rsidRPr="00AD1E9E">
        <w:t>PSCs.</w:t>
      </w:r>
      <w:r w:rsidR="00E07A2D" w:rsidRPr="00AD1E9E">
        <w:fldChar w:fldCharType="begin" w:fldLock="1"/>
      </w:r>
      <w:r w:rsidR="00FD7B09">
        <w:instrText>ADDIN CSL_CITATION {"citationItems":[{"id":"ITEM-1","itemData":{"ISSN":"2198-3844","author":[{"dropping-particle":"","family":"Chen","given":"Yali","non-dropping-particle":"","parse-names":false,"suffix":""},{"dropping-particle":"","family":"Zuo","given":"Xuejiao","non-dropping-particle":"","parse-names":false,"suffix":""},{"dropping-particle":"","family":"He","given":"Yiyang","non-dropping-particle":"","parse-names":false,"suffix":""},{"dropping-particle":"","family":"Qian","given":"Fang","non-dropping-particle":"","parse-names":false,"suffix":""},{"dropping-particle":"","family":"Zuo","given":"Shengnan","non-dropping-particle":"","parse-names":false,"suffix":""},{"dropping-particle":"","family":"Zhang","given":"Yalan","non-dropping-particle":"","parse-names":false,"suffix":""},{"dropping-particle":"","family":"Liang","given":"Lei","non-dropping-particle":"","parse-names":false,"suffix":""},{"dropping-particle":"","family":"Chen","given":"Zuqin","non-dropping-particle":"","parse-names":false,"suffix":""},{"dropping-particle":"","family":"Zhao","given":"Kui","non-dropping-particle":"","parse-names":false,"suffix":""},{"dropping-particle":"","family":"Liu","given":"Zhike","non-dropping-particle":"","parse-names":false,"suffix":""}],"container-title":"Advanced Science","id":"ITEM-1","issue":"5","issued":{"date-parts":[["2021"]]},"page":"2001466","publisher":"Wiley Online Library","title":"Dual passivation of perovskite and SnO2 for high‐efficiency MAPbI3 perovskite solar cells","type":"article-journal","volume":"8"},"uris":["http://www.mendeley.com/documents/?uuid=ed67ca8e-03a2-4bc5-b8cf-a385229cf652"]}],"mendeley":{"formattedCitation":"&lt;sup&gt;5)&lt;/sup&gt;","plainTextFormattedCitation":"5)","previouslyFormattedCitation":"&lt;sup&gt;5)&lt;/sup&gt;"},"properties":{"noteIndex":0},"schema":"https://github.com/citation-style-language/schema/raw/master/csl-citation.json"}</w:instrText>
      </w:r>
      <w:r w:rsidR="00E07A2D" w:rsidRPr="00AD1E9E">
        <w:fldChar w:fldCharType="separate"/>
      </w:r>
      <w:r w:rsidR="00E07A2D" w:rsidRPr="006300E4">
        <w:rPr>
          <w:noProof/>
          <w:vertAlign w:val="superscript"/>
        </w:rPr>
        <w:t>5)</w:t>
      </w:r>
      <w:r w:rsidR="00E07A2D" w:rsidRPr="00AD1E9E">
        <w:rPr>
          <w:lang w:val="en"/>
        </w:rPr>
        <w:fldChar w:fldCharType="end"/>
      </w:r>
      <w:r w:rsidRPr="00AD1E9E">
        <w:t xml:space="preserve"> Up to now, plenty of approaches have been developed for device modification, including additive engineering, interface passivation such as </w:t>
      </w:r>
      <w:r w:rsidRPr="00AD1E9E">
        <w:rPr>
          <w:rFonts w:hint="eastAsia"/>
        </w:rPr>
        <w:t>various</w:t>
      </w:r>
      <w:r w:rsidRPr="00AD1E9E">
        <w:t xml:space="preserve"> Lewis bases, for example, IDIC, PVP and PCDTBT, energy level engineering and fabrication methodology.</w:t>
      </w:r>
      <w:r w:rsidR="00E07A2D" w:rsidRPr="00AD1E9E">
        <w:fldChar w:fldCharType="begin" w:fldLock="1"/>
      </w:r>
      <w:r w:rsidR="00B564B5">
        <w:instrText>ADDIN CSL_CITATION {"citationItems":[{"id":"ITEM-1","itemData":{"ISSN":"0935-9648","author":[{"dropping-particle":"","family":"Lin","given":"Yuze","non-dropping-particle":"","parse-names":false,"suffix":""},{"dropping-particle":"","family":"Shen","given":"Liang","non-dropping-particle":"","parse-names":false,"suffix":""},{"dropping-particle":"","family":"Dai","given":"Jun","non-dropping-particle":"","parse-names":false,"suffix":""},{"dropping-particle":"","family":"Deng","given":"Yehao","non-dropping-particle":"","parse-names":false,"suffix":""},{"dropping-particle":"","family":"Wu","given":"Yang","non-dropping-particle":"","parse-names":false,"suffix":""},{"dropping-particle":"","family":"Bai","given":"Yang","non-dropping-particle":"","parse-names":false,"suffix":""},{"dropping-particle":"","family":"Zheng","given":"Xiaopeng","non-dropping-particle":"","parse-names":false,"suffix":""},{"dropping-particle":"","family":"Wang","given":"Jiayu","non-dropping-particle":"","parse-names":false,"suffix":""},{"dropping-particle":"","family":"Fang","given":"Yanjun","non-dropping-particle":"","parse-names":false,"suffix":""},{"dropping-particle":"","family":"Wei","given":"Haotong","non-dropping-particle":"","parse-names":false,"suffix":""}],"container-title":"Advanced materials","id":"ITEM-1","issue":"7","issued":{"date-parts":[["2017"]]},"page":"1604545","publisher":"Wiley Online Library","title":"π‐Conjugated Lewis base: efficient trap‐passivation and charge‐extraction for hybrid perovskite solar cells","type":"article-journal","volume":"29"},"uris":["http://www.mendeley.com/documents/?uuid=a9a204c5-8620-48fa-a197-870bff9757c1"]},{"id":"ITEM-2","itemData":{"author":[{"dropping-particle":"","family":"Zhang","given":"Ying","non-dropping-particle":"","parse-names":false,"suffix":""},{"dropping-particle":"","family":"Zhuang","given":"Xueheng","non-dropping-particle":"","parse-names":false,"suffix":""},{"dropping-particle":"","family":"Zhou","given":"Kang","non-dropping-particle":"","parse-names":false,"suffix":""},{"dropping-particle":"","family":"Cai","given":"Chang","non-dropping-particle":"","parse-names":false,"suffix":""},{"dropping-particle":"","family":"Hu","given":"Ziyang","non-dropping-particle":"","parse-names":false,"suffix":""},{"dropping-particle":"","family":"Zhang","given":"Jing","non-dropping-particle":"","parse-names":false,"suffix":""},{"dropping-particle":"","family":"Zhu","given":"Yuejin","non-dropping-particle":"","parse-names":false,"suffix":""}],"container-title":"Journal of Materials Chemistry C","id":"ITEM-2","issue":"35","issued":{"date-parts":[["2017"]]},"page":"9037-9043","publisher":"Royal Society of Chemistry","title":"Amorphous polymer with C [double bond, length as m-dash] O to improve the performance of perovskite solar cells","type":"article-journal","volume":"5"},"uris":["http://www.mendeley.com/documents/?uuid=b9ff7da9-450c-4865-93c1-f4fc9e9a4d40"]},{"id":"ITEM-3","itemData":{"ISSN":"2468-0230","author":[{"dropping-particle":"","family":"Kaewprajak","given":"Anusit","non-dropping-particle":"","parse-names":false,"suffix":""},{"dropping-particle":"","family":"Kumnorkaew","given":"Pisist","non-dropping-particle":"","parse-names":false,"suffix":""},{"dropping-particle":"","family":"Lohawet","given":"Khathawut","non-dropping-particle":"","parse-names":false,"suffix":""},{"dropping-particle":"","family":"Duong","given":"Binh","non-dropping-particle":"","parse-names":false,"suffix":""},{"dropping-particle":"","family":"Chonsut","given":"Teantong","non-dropping-particle":"","parse-names":false,"suffix":""},{"dropping-particle":"","family":"Kayunkid","given":"Navaphun","non-dropping-particle":"","parse-names":false,"suffix":""},{"dropping-particle":"","family":"Saranrom","given":"Natpapon","non-dropping-particle":"","parse-names":false,"suffix":""},{"dropping-particle":"","family":"Promarak","given":"Vinich","non-dropping-particle":"","parse-names":false,"suffix":""}],"container-title":"Surfaces and Interfaces","id":"ITEM-3","issued":{"date-parts":[["2021"]]},"page":"100969","publisher":"Elsevier","title":"An unconventional blade coating for low-cost fabrication of PCDTBT: PC70BM polymer and CH3NH3PbIxCl3-x perovskite solar cells","type":"article-journal","volume":"23"},"uris":["http://www.mendeley.com/documents/?uuid=720b1254-ee28-4663-9533-f3ab81097c9c"]}],"mendeley":{"formattedCitation":"&lt;sup&gt;6)–8)&lt;/sup&gt;"},"properties":{"noteIndex":0},"schema":"https://github.com/citation-style-language/schema/raw/master/csl-citation.json"}</w:instrText>
      </w:r>
      <w:r w:rsidR="00E07A2D" w:rsidRPr="00AD1E9E">
        <w:fldChar w:fldCharType="separate"/>
      </w:r>
      <w:r w:rsidR="00B564B5" w:rsidRPr="00B564B5">
        <w:rPr>
          <w:noProof/>
          <w:vertAlign w:val="superscript"/>
        </w:rPr>
        <w:t>6)–8)</w:t>
      </w:r>
      <w:r w:rsidR="00E07A2D" w:rsidRPr="00AD1E9E">
        <w:rPr>
          <w:lang w:val="en"/>
        </w:rPr>
        <w:fldChar w:fldCharType="end"/>
      </w:r>
      <w:r w:rsidRPr="00AD1E9E">
        <w:t xml:space="preserve"> For example, Zhang and his co-workers reported an effective additive engineering strategy by doping of FAI in MAPbI</w:t>
      </w:r>
      <w:r w:rsidRPr="00AD1E9E">
        <w:rPr>
          <w:vertAlign w:val="subscript"/>
        </w:rPr>
        <w:t>3</w:t>
      </w:r>
      <w:r w:rsidRPr="00AD1E9E">
        <w:t xml:space="preserve"> film to regulate the crystallization and suppress the defect density of perovskite film.</w:t>
      </w:r>
      <w:r w:rsidR="006D2756" w:rsidRPr="00AD1E9E">
        <w:fldChar w:fldCharType="begin" w:fldLock="1"/>
      </w:r>
      <w:r w:rsidR="00FD7B09">
        <w:instrText>ADDIN CSL_CITATION {"citationItems":[{"id":"ITEM-1","itemData":{"ISSN":"1616-301X","author":[{"dropping-particle":"","family":"Zou","given":"Yuqin","non-dropping-particle":"","parse-names":false,"suffix":""},{"dropping-particle":"","family":"Wang","given":"Hao‐Yi","non-dropping-particle":"","parse-names":false,"suffix":""},{"dropping-particle":"","family":"Qin","given":"Yujun","non-dropping-particle":"","parse-names":false,"suffix":""},{"dropping-particle":"","family":"Mu","given":"Cheng","non-dropping-particle":"","parse-names":false,"suffix":""},{"dropping-particle":"","family":"Li","given":"Qi","non-dropping-particle":"","parse-names":false,"suffix":""},{"dropping-particle":"","family":"Xu","given":"Dongsheng","non-dropping-particle":"","parse-names":false,"suffix":""},{"dropping-particle":"","family":"Zhang","given":"Jian‐Ping","non-dropping-particle":"","parse-names":false,"suffix":""}],"container-title":"Advanced Functional Materials","id":"ITEM-1","issue":"7","issued":{"date-parts":[["2019"]]},"page":"1805810","publisher":"Wiley Online Library","title":"Reduced Defects of MAPbI3 Thin Films Treated by FAI for High‐Performance Planar Perovskite Solar Cells","type":"article-journal","volume":"29"},"uris":["http://www.mendeley.com/documents/?uuid=25dcde12-d483-424d-b305-d7d362b7f449"]}],"mendeley":{"formattedCitation":"&lt;sup&gt;9)&lt;/sup&gt;","plainTextFormattedCitation":"9)","previouslyFormattedCitation":"&lt;sup&gt;9)&lt;/sup&gt;"},"properties":{"noteIndex":0},"schema":"https://github.com/citation-style-language/schema/raw/master/csl-citation.json"}</w:instrText>
      </w:r>
      <w:r w:rsidR="006D2756" w:rsidRPr="00AD1E9E">
        <w:fldChar w:fldCharType="separate"/>
      </w:r>
      <w:r w:rsidR="006D2756" w:rsidRPr="006300E4">
        <w:rPr>
          <w:noProof/>
          <w:vertAlign w:val="superscript"/>
        </w:rPr>
        <w:t>9)</w:t>
      </w:r>
      <w:r w:rsidR="006D2756" w:rsidRPr="00AD1E9E">
        <w:rPr>
          <w:lang w:val="en"/>
        </w:rPr>
        <w:fldChar w:fldCharType="end"/>
      </w:r>
      <w:r w:rsidRPr="00AD1E9E">
        <w:t xml:space="preserve"> In 2020, Li et al. introduced a facile method to modify the PEDOT:PSS layer with sodium benzenesulfonate (C</w:t>
      </w:r>
      <w:r w:rsidRPr="00AD1E9E">
        <w:rPr>
          <w:vertAlign w:val="subscript"/>
        </w:rPr>
        <w:t>6</w:t>
      </w:r>
      <w:r w:rsidRPr="00AD1E9E">
        <w:t>H</w:t>
      </w:r>
      <w:r w:rsidRPr="00AD1E9E">
        <w:rPr>
          <w:vertAlign w:val="subscript"/>
        </w:rPr>
        <w:t>5</w:t>
      </w:r>
      <w:r w:rsidRPr="00AD1E9E">
        <w:t>SO</w:t>
      </w:r>
      <w:r w:rsidRPr="00AD1E9E">
        <w:rPr>
          <w:vertAlign w:val="subscript"/>
        </w:rPr>
        <w:t>3</w:t>
      </w:r>
      <w:r w:rsidRPr="00AD1E9E">
        <w:t>Na) as well-matched energy level alignment structure in commonly inverted PSCs.</w:t>
      </w:r>
      <w:r w:rsidR="006D2756" w:rsidRPr="00AD1E9E">
        <w:fldChar w:fldCharType="begin" w:fldLock="1"/>
      </w:r>
      <w:r w:rsidR="00FD7B09">
        <w:instrText>ADDIN CSL_CITATION {"citationItems":[{"id":"ITEM-1","itemData":{"ISSN":"2367-198X","author":[{"dropping-particle":"","family":"Li","given":"Wei","non-dropping-particle":"","parse-names":false,"suffix":""},{"dropping-particle":"","family":"Wang","given":"Huaxin","non-dropping-particle":"","parse-names":false,"suffix":""},{"dropping-particle":"","family":"Hu","given":"Xiaofei","non-dropping-particle":"","parse-names":false,"suffix":""},{"dropping-particle":"","family":"Cai","given":"Wensi","non-dropping-particle":"","parse-names":false,"suffix":""},{"dropping-particle":"","family":"Zhang","given":"Cong","non-dropping-particle":"","parse-names":false,"suffix":""},{"dropping-particle":"","family":"Wang","given":"Ming","non-dropping-particle":"","parse-names":false,"suffix":""},{"dropping-particle":"","family":"Zang","given":"Zhigang","non-dropping-particle":"","parse-names":false,"suffix":""}],"container-title":"Solar RRL","id":"ITEM-1","issue":"1","issued":{"date-parts":[["2021"]]},"page":"2000573","publisher":"Wiley Online Library","title":"Sodium Benzenesulfonate Modified Poly (3, 4‐Ethylenedioxythiophene): Polystyrene Sulfonate with Improved Wettability and Work Function for Efficient and Stable Perovskite Solar Cells","type":"article-journal","volume":"5"},"uris":["http://www.mendeley.com/documents/?uuid=33c6f73a-184b-4d52-8e97-b79feca7561c"]}],"mendeley":{"formattedCitation":"&lt;sup&gt;10)&lt;/sup&gt;","plainTextFormattedCitation":"10)","previouslyFormattedCitation":"&lt;sup&gt;10)&lt;/sup&gt;"},"properties":{"noteIndex":0},"schema":"https://github.com/citation-style-language/schema/raw/master/csl-citation.json"}</w:instrText>
      </w:r>
      <w:r w:rsidR="006D2756" w:rsidRPr="00AD1E9E">
        <w:fldChar w:fldCharType="separate"/>
      </w:r>
      <w:r w:rsidR="006D2756" w:rsidRPr="006300E4">
        <w:rPr>
          <w:noProof/>
          <w:vertAlign w:val="superscript"/>
        </w:rPr>
        <w:t>10)</w:t>
      </w:r>
      <w:r w:rsidR="006D2756" w:rsidRPr="00AD1E9E">
        <w:rPr>
          <w:lang w:val="en"/>
        </w:rPr>
        <w:fldChar w:fldCharType="end"/>
      </w:r>
      <w:r w:rsidRPr="00AD1E9E">
        <w:t xml:space="preserve"> Recently, a tetragonal (200) oriented MAPbI</w:t>
      </w:r>
      <w:r w:rsidRPr="00AD1E9E">
        <w:rPr>
          <w:vertAlign w:val="subscript"/>
        </w:rPr>
        <w:t>3</w:t>
      </w:r>
      <w:r w:rsidRPr="00AD1E9E">
        <w:t xml:space="preserve"> film has been obtained by screening hot-casting technique, which achieved less trap density and accelerated charge transfer in absorber layer.</w:t>
      </w:r>
      <w:r w:rsidR="006D2756" w:rsidRPr="00AD1E9E">
        <w:fldChar w:fldCharType="begin" w:fldLock="1"/>
      </w:r>
      <w:r w:rsidR="00FD7B09">
        <w:instrText>ADDIN CSL_CITATION {"citationItems":[{"id":"ITEM-1","itemData":{"DOI":"https://doi.org/10.1016/j.cej.2021.133845","ISSN":"1385-8947","abstract":"Although perovskite composition, film-processing technology, and interface engineering have been widely studied to boost efficiencies of perovskite solar cells (PSCs), the crystal orientation which considerably influences the charge transfer properties of perovskite is rarely mentioned for the classic (CH3NH3)PbI3 (MAPbI3) perovskite. In this report, we successfully fabricate tetragonal (200) oriented MAPbI3 films by carefully screening hot-casting (HC) temperature and processing solvent. Compared to tetragonal (110) oriented MAPbI3 films prepared from traditional post-annealing (PA) method, the (200) analogues are composed of much larger crystal grains up to hundreds of microns, with lower trap density and higher charge transfer property. The corresponding MAPbI3 PSCs afford a record efficiency of 20.22% among devices based on the (200) oriented film, much higher than that obtained from the (110) oriented MAPbI3 devices. This work highlights the potential of tetragonal (200) oriented MAPbI3 film for photovoltaic applications and may inspire more studies on the manipulation of perovskite crystal orientation.","author":[{"dropping-particle":"","family":"Lu","given":"Ruixue","non-dropping-particle":"","parse-names":false,"suffix":""},{"dropping-particle":"","family":"Liu","given":"Yang","non-dropping-particle":"","parse-names":false,"suffix":""},{"dropping-particle":"","family":"Zhang","given":"Jiafeng","non-dropping-particle":"","parse-names":false,"suffix":""},{"dropping-particle":"","family":"Zhao","given":"Dongyuan","non-dropping-particle":"","parse-names":false,"suffix":""},{"dropping-particle":"","family":"Guo","given":"Xin","non-dropping-particle":"","parse-names":false,"suffix":""},{"dropping-particle":"","family":"Li","given":"Can","non-dropping-particle":"","parse-names":false,"suffix":""}],"container-title":"Chemical Engineering Journal","id":"ITEM-1","issued":{"date-parts":[["2022"]]},"page":"133845","title":"Highly efficient (200) oriented MAPbI3 perovskite solar cells","type":"article-journal","volume":"433"},"uris":["http://www.mendeley.com/documents/?uuid=7884f189-275a-465f-b2ea-aad89f616d80"]}],"mendeley":{"formattedCitation":"&lt;sup&gt;11)&lt;/sup&gt;","plainTextFormattedCitation":"11)","previouslyFormattedCitation":"&lt;sup&gt;11)&lt;/sup&gt;"},"properties":{"noteIndex":0},"schema":"https://github.com/citation-style-language/schema/raw/master/csl-citation.json"}</w:instrText>
      </w:r>
      <w:r w:rsidR="006D2756" w:rsidRPr="00AD1E9E">
        <w:fldChar w:fldCharType="separate"/>
      </w:r>
      <w:r w:rsidR="006D2756" w:rsidRPr="006300E4">
        <w:rPr>
          <w:noProof/>
          <w:vertAlign w:val="superscript"/>
        </w:rPr>
        <w:t>11)</w:t>
      </w:r>
      <w:r w:rsidR="006D2756" w:rsidRPr="00AD1E9E">
        <w:rPr>
          <w:lang w:val="en"/>
        </w:rPr>
        <w:fldChar w:fldCharType="end"/>
      </w:r>
      <w:r w:rsidRPr="00AD1E9E">
        <w:t xml:space="preserve"> In summary, the MAPbI</w:t>
      </w:r>
      <w:r w:rsidRPr="00AD1E9E">
        <w:rPr>
          <w:vertAlign w:val="subscript"/>
        </w:rPr>
        <w:t>3</w:t>
      </w:r>
      <w:r w:rsidRPr="00AD1E9E">
        <w:t>-based PSCs have been successfully developed in PCE due to the efforts by masses of researchers and promote the future commercialization for PSCs.</w:t>
      </w:r>
    </w:p>
    <w:p w14:paraId="5C683A61" w14:textId="5687B465" w:rsidR="00176B2F" w:rsidRDefault="00AD1E9E" w:rsidP="00E522AC">
      <w:pPr>
        <w:pStyle w:val="MainText151510"/>
        <w:adjustRightInd w:val="0"/>
        <w:spacing w:line="360" w:lineRule="auto"/>
        <w:ind w:firstLineChars="0" w:firstLine="0"/>
        <w:rPr>
          <w:rFonts w:eastAsiaTheme="minorEastAsia"/>
        </w:rPr>
      </w:pPr>
      <w:r w:rsidRPr="00AD1E9E">
        <w:t xml:space="preserve">Despite the most rapid developments for PSCs in photovoltaic community, there is a certain discrepancy between the experiment and theoretical PCE which is </w:t>
      </w:r>
      <w:r w:rsidRPr="00AD1E9E">
        <w:rPr>
          <w:rFonts w:hint="eastAsia"/>
        </w:rPr>
        <w:t>~</w:t>
      </w:r>
      <w:r w:rsidRPr="00AD1E9E">
        <w:t>30.5</w:t>
      </w:r>
      <w:r w:rsidRPr="00AD1E9E">
        <w:rPr>
          <w:rFonts w:hint="eastAsia"/>
        </w:rPr>
        <w:t>%</w:t>
      </w:r>
      <w:r w:rsidRPr="00AD1E9E">
        <w:t xml:space="preserve"> </w:t>
      </w:r>
      <w:r w:rsidRPr="00AD1E9E">
        <w:rPr>
          <w:rFonts w:hint="eastAsia"/>
        </w:rPr>
        <w:t>in</w:t>
      </w:r>
      <w:r w:rsidRPr="00AD1E9E">
        <w:t xml:space="preserve"> prediction according to Shockley-</w:t>
      </w:r>
      <w:proofErr w:type="spellStart"/>
      <w:r w:rsidRPr="00AD1E9E">
        <w:t>Queisser</w:t>
      </w:r>
      <w:proofErr w:type="spellEnd"/>
      <w:r w:rsidRPr="00AD1E9E">
        <w:t xml:space="preserve"> Limit.</w:t>
      </w:r>
      <w:r w:rsidR="006D2756" w:rsidRPr="00AD1E9E">
        <w:fldChar w:fldCharType="begin" w:fldLock="1"/>
      </w:r>
      <w:r w:rsidR="00FD7B09">
        <w:instrText>ADDIN CSL_CITATION {"citationItems":[{"id":"ITEM-1","itemData":{"ISSN":"0003-6951","author":[{"dropping-particle":"","family":"Sha","given":"Wei E I","non-dropping-particle":"","parse-names":false,"suffix":""},{"dropping-particle":"","family":"Ren","given":"Xingang","non-dropping-particle":"","parse-names":false,"suffix":""},{"dropping-particle":"","family":"Chen","given":"Luzhou","non-dropping-particle":"","parse-names":false,"suffix":""},{"dropping-particle":"","family":"Choy","given":"Wallace C H","non-dropping-particle":"","parse-names":false,"suffix":""}],"container-title":"Applied Physics Letters","id":"ITEM-1","issue":"22","issued":{"date-parts":[["2015"]]},"page":"221104","publisher":"AIP Publishing LLC","title":"The efficiency limit of CH3NH3PbI3 perovskite solar cells","type":"article-journal","volume":"106"},"uris":["http://www.mendeley.com/documents/?uuid=b6a0a8bf-40fd-4a18-810f-f3a99d398e45"]}],"mendeley":{"formattedCitation":"&lt;sup&gt;12)&lt;/sup&gt;","plainTextFormattedCitation":"12)","previouslyFormattedCitation":"&lt;sup&gt;12)&lt;/sup&gt;"},"properties":{"noteIndex":0},"schema":"https://github.com/citation-style-language/schema/raw/master/csl-citation.json"}</w:instrText>
      </w:r>
      <w:r w:rsidR="006D2756" w:rsidRPr="00AD1E9E">
        <w:fldChar w:fldCharType="separate"/>
      </w:r>
      <w:r w:rsidR="006D2756" w:rsidRPr="006300E4">
        <w:rPr>
          <w:noProof/>
          <w:vertAlign w:val="superscript"/>
        </w:rPr>
        <w:t>12)</w:t>
      </w:r>
      <w:r w:rsidR="006D2756" w:rsidRPr="00AD1E9E">
        <w:rPr>
          <w:lang w:val="en"/>
        </w:rPr>
        <w:fldChar w:fldCharType="end"/>
      </w:r>
      <w:r w:rsidRPr="00AD1E9E">
        <w:t xml:space="preserve"> The heavy defect </w:t>
      </w:r>
      <w:r w:rsidRPr="00AD1E9E">
        <w:rPr>
          <w:rFonts w:hint="eastAsia"/>
        </w:rPr>
        <w:t>d</w:t>
      </w:r>
      <w:r w:rsidRPr="00AD1E9E">
        <w:t>ensity in the configuration of PSCs is one of the main reasons to undermine their performance, finally leading to the huge efficiency discrepancy.</w:t>
      </w:r>
      <w:r w:rsidR="006D2756" w:rsidRPr="00AD1E9E">
        <w:fldChar w:fldCharType="begin" w:fldLock="1"/>
      </w:r>
      <w:r w:rsidR="00FD7B09">
        <w:instrText>ADDIN CSL_CITATION {"citationItems":[{"id":"ITEM-1","itemData":{"ISSN":"0003-6951","author":[{"dropping-particle":"","family":"Samiee","given":"Mehran","non-dropping-particle":"","parse-names":false,"suffix":""},{"dropping-particle":"","family":"Konduri","given":"Siva","non-dropping-particle":"","parse-names":false,"suffix":""},{"dropping-particle":"","family":"Ganapathy","given":"Balaji","non-dropping-particle":"","parse-names":false,"suffix":""},{"dropping-particle":"","family":"Kottokkaran","given":"Ranjith","non-dropping-particle":"","parse-names":false,"suffix":""},{"dropping-particle":"","family":"Abbas","given":"Hisham A","non-dropping-particle":"","parse-names":false,"suffix":""},{"dropping-particle":"","family":"Kitahara","given":"Andrew","non-dropping-particle":"","parse-names":false,"suffix":""},{"dropping-particle":"","family":"Joshi","given":"Pranav","non-dropping-particle":"","parse-names":false,"suffix":""},{"dropping-particle":"","family":"Zhang","given":"Liang","non-dropping-particle":"","parse-names":false,"suffix":""},{"dropping-particle":"","family":"Noack","given":"Max","non-dropping-particle":"","parse-names":false,"suffix":""},{"dropping-particle":"","family":"Dalal","given":"Vikram","non-dropping-particle":"","parse-names":false,"suffix":""}],"container-title":"Applied Physics Letters","id":"ITEM-1","issue":"15","issued":{"date-parts":[["2014"]]},"page":"153502","publisher":"AIP Publishing LLC","title":"Defect density and dielectric constant in perovskite solar cells","type":"article-journal","volume":"105"},"uris":["http://www.mendeley.com/documents/?uuid=7de3a264-da34-46fc-9ec9-a2ca1aaef3ef"]}],"mendeley":{"formattedCitation":"&lt;sup&gt;13)&lt;/sup&gt;","plainTextFormattedCitation":"13)","previouslyFormattedCitation":"&lt;sup&gt;13)&lt;/sup&gt;"},"properties":{"noteIndex":0},"schema":"https://github.com/citation-style-language/schema/raw/master/csl-citation.json"}</w:instrText>
      </w:r>
      <w:r w:rsidR="006D2756" w:rsidRPr="00AD1E9E">
        <w:fldChar w:fldCharType="separate"/>
      </w:r>
      <w:r w:rsidR="006D2756" w:rsidRPr="006300E4">
        <w:rPr>
          <w:noProof/>
          <w:vertAlign w:val="superscript"/>
        </w:rPr>
        <w:t>13)</w:t>
      </w:r>
      <w:r w:rsidR="006D2756" w:rsidRPr="00AD1E9E">
        <w:rPr>
          <w:lang w:val="en"/>
        </w:rPr>
        <w:fldChar w:fldCharType="end"/>
      </w:r>
      <w:r w:rsidRPr="00AD1E9E">
        <w:t xml:space="preserve"> In this work, we analyze the J-V characteristics of MAPbI</w:t>
      </w:r>
      <w:r w:rsidRPr="00AD1E9E">
        <w:rPr>
          <w:vertAlign w:val="subscript"/>
        </w:rPr>
        <w:t xml:space="preserve">3 </w:t>
      </w:r>
      <w:r w:rsidRPr="00AD1E9E">
        <w:t xml:space="preserve">device </w:t>
      </w:r>
      <w:r w:rsidRPr="00AD1E9E">
        <w:lastRenderedPageBreak/>
        <w:t>via the Solar Cell Capacitance Simulator (SCAPS) simulation and come up with a simple optimization strategy using interface engineering method to improve the device performance.</w:t>
      </w:r>
      <w:r w:rsidRPr="00AD1E9E">
        <w:fldChar w:fldCharType="begin" w:fldLock="1"/>
      </w:r>
      <w:r w:rsidR="00FD7B09">
        <w:instrText>ADDIN CSL_CITATION {"citationItems":[{"id":"ITEM-1","itemData":{"ISSN":"0040-6090","author":[{"dropping-particle":"","family":"Burgelman","given":"Marc","non-dropping-particle":"","parse-names":false,"suffix":""},{"dropping-particle":"","family":"Nollet","given":"Peter","non-dropping-particle":"","parse-names":false,"suffix":""},{"dropping-particle":"","family":"Degrave","given":"Stefaan","non-dropping-particle":"","parse-names":false,"suffix":""}],"container-title":"Thin solid films","id":"ITEM-1","issued":{"date-parts":[["2000"]]},"page":"527-532","publisher":"Elsevier","title":"Modelling polycrystalline semiconductor solar cells","type":"article-journal","volume":"361"},"uris":["http://www.mendeley.com/documents/?uuid=e1e9eec3-ae51-488d-8718-4446a91fdbf4"]}],"mendeley":{"formattedCitation":"&lt;sup&gt;14)&lt;/sup&gt;","plainTextFormattedCitation":"14)","previouslyFormattedCitation":"&lt;sup&gt;14)&lt;/sup&gt;"},"properties":{"noteIndex":0},"schema":"https://github.com/citation-style-language/schema/raw/master/csl-citation.json"}</w:instrText>
      </w:r>
      <w:r w:rsidRPr="00AD1E9E">
        <w:fldChar w:fldCharType="separate"/>
      </w:r>
      <w:r w:rsidR="006300E4" w:rsidRPr="006300E4">
        <w:rPr>
          <w:noProof/>
          <w:vertAlign w:val="superscript"/>
        </w:rPr>
        <w:t>14)</w:t>
      </w:r>
      <w:r w:rsidRPr="00AD1E9E">
        <w:rPr>
          <w:lang w:val="en"/>
        </w:rPr>
        <w:fldChar w:fldCharType="end"/>
      </w:r>
      <w:r w:rsidRPr="00AD1E9E">
        <w:t xml:space="preserve"> The SCAPS is a one-dimensional solar cell simulator developed with </w:t>
      </w:r>
      <w:proofErr w:type="spellStart"/>
      <w:r w:rsidRPr="00AD1E9E">
        <w:t>LabWindows</w:t>
      </w:r>
      <w:proofErr w:type="spellEnd"/>
      <w:r w:rsidRPr="00AD1E9E">
        <w:t xml:space="preserve">/CVI from University of Gent and utilized in different organic and inorganic thin film devices, such as silicon, CIGS, </w:t>
      </w:r>
      <w:proofErr w:type="spellStart"/>
      <w:r w:rsidRPr="00AD1E9E">
        <w:t>CdTe</w:t>
      </w:r>
      <w:proofErr w:type="spellEnd"/>
      <w:r w:rsidRPr="00AD1E9E">
        <w:t xml:space="preserve"> and perovskite solar cells.</w:t>
      </w:r>
      <w:r w:rsidR="007D2262" w:rsidRPr="00AD1E9E">
        <w:fldChar w:fldCharType="begin" w:fldLock="1"/>
      </w:r>
      <w:r w:rsidR="00FD7B09">
        <w:instrText>ADDIN CSL_CITATION {"citationItems":[{"id":"ITEM-1","itemData":{"ISSN":"0021-8979","author":[{"dropping-particle":"","family":"Minemoto","given":"Takashi","non-dropping-particle":"","parse-names":false,"suffix":""},{"dropping-particle":"","family":"Murata","given":"Masashi","non-dropping-particle":"","parse-names":false,"suffix":""}],"container-title":"Journal of applied physics","id":"ITEM-1","issue":"5","issued":{"date-parts":[["2014"]]},"page":"54505","publisher":"American Institute of Physics","title":"Device modeling of perovskite solar cells based on structural similarity with thin film inorganic semiconductor solar cells","type":"article-journal","volume":"116"},"uris":["http://www.mendeley.com/documents/?uuid=643608f8-b6df-4dc3-8f67-a92a9c87a83e"]}],"mendeley":{"formattedCitation":"&lt;sup&gt;15)&lt;/sup&gt;","plainTextFormattedCitation":"15)","previouslyFormattedCitation":"&lt;sup&gt;15)&lt;/sup&gt;"},"properties":{"noteIndex":0},"schema":"https://github.com/citation-style-language/schema/raw/master/csl-citation.json"}</w:instrText>
      </w:r>
      <w:r w:rsidR="007D2262" w:rsidRPr="00AD1E9E">
        <w:fldChar w:fldCharType="separate"/>
      </w:r>
      <w:r w:rsidR="007D2262" w:rsidRPr="006300E4">
        <w:rPr>
          <w:noProof/>
          <w:vertAlign w:val="superscript"/>
        </w:rPr>
        <w:t>15)</w:t>
      </w:r>
      <w:r w:rsidR="007D2262" w:rsidRPr="00AD1E9E">
        <w:rPr>
          <w:lang w:val="en"/>
        </w:rPr>
        <w:fldChar w:fldCharType="end"/>
      </w:r>
      <w:r w:rsidRPr="00AD1E9E">
        <w:t xml:space="preserve"> Herein, the investigation is focused on analysis of planar n-</w:t>
      </w:r>
      <w:proofErr w:type="spellStart"/>
      <w:r w:rsidRPr="00AD1E9E">
        <w:t>i</w:t>
      </w:r>
      <w:proofErr w:type="spellEnd"/>
      <w:r w:rsidRPr="00AD1E9E">
        <w:t xml:space="preserve">-p structure PSCs by changing </w:t>
      </w:r>
      <w:bookmarkStart w:id="1" w:name="_Hlk122898879"/>
      <w:r w:rsidRPr="00AD1E9E">
        <w:t>configuration parameters of the simulation, including thicknesses of each layer, defect density, interface recombination, doping concentration, the series and shunt resistances</w:t>
      </w:r>
      <w:bookmarkEnd w:id="1"/>
      <w:r w:rsidRPr="00AD1E9E">
        <w:t xml:space="preserve">. Moreover, </w:t>
      </w:r>
      <w:bookmarkStart w:id="2" w:name="_Hlk122959289"/>
      <w:r w:rsidRPr="00AD1E9E">
        <w:t>two interface defect layers (IDLs) of 10 nm are inserted between ETL/perovskite and perovskite/HTL to compute the interface recombination.</w:t>
      </w:r>
      <w:bookmarkEnd w:id="0"/>
    </w:p>
    <w:bookmarkEnd w:id="2"/>
    <w:p w14:paraId="474981BE" w14:textId="77777777" w:rsidR="00AD1E9E" w:rsidRPr="00AD1E9E" w:rsidRDefault="00AD1E9E" w:rsidP="00E522AC">
      <w:pPr>
        <w:pStyle w:val="MainText151510"/>
        <w:adjustRightInd w:val="0"/>
        <w:spacing w:line="360" w:lineRule="auto"/>
        <w:ind w:firstLineChars="0" w:firstLine="0"/>
        <w:rPr>
          <w:rFonts w:eastAsiaTheme="minorEastAsia"/>
        </w:rPr>
      </w:pPr>
    </w:p>
    <w:p w14:paraId="25947155" w14:textId="77777777" w:rsidR="00176B2F" w:rsidRPr="00341F2C" w:rsidRDefault="00176B2F" w:rsidP="00E522AC">
      <w:pPr>
        <w:pStyle w:val="MainText151510"/>
        <w:adjustRightInd w:val="0"/>
        <w:spacing w:line="360" w:lineRule="auto"/>
        <w:ind w:firstLineChars="0" w:firstLine="0"/>
        <w:rPr>
          <w:rFonts w:asciiTheme="majorHAnsi" w:eastAsiaTheme="minorEastAsia" w:hAnsiTheme="majorHAnsi" w:cs="Times New Roman"/>
          <w:b/>
          <w:sz w:val="28"/>
          <w:szCs w:val="28"/>
        </w:rPr>
      </w:pPr>
      <w:r w:rsidRPr="00341F2C">
        <w:rPr>
          <w:rFonts w:asciiTheme="majorHAnsi" w:hAnsiTheme="majorHAnsi"/>
          <w:b/>
          <w:sz w:val="28"/>
          <w:szCs w:val="28"/>
        </w:rPr>
        <w:t xml:space="preserve">2. </w:t>
      </w:r>
      <w:r w:rsidR="00341F2C">
        <w:rPr>
          <w:rFonts w:asciiTheme="majorHAnsi" w:hAnsiTheme="majorHAnsi"/>
          <w:b/>
          <w:sz w:val="28"/>
          <w:szCs w:val="28"/>
        </w:rPr>
        <w:t>Experimental m</w:t>
      </w:r>
      <w:r w:rsidRPr="00341F2C">
        <w:rPr>
          <w:rFonts w:asciiTheme="majorHAnsi" w:hAnsiTheme="majorHAnsi"/>
          <w:b/>
          <w:sz w:val="28"/>
          <w:szCs w:val="28"/>
        </w:rPr>
        <w:t>ethods</w:t>
      </w:r>
    </w:p>
    <w:p w14:paraId="77EB95A3" w14:textId="32B7FB32" w:rsidR="002B7D71" w:rsidRDefault="002B7D71" w:rsidP="002B7D71">
      <w:pPr>
        <w:pStyle w:val="MainText151510"/>
        <w:adjustRightInd w:val="0"/>
        <w:spacing w:line="360" w:lineRule="auto"/>
        <w:ind w:firstLineChars="0" w:firstLine="0"/>
        <w:rPr>
          <w:rFonts w:asciiTheme="majorHAnsi" w:eastAsiaTheme="minorEastAsia" w:hAnsiTheme="majorHAnsi" w:cs="Times New Roman"/>
          <w:szCs w:val="24"/>
          <w:lang w:val="en"/>
        </w:rPr>
      </w:pPr>
      <w:r>
        <w:rPr>
          <w:rFonts w:asciiTheme="majorHAnsi" w:eastAsiaTheme="minorEastAsia" w:hAnsiTheme="majorHAnsi" w:cs="Times New Roman"/>
          <w:szCs w:val="24"/>
          <w:lang w:val="en"/>
        </w:rPr>
        <w:t>2</w:t>
      </w:r>
      <w:r w:rsidRPr="00341F2C">
        <w:rPr>
          <w:rFonts w:asciiTheme="majorHAnsi" w:eastAsiaTheme="minorEastAsia" w:hAnsiTheme="majorHAnsi" w:cs="Times New Roman"/>
          <w:szCs w:val="24"/>
          <w:lang w:val="en"/>
        </w:rPr>
        <w:t xml:space="preserve">.1 </w:t>
      </w:r>
      <w:r w:rsidRPr="002B7D71">
        <w:rPr>
          <w:rFonts w:asciiTheme="majorHAnsi" w:eastAsiaTheme="minorEastAsia" w:hAnsiTheme="majorHAnsi" w:cs="Times New Roman"/>
          <w:szCs w:val="24"/>
          <w:lang w:val="en"/>
        </w:rPr>
        <w:t>Material Preparation</w:t>
      </w:r>
    </w:p>
    <w:p w14:paraId="064D7E93" w14:textId="6C499F4F" w:rsidR="002B7D71" w:rsidRPr="002B7D71" w:rsidRDefault="002B7D71" w:rsidP="002B7D71">
      <w:pPr>
        <w:pStyle w:val="MainText151510"/>
        <w:adjustRightInd w:val="0"/>
        <w:spacing w:line="360" w:lineRule="auto"/>
        <w:ind w:firstLineChars="0" w:firstLine="0"/>
      </w:pPr>
      <w:r w:rsidRPr="002B7D71">
        <w:t>All the reagents were used as received without further purification. Methylamine iodide (MAI, &gt; 99.99%), lead iodide (PbI</w:t>
      </w:r>
      <w:r w:rsidRPr="002B7D71">
        <w:rPr>
          <w:vertAlign w:val="subscript"/>
        </w:rPr>
        <w:t>2</w:t>
      </w:r>
      <w:r w:rsidRPr="002B7D71">
        <w:t xml:space="preserve">, &gt; 99.99%), </w:t>
      </w:r>
      <w:r w:rsidR="002731DC" w:rsidRPr="002B7D71">
        <w:t>2,2’,7,7’-tetrakis (N, N-di-p-</w:t>
      </w:r>
      <w:proofErr w:type="spellStart"/>
      <w:r w:rsidR="002731DC" w:rsidRPr="002B7D71">
        <w:t>methoxyphenylamine</w:t>
      </w:r>
      <w:proofErr w:type="spellEnd"/>
      <w:r w:rsidR="002731DC" w:rsidRPr="002B7D71">
        <w:t>)-9,9’-spirobifluorene (Spiro-</w:t>
      </w:r>
      <w:proofErr w:type="spellStart"/>
      <w:r w:rsidR="002731DC" w:rsidRPr="002B7D71">
        <w:t>OMeTAD</w:t>
      </w:r>
      <w:proofErr w:type="spellEnd"/>
      <w:r w:rsidR="002731DC" w:rsidRPr="002B7D71">
        <w:t>, &gt;99.5%)</w:t>
      </w:r>
      <w:r w:rsidR="002731DC">
        <w:t xml:space="preserve">, </w:t>
      </w:r>
      <w:r w:rsidRPr="002B7D71">
        <w:t>tris (2-(1H-pyrazol-1-yl)-4-tert-butylpyridine)-cobalt (Ⅲ) tris (bis-(</w:t>
      </w:r>
      <w:proofErr w:type="spellStart"/>
      <w:r w:rsidRPr="002B7D71">
        <w:t>trifluoromethylsulphonyl</w:t>
      </w:r>
      <w:proofErr w:type="spellEnd"/>
      <w:r w:rsidRPr="002B7D71">
        <w:t>) imide) (FK209, &gt; 99%), bis(</w:t>
      </w:r>
      <w:proofErr w:type="spellStart"/>
      <w:r w:rsidRPr="002B7D71">
        <w:t>trifluoromethance</w:t>
      </w:r>
      <w:proofErr w:type="spellEnd"/>
      <w:r w:rsidRPr="002B7D71">
        <w:t xml:space="preserve">) </w:t>
      </w:r>
      <w:proofErr w:type="spellStart"/>
      <w:r w:rsidRPr="002B7D71">
        <w:t>sulfonimide</w:t>
      </w:r>
      <w:proofErr w:type="spellEnd"/>
      <w:r w:rsidRPr="002B7D71">
        <w:t xml:space="preserve"> lithium salt (</w:t>
      </w:r>
      <w:proofErr w:type="spellStart"/>
      <w:r w:rsidRPr="002B7D71">
        <w:t>LiTFSI</w:t>
      </w:r>
      <w:proofErr w:type="spellEnd"/>
      <w:r w:rsidRPr="002B7D71">
        <w:t>, &gt; 99%) and 4-tert-butylpyridine (4-TBP, &gt; 96%) were</w:t>
      </w:r>
      <w:r w:rsidRPr="002731DC">
        <w:rPr>
          <w:rFonts w:cs="Times New Roman"/>
        </w:rPr>
        <w:t xml:space="preserve"> </w:t>
      </w:r>
      <w:r w:rsidR="002731DC" w:rsidRPr="002731DC">
        <w:rPr>
          <w:rFonts w:eastAsia="宋体" w:cs="Times New Roman"/>
          <w:lang w:eastAsia="zh-CN"/>
        </w:rPr>
        <w:t>purchase</w:t>
      </w:r>
      <w:r w:rsidR="002731DC" w:rsidRPr="002731DC">
        <w:rPr>
          <w:rFonts w:cs="Times New Roman"/>
        </w:rPr>
        <w:t>d</w:t>
      </w:r>
      <w:r w:rsidR="002731DC">
        <w:t xml:space="preserve"> from</w:t>
      </w:r>
      <w:r w:rsidR="002731DC" w:rsidRPr="002731DC">
        <w:t xml:space="preserve"> Tokyo Chemical</w:t>
      </w:r>
      <w:r w:rsidR="002731DC">
        <w:t xml:space="preserve"> </w:t>
      </w:r>
      <w:r w:rsidR="002731DC" w:rsidRPr="002731DC">
        <w:t>Industry (TCI) Co., Japan</w:t>
      </w:r>
      <w:r w:rsidRPr="002B7D71">
        <w:t>. The SnO</w:t>
      </w:r>
      <w:r w:rsidRPr="002B7D71">
        <w:rPr>
          <w:vertAlign w:val="subscript"/>
        </w:rPr>
        <w:t>2</w:t>
      </w:r>
      <w:r w:rsidRPr="002B7D71">
        <w:t xml:space="preserve"> colloid solution (tin (Ⅳ) oxide) was obtained from Alfa </w:t>
      </w:r>
      <w:proofErr w:type="spellStart"/>
      <w:r w:rsidRPr="002B7D71">
        <w:t>Aesar</w:t>
      </w:r>
      <w:proofErr w:type="spellEnd"/>
      <w:r w:rsidRPr="002B7D71">
        <w:t>. Other chemicals were provided by Wako</w:t>
      </w:r>
      <w:r w:rsidRPr="002B7D71">
        <w:rPr>
          <w:rFonts w:hint="eastAsia"/>
        </w:rPr>
        <w:t xml:space="preserve"> </w:t>
      </w:r>
      <w:r w:rsidRPr="002B7D71">
        <w:t>Co., Japan.</w:t>
      </w:r>
    </w:p>
    <w:p w14:paraId="572C7492" w14:textId="77777777" w:rsidR="002B7D71" w:rsidRPr="002B7D71" w:rsidRDefault="002B7D71" w:rsidP="002B7D71">
      <w:pPr>
        <w:pStyle w:val="MainText151510"/>
        <w:adjustRightInd w:val="0"/>
        <w:spacing w:line="360" w:lineRule="auto"/>
        <w:ind w:firstLineChars="0" w:firstLine="0"/>
        <w:rPr>
          <w:rFonts w:asciiTheme="majorHAnsi" w:eastAsiaTheme="minorEastAsia" w:hAnsiTheme="majorHAnsi" w:cs="Times New Roman"/>
          <w:szCs w:val="24"/>
          <w:lang w:val="en"/>
        </w:rPr>
      </w:pPr>
    </w:p>
    <w:p w14:paraId="27B3AD7E" w14:textId="4C0A42EE" w:rsidR="002B7D71" w:rsidRDefault="002B7D71" w:rsidP="002B7D71">
      <w:pPr>
        <w:pStyle w:val="MainText151510"/>
        <w:adjustRightInd w:val="0"/>
        <w:spacing w:line="360" w:lineRule="auto"/>
        <w:ind w:firstLineChars="0" w:firstLine="0"/>
        <w:rPr>
          <w:rFonts w:asciiTheme="majorHAnsi" w:eastAsiaTheme="minorEastAsia" w:hAnsiTheme="majorHAnsi" w:cs="Times New Roman"/>
          <w:szCs w:val="24"/>
          <w:lang w:val="en"/>
        </w:rPr>
      </w:pPr>
      <w:r>
        <w:rPr>
          <w:rFonts w:asciiTheme="majorHAnsi" w:eastAsiaTheme="minorEastAsia" w:hAnsiTheme="majorHAnsi" w:cs="Times New Roman"/>
          <w:szCs w:val="24"/>
          <w:lang w:val="en"/>
        </w:rPr>
        <w:t>2</w:t>
      </w:r>
      <w:r w:rsidRPr="00341F2C">
        <w:rPr>
          <w:rFonts w:asciiTheme="majorHAnsi" w:eastAsiaTheme="minorEastAsia" w:hAnsiTheme="majorHAnsi" w:cs="Times New Roman"/>
          <w:szCs w:val="24"/>
          <w:lang w:val="en"/>
        </w:rPr>
        <w:t>.</w:t>
      </w:r>
      <w:r>
        <w:rPr>
          <w:rFonts w:asciiTheme="majorHAnsi" w:eastAsiaTheme="minorEastAsia" w:hAnsiTheme="majorHAnsi" w:cs="Times New Roman"/>
          <w:szCs w:val="24"/>
          <w:lang w:val="en"/>
        </w:rPr>
        <w:t xml:space="preserve">2 </w:t>
      </w:r>
      <w:r w:rsidRPr="002B7D71">
        <w:rPr>
          <w:rFonts w:asciiTheme="majorHAnsi" w:eastAsiaTheme="minorEastAsia" w:hAnsiTheme="majorHAnsi" w:cs="Times New Roman"/>
          <w:szCs w:val="24"/>
          <w:lang w:val="en"/>
        </w:rPr>
        <w:t>Preparation of SnO</w:t>
      </w:r>
      <w:r w:rsidRPr="002B7D71">
        <w:rPr>
          <w:rFonts w:asciiTheme="majorHAnsi" w:eastAsiaTheme="minorEastAsia" w:hAnsiTheme="majorHAnsi" w:cs="Times New Roman"/>
          <w:szCs w:val="24"/>
          <w:vertAlign w:val="subscript"/>
          <w:lang w:val="en"/>
        </w:rPr>
        <w:t>2</w:t>
      </w:r>
      <w:r w:rsidRPr="002B7D71">
        <w:rPr>
          <w:rFonts w:asciiTheme="majorHAnsi" w:eastAsiaTheme="minorEastAsia" w:hAnsiTheme="majorHAnsi" w:cs="Times New Roman"/>
          <w:szCs w:val="24"/>
          <w:lang w:val="en"/>
        </w:rPr>
        <w:t xml:space="preserve"> ETL on FTO Substrate</w:t>
      </w:r>
    </w:p>
    <w:p w14:paraId="7B071038" w14:textId="23547A3A" w:rsidR="002B7D71" w:rsidRPr="002B7D71" w:rsidRDefault="002B7D71" w:rsidP="002B7D71">
      <w:pPr>
        <w:pStyle w:val="MainText151510"/>
        <w:adjustRightInd w:val="0"/>
        <w:spacing w:line="360" w:lineRule="auto"/>
        <w:ind w:firstLineChars="0" w:firstLine="0"/>
        <w:rPr>
          <w:rFonts w:eastAsiaTheme="minorEastAsia"/>
        </w:rPr>
      </w:pPr>
      <w:r w:rsidRPr="002B7D71">
        <w:t>Flu</w:t>
      </w:r>
      <w:r w:rsidRPr="002B7D71">
        <w:rPr>
          <w:rFonts w:hint="eastAsia"/>
        </w:rPr>
        <w:t>orine</w:t>
      </w:r>
      <w:r w:rsidRPr="002B7D71">
        <w:t>-doped tin oxide (FTO) conducting glass substrates (sheet resistance of 10 Ω sq</w:t>
      </w:r>
      <w:r w:rsidRPr="002B7D71">
        <w:rPr>
          <w:vertAlign w:val="superscript"/>
        </w:rPr>
        <w:t>-1</w:t>
      </w:r>
      <w:r w:rsidRPr="002B7D71">
        <w:t xml:space="preserve">) were sequentially washed by ultrasonication in detergent solution, deionized water, ethyl alcohol, </w:t>
      </w:r>
      <w:proofErr w:type="gramStart"/>
      <w:r w:rsidRPr="002B7D71">
        <w:t>acetone</w:t>
      </w:r>
      <w:proofErr w:type="gramEnd"/>
      <w:r w:rsidRPr="002B7D71">
        <w:t xml:space="preserve"> and isopropanol (IPA) for 20 min, respectively. The SnO</w:t>
      </w:r>
      <w:r w:rsidRPr="002B7D71">
        <w:rPr>
          <w:vertAlign w:val="subscript"/>
        </w:rPr>
        <w:t>2</w:t>
      </w:r>
      <w:r w:rsidRPr="002B7D71">
        <w:t xml:space="preserve"> colloid solution (15%) was diluted with deionized water to the concentration of 5 </w:t>
      </w:r>
      <w:proofErr w:type="spellStart"/>
      <w:r w:rsidRPr="002B7D71">
        <w:t>wt</w:t>
      </w:r>
      <w:proofErr w:type="spellEnd"/>
      <w:r w:rsidRPr="002B7D71">
        <w:t>%. Before ETLs deposition, the cleaned FTO substrates were dried with nitrogen and treated by UV-ozone for 30 min. The colloid precursor of SnO</w:t>
      </w:r>
      <w:r w:rsidRPr="002B7D71">
        <w:rPr>
          <w:vertAlign w:val="subscript"/>
        </w:rPr>
        <w:t>2</w:t>
      </w:r>
      <w:r w:rsidRPr="002B7D71">
        <w:t xml:space="preserve"> was spin-coated onto FTO substrate at 3000 rpm for 20 s. The substrate was then annealed at 150 ℃ for 30 min to obtain the SnO</w:t>
      </w:r>
      <w:r w:rsidRPr="002B7D71">
        <w:rPr>
          <w:vertAlign w:val="subscript"/>
        </w:rPr>
        <w:t>2</w:t>
      </w:r>
      <w:r w:rsidRPr="002B7D71">
        <w:t xml:space="preserve"> film. </w:t>
      </w:r>
    </w:p>
    <w:p w14:paraId="36AA6408" w14:textId="77777777" w:rsidR="002B7D71" w:rsidRPr="00341F2C" w:rsidRDefault="002B7D71" w:rsidP="002B7D71">
      <w:pPr>
        <w:pStyle w:val="MainText151510"/>
        <w:adjustRightInd w:val="0"/>
        <w:spacing w:line="360" w:lineRule="auto"/>
        <w:ind w:firstLineChars="0" w:firstLine="0"/>
        <w:rPr>
          <w:rFonts w:asciiTheme="majorHAnsi" w:eastAsiaTheme="minorEastAsia" w:hAnsiTheme="majorHAnsi" w:cs="Times New Roman"/>
          <w:szCs w:val="24"/>
          <w:lang w:val="en"/>
        </w:rPr>
      </w:pPr>
    </w:p>
    <w:p w14:paraId="64CBC258" w14:textId="5A446412" w:rsidR="002B7D71" w:rsidRPr="002B7D71" w:rsidRDefault="002B7D71" w:rsidP="00E522AC">
      <w:pPr>
        <w:pStyle w:val="MainText151510"/>
        <w:adjustRightInd w:val="0"/>
        <w:spacing w:line="360" w:lineRule="auto"/>
        <w:ind w:firstLineChars="0" w:firstLine="0"/>
        <w:rPr>
          <w:rFonts w:asciiTheme="majorHAnsi" w:eastAsiaTheme="minorEastAsia" w:hAnsiTheme="majorHAnsi" w:cs="Times New Roman"/>
          <w:szCs w:val="24"/>
          <w:lang w:val="en"/>
        </w:rPr>
      </w:pPr>
      <w:r>
        <w:rPr>
          <w:rFonts w:asciiTheme="majorHAnsi" w:eastAsiaTheme="minorEastAsia" w:hAnsiTheme="majorHAnsi" w:cs="Times New Roman"/>
          <w:szCs w:val="24"/>
          <w:lang w:val="en"/>
        </w:rPr>
        <w:t>2</w:t>
      </w:r>
      <w:r w:rsidRPr="00341F2C">
        <w:rPr>
          <w:rFonts w:asciiTheme="majorHAnsi" w:eastAsiaTheme="minorEastAsia" w:hAnsiTheme="majorHAnsi" w:cs="Times New Roman"/>
          <w:szCs w:val="24"/>
          <w:lang w:val="en"/>
        </w:rPr>
        <w:t>.</w:t>
      </w:r>
      <w:r>
        <w:rPr>
          <w:rFonts w:asciiTheme="majorHAnsi" w:eastAsiaTheme="minorEastAsia" w:hAnsiTheme="majorHAnsi" w:cs="Times New Roman"/>
          <w:szCs w:val="24"/>
          <w:lang w:val="en"/>
        </w:rPr>
        <w:t>3</w:t>
      </w:r>
      <w:r w:rsidRPr="00341F2C">
        <w:rPr>
          <w:rFonts w:asciiTheme="majorHAnsi" w:eastAsiaTheme="minorEastAsia" w:hAnsiTheme="majorHAnsi" w:cs="Times New Roman"/>
          <w:szCs w:val="24"/>
          <w:lang w:val="en"/>
        </w:rPr>
        <w:t xml:space="preserve"> </w:t>
      </w:r>
      <w:r w:rsidRPr="002B7D71">
        <w:rPr>
          <w:rFonts w:asciiTheme="majorHAnsi" w:eastAsiaTheme="minorEastAsia" w:hAnsiTheme="majorHAnsi" w:cs="Times New Roman"/>
          <w:szCs w:val="24"/>
          <w:lang w:val="en"/>
        </w:rPr>
        <w:t>Solar Cell Fabrication</w:t>
      </w:r>
      <w:r>
        <w:rPr>
          <w:rFonts w:asciiTheme="majorHAnsi" w:eastAsiaTheme="minorEastAsia" w:hAnsiTheme="majorHAnsi" w:cs="Times New Roman"/>
          <w:szCs w:val="24"/>
          <w:lang w:val="en"/>
        </w:rPr>
        <w:t xml:space="preserve"> and Characterization </w:t>
      </w:r>
    </w:p>
    <w:p w14:paraId="3D5B5981" w14:textId="77777777" w:rsidR="002B7D71" w:rsidRPr="002B7D71" w:rsidRDefault="002B7D71" w:rsidP="002B7D71">
      <w:pPr>
        <w:pStyle w:val="MainText151510"/>
        <w:adjustRightInd w:val="0"/>
        <w:spacing w:line="360" w:lineRule="auto"/>
        <w:ind w:firstLineChars="0" w:firstLine="0"/>
      </w:pPr>
      <w:r w:rsidRPr="002B7D71">
        <w:t>After the preparation for ETLs, the substrates were moved into a glove box filled with N</w:t>
      </w:r>
      <w:r w:rsidRPr="002B7D71">
        <w:rPr>
          <w:vertAlign w:val="subscript"/>
        </w:rPr>
        <w:t>2</w:t>
      </w:r>
      <w:r w:rsidRPr="002B7D71">
        <w:t xml:space="preserve"> for perovskite</w:t>
      </w:r>
      <w:r w:rsidRPr="002B7D71">
        <w:rPr>
          <w:rFonts w:hint="eastAsia"/>
        </w:rPr>
        <w:t>,</w:t>
      </w:r>
      <w:r w:rsidRPr="002B7D71">
        <w:t xml:space="preserve"> HTL deposition and electrode evaporation. The MAPbI</w:t>
      </w:r>
      <w:r w:rsidRPr="002B7D71">
        <w:rPr>
          <w:vertAlign w:val="subscript"/>
        </w:rPr>
        <w:t>3</w:t>
      </w:r>
      <w:r w:rsidRPr="002B7D71">
        <w:t xml:space="preserve"> perovskite layers </w:t>
      </w:r>
      <w:r w:rsidRPr="002B7D71">
        <w:lastRenderedPageBreak/>
        <w:t>were fabricated by one-step method as reported. 553 mg PbI</w:t>
      </w:r>
      <w:r w:rsidRPr="002B7D71">
        <w:rPr>
          <w:vertAlign w:val="subscript"/>
        </w:rPr>
        <w:t>2</w:t>
      </w:r>
      <w:r w:rsidRPr="002B7D71">
        <w:t xml:space="preserve"> and 190 mg MA</w:t>
      </w:r>
      <w:r w:rsidRPr="002B7D71">
        <w:rPr>
          <w:rFonts w:hint="eastAsia"/>
        </w:rPr>
        <w:t xml:space="preserve">I were dissolved in 1 ml </w:t>
      </w:r>
      <w:r w:rsidRPr="002B7D71">
        <w:t>mixed DMF/</w:t>
      </w:r>
      <w:r w:rsidRPr="002B7D71">
        <w:rPr>
          <w:rFonts w:hint="eastAsia"/>
        </w:rPr>
        <w:t>DMSO</w:t>
      </w:r>
      <w:r w:rsidRPr="002B7D71">
        <w:t xml:space="preserve"> (4:1)</w:t>
      </w:r>
      <w:r w:rsidRPr="002B7D71">
        <w:rPr>
          <w:rFonts w:hint="eastAsia"/>
        </w:rPr>
        <w:t xml:space="preserve"> </w:t>
      </w:r>
      <w:r w:rsidRPr="002B7D71">
        <w:t xml:space="preserve">solvent </w:t>
      </w:r>
      <w:r w:rsidRPr="002B7D71">
        <w:rPr>
          <w:rFonts w:hint="eastAsia"/>
        </w:rPr>
        <w:t xml:space="preserve">and stirred for </w:t>
      </w:r>
      <w:r w:rsidRPr="002B7D71">
        <w:t>one night</w:t>
      </w:r>
      <w:r w:rsidRPr="002B7D71">
        <w:rPr>
          <w:rFonts w:hint="eastAsia"/>
        </w:rPr>
        <w:t xml:space="preserve"> at </w:t>
      </w:r>
      <w:r w:rsidRPr="002B7D71">
        <w:t>5</w:t>
      </w:r>
      <w:r w:rsidRPr="002B7D71">
        <w:rPr>
          <w:rFonts w:hint="eastAsia"/>
        </w:rPr>
        <w:t xml:space="preserve">0 </w:t>
      </w:r>
      <w:r w:rsidRPr="002B7D71">
        <w:t>℃</w:t>
      </w:r>
      <w:r w:rsidRPr="002B7D71">
        <w:rPr>
          <w:rFonts w:hint="eastAsia"/>
        </w:rPr>
        <w:t xml:space="preserve">. After that, </w:t>
      </w:r>
      <w:r w:rsidRPr="002B7D71">
        <w:t>100</w:t>
      </w:r>
      <w:r w:rsidRPr="002B7D71">
        <w:rPr>
          <w:rFonts w:hint="eastAsia"/>
        </w:rPr>
        <w:t xml:space="preserve"> </w:t>
      </w:r>
      <w:proofErr w:type="spellStart"/>
      <w:r w:rsidRPr="002B7D71">
        <w:t>μ</w:t>
      </w:r>
      <w:r w:rsidRPr="002B7D71">
        <w:rPr>
          <w:rFonts w:hint="eastAsia"/>
        </w:rPr>
        <w:t>l</w:t>
      </w:r>
      <w:proofErr w:type="spellEnd"/>
      <w:r w:rsidRPr="002B7D71">
        <w:rPr>
          <w:rFonts w:hint="eastAsia"/>
        </w:rPr>
        <w:t xml:space="preserve"> of the precursor was spin-coated onto the </w:t>
      </w:r>
      <w:r w:rsidRPr="002B7D71">
        <w:t>FTO/SnO</w:t>
      </w:r>
      <w:r w:rsidRPr="002B7D71">
        <w:rPr>
          <w:vertAlign w:val="subscript"/>
        </w:rPr>
        <w:t>2</w:t>
      </w:r>
      <w:r w:rsidRPr="002B7D71">
        <w:t xml:space="preserve"> substrate</w:t>
      </w:r>
      <w:r w:rsidRPr="002B7D71">
        <w:rPr>
          <w:rFonts w:hint="eastAsia"/>
        </w:rPr>
        <w:t xml:space="preserve"> at 1</w:t>
      </w:r>
      <w:r w:rsidRPr="002B7D71">
        <w:t>0</w:t>
      </w:r>
      <w:r w:rsidRPr="002B7D71">
        <w:rPr>
          <w:rFonts w:hint="eastAsia"/>
        </w:rPr>
        <w:t>00 rpm for 1</w:t>
      </w:r>
      <w:r w:rsidRPr="002B7D71">
        <w:t>2</w:t>
      </w:r>
      <w:r w:rsidRPr="002B7D71">
        <w:rPr>
          <w:rFonts w:hint="eastAsia"/>
        </w:rPr>
        <w:t xml:space="preserve"> s and </w:t>
      </w:r>
      <w:r w:rsidRPr="002B7D71">
        <w:t>50</w:t>
      </w:r>
      <w:r w:rsidRPr="002B7D71">
        <w:rPr>
          <w:rFonts w:hint="eastAsia"/>
        </w:rPr>
        <w:t xml:space="preserve">00 rpm for 30s, respectively. </w:t>
      </w:r>
      <w:r w:rsidRPr="002B7D71">
        <w:t xml:space="preserve">During the high-speed spin-coating process, 200 </w:t>
      </w:r>
      <w:proofErr w:type="spellStart"/>
      <w:r w:rsidRPr="002B7D71">
        <w:t>μ</w:t>
      </w:r>
      <w:r w:rsidRPr="002B7D71">
        <w:rPr>
          <w:rFonts w:hint="eastAsia"/>
        </w:rPr>
        <w:t>l</w:t>
      </w:r>
      <w:proofErr w:type="spellEnd"/>
      <w:r w:rsidRPr="002B7D71">
        <w:rPr>
          <w:rFonts w:hint="eastAsia"/>
        </w:rPr>
        <w:t xml:space="preserve"> </w:t>
      </w:r>
      <w:r w:rsidRPr="002B7D71">
        <w:t xml:space="preserve">antisolvent was dripped on the perovskite film after 7s to promote the perovskite crystallization. </w:t>
      </w:r>
      <w:r w:rsidRPr="002B7D71">
        <w:rPr>
          <w:rFonts w:hint="eastAsia"/>
        </w:rPr>
        <w:t xml:space="preserve">Subsequently, the </w:t>
      </w:r>
      <w:r w:rsidRPr="002B7D71">
        <w:t xml:space="preserve">substrates </w:t>
      </w:r>
      <w:r w:rsidRPr="002B7D71">
        <w:rPr>
          <w:rFonts w:hint="eastAsia"/>
        </w:rPr>
        <w:t xml:space="preserve">were annealed at </w:t>
      </w:r>
      <w:r w:rsidRPr="002B7D71">
        <w:t>10</w:t>
      </w:r>
      <w:r w:rsidRPr="002B7D71">
        <w:rPr>
          <w:rFonts w:hint="eastAsia"/>
        </w:rPr>
        <w:t xml:space="preserve">0 </w:t>
      </w:r>
      <w:r w:rsidRPr="002B7D71">
        <w:t>℃</w:t>
      </w:r>
      <w:r w:rsidRPr="002B7D71">
        <w:rPr>
          <w:rFonts w:hint="eastAsia"/>
        </w:rPr>
        <w:t xml:space="preserve"> for 10 min to </w:t>
      </w:r>
      <w:r w:rsidRPr="002B7D71">
        <w:t>form uniform and compact films</w:t>
      </w:r>
      <w:r w:rsidRPr="002B7D71">
        <w:rPr>
          <w:rFonts w:hint="eastAsia"/>
        </w:rPr>
        <w:t xml:space="preserve">. For HTL, the mixture of </w:t>
      </w:r>
      <w:r w:rsidRPr="002B7D71">
        <w:t>72</w:t>
      </w:r>
      <w:r w:rsidRPr="002B7D71">
        <w:rPr>
          <w:rFonts w:hint="eastAsia"/>
        </w:rPr>
        <w:t xml:space="preserve"> mg Spiro-</w:t>
      </w:r>
      <w:proofErr w:type="spellStart"/>
      <w:r w:rsidRPr="002B7D71">
        <w:rPr>
          <w:rFonts w:hint="eastAsia"/>
        </w:rPr>
        <w:t>OMeTAD</w:t>
      </w:r>
      <w:proofErr w:type="spellEnd"/>
      <w:r w:rsidRPr="002B7D71">
        <w:rPr>
          <w:rFonts w:hint="eastAsia"/>
        </w:rPr>
        <w:t xml:space="preserve">, </w:t>
      </w:r>
      <w:r w:rsidRPr="002B7D71">
        <w:t>14</w:t>
      </w:r>
      <w:r w:rsidRPr="002B7D71">
        <w:rPr>
          <w:rFonts w:hint="eastAsia"/>
        </w:rPr>
        <w:t xml:space="preserve"> </w:t>
      </w:r>
      <w:proofErr w:type="spellStart"/>
      <w:r w:rsidRPr="002B7D71">
        <w:t>μ</w:t>
      </w:r>
      <w:r w:rsidRPr="002B7D71">
        <w:rPr>
          <w:rFonts w:hint="eastAsia"/>
        </w:rPr>
        <w:t>l</w:t>
      </w:r>
      <w:proofErr w:type="spellEnd"/>
      <w:r w:rsidRPr="002B7D71">
        <w:rPr>
          <w:rFonts w:hint="eastAsia"/>
        </w:rPr>
        <w:t xml:space="preserve"> FK209 (</w:t>
      </w:r>
      <w:r w:rsidRPr="002B7D71">
        <w:t>376</w:t>
      </w:r>
      <w:r w:rsidRPr="002B7D71">
        <w:rPr>
          <w:rFonts w:hint="eastAsia"/>
        </w:rPr>
        <w:t xml:space="preserve"> mg ml</w:t>
      </w:r>
      <w:r w:rsidRPr="002B7D71">
        <w:rPr>
          <w:rFonts w:hint="eastAsia"/>
          <w:vertAlign w:val="superscript"/>
        </w:rPr>
        <w:t>-1</w:t>
      </w:r>
      <w:r w:rsidRPr="002B7D71">
        <w:rPr>
          <w:rFonts w:hint="eastAsia"/>
        </w:rPr>
        <w:t xml:space="preserve"> in acetonitrile), </w:t>
      </w:r>
      <w:r w:rsidRPr="002B7D71">
        <w:t>17</w:t>
      </w:r>
      <w:r w:rsidRPr="002B7D71">
        <w:rPr>
          <w:rFonts w:hint="eastAsia"/>
        </w:rPr>
        <w:t xml:space="preserve"> </w:t>
      </w:r>
      <w:proofErr w:type="spellStart"/>
      <w:r w:rsidRPr="002B7D71">
        <w:t>μ</w:t>
      </w:r>
      <w:r w:rsidRPr="002B7D71">
        <w:rPr>
          <w:rFonts w:hint="eastAsia"/>
        </w:rPr>
        <w:t>l</w:t>
      </w:r>
      <w:proofErr w:type="spellEnd"/>
      <w:r w:rsidRPr="002B7D71">
        <w:rPr>
          <w:rFonts w:hint="eastAsia"/>
        </w:rPr>
        <w:t xml:space="preserve"> Li-TFSI (</w:t>
      </w:r>
      <w:r w:rsidRPr="002B7D71">
        <w:t>520</w:t>
      </w:r>
      <w:r w:rsidRPr="002B7D71">
        <w:rPr>
          <w:rFonts w:hint="eastAsia"/>
        </w:rPr>
        <w:t xml:space="preserve"> mg ml</w:t>
      </w:r>
      <w:r w:rsidRPr="002B7D71">
        <w:rPr>
          <w:rFonts w:hint="eastAsia"/>
          <w:vertAlign w:val="superscript"/>
        </w:rPr>
        <w:t>-1</w:t>
      </w:r>
      <w:r w:rsidRPr="002B7D71">
        <w:rPr>
          <w:rFonts w:hint="eastAsia"/>
        </w:rPr>
        <w:t xml:space="preserve"> in acetonitrile) and </w:t>
      </w:r>
      <w:r w:rsidRPr="002B7D71">
        <w:t>29</w:t>
      </w:r>
      <w:r w:rsidRPr="002B7D71">
        <w:rPr>
          <w:rFonts w:hint="eastAsia"/>
        </w:rPr>
        <w:t xml:space="preserve"> </w:t>
      </w:r>
      <w:proofErr w:type="spellStart"/>
      <w:r w:rsidRPr="002B7D71">
        <w:t>μ</w:t>
      </w:r>
      <w:r w:rsidRPr="002B7D71">
        <w:rPr>
          <w:rFonts w:hint="eastAsia"/>
        </w:rPr>
        <w:t>l</w:t>
      </w:r>
      <w:proofErr w:type="spellEnd"/>
      <w:r w:rsidRPr="002B7D71">
        <w:rPr>
          <w:rFonts w:hint="eastAsia"/>
        </w:rPr>
        <w:t xml:space="preserve"> 4-TBP dissolved in 1 ml CB was spin-c</w:t>
      </w:r>
      <w:r w:rsidRPr="002B7D71">
        <w:t>oated onto perovskite film at 4000 rpm for 20s. Finally, 100 nm gold (Au) was thermally evaporated on the top of films under vacuum (&lt;5 × 10</w:t>
      </w:r>
      <w:r w:rsidRPr="002B7D71">
        <w:rPr>
          <w:vertAlign w:val="superscript"/>
        </w:rPr>
        <w:t>-4</w:t>
      </w:r>
      <w:r w:rsidRPr="002B7D71">
        <w:t xml:space="preserve"> Pa). The active area of all the solar cells was 0.09 cm</w:t>
      </w:r>
      <w:r w:rsidRPr="002B7D71">
        <w:rPr>
          <w:vertAlign w:val="superscript"/>
        </w:rPr>
        <w:t>2</w:t>
      </w:r>
      <w:r w:rsidRPr="002B7D71">
        <w:t xml:space="preserve">. The J-V characteristic of all the devices were recorded using a solar simulator (WXS-155S-10: Wacom Denso Co., Japan) under AM 1.5G illumination at 100 </w:t>
      </w:r>
      <w:proofErr w:type="spellStart"/>
      <w:r w:rsidRPr="002B7D71">
        <w:t>mW</w:t>
      </w:r>
      <w:proofErr w:type="spellEnd"/>
      <w:r w:rsidRPr="002B7D71">
        <w:t xml:space="preserve"> cm</w:t>
      </w:r>
      <w:r w:rsidRPr="002B7D71">
        <w:rPr>
          <w:vertAlign w:val="superscript"/>
        </w:rPr>
        <w:t>-2</w:t>
      </w:r>
      <w:r w:rsidRPr="002B7D71">
        <w:t xml:space="preserve"> in air condition.</w:t>
      </w:r>
    </w:p>
    <w:p w14:paraId="4AB8DF93" w14:textId="77777777" w:rsidR="00176B2F" w:rsidRDefault="00176B2F" w:rsidP="00E522AC">
      <w:pPr>
        <w:pStyle w:val="MainText151510"/>
        <w:adjustRightInd w:val="0"/>
        <w:spacing w:line="360" w:lineRule="auto"/>
        <w:ind w:firstLineChars="0" w:firstLine="0"/>
        <w:rPr>
          <w:rFonts w:cs="Times New Roman"/>
          <w:szCs w:val="24"/>
          <w:lang w:val="en"/>
        </w:rPr>
      </w:pPr>
    </w:p>
    <w:p w14:paraId="3165F733" w14:textId="4E8F62AD" w:rsidR="00176B2F" w:rsidRPr="00341F2C" w:rsidRDefault="00176B2F" w:rsidP="00E522AC">
      <w:pPr>
        <w:pStyle w:val="MainText151510"/>
        <w:adjustRightInd w:val="0"/>
        <w:spacing w:line="360" w:lineRule="auto"/>
        <w:ind w:firstLineChars="0" w:firstLine="0"/>
        <w:rPr>
          <w:rFonts w:asciiTheme="majorHAnsi" w:hAnsiTheme="majorHAnsi"/>
          <w:b/>
          <w:sz w:val="28"/>
          <w:szCs w:val="28"/>
        </w:rPr>
      </w:pPr>
      <w:r w:rsidRPr="00341F2C">
        <w:rPr>
          <w:rFonts w:asciiTheme="majorHAnsi" w:hAnsiTheme="majorHAnsi"/>
          <w:b/>
          <w:sz w:val="28"/>
          <w:szCs w:val="28"/>
        </w:rPr>
        <w:t xml:space="preserve">3. </w:t>
      </w:r>
      <w:r w:rsidR="00FD7B09">
        <w:rPr>
          <w:rFonts w:asciiTheme="majorHAnsi" w:hAnsiTheme="majorHAnsi"/>
          <w:b/>
          <w:sz w:val="28"/>
          <w:szCs w:val="28"/>
        </w:rPr>
        <w:t>Simulation section</w:t>
      </w:r>
    </w:p>
    <w:p w14:paraId="542F2DE4" w14:textId="5A6EC7E7" w:rsidR="00176B2F" w:rsidRDefault="009C7851" w:rsidP="00E522AC">
      <w:pPr>
        <w:pStyle w:val="MainText151510"/>
        <w:adjustRightInd w:val="0"/>
        <w:spacing w:line="360" w:lineRule="auto"/>
        <w:ind w:firstLineChars="0" w:firstLine="0"/>
        <w:rPr>
          <w:rFonts w:cs="Times New Roman"/>
          <w:szCs w:val="24"/>
          <w:lang w:val="en"/>
        </w:rPr>
      </w:pPr>
      <w:r w:rsidRPr="009C7851">
        <w:rPr>
          <w:rFonts w:cs="Times New Roman" w:hint="eastAsia"/>
          <w:szCs w:val="24"/>
        </w:rPr>
        <w:t>F</w:t>
      </w:r>
      <w:r w:rsidRPr="009C7851">
        <w:rPr>
          <w:rFonts w:cs="Times New Roman"/>
          <w:szCs w:val="24"/>
        </w:rPr>
        <w:t>igure 1</w:t>
      </w:r>
      <w:r w:rsidR="00BC495F">
        <w:rPr>
          <w:rFonts w:cs="Times New Roman"/>
          <w:szCs w:val="24"/>
        </w:rPr>
        <w:t>(</w:t>
      </w:r>
      <w:r w:rsidRPr="009C7851">
        <w:rPr>
          <w:rFonts w:cs="Times New Roman"/>
          <w:szCs w:val="24"/>
        </w:rPr>
        <w:t>a</w:t>
      </w:r>
      <w:r w:rsidR="00BC495F">
        <w:rPr>
          <w:rFonts w:cs="Times New Roman"/>
          <w:szCs w:val="24"/>
        </w:rPr>
        <w:t>)</w:t>
      </w:r>
      <w:r w:rsidRPr="009C7851">
        <w:rPr>
          <w:rFonts w:cs="Times New Roman"/>
          <w:szCs w:val="24"/>
        </w:rPr>
        <w:t xml:space="preserve"> shows the simulation structure of planar n-</w:t>
      </w:r>
      <w:proofErr w:type="spellStart"/>
      <w:r w:rsidRPr="009C7851">
        <w:rPr>
          <w:rFonts w:cs="Times New Roman"/>
          <w:szCs w:val="24"/>
        </w:rPr>
        <w:t>i</w:t>
      </w:r>
      <w:proofErr w:type="spellEnd"/>
      <w:r w:rsidRPr="009C7851">
        <w:rPr>
          <w:rFonts w:cs="Times New Roman"/>
          <w:szCs w:val="24"/>
        </w:rPr>
        <w:t>-p MAPbI</w:t>
      </w:r>
      <w:r w:rsidRPr="009C7851">
        <w:rPr>
          <w:rFonts w:cs="Times New Roman"/>
          <w:szCs w:val="24"/>
          <w:vertAlign w:val="subscript"/>
        </w:rPr>
        <w:t xml:space="preserve">3 </w:t>
      </w:r>
      <w:r w:rsidRPr="009C7851">
        <w:rPr>
          <w:rFonts w:cs="Times New Roman"/>
          <w:szCs w:val="24"/>
        </w:rPr>
        <w:t>PSC, which is comprised of FTO substrate/SnO</w:t>
      </w:r>
      <w:r w:rsidRPr="009C7851">
        <w:rPr>
          <w:rFonts w:cs="Times New Roman"/>
          <w:szCs w:val="24"/>
          <w:vertAlign w:val="subscript"/>
        </w:rPr>
        <w:t>2</w:t>
      </w:r>
      <w:r w:rsidRPr="009C7851">
        <w:rPr>
          <w:rFonts w:cs="Times New Roman"/>
          <w:szCs w:val="24"/>
        </w:rPr>
        <w:t>/MAPbI</w:t>
      </w:r>
      <w:r w:rsidRPr="009C7851">
        <w:rPr>
          <w:rFonts w:cs="Times New Roman"/>
          <w:szCs w:val="24"/>
          <w:vertAlign w:val="subscript"/>
        </w:rPr>
        <w:t>3</w:t>
      </w:r>
      <w:r w:rsidRPr="009C7851">
        <w:rPr>
          <w:rFonts w:cs="Times New Roman"/>
          <w:szCs w:val="24"/>
        </w:rPr>
        <w:t>/Spiro-</w:t>
      </w:r>
      <w:proofErr w:type="spellStart"/>
      <w:r w:rsidRPr="009C7851">
        <w:rPr>
          <w:rFonts w:cs="Times New Roman"/>
          <w:szCs w:val="24"/>
        </w:rPr>
        <w:t>OMeTAD</w:t>
      </w:r>
      <w:proofErr w:type="spellEnd"/>
      <w:r w:rsidRPr="009C7851">
        <w:rPr>
          <w:rFonts w:cs="Times New Roman"/>
          <w:szCs w:val="24"/>
        </w:rPr>
        <w:t>/Au. As the transparent electrode and metal back electrode, the FTO substrate and gold layer take on the work function of 4.4 eV and 5.1 eV, respectively.</w:t>
      </w:r>
      <w:r w:rsidRPr="009C7851">
        <w:rPr>
          <w:rFonts w:cs="Times New Roman"/>
          <w:szCs w:val="24"/>
        </w:rPr>
        <w:fldChar w:fldCharType="begin" w:fldLock="1"/>
      </w:r>
      <w:r w:rsidRPr="009C7851">
        <w:rPr>
          <w:rFonts w:cs="Times New Roman"/>
          <w:szCs w:val="24"/>
        </w:rPr>
        <w:instrText>ADDIN CSL_CITATION {"citationItems":[{"id":"ITEM-1","itemData":{"ISSN":"0935-9648","author":[{"dropping-particle":"","family":"Andersson","given":"Annica","non-dropping-particle":"","parse-names":false,"suffix":""},{"dropping-particle":"","family":"Johansson","given":"Nicklas","non-dropping-particle":"","parse-names":false,"suffix":""},{"dropping-particle":"","family":"Bröms","given":"Per","non-dropping-particle":"","parse-names":false,"suffix":""},{"dropping-particle":"","family":"Yu","given":"Nu","non-dropping-particle":"","parse-names":false,"suffix":""},{"dropping-particle":"","family":"Lupo","given":"Donald","non-dropping-particle":"","parse-names":false,"suffix":""},{"dropping-particle":"","family":"Salaneck","given":"William R","non-dropping-particle":"","parse-names":false,"suffix":""}],"container-title":"Advanced Materials","id":"ITEM-1","issue":"11","issued":{"date-parts":[["1998"]]},"page":"859-863","publisher":"Wiley Online Library","title":"Fluorine tin oxide as an alternative to indium tin oxide in polymer LEDs","type":"article-journal","volume":"10"},"uris":["http://www.mendeley.com/documents/?uuid=b5e6b3fc-c001-4645-b02c-36413e2b632c"]}],"mendeley":{"formattedCitation":"&lt;sup&gt;16)&lt;/sup&gt;","plainTextFormattedCitation":"16)","previouslyFormattedCitation":"&lt;sup&gt;16)&lt;/sup&gt;"},"properties":{"noteIndex":0},"schema":"https://github.com/citation-style-language/schema/raw/master/csl-citation.json"}</w:instrText>
      </w:r>
      <w:r w:rsidRPr="009C7851">
        <w:rPr>
          <w:rFonts w:cs="Times New Roman"/>
          <w:szCs w:val="24"/>
        </w:rPr>
        <w:fldChar w:fldCharType="separate"/>
      </w:r>
      <w:r w:rsidRPr="009C7851">
        <w:rPr>
          <w:rFonts w:cs="Times New Roman"/>
          <w:noProof/>
          <w:szCs w:val="24"/>
          <w:vertAlign w:val="superscript"/>
        </w:rPr>
        <w:t>16)</w:t>
      </w:r>
      <w:r w:rsidRPr="009C7851">
        <w:rPr>
          <w:rFonts w:cs="Times New Roman"/>
          <w:szCs w:val="24"/>
          <w:lang w:val="en"/>
        </w:rPr>
        <w:fldChar w:fldCharType="end"/>
      </w:r>
      <w:r w:rsidRPr="009C7851">
        <w:rPr>
          <w:rFonts w:cs="Times New Roman"/>
          <w:szCs w:val="24"/>
        </w:rPr>
        <w:t xml:space="preserve"> This structure presents the suitable energy alignment, which is beneficial to accelerate the carrier separation and transfer to both transport layers, as shown in Fig</w:t>
      </w:r>
      <w:r w:rsidR="00BC495F">
        <w:rPr>
          <w:rFonts w:cs="Times New Roman"/>
          <w:szCs w:val="24"/>
        </w:rPr>
        <w:t>.</w:t>
      </w:r>
      <w:r w:rsidRPr="009C7851">
        <w:rPr>
          <w:rFonts w:cs="Times New Roman"/>
          <w:szCs w:val="24"/>
        </w:rPr>
        <w:t xml:space="preserve"> 1</w:t>
      </w:r>
      <w:r w:rsidR="00BC495F">
        <w:rPr>
          <w:rFonts w:cs="Times New Roman"/>
          <w:szCs w:val="24"/>
        </w:rPr>
        <w:t>(</w:t>
      </w:r>
      <w:r w:rsidRPr="009C7851">
        <w:rPr>
          <w:rFonts w:cs="Times New Roman"/>
          <w:szCs w:val="24"/>
        </w:rPr>
        <w:t>b</w:t>
      </w:r>
      <w:r w:rsidR="00BC495F">
        <w:rPr>
          <w:rFonts w:cs="Times New Roman"/>
          <w:szCs w:val="24"/>
        </w:rPr>
        <w:t>)</w:t>
      </w:r>
      <w:r w:rsidRPr="009C7851">
        <w:rPr>
          <w:rFonts w:cs="Times New Roman"/>
          <w:szCs w:val="24"/>
        </w:rPr>
        <w:t>. In this study, the numerical modeling is based on solving the semiconductor equations including Poisson equation and continuity equations for electrons and holes. The physical and electronic parameters of each function layer such as band gap, film thickness, carrier mobility etc. are set in the working panel and compute for opto-electronic measurements such as J-V and IPCE characterizations.</w:t>
      </w:r>
      <w:r w:rsidRPr="009C7851">
        <w:rPr>
          <w:rFonts w:cs="Times New Roman"/>
          <w:szCs w:val="24"/>
        </w:rPr>
        <w:fldChar w:fldCharType="begin" w:fldLock="1"/>
      </w:r>
      <w:r w:rsidRPr="009C7851">
        <w:rPr>
          <w:rFonts w:cs="Times New Roman"/>
          <w:szCs w:val="24"/>
        </w:rPr>
        <w:instrText>ADDIN CSL_CITATION {"citationItems":[{"id":"ITEM-1","itemData":{"ISSN":"1062-7995","author":[{"dropping-particle":"","family":"Burgelman","given":"Marc","non-dropping-particle":"","parse-names":false,"suffix":""},{"dropping-particle":"","family":"Verschraegen","given":"Johan","non-dropping-particle":"","parse-names":false,"suffix":""},{"dropping-particle":"","family":"Degrave","given":"Stefaan","non-dropping-particle":"","parse-names":false,"suffix":""},{"dropping-particle":"","family":"Nollet","given":"P</w:instrText>
      </w:r>
      <w:r w:rsidRPr="009C7851">
        <w:rPr>
          <w:rFonts w:cs="Times New Roman" w:hint="eastAsia"/>
          <w:szCs w:val="24"/>
        </w:rPr>
        <w:instrText>eter","non-dropping-particle":"","parse-names":false,"suffix":""}],"container-title":"Progress in Photovoltaics: Research and Applications","id":"ITEM-1","issue":"2‐3","issued":{"date-parts":[["2004"]]},"page":"143-153","publisher":"Wiley Online Library","title":"Modeling thin‐film PV devices","type":"article-journal","volume":"12"},"uris":["http://www.mendeley.com/documents/?uuid=1447ceca-6ae0-4481-8e9e-91c59a482d66"]}],"mendeley":{"formattedCitation":"&lt;sup&gt;17)&lt;/sup&gt;","plainTextFormattedCitation":"17)","</w:instrText>
      </w:r>
      <w:r w:rsidRPr="009C7851">
        <w:rPr>
          <w:rFonts w:cs="Times New Roman"/>
          <w:szCs w:val="24"/>
        </w:rPr>
        <w:instrText>previouslyFormattedCitation":"&lt;sup&gt;17)&lt;/sup&gt;"},"properties":{"noteIndex":0},"schema":"https://github.com/citation-style-language/schema/raw/master/csl-citation.json"}</w:instrText>
      </w:r>
      <w:r w:rsidRPr="009C7851">
        <w:rPr>
          <w:rFonts w:cs="Times New Roman"/>
          <w:szCs w:val="24"/>
        </w:rPr>
        <w:fldChar w:fldCharType="separate"/>
      </w:r>
      <w:r w:rsidRPr="009C7851">
        <w:rPr>
          <w:rFonts w:cs="Times New Roman"/>
          <w:noProof/>
          <w:szCs w:val="24"/>
          <w:vertAlign w:val="superscript"/>
        </w:rPr>
        <w:t>17)</w:t>
      </w:r>
      <w:r w:rsidRPr="009C7851">
        <w:rPr>
          <w:rFonts w:cs="Times New Roman"/>
          <w:szCs w:val="24"/>
          <w:lang w:val="en"/>
        </w:rPr>
        <w:fldChar w:fldCharType="end"/>
      </w:r>
      <w:r w:rsidRPr="009C7851">
        <w:rPr>
          <w:rFonts w:cs="Times New Roman"/>
          <w:szCs w:val="24"/>
        </w:rPr>
        <w:t xml:space="preserve"> In addition, the recombination for bulk and interface layer is analyzed by Shockley-Read-Hall (SRH) model, through which the electron and hole are capable to exchange between the interface and two adjacent layers. Therefore, here we insert two interface defect layers with 10 nm thickness at ETL/absorber layer and absorber layer/HTL to simulate the interface recombination, respectively. To obtain the preliminary simulation value, we set the initial thickness according to the literature.</w:t>
      </w:r>
      <w:r w:rsidRPr="009C7851">
        <w:rPr>
          <w:rFonts w:cs="Times New Roman"/>
          <w:szCs w:val="24"/>
        </w:rPr>
        <w:fldChar w:fldCharType="begin" w:fldLock="1"/>
      </w:r>
      <w:r w:rsidRPr="009C7851">
        <w:rPr>
          <w:rFonts w:cs="Times New Roman"/>
          <w:szCs w:val="24"/>
        </w:rPr>
        <w:instrText>ADDIN CSL_CITATION {"citationItems":[{"id":"ITEM-1","itemData":{"author":[{"dropping-particle":"","family":"Chen","given":"Alexander Z","non-dropping-particle":"","parse-names":false,"suffix":""},{"dropping-particle":"","family":"Foley","given":"Benjamin J","non-dropping-particle":"","parse-names":false,"suffix":""},{"dropping-particle":"","family":"Ma","given":"Jennifer H","non-dropping-particle":"","parse-names":false,"suffix":""},{"dropping-particle":"","family":"Alpert","given":"Matthew R","non-dropping-particle":"","parse-names":false,"suffix":""},{"dropping-particle":"","family":"Niezgoda","given":"J Scott","non-dropping-particle":"","parse-names":false,"suffix":""},{"dropping-particle":"","family":"Choi","given":"Joshua J","non-dropping-particle":"","parse-names":false,"suffix":""}],"container-title":"Journal of Materials Chemistry A","id":"ITEM-1","issue":"17","issued":{"date-parts":[["2017"]]},"page":"7796-7800","publisher":"Royal Society of Chemistry","title":"Crystallographic orientation propagation in metal halide perovskite thin films","type":"article-journal","volume":"5"},"uris":["http://www.mendeley.com/documents/?uuid=f8919294-1b0a-4aec-a70a-1c0659eabdfa"]}],"mendeley":{"formattedCitation":"&lt;sup&gt;18)&lt;/sup&gt;","plainTextFormattedCitation":"18)","previouslyFormattedCitation":"&lt;sup&gt;18)&lt;/sup&gt;"},"properties":{"noteIndex":0},"schema":"https://github.com/citation-style-language/schema/raw/master/csl-citation.json"}</w:instrText>
      </w:r>
      <w:r w:rsidRPr="009C7851">
        <w:rPr>
          <w:rFonts w:cs="Times New Roman"/>
          <w:szCs w:val="24"/>
        </w:rPr>
        <w:fldChar w:fldCharType="separate"/>
      </w:r>
      <w:r w:rsidRPr="009C7851">
        <w:rPr>
          <w:rFonts w:cs="Times New Roman"/>
          <w:noProof/>
          <w:szCs w:val="24"/>
          <w:vertAlign w:val="superscript"/>
        </w:rPr>
        <w:t>18)</w:t>
      </w:r>
      <w:r w:rsidRPr="009C7851">
        <w:rPr>
          <w:rFonts w:cs="Times New Roman"/>
          <w:szCs w:val="24"/>
          <w:lang w:val="en"/>
        </w:rPr>
        <w:fldChar w:fldCharType="end"/>
      </w:r>
      <w:r w:rsidR="00652AAD">
        <w:rPr>
          <w:rFonts w:cs="Times New Roman"/>
          <w:szCs w:val="24"/>
        </w:rPr>
        <w:t xml:space="preserve"> </w:t>
      </w:r>
      <w:r w:rsidRPr="009C7851">
        <w:rPr>
          <w:rFonts w:cs="Times New Roman"/>
          <w:szCs w:val="24"/>
        </w:rPr>
        <w:t xml:space="preserve">Table </w:t>
      </w:r>
      <w:r w:rsidR="00E86FDA" w:rsidRPr="00E86FDA">
        <w:rPr>
          <w:rFonts w:eastAsia="宋体" w:cs="Times New Roman"/>
          <w:szCs w:val="24"/>
          <w:lang w:eastAsia="zh-CN"/>
        </w:rPr>
        <w:t>Ⅰ</w:t>
      </w:r>
      <w:r w:rsidRPr="009C7851">
        <w:rPr>
          <w:rFonts w:cs="Times New Roman"/>
          <w:szCs w:val="24"/>
        </w:rPr>
        <w:t xml:space="preserve"> summarizes the basic simulation parameters of each layer, in which the thickness, donor density, interface and bulk defect density are variable in further optimization.</w:t>
      </w:r>
      <w:r w:rsidRPr="009C7851">
        <w:rPr>
          <w:rFonts w:cs="Times New Roman"/>
          <w:szCs w:val="24"/>
        </w:rPr>
        <w:fldChar w:fldCharType="begin" w:fldLock="1"/>
      </w:r>
      <w:r w:rsidR="00B564B5">
        <w:rPr>
          <w:rFonts w:cs="Times New Roman"/>
          <w:szCs w:val="24"/>
        </w:rPr>
        <w:instrText>ADDIN CSL_CITATION {"citationItems":[{"id":"ITEM-1","itemData":{"ISSN":"1530-6984","author":[{"dropping-particle":"","family":"Noh","given":"Jun Hong","non-dropping-particle":"","parse-names":false,"suffix":""},{"dropping-particle":"","family":"Im","given":"Sang Hyuk","non-dropping-particle":"","parse-names":false,"suffix":""},{"dropping-particle":"","family":"Heo","given":"Jin Hyuck","non-dropping-particle":"","parse-names":false,"suffix":""},{"dropping-particle":"","family":"Mandal","given":"Tarak N","non-dropping-particle":"","parse-names":false,"suffix":""},{"dropping-particle":"Il","family":"Seok","given":"Sang","non-dropping-particle":"","parse-names":false,"suffix":""}],"container-title":"Nano letters","id":"ITEM-1","issue":"4","issued":{"date-parts":[["2013"]]},"page":"1764-1769","publisher":"ACS Publications","title":"Chemical management for colorful, efficient, and stable inorganic–organic hybrid nanostructured solar cells","type":"article-journal","volume":"13"},"uris":["http://www.mendeley.com/documents/?uuid=cd565889-7a1a-4237-b1f8-1f75d5def7d3"]},{"id":"ITEM-2","itemData":{"ISSN":"0935-9648","author":[{"dropping-particle":"","family":"Snaith","given":"Henry J","non-dropping-particle":"","parse-names":false,"suffix":""},{"dropping-particle":"","family":"Grätzel","given":"Michael","non-dropping-particle":"","parse-names":false,"suffix":""}],"container-title":"Advanced materials","id":"ITEM-2","issue":"21","issued":{"date-parts":[["2007"]]},"page":"3643-3647","publisher":"Wiley Online Library","title":"Electron and hole transport through mesoporous TiO2 infiltrated with Spiro</w:instrText>
      </w:r>
      <w:r w:rsidR="00B564B5">
        <w:rPr>
          <w:rFonts w:cs="Times New Roman" w:hint="eastAsia"/>
          <w:szCs w:val="24"/>
        </w:rPr>
        <w:instrText>‐</w:instrText>
      </w:r>
      <w:r w:rsidR="00B564B5">
        <w:rPr>
          <w:rFonts w:cs="Times New Roman"/>
          <w:szCs w:val="24"/>
        </w:rPr>
        <w:instrText xml:space="preserve">MeOTAD","type":"article-journal","volume":"19"},"uris":["http://www.mendeley.com/documents/?uuid=ccfcec3e-3e79-497f-9dcd-dbf2c9070468"]},{"id":"ITEM-3","itemData":{"ISSN":"0021-8979","author":[{"dropping-particle":"","family":"Poplavskyy","given":"Dmitry","non-dropping-particle":"","parse-names":false,"suffix":""},{"dropping-particle":"","family":"Nelson","given":"Jenny","non-dropping-particle":"","parse-names":false,"suffix":""}],"container-title":"Journal of Applied Physics","id":"ITEM-3","issue":"1","issued":{"date-parts":[["2003"]]},"page":"341-346","publisher":"American Institute of Physics","title":"Nondispersive hole transport in amorphous films of methoxy-spirofluorene-arylamine organic compound","type":"article-journal","volume":"93"},"uris":["http://www.mendeley.com/documents/?uuid=8958178e-30e2-4abc-8f59-ada424c78e00"]},{"id":"ITEM-4","itemData":{"ISSN":"1749-4893","author":[{"dropping-particle":"","family":"Liu","given":"Dianyi","non-dropping-particle":"","parse-names":false,"suffix":""},{"dropping-particle":"","family":"Kelly","given":"Timothy L","non-dropping-particle":"","parse-names":false,"suffix":""}],"container-title":"Nature photonics","id":"ITEM-4","issue":"2","issued":{"date-parts":[["2014"]]},"page":"133-138","publisher":"Nature Publishing Group","title":"Perovskite solar cells with a planar heterojunction structure prepared using room-temperature solution processing techniques","type":"article-journal","volume":"8"},"uris":["http://www.mendeley.com/documents/?uuid=2056e2a6-7b06-46cd-9ff3-53df042f4e49"]},{"id":"ITEM-5","itemData":{"DOI":"10.1126/science.1254050","ISSN":"10959203","PMID":"25082698","abstract":"Advancing perovskite solar cell technologies toward their theoretical power conversion efficiency (PCE) requires delicate control over the carrier dynamics throughout the entire device. By controlling the formation of the perovskite layer and careful choices of other materials, we suppressed carrier recombination in the absorber, facilitated carrier injection into the carrier transport layers, and maintained good carrier extraction at the electrodes. When measured via reverse bias scan, cell PCE is typically boosted to 16.6% on average, with the highest efficiency of </w:instrText>
      </w:r>
      <w:r w:rsidR="00B564B5">
        <w:rPr>
          <w:rFonts w:ascii="Cambria Math" w:hAnsi="Cambria Math" w:cs="Cambria Math"/>
          <w:szCs w:val="24"/>
        </w:rPr>
        <w:instrText>∼</w:instrText>
      </w:r>
      <w:r w:rsidR="00B564B5">
        <w:rPr>
          <w:rFonts w:cs="Times New Roman"/>
          <w:szCs w:val="24"/>
        </w:rPr>
        <w:instrText>19.3% in a planar geometry without antireflective coating. The fabrication of our perovskite solar cells was conducted in air and from solution at low temperatures, which should simplify manufacturing of large-area perovskite devices that are inexpensive and perform at high levels.","author":[{"dropping-particle":"","family":"Zhou","given":"Huanping","non-dropping-particle":"","parse-names":false,"suffix":""},{"dropping-particle":"","family":"Chen","given":"Qi","non-dropping-particle":"","parse-names":false,"suffix":""},{"dropping-particle":"","family":"Li","given":"Gang","non-dropping-particle":"","parse-names":false,"suffix":""},{"dropping-particle":"","family":"Luo","given":"Song","non-dropping-particle":"","parse-names":false,"suffix":""},{"dropping-particle":"","family":"Song","given":"Tze Bing","non-dropping-particle":"","parse-names":false,"suffix":""},{"dropping-particle":"","family":"Duan","given":"Hsin Sheng","non-dropping-particle":"","parse-names":false,"suffix":""},{"dropping-particle":"","family":"Hong","given":"Ziruo","non-dropping-particle":"","parse-names":false,"suffix":""},{"dropping-particle":"","family":"You","given":"Jingbi","non-dropping-particle":"","parse-names":false,"suffix":""},{"dropping-particle":"","family":"Liu","given":"Yongsheng","non-dropping-particle":"","parse-names":false,"suffix":""},{"dropping-particle":"","family":"Yang","given":"Yang","non-dropping-particle":"","parse-names":false,"suffix":""}],"container-title":"Science","id":"ITEM-5","issued":{"date-parts":[["2014"]]},"title":"Interface engineering of highly efficient perovskite solar cells","type":"article-journal"},"uris":["http://www.mendeley.com/documents/?uuid=f917665f-a1b3-4f81-afcd-c44d7bd5dd3f"]}],"mendeley":{"formattedCitation":"&lt;sup&gt;19)–23)&lt;/sup&gt;"},"properties":{"noteIndex":0},"schema":"https://github.com/citation-style-language/schema/raw/master/csl-citation.json"}</w:instrText>
      </w:r>
      <w:r w:rsidRPr="009C7851">
        <w:rPr>
          <w:rFonts w:cs="Times New Roman"/>
          <w:szCs w:val="24"/>
        </w:rPr>
        <w:fldChar w:fldCharType="separate"/>
      </w:r>
      <w:r w:rsidR="00B564B5" w:rsidRPr="00B564B5">
        <w:rPr>
          <w:rFonts w:cs="Times New Roman"/>
          <w:noProof/>
          <w:szCs w:val="24"/>
          <w:vertAlign w:val="superscript"/>
        </w:rPr>
        <w:t>19)–23)</w:t>
      </w:r>
      <w:r w:rsidRPr="009C7851">
        <w:rPr>
          <w:rFonts w:cs="Times New Roman"/>
          <w:szCs w:val="24"/>
          <w:lang w:val="en"/>
        </w:rPr>
        <w:fldChar w:fldCharType="end"/>
      </w:r>
      <w:r w:rsidRPr="009C7851">
        <w:rPr>
          <w:rFonts w:cs="Times New Roman"/>
          <w:szCs w:val="24"/>
        </w:rPr>
        <w:t xml:space="preserve"> </w:t>
      </w:r>
      <w:r w:rsidR="00AF08FF" w:rsidRPr="00947BBD">
        <w:rPr>
          <w:rFonts w:cs="Times New Roman"/>
          <w:szCs w:val="24"/>
        </w:rPr>
        <w:t>Figure 2(a) depicts the optical absorbance of MAPbI</w:t>
      </w:r>
      <w:r w:rsidR="00AF08FF" w:rsidRPr="00947BBD">
        <w:rPr>
          <w:rFonts w:cs="Times New Roman"/>
          <w:szCs w:val="24"/>
          <w:vertAlign w:val="subscript"/>
        </w:rPr>
        <w:t>3</w:t>
      </w:r>
      <w:r w:rsidR="00AF08FF" w:rsidRPr="00947BBD">
        <w:rPr>
          <w:rFonts w:cs="Times New Roman"/>
          <w:szCs w:val="24"/>
        </w:rPr>
        <w:t xml:space="preserve"> layer based on simulation. </w:t>
      </w:r>
      <w:r w:rsidRPr="00947BBD">
        <w:rPr>
          <w:rFonts w:cs="Times New Roman"/>
          <w:szCs w:val="24"/>
        </w:rPr>
        <w:t xml:space="preserve">The absorption </w:t>
      </w:r>
      <w:r w:rsidR="00DA0FB3" w:rsidRPr="00947BBD">
        <w:rPr>
          <w:rFonts w:cs="Times New Roman"/>
          <w:szCs w:val="24"/>
        </w:rPr>
        <w:t>coefficient</w:t>
      </w:r>
      <w:r w:rsidR="00727EDE" w:rsidRPr="00947BBD">
        <w:rPr>
          <w:rFonts w:cs="Times New Roman"/>
          <w:szCs w:val="24"/>
        </w:rPr>
        <w:t xml:space="preserve"> is </w:t>
      </w:r>
      <w:r w:rsidR="00DA0FB3" w:rsidRPr="00947BBD">
        <w:rPr>
          <w:rFonts w:cs="Times New Roman"/>
          <w:szCs w:val="24"/>
        </w:rPr>
        <w:t xml:space="preserve">calculated by the equation: </w:t>
      </w:r>
      <w:bookmarkStart w:id="3" w:name="_Hlk130309402"/>
      <m:oMath>
        <m:r>
          <w:rPr>
            <w:rFonts w:ascii="Cambria Math" w:hAnsi="Cambria Math" w:cs="Times New Roman"/>
            <w:szCs w:val="24"/>
          </w:rPr>
          <m:t>ahv</m:t>
        </m:r>
        <m:r>
          <m:rPr>
            <m:sty m:val="p"/>
          </m:rPr>
          <w:rPr>
            <w:rFonts w:ascii="Cambria Math" w:hAnsi="Cambria Math" w:cs="Times New Roman"/>
            <w:szCs w:val="24"/>
          </w:rPr>
          <m:t>=</m:t>
        </m:r>
        <m:r>
          <w:rPr>
            <w:rFonts w:ascii="Cambria Math" w:hAnsi="Cambria Math" w:cs="Times New Roman"/>
            <w:szCs w:val="24"/>
          </w:rPr>
          <m:t>A</m:t>
        </m:r>
        <m:rad>
          <m:radPr>
            <m:degHide m:val="1"/>
            <m:ctrlPr>
              <w:rPr>
                <w:rFonts w:ascii="Cambria Math" w:hAnsi="Cambria Math" w:cs="Times New Roman"/>
                <w:i/>
                <w:szCs w:val="24"/>
              </w:rPr>
            </m:ctrlPr>
          </m:radPr>
          <m:deg/>
          <m:e>
            <m:r>
              <w:rPr>
                <w:rFonts w:ascii="Cambria Math" w:hAnsi="Cambria Math" w:cs="Times New Roman"/>
                <w:szCs w:val="24"/>
              </w:rPr>
              <m:t>hv-</m:t>
            </m:r>
            <m:sSub>
              <m:sSubPr>
                <m:ctrlPr>
                  <w:rPr>
                    <w:rFonts w:ascii="Cambria Math" w:hAnsi="Cambria Math" w:cs="Times New Roman"/>
                    <w:i/>
                    <w:szCs w:val="24"/>
                  </w:rPr>
                </m:ctrlPr>
              </m:sSubPr>
              <m:e>
                <m:r>
                  <w:rPr>
                    <w:rFonts w:ascii="Cambria Math" w:hAnsi="Cambria Math" w:cs="Times New Roman"/>
                    <w:szCs w:val="24"/>
                  </w:rPr>
                  <m:t>E</m:t>
                </m:r>
              </m:e>
              <m:sub>
                <m:r>
                  <w:rPr>
                    <w:rFonts w:ascii="Cambria Math" w:hAnsi="Cambria Math" w:cs="Times New Roman"/>
                    <w:szCs w:val="24"/>
                  </w:rPr>
                  <m:t>g</m:t>
                </m:r>
              </m:sub>
            </m:sSub>
          </m:e>
        </m:rad>
      </m:oMath>
      <w:bookmarkEnd w:id="3"/>
      <w:r w:rsidR="00DA0FB3" w:rsidRPr="00947BBD">
        <w:rPr>
          <w:rFonts w:cs="Times New Roman" w:hint="eastAsia"/>
          <w:szCs w:val="24"/>
        </w:rPr>
        <w:t>,</w:t>
      </w:r>
      <w:r w:rsidR="00D0781E" w:rsidRPr="00947BBD">
        <w:rPr>
          <w:rFonts w:cs="Times New Roman"/>
          <w:szCs w:val="24"/>
        </w:rPr>
        <w:t xml:space="preserve"> where </w:t>
      </w:r>
      <w:r w:rsidR="00D0781E" w:rsidRPr="00947BBD">
        <w:rPr>
          <w:rFonts w:cs="Times New Roman"/>
          <w:i/>
          <w:iCs/>
          <w:szCs w:val="24"/>
        </w:rPr>
        <w:t>a</w:t>
      </w:r>
      <w:r w:rsidR="00D0781E" w:rsidRPr="00947BBD">
        <w:rPr>
          <w:rFonts w:cs="Times New Roman"/>
          <w:szCs w:val="24"/>
        </w:rPr>
        <w:t xml:space="preserve"> is absorption </w:t>
      </w:r>
      <w:r w:rsidR="00D0781E" w:rsidRPr="00947BBD">
        <w:rPr>
          <w:rFonts w:cs="Times New Roman"/>
          <w:szCs w:val="24"/>
        </w:rPr>
        <w:lastRenderedPageBreak/>
        <w:t xml:space="preserve">coefficient, </w:t>
      </w:r>
      <w:r w:rsidR="00D0781E" w:rsidRPr="00947BBD">
        <w:rPr>
          <w:rFonts w:cs="Times New Roman"/>
          <w:i/>
          <w:iCs/>
          <w:szCs w:val="24"/>
        </w:rPr>
        <w:t>hv</w:t>
      </w:r>
      <w:r w:rsidR="00D0781E" w:rsidRPr="00947BBD">
        <w:rPr>
          <w:rFonts w:cs="Times New Roman"/>
          <w:szCs w:val="24"/>
        </w:rPr>
        <w:t xml:space="preserve"> is incident photo energy, </w:t>
      </w:r>
      <w:r w:rsidR="00D0781E" w:rsidRPr="00947BBD">
        <w:rPr>
          <w:rFonts w:cs="Times New Roman"/>
          <w:i/>
          <w:iCs/>
          <w:szCs w:val="24"/>
        </w:rPr>
        <w:t>A</w:t>
      </w:r>
      <w:r w:rsidR="00D0781E" w:rsidRPr="00947BBD">
        <w:rPr>
          <w:rFonts w:cs="Times New Roman"/>
          <w:szCs w:val="24"/>
        </w:rPr>
        <w:t xml:space="preserve"> is a constant pre-factor normally set to be 1×10</w:t>
      </w:r>
      <w:r w:rsidR="00D0781E" w:rsidRPr="00947BBD">
        <w:rPr>
          <w:rFonts w:cs="Times New Roman"/>
          <w:szCs w:val="24"/>
          <w:vertAlign w:val="superscript"/>
        </w:rPr>
        <w:t>5</w:t>
      </w:r>
      <w:r w:rsidR="00D0781E" w:rsidRPr="00947BBD">
        <w:rPr>
          <w:rFonts w:cs="Times New Roman"/>
          <w:szCs w:val="24"/>
        </w:rPr>
        <w:t xml:space="preserve"> and </w:t>
      </w:r>
      <w:proofErr w:type="spellStart"/>
      <w:r w:rsidR="00D0781E" w:rsidRPr="00947BBD">
        <w:rPr>
          <w:rFonts w:cs="Times New Roman"/>
          <w:i/>
          <w:iCs/>
          <w:szCs w:val="24"/>
        </w:rPr>
        <w:t>E</w:t>
      </w:r>
      <w:r w:rsidR="00D0781E" w:rsidRPr="00947BBD">
        <w:rPr>
          <w:rFonts w:cs="Times New Roman"/>
          <w:i/>
          <w:iCs/>
          <w:szCs w:val="24"/>
          <w:vertAlign w:val="subscript"/>
        </w:rPr>
        <w:t>g</w:t>
      </w:r>
      <w:proofErr w:type="spellEnd"/>
      <w:r w:rsidR="00D0781E" w:rsidRPr="00947BBD">
        <w:rPr>
          <w:rFonts w:cs="Times New Roman"/>
          <w:szCs w:val="24"/>
        </w:rPr>
        <w:t xml:space="preserve"> is optical bandgap energy</w:t>
      </w:r>
      <w:r w:rsidRPr="00947BBD">
        <w:rPr>
          <w:rFonts w:cs="Times New Roman"/>
          <w:szCs w:val="24"/>
        </w:rPr>
        <w:t>.</w:t>
      </w:r>
      <w:r w:rsidR="00B04056" w:rsidRPr="009C7851">
        <w:rPr>
          <w:rFonts w:cs="Times New Roman"/>
          <w:szCs w:val="24"/>
          <w:vertAlign w:val="superscript"/>
        </w:rPr>
        <w:fldChar w:fldCharType="begin" w:fldLock="1"/>
      </w:r>
      <w:r w:rsidR="00B04056" w:rsidRPr="009C7851">
        <w:rPr>
          <w:rFonts w:cs="Times New Roman" w:hint="eastAsia"/>
          <w:szCs w:val="24"/>
          <w:vertAlign w:val="superscript"/>
        </w:rPr>
        <w:instrText>ADDIN CSL_CITATION {"citationItems":[{"id":"ITEM-1","itemData":{"ISSN":"1614-6832","author":[{"dropping-particle":"","family":"Ju","given":"Ming‐Gang","non-dropping-particle":"","parse-names":false,"suffix":""},{"dropping-particle":"","family":"Dai","give</w:instrText>
      </w:r>
      <w:r w:rsidR="00B04056" w:rsidRPr="009C7851">
        <w:rPr>
          <w:rFonts w:cs="Times New Roman"/>
          <w:szCs w:val="24"/>
          <w:vertAlign w:val="superscript"/>
        </w:rPr>
        <w:instrText>n":"Jun","non-dropping-particle":"","parse-names":false,"suffix":""},{"dropping-particle":"","family":"Ma","given":"Liang","non-dropping-particle":"","parse-names":false,"suffix":""},{"dropping-particle":"","family":"Zeng","given":"Xiao Cheng","non-dropping-particle":"","parse-names":false,"suffix":""}],"container-title":"Advanced Energy Materials","id":"ITEM-1","issue":"18","issued":{"date-parts":[["2017"]]},"page":"1700216","publisher":"Wiley Online Library","title":"Perovskite chalcogenides with optimal bandgap and desired optical absorption for photovoltaic devices","type":"article-journal","volume":"7"},"uris":["http://www.mendeley.com/documents/?uuid=6ee32c17-33c3-4d4f-a1de-eb9c50cd6c3a"]}],"mendeley":{"formattedCitation":"&lt;sup&gt;24)&lt;/sup&gt;","plainTextFormattedCitation":"24)","previouslyFormattedCitation":"&lt;sup&gt;24)&lt;/sup&gt;"},"properties":{"noteIndex":0},"schema":"https://github.com/citation-style-language/schema/raw/master/csl-citation.json"}</w:instrText>
      </w:r>
      <w:r w:rsidR="00B04056" w:rsidRPr="009C7851">
        <w:rPr>
          <w:rFonts w:cs="Times New Roman"/>
          <w:szCs w:val="24"/>
          <w:vertAlign w:val="superscript"/>
        </w:rPr>
        <w:fldChar w:fldCharType="separate"/>
      </w:r>
      <w:r w:rsidR="00B04056" w:rsidRPr="009C7851">
        <w:rPr>
          <w:rFonts w:cs="Times New Roman"/>
          <w:noProof/>
          <w:szCs w:val="24"/>
          <w:vertAlign w:val="superscript"/>
        </w:rPr>
        <w:t>24)</w:t>
      </w:r>
      <w:r w:rsidR="00B04056" w:rsidRPr="009C7851">
        <w:rPr>
          <w:rFonts w:cs="Times New Roman"/>
          <w:szCs w:val="24"/>
          <w:lang w:val="en"/>
        </w:rPr>
        <w:fldChar w:fldCharType="end"/>
      </w:r>
      <w:r w:rsidRPr="009C7851">
        <w:rPr>
          <w:rFonts w:cs="Times New Roman"/>
          <w:szCs w:val="24"/>
        </w:rPr>
        <w:t xml:space="preserve"> Consistently, the electron/hole thermal velocity of each layer is regarded as a constant to be 10</w:t>
      </w:r>
      <w:r w:rsidRPr="009C7851">
        <w:rPr>
          <w:rFonts w:cs="Times New Roman"/>
          <w:szCs w:val="24"/>
          <w:vertAlign w:val="superscript"/>
        </w:rPr>
        <w:t>7</w:t>
      </w:r>
      <w:r w:rsidRPr="009C7851">
        <w:rPr>
          <w:rFonts w:cs="Times New Roman"/>
          <w:szCs w:val="24"/>
        </w:rPr>
        <w:t xml:space="preserve"> cm/s</w:t>
      </w:r>
      <w:r w:rsidRPr="009C7851">
        <w:rPr>
          <w:rFonts w:cs="Times New Roman"/>
          <w:szCs w:val="24"/>
          <w:vertAlign w:val="subscript"/>
        </w:rPr>
        <w:t>.</w:t>
      </w:r>
      <w:r w:rsidR="00B04056" w:rsidRPr="009C7851">
        <w:rPr>
          <w:rFonts w:cs="Times New Roman"/>
          <w:szCs w:val="24"/>
        </w:rPr>
        <w:fldChar w:fldCharType="begin" w:fldLock="1"/>
      </w:r>
      <w:r w:rsidR="00B04056" w:rsidRPr="009C7851">
        <w:rPr>
          <w:rFonts w:cs="Times New Roman"/>
          <w:szCs w:val="24"/>
        </w:rPr>
        <w:instrText>ADDIN CSL_CITATION {"citationItems":[{"id":"ITEM-1","itemData":{"ISSN":"2380-8195","author":[{"dropping-particle":"","family":"Turedi","given":"Bekir","non-dropping-particle":"","parse-names":false,"suffix":""},{"dropping-particle":"","family":"Yeddu","given":"Vishal","non-dropping-particle":"","parse-names":false,"suffix":""},{"dropping-particle":"","family":"Zheng","given":"Xiaopeng","non-dropping-particle":"","parse-names":false,"suffix":""},{"dropping-particle":"","family":"Kim","given":"Do Young","non-dropping-particle":"","parse-names":false,"suffix":""},{"dropping-particle":"","family":"Bakr","given":"Osman M","non-dropping-particle":"","parse-names":false,"suffix":""},{"dropping-particle":"","family":"Saidaminov","given":"Makhsud I","non-dropping-particle":"","parse-names":false,"suffix":""}],"container-title":"ACS Energy Letters","id":"ITEM-1","issue":"2","issued":{"date-parts":[["2021"]]},"page":"631-642","publisher":"ACS Publications","title":"Perovskite single-crystal solar cells: going forward","type":"article-journal","volume":"6"},"uris":["http://www.mendeley.com/documents/?uuid=23d4caec-4055-4aaa-9763-5515147d2e73"]}],"mendeley":{"formattedCitation":"&lt;sup&gt;25)&lt;/sup&gt;","plainTextFormattedCitation":"25)","previouslyFormattedCitation":"&lt;sup&gt;25)&lt;/sup&gt;"},"properties":{"noteIndex":0},"schema":"https://github.com/citation-style-language/schema/raw/master/csl-citation.json"}</w:instrText>
      </w:r>
      <w:r w:rsidR="00B04056" w:rsidRPr="009C7851">
        <w:rPr>
          <w:rFonts w:cs="Times New Roman"/>
          <w:szCs w:val="24"/>
        </w:rPr>
        <w:fldChar w:fldCharType="separate"/>
      </w:r>
      <w:r w:rsidR="00B04056" w:rsidRPr="009C7851">
        <w:rPr>
          <w:rFonts w:cs="Times New Roman"/>
          <w:noProof/>
          <w:szCs w:val="24"/>
          <w:vertAlign w:val="superscript"/>
        </w:rPr>
        <w:t>25)</w:t>
      </w:r>
      <w:r w:rsidR="00B04056" w:rsidRPr="009C7851">
        <w:rPr>
          <w:rFonts w:cs="Times New Roman"/>
          <w:szCs w:val="24"/>
          <w:lang w:val="en"/>
        </w:rPr>
        <w:fldChar w:fldCharType="end"/>
      </w:r>
      <w:r w:rsidRPr="009C7851">
        <w:rPr>
          <w:rFonts w:cs="Times New Roman"/>
          <w:szCs w:val="24"/>
          <w:vertAlign w:val="subscript"/>
        </w:rPr>
        <w:t xml:space="preserve"> </w:t>
      </w:r>
      <w:r w:rsidRPr="009C7851">
        <w:rPr>
          <w:rFonts w:cs="Times New Roman"/>
          <w:szCs w:val="24"/>
        </w:rPr>
        <w:t>The initial series resistance is assumed to be 1 Ω cm</w:t>
      </w:r>
      <w:r w:rsidRPr="009C7851">
        <w:rPr>
          <w:rFonts w:cs="Times New Roman"/>
          <w:szCs w:val="24"/>
          <w:vertAlign w:val="superscript"/>
        </w:rPr>
        <w:t>2</w:t>
      </w:r>
      <w:r w:rsidRPr="009C7851">
        <w:rPr>
          <w:rFonts w:cs="Times New Roman"/>
          <w:szCs w:val="24"/>
        </w:rPr>
        <w:t xml:space="preserve"> with a </w:t>
      </w:r>
      <w:r w:rsidR="00B90F8C" w:rsidRPr="00947BBD">
        <w:rPr>
          <w:rFonts w:cs="Times New Roman"/>
          <w:szCs w:val="24"/>
        </w:rPr>
        <w:t>shunt</w:t>
      </w:r>
      <w:r w:rsidRPr="009C7851">
        <w:rPr>
          <w:rFonts w:cs="Times New Roman"/>
          <w:szCs w:val="24"/>
        </w:rPr>
        <w:t xml:space="preserve"> resistance as 3000 Ω cm</w:t>
      </w:r>
      <w:r w:rsidRPr="009C7851">
        <w:rPr>
          <w:rFonts w:cs="Times New Roman"/>
          <w:szCs w:val="24"/>
          <w:vertAlign w:val="superscript"/>
        </w:rPr>
        <w:t>2</w:t>
      </w:r>
      <w:r w:rsidRPr="009C7851">
        <w:rPr>
          <w:rFonts w:cs="Times New Roman"/>
          <w:szCs w:val="24"/>
        </w:rPr>
        <w:t>.</w:t>
      </w:r>
      <w:r w:rsidR="00B04056" w:rsidRPr="009C7851">
        <w:rPr>
          <w:rFonts w:cs="Times New Roman"/>
          <w:szCs w:val="24"/>
          <w:vertAlign w:val="superscript"/>
        </w:rPr>
        <w:fldChar w:fldCharType="begin" w:fldLock="1"/>
      </w:r>
      <w:r w:rsidR="00B04056" w:rsidRPr="009C7851">
        <w:rPr>
          <w:rFonts w:cs="Times New Roman"/>
          <w:szCs w:val="24"/>
          <w:vertAlign w:val="superscript"/>
        </w:rPr>
        <w:instrText>ADDIN CSL_CITATION {"citationItems":[{"id":"ITEM-1","itemData":{"author":[{"dropping-particle":"","family":"Huang","given":"Jin","non-dropping-particle":"","parse-names":false,"suffix":""},{"dropping-particle":"","family":"Wang","given":"Minqiang","non-dropping-particle":"","parse-names":false,"suffix":""},{"dropping-particle":"","family":"Ding","given":"Lei","non-dropping-particle":"","parse-names":false,"suffix":""},{"dropping-particle":"","family":"Yang","given":"Zhi","non-dropping-particle":"","parse-names":false,"suffix":""},{"dropping-particle":"","family":"Zhang","given":"Ke","non-dropping-particle":"","parse-names":false,"suffix":""}],"container-title":"RSC Advances","id":"ITEM-1","issue":"61","issued":{"date-parts":[["2016"]]},"page":"55720-55725","publisher":"Royal Society of Chemistry","title":"Hydrobromic acid assisted crystallization of MAPbI 3− x Cl x for enhanced power conversion efficiency in perovskite solar cells","type":"article-journal","volume":"6"},"uris":["http://www.mendeley.com/documents/?uuid=e92628f9-4289-4bad-bd1e-7a9f3a740e25"]}],"mendeley":{"formattedCitation":"&lt;sup&gt;26)&lt;/sup&gt;","plainTextFormattedCitation":"26)","previouslyFormattedCitation":"&lt;sup&gt;26)&lt;/sup&gt;"},"properties":{"noteIndex":0},"schema":"https://github.com/citation-style-language/schema/raw/master/csl-citation.json"}</w:instrText>
      </w:r>
      <w:r w:rsidR="00B04056" w:rsidRPr="009C7851">
        <w:rPr>
          <w:rFonts w:cs="Times New Roman"/>
          <w:szCs w:val="24"/>
          <w:vertAlign w:val="superscript"/>
        </w:rPr>
        <w:fldChar w:fldCharType="separate"/>
      </w:r>
      <w:r w:rsidR="00B04056" w:rsidRPr="009C7851">
        <w:rPr>
          <w:rFonts w:cs="Times New Roman"/>
          <w:noProof/>
          <w:szCs w:val="24"/>
          <w:vertAlign w:val="superscript"/>
        </w:rPr>
        <w:t>26)</w:t>
      </w:r>
      <w:r w:rsidR="00B04056" w:rsidRPr="009C7851">
        <w:rPr>
          <w:rFonts w:cs="Times New Roman"/>
          <w:szCs w:val="24"/>
          <w:lang w:val="en"/>
        </w:rPr>
        <w:fldChar w:fldCharType="end"/>
      </w:r>
      <w:r w:rsidRPr="009C7851">
        <w:rPr>
          <w:rFonts w:cs="Times New Roman"/>
          <w:szCs w:val="24"/>
        </w:rPr>
        <w:t xml:space="preserve"> The simulation working condition is under AM 1.5G illumination at 100 </w:t>
      </w:r>
      <w:proofErr w:type="spellStart"/>
      <w:r w:rsidRPr="009C7851">
        <w:rPr>
          <w:rFonts w:cs="Times New Roman"/>
          <w:szCs w:val="24"/>
        </w:rPr>
        <w:t>mW</w:t>
      </w:r>
      <w:proofErr w:type="spellEnd"/>
      <w:r w:rsidRPr="009C7851">
        <w:rPr>
          <w:rFonts w:cs="Times New Roman"/>
          <w:szCs w:val="24"/>
        </w:rPr>
        <w:t>/cm</w:t>
      </w:r>
      <w:r w:rsidRPr="009C7851">
        <w:rPr>
          <w:rFonts w:cs="Times New Roman"/>
          <w:szCs w:val="24"/>
          <w:vertAlign w:val="superscript"/>
        </w:rPr>
        <w:t>2</w:t>
      </w:r>
      <w:r w:rsidRPr="009C7851">
        <w:rPr>
          <w:rFonts w:cs="Times New Roman"/>
          <w:szCs w:val="24"/>
        </w:rPr>
        <w:t>, 300 K for room temperature.</w:t>
      </w:r>
      <w:r w:rsidRPr="0054389C">
        <w:rPr>
          <w:rFonts w:cs="Times New Roman"/>
          <w:color w:val="0000FF"/>
          <w:szCs w:val="24"/>
        </w:rPr>
        <w:t xml:space="preserve"> </w:t>
      </w:r>
      <w:r w:rsidR="0054389C" w:rsidRPr="00947BBD">
        <w:rPr>
          <w:rFonts w:cs="Times New Roman"/>
          <w:szCs w:val="24"/>
        </w:rPr>
        <w:t>In addition, the capture cross sections of electron and hole for the absorber layer and interface layers are set to be 2×10</w:t>
      </w:r>
      <w:r w:rsidR="0054389C" w:rsidRPr="00947BBD">
        <w:rPr>
          <w:rFonts w:cs="Times New Roman"/>
          <w:szCs w:val="24"/>
          <w:vertAlign w:val="superscript"/>
        </w:rPr>
        <w:t>−14</w:t>
      </w:r>
      <w:r w:rsidR="0054389C" w:rsidRPr="00947BBD">
        <w:rPr>
          <w:rFonts w:cs="Times New Roman"/>
          <w:szCs w:val="24"/>
        </w:rPr>
        <w:t xml:space="preserve"> cm</w:t>
      </w:r>
      <w:r w:rsidR="0054389C" w:rsidRPr="00947BBD">
        <w:rPr>
          <w:rFonts w:cs="Times New Roman"/>
          <w:szCs w:val="24"/>
          <w:vertAlign w:val="superscript"/>
        </w:rPr>
        <w:t>2</w:t>
      </w:r>
      <w:r w:rsidR="0054389C" w:rsidRPr="00947BBD">
        <w:rPr>
          <w:rFonts w:cs="Times New Roman"/>
          <w:szCs w:val="24"/>
        </w:rPr>
        <w:t xml:space="preserve"> and 1×10</w:t>
      </w:r>
      <w:r w:rsidR="0054389C" w:rsidRPr="00947BBD">
        <w:rPr>
          <w:rFonts w:cs="Times New Roman"/>
          <w:szCs w:val="24"/>
          <w:vertAlign w:val="superscript"/>
        </w:rPr>
        <w:t>−15</w:t>
      </w:r>
      <w:r w:rsidR="0054389C" w:rsidRPr="00947BBD">
        <w:rPr>
          <w:rFonts w:cs="Times New Roman"/>
          <w:szCs w:val="24"/>
        </w:rPr>
        <w:t xml:space="preserve"> cm</w:t>
      </w:r>
      <w:r w:rsidR="0054389C" w:rsidRPr="00947BBD">
        <w:rPr>
          <w:rFonts w:cs="Times New Roman"/>
          <w:szCs w:val="24"/>
          <w:vertAlign w:val="superscript"/>
        </w:rPr>
        <w:t>2</w:t>
      </w:r>
      <w:r w:rsidR="0054389C" w:rsidRPr="00947BBD">
        <w:rPr>
          <w:rFonts w:cs="Times New Roman"/>
          <w:szCs w:val="24"/>
        </w:rPr>
        <w:t>, respectively.</w:t>
      </w:r>
      <w:r w:rsidR="00AC6204" w:rsidRPr="00947BBD">
        <w:rPr>
          <w:rFonts w:cs="Times New Roman"/>
          <w:szCs w:val="24"/>
          <w:vertAlign w:val="superscript"/>
        </w:rPr>
        <w:fldChar w:fldCharType="begin" w:fldLock="1"/>
      </w:r>
      <w:r w:rsidR="00B564B5" w:rsidRPr="00947BBD">
        <w:rPr>
          <w:rFonts w:cs="Times New Roman"/>
          <w:szCs w:val="24"/>
          <w:vertAlign w:val="superscript"/>
        </w:rPr>
        <w:instrText>ADDIN CSL_CITATION {"citationItems":[{"id":"ITEM-1","itemData":{"author":[{"dropping-particle":"","family":"Huang","given":"Jin","non-dropping-particle":"","parse-names":false,"suffix":""},{"dropping-particle":"","family":"Wang","given":"Minqiang","non-dropping-particle":"","parse-names":false,"suffix":""},{"dropping-particle":"","family":"Ding","given":"Lei","non-dropping-particle":"","parse-names":false,"suffix":""},{"dropping-particle":"","family":"Yang","given":"Zhi","non-dropping-particle":"","parse-names":false,"suffix":""},{"dropping-particle":"","family":"Zhang","given":"Ke","non-dropping-particle":"","parse-names":false,"suffix":""}],"container-title":"RSC Advances","id":"ITEM-1","issue":"61","issued":{"date-parts":[["2016"]]},"page":"55720-55725","publisher":"Royal Society of Chemistry","title":"Hydrobromic acid assisted crystallization of MAPbI 3− x Cl x for enhanced power conversion efficiency in perovskite solar cells","type":"article-journal","volume":"6"},"uris":["http://www.mendeley.com/documents/?uuid=e92628f9-4289-4bad-bd1e-7a9f3a740e25"]}],"mendeley":{"formattedCitation":"&lt;sup&gt;26)&lt;/sup&gt;","manualFormatting":"27)"},"properties":{"noteIndex":0},"schema":"https://github.com/citation-style-language/schema/raw/master/csl-citation.json"}</w:instrText>
      </w:r>
      <w:r w:rsidR="00AC6204" w:rsidRPr="00947BBD">
        <w:rPr>
          <w:rFonts w:cs="Times New Roman"/>
          <w:szCs w:val="24"/>
          <w:vertAlign w:val="superscript"/>
        </w:rPr>
        <w:fldChar w:fldCharType="separate"/>
      </w:r>
      <w:r w:rsidR="00B564B5" w:rsidRPr="00947BBD">
        <w:rPr>
          <w:rFonts w:cs="Times New Roman"/>
          <w:noProof/>
          <w:szCs w:val="24"/>
          <w:vertAlign w:val="superscript"/>
        </w:rPr>
        <w:t>27)</w:t>
      </w:r>
      <w:r w:rsidR="00AC6204" w:rsidRPr="00947BBD">
        <w:rPr>
          <w:rFonts w:cs="Times New Roman"/>
          <w:szCs w:val="24"/>
          <w:vertAlign w:val="superscript"/>
        </w:rPr>
        <w:fldChar w:fldCharType="end"/>
      </w:r>
      <w:r w:rsidR="00AC6204" w:rsidRPr="00947BBD">
        <w:rPr>
          <w:rFonts w:cs="Times New Roman"/>
          <w:szCs w:val="24"/>
        </w:rPr>
        <w:t xml:space="preserve"> </w:t>
      </w:r>
      <w:r w:rsidRPr="009C7851">
        <w:rPr>
          <w:rFonts w:cs="Times New Roman"/>
          <w:szCs w:val="24"/>
        </w:rPr>
        <w:t>The defect state distribution in absorber layer is regarded as neutral in Gaussian distribution, whereas in single distribution for ETL and HTL. The</w:t>
      </w:r>
      <w:r w:rsidRPr="009C7851">
        <w:rPr>
          <w:rFonts w:cs="Times New Roman" w:hint="eastAsia"/>
          <w:szCs w:val="24"/>
        </w:rPr>
        <w:t xml:space="preserve"> </w:t>
      </w:r>
      <w:r w:rsidRPr="009C7851">
        <w:rPr>
          <w:rFonts w:cs="Times New Roman"/>
          <w:szCs w:val="24"/>
        </w:rPr>
        <w:t>defect energy level is assumed in the middle of the band gap for each layer with the characteristic energy of 0.1 eV. To verify our simulation model, we also fabricated the pure-MAPbI</w:t>
      </w:r>
      <w:r w:rsidRPr="009C7851">
        <w:rPr>
          <w:rFonts w:cs="Times New Roman"/>
          <w:szCs w:val="24"/>
          <w:vertAlign w:val="subscript"/>
        </w:rPr>
        <w:t>3</w:t>
      </w:r>
      <w:r w:rsidRPr="009C7851">
        <w:rPr>
          <w:rFonts w:cs="Times New Roman"/>
          <w:szCs w:val="24"/>
        </w:rPr>
        <w:t xml:space="preserve"> device to compare with simulation result, as illustrated in Fig</w:t>
      </w:r>
      <w:r w:rsidR="00BC495F">
        <w:rPr>
          <w:rFonts w:cs="Times New Roman"/>
          <w:szCs w:val="24"/>
        </w:rPr>
        <w:t>.</w:t>
      </w:r>
      <w:r w:rsidRPr="009C7851">
        <w:rPr>
          <w:rFonts w:cs="Times New Roman"/>
          <w:szCs w:val="24"/>
        </w:rPr>
        <w:t xml:space="preserve"> 2</w:t>
      </w:r>
      <w:r w:rsidR="007C73BF">
        <w:rPr>
          <w:rFonts w:cs="Times New Roman"/>
          <w:szCs w:val="24"/>
        </w:rPr>
        <w:t>(</w:t>
      </w:r>
      <w:r w:rsidR="007C73BF">
        <w:rPr>
          <w:rFonts w:cs="Times New Roman"/>
          <w:szCs w:val="24"/>
        </w:rPr>
        <w:t>b</w:t>
      </w:r>
      <w:r w:rsidR="007C73BF">
        <w:rPr>
          <w:rFonts w:cs="Times New Roman"/>
          <w:szCs w:val="24"/>
        </w:rPr>
        <w:t>)</w:t>
      </w:r>
      <w:r w:rsidRPr="009C7851">
        <w:rPr>
          <w:rFonts w:cs="Times New Roman"/>
          <w:szCs w:val="24"/>
        </w:rPr>
        <w:t xml:space="preserve">. The preliminary simulation, hereafter referred to as control device, generates a PCE of 15.68% with </w:t>
      </w:r>
      <w:proofErr w:type="spellStart"/>
      <w:r w:rsidRPr="009C7851">
        <w:rPr>
          <w:rFonts w:cs="Times New Roman"/>
          <w:szCs w:val="24"/>
        </w:rPr>
        <w:t>V</w:t>
      </w:r>
      <w:r w:rsidRPr="009C7851">
        <w:rPr>
          <w:rFonts w:cs="Times New Roman"/>
          <w:szCs w:val="24"/>
          <w:vertAlign w:val="subscript"/>
        </w:rPr>
        <w:t>oc</w:t>
      </w:r>
      <w:proofErr w:type="spellEnd"/>
      <w:r w:rsidRPr="009C7851">
        <w:rPr>
          <w:rFonts w:cs="Times New Roman"/>
          <w:szCs w:val="24"/>
        </w:rPr>
        <w:t xml:space="preserve"> = 1.022 V, </w:t>
      </w:r>
      <w:proofErr w:type="spellStart"/>
      <w:r w:rsidRPr="009C7851">
        <w:rPr>
          <w:rFonts w:cs="Times New Roman"/>
          <w:szCs w:val="24"/>
        </w:rPr>
        <w:t>J</w:t>
      </w:r>
      <w:r w:rsidRPr="009C7851">
        <w:rPr>
          <w:rFonts w:cs="Times New Roman"/>
          <w:szCs w:val="24"/>
          <w:vertAlign w:val="subscript"/>
        </w:rPr>
        <w:t>sc</w:t>
      </w:r>
      <w:proofErr w:type="spellEnd"/>
      <w:r w:rsidRPr="009C7851">
        <w:rPr>
          <w:rFonts w:cs="Times New Roman"/>
          <w:szCs w:val="24"/>
        </w:rPr>
        <w:t xml:space="preserve"> = 19.45 mA cm</w:t>
      </w:r>
      <w:r w:rsidRPr="009C7851">
        <w:rPr>
          <w:rFonts w:cs="Times New Roman"/>
          <w:szCs w:val="24"/>
          <w:vertAlign w:val="superscript"/>
        </w:rPr>
        <w:t>−2</w:t>
      </w:r>
      <w:r w:rsidRPr="009C7851">
        <w:rPr>
          <w:rFonts w:cs="Times New Roman"/>
          <w:szCs w:val="24"/>
        </w:rPr>
        <w:t xml:space="preserve"> and FF = 75.5%, whereas the experimental J-V curve shows similar result with PCE = 14.64% with </w:t>
      </w:r>
      <w:proofErr w:type="spellStart"/>
      <w:r w:rsidRPr="009C7851">
        <w:rPr>
          <w:rFonts w:cs="Times New Roman"/>
          <w:szCs w:val="24"/>
        </w:rPr>
        <w:t>V</w:t>
      </w:r>
      <w:r w:rsidRPr="009C7851">
        <w:rPr>
          <w:rFonts w:cs="Times New Roman"/>
          <w:szCs w:val="24"/>
          <w:vertAlign w:val="subscript"/>
        </w:rPr>
        <w:t>oc</w:t>
      </w:r>
      <w:proofErr w:type="spellEnd"/>
      <w:r w:rsidRPr="009C7851">
        <w:rPr>
          <w:rFonts w:cs="Times New Roman"/>
          <w:szCs w:val="24"/>
        </w:rPr>
        <w:t xml:space="preserve"> = 1.019 V, </w:t>
      </w:r>
      <w:proofErr w:type="spellStart"/>
      <w:r w:rsidRPr="009C7851">
        <w:rPr>
          <w:rFonts w:cs="Times New Roman"/>
          <w:szCs w:val="24"/>
        </w:rPr>
        <w:t>J</w:t>
      </w:r>
      <w:r w:rsidRPr="009C7851">
        <w:rPr>
          <w:rFonts w:cs="Times New Roman"/>
          <w:szCs w:val="24"/>
          <w:vertAlign w:val="subscript"/>
        </w:rPr>
        <w:t>sc</w:t>
      </w:r>
      <w:proofErr w:type="spellEnd"/>
      <w:r w:rsidRPr="009C7851">
        <w:rPr>
          <w:rFonts w:cs="Times New Roman"/>
          <w:szCs w:val="24"/>
        </w:rPr>
        <w:t xml:space="preserve"> = 19.27 mA cm</w:t>
      </w:r>
      <w:r w:rsidRPr="009C7851">
        <w:rPr>
          <w:rFonts w:cs="Times New Roman"/>
          <w:szCs w:val="24"/>
          <w:vertAlign w:val="superscript"/>
        </w:rPr>
        <w:t>−2</w:t>
      </w:r>
      <w:r w:rsidRPr="009C7851">
        <w:rPr>
          <w:rFonts w:cs="Times New Roman"/>
          <w:szCs w:val="24"/>
        </w:rPr>
        <w:t xml:space="preserve"> and FF = 74.6%, respectively. Compared with the control device, the experiment result shows slightly lower </w:t>
      </w:r>
      <w:proofErr w:type="spellStart"/>
      <w:r w:rsidRPr="009C7851">
        <w:rPr>
          <w:rFonts w:cs="Times New Roman"/>
          <w:szCs w:val="24"/>
        </w:rPr>
        <w:t>J</w:t>
      </w:r>
      <w:r w:rsidRPr="009C7851">
        <w:rPr>
          <w:rFonts w:cs="Times New Roman"/>
          <w:szCs w:val="24"/>
          <w:vertAlign w:val="subscript"/>
        </w:rPr>
        <w:t>sc</w:t>
      </w:r>
      <w:proofErr w:type="spellEnd"/>
      <w:r w:rsidRPr="009C7851">
        <w:rPr>
          <w:rFonts w:cs="Times New Roman"/>
          <w:szCs w:val="24"/>
        </w:rPr>
        <w:t>, owing to the optical reflection from substrate and each layer, which has not been calculated in SCAPS.</w:t>
      </w:r>
      <w:r w:rsidR="00B04056" w:rsidRPr="009C7851">
        <w:rPr>
          <w:rFonts w:cs="Times New Roman"/>
          <w:szCs w:val="24"/>
        </w:rPr>
        <w:fldChar w:fldCharType="begin" w:fldLock="1"/>
      </w:r>
      <w:r w:rsidR="00580838">
        <w:rPr>
          <w:rFonts w:cs="Times New Roman"/>
          <w:szCs w:val="24"/>
        </w:rPr>
        <w:instrText>ADDIN CSL_CITATION {"citationItems":[{"id":"ITEM-1","itemData":{"ISSN":"0038-092X","author":[{"dropping-particle":"","family":"Karthick","given":"S","non-dropping-particle":"","parse-names":false,"suffix":""},{"dropping-particle":"","family":"Velumani","given":"S","non-dropping-particle":"","parse-names":false,"suffix":""},{"dropping-particle":"","family":"Bouclé","given":"Johann","non-dropping-particle":"","parse-names":false,"suffix":""}],"container-title":"Solar Energy","id":"ITEM-1","issued":{"date-parts":[["2020"]]},"page":"349-357","publisher":"Elsevier","title":"Experimental and SCAPS simulated formamidinium perovskite solar cells: A comparison of device performance","type":"article-journal","volume":"205"},"uris":["http://www.mendeley.com/documents/?uuid=38f9cb8f-416d-40c6-bf2d-5bae7c36073e"]}],"mendeley":{"formattedCitation":"&lt;sup&gt;27)&lt;/sup&gt;","manualFormatting":"28)","plainTextFormattedCitation":"27)","previouslyFormattedCitation":"&lt;sup&gt;27)&lt;/sup&gt;"},"properties":{"noteIndex":0},"schema":"https://github.com/citation-style-language/schema/raw/master/csl-citation.json"}</w:instrText>
      </w:r>
      <w:r w:rsidR="00B04056" w:rsidRPr="009C7851">
        <w:rPr>
          <w:rFonts w:cs="Times New Roman"/>
          <w:szCs w:val="24"/>
        </w:rPr>
        <w:fldChar w:fldCharType="separate"/>
      </w:r>
      <w:r w:rsidR="00B04056" w:rsidRPr="009C7851">
        <w:rPr>
          <w:rFonts w:cs="Times New Roman"/>
          <w:noProof/>
          <w:szCs w:val="24"/>
          <w:vertAlign w:val="superscript"/>
        </w:rPr>
        <w:t>2</w:t>
      </w:r>
      <w:r w:rsidR="00580838">
        <w:rPr>
          <w:rFonts w:cs="Times New Roman"/>
          <w:noProof/>
          <w:szCs w:val="24"/>
          <w:vertAlign w:val="superscript"/>
        </w:rPr>
        <w:t>8</w:t>
      </w:r>
      <w:r w:rsidR="00B04056" w:rsidRPr="009C7851">
        <w:rPr>
          <w:rFonts w:cs="Times New Roman"/>
          <w:noProof/>
          <w:szCs w:val="24"/>
          <w:vertAlign w:val="superscript"/>
        </w:rPr>
        <w:t>)</w:t>
      </w:r>
      <w:r w:rsidR="00B04056" w:rsidRPr="009C7851">
        <w:rPr>
          <w:rFonts w:cs="Times New Roman"/>
          <w:szCs w:val="24"/>
          <w:lang w:val="en"/>
        </w:rPr>
        <w:fldChar w:fldCharType="end"/>
      </w:r>
      <w:r w:rsidRPr="009C7851">
        <w:rPr>
          <w:rFonts w:cs="Times New Roman"/>
          <w:szCs w:val="24"/>
        </w:rPr>
        <w:t xml:space="preserve"> Therefore, the comparative results of both experiment and simulation demonstrate the proper estimation for pure-MAPbI</w:t>
      </w:r>
      <w:r w:rsidRPr="009C7851">
        <w:rPr>
          <w:rFonts w:cs="Times New Roman"/>
          <w:szCs w:val="24"/>
          <w:vertAlign w:val="subscript"/>
        </w:rPr>
        <w:t>3</w:t>
      </w:r>
      <w:r w:rsidRPr="009C7851">
        <w:rPr>
          <w:rFonts w:cs="Times New Roman"/>
          <w:szCs w:val="24"/>
        </w:rPr>
        <w:t xml:space="preserve"> devices. The further simulation optimization in structure and defects will contribute to high performance devices in future PSCs design and manufacture.</w:t>
      </w:r>
    </w:p>
    <w:p w14:paraId="3100641D" w14:textId="63105748" w:rsidR="00176B2F" w:rsidRDefault="00176B2F" w:rsidP="00E522AC">
      <w:pPr>
        <w:pStyle w:val="MainText151510"/>
        <w:adjustRightInd w:val="0"/>
        <w:spacing w:line="360" w:lineRule="auto"/>
        <w:ind w:firstLineChars="0" w:firstLine="0"/>
        <w:rPr>
          <w:rFonts w:ascii="Arial" w:eastAsiaTheme="minorEastAsia" w:hAnsi="Arial" w:cs="Arial"/>
          <w:szCs w:val="24"/>
          <w:lang w:val="en"/>
        </w:rPr>
      </w:pPr>
    </w:p>
    <w:p w14:paraId="04F14CC9" w14:textId="12A4DFBE" w:rsidR="00FD7B09" w:rsidRPr="00FD7B09" w:rsidRDefault="00FD7B09" w:rsidP="00E522AC">
      <w:pPr>
        <w:pStyle w:val="MainText151510"/>
        <w:adjustRightInd w:val="0"/>
        <w:spacing w:line="360" w:lineRule="auto"/>
        <w:ind w:firstLineChars="0" w:firstLine="0"/>
        <w:rPr>
          <w:rFonts w:asciiTheme="majorHAnsi" w:eastAsiaTheme="minorEastAsia" w:hAnsiTheme="majorHAnsi"/>
          <w:b/>
          <w:sz w:val="28"/>
          <w:szCs w:val="28"/>
        </w:rPr>
      </w:pPr>
      <w:r>
        <w:rPr>
          <w:rFonts w:asciiTheme="majorHAnsi" w:hAnsiTheme="majorHAnsi"/>
          <w:b/>
          <w:sz w:val="28"/>
          <w:szCs w:val="28"/>
        </w:rPr>
        <w:t>4</w:t>
      </w:r>
      <w:r w:rsidRPr="00341F2C">
        <w:rPr>
          <w:rFonts w:asciiTheme="majorHAnsi" w:hAnsiTheme="majorHAnsi"/>
          <w:b/>
          <w:sz w:val="28"/>
          <w:szCs w:val="28"/>
        </w:rPr>
        <w:t xml:space="preserve">. </w:t>
      </w:r>
      <w:r>
        <w:rPr>
          <w:rFonts w:asciiTheme="majorHAnsi" w:hAnsiTheme="majorHAnsi"/>
          <w:b/>
          <w:sz w:val="28"/>
          <w:szCs w:val="28"/>
        </w:rPr>
        <w:t>Results and discussion</w:t>
      </w:r>
    </w:p>
    <w:p w14:paraId="45FE5BB4" w14:textId="77777777" w:rsidR="00FD7B09" w:rsidRDefault="00FD7B09" w:rsidP="00FD7B09">
      <w:pPr>
        <w:pStyle w:val="MainText151510"/>
        <w:adjustRightInd w:val="0"/>
        <w:spacing w:line="360" w:lineRule="auto"/>
        <w:ind w:firstLineChars="0" w:firstLine="0"/>
        <w:rPr>
          <w:rFonts w:asciiTheme="majorHAnsi" w:hAnsiTheme="majorHAnsi"/>
          <w:szCs w:val="24"/>
        </w:rPr>
      </w:pPr>
      <w:r>
        <w:rPr>
          <w:rFonts w:asciiTheme="majorHAnsi" w:hAnsiTheme="majorHAnsi"/>
          <w:szCs w:val="24"/>
        </w:rPr>
        <w:t>4</w:t>
      </w:r>
      <w:r w:rsidR="00A4041B" w:rsidRPr="00341F2C">
        <w:rPr>
          <w:rFonts w:asciiTheme="majorHAnsi" w:hAnsiTheme="majorHAnsi"/>
          <w:szCs w:val="24"/>
        </w:rPr>
        <w:t>.</w:t>
      </w:r>
      <w:r>
        <w:rPr>
          <w:rFonts w:asciiTheme="majorHAnsi" w:hAnsiTheme="majorHAnsi"/>
          <w:szCs w:val="24"/>
        </w:rPr>
        <w:t>1</w:t>
      </w:r>
      <w:r w:rsidR="00176B2F" w:rsidRPr="00341F2C">
        <w:rPr>
          <w:rFonts w:asciiTheme="majorHAnsi" w:hAnsiTheme="majorHAnsi"/>
          <w:szCs w:val="24"/>
        </w:rPr>
        <w:t xml:space="preserve"> </w:t>
      </w:r>
      <w:r w:rsidRPr="00FD7B09">
        <w:rPr>
          <w:rFonts w:asciiTheme="majorHAnsi" w:hAnsiTheme="majorHAnsi"/>
          <w:szCs w:val="24"/>
        </w:rPr>
        <w:t>Effect of changing defect density (</w:t>
      </w:r>
      <w:proofErr w:type="spellStart"/>
      <w:r w:rsidRPr="00FD7B09">
        <w:rPr>
          <w:rFonts w:asciiTheme="majorHAnsi" w:hAnsiTheme="majorHAnsi"/>
          <w:szCs w:val="24"/>
        </w:rPr>
        <w:t>N</w:t>
      </w:r>
      <w:r w:rsidRPr="00FD7B09">
        <w:rPr>
          <w:rFonts w:asciiTheme="majorHAnsi" w:hAnsiTheme="majorHAnsi"/>
          <w:szCs w:val="24"/>
          <w:vertAlign w:val="subscript"/>
        </w:rPr>
        <w:t>t</w:t>
      </w:r>
      <w:proofErr w:type="spellEnd"/>
      <w:r w:rsidRPr="00FD7B09">
        <w:rPr>
          <w:rFonts w:asciiTheme="majorHAnsi" w:hAnsiTheme="majorHAnsi"/>
          <w:szCs w:val="24"/>
        </w:rPr>
        <w:t>)</w:t>
      </w:r>
    </w:p>
    <w:p w14:paraId="3A79C4F3" w14:textId="6A911D00" w:rsidR="00FD7B09" w:rsidRPr="00FD7B09" w:rsidRDefault="00FD7B09" w:rsidP="00FD7B09">
      <w:pPr>
        <w:pStyle w:val="MainText151510"/>
        <w:adjustRightInd w:val="0"/>
        <w:spacing w:line="360" w:lineRule="auto"/>
        <w:ind w:firstLineChars="0" w:firstLine="0"/>
        <w:rPr>
          <w:rFonts w:asciiTheme="majorHAnsi" w:hAnsiTheme="majorHAnsi"/>
          <w:szCs w:val="24"/>
        </w:rPr>
      </w:pPr>
      <w:r w:rsidRPr="00FD7B09">
        <w:rPr>
          <w:rFonts w:eastAsia="MS PGothic"/>
          <w:kern w:val="0"/>
        </w:rPr>
        <w:t xml:space="preserve">To investigate both the bulk recombination and interface recombination, </w:t>
      </w:r>
      <w:bookmarkStart w:id="4" w:name="_Hlk122899440"/>
      <w:r w:rsidRPr="00FD7B09">
        <w:rPr>
          <w:rFonts w:eastAsia="MS PGothic"/>
          <w:kern w:val="0"/>
        </w:rPr>
        <w:t>the Shockley Read Hall (SRH) model</w:t>
      </w:r>
      <w:bookmarkEnd w:id="4"/>
      <w:r w:rsidRPr="00FD7B09">
        <w:rPr>
          <w:rFonts w:eastAsia="MS PGothic"/>
          <w:kern w:val="0"/>
        </w:rPr>
        <w:t xml:space="preserve"> is utilized in this simulation. The trap-assisted SRH recombination is mainly acknowledged to be the dominated recombination mechanism in PSCs.</w:t>
      </w:r>
      <w:r w:rsidRPr="00FD7B09">
        <w:rPr>
          <w:rFonts w:eastAsia="MS PGothic"/>
          <w:kern w:val="0"/>
        </w:rPr>
        <w:fldChar w:fldCharType="begin" w:fldLock="1"/>
      </w:r>
      <w:r w:rsidR="008855C3">
        <w:rPr>
          <w:rFonts w:eastAsia="MS PGothic"/>
          <w:kern w:val="0"/>
        </w:rPr>
        <w:instrText>ADDIN CSL_CITATION {"citationItems":[{"id":"ITEM-1","itemData":{"ISSN":"2380-8195","author":[{"dropping-particle":"","family":"Sherkar","given":"Tejas S","non-dropping-particle":"","parse-names":false,"suffix":""},{"dropping-particle":"","family":"Momblona","given":"Cristina","non-dropping-particle":"","parse-names":false,"suffix":""},{"dropping-particle":"","family":"Gil-Escrig","given":"Lidon","non-dropping-particle":"","parse-names":false,"suffix":""},{"dropping-particle":"","family":"Avila","given":"Jorge","non-dropping-particle":"","parse-names":false,"suffix":""},{"dropping-particle":"","family":"Sessolo","given":"Michele","non-dropping-particle":"","parse-names":false,"suffix":""},{"dropping-particle":"","family":"Bolink","given":"Henk J","non-dropping-particle":"","parse-names":false,"suffix":""},{"dropping-particle":"","family":"Koster","given":"L Jan Anton","non-dropping-particle":"","parse-names":false,"suffix":""}],"container-title":"ACS energy letters","id":"ITEM-1","issue":"5","issued":{"date-parts":[["2017"]]},"page":"1214-1222","publisher":"ACS Publications","title":"Recombination in perovskite solar cells: significance of grain boundaries, interface traps, and defect ions","type":"article-journal","volume":"2"},"uris":["http://www.mendeley.com/documents/?uuid=18855221-58f4-4b2a-a801-60afb3c108f8"]}],"mendeley":{"formattedCitation":"&lt;sup&gt;28)&lt;/sup&gt;","manualFormatting":"29)","plainTextFormattedCitation":"28)","previouslyFormattedCitation":"&lt;sup&gt;28)&lt;/sup&gt;"},"properties":{"noteIndex":0},"schema":"https://github.com/citation-style-language/schema/raw/master/csl-citation.json"}</w:instrText>
      </w:r>
      <w:r w:rsidRPr="00FD7B09">
        <w:rPr>
          <w:rFonts w:eastAsia="MS PGothic"/>
          <w:kern w:val="0"/>
        </w:rPr>
        <w:fldChar w:fldCharType="separate"/>
      </w:r>
      <w:r w:rsidR="00B564B5" w:rsidRPr="00B564B5">
        <w:rPr>
          <w:rFonts w:eastAsia="MS PGothic"/>
          <w:noProof/>
          <w:kern w:val="0"/>
          <w:vertAlign w:val="superscript"/>
        </w:rPr>
        <w:t>2</w:t>
      </w:r>
      <w:r w:rsidR="008855C3">
        <w:rPr>
          <w:rFonts w:eastAsia="MS PGothic"/>
          <w:noProof/>
          <w:kern w:val="0"/>
          <w:vertAlign w:val="superscript"/>
        </w:rPr>
        <w:t>9</w:t>
      </w:r>
      <w:r w:rsidR="00B564B5" w:rsidRPr="00B564B5">
        <w:rPr>
          <w:rFonts w:eastAsia="MS PGothic"/>
          <w:noProof/>
          <w:kern w:val="0"/>
          <w:vertAlign w:val="superscript"/>
        </w:rPr>
        <w:t>)</w:t>
      </w:r>
      <w:r w:rsidRPr="00FD7B09">
        <w:rPr>
          <w:rFonts w:eastAsia="MS PGothic"/>
          <w:kern w:val="0"/>
          <w:lang w:val="en"/>
        </w:rPr>
        <w:fldChar w:fldCharType="end"/>
      </w:r>
      <w:r w:rsidRPr="00FD7B09">
        <w:rPr>
          <w:rFonts w:eastAsia="MS PGothic"/>
          <w:kern w:val="0"/>
        </w:rPr>
        <w:t xml:space="preserve"> Owing to the undesired film quality such as poor crystallization and high surface defect in absorber layer, the generated free electron and hole is of higher possibility to be captured and thus recombine in trap centers. This so-called trap-assisted SRH recombination has been widely used to assess the photoconversion loss in single absorber device, which can be described by </w:t>
      </w:r>
      <w:r w:rsidR="00BC495F">
        <w:rPr>
          <w:rFonts w:eastAsia="MS PGothic"/>
          <w:kern w:val="0"/>
        </w:rPr>
        <w:t>Eq.</w:t>
      </w:r>
      <w:r w:rsidRPr="00FD7B09">
        <w:rPr>
          <w:rFonts w:eastAsia="MS PGothic"/>
          <w:kern w:val="0"/>
        </w:rPr>
        <w:t xml:space="preserve"> (1).</w:t>
      </w:r>
      <w:r w:rsidRPr="00FD7B09">
        <w:rPr>
          <w:rFonts w:eastAsia="MS PGothic"/>
          <w:kern w:val="0"/>
        </w:rPr>
        <w:fldChar w:fldCharType="begin" w:fldLock="1"/>
      </w:r>
      <w:r w:rsidR="008855C3">
        <w:rPr>
          <w:rFonts w:eastAsia="MS PGothic"/>
          <w:kern w:val="0"/>
        </w:rPr>
        <w:instrText>ADDIN CSL_CITATION {"citationItems":[{"id":"ITEM-1","itemData":{"ISSN":"2045-2322","author":[{"dropping-particle":"","family":"Sarritzu","given":"Valerio","non-dropping-particle":"","parse-names":false,"suffix":""},{"dropping-particle":"","family":"Sestu","given":"Nicola","non-dropping-particle":"","parse-names":false,"suffix":""},{"dropping-particle":"","family":"Marongiu","given":"Daniela","non-dropping-particle":"","parse-names":false,"suffix":""},{"dropping-particle":"","family":"Chang","given":"Xueqing","non-dropping-particle":"","parse-names":false,"suffix":""},{"dropping-particle":"","family":"Masi","given":"Sofia","non-dropping-particle":"","parse-names":false,"suffix":""},{"dropping-particle":"","family":"Rizzo","given":"Aurora","non-dropping-particle":"","parse-names":false,"suffix":""},{"dropping-particle":"","family":"Colella","given":"Silvia","non-dropping-particle":"","parse-names":false,"suffix":""},{"dropping-particle":"","family":"Quochi","given":"Francesco","non-dropping-particle":"","parse-names":false,"suffix":""},{"dropping-particle":"","family":"Saba","given":"Michele","non-dropping-particle":"","parse-names":false,"suffix":""},{"dropping-particle":"","family":"Mura","given":"Andrea","non-dropping-particle":"","parse-names":false,"suffix":""}],"container-title":"Scientific reports","id":"ITEM-1","issue":"1","issued":{"date-parts":[["2017"]]},"page":"1-10","publisher":"Nature Publishing Group","title":"Optical determination of Shockley-Read-Hall and interface recombination currents in hybrid perovskites","type":"article-journal","volume":"7"},"uris":["http://www.mendeley.com/documents/?uuid=bd8887f3-f03b-428c-9158-57c3cf02de89"]}],"mendeley":{"formattedCitation":"&lt;sup&gt;29)&lt;/sup&gt;","manualFormatting":"30)","plainTextFormattedCitation":"29)","previouslyFormattedCitation":"&lt;sup&gt;29)&lt;/sup&gt;"},"properties":{"noteIndex":0},"schema":"https://github.com/citation-style-language/schema/raw/master/csl-citation.json"}</w:instrText>
      </w:r>
      <w:r w:rsidRPr="00FD7B09">
        <w:rPr>
          <w:rFonts w:eastAsia="MS PGothic"/>
          <w:kern w:val="0"/>
        </w:rPr>
        <w:fldChar w:fldCharType="separate"/>
      </w:r>
      <w:r w:rsidR="008855C3">
        <w:rPr>
          <w:rFonts w:eastAsia="MS PGothic"/>
          <w:noProof/>
          <w:kern w:val="0"/>
          <w:vertAlign w:val="superscript"/>
        </w:rPr>
        <w:t>30</w:t>
      </w:r>
      <w:r w:rsidRPr="00FD7B09">
        <w:rPr>
          <w:rFonts w:eastAsia="MS PGothic"/>
          <w:noProof/>
          <w:kern w:val="0"/>
          <w:vertAlign w:val="superscript"/>
        </w:rPr>
        <w:t>)</w:t>
      </w:r>
      <w:r w:rsidRPr="00FD7B09">
        <w:rPr>
          <w:rFonts w:eastAsia="MS PGothic"/>
          <w:kern w:val="0"/>
          <w:lang w:val="en"/>
        </w:rPr>
        <w:fldChar w:fldCharType="end"/>
      </w:r>
    </w:p>
    <w:p w14:paraId="6C857065" w14:textId="1DC39048" w:rsidR="00FD7B09" w:rsidRPr="00FD7B09" w:rsidRDefault="00FD7B09" w:rsidP="00FD7B09">
      <w:pPr>
        <w:pStyle w:val="ac"/>
        <w:spacing w:before="0" w:line="360" w:lineRule="auto"/>
        <w:jc w:val="both"/>
        <w:rPr>
          <w:rFonts w:ascii="Times New Roman" w:hAnsi="Times New Roman"/>
        </w:rPr>
      </w:pPr>
      <w:r w:rsidRPr="00FD7B09">
        <w:rPr>
          <w:rFonts w:ascii="Times New Roman" w:hAnsi="Times New Roman" w:hint="eastAsia"/>
        </w:rPr>
        <w:t xml:space="preserve"> </w:t>
      </w:r>
      <w:r w:rsidRPr="00FD7B09">
        <w:rPr>
          <w:rFonts w:ascii="Times New Roman" w:hAnsi="Times New Roman"/>
        </w:rPr>
        <w:t xml:space="preserve">                 </w:t>
      </w:r>
      <w:r>
        <w:rPr>
          <w:rFonts w:ascii="Times New Roman" w:hAnsi="Times New Roman"/>
        </w:rPr>
        <w:t xml:space="preserve">       </w:t>
      </w:r>
      <w:r w:rsidRPr="00FD7B09">
        <w:rPr>
          <w:rFonts w:ascii="Times New Roman" w:hAnsi="Times New Roman"/>
        </w:rPr>
        <w:t xml:space="preserve">   </w:t>
      </w:r>
      <m:oMath>
        <m:sSub>
          <m:sSubPr>
            <m:ctrlPr>
              <w:rPr>
                <w:rFonts w:ascii="Cambria Math" w:hAnsi="Cambria Math"/>
                <w:i/>
              </w:rPr>
            </m:ctrlPr>
          </m:sSubPr>
          <m:e>
            <m:r>
              <w:rPr>
                <w:rFonts w:ascii="Cambria Math" w:hAnsi="Cambria Math"/>
              </w:rPr>
              <m:t>R</m:t>
            </m:r>
          </m:e>
          <m:sub>
            <m:r>
              <w:rPr>
                <w:rFonts w:ascii="Cambria Math" w:hAnsi="Cambria Math"/>
              </w:rPr>
              <m:t>SRH</m:t>
            </m:r>
          </m:sub>
        </m:sSub>
        <m:r>
          <w:rPr>
            <w:rFonts w:ascii="Cambria Math" w:hAnsi="Cambria Math"/>
          </w:rPr>
          <m:t>=</m:t>
        </m:r>
        <m:f>
          <m:fPr>
            <m:ctrlPr>
              <w:rPr>
                <w:rFonts w:ascii="Cambria Math" w:hAnsi="Cambria Math"/>
                <w:i/>
              </w:rPr>
            </m:ctrlPr>
          </m:fPr>
          <m:num>
            <m:r>
              <w:rPr>
                <w:rFonts w:ascii="Cambria Math" w:hAnsi="Cambria Math"/>
              </w:rPr>
              <m:t>np-</m:t>
            </m:r>
            <m:sSubSup>
              <m:sSubSupPr>
                <m:ctrlPr>
                  <w:rPr>
                    <w:rFonts w:ascii="Cambria Math" w:hAnsi="Cambria Math"/>
                    <w:i/>
                  </w:rPr>
                </m:ctrlPr>
              </m:sSubSupPr>
              <m:e>
                <m:r>
                  <w:rPr>
                    <w:rFonts w:ascii="Cambria Math" w:hAnsi="Cambria Math"/>
                  </w:rPr>
                  <m:t>n</m:t>
                </m:r>
              </m:e>
              <m:sub>
                <m:r>
                  <w:rPr>
                    <w:rFonts w:ascii="Cambria Math" w:hAnsi="Cambria Math"/>
                  </w:rPr>
                  <m:t>i</m:t>
                </m:r>
              </m:sub>
              <m:sup>
                <m:r>
                  <w:rPr>
                    <w:rFonts w:ascii="Cambria Math" w:hAnsi="Cambria Math"/>
                  </w:rPr>
                  <m:t>2</m:t>
                </m:r>
              </m:sup>
            </m:sSubSup>
          </m:num>
          <m:den>
            <m:r>
              <w:rPr>
                <w:rFonts w:ascii="Cambria Math" w:hAnsi="Cambria Math"/>
              </w:rPr>
              <m:t>τ</m:t>
            </m:r>
            <m:d>
              <m:dPr>
                <m:ctrlPr>
                  <w:rPr>
                    <w:rFonts w:ascii="Cambria Math" w:hAnsi="Cambria Math"/>
                    <w:i/>
                  </w:rPr>
                </m:ctrlPr>
              </m:dPr>
              <m:e>
                <m:r>
                  <w:rPr>
                    <w:rFonts w:ascii="Cambria Math" w:hAnsi="Cambria Math"/>
                  </w:rPr>
                  <m:t>p+n+2</m:t>
                </m:r>
                <m:sSub>
                  <m:sSubPr>
                    <m:ctrlPr>
                      <w:rPr>
                        <w:rFonts w:ascii="Cambria Math" w:hAnsi="Cambria Math"/>
                        <w:i/>
                      </w:rPr>
                    </m:ctrlPr>
                  </m:sSubPr>
                  <m:e>
                    <m:r>
                      <w:rPr>
                        <w:rFonts w:ascii="Cambria Math" w:hAnsi="Cambria Math"/>
                      </w:rPr>
                      <m:t>n</m:t>
                    </m:r>
                  </m:e>
                  <m:sub>
                    <m:r>
                      <w:rPr>
                        <w:rFonts w:ascii="Cambria Math" w:hAnsi="Cambria Math"/>
                      </w:rPr>
                      <m:t>i</m:t>
                    </m:r>
                  </m:sub>
                </m:sSub>
                <m:r>
                  <w:rPr>
                    <w:rFonts w:ascii="Cambria Math" w:hAnsi="Cambria Math"/>
                  </w:rPr>
                  <m:t>cosh</m:t>
                </m:r>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t</m:t>
                            </m:r>
                          </m:sub>
                        </m:sSub>
                      </m:num>
                      <m:den>
                        <m:r>
                          <w:rPr>
                            <w:rFonts w:ascii="Cambria Math" w:hAnsi="Cambria Math"/>
                          </w:rPr>
                          <m:t>KT</m:t>
                        </m:r>
                      </m:den>
                    </m:f>
                  </m:e>
                </m:d>
              </m:e>
            </m:d>
          </m:den>
        </m:f>
      </m:oMath>
      <w:r w:rsidRPr="00FD7B09">
        <w:rPr>
          <w:rFonts w:ascii="Times New Roman" w:hAnsi="Times New Roman" w:hint="eastAsia"/>
        </w:rPr>
        <w:t xml:space="preserve"> </w:t>
      </w:r>
      <w:r w:rsidRPr="00FD7B09">
        <w:rPr>
          <w:rFonts w:ascii="Times New Roman" w:hAnsi="Times New Roman"/>
        </w:rPr>
        <w:t xml:space="preserve">                  (1)</w:t>
      </w:r>
    </w:p>
    <w:p w14:paraId="5635D5E4" w14:textId="134CD6A1" w:rsidR="00FD7B09" w:rsidRPr="00FD7B09" w:rsidRDefault="00FD7B09" w:rsidP="005F2368">
      <w:pPr>
        <w:pStyle w:val="ac"/>
        <w:spacing w:afterLines="50" w:after="120" w:line="360" w:lineRule="auto"/>
        <w:jc w:val="both"/>
        <w:rPr>
          <w:rFonts w:ascii="Times New Roman" w:hAnsi="Times New Roman"/>
        </w:rPr>
      </w:pPr>
      <w:r w:rsidRPr="00FD7B09">
        <w:rPr>
          <w:rFonts w:ascii="Times New Roman" w:hAnsi="Times New Roman"/>
        </w:rPr>
        <w:lastRenderedPageBreak/>
        <w:t xml:space="preserve">where the </w:t>
      </w:r>
      <w:r w:rsidRPr="00FD7B09">
        <w:rPr>
          <w:rFonts w:ascii="Times New Roman" w:hAnsi="Times New Roman"/>
          <w:i/>
          <w:iCs/>
        </w:rPr>
        <w:t>R</w:t>
      </w:r>
      <w:r w:rsidRPr="00FD7B09">
        <w:rPr>
          <w:rFonts w:ascii="Times New Roman" w:hAnsi="Times New Roman"/>
          <w:i/>
          <w:iCs/>
          <w:vertAlign w:val="subscript"/>
        </w:rPr>
        <w:t>SRH</w:t>
      </w:r>
      <w:r w:rsidRPr="00FD7B09">
        <w:rPr>
          <w:rFonts w:ascii="Times New Roman" w:hAnsi="Times New Roman"/>
        </w:rPr>
        <w:t xml:space="preserve"> is the Shockley Read Hall recombination rate, </w:t>
      </w:r>
      <w:r w:rsidRPr="00FD7B09">
        <w:rPr>
          <w:rFonts w:ascii="Times New Roman" w:hAnsi="Times New Roman"/>
          <w:i/>
          <w:iCs/>
        </w:rPr>
        <w:t>n</w:t>
      </w:r>
      <w:r w:rsidRPr="00FD7B09">
        <w:rPr>
          <w:rFonts w:ascii="Times New Roman" w:hAnsi="Times New Roman"/>
        </w:rPr>
        <w:t xml:space="preserve"> and </w:t>
      </w:r>
      <w:r w:rsidRPr="00FD7B09">
        <w:rPr>
          <w:rFonts w:ascii="Times New Roman" w:hAnsi="Times New Roman"/>
          <w:i/>
          <w:iCs/>
        </w:rPr>
        <w:t>p</w:t>
      </w:r>
      <w:r w:rsidRPr="00FD7B09">
        <w:rPr>
          <w:rFonts w:ascii="Times New Roman" w:hAnsi="Times New Roman"/>
        </w:rPr>
        <w:t xml:space="preserve"> </w:t>
      </w:r>
      <w:r w:rsidR="008855C3">
        <w:rPr>
          <w:rFonts w:ascii="Times New Roman" w:hAnsi="Times New Roman"/>
        </w:rPr>
        <w:t>is</w:t>
      </w:r>
      <w:r w:rsidRPr="00FD7B09">
        <w:rPr>
          <w:rFonts w:ascii="Times New Roman" w:hAnsi="Times New Roman"/>
        </w:rPr>
        <w:t xml:space="preserve"> the concentration of electron and hole, </w:t>
      </w:r>
      <w:proofErr w:type="spellStart"/>
      <w:r w:rsidRPr="00FD7B09">
        <w:rPr>
          <w:rFonts w:ascii="Times New Roman" w:hAnsi="Times New Roman"/>
          <w:i/>
          <w:iCs/>
        </w:rPr>
        <w:t>n</w:t>
      </w:r>
      <w:r w:rsidRPr="00FD7B09">
        <w:rPr>
          <w:rFonts w:ascii="Times New Roman" w:hAnsi="Times New Roman"/>
          <w:i/>
          <w:iCs/>
          <w:vertAlign w:val="subscript"/>
        </w:rPr>
        <w:t>i</w:t>
      </w:r>
      <w:proofErr w:type="spellEnd"/>
      <w:r w:rsidRPr="00FD7B09">
        <w:rPr>
          <w:rFonts w:ascii="Times New Roman" w:hAnsi="Times New Roman"/>
        </w:rPr>
        <w:t xml:space="preserve"> represents the intrinsic carrier density, </w:t>
      </w:r>
      <w:r w:rsidRPr="00FD7B09">
        <w:rPr>
          <w:rFonts w:ascii="Times New Roman" w:hAnsi="Times New Roman"/>
          <w:i/>
          <w:iCs/>
        </w:rPr>
        <w:t>τ</w:t>
      </w:r>
      <w:r w:rsidRPr="00FD7B09">
        <w:rPr>
          <w:rFonts w:ascii="Times New Roman" w:hAnsi="Times New Roman"/>
        </w:rPr>
        <w:t xml:space="preserve"> represents the carrier lifetime, </w:t>
      </w:r>
      <w:proofErr w:type="spellStart"/>
      <w:r w:rsidRPr="00FD7B09">
        <w:rPr>
          <w:rFonts w:ascii="Times New Roman" w:hAnsi="Times New Roman"/>
          <w:i/>
          <w:iCs/>
        </w:rPr>
        <w:t>E</w:t>
      </w:r>
      <w:r w:rsidRPr="00FD7B09">
        <w:rPr>
          <w:rFonts w:ascii="Times New Roman" w:hAnsi="Times New Roman"/>
          <w:i/>
          <w:iCs/>
          <w:vertAlign w:val="subscript"/>
        </w:rPr>
        <w:t>i</w:t>
      </w:r>
      <w:proofErr w:type="spellEnd"/>
      <w:r w:rsidRPr="00FD7B09">
        <w:rPr>
          <w:rFonts w:ascii="Times New Roman" w:hAnsi="Times New Roman"/>
          <w:i/>
          <w:iCs/>
        </w:rPr>
        <w:t xml:space="preserve"> </w:t>
      </w:r>
      <w:r w:rsidRPr="00FD7B09">
        <w:rPr>
          <w:rFonts w:ascii="Times New Roman" w:hAnsi="Times New Roman"/>
        </w:rPr>
        <w:t xml:space="preserve">and </w:t>
      </w:r>
      <w:r w:rsidRPr="00FD7B09">
        <w:rPr>
          <w:rFonts w:ascii="Times New Roman" w:hAnsi="Times New Roman"/>
          <w:i/>
          <w:iCs/>
        </w:rPr>
        <w:t>E</w:t>
      </w:r>
      <w:r w:rsidRPr="00FD7B09">
        <w:rPr>
          <w:rFonts w:ascii="Times New Roman" w:hAnsi="Times New Roman"/>
          <w:i/>
          <w:iCs/>
          <w:vertAlign w:val="subscript"/>
        </w:rPr>
        <w:t xml:space="preserve">t </w:t>
      </w:r>
      <w:r w:rsidRPr="00FD7B09">
        <w:rPr>
          <w:rFonts w:ascii="Times New Roman" w:hAnsi="Times New Roman"/>
        </w:rPr>
        <w:t xml:space="preserve">refer to conduction/valence band and trapping energy level, respectively. It is evident that the SRH recombination rate is determined by the carrier lifetime of the perovskite layer. On behalf of interpreting </w:t>
      </w:r>
      <w:r w:rsidRPr="00FD7B09">
        <w:rPr>
          <w:rFonts w:ascii="Times New Roman" w:hAnsi="Times New Roman" w:hint="eastAsia"/>
        </w:rPr>
        <w:t>the</w:t>
      </w:r>
      <w:r w:rsidRPr="00FD7B09">
        <w:rPr>
          <w:rFonts w:ascii="Times New Roman" w:hAnsi="Times New Roman"/>
        </w:rPr>
        <w:t xml:space="preserve"> critical dependency of defect density for recombination, the </w:t>
      </w:r>
      <w:r w:rsidR="00BC495F">
        <w:rPr>
          <w:rFonts w:ascii="Times New Roman" w:hAnsi="Times New Roman"/>
        </w:rPr>
        <w:t>Eq.</w:t>
      </w:r>
      <w:r w:rsidRPr="00FD7B09">
        <w:rPr>
          <w:rFonts w:ascii="Times New Roman" w:hAnsi="Times New Roman"/>
        </w:rPr>
        <w:t xml:space="preserve"> </w:t>
      </w:r>
      <w:r w:rsidR="001C7AAA">
        <w:rPr>
          <w:rFonts w:ascii="Times New Roman" w:hAnsi="Times New Roman"/>
        </w:rPr>
        <w:t>(2)</w:t>
      </w:r>
      <w:r w:rsidRPr="00FD7B09">
        <w:rPr>
          <w:rFonts w:ascii="Times New Roman" w:hAnsi="Times New Roman"/>
        </w:rPr>
        <w:t xml:space="preserve"> is utilized to show the relation between carrier lifetime and defect density.</w:t>
      </w:r>
      <w:r w:rsidR="005F2368" w:rsidRPr="00FD7B09">
        <w:rPr>
          <w:rFonts w:ascii="Times New Roman" w:hAnsi="Times New Roman"/>
        </w:rPr>
        <w:fldChar w:fldCharType="begin" w:fldLock="1"/>
      </w:r>
      <w:r w:rsidR="00B37AA0">
        <w:rPr>
          <w:rFonts w:ascii="Times New Roman" w:hAnsi="Times New Roman"/>
        </w:rPr>
        <w:instrText>ADDIN CSL_CITATION {"citationItems":[{"id":"ITEM-1","itemData":{"ISBN":"0080470165","author":[{"dropping-particle":"","family":"Kao","given":"Kwan Chi","non-dropping-particle":"","parse-names":false,"suffix":""}],"id":"ITEM-1","issued":{"date-parts":[["2004"]]},"publisher":"Elsevier","title":"Dielectric phenomena in solids","type":"book"},"uris":["http://www.mendeley.com/documents/?uuid=95876547-2011-4dd0-bcd2-2db723adeebd"]}],"mendeley":{"formattedCitation":"&lt;sup&gt;30)&lt;/sup&gt;","manualFormatting":"31)","plainTextFormattedCitation":"30)","previouslyFormattedCitation":"&lt;sup&gt;30)&lt;/sup&gt;"},"properties":{"noteIndex":0},"schema":"https://github.com/citation-style-language/schema/raw/master/csl-citation.json"}</w:instrText>
      </w:r>
      <w:r w:rsidR="005F2368" w:rsidRPr="00FD7B09">
        <w:rPr>
          <w:rFonts w:ascii="Times New Roman" w:hAnsi="Times New Roman"/>
        </w:rPr>
        <w:fldChar w:fldCharType="separate"/>
      </w:r>
      <w:r w:rsidR="005F2368" w:rsidRPr="00FD7B09">
        <w:rPr>
          <w:rFonts w:ascii="Times New Roman" w:hAnsi="Times New Roman"/>
          <w:noProof/>
          <w:vertAlign w:val="superscript"/>
        </w:rPr>
        <w:t>3</w:t>
      </w:r>
      <w:r w:rsidR="00B37AA0">
        <w:rPr>
          <w:rFonts w:ascii="Times New Roman" w:hAnsi="Times New Roman"/>
          <w:noProof/>
          <w:vertAlign w:val="superscript"/>
        </w:rPr>
        <w:t>1</w:t>
      </w:r>
      <w:r w:rsidR="005F2368" w:rsidRPr="00FD7B09">
        <w:rPr>
          <w:rFonts w:ascii="Times New Roman" w:hAnsi="Times New Roman"/>
          <w:noProof/>
          <w:vertAlign w:val="superscript"/>
        </w:rPr>
        <w:t>)</w:t>
      </w:r>
      <w:r w:rsidR="005F2368" w:rsidRPr="00FD7B09">
        <w:rPr>
          <w:rFonts w:ascii="Times New Roman" w:hAnsi="Times New Roman"/>
          <w:lang w:val="en"/>
        </w:rPr>
        <w:fldChar w:fldCharType="end"/>
      </w:r>
      <w:r w:rsidRPr="00FD7B09">
        <w:rPr>
          <w:rFonts w:ascii="Times New Roman" w:hAnsi="Times New Roman"/>
        </w:rPr>
        <w:t xml:space="preserve">  </w:t>
      </w:r>
    </w:p>
    <w:p w14:paraId="6A5B67C3" w14:textId="6421762B" w:rsidR="00FD7B09" w:rsidRPr="00FD7B09" w:rsidRDefault="00FD7B09" w:rsidP="00FD7B09">
      <w:pPr>
        <w:pStyle w:val="ac"/>
        <w:spacing w:before="0" w:line="360" w:lineRule="auto"/>
        <w:jc w:val="both"/>
        <w:rPr>
          <w:rFonts w:ascii="Times New Roman" w:hAnsi="Times New Roman"/>
        </w:rPr>
      </w:pPr>
      <w:r w:rsidRPr="00FD7B09">
        <w:rPr>
          <w:rFonts w:ascii="Times New Roman" w:hAnsi="Times New Roman"/>
        </w:rPr>
        <w:t xml:space="preserve">                 </w:t>
      </w:r>
      <w:r w:rsidR="005F2368">
        <w:rPr>
          <w:rFonts w:ascii="Times New Roman" w:hAnsi="Times New Roman"/>
        </w:rPr>
        <w:t xml:space="preserve">        </w:t>
      </w:r>
      <w:r w:rsidRPr="00FD7B09">
        <w:rPr>
          <w:rFonts w:ascii="Times New Roman" w:hAnsi="Times New Roman"/>
        </w:rPr>
        <w:t xml:space="preserve">     </w:t>
      </w:r>
      <m:oMath>
        <m:r>
          <w:rPr>
            <w:rFonts w:ascii="Cambria Math" w:hAnsi="Cambria Math"/>
          </w:rPr>
          <m:t>τ=</m:t>
        </m:r>
        <m:f>
          <m:fPr>
            <m:ctrlPr>
              <w:rPr>
                <w:rFonts w:ascii="Cambria Math" w:hAnsi="Cambria Math"/>
                <w:i/>
              </w:rPr>
            </m:ctrlPr>
          </m:fPr>
          <m:num>
            <m:r>
              <w:rPr>
                <w:rFonts w:ascii="Cambria Math" w:hAnsi="Cambria Math"/>
              </w:rPr>
              <m:t>1</m:t>
            </m:r>
          </m:num>
          <m:den>
            <m:r>
              <w:rPr>
                <w:rFonts w:ascii="Cambria Math" w:hAnsi="Cambria Math"/>
              </w:rPr>
              <m:t>σ×</m:t>
            </m:r>
            <m:sSub>
              <m:sSubPr>
                <m:ctrlPr>
                  <w:rPr>
                    <w:rFonts w:ascii="Cambria Math" w:hAnsi="Cambria Math"/>
                    <w:i/>
                  </w:rPr>
                </m:ctrlPr>
              </m:sSubPr>
              <m:e>
                <m:r>
                  <w:rPr>
                    <w:rFonts w:ascii="Cambria Math" w:hAnsi="Cambria Math"/>
                  </w:rPr>
                  <m:t>N</m:t>
                </m:r>
              </m:e>
              <m:sub>
                <m:r>
                  <w:rPr>
                    <w:rFonts w:ascii="Cambria Math" w:hAnsi="Cambria Math"/>
                  </w:rPr>
                  <m:t>t</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th</m:t>
                </m:r>
              </m:sub>
            </m:sSub>
          </m:den>
        </m:f>
      </m:oMath>
      <w:r w:rsidRPr="00FD7B09">
        <w:rPr>
          <w:rFonts w:ascii="Times New Roman" w:hAnsi="Times New Roman" w:hint="eastAsia"/>
        </w:rPr>
        <w:t xml:space="preserve"> </w:t>
      </w:r>
      <w:r w:rsidRPr="00FD7B09">
        <w:rPr>
          <w:rFonts w:ascii="Times New Roman" w:hAnsi="Times New Roman"/>
        </w:rPr>
        <w:t xml:space="preserve">                             (2)</w:t>
      </w:r>
    </w:p>
    <w:p w14:paraId="7F4E5B91" w14:textId="54AE66F0" w:rsidR="004B4D6C" w:rsidRDefault="00FD7B09" w:rsidP="00E946B7">
      <w:pPr>
        <w:pStyle w:val="ac"/>
        <w:spacing w:before="0" w:beforeAutospacing="0" w:after="0" w:afterAutospacing="0" w:line="360" w:lineRule="auto"/>
        <w:jc w:val="both"/>
        <w:rPr>
          <w:rFonts w:ascii="Times New Roman" w:hAnsi="Times New Roman"/>
        </w:rPr>
      </w:pPr>
      <w:r w:rsidRPr="00FD7B09">
        <w:rPr>
          <w:rFonts w:ascii="Times New Roman" w:hAnsi="Times New Roman"/>
        </w:rPr>
        <w:t xml:space="preserve">where </w:t>
      </w:r>
      <w:r w:rsidRPr="00FD7B09">
        <w:rPr>
          <w:rFonts w:ascii="Times New Roman" w:hAnsi="Times New Roman"/>
          <w:i/>
          <w:iCs/>
        </w:rPr>
        <w:t>τ</w:t>
      </w:r>
      <w:r w:rsidRPr="00FD7B09">
        <w:rPr>
          <w:rFonts w:ascii="Times New Roman" w:hAnsi="Times New Roman"/>
        </w:rPr>
        <w:t xml:space="preserve"> represents the carrier lifetime, </w:t>
      </w:r>
      <w:r w:rsidRPr="00FD7B09">
        <w:rPr>
          <w:rFonts w:ascii="Times New Roman" w:hAnsi="Times New Roman"/>
          <w:i/>
          <w:iCs/>
        </w:rPr>
        <w:t>σ</w:t>
      </w:r>
      <w:r w:rsidRPr="00FD7B09">
        <w:rPr>
          <w:rFonts w:ascii="Times New Roman" w:hAnsi="Times New Roman"/>
        </w:rPr>
        <w:t xml:space="preserve"> is the carrier capture cross section, </w:t>
      </w:r>
      <w:proofErr w:type="spellStart"/>
      <w:r w:rsidRPr="00FD7B09">
        <w:rPr>
          <w:rFonts w:ascii="Times New Roman" w:hAnsi="Times New Roman"/>
          <w:i/>
          <w:iCs/>
        </w:rPr>
        <w:t>N</w:t>
      </w:r>
      <w:r w:rsidRPr="00FD7B09">
        <w:rPr>
          <w:rFonts w:ascii="Times New Roman" w:hAnsi="Times New Roman"/>
          <w:i/>
          <w:iCs/>
          <w:vertAlign w:val="subscript"/>
        </w:rPr>
        <w:t>t</w:t>
      </w:r>
      <w:proofErr w:type="spellEnd"/>
      <w:r w:rsidRPr="00FD7B09">
        <w:rPr>
          <w:rFonts w:ascii="Times New Roman" w:hAnsi="Times New Roman"/>
        </w:rPr>
        <w:t xml:space="preserve"> is the defect density and </w:t>
      </w:r>
      <w:proofErr w:type="spellStart"/>
      <w:r w:rsidRPr="00FD7B09">
        <w:rPr>
          <w:rFonts w:ascii="Times New Roman" w:hAnsi="Times New Roman"/>
          <w:i/>
          <w:iCs/>
        </w:rPr>
        <w:t>v</w:t>
      </w:r>
      <w:r w:rsidRPr="00FD7B09">
        <w:rPr>
          <w:rFonts w:ascii="Times New Roman" w:hAnsi="Times New Roman"/>
          <w:i/>
          <w:iCs/>
          <w:vertAlign w:val="subscript"/>
        </w:rPr>
        <w:t>th</w:t>
      </w:r>
      <w:proofErr w:type="spellEnd"/>
      <w:r w:rsidRPr="00FD7B09">
        <w:rPr>
          <w:rFonts w:ascii="Times New Roman" w:hAnsi="Times New Roman"/>
        </w:rPr>
        <w:t xml:space="preserve"> refers to electron thermal velocity. According to the </w:t>
      </w:r>
      <w:proofErr w:type="spellStart"/>
      <w:r w:rsidR="00BC495F">
        <w:rPr>
          <w:rFonts w:ascii="Times New Roman" w:hAnsi="Times New Roman"/>
        </w:rPr>
        <w:t>Eqs</w:t>
      </w:r>
      <w:proofErr w:type="spellEnd"/>
      <w:r w:rsidR="00BC495F">
        <w:rPr>
          <w:rFonts w:ascii="Times New Roman" w:hAnsi="Times New Roman"/>
        </w:rPr>
        <w:t>.</w:t>
      </w:r>
      <w:r w:rsidRPr="00FD7B09">
        <w:rPr>
          <w:rFonts w:ascii="Times New Roman" w:hAnsi="Times New Roman"/>
        </w:rPr>
        <w:t xml:space="preserve"> (1) and (2), the defect density is inversely proportional to carrier lifetime owing to the constant parameters for </w:t>
      </w:r>
      <w:r w:rsidRPr="00FD7B09">
        <w:rPr>
          <w:rFonts w:ascii="Times New Roman" w:hAnsi="Times New Roman"/>
          <w:i/>
          <w:iCs/>
        </w:rPr>
        <w:t xml:space="preserve">σ </w:t>
      </w:r>
      <w:r w:rsidRPr="00FD7B09">
        <w:rPr>
          <w:rFonts w:ascii="Times New Roman" w:hAnsi="Times New Roman"/>
        </w:rPr>
        <w:t>and</w:t>
      </w:r>
      <w:r w:rsidRPr="00FD7B09">
        <w:rPr>
          <w:rFonts w:ascii="Times New Roman" w:hAnsi="Times New Roman"/>
          <w:i/>
          <w:iCs/>
        </w:rPr>
        <w:t xml:space="preserve"> </w:t>
      </w:r>
      <w:proofErr w:type="spellStart"/>
      <w:r w:rsidRPr="00FD7B09">
        <w:rPr>
          <w:rFonts w:ascii="Times New Roman" w:hAnsi="Times New Roman"/>
          <w:i/>
          <w:iCs/>
        </w:rPr>
        <w:t>v</w:t>
      </w:r>
      <w:r w:rsidRPr="00FD7B09">
        <w:rPr>
          <w:rFonts w:ascii="Times New Roman" w:hAnsi="Times New Roman"/>
          <w:i/>
          <w:iCs/>
          <w:vertAlign w:val="subscript"/>
        </w:rPr>
        <w:t>th</w:t>
      </w:r>
      <w:proofErr w:type="spellEnd"/>
      <w:r w:rsidRPr="00FD7B09">
        <w:rPr>
          <w:rFonts w:ascii="Times New Roman" w:hAnsi="Times New Roman"/>
          <w:i/>
          <w:iCs/>
          <w:vertAlign w:val="subscript"/>
        </w:rPr>
        <w:t xml:space="preserve"> </w:t>
      </w:r>
      <w:r w:rsidRPr="00FD7B09">
        <w:rPr>
          <w:rFonts w:ascii="Times New Roman" w:hAnsi="Times New Roman"/>
        </w:rPr>
        <w:t>at room temperature. Therefore, the SRH recombination rate is exclusively dependent on the defect density. Figure 3</w:t>
      </w:r>
      <w:r w:rsidR="00BC495F">
        <w:rPr>
          <w:rFonts w:ascii="Times New Roman" w:hAnsi="Times New Roman"/>
        </w:rPr>
        <w:t>(</w:t>
      </w:r>
      <w:r w:rsidRPr="00FD7B09">
        <w:rPr>
          <w:rFonts w:ascii="Times New Roman" w:hAnsi="Times New Roman"/>
        </w:rPr>
        <w:t>a</w:t>
      </w:r>
      <w:r w:rsidR="00BC495F">
        <w:rPr>
          <w:rFonts w:ascii="Times New Roman" w:hAnsi="Times New Roman"/>
        </w:rPr>
        <w:t>)</w:t>
      </w:r>
      <w:r w:rsidRPr="00FD7B09">
        <w:rPr>
          <w:rFonts w:ascii="Times New Roman" w:hAnsi="Times New Roman"/>
        </w:rPr>
        <w:t xml:space="preserve"> demonstrates the SRH recombination rate as a function of film depth with varied defect density for absorber layer. Within the defect density of 10</w:t>
      </w:r>
      <w:r w:rsidRPr="00FD7B09">
        <w:rPr>
          <w:rFonts w:ascii="Times New Roman" w:hAnsi="Times New Roman"/>
          <w:vertAlign w:val="superscript"/>
        </w:rPr>
        <w:t>14</w:t>
      </w:r>
      <w:r w:rsidR="00B37AA0" w:rsidRPr="00B37AA0">
        <w:rPr>
          <w:rFonts w:ascii="Times New Roman" w:hAnsi="Times New Roman"/>
        </w:rPr>
        <w:t xml:space="preserve"> </w:t>
      </w:r>
      <w:r w:rsidR="00B37AA0" w:rsidRPr="00FD7B09">
        <w:rPr>
          <w:rFonts w:ascii="Times New Roman" w:hAnsi="Times New Roman"/>
        </w:rPr>
        <w:t>cm</w:t>
      </w:r>
      <w:r w:rsidR="00B37AA0" w:rsidRPr="00FD7B09">
        <w:rPr>
          <w:rFonts w:ascii="Times New Roman" w:hAnsi="Times New Roman"/>
          <w:vertAlign w:val="superscript"/>
        </w:rPr>
        <w:t>−3</w:t>
      </w:r>
      <w:r w:rsidRPr="00FD7B09">
        <w:rPr>
          <w:rFonts w:ascii="Times New Roman" w:hAnsi="Times New Roman"/>
        </w:rPr>
        <w:t xml:space="preserve">, the recombination rates are at lower level in the range of absorber from </w:t>
      </w:r>
      <w:r w:rsidRPr="00947BBD">
        <w:rPr>
          <w:rFonts w:ascii="Times New Roman" w:hAnsi="Times New Roman"/>
        </w:rPr>
        <w:t>0.</w:t>
      </w:r>
      <w:r w:rsidR="00D64650" w:rsidRPr="00947BBD">
        <w:rPr>
          <w:rFonts w:ascii="Times New Roman" w:hAnsi="Times New Roman"/>
        </w:rPr>
        <w:t>25</w:t>
      </w:r>
      <w:r w:rsidRPr="00947BBD">
        <w:rPr>
          <w:rFonts w:ascii="Times New Roman" w:hAnsi="Times New Roman"/>
        </w:rPr>
        <w:t xml:space="preserve"> to 0.</w:t>
      </w:r>
      <w:r w:rsidR="00D64650" w:rsidRPr="00947BBD">
        <w:rPr>
          <w:rFonts w:ascii="Times New Roman" w:hAnsi="Times New Roman"/>
        </w:rPr>
        <w:t>5</w:t>
      </w:r>
      <w:r w:rsidRPr="00947BBD">
        <w:rPr>
          <w:rFonts w:ascii="Times New Roman" w:hAnsi="Times New Roman"/>
        </w:rPr>
        <w:t xml:space="preserve"> </w:t>
      </w:r>
      <w:proofErr w:type="spellStart"/>
      <w:r w:rsidRPr="00947BBD">
        <w:rPr>
          <w:rFonts w:ascii="Times New Roman" w:hAnsi="Times New Roman"/>
        </w:rPr>
        <w:t>μm</w:t>
      </w:r>
      <w:proofErr w:type="spellEnd"/>
      <w:r w:rsidRPr="00947BBD">
        <w:rPr>
          <w:rFonts w:ascii="Times New Roman" w:hAnsi="Times New Roman"/>
        </w:rPr>
        <w:t>.</w:t>
      </w:r>
      <w:r w:rsidRPr="00FD7B09">
        <w:rPr>
          <w:rFonts w:ascii="Times New Roman" w:hAnsi="Times New Roman"/>
        </w:rPr>
        <w:t xml:space="preserve"> As the defect density increases from 10</w:t>
      </w:r>
      <w:r w:rsidRPr="00FD7B09">
        <w:rPr>
          <w:rFonts w:ascii="Times New Roman" w:hAnsi="Times New Roman"/>
          <w:vertAlign w:val="superscript"/>
        </w:rPr>
        <w:t>14</w:t>
      </w:r>
      <w:r w:rsidRPr="00FD7B09">
        <w:rPr>
          <w:rFonts w:ascii="Times New Roman" w:hAnsi="Times New Roman"/>
        </w:rPr>
        <w:t xml:space="preserve"> to 10</w:t>
      </w:r>
      <w:r w:rsidRPr="00FD7B09">
        <w:rPr>
          <w:rFonts w:ascii="Times New Roman" w:hAnsi="Times New Roman"/>
          <w:vertAlign w:val="superscript"/>
        </w:rPr>
        <w:t>16</w:t>
      </w:r>
      <w:r w:rsidRPr="00FD7B09">
        <w:rPr>
          <w:rFonts w:ascii="Times New Roman" w:hAnsi="Times New Roman"/>
        </w:rPr>
        <w:t xml:space="preserve"> cm</w:t>
      </w:r>
      <w:r w:rsidRPr="00FD7B09">
        <w:rPr>
          <w:rFonts w:ascii="Times New Roman" w:hAnsi="Times New Roman"/>
          <w:vertAlign w:val="superscript"/>
        </w:rPr>
        <w:t>−3</w:t>
      </w:r>
      <w:r w:rsidRPr="00FD7B09">
        <w:rPr>
          <w:rFonts w:ascii="Times New Roman" w:hAnsi="Times New Roman"/>
        </w:rPr>
        <w:t>, the recombination rate rises significantly in perovskite layer. Notably, in high defect density of 10</w:t>
      </w:r>
      <w:r w:rsidRPr="00FD7B09">
        <w:rPr>
          <w:rFonts w:ascii="Times New Roman" w:hAnsi="Times New Roman"/>
          <w:vertAlign w:val="superscript"/>
        </w:rPr>
        <w:t xml:space="preserve">16 </w:t>
      </w:r>
      <w:r w:rsidRPr="00FD7B09">
        <w:rPr>
          <w:rFonts w:ascii="Times New Roman" w:hAnsi="Times New Roman"/>
        </w:rPr>
        <w:t>cm</w:t>
      </w:r>
      <w:r w:rsidRPr="00FD7B09">
        <w:rPr>
          <w:rFonts w:ascii="Times New Roman" w:hAnsi="Times New Roman"/>
          <w:vertAlign w:val="superscript"/>
        </w:rPr>
        <w:t>−3</w:t>
      </w:r>
      <w:r w:rsidRPr="00FD7B09">
        <w:rPr>
          <w:rFonts w:ascii="Times New Roman" w:hAnsi="Times New Roman"/>
        </w:rPr>
        <w:t xml:space="preserve">, a much steeper curve is observed for higher depth region indicative to near ETL side for absorber layer. Since the sunlight illuminates the front of the device by FTO side, there are masses of generated carriers accumulated in the first interface </w:t>
      </w:r>
      <w:r w:rsidRPr="00FD7B09">
        <w:rPr>
          <w:rFonts w:ascii="Times New Roman" w:hAnsi="Times New Roman" w:hint="eastAsia"/>
        </w:rPr>
        <w:t>of</w:t>
      </w:r>
      <w:r w:rsidRPr="00FD7B09">
        <w:rPr>
          <w:rFonts w:ascii="Times New Roman" w:hAnsi="Times New Roman"/>
        </w:rPr>
        <w:t xml:space="preserve"> ETL/</w:t>
      </w:r>
      <w:r w:rsidRPr="00FD7B09">
        <w:rPr>
          <w:rFonts w:ascii="Times New Roman" w:hAnsi="Times New Roman" w:hint="eastAsia"/>
        </w:rPr>
        <w:t>absorber</w:t>
      </w:r>
      <w:r w:rsidRPr="00FD7B09">
        <w:rPr>
          <w:rFonts w:ascii="Times New Roman" w:hAnsi="Times New Roman"/>
        </w:rPr>
        <w:t xml:space="preserve"> rather than the second of absorber/HTL due to the excellent absorption of MAPbI</w:t>
      </w:r>
      <w:r w:rsidRPr="00FD7B09">
        <w:rPr>
          <w:rFonts w:ascii="Times New Roman" w:hAnsi="Times New Roman"/>
          <w:vertAlign w:val="subscript"/>
        </w:rPr>
        <w:t>3</w:t>
      </w:r>
      <w:r w:rsidRPr="00FD7B09">
        <w:rPr>
          <w:rFonts w:ascii="Times New Roman" w:hAnsi="Times New Roman"/>
        </w:rPr>
        <w:t xml:space="preserve"> perovskite.</w:t>
      </w:r>
      <w:r w:rsidR="005F2368" w:rsidRPr="00FD7B09">
        <w:rPr>
          <w:rFonts w:ascii="Times New Roman" w:hAnsi="Times New Roman"/>
        </w:rPr>
        <w:fldChar w:fldCharType="begin" w:fldLock="1"/>
      </w:r>
      <w:r w:rsidR="007E5751">
        <w:rPr>
          <w:rFonts w:ascii="Times New Roman" w:hAnsi="Times New Roman"/>
        </w:rPr>
        <w:instrText>ADDIN CSL_CITATION {"citationItems":[{"id":"ITEM-1","itemData":{"author":[{"dropping-particle":"","family":"Jung","given":"Mi-Hee","non-dropping-particle":"","parse-names":false,"suffix":""}],"container-title":"RSC advances","id":"ITEM-1","issue":"52","issued":{"date-parts":[["2021"]]},"page":"32590-32603","publisher":"Royal Society of Chemistry","title":"Formation of cubic perovskite alloy containing the ammonium cation of 2D perovskite for high performance solar cells with improved stability","type":"article-journal","volume":"11"},"uris":["http://www.mendeley.com/documents/?uuid=d076661e-98e7-4d58-aa9e-eb52a911ee7e"]}],"mendeley":{"formattedCitation":"&lt;sup&gt;31)&lt;/sup&gt;","manualFormatting":"32)","plainTextFormattedCitation":"31)","previouslyFormattedCitation":"&lt;sup&gt;31)&lt;/sup&gt;"},"properties":{"noteIndex":0},"schema":"https://github.com/citation-style-language/schema/raw/master/csl-citation.json"}</w:instrText>
      </w:r>
      <w:r w:rsidR="005F2368" w:rsidRPr="00FD7B09">
        <w:rPr>
          <w:rFonts w:ascii="Times New Roman" w:hAnsi="Times New Roman"/>
        </w:rPr>
        <w:fldChar w:fldCharType="separate"/>
      </w:r>
      <w:r w:rsidR="005F2368" w:rsidRPr="00FD7B09">
        <w:rPr>
          <w:rFonts w:ascii="Times New Roman" w:hAnsi="Times New Roman"/>
          <w:noProof/>
          <w:vertAlign w:val="superscript"/>
        </w:rPr>
        <w:t>3</w:t>
      </w:r>
      <w:r w:rsidR="007E5751">
        <w:rPr>
          <w:rFonts w:ascii="Times New Roman" w:hAnsi="Times New Roman"/>
          <w:noProof/>
          <w:vertAlign w:val="superscript"/>
        </w:rPr>
        <w:t>2</w:t>
      </w:r>
      <w:r w:rsidR="005F2368" w:rsidRPr="00FD7B09">
        <w:rPr>
          <w:rFonts w:ascii="Times New Roman" w:hAnsi="Times New Roman"/>
          <w:noProof/>
          <w:vertAlign w:val="superscript"/>
        </w:rPr>
        <w:t>)</w:t>
      </w:r>
      <w:r w:rsidR="005F2368" w:rsidRPr="00FD7B09">
        <w:rPr>
          <w:rFonts w:ascii="Times New Roman" w:hAnsi="Times New Roman"/>
          <w:lang w:val="en"/>
        </w:rPr>
        <w:fldChar w:fldCharType="end"/>
      </w:r>
      <w:r w:rsidRPr="00FD7B09">
        <w:rPr>
          <w:rFonts w:ascii="Times New Roman" w:hAnsi="Times New Roman"/>
        </w:rPr>
        <w:t xml:space="preserve"> The quantitative discrepancy for non-equilibrium carriers brings more trap states and recombination centers in interface of ETL/</w:t>
      </w:r>
      <w:r w:rsidRPr="00FD7B09">
        <w:rPr>
          <w:rFonts w:ascii="Times New Roman" w:hAnsi="Times New Roman" w:hint="eastAsia"/>
        </w:rPr>
        <w:t>absorber</w:t>
      </w:r>
      <w:r w:rsidRPr="00FD7B09">
        <w:rPr>
          <w:rFonts w:ascii="Times New Roman" w:hAnsi="Times New Roman"/>
        </w:rPr>
        <w:t>, and thus results in rapidly increased recombination rate. As a result, Figure 3</w:t>
      </w:r>
      <w:r w:rsidR="00BC495F">
        <w:rPr>
          <w:rFonts w:ascii="Times New Roman" w:hAnsi="Times New Roman"/>
        </w:rPr>
        <w:t>(</w:t>
      </w:r>
      <w:r w:rsidRPr="00FD7B09">
        <w:rPr>
          <w:rFonts w:ascii="Times New Roman" w:hAnsi="Times New Roman"/>
        </w:rPr>
        <w:t>b</w:t>
      </w:r>
      <w:r w:rsidR="00BC495F">
        <w:rPr>
          <w:rFonts w:ascii="Times New Roman" w:hAnsi="Times New Roman"/>
        </w:rPr>
        <w:t>)</w:t>
      </w:r>
      <w:r w:rsidRPr="00FD7B09">
        <w:rPr>
          <w:rFonts w:ascii="Times New Roman" w:hAnsi="Times New Roman"/>
        </w:rPr>
        <w:t xml:space="preserve"> exhibits the J-V curves for varied defect density from 10</w:t>
      </w:r>
      <w:r w:rsidRPr="00FD7B09">
        <w:rPr>
          <w:rFonts w:ascii="Times New Roman" w:hAnsi="Times New Roman"/>
          <w:vertAlign w:val="superscript"/>
        </w:rPr>
        <w:t>1</w:t>
      </w:r>
      <w:r w:rsidR="00C95FB9">
        <w:rPr>
          <w:rFonts w:ascii="Times New Roman" w:hAnsi="Times New Roman"/>
          <w:vertAlign w:val="superscript"/>
        </w:rPr>
        <w:t>3</w:t>
      </w:r>
      <w:r w:rsidRPr="00FD7B09">
        <w:rPr>
          <w:rFonts w:ascii="Times New Roman" w:hAnsi="Times New Roman"/>
        </w:rPr>
        <w:t xml:space="preserve"> to 10</w:t>
      </w:r>
      <w:r w:rsidRPr="00FD7B09">
        <w:rPr>
          <w:rFonts w:ascii="Times New Roman" w:hAnsi="Times New Roman"/>
          <w:vertAlign w:val="superscript"/>
        </w:rPr>
        <w:t>17</w:t>
      </w:r>
      <w:r w:rsidRPr="00FD7B09">
        <w:rPr>
          <w:rFonts w:ascii="Times New Roman" w:hAnsi="Times New Roman"/>
        </w:rPr>
        <w:t xml:space="preserve"> cm</w:t>
      </w:r>
      <w:r w:rsidRPr="00FD7B09">
        <w:rPr>
          <w:rFonts w:ascii="Times New Roman" w:hAnsi="Times New Roman"/>
          <w:vertAlign w:val="superscript"/>
        </w:rPr>
        <w:t>−3</w:t>
      </w:r>
      <w:r w:rsidRPr="00FD7B09">
        <w:rPr>
          <w:rFonts w:ascii="Times New Roman" w:hAnsi="Times New Roman"/>
        </w:rPr>
        <w:t>. While the defect density increases from 10</w:t>
      </w:r>
      <w:r w:rsidRPr="00FD7B09">
        <w:rPr>
          <w:rFonts w:ascii="Times New Roman" w:hAnsi="Times New Roman"/>
          <w:vertAlign w:val="superscript"/>
        </w:rPr>
        <w:t>13</w:t>
      </w:r>
      <w:r w:rsidRPr="00FD7B09">
        <w:rPr>
          <w:rFonts w:ascii="Times New Roman" w:hAnsi="Times New Roman"/>
        </w:rPr>
        <w:t xml:space="preserve"> to 10</w:t>
      </w:r>
      <w:r w:rsidRPr="00FD7B09">
        <w:rPr>
          <w:rFonts w:ascii="Times New Roman" w:hAnsi="Times New Roman"/>
          <w:vertAlign w:val="superscript"/>
        </w:rPr>
        <w:t>15</w:t>
      </w:r>
      <w:r w:rsidRPr="00FD7B09">
        <w:rPr>
          <w:rFonts w:ascii="Times New Roman" w:hAnsi="Times New Roman"/>
        </w:rPr>
        <w:t xml:space="preserve"> cm</w:t>
      </w:r>
      <w:r w:rsidRPr="00FD7B09">
        <w:rPr>
          <w:rFonts w:ascii="Times New Roman" w:hAnsi="Times New Roman"/>
          <w:vertAlign w:val="superscript"/>
        </w:rPr>
        <w:t>−3</w:t>
      </w:r>
      <w:r w:rsidRPr="00FD7B09">
        <w:rPr>
          <w:rFonts w:ascii="Times New Roman" w:hAnsi="Times New Roman"/>
          <w:vertAlign w:val="subscript"/>
        </w:rPr>
        <w:t xml:space="preserve">, </w:t>
      </w:r>
      <w:r w:rsidRPr="00FD7B09">
        <w:rPr>
          <w:rFonts w:ascii="Times New Roman" w:hAnsi="Times New Roman"/>
        </w:rPr>
        <w:t xml:space="preserve">the device performance drops mainly attributed by the reduced </w:t>
      </w:r>
      <w:proofErr w:type="spellStart"/>
      <w:r w:rsidRPr="00FD7B09">
        <w:rPr>
          <w:rFonts w:ascii="Times New Roman" w:hAnsi="Times New Roman"/>
        </w:rPr>
        <w:t>V</w:t>
      </w:r>
      <w:r w:rsidRPr="00FD7B09">
        <w:rPr>
          <w:rFonts w:ascii="Times New Roman" w:hAnsi="Times New Roman"/>
          <w:vertAlign w:val="subscript"/>
        </w:rPr>
        <w:t>oc</w:t>
      </w:r>
      <w:proofErr w:type="spellEnd"/>
      <w:r w:rsidRPr="00FD7B09">
        <w:rPr>
          <w:rFonts w:ascii="Times New Roman" w:hAnsi="Times New Roman"/>
        </w:rPr>
        <w:t xml:space="preserve"> from 1.116 V to 0.993 V. Simultaneously, the </w:t>
      </w:r>
      <w:proofErr w:type="spellStart"/>
      <w:r w:rsidRPr="00FD7B09">
        <w:rPr>
          <w:rFonts w:ascii="Times New Roman" w:hAnsi="Times New Roman"/>
        </w:rPr>
        <w:t>J</w:t>
      </w:r>
      <w:r w:rsidRPr="00FD7B09">
        <w:rPr>
          <w:rFonts w:ascii="Times New Roman" w:hAnsi="Times New Roman"/>
          <w:vertAlign w:val="subscript"/>
        </w:rPr>
        <w:t>sc</w:t>
      </w:r>
      <w:proofErr w:type="spellEnd"/>
      <w:r w:rsidRPr="00FD7B09">
        <w:rPr>
          <w:rFonts w:ascii="Times New Roman" w:hAnsi="Times New Roman"/>
        </w:rPr>
        <w:t xml:space="preserve"> nearly remains the same level. However, when the defect density increases up to 10</w:t>
      </w:r>
      <w:r w:rsidRPr="00FD7B09">
        <w:rPr>
          <w:rFonts w:ascii="Times New Roman" w:hAnsi="Times New Roman"/>
          <w:vertAlign w:val="superscript"/>
        </w:rPr>
        <w:t xml:space="preserve">16 </w:t>
      </w:r>
      <w:r w:rsidRPr="00FD7B09">
        <w:rPr>
          <w:rFonts w:ascii="Times New Roman" w:hAnsi="Times New Roman"/>
        </w:rPr>
        <w:t>cm</w:t>
      </w:r>
      <w:r w:rsidRPr="00FD7B09">
        <w:rPr>
          <w:rFonts w:ascii="Times New Roman" w:hAnsi="Times New Roman"/>
          <w:vertAlign w:val="superscript"/>
        </w:rPr>
        <w:t xml:space="preserve">−3 </w:t>
      </w:r>
      <w:r w:rsidRPr="00FD7B09">
        <w:rPr>
          <w:rFonts w:ascii="Times New Roman" w:hAnsi="Times New Roman"/>
        </w:rPr>
        <w:t xml:space="preserve">or even higher, the observably severe recombination leads to the degradation both in </w:t>
      </w:r>
      <w:proofErr w:type="spellStart"/>
      <w:r w:rsidRPr="00FD7B09">
        <w:rPr>
          <w:rFonts w:ascii="Times New Roman" w:hAnsi="Times New Roman"/>
        </w:rPr>
        <w:t>V</w:t>
      </w:r>
      <w:r w:rsidRPr="00FD7B09">
        <w:rPr>
          <w:rFonts w:ascii="Times New Roman" w:hAnsi="Times New Roman"/>
          <w:vertAlign w:val="subscript"/>
        </w:rPr>
        <w:t>oc</w:t>
      </w:r>
      <w:proofErr w:type="spellEnd"/>
      <w:r w:rsidRPr="00FD7B09">
        <w:rPr>
          <w:rFonts w:ascii="Times New Roman" w:hAnsi="Times New Roman"/>
        </w:rPr>
        <w:t xml:space="preserve">, </w:t>
      </w:r>
      <w:proofErr w:type="spellStart"/>
      <w:r w:rsidRPr="00FD7B09">
        <w:rPr>
          <w:rFonts w:ascii="Times New Roman" w:hAnsi="Times New Roman"/>
        </w:rPr>
        <w:t>J</w:t>
      </w:r>
      <w:r w:rsidRPr="00FD7B09">
        <w:rPr>
          <w:rFonts w:ascii="Times New Roman" w:hAnsi="Times New Roman"/>
          <w:vertAlign w:val="subscript"/>
        </w:rPr>
        <w:t>sc</w:t>
      </w:r>
      <w:proofErr w:type="spellEnd"/>
      <w:r w:rsidRPr="00FD7B09">
        <w:rPr>
          <w:rFonts w:ascii="Times New Roman" w:hAnsi="Times New Roman"/>
        </w:rPr>
        <w:t xml:space="preserve"> and FF. Therefore, it is vital for PSCs to suppress the defect density within 10</w:t>
      </w:r>
      <w:r w:rsidRPr="00FD7B09">
        <w:rPr>
          <w:rFonts w:ascii="Times New Roman" w:hAnsi="Times New Roman"/>
          <w:vertAlign w:val="superscript"/>
        </w:rPr>
        <w:t xml:space="preserve">15 </w:t>
      </w:r>
      <w:r w:rsidRPr="00FD7B09">
        <w:rPr>
          <w:rFonts w:ascii="Times New Roman" w:hAnsi="Times New Roman"/>
        </w:rPr>
        <w:t>cm</w:t>
      </w:r>
      <w:r w:rsidRPr="00FD7B09">
        <w:rPr>
          <w:rFonts w:ascii="Times New Roman" w:hAnsi="Times New Roman"/>
          <w:vertAlign w:val="superscript"/>
        </w:rPr>
        <w:t xml:space="preserve">−3 </w:t>
      </w:r>
      <w:r w:rsidRPr="00FD7B09">
        <w:rPr>
          <w:rFonts w:ascii="Times New Roman" w:hAnsi="Times New Roman"/>
        </w:rPr>
        <w:t>in absorber layer to obtain good PCE.</w:t>
      </w:r>
    </w:p>
    <w:p w14:paraId="615F133E" w14:textId="05CDE2E0" w:rsidR="002A6676" w:rsidRPr="002A6676" w:rsidRDefault="002A6676" w:rsidP="004B4D6C">
      <w:pPr>
        <w:pStyle w:val="ac"/>
        <w:spacing w:before="0" w:beforeAutospacing="0" w:afterLines="50" w:after="120" w:afterAutospacing="0" w:line="360" w:lineRule="auto"/>
        <w:jc w:val="both"/>
        <w:rPr>
          <w:rFonts w:ascii="Times New Roman" w:hAnsi="Times New Roman"/>
        </w:rPr>
      </w:pPr>
      <w:r w:rsidRPr="002A6676">
        <w:rPr>
          <w:rFonts w:ascii="Times New Roman" w:hAnsi="Times New Roman"/>
        </w:rPr>
        <w:t>A</w:t>
      </w:r>
      <w:r w:rsidRPr="002A6676">
        <w:rPr>
          <w:rFonts w:ascii="Times New Roman" w:hAnsi="Times New Roman" w:hint="eastAsia"/>
        </w:rPr>
        <w:t>s</w:t>
      </w:r>
      <w:r w:rsidRPr="002A6676">
        <w:rPr>
          <w:rFonts w:ascii="Times New Roman" w:hAnsi="Times New Roman"/>
        </w:rPr>
        <w:t xml:space="preserve"> an excellent absorber material, MAPbI</w:t>
      </w:r>
      <w:r w:rsidRPr="002A6676">
        <w:rPr>
          <w:rFonts w:ascii="Times New Roman" w:hAnsi="Times New Roman"/>
          <w:vertAlign w:val="subscript"/>
        </w:rPr>
        <w:t>3</w:t>
      </w:r>
      <w:r w:rsidRPr="002A6676">
        <w:rPr>
          <w:rFonts w:ascii="Times New Roman" w:hAnsi="Times New Roman"/>
        </w:rPr>
        <w:t xml:space="preserve"> perovskite</w:t>
      </w:r>
      <w:r w:rsidRPr="002A6676">
        <w:rPr>
          <w:rFonts w:ascii="Times New Roman" w:hAnsi="Times New Roman" w:hint="eastAsia"/>
        </w:rPr>
        <w:t xml:space="preserve"> </w:t>
      </w:r>
      <w:r w:rsidRPr="002A6676">
        <w:rPr>
          <w:rFonts w:ascii="Times New Roman" w:hAnsi="Times New Roman"/>
        </w:rPr>
        <w:t>possesses high diffusion length, which is beneficial for carrier extraction and even the absorption property in near-spectral region.</w:t>
      </w:r>
      <w:r w:rsidRPr="002A6676">
        <w:rPr>
          <w:rFonts w:ascii="Times New Roman" w:hAnsi="Times New Roman"/>
        </w:rPr>
        <w:fldChar w:fldCharType="begin" w:fldLock="1"/>
      </w:r>
      <w:r w:rsidR="007E5751">
        <w:rPr>
          <w:rFonts w:ascii="Times New Roman" w:hAnsi="Times New Roman"/>
        </w:rPr>
        <w:instrText>ADDIN CSL_CITATION {"citationItems":[{"id":"ITEM-1","itemData":{"ISSN":"0020-1669","author":[{"dropping-particle":"","family":"Stoumpos","given":"Constantinos C","non-dropping-particle":"","parse-names":false,"suffix":""},{"dropping-particle":"","family":"Malliakas","given":"Christos D","non-dropping-particle":"","parse-names":false,"suffix":""},{"dropping-particle":"","family":"Kanatzidis","given":"Mercouri G","non-dropping-particle":"","parse-names":false,"suffix":""}],"container-title":"Inorganic chemistry","id":"ITEM-1","issue":"15","issued":{"date-parts":[["2013"]]},"page":"9019-9038","publisher":"ACS Publications","title":"Semiconducting tin and lead iodide perovskites with organic cations: phase transitions, high mobilities, and near-infrared photoluminescent properties","type":"article-journal","volume":"52"},"uris":["http://www.mendeley.com/documents/?uuid=cc408e42-36a2-429f-a782-0c4042c9d0b3"]}],"mendeley":{"formattedCitation":"&lt;sup&gt;32)&lt;/sup&gt;","manualFormatting":"33)","plainTextFormattedCitation":"32)","previouslyFormattedCitation":"&lt;sup&gt;32)&lt;/sup&gt;"},"properties":{"noteIndex":0},"schema":"https://github.com/citation-style-language/schema/raw/master/csl-citation.json"}</w:instrText>
      </w:r>
      <w:r w:rsidRPr="002A6676">
        <w:rPr>
          <w:rFonts w:ascii="Times New Roman" w:hAnsi="Times New Roman"/>
        </w:rPr>
        <w:fldChar w:fldCharType="separate"/>
      </w:r>
      <w:r w:rsidRPr="002A6676">
        <w:rPr>
          <w:rFonts w:ascii="Times New Roman" w:hAnsi="Times New Roman"/>
          <w:noProof/>
          <w:vertAlign w:val="superscript"/>
        </w:rPr>
        <w:t>3</w:t>
      </w:r>
      <w:r w:rsidR="007E5751">
        <w:rPr>
          <w:rFonts w:ascii="Times New Roman" w:hAnsi="Times New Roman"/>
          <w:noProof/>
          <w:vertAlign w:val="superscript"/>
        </w:rPr>
        <w:t>3</w:t>
      </w:r>
      <w:r w:rsidRPr="002A6676">
        <w:rPr>
          <w:rFonts w:ascii="Times New Roman" w:hAnsi="Times New Roman"/>
          <w:noProof/>
          <w:vertAlign w:val="superscript"/>
        </w:rPr>
        <w:t>)</w:t>
      </w:r>
      <w:r w:rsidRPr="002A6676">
        <w:rPr>
          <w:rFonts w:ascii="Times New Roman" w:hAnsi="Times New Roman"/>
        </w:rPr>
        <w:fldChar w:fldCharType="end"/>
      </w:r>
      <w:r w:rsidRPr="002A6676">
        <w:rPr>
          <w:rFonts w:ascii="Times New Roman" w:hAnsi="Times New Roman"/>
        </w:rPr>
        <w:t xml:space="preserve"> </w:t>
      </w:r>
      <w:r w:rsidRPr="002A6676">
        <w:rPr>
          <w:rFonts w:ascii="Times New Roman" w:hAnsi="Times New Roman"/>
        </w:rPr>
        <w:lastRenderedPageBreak/>
        <w:t xml:space="preserve">Some researchers also reported a long diffusion length over 1 </w:t>
      </w:r>
      <w:proofErr w:type="spellStart"/>
      <w:r w:rsidRPr="002A6676">
        <w:rPr>
          <w:rFonts w:ascii="Times New Roman" w:hAnsi="Times New Roman"/>
        </w:rPr>
        <w:t>μm</w:t>
      </w:r>
      <w:proofErr w:type="spellEnd"/>
      <w:r w:rsidRPr="002A6676">
        <w:rPr>
          <w:rFonts w:ascii="Times New Roman" w:hAnsi="Times New Roman"/>
        </w:rPr>
        <w:t xml:space="preserve"> in the nanostructured MAPbI</w:t>
      </w:r>
      <w:r w:rsidRPr="002A6676">
        <w:rPr>
          <w:rFonts w:ascii="Times New Roman" w:hAnsi="Times New Roman"/>
          <w:vertAlign w:val="subscript"/>
        </w:rPr>
        <w:t xml:space="preserve">3 </w:t>
      </w:r>
      <w:r w:rsidRPr="002A6676">
        <w:rPr>
          <w:rFonts w:ascii="Times New Roman" w:hAnsi="Times New Roman"/>
        </w:rPr>
        <w:t>perovskite.</w:t>
      </w:r>
      <w:r w:rsidRPr="002A6676">
        <w:rPr>
          <w:rFonts w:ascii="Times New Roman" w:hAnsi="Times New Roman"/>
        </w:rPr>
        <w:fldChar w:fldCharType="begin" w:fldLock="1"/>
      </w:r>
      <w:r w:rsidR="007E5751">
        <w:rPr>
          <w:rFonts w:ascii="Times New Roman" w:hAnsi="Times New Roman"/>
        </w:rPr>
        <w:instrText>ADDIN CSL_CITATION {"citationItems":[{"id":"ITEM-1","itemData":{"DOI":"10.1021/nl404252e","ISSN":"1530-6984","author":[{"dropping-particle":"","family":"Gonzalez-Pedro","given":"Victoria","non-dropping-particle":"","parse-names":false,"suffix":""},{"dropping-particle":"","family":"Juarez-Perez","given":"Emilio J","non-dropping-particle":"","parse-names":false,"suffix":""},{"dropping-particle":"","family":"Arsyad","given":"Waode-Sukmawati","non-dropping-particle":"","parse-names":false,"suffix":""},{"dropping-particle":"","family":"Barea","given":"Eva M","non-dropping-particle":"","parse-names":false,"suffix":""},{"dropping-particle":"","family":"Fabregat-Santiago","given":"Francisco","non-dropping-particle":"","parse-names":false,"suffix":""},{"dropping-particle":"","family":"Mora-Sero","given":"Ivan","non-dropping-particle":"","parse-names":false,"suffix":""},{"dropping-particle":"","family":"Bisquert","given":"Juan","non-dropping-particle":"","parse-names":false,"suffix":""}],"container-title":"Nano Letters","id":"ITEM-1","issue":"2","issued":{"date-parts":[["2014","2","12"]]},"note":"doi: 10.1021/nl404252e","page":"888-893","publisher":"American Chemical Society","title":"General Working Principles of CH3NH3PbX3 Perovskite Solar Cells","type":"article-journal","volume":"14"},"uris":["http://www.mendeley.com/documents/?uuid=3fd9d519-b177-4e11-a0b1-55aaab386327"]}],"mendeley":{"formattedCitation":"&lt;sup&gt;33)&lt;/sup&gt;","manualFormatting":"34)","plainTextFormattedCitation":"33)","previouslyFormattedCitation":"&lt;sup&gt;33)&lt;/sup&gt;"},"properties":{"noteIndex":0},"schema":"https://github.com/citation-style-language/schema/raw/master/csl-citation.json"}</w:instrText>
      </w:r>
      <w:r w:rsidRPr="002A6676">
        <w:rPr>
          <w:rFonts w:ascii="Times New Roman" w:hAnsi="Times New Roman"/>
        </w:rPr>
        <w:fldChar w:fldCharType="separate"/>
      </w:r>
      <w:r w:rsidRPr="002A6676">
        <w:rPr>
          <w:rFonts w:ascii="Times New Roman" w:hAnsi="Times New Roman"/>
          <w:noProof/>
          <w:vertAlign w:val="superscript"/>
        </w:rPr>
        <w:t>3</w:t>
      </w:r>
      <w:r w:rsidR="007E5751">
        <w:rPr>
          <w:rFonts w:ascii="Times New Roman" w:hAnsi="Times New Roman"/>
          <w:noProof/>
          <w:vertAlign w:val="superscript"/>
        </w:rPr>
        <w:t>4</w:t>
      </w:r>
      <w:r w:rsidRPr="002A6676">
        <w:rPr>
          <w:rFonts w:ascii="Times New Roman" w:hAnsi="Times New Roman"/>
          <w:noProof/>
          <w:vertAlign w:val="superscript"/>
        </w:rPr>
        <w:t>)</w:t>
      </w:r>
      <w:r w:rsidRPr="002A6676">
        <w:rPr>
          <w:rFonts w:ascii="Times New Roman" w:hAnsi="Times New Roman"/>
        </w:rPr>
        <w:fldChar w:fldCharType="end"/>
      </w:r>
      <w:r w:rsidRPr="002A6676">
        <w:rPr>
          <w:rFonts w:ascii="Times New Roman" w:hAnsi="Times New Roman"/>
        </w:rPr>
        <w:t xml:space="preserve"> Here we investigate the relation between diffusion length and bulk recombination to improve the device performance. Equation (3) describes the relation between carrier lifetime and diffusion length.</w:t>
      </w:r>
    </w:p>
    <w:p w14:paraId="17721422" w14:textId="1E0CA636" w:rsidR="002A6676" w:rsidRPr="002A6676" w:rsidRDefault="002A6676" w:rsidP="002A6676">
      <w:pPr>
        <w:pStyle w:val="ac"/>
        <w:spacing w:before="0" w:line="360" w:lineRule="auto"/>
        <w:jc w:val="both"/>
        <w:rPr>
          <w:rFonts w:ascii="Times New Roman" w:hAnsi="Times New Roman"/>
        </w:rPr>
      </w:pPr>
      <w:r w:rsidRPr="002A6676">
        <w:rPr>
          <w:rFonts w:ascii="Times New Roman" w:hAnsi="Times New Roman"/>
          <w:iCs/>
        </w:rPr>
        <w:t xml:space="preserve">  </w:t>
      </w:r>
      <w:r>
        <w:rPr>
          <w:rFonts w:ascii="Times New Roman" w:hAnsi="Times New Roman"/>
          <w:iCs/>
        </w:rPr>
        <w:t xml:space="preserve">                              </w:t>
      </w:r>
      <w:r w:rsidRPr="002A6676">
        <w:rPr>
          <w:rFonts w:ascii="Times New Roman" w:hAnsi="Times New Roman" w:hint="eastAsia"/>
          <w:iCs/>
        </w:rPr>
        <w:t xml:space="preserve"> </w:t>
      </w:r>
      <m:oMath>
        <m:sSub>
          <m:sSubPr>
            <m:ctrlPr>
              <w:rPr>
                <w:rFonts w:ascii="Cambria Math" w:hAnsi="Cambria Math"/>
                <w:i/>
                <w:iCs/>
              </w:rPr>
            </m:ctrlPr>
          </m:sSubPr>
          <m:e>
            <m:r>
              <w:rPr>
                <w:rFonts w:ascii="Cambria Math" w:hAnsi="Cambria Math"/>
              </w:rPr>
              <m:t>L</m:t>
            </m:r>
          </m:e>
          <m:sub>
            <m:r>
              <w:rPr>
                <w:rFonts w:ascii="Cambria Math" w:hAnsi="Cambria Math"/>
              </w:rPr>
              <m:t>D</m:t>
            </m:r>
          </m:sub>
        </m:sSub>
        <m:r>
          <w:rPr>
            <w:rFonts w:ascii="Cambria Math" w:hAnsi="Cambria Math"/>
          </w:rPr>
          <m:t>=</m:t>
        </m:r>
        <m:rad>
          <m:radPr>
            <m:degHide m:val="1"/>
            <m:ctrlPr>
              <w:rPr>
                <w:rFonts w:ascii="Cambria Math" w:hAnsi="Cambria Math"/>
                <w:i/>
                <w:iCs/>
              </w:rPr>
            </m:ctrlPr>
          </m:radPr>
          <m:deg/>
          <m:e>
            <m:r>
              <w:rPr>
                <w:rFonts w:ascii="Cambria Math" w:hAnsi="Cambria Math"/>
              </w:rPr>
              <m:t>Dτ</m:t>
            </m:r>
          </m:e>
        </m:rad>
      </m:oMath>
      <w:r w:rsidRPr="002A6676">
        <w:rPr>
          <w:rFonts w:ascii="Times New Roman" w:hAnsi="Times New Roman" w:hint="eastAsia"/>
          <w:iCs/>
        </w:rPr>
        <w:t xml:space="preserve"> </w:t>
      </w:r>
      <w:r w:rsidRPr="002A6676">
        <w:rPr>
          <w:rFonts w:ascii="Times New Roman" w:hAnsi="Times New Roman"/>
          <w:iCs/>
        </w:rPr>
        <w:t xml:space="preserve">        </w:t>
      </w:r>
      <w:r>
        <w:rPr>
          <w:rFonts w:ascii="Times New Roman" w:hAnsi="Times New Roman"/>
          <w:iCs/>
        </w:rPr>
        <w:t xml:space="preserve">   </w:t>
      </w:r>
      <w:r w:rsidRPr="002A6676">
        <w:rPr>
          <w:rFonts w:ascii="Times New Roman" w:hAnsi="Times New Roman"/>
          <w:iCs/>
        </w:rPr>
        <w:t xml:space="preserve">                 (3)</w:t>
      </w:r>
    </w:p>
    <w:p w14:paraId="0E7B1154" w14:textId="7FC3D27C" w:rsidR="002A6676" w:rsidRDefault="002A6676" w:rsidP="00CD27EE">
      <w:pPr>
        <w:pStyle w:val="ac"/>
        <w:spacing w:before="0" w:beforeAutospacing="0" w:afterLines="50" w:after="120" w:afterAutospacing="0" w:line="360" w:lineRule="auto"/>
        <w:jc w:val="both"/>
        <w:rPr>
          <w:rFonts w:ascii="Times New Roman" w:hAnsi="Times New Roman"/>
        </w:rPr>
      </w:pPr>
      <w:r w:rsidRPr="002A6676">
        <w:rPr>
          <w:rFonts w:ascii="Times New Roman" w:hAnsi="Times New Roman"/>
        </w:rPr>
        <w:t xml:space="preserve">where </w:t>
      </w:r>
      <w:r w:rsidRPr="002A6676">
        <w:rPr>
          <w:rFonts w:ascii="Times New Roman" w:hAnsi="Times New Roman"/>
          <w:i/>
          <w:iCs/>
        </w:rPr>
        <w:t>D</w:t>
      </w:r>
      <w:r w:rsidRPr="002A6676">
        <w:rPr>
          <w:rFonts w:ascii="Times New Roman" w:hAnsi="Times New Roman"/>
        </w:rPr>
        <w:t xml:space="preserve"> is diffusion coefficient and related to the carrier mobility. Therefore, the suppressed defect density leads to increased carrier lifetime and prolonged diffusion length, as summarized in Table </w:t>
      </w:r>
      <w:r w:rsidR="00E86FDA" w:rsidRPr="00E86FDA">
        <w:rPr>
          <w:rFonts w:ascii="Times New Roman" w:eastAsia="宋体" w:hAnsi="Times New Roman" w:cs="Times New Roman"/>
          <w:lang w:eastAsia="zh-CN"/>
        </w:rPr>
        <w:t>Ⅱ</w:t>
      </w:r>
      <w:r w:rsidRPr="002A6676">
        <w:rPr>
          <w:rFonts w:ascii="Times New Roman" w:hAnsi="Times New Roman"/>
        </w:rPr>
        <w:t>. Figure 4 demonstrates the variation in J-V characteristics as a function of the diffusion length. An impressive impact</w:t>
      </w:r>
      <w:r w:rsidRPr="002A6676">
        <w:rPr>
          <w:rFonts w:ascii="Times New Roman" w:hAnsi="Times New Roman" w:hint="eastAsia"/>
        </w:rPr>
        <w:t xml:space="preserve"> is observed </w:t>
      </w:r>
      <w:r w:rsidRPr="002A6676">
        <w:rPr>
          <w:rFonts w:ascii="Times New Roman" w:hAnsi="Times New Roman"/>
        </w:rPr>
        <w:t xml:space="preserve">mainly </w:t>
      </w:r>
      <w:r w:rsidRPr="002A6676">
        <w:rPr>
          <w:rFonts w:ascii="Times New Roman" w:hAnsi="Times New Roman" w:hint="eastAsia"/>
        </w:rPr>
        <w:t xml:space="preserve">in </w:t>
      </w:r>
      <w:proofErr w:type="spellStart"/>
      <w:r w:rsidRPr="002A6676">
        <w:rPr>
          <w:rFonts w:ascii="Times New Roman" w:hAnsi="Times New Roman" w:hint="eastAsia"/>
        </w:rPr>
        <w:t>V</w:t>
      </w:r>
      <w:r w:rsidRPr="002A6676">
        <w:rPr>
          <w:rFonts w:ascii="Times New Roman" w:hAnsi="Times New Roman" w:hint="eastAsia"/>
          <w:vertAlign w:val="subscript"/>
        </w:rPr>
        <w:t>oc</w:t>
      </w:r>
      <w:proofErr w:type="spellEnd"/>
      <w:r w:rsidRPr="002A6676">
        <w:rPr>
          <w:rFonts w:ascii="Times New Roman" w:hAnsi="Times New Roman" w:hint="eastAsia"/>
        </w:rPr>
        <w:t xml:space="preserve"> and FF</w:t>
      </w:r>
      <w:r w:rsidRPr="002A6676">
        <w:rPr>
          <w:rFonts w:ascii="Times New Roman" w:hAnsi="Times New Roman"/>
        </w:rPr>
        <w:t xml:space="preserve"> owing to the higher diffusion length, attributed to suppressed defect density.</w:t>
      </w:r>
      <w:r w:rsidRPr="002A6676">
        <w:rPr>
          <w:rFonts w:ascii="Times New Roman" w:hAnsi="Times New Roman" w:hint="eastAsia"/>
        </w:rPr>
        <w:t xml:space="preserve"> </w:t>
      </w:r>
      <w:r w:rsidRPr="002A6676">
        <w:rPr>
          <w:rFonts w:ascii="Times New Roman" w:hAnsi="Times New Roman"/>
        </w:rPr>
        <w:t>M</w:t>
      </w:r>
      <w:r w:rsidRPr="002A6676">
        <w:rPr>
          <w:rFonts w:ascii="Times New Roman" w:hAnsi="Times New Roman" w:hint="eastAsia"/>
        </w:rPr>
        <w:t xml:space="preserve">eanwhile the </w:t>
      </w:r>
      <w:r w:rsidRPr="002A6676">
        <w:rPr>
          <w:rFonts w:ascii="Times New Roman" w:hAnsi="Times New Roman"/>
        </w:rPr>
        <w:t>effect</w:t>
      </w:r>
      <w:r w:rsidRPr="002A6676">
        <w:rPr>
          <w:rFonts w:ascii="Times New Roman" w:hAnsi="Times New Roman" w:hint="eastAsia"/>
        </w:rPr>
        <w:t xml:space="preserve"> on </w:t>
      </w:r>
      <w:proofErr w:type="spellStart"/>
      <w:r w:rsidRPr="002A6676">
        <w:rPr>
          <w:rFonts w:ascii="Times New Roman" w:hAnsi="Times New Roman" w:hint="eastAsia"/>
        </w:rPr>
        <w:t>J</w:t>
      </w:r>
      <w:r w:rsidRPr="002A6676">
        <w:rPr>
          <w:rFonts w:ascii="Times New Roman" w:hAnsi="Times New Roman" w:hint="eastAsia"/>
          <w:vertAlign w:val="subscript"/>
        </w:rPr>
        <w:t>sc</w:t>
      </w:r>
      <w:proofErr w:type="spellEnd"/>
      <w:r w:rsidRPr="002A6676">
        <w:rPr>
          <w:rFonts w:ascii="Times New Roman" w:hAnsi="Times New Roman" w:hint="eastAsia"/>
        </w:rPr>
        <w:t xml:space="preserve"> is very </w:t>
      </w:r>
      <w:r w:rsidRPr="002A6676">
        <w:rPr>
          <w:rFonts w:ascii="Times New Roman" w:hAnsi="Times New Roman"/>
        </w:rPr>
        <w:t>tiny</w:t>
      </w:r>
      <w:r w:rsidRPr="002A6676">
        <w:rPr>
          <w:rFonts w:ascii="Times New Roman" w:hAnsi="Times New Roman" w:hint="eastAsia"/>
        </w:rPr>
        <w:t xml:space="preserve"> while L</w:t>
      </w:r>
      <w:r w:rsidRPr="002A6676">
        <w:rPr>
          <w:rFonts w:ascii="Times New Roman" w:hAnsi="Times New Roman" w:hint="eastAsia"/>
          <w:vertAlign w:val="subscript"/>
        </w:rPr>
        <w:t>D</w:t>
      </w:r>
      <w:r w:rsidRPr="002A6676">
        <w:rPr>
          <w:rFonts w:ascii="Times New Roman" w:hAnsi="Times New Roman" w:hint="eastAsia"/>
        </w:rPr>
        <w:t>＞</w:t>
      </w:r>
      <w:r w:rsidRPr="002A6676">
        <w:rPr>
          <w:rFonts w:ascii="Times New Roman" w:hAnsi="Times New Roman" w:hint="eastAsia"/>
        </w:rPr>
        <w:t xml:space="preserve">0.2 </w:t>
      </w:r>
      <w:proofErr w:type="spellStart"/>
      <w:r w:rsidRPr="002A6676">
        <w:rPr>
          <w:rFonts w:ascii="Times New Roman" w:hAnsi="Times New Roman"/>
        </w:rPr>
        <w:t>μm</w:t>
      </w:r>
      <w:proofErr w:type="spellEnd"/>
      <w:r w:rsidRPr="002A6676">
        <w:rPr>
          <w:rFonts w:ascii="Times New Roman" w:hAnsi="Times New Roman"/>
        </w:rPr>
        <w:t>.</w:t>
      </w:r>
      <w:r w:rsidRPr="002A6676">
        <w:rPr>
          <w:rFonts w:ascii="Times New Roman" w:hAnsi="Times New Roman" w:hint="eastAsia"/>
        </w:rPr>
        <w:t xml:space="preserve"> </w:t>
      </w:r>
      <w:r w:rsidRPr="002A6676">
        <w:rPr>
          <w:rFonts w:ascii="Times New Roman" w:hAnsi="Times New Roman"/>
        </w:rPr>
        <w:t xml:space="preserve">Thus, the </w:t>
      </w:r>
      <w:proofErr w:type="spellStart"/>
      <w:r w:rsidRPr="002A6676">
        <w:rPr>
          <w:rFonts w:ascii="Times New Roman" w:hAnsi="Times New Roman"/>
        </w:rPr>
        <w:t>V</w:t>
      </w:r>
      <w:r w:rsidRPr="002A6676">
        <w:rPr>
          <w:rFonts w:ascii="Times New Roman" w:hAnsi="Times New Roman"/>
          <w:vertAlign w:val="subscript"/>
        </w:rPr>
        <w:t>oc</w:t>
      </w:r>
      <w:proofErr w:type="spellEnd"/>
      <w:r w:rsidRPr="002A6676">
        <w:rPr>
          <w:rFonts w:ascii="Times New Roman" w:hAnsi="Times New Roman"/>
        </w:rPr>
        <w:t xml:space="preserve"> improvement </w:t>
      </w:r>
      <w:r w:rsidRPr="002A6676">
        <w:rPr>
          <w:rFonts w:ascii="Times New Roman" w:hAnsi="Times New Roman" w:hint="eastAsia"/>
        </w:rPr>
        <w:t xml:space="preserve">is dominant to affect PCE in this case. </w:t>
      </w:r>
      <w:r w:rsidRPr="002A6676">
        <w:rPr>
          <w:rFonts w:ascii="Times New Roman" w:hAnsi="Times New Roman"/>
        </w:rPr>
        <w:t>With the increasing diffusion length over 1.0</w:t>
      </w:r>
      <w:r w:rsidRPr="002A6676">
        <w:rPr>
          <w:rFonts w:ascii="Times New Roman" w:hAnsi="Times New Roman" w:hint="eastAsia"/>
        </w:rPr>
        <w:t xml:space="preserve"> </w:t>
      </w:r>
      <w:proofErr w:type="spellStart"/>
      <w:r w:rsidRPr="002A6676">
        <w:rPr>
          <w:rFonts w:ascii="Times New Roman" w:hAnsi="Times New Roman"/>
        </w:rPr>
        <w:t>μm</w:t>
      </w:r>
      <w:proofErr w:type="spellEnd"/>
      <w:r w:rsidRPr="002A6676">
        <w:rPr>
          <w:rFonts w:ascii="Times New Roman" w:hAnsi="Times New Roman"/>
        </w:rPr>
        <w:t xml:space="preserve">, </w:t>
      </w:r>
      <w:r w:rsidRPr="002A6676">
        <w:rPr>
          <w:rFonts w:ascii="Times New Roman" w:hAnsi="Times New Roman" w:hint="eastAsia"/>
        </w:rPr>
        <w:t xml:space="preserve">the improvement of PCE is </w:t>
      </w:r>
      <w:r w:rsidRPr="002A6676">
        <w:rPr>
          <w:rFonts w:ascii="Times New Roman" w:hAnsi="Times New Roman"/>
        </w:rPr>
        <w:t>getting</w:t>
      </w:r>
      <w:r w:rsidRPr="002A6676">
        <w:rPr>
          <w:rFonts w:ascii="Times New Roman" w:hAnsi="Times New Roman" w:hint="eastAsia"/>
        </w:rPr>
        <w:t xml:space="preserve"> slower</w:t>
      </w:r>
      <w:r w:rsidRPr="002A6676">
        <w:rPr>
          <w:rFonts w:ascii="Times New Roman" w:hAnsi="Times New Roman"/>
        </w:rPr>
        <w:t xml:space="preserve"> as well as V</w:t>
      </w:r>
      <w:r w:rsidRPr="002A6676">
        <w:rPr>
          <w:rFonts w:ascii="Times New Roman" w:hAnsi="Times New Roman"/>
          <w:vertAlign w:val="subscript"/>
        </w:rPr>
        <w:t>oc</w:t>
      </w:r>
      <w:r w:rsidRPr="002A6676">
        <w:rPr>
          <w:rFonts w:ascii="Times New Roman" w:hAnsi="Times New Roman" w:hint="eastAsia"/>
        </w:rPr>
        <w:t>.</w:t>
      </w:r>
      <w:r w:rsidRPr="002A6676">
        <w:rPr>
          <w:rFonts w:ascii="Times New Roman" w:hAnsi="Times New Roman"/>
        </w:rPr>
        <w:t xml:space="preserve"> According to the literature, the optimization for absorber quality such as additive doping and crystallization control is effective to improve the diffusion length of perovskite and obtain high performance.</w:t>
      </w:r>
      <w:r w:rsidR="009461C1" w:rsidRPr="002A6676">
        <w:rPr>
          <w:rFonts w:ascii="Times New Roman" w:hAnsi="Times New Roman"/>
        </w:rPr>
        <w:fldChar w:fldCharType="begin" w:fldLock="1"/>
      </w:r>
      <w:r w:rsidR="007E5751">
        <w:rPr>
          <w:rFonts w:ascii="Times New Roman" w:hAnsi="Times New Roman"/>
        </w:rPr>
        <w:instrText>ADDIN CSL_CITATION {"citationItems":[{"id":"ITEM-1","itemData":{"DOI":"10.1038/s41467-019-12513-x","ISSN":"2041-1723","abstract":"Developing multijunction perovskite solar cells (PSCs) is an attractive route to boost PSC efficiencies to above the single-junction Shockley-Queisser limit. However, commonly used tin-based narrow-bandgap perovskites have shorter carrier diffusion lengths and lower absorption coefficient than lead-based perovskites, limiting the efficiency of perovskite-perovskite tandem solar cells. In this work, we discover that the charge collection efficiency in tin-based PSCs is limited by a short diffusion length of electrons. Adding 0.03 molar percent of cadmium ions into tin-perovskite precursors reduce the background free hole concentration and electron trap density, yielding a long electron diffusion length of 2.72 ± 0.15 µm. It increases the optimized thickness of narrow-bandgap perovskite films to 1000 nm, yielding exceptional stabilized efficiencies of 20.2 and 22.7% for single junction narrow-bandgap PSCs and monolithic perovskite-perovskite tandem cells, respectively. This work provides a promising method to enhance the optoelectronic properties of narrow-bandgap perovskites and unleash the potential of perovskite-perovskite tandem solar cells.","author":[{"dropping-particle":"","family":"Yang","given":"Zhibin","non-dropping-particle":"","parse-names":false,"suffix":""},{"dropping-particle":"","family":"Yu","given":"Zhenhua","non-dropping-particle":"","parse-names":false,"suffix":""},{"dropping-particle":"","family":"Wei","given":"Haotong","non-dropping-particle":"","parse-names":false,"suffix":""},{"dropping-particle":"","family":"Xiao","given":"Xun","non-dropping-particle":"","parse-names":false,"suffix":""},{"dropping-particle":"","family":"Ni","given":"Zhenyi","non-dropping-particle":"","parse-names":false,"suffix":""},{"dropping-particle":"","family":"Chen","given":"Bo","non-dropping-particle":"","parse-names":false,"suffix":""},{"dropping-particle":"","family":"Deng","given":"Yehao","non-dropping-particle":"","parse-names":false,"suffix":""},{"dropping-particle":"","family":"Habisreutinger","given":"Severin N","non-dropping-particle":"","parse-names":false,"suffix":""},{"dropping-particle":"","family":"Chen","given":"Xihan","non-dropping-particle":"","parse-names":false,"suffix":""},{"dropping-particle":"","family":"Wang","given":"Kang","non-dropping-particle":"","parse-names":false,"suffix":""},{"dropping-particle":"","family":"Zhao","given":"Jingjing","non-dropping-particle":"","parse-names":false,"suffix":""},{"dropping-particle":"","family":"Rudd","given":"Peter N","non-dropping-particle":"","parse-names":false,"suffix":""},{"dropping-particle":"","family":"Berry","given":"Joseph J","non-dropping-particle":"","parse-names":false,"suffix":""},{"dropping-particle":"","family":"Beard","given":"Matthew C","non-dropping-particle":"","parse-names":false,"suffix":""},{"dropping-particle":"","family":"Huang","given":"Jinsong","non-dropping-particle":"","parse-names":false,"suffix":""}],"container-title":"Nature Communications","id":"ITEM-1","issue":"1","issued":{"date-parts":[["2019"]]},"page":"4498","title":"Enhancing electron diffusion length in narrow-bandgap perovskites for efficient monolithic perovskite tandem solar cells","type":"article-journal","volume":"10"},"uris":["http://www.mendeley.com/documents/?uuid=7e09046e-2c5f-4e0a-ad43-0c8f3fc6b140"]}],"mendeley":{"formattedCitation":"&lt;sup&gt;34)&lt;/sup&gt;","manualFormatting":"35)","plainTextFormattedCitation":"34)","previouslyFormattedCitation":"&lt;sup&gt;34)&lt;/sup&gt;"},"properties":{"noteIndex":0},"schema":"https://github.com/citation-style-language/schema/raw/master/csl-citation.json"}</w:instrText>
      </w:r>
      <w:r w:rsidR="009461C1" w:rsidRPr="002A6676">
        <w:rPr>
          <w:rFonts w:ascii="Times New Roman" w:hAnsi="Times New Roman"/>
        </w:rPr>
        <w:fldChar w:fldCharType="separate"/>
      </w:r>
      <w:r w:rsidR="009461C1" w:rsidRPr="002A6676">
        <w:rPr>
          <w:rFonts w:ascii="Times New Roman" w:hAnsi="Times New Roman"/>
          <w:noProof/>
          <w:vertAlign w:val="superscript"/>
        </w:rPr>
        <w:t>3</w:t>
      </w:r>
      <w:r w:rsidR="007E5751">
        <w:rPr>
          <w:rFonts w:ascii="Times New Roman" w:hAnsi="Times New Roman"/>
          <w:noProof/>
          <w:vertAlign w:val="superscript"/>
        </w:rPr>
        <w:t>5</w:t>
      </w:r>
      <w:r w:rsidR="009461C1" w:rsidRPr="002A6676">
        <w:rPr>
          <w:rFonts w:ascii="Times New Roman" w:hAnsi="Times New Roman"/>
          <w:noProof/>
          <w:vertAlign w:val="superscript"/>
        </w:rPr>
        <w:t>)</w:t>
      </w:r>
      <w:r w:rsidR="009461C1" w:rsidRPr="002A6676">
        <w:rPr>
          <w:rFonts w:ascii="Times New Roman" w:hAnsi="Times New Roman"/>
        </w:rPr>
        <w:fldChar w:fldCharType="end"/>
      </w:r>
      <w:r w:rsidRPr="002A6676">
        <w:rPr>
          <w:rFonts w:ascii="Times New Roman" w:hAnsi="Times New Roman"/>
        </w:rPr>
        <w:t xml:space="preserve"> Considering the actual experimental process in absorber deposition, the thickness of one-step MAPbI</w:t>
      </w:r>
      <w:r w:rsidRPr="002A6676">
        <w:rPr>
          <w:rFonts w:ascii="Times New Roman" w:hAnsi="Times New Roman"/>
          <w:vertAlign w:val="subscript"/>
        </w:rPr>
        <w:t>3</w:t>
      </w:r>
      <w:r w:rsidRPr="002A6676">
        <w:rPr>
          <w:rFonts w:ascii="Times New Roman" w:hAnsi="Times New Roman"/>
        </w:rPr>
        <w:t xml:space="preserve"> film is commonly within 500 nm. Under suppressed defect density of 5×10</w:t>
      </w:r>
      <w:r w:rsidRPr="002A6676">
        <w:rPr>
          <w:rFonts w:ascii="Times New Roman" w:hAnsi="Times New Roman"/>
          <w:vertAlign w:val="superscript"/>
        </w:rPr>
        <w:t>13</w:t>
      </w:r>
      <w:r w:rsidRPr="002A6676">
        <w:rPr>
          <w:rFonts w:ascii="Times New Roman" w:hAnsi="Times New Roman"/>
        </w:rPr>
        <w:t xml:space="preserve"> cm</w:t>
      </w:r>
      <w:r w:rsidRPr="002A6676">
        <w:rPr>
          <w:rFonts w:ascii="Times New Roman" w:hAnsi="Times New Roman"/>
          <w:vertAlign w:val="superscript"/>
        </w:rPr>
        <w:t>−3</w:t>
      </w:r>
      <w:r w:rsidRPr="002A6676">
        <w:rPr>
          <w:rFonts w:ascii="Times New Roman" w:hAnsi="Times New Roman"/>
        </w:rPr>
        <w:t xml:space="preserve">, </w:t>
      </w:r>
      <w:r w:rsidRPr="002A6676">
        <w:rPr>
          <w:rFonts w:ascii="Times New Roman" w:hAnsi="Times New Roman" w:hint="eastAsia"/>
        </w:rPr>
        <w:t xml:space="preserve">the </w:t>
      </w:r>
      <w:r w:rsidRPr="002A6676">
        <w:rPr>
          <w:rFonts w:ascii="Times New Roman" w:hAnsi="Times New Roman"/>
        </w:rPr>
        <w:t>suitable carrier diffusion length for the subsequent</w:t>
      </w:r>
      <w:r w:rsidRPr="002A6676">
        <w:rPr>
          <w:rFonts w:ascii="Times New Roman" w:hAnsi="Times New Roman" w:hint="eastAsia"/>
        </w:rPr>
        <w:t xml:space="preserve"> </w:t>
      </w:r>
      <w:r w:rsidRPr="002A6676">
        <w:rPr>
          <w:rFonts w:ascii="Times New Roman" w:hAnsi="Times New Roman"/>
        </w:rPr>
        <w:t xml:space="preserve">simulation </w:t>
      </w:r>
      <w:r w:rsidRPr="002A6676">
        <w:rPr>
          <w:rFonts w:ascii="Times New Roman" w:hAnsi="Times New Roman" w:hint="eastAsia"/>
        </w:rPr>
        <w:t>is assumed to be 720 nm</w:t>
      </w:r>
      <w:r w:rsidRPr="002A6676">
        <w:rPr>
          <w:rFonts w:ascii="Times New Roman" w:hAnsi="Times New Roman"/>
        </w:rPr>
        <w:t xml:space="preserve"> with carrier lifetime of 100 ns</w:t>
      </w:r>
      <w:r w:rsidRPr="002A6676">
        <w:rPr>
          <w:rFonts w:ascii="Times New Roman" w:hAnsi="Times New Roman" w:hint="eastAsia"/>
        </w:rPr>
        <w:t>.</w:t>
      </w:r>
      <w:r w:rsidRPr="002A6676">
        <w:rPr>
          <w:rFonts w:ascii="Times New Roman" w:hAnsi="Times New Roman"/>
        </w:rPr>
        <w:t xml:space="preserve"> Therefore, the better PCE of 17.86% is achieved with improved </w:t>
      </w:r>
      <w:proofErr w:type="spellStart"/>
      <w:r w:rsidRPr="002A6676">
        <w:rPr>
          <w:rFonts w:ascii="Times New Roman" w:hAnsi="Times New Roman"/>
        </w:rPr>
        <w:t>V</w:t>
      </w:r>
      <w:r w:rsidRPr="002A6676">
        <w:rPr>
          <w:rFonts w:ascii="Times New Roman" w:hAnsi="Times New Roman"/>
          <w:vertAlign w:val="subscript"/>
        </w:rPr>
        <w:t>oc</w:t>
      </w:r>
      <w:proofErr w:type="spellEnd"/>
      <w:r w:rsidRPr="002A6676">
        <w:rPr>
          <w:rFonts w:ascii="Times New Roman" w:hAnsi="Times New Roman"/>
        </w:rPr>
        <w:t xml:space="preserve"> of 1.097 V and FF of 79.8%, compared with the control device PCE of 15.68%. In addition, to avoid blocking the carrier extraction and transfer, the film thickness is preferable within 720 nm.</w:t>
      </w:r>
    </w:p>
    <w:p w14:paraId="7BC484B2" w14:textId="77777777" w:rsidR="00CD27EE" w:rsidRDefault="00CD27EE" w:rsidP="00CD27EE">
      <w:pPr>
        <w:pStyle w:val="ac"/>
        <w:spacing w:before="0" w:beforeAutospacing="0" w:afterLines="50" w:after="120" w:afterAutospacing="0" w:line="360" w:lineRule="auto"/>
        <w:jc w:val="both"/>
        <w:rPr>
          <w:rFonts w:ascii="Times New Roman" w:hAnsi="Times New Roman"/>
        </w:rPr>
      </w:pPr>
    </w:p>
    <w:p w14:paraId="4081AF20" w14:textId="77777777" w:rsidR="00CD27EE" w:rsidRDefault="00CD27EE" w:rsidP="00CD27EE">
      <w:pPr>
        <w:pStyle w:val="MainText151510"/>
        <w:adjustRightInd w:val="0"/>
        <w:spacing w:line="360" w:lineRule="auto"/>
        <w:ind w:firstLineChars="0" w:firstLine="0"/>
        <w:rPr>
          <w:rFonts w:asciiTheme="majorHAnsi" w:hAnsiTheme="majorHAnsi"/>
          <w:szCs w:val="24"/>
        </w:rPr>
      </w:pPr>
      <w:r>
        <w:rPr>
          <w:rFonts w:asciiTheme="majorHAnsi" w:hAnsiTheme="majorHAnsi"/>
          <w:szCs w:val="24"/>
        </w:rPr>
        <w:t>4</w:t>
      </w:r>
      <w:r w:rsidRPr="00341F2C">
        <w:rPr>
          <w:rFonts w:asciiTheme="majorHAnsi" w:hAnsiTheme="majorHAnsi"/>
          <w:szCs w:val="24"/>
        </w:rPr>
        <w:t>.</w:t>
      </w:r>
      <w:r>
        <w:rPr>
          <w:rFonts w:asciiTheme="majorHAnsi" w:hAnsiTheme="majorHAnsi"/>
          <w:szCs w:val="24"/>
        </w:rPr>
        <w:t>2</w:t>
      </w:r>
      <w:r w:rsidRPr="00341F2C">
        <w:rPr>
          <w:rFonts w:asciiTheme="majorHAnsi" w:hAnsiTheme="majorHAnsi"/>
          <w:szCs w:val="24"/>
        </w:rPr>
        <w:t xml:space="preserve"> </w:t>
      </w:r>
      <w:r w:rsidRPr="00CD27EE">
        <w:rPr>
          <w:rFonts w:asciiTheme="majorHAnsi" w:hAnsiTheme="majorHAnsi"/>
          <w:szCs w:val="24"/>
        </w:rPr>
        <w:t>Effect of absorber thickness</w:t>
      </w:r>
      <w:bookmarkStart w:id="5" w:name="_Hlk122899661"/>
    </w:p>
    <w:p w14:paraId="116A9833" w14:textId="1BAC65DD" w:rsidR="00CD27EE" w:rsidRDefault="00CD27EE" w:rsidP="00CD27EE">
      <w:pPr>
        <w:pStyle w:val="MainText151510"/>
        <w:adjustRightInd w:val="0"/>
        <w:spacing w:line="360" w:lineRule="auto"/>
        <w:ind w:firstLineChars="0" w:firstLine="0"/>
        <w:rPr>
          <w:rFonts w:eastAsia="MS PGothic"/>
          <w:kern w:val="0"/>
        </w:rPr>
      </w:pPr>
      <w:r w:rsidRPr="00CD27EE">
        <w:rPr>
          <w:rFonts w:eastAsia="MS PGothic"/>
          <w:kern w:val="0"/>
        </w:rPr>
        <w:t>In</w:t>
      </w:r>
      <w:r w:rsidR="00591547">
        <w:rPr>
          <w:rFonts w:eastAsia="MS PGothic"/>
          <w:kern w:val="0"/>
        </w:rPr>
        <w:t xml:space="preserve"> Sect. 4.2</w:t>
      </w:r>
      <w:r w:rsidRPr="00CD27EE">
        <w:rPr>
          <w:rFonts w:eastAsia="MS PGothic"/>
          <w:kern w:val="0"/>
        </w:rPr>
        <w:t>, the effect of absorber thickness is compared and analyzed from 150 nm to 500 nm</w:t>
      </w:r>
      <w:bookmarkEnd w:id="5"/>
      <w:r w:rsidRPr="00CD27EE">
        <w:rPr>
          <w:rFonts w:eastAsia="MS PGothic"/>
          <w:kern w:val="0"/>
        </w:rPr>
        <w:t>. Generally, with regards to the PSCs, the sufficient absorber thickness contributes to better device performance due to the preferable J</w:t>
      </w:r>
      <w:r w:rsidRPr="00CD27EE">
        <w:rPr>
          <w:rFonts w:eastAsia="MS PGothic"/>
          <w:kern w:val="0"/>
          <w:vertAlign w:val="subscript"/>
        </w:rPr>
        <w:t>sc</w:t>
      </w:r>
      <w:r w:rsidRPr="00CD27EE">
        <w:rPr>
          <w:rFonts w:eastAsia="MS PGothic"/>
          <w:kern w:val="0"/>
        </w:rPr>
        <w:t>.</w:t>
      </w:r>
      <w:r w:rsidRPr="00CD27EE">
        <w:rPr>
          <w:rFonts w:eastAsia="MS PGothic"/>
          <w:kern w:val="0"/>
          <w:vertAlign w:val="subscript"/>
        </w:rPr>
        <w:fldChar w:fldCharType="begin" w:fldLock="1"/>
      </w:r>
      <w:r w:rsidR="007E5751">
        <w:rPr>
          <w:rFonts w:eastAsia="MS PGothic"/>
          <w:kern w:val="0"/>
          <w:vertAlign w:val="subscript"/>
        </w:rPr>
        <w:instrText>ADDIN CSL_CITATION {"citationItems":[{"id":"ITEM-1","itemData":{"ISSN":"1566-1199","author":[{"dropping-particle":"","family":"Wang","given":"Kai","non-dropping-particle":"","parse-names":false,"suffix":""},{"dropping-particle":"","family":"Liu","given":"Chang","non-dropping-particle":"","parse-names":false,"suffix":""},{"dropping-particle":"","family":"Du","given":"Pengcheng","non-dropping-particle":"","parse-names":false,"suffix":""},{"dropping-particle":"","family":"Chen","given":"Long","non-dropping-particle":"","parse-names":false,"suffix":""},{"dropping-particle":"","family":"Zhu","given":"Jiahua","non-dropping-particle":"","parse-names":false,"suffix":""},{"dropping-particle":"","family":"Karim","given":"Alamgir","non-dropping-particle":"","parse-names":false,"suffix":""},{"dropping-particle":"","family":"Gong","given":"Xiong","non-dropping-particle":"","parse-names":false,"suffix":""}],"container-title":"Organic Electronics","id":"ITEM-1","issued":{"date-parts":[["2015"]]},"page":"19-26","publisher":"Elsevier","title":"Efficiencies of perovskite hybrid solar cells influenced by film thickness and morphology of CH3NH3PbI3− xClx layer","type":"article-journal","volume":"21"},"uris":["http://www.mendeley.com/documents/?uuid=75232203-1118-418f-ad2e-7782b24e3638"]}],"mendeley":{"formattedCitation":"&lt;sup&gt;35)&lt;/sup&gt;","manualFormatting":"36)","plainTextFormattedCitation":"35)","previouslyFormattedCitation":"&lt;sup&gt;35)&lt;/sup&gt;"},"properties":{"noteIndex":0},"schema":"https://github.com/citation-style-language/schema/raw/master/csl-citation.json"}</w:instrText>
      </w:r>
      <w:r w:rsidRPr="00CD27EE">
        <w:rPr>
          <w:rFonts w:eastAsia="MS PGothic"/>
          <w:kern w:val="0"/>
          <w:vertAlign w:val="subscript"/>
        </w:rPr>
        <w:fldChar w:fldCharType="separate"/>
      </w:r>
      <w:r w:rsidRPr="00CD27EE">
        <w:rPr>
          <w:rFonts w:eastAsia="MS PGothic"/>
          <w:noProof/>
          <w:kern w:val="0"/>
          <w:vertAlign w:val="superscript"/>
        </w:rPr>
        <w:t>3</w:t>
      </w:r>
      <w:r w:rsidR="007E5751">
        <w:rPr>
          <w:rFonts w:eastAsia="MS PGothic"/>
          <w:noProof/>
          <w:kern w:val="0"/>
          <w:vertAlign w:val="superscript"/>
        </w:rPr>
        <w:t>6</w:t>
      </w:r>
      <w:r w:rsidRPr="00CD27EE">
        <w:rPr>
          <w:rFonts w:eastAsia="MS PGothic"/>
          <w:noProof/>
          <w:kern w:val="0"/>
          <w:vertAlign w:val="superscript"/>
        </w:rPr>
        <w:t>)</w:t>
      </w:r>
      <w:r w:rsidRPr="00CD27EE">
        <w:rPr>
          <w:rFonts w:eastAsia="MS PGothic"/>
          <w:kern w:val="0"/>
          <w:lang w:val="en"/>
        </w:rPr>
        <w:fldChar w:fldCharType="end"/>
      </w:r>
      <w:r w:rsidRPr="00CD27EE">
        <w:rPr>
          <w:rFonts w:eastAsia="MS PGothic"/>
          <w:kern w:val="0"/>
        </w:rPr>
        <w:t xml:space="preserve"> However, the excessively grown thickness may introduce the problems of film morphology control and increase of defect centers, which lead to the severe recombination and </w:t>
      </w:r>
      <w:proofErr w:type="spellStart"/>
      <w:r w:rsidRPr="00CD27EE">
        <w:rPr>
          <w:rFonts w:eastAsia="MS PGothic"/>
          <w:kern w:val="0"/>
        </w:rPr>
        <w:t>V</w:t>
      </w:r>
      <w:r w:rsidRPr="00CD27EE">
        <w:rPr>
          <w:rFonts w:eastAsia="MS PGothic"/>
          <w:kern w:val="0"/>
          <w:vertAlign w:val="subscript"/>
        </w:rPr>
        <w:t>oc</w:t>
      </w:r>
      <w:proofErr w:type="spellEnd"/>
      <w:r w:rsidRPr="00CD27EE">
        <w:rPr>
          <w:rFonts w:eastAsia="MS PGothic"/>
          <w:kern w:val="0"/>
        </w:rPr>
        <w:t xml:space="preserve"> loss.</w:t>
      </w:r>
      <w:r w:rsidRPr="00CD27EE">
        <w:rPr>
          <w:rFonts w:eastAsia="MS PGothic"/>
          <w:kern w:val="0"/>
        </w:rPr>
        <w:fldChar w:fldCharType="begin" w:fldLock="1"/>
      </w:r>
      <w:r w:rsidR="007E5751">
        <w:rPr>
          <w:rFonts w:eastAsia="MS PGothic"/>
          <w:kern w:val="0"/>
        </w:rPr>
        <w:instrText>ADDIN CSL_CITATION {"citationItems":[{"id":"ITEM-1","itemData":{"ISSN":"0935-9648","author":[{"dropping-particle":"","family":"Liu","given":"Zonghao","non-dropping-particle":"","parse-names":false,"suffix":""},{"dropping-particle":"","family":"Hu","given":"Junnan","non-dropping-particle":"","parse-names":false,"suffix":""},{"dropping-particle":"","family":"Jiao","given":"Haoyang","non-dropping-particle":"","parse-names":false,"suffix":""},{"dropping-particle":"","family":"Li","given":"Liang","non-dropping-particle":"","parse-names":false,"suffix":""},{"dropping-particle":"","family":"Zheng","given":"Guanhaojie","non-dropping-particle":"","parse-names":false,"suffix":""},{"dropping-particle":"","family":"Chen","given":"Yihua","non-dropping-particle":"","parse-names":false,"suffix":""},{"dropping-particle":"","family":"Huang","given":"Yuan","non-dropping-particle":"","parse-names":false,"suffix":""},{"dropping-particle":"","family":"Zhang","given":"Qing","non-dropping-particle":"","parse-names":false,"suffix":""},{"dropping-particle":"","family":"Shen","given":"Chao","non-dropping-particle":"","parse-names":false,"suffix":""},{"dropping-particle":"","family":"Chen","given":"Qi","non-dropping-particle":"","parse-names":false,"suffix":""}],"container-title":"Advanced Materials","id":"ITEM-1","issue":"23","issued":{"date-parts":[["2017"]]},"page":"1606774","publisher":"Wiley Online Library","title":"Chemical reduction of intrinsic defects in thicker heterojunction planar perovskite solar cells","type":"article-journal","volume":"29"},"uris":["http://www.mendeley.com/documents/?uuid=9d467a9a-cef2-4244-be00-747c5da4c6b1"]}],"mendeley":{"formattedCitation":"&lt;sup&gt;36)&lt;/sup&gt;","manualFormatting":"37)","plainTextFormattedCitation":"36)","previouslyFormattedCitation":"&lt;sup&gt;36)&lt;/sup&gt;"},"properties":{"noteIndex":0},"schema":"https://github.com/citation-style-language/schema/raw/master/csl-citation.json"}</w:instrText>
      </w:r>
      <w:r w:rsidRPr="00CD27EE">
        <w:rPr>
          <w:rFonts w:eastAsia="MS PGothic"/>
          <w:kern w:val="0"/>
        </w:rPr>
        <w:fldChar w:fldCharType="separate"/>
      </w:r>
      <w:r w:rsidRPr="00CD27EE">
        <w:rPr>
          <w:rFonts w:eastAsia="MS PGothic"/>
          <w:noProof/>
          <w:kern w:val="0"/>
          <w:vertAlign w:val="superscript"/>
        </w:rPr>
        <w:t>3</w:t>
      </w:r>
      <w:r w:rsidR="007E5751">
        <w:rPr>
          <w:rFonts w:eastAsia="MS PGothic"/>
          <w:noProof/>
          <w:kern w:val="0"/>
          <w:vertAlign w:val="superscript"/>
        </w:rPr>
        <w:t>7</w:t>
      </w:r>
      <w:r w:rsidRPr="00CD27EE">
        <w:rPr>
          <w:rFonts w:eastAsia="MS PGothic"/>
          <w:noProof/>
          <w:kern w:val="0"/>
          <w:vertAlign w:val="superscript"/>
        </w:rPr>
        <w:t>)</w:t>
      </w:r>
      <w:r w:rsidRPr="00CD27EE">
        <w:rPr>
          <w:rFonts w:eastAsia="MS PGothic"/>
          <w:kern w:val="0"/>
          <w:lang w:val="en"/>
        </w:rPr>
        <w:fldChar w:fldCharType="end"/>
      </w:r>
      <w:r w:rsidRPr="00CD27EE">
        <w:rPr>
          <w:rFonts w:eastAsia="MS PGothic"/>
          <w:kern w:val="0"/>
        </w:rPr>
        <w:t xml:space="preserve"> </w:t>
      </w:r>
      <w:r w:rsidR="006918AE">
        <w:rPr>
          <w:rFonts w:eastAsia="MS PGothic"/>
          <w:kern w:val="0"/>
        </w:rPr>
        <w:t xml:space="preserve">Fig.5 shows </w:t>
      </w:r>
      <w:r w:rsidRPr="00CD27EE">
        <w:rPr>
          <w:rFonts w:eastAsia="MS PGothic"/>
          <w:kern w:val="0"/>
        </w:rPr>
        <w:t xml:space="preserve">the J-V </w:t>
      </w:r>
      <w:r w:rsidR="006918AE">
        <w:rPr>
          <w:rFonts w:eastAsia="MS PGothic"/>
          <w:kern w:val="0"/>
        </w:rPr>
        <w:t>characteristics</w:t>
      </w:r>
      <w:r w:rsidRPr="00CD27EE">
        <w:rPr>
          <w:rFonts w:eastAsia="MS PGothic"/>
          <w:kern w:val="0"/>
        </w:rPr>
        <w:t xml:space="preserve"> with varied MAPbI</w:t>
      </w:r>
      <w:r w:rsidRPr="00CD27EE">
        <w:rPr>
          <w:rFonts w:eastAsia="MS PGothic"/>
          <w:kern w:val="0"/>
          <w:vertAlign w:val="subscript"/>
        </w:rPr>
        <w:t>3</w:t>
      </w:r>
      <w:r w:rsidR="006918AE">
        <w:rPr>
          <w:rFonts w:eastAsia="MS PGothic"/>
          <w:kern w:val="0"/>
          <w:vertAlign w:val="subscript"/>
        </w:rPr>
        <w:t xml:space="preserve"> </w:t>
      </w:r>
      <w:r w:rsidRPr="00CD27EE">
        <w:rPr>
          <w:rFonts w:eastAsia="MS PGothic"/>
          <w:kern w:val="0"/>
        </w:rPr>
        <w:t xml:space="preserve">thickness from 150 nm to </w:t>
      </w:r>
      <w:r w:rsidR="006918AE">
        <w:rPr>
          <w:rFonts w:eastAsia="MS PGothic"/>
          <w:kern w:val="0"/>
        </w:rPr>
        <w:t>5</w:t>
      </w:r>
      <w:r w:rsidRPr="00CD27EE">
        <w:rPr>
          <w:rFonts w:eastAsia="MS PGothic"/>
          <w:kern w:val="0"/>
        </w:rPr>
        <w:t xml:space="preserve">00 nm to demonstrate the effect of absorber thickness, as summarized in Table </w:t>
      </w:r>
      <w:r w:rsidR="00E86FDA" w:rsidRPr="00E86FDA">
        <w:rPr>
          <w:rFonts w:eastAsia="宋体" w:cs="Times New Roman"/>
          <w:kern w:val="0"/>
          <w:lang w:eastAsia="zh-CN"/>
        </w:rPr>
        <w:t>Ⅲ</w:t>
      </w:r>
      <w:r w:rsidRPr="00CD27EE">
        <w:rPr>
          <w:rFonts w:eastAsia="MS PGothic"/>
          <w:kern w:val="0"/>
        </w:rPr>
        <w:t xml:space="preserve">. It is clear the thicker absorber layer from 150 nm to 400 nm is beneficial for optical absorption and results in dramatically </w:t>
      </w:r>
      <w:r w:rsidRPr="00CD27EE">
        <w:rPr>
          <w:rFonts w:eastAsia="MS PGothic"/>
          <w:kern w:val="0"/>
        </w:rPr>
        <w:lastRenderedPageBreak/>
        <w:t xml:space="preserve">improved </w:t>
      </w:r>
      <w:proofErr w:type="spellStart"/>
      <w:r w:rsidRPr="00CD27EE">
        <w:rPr>
          <w:rFonts w:eastAsia="MS PGothic"/>
          <w:kern w:val="0"/>
        </w:rPr>
        <w:t>J</w:t>
      </w:r>
      <w:r w:rsidRPr="00CD27EE">
        <w:rPr>
          <w:rFonts w:eastAsia="MS PGothic"/>
          <w:kern w:val="0"/>
          <w:vertAlign w:val="subscript"/>
        </w:rPr>
        <w:t>sc</w:t>
      </w:r>
      <w:proofErr w:type="spellEnd"/>
      <w:r w:rsidRPr="00CD27EE">
        <w:rPr>
          <w:rFonts w:eastAsia="MS PGothic"/>
          <w:kern w:val="0"/>
          <w:vertAlign w:val="subscript"/>
        </w:rPr>
        <w:t xml:space="preserve"> </w:t>
      </w:r>
      <w:r w:rsidRPr="00CD27EE">
        <w:rPr>
          <w:rFonts w:eastAsia="MS PGothic"/>
          <w:kern w:val="0"/>
        </w:rPr>
        <w:t>from 15.63 to 22.27 mA/cm</w:t>
      </w:r>
      <w:r w:rsidRPr="00CD27EE">
        <w:rPr>
          <w:rFonts w:eastAsia="MS PGothic"/>
          <w:kern w:val="0"/>
          <w:vertAlign w:val="superscript"/>
        </w:rPr>
        <w:t>2</w:t>
      </w:r>
      <w:r w:rsidRPr="00CD27EE">
        <w:rPr>
          <w:rFonts w:eastAsia="MS PGothic"/>
          <w:kern w:val="0"/>
        </w:rPr>
        <w:t xml:space="preserve">. Meanwhile, the </w:t>
      </w:r>
      <w:proofErr w:type="spellStart"/>
      <w:r w:rsidRPr="00CD27EE">
        <w:rPr>
          <w:rFonts w:eastAsia="MS PGothic"/>
          <w:kern w:val="0"/>
        </w:rPr>
        <w:t>V</w:t>
      </w:r>
      <w:r w:rsidRPr="00CD27EE">
        <w:rPr>
          <w:rFonts w:eastAsia="MS PGothic"/>
          <w:kern w:val="0"/>
          <w:vertAlign w:val="subscript"/>
        </w:rPr>
        <w:t>oc</w:t>
      </w:r>
      <w:proofErr w:type="spellEnd"/>
      <w:r w:rsidRPr="00CD27EE">
        <w:rPr>
          <w:rFonts w:eastAsia="MS PGothic"/>
          <w:kern w:val="0"/>
        </w:rPr>
        <w:t xml:space="preserve"> and FF have slight declines. Therefore, the PCE rises to 16.60% instead of 13.09%. On the contrary, since the thickness grows, the </w:t>
      </w:r>
      <w:proofErr w:type="spellStart"/>
      <w:r w:rsidRPr="00CD27EE">
        <w:rPr>
          <w:rFonts w:eastAsia="MS PGothic"/>
          <w:kern w:val="0"/>
        </w:rPr>
        <w:t>V</w:t>
      </w:r>
      <w:r w:rsidRPr="00CD27EE">
        <w:rPr>
          <w:rFonts w:eastAsia="MS PGothic"/>
          <w:kern w:val="0"/>
          <w:vertAlign w:val="subscript"/>
        </w:rPr>
        <w:t>oc</w:t>
      </w:r>
      <w:proofErr w:type="spellEnd"/>
      <w:r w:rsidRPr="00CD27EE">
        <w:rPr>
          <w:rFonts w:eastAsia="MS PGothic"/>
          <w:kern w:val="0"/>
        </w:rPr>
        <w:t xml:space="preserve"> reduces from 1.037 V to 0.992 V and FF reduces from 77.3% to 66.6% continuously because of the severe recombination</w:t>
      </w:r>
      <w:r w:rsidR="00BA0B5B">
        <w:rPr>
          <w:rFonts w:eastAsia="MS PGothic"/>
          <w:kern w:val="0"/>
        </w:rPr>
        <w:t>.</w:t>
      </w:r>
      <w:r w:rsidRPr="00CD27EE">
        <w:rPr>
          <w:rFonts w:eastAsia="MS PGothic"/>
          <w:kern w:val="0"/>
        </w:rPr>
        <w:t xml:space="preserve"> </w:t>
      </w:r>
      <w:r w:rsidR="00BA0B5B" w:rsidRPr="00947BBD">
        <w:rPr>
          <w:rFonts w:eastAsia="MS PGothic"/>
          <w:kern w:val="0"/>
        </w:rPr>
        <w:t>A</w:t>
      </w:r>
      <w:r w:rsidRPr="00947BBD">
        <w:rPr>
          <w:rFonts w:eastAsia="MS PGothic"/>
          <w:kern w:val="0"/>
        </w:rPr>
        <w:t>dditionally</w:t>
      </w:r>
      <w:r w:rsidR="00BA0B5B" w:rsidRPr="00947BBD">
        <w:rPr>
          <w:rFonts w:eastAsia="MS PGothic"/>
          <w:kern w:val="0"/>
        </w:rPr>
        <w:t>,</w:t>
      </w:r>
      <w:r w:rsidRPr="00947BBD">
        <w:rPr>
          <w:rFonts w:eastAsia="MS PGothic"/>
          <w:kern w:val="0"/>
        </w:rPr>
        <w:t xml:space="preserve"> </w:t>
      </w:r>
      <w:r w:rsidR="00BA0B5B" w:rsidRPr="00947BBD">
        <w:rPr>
          <w:rFonts w:eastAsia="MS PGothic"/>
          <w:kern w:val="0"/>
        </w:rPr>
        <w:t xml:space="preserve">the </w:t>
      </w:r>
      <w:r w:rsidRPr="00947BBD">
        <w:rPr>
          <w:rFonts w:eastAsia="MS PGothic"/>
          <w:kern w:val="0"/>
        </w:rPr>
        <w:t>series resistance</w:t>
      </w:r>
      <w:r w:rsidR="00BA0B5B" w:rsidRPr="00947BBD">
        <w:rPr>
          <w:rFonts w:eastAsia="MS PGothic"/>
          <w:kern w:val="0"/>
        </w:rPr>
        <w:t xml:space="preserve"> also has a potential impact on the declining performance</w:t>
      </w:r>
      <w:r w:rsidR="000135FE" w:rsidRPr="00947BBD">
        <w:rPr>
          <w:rFonts w:eastAsia="MS PGothic"/>
          <w:kern w:val="0"/>
        </w:rPr>
        <w:t>, which we will discuss in details hereinafter</w:t>
      </w:r>
      <w:r w:rsidRPr="00947BBD">
        <w:rPr>
          <w:rFonts w:eastAsia="MS PGothic"/>
          <w:kern w:val="0"/>
        </w:rPr>
        <w:t>.</w:t>
      </w:r>
      <w:r w:rsidRPr="00CD27EE">
        <w:rPr>
          <w:rFonts w:eastAsia="MS PGothic"/>
          <w:kern w:val="0"/>
        </w:rPr>
        <w:t xml:space="preserve"> Even though the absorption</w:t>
      </w:r>
      <w:r w:rsidRPr="00CD27EE">
        <w:rPr>
          <w:rFonts w:eastAsia="MS PGothic"/>
          <w:kern w:val="0"/>
          <w:vertAlign w:val="subscript"/>
        </w:rPr>
        <w:t xml:space="preserve"> </w:t>
      </w:r>
      <w:r w:rsidRPr="00CD27EE">
        <w:rPr>
          <w:rFonts w:eastAsia="MS PGothic"/>
          <w:kern w:val="0"/>
        </w:rPr>
        <w:t xml:space="preserve">ability is getting better, the </w:t>
      </w:r>
      <w:proofErr w:type="spellStart"/>
      <w:r w:rsidRPr="00CD27EE">
        <w:rPr>
          <w:rFonts w:eastAsia="MS PGothic"/>
          <w:kern w:val="0"/>
        </w:rPr>
        <w:t>J</w:t>
      </w:r>
      <w:r w:rsidRPr="00CD27EE">
        <w:rPr>
          <w:rFonts w:eastAsia="MS PGothic"/>
          <w:kern w:val="0"/>
          <w:vertAlign w:val="subscript"/>
        </w:rPr>
        <w:t>sc</w:t>
      </w:r>
      <w:proofErr w:type="spellEnd"/>
      <w:r w:rsidRPr="00CD27EE">
        <w:rPr>
          <w:rFonts w:eastAsia="MS PGothic"/>
          <w:kern w:val="0"/>
        </w:rPr>
        <w:t xml:space="preserve"> has gradually become saturated with sufficient thickness, inducing the PCE loss over the thickness of 400 nm. In summary, the desirable absorber thickness is around 400 nm to achieve optimized </w:t>
      </w:r>
      <w:proofErr w:type="spellStart"/>
      <w:r w:rsidRPr="00CD27EE">
        <w:rPr>
          <w:rFonts w:eastAsia="MS PGothic"/>
          <w:kern w:val="0"/>
        </w:rPr>
        <w:t>J</w:t>
      </w:r>
      <w:r w:rsidRPr="00CD27EE">
        <w:rPr>
          <w:rFonts w:eastAsia="MS PGothic"/>
          <w:kern w:val="0"/>
          <w:vertAlign w:val="subscript"/>
        </w:rPr>
        <w:t>sc</w:t>
      </w:r>
      <w:proofErr w:type="spellEnd"/>
      <w:r w:rsidRPr="00CD27EE">
        <w:rPr>
          <w:rFonts w:eastAsia="MS PGothic"/>
          <w:kern w:val="0"/>
        </w:rPr>
        <w:t xml:space="preserve">, proper </w:t>
      </w:r>
      <w:proofErr w:type="spellStart"/>
      <w:r w:rsidRPr="00CD27EE">
        <w:rPr>
          <w:rFonts w:eastAsia="MS PGothic"/>
          <w:kern w:val="0"/>
        </w:rPr>
        <w:t>V</w:t>
      </w:r>
      <w:r w:rsidRPr="00CD27EE">
        <w:rPr>
          <w:rFonts w:eastAsia="MS PGothic"/>
          <w:kern w:val="0"/>
          <w:vertAlign w:val="subscript"/>
        </w:rPr>
        <w:t>oc</w:t>
      </w:r>
      <w:proofErr w:type="spellEnd"/>
      <w:r w:rsidRPr="00CD27EE">
        <w:rPr>
          <w:rFonts w:eastAsia="MS PGothic"/>
          <w:kern w:val="0"/>
        </w:rPr>
        <w:t xml:space="preserve"> and FF, leading to superior device performance.</w:t>
      </w:r>
    </w:p>
    <w:p w14:paraId="6BBE8807" w14:textId="77777777" w:rsidR="00164204" w:rsidRPr="00CD27EE" w:rsidRDefault="00164204" w:rsidP="00CD27EE">
      <w:pPr>
        <w:pStyle w:val="MainText151510"/>
        <w:adjustRightInd w:val="0"/>
        <w:spacing w:line="360" w:lineRule="auto"/>
        <w:ind w:firstLineChars="0" w:firstLine="0"/>
        <w:rPr>
          <w:rFonts w:asciiTheme="majorHAnsi" w:hAnsiTheme="majorHAnsi"/>
          <w:szCs w:val="24"/>
        </w:rPr>
      </w:pPr>
    </w:p>
    <w:p w14:paraId="734367AF" w14:textId="77777777" w:rsidR="00164204" w:rsidRDefault="00CD27EE" w:rsidP="00164204">
      <w:pPr>
        <w:pStyle w:val="MainText151510"/>
        <w:adjustRightInd w:val="0"/>
        <w:spacing w:line="360" w:lineRule="auto"/>
        <w:ind w:firstLineChars="0" w:firstLine="0"/>
        <w:rPr>
          <w:rFonts w:asciiTheme="majorHAnsi" w:hAnsiTheme="majorHAnsi"/>
          <w:szCs w:val="24"/>
        </w:rPr>
      </w:pPr>
      <w:r>
        <w:rPr>
          <w:rFonts w:asciiTheme="majorHAnsi" w:hAnsiTheme="majorHAnsi"/>
          <w:szCs w:val="24"/>
        </w:rPr>
        <w:t>4</w:t>
      </w:r>
      <w:r w:rsidRPr="00341F2C">
        <w:rPr>
          <w:rFonts w:asciiTheme="majorHAnsi" w:hAnsiTheme="majorHAnsi"/>
          <w:szCs w:val="24"/>
        </w:rPr>
        <w:t>.</w:t>
      </w:r>
      <w:r>
        <w:rPr>
          <w:rFonts w:asciiTheme="majorHAnsi" w:hAnsiTheme="majorHAnsi"/>
          <w:szCs w:val="24"/>
        </w:rPr>
        <w:t>3</w:t>
      </w:r>
      <w:r w:rsidRPr="00341F2C">
        <w:rPr>
          <w:rFonts w:asciiTheme="majorHAnsi" w:hAnsiTheme="majorHAnsi"/>
          <w:szCs w:val="24"/>
        </w:rPr>
        <w:t xml:space="preserve"> </w:t>
      </w:r>
      <w:r w:rsidR="00164204" w:rsidRPr="00164204">
        <w:rPr>
          <w:rFonts w:asciiTheme="majorHAnsi" w:hAnsiTheme="majorHAnsi"/>
          <w:szCs w:val="24"/>
        </w:rPr>
        <w:t>Effect of ETL/HTL thickness</w:t>
      </w:r>
    </w:p>
    <w:p w14:paraId="1A222483" w14:textId="655DF5BB" w:rsidR="00164204" w:rsidRPr="00164204" w:rsidRDefault="00164204" w:rsidP="00164204">
      <w:pPr>
        <w:pStyle w:val="MainText151510"/>
        <w:adjustRightInd w:val="0"/>
        <w:spacing w:line="360" w:lineRule="auto"/>
        <w:ind w:firstLineChars="0" w:firstLine="0"/>
        <w:rPr>
          <w:rFonts w:asciiTheme="majorHAnsi" w:hAnsiTheme="majorHAnsi"/>
          <w:szCs w:val="24"/>
        </w:rPr>
      </w:pPr>
      <w:r w:rsidRPr="00164204">
        <w:rPr>
          <w:rFonts w:eastAsia="MS PGothic" w:hint="eastAsia"/>
          <w:kern w:val="0"/>
        </w:rPr>
        <w:t>T</w:t>
      </w:r>
      <w:r w:rsidRPr="00164204">
        <w:rPr>
          <w:rFonts w:eastAsia="MS PGothic"/>
          <w:kern w:val="0"/>
        </w:rPr>
        <w:t>o investigate the effect of ETL/HTL thickness, the device performance is simulated with the varied thickness of transport layer, as shown in Fig</w:t>
      </w:r>
      <w:r w:rsidR="00BC495F">
        <w:rPr>
          <w:rFonts w:eastAsia="MS PGothic"/>
          <w:kern w:val="0"/>
        </w:rPr>
        <w:t>.</w:t>
      </w:r>
      <w:r w:rsidRPr="00164204">
        <w:rPr>
          <w:rFonts w:eastAsia="MS PGothic"/>
          <w:kern w:val="0"/>
        </w:rPr>
        <w:t xml:space="preserve"> </w:t>
      </w:r>
      <w:r w:rsidR="00231A7E">
        <w:rPr>
          <w:rFonts w:eastAsia="MS PGothic"/>
          <w:kern w:val="0"/>
        </w:rPr>
        <w:t>6</w:t>
      </w:r>
      <w:r w:rsidRPr="00164204">
        <w:rPr>
          <w:rFonts w:eastAsia="MS PGothic"/>
          <w:kern w:val="0"/>
        </w:rPr>
        <w:t>. As for ETL, we used colloid SnO</w:t>
      </w:r>
      <w:r w:rsidRPr="00164204">
        <w:rPr>
          <w:rFonts w:eastAsia="MS PGothic"/>
          <w:kern w:val="0"/>
          <w:vertAlign w:val="subscript"/>
        </w:rPr>
        <w:t>2</w:t>
      </w:r>
      <w:r w:rsidRPr="00164204">
        <w:rPr>
          <w:rFonts w:eastAsia="MS PGothic"/>
          <w:kern w:val="0"/>
        </w:rPr>
        <w:t xml:space="preserve"> precursor for deposition, which is interpreted in experimental </w:t>
      </w:r>
      <w:r w:rsidR="00591547">
        <w:rPr>
          <w:rFonts w:eastAsia="MS PGothic"/>
          <w:kern w:val="0"/>
        </w:rPr>
        <w:t>Sect. 2</w:t>
      </w:r>
      <w:r w:rsidRPr="00164204">
        <w:rPr>
          <w:rFonts w:eastAsia="MS PGothic"/>
          <w:kern w:val="0"/>
        </w:rPr>
        <w:t>. According to the literature, the thickness of SnO</w:t>
      </w:r>
      <w:r w:rsidRPr="00164204">
        <w:rPr>
          <w:rFonts w:eastAsia="MS PGothic"/>
          <w:kern w:val="0"/>
          <w:vertAlign w:val="subscript"/>
        </w:rPr>
        <w:t xml:space="preserve">2 </w:t>
      </w:r>
      <w:r w:rsidRPr="00164204">
        <w:rPr>
          <w:rFonts w:eastAsia="MS PGothic"/>
          <w:kern w:val="0"/>
        </w:rPr>
        <w:t xml:space="preserve">film is around 35 </w:t>
      </w:r>
      <w:r w:rsidRPr="00164204">
        <w:rPr>
          <w:rFonts w:eastAsia="MS PGothic" w:hint="eastAsia"/>
          <w:kern w:val="0"/>
        </w:rPr>
        <w:t>nm</w:t>
      </w:r>
      <w:r w:rsidRPr="00164204">
        <w:rPr>
          <w:rFonts w:eastAsia="MS PGothic"/>
          <w:kern w:val="0"/>
        </w:rPr>
        <w:t>.</w:t>
      </w:r>
      <w:r w:rsidRPr="00164204">
        <w:rPr>
          <w:rFonts w:eastAsia="MS PGothic"/>
          <w:kern w:val="0"/>
        </w:rPr>
        <w:fldChar w:fldCharType="begin" w:fldLock="1"/>
      </w:r>
      <w:r w:rsidR="007E5751">
        <w:rPr>
          <w:rFonts w:eastAsia="MS PGothic"/>
          <w:kern w:val="0"/>
        </w:rPr>
        <w:instrText>ADDIN CSL_CITATION {"citationItems":[{"id":"ITEM-1","itemData":{"DOI":"10.1002/anie.201904945","ISSN":"15213773","abstract":"Organic–inorganic perovskite solar cells with a planar architecture have attracted much attention due to the simple structure and easy fabrication. However, the power conversion efficiency and hysteresis behavior need to be improved for planar-type devices where the electron transport layer is vital. SnO2 is a promising alternative for TiO2 as the electron transport layer owing to the high charge mobility and chemical stability, but the hysteresis issue can still remain despite the use of SnO2. Now, a facile and effective method is presented to simultaneously tune the electronic property of SnO2 and passivate the defects at the interface between the perovskite and SnO2. The perovskite solar cells with ammonium chloride induced coagulated SnO2 colloids exhibit a power conversion efficiency of 21.38 % with negligible hysteresis, compared to 18.71 % with obvious hysteresis for the reference device. The device stability can also be significantly improved.","author":[{"dropping-particle":"","family":"Liu","given":"Zhongze","non-dropping-particle":"","parse-names":false,"suffix":""},{"dropping-particle":"","family":"Deng","given":"Kaimo","non-dropping-particle":"","parse-names":false,"suffix":""},{"dropping-particle":"","family":"Hu","given":"Jun","non-dropping-particle":"","parse-names":false,"suffix":""},{"dropping-particle":"","family":"Li","given":"Liang","non-dropping-particle":"","parse-names":false,"suffix":""}],"container-title":"Angewandte Chemie - International Edition","id":"ITEM-1","issued":{"date-parts":[["2019"]]},"title":"Coagulated SnO2 Colloids for High-Performance Planar Perovskite Solar Cells with Negligible Hysteresis and Improved Stability","type":"article"},"uris":["http://www.mendeley.com/documents/?uuid=2111481f-f79e-4c72-ac3e-ee16097bdf91"]}],"mendeley":{"formattedCitation":"&lt;sup&gt;37)&lt;/sup&gt;","manualFormatting":"38)","plainTextFormattedCitation":"37)","previouslyFormattedCitation":"&lt;sup&gt;37)&lt;/sup&gt;"},"properties":{"noteIndex":0},"schema":"https://github.com/citation-style-language/schema/raw/master/csl-citation.json"}</w:instrText>
      </w:r>
      <w:r w:rsidRPr="00164204">
        <w:rPr>
          <w:rFonts w:eastAsia="MS PGothic"/>
          <w:kern w:val="0"/>
        </w:rPr>
        <w:fldChar w:fldCharType="separate"/>
      </w:r>
      <w:r w:rsidRPr="00164204">
        <w:rPr>
          <w:rFonts w:eastAsia="MS PGothic"/>
          <w:noProof/>
          <w:kern w:val="0"/>
          <w:vertAlign w:val="superscript"/>
        </w:rPr>
        <w:t>3</w:t>
      </w:r>
      <w:r w:rsidR="007E5751">
        <w:rPr>
          <w:rFonts w:eastAsia="MS PGothic"/>
          <w:noProof/>
          <w:kern w:val="0"/>
          <w:vertAlign w:val="superscript"/>
        </w:rPr>
        <w:t>8</w:t>
      </w:r>
      <w:r w:rsidRPr="00164204">
        <w:rPr>
          <w:rFonts w:eastAsia="MS PGothic"/>
          <w:noProof/>
          <w:kern w:val="0"/>
          <w:vertAlign w:val="superscript"/>
        </w:rPr>
        <w:t>)</w:t>
      </w:r>
      <w:r w:rsidRPr="00164204">
        <w:rPr>
          <w:rFonts w:eastAsia="MS PGothic"/>
          <w:kern w:val="0"/>
          <w:lang w:val="en"/>
        </w:rPr>
        <w:fldChar w:fldCharType="end"/>
      </w:r>
      <w:r w:rsidRPr="00164204">
        <w:rPr>
          <w:rFonts w:eastAsia="MS PGothic"/>
          <w:kern w:val="0"/>
        </w:rPr>
        <w:t xml:space="preserve"> Thus, the varied thickness of ETL is set to be 20 to 100 nm in the simulation. Figure </w:t>
      </w:r>
      <w:r w:rsidR="00231A7E">
        <w:rPr>
          <w:rFonts w:eastAsia="MS PGothic"/>
          <w:kern w:val="0"/>
        </w:rPr>
        <w:t>6</w:t>
      </w:r>
      <w:r w:rsidR="00BC495F">
        <w:rPr>
          <w:rFonts w:eastAsia="MS PGothic"/>
          <w:kern w:val="0"/>
        </w:rPr>
        <w:t>(</w:t>
      </w:r>
      <w:r w:rsidRPr="00164204">
        <w:rPr>
          <w:rFonts w:eastAsia="MS PGothic"/>
          <w:kern w:val="0"/>
        </w:rPr>
        <w:t>a</w:t>
      </w:r>
      <w:r w:rsidR="00BC495F">
        <w:rPr>
          <w:rFonts w:eastAsia="MS PGothic"/>
          <w:kern w:val="0"/>
        </w:rPr>
        <w:t>)</w:t>
      </w:r>
      <w:r w:rsidRPr="00164204">
        <w:rPr>
          <w:rFonts w:eastAsia="MS PGothic"/>
          <w:kern w:val="0"/>
        </w:rPr>
        <w:t xml:space="preserve"> shows that the overall J-V characteristics, including FF, </w:t>
      </w:r>
      <w:proofErr w:type="spellStart"/>
      <w:r w:rsidRPr="00164204">
        <w:rPr>
          <w:rFonts w:eastAsia="MS PGothic"/>
          <w:kern w:val="0"/>
        </w:rPr>
        <w:t>J</w:t>
      </w:r>
      <w:r w:rsidRPr="00164204">
        <w:rPr>
          <w:rFonts w:eastAsia="MS PGothic"/>
          <w:kern w:val="0"/>
          <w:vertAlign w:val="subscript"/>
        </w:rPr>
        <w:t>sc</w:t>
      </w:r>
      <w:proofErr w:type="spellEnd"/>
      <w:r w:rsidRPr="00164204">
        <w:rPr>
          <w:rFonts w:eastAsia="MS PGothic"/>
          <w:kern w:val="0"/>
        </w:rPr>
        <w:t xml:space="preserve"> and V</w:t>
      </w:r>
      <w:r w:rsidRPr="00164204">
        <w:rPr>
          <w:rFonts w:eastAsia="MS PGothic"/>
          <w:kern w:val="0"/>
          <w:vertAlign w:val="subscript"/>
        </w:rPr>
        <w:t>oc</w:t>
      </w:r>
      <w:r w:rsidRPr="00164204">
        <w:rPr>
          <w:rFonts w:eastAsia="MS PGothic"/>
          <w:kern w:val="0"/>
        </w:rPr>
        <w:t xml:space="preserve">. The photovoltaic parameters almost remain constant since the thickness of ETL increases, which indicates the excellent carrier extraction capacity and defect-state tolerance. As a result, there is negligible effect on device PCE by varying the ETL thickness. Oppositely, the HTL exhibits a declined PCE from 15.75% to 15.55%, attributed to the decrease in FF from 75.9% to 74.9%. Meanwhile, other parameters like </w:t>
      </w:r>
      <w:proofErr w:type="spellStart"/>
      <w:r w:rsidRPr="00164204">
        <w:rPr>
          <w:rFonts w:eastAsia="MS PGothic"/>
          <w:kern w:val="0"/>
        </w:rPr>
        <w:t>V</w:t>
      </w:r>
      <w:r w:rsidRPr="00164204">
        <w:rPr>
          <w:rFonts w:eastAsia="MS PGothic"/>
          <w:kern w:val="0"/>
          <w:vertAlign w:val="subscript"/>
        </w:rPr>
        <w:t>oc</w:t>
      </w:r>
      <w:proofErr w:type="spellEnd"/>
      <w:r w:rsidRPr="00164204">
        <w:rPr>
          <w:rFonts w:eastAsia="MS PGothic"/>
          <w:kern w:val="0"/>
        </w:rPr>
        <w:t xml:space="preserve"> and </w:t>
      </w:r>
      <w:proofErr w:type="spellStart"/>
      <w:r w:rsidRPr="00164204">
        <w:rPr>
          <w:rFonts w:eastAsia="MS PGothic"/>
          <w:kern w:val="0"/>
        </w:rPr>
        <w:t>J</w:t>
      </w:r>
      <w:r w:rsidRPr="00164204">
        <w:rPr>
          <w:rFonts w:eastAsia="MS PGothic"/>
          <w:kern w:val="0"/>
          <w:vertAlign w:val="subscript"/>
        </w:rPr>
        <w:t>sc</w:t>
      </w:r>
      <w:proofErr w:type="spellEnd"/>
      <w:r w:rsidRPr="00164204">
        <w:rPr>
          <w:rFonts w:eastAsia="MS PGothic"/>
          <w:kern w:val="0"/>
        </w:rPr>
        <w:t xml:space="preserve"> have no significant change, as shown in Fig</w:t>
      </w:r>
      <w:r w:rsidR="00BC495F">
        <w:rPr>
          <w:rFonts w:eastAsia="MS PGothic"/>
          <w:kern w:val="0"/>
        </w:rPr>
        <w:t>.</w:t>
      </w:r>
      <w:r w:rsidRPr="00164204">
        <w:rPr>
          <w:rFonts w:eastAsia="MS PGothic"/>
          <w:kern w:val="0"/>
        </w:rPr>
        <w:t xml:space="preserve"> </w:t>
      </w:r>
      <w:r w:rsidR="00231A7E">
        <w:rPr>
          <w:rFonts w:eastAsia="MS PGothic"/>
          <w:kern w:val="0"/>
        </w:rPr>
        <w:t>6</w:t>
      </w:r>
      <w:r w:rsidR="00BC495F">
        <w:rPr>
          <w:rFonts w:eastAsia="MS PGothic"/>
          <w:kern w:val="0"/>
        </w:rPr>
        <w:t>(</w:t>
      </w:r>
      <w:r w:rsidRPr="00164204">
        <w:rPr>
          <w:rFonts w:eastAsia="MS PGothic"/>
          <w:kern w:val="0"/>
        </w:rPr>
        <w:t>b</w:t>
      </w:r>
      <w:r w:rsidR="00BC495F">
        <w:rPr>
          <w:rFonts w:eastAsia="MS PGothic"/>
          <w:kern w:val="0"/>
        </w:rPr>
        <w:t>)</w:t>
      </w:r>
      <w:r w:rsidRPr="00164204">
        <w:rPr>
          <w:rFonts w:eastAsia="MS PGothic"/>
          <w:kern w:val="0"/>
        </w:rPr>
        <w:t xml:space="preserve">. </w:t>
      </w:r>
      <w:bookmarkStart w:id="6" w:name="_Hlk130314193"/>
      <w:r w:rsidRPr="00947BBD">
        <w:rPr>
          <w:rFonts w:eastAsia="MS PGothic"/>
          <w:kern w:val="0"/>
        </w:rPr>
        <w:t>The reason for the varied FF is that the</w:t>
      </w:r>
      <w:r w:rsidR="00C30BC9" w:rsidRPr="00947BBD">
        <w:rPr>
          <w:rFonts w:eastAsia="MS PGothic"/>
          <w:kern w:val="0"/>
        </w:rPr>
        <w:t xml:space="preserve"> </w:t>
      </w:r>
      <w:r w:rsidRPr="00947BBD">
        <w:rPr>
          <w:rFonts w:eastAsia="MS PGothic"/>
          <w:kern w:val="0"/>
        </w:rPr>
        <w:t>Spiro-</w:t>
      </w:r>
      <w:proofErr w:type="spellStart"/>
      <w:r w:rsidRPr="00947BBD">
        <w:rPr>
          <w:rFonts w:eastAsia="MS PGothic"/>
          <w:kern w:val="0"/>
        </w:rPr>
        <w:t>OMeTAD</w:t>
      </w:r>
      <w:proofErr w:type="spellEnd"/>
      <w:r w:rsidRPr="00947BBD">
        <w:rPr>
          <w:rFonts w:eastAsia="MS PGothic"/>
          <w:kern w:val="0"/>
        </w:rPr>
        <w:t xml:space="preserve"> film</w:t>
      </w:r>
      <w:r w:rsidR="00C30BC9" w:rsidRPr="00947BBD">
        <w:rPr>
          <w:rFonts w:eastAsia="MS PGothic"/>
          <w:kern w:val="0"/>
        </w:rPr>
        <w:t xml:space="preserve"> with high resistivity</w:t>
      </w:r>
      <w:r w:rsidRPr="00947BBD">
        <w:rPr>
          <w:rFonts w:eastAsia="MS PGothic"/>
          <w:kern w:val="0"/>
        </w:rPr>
        <w:t xml:space="preserve"> leads to higher series resistance</w:t>
      </w:r>
      <w:r w:rsidR="00C30BC9" w:rsidRPr="00947BBD">
        <w:rPr>
          <w:rFonts w:eastAsia="MS PGothic"/>
          <w:kern w:val="0"/>
        </w:rPr>
        <w:t xml:space="preserve"> and poor conductivity which is harmful for charge transport and transfer, </w:t>
      </w:r>
      <w:r w:rsidRPr="00947BBD">
        <w:rPr>
          <w:rFonts w:eastAsia="MS PGothic"/>
          <w:kern w:val="0"/>
        </w:rPr>
        <w:t xml:space="preserve">comparing </w:t>
      </w:r>
      <w:r w:rsidR="00C30BC9" w:rsidRPr="00947BBD">
        <w:rPr>
          <w:rFonts w:eastAsia="MS PGothic"/>
          <w:kern w:val="0"/>
        </w:rPr>
        <w:t>to</w:t>
      </w:r>
      <w:r w:rsidRPr="00947BBD">
        <w:rPr>
          <w:rFonts w:eastAsia="MS PGothic"/>
          <w:kern w:val="0"/>
        </w:rPr>
        <w:t xml:space="preserve"> the tiny impact from relevantly thin film of ETL</w:t>
      </w:r>
      <w:r w:rsidR="00C30BC9" w:rsidRPr="00947BBD">
        <w:rPr>
          <w:rFonts w:eastAsia="MS PGothic"/>
          <w:kern w:val="0"/>
        </w:rPr>
        <w:t xml:space="preserve"> with lower resistivity</w:t>
      </w:r>
      <w:r w:rsidRPr="00947BBD">
        <w:rPr>
          <w:rFonts w:eastAsia="MS PGothic"/>
          <w:kern w:val="0"/>
        </w:rPr>
        <w:t>.</w:t>
      </w:r>
      <w:bookmarkEnd w:id="6"/>
      <w:r w:rsidRPr="00947BBD">
        <w:rPr>
          <w:rFonts w:eastAsia="MS PGothic"/>
          <w:kern w:val="0"/>
        </w:rPr>
        <w:fldChar w:fldCharType="begin" w:fldLock="1"/>
      </w:r>
      <w:r w:rsidR="007E5751" w:rsidRPr="00947BBD">
        <w:rPr>
          <w:rFonts w:eastAsia="MS PGothic"/>
          <w:kern w:val="0"/>
        </w:rPr>
        <w:instrText>ADDIN CSL_CITATION {"citationItems":[{"id":"ITEM-1","itemData":{"ISSN":"0925-3467","author":[{"dropping-particle":"","family":"Abdelaziz","given":"Wael","non-dropping-particle":"","parse-names":false,"suffix":""},{"dropping-particle":"","family":"Shaker","given":"Ahmed","non-dropping-particle":"","parse-names":false,"suffix":""},{"dropping-particle":"","family":"Abouelatta","given":"M","non-dropping-particle":"","parse-names":false,"suffix":""},{"dropping-particle":"","family":"Zekry","given":"Abdelhalim","non-dropping-particle":"","parse-names":false,"suffix":""}],"container-title":"Optical Materials","id":"ITEM-1","issued":{"date-parts":[["2019"]]},"page":"239-245","publisher":"Elsevier","title":"Possible efficiency boosting of non-fullerene acceptor solar cell using device simulation","type":"article-journal","volume":"91"},"uris":["http://www.mendeley.com/documents/?uuid=0f99c622-fc2b-4c62-883f-d9ecaea5ecf6"]}],"mendeley":{"formattedCitation":"&lt;sup&gt;38)&lt;/sup&gt;","manualFormatting":"39)","plainTextFormattedCitation":"38)","previouslyFormattedCitation":"&lt;sup&gt;38)&lt;/sup&gt;"},"properties":{"noteIndex":0},"schema":"https://github.com/citation-style-language/schema/raw/master/csl-citation.json"}</w:instrText>
      </w:r>
      <w:r w:rsidRPr="00947BBD">
        <w:rPr>
          <w:rFonts w:eastAsia="MS PGothic"/>
          <w:kern w:val="0"/>
        </w:rPr>
        <w:fldChar w:fldCharType="separate"/>
      </w:r>
      <w:r w:rsidRPr="00947BBD">
        <w:rPr>
          <w:rFonts w:eastAsia="MS PGothic"/>
          <w:noProof/>
          <w:kern w:val="0"/>
          <w:vertAlign w:val="superscript"/>
        </w:rPr>
        <w:t>3</w:t>
      </w:r>
      <w:r w:rsidR="007E5751" w:rsidRPr="00947BBD">
        <w:rPr>
          <w:rFonts w:eastAsia="MS PGothic"/>
          <w:noProof/>
          <w:kern w:val="0"/>
          <w:vertAlign w:val="superscript"/>
        </w:rPr>
        <w:t>9</w:t>
      </w:r>
      <w:r w:rsidRPr="00947BBD">
        <w:rPr>
          <w:rFonts w:eastAsia="MS PGothic"/>
          <w:noProof/>
          <w:kern w:val="0"/>
          <w:vertAlign w:val="superscript"/>
        </w:rPr>
        <w:t>)</w:t>
      </w:r>
      <w:r w:rsidRPr="00947BBD">
        <w:rPr>
          <w:rFonts w:eastAsia="MS PGothic"/>
          <w:kern w:val="0"/>
          <w:lang w:val="en"/>
        </w:rPr>
        <w:fldChar w:fldCharType="end"/>
      </w:r>
      <w:r w:rsidR="007E5751" w:rsidRPr="00947BBD">
        <w:rPr>
          <w:rFonts w:eastAsia="MS PGothic"/>
          <w:kern w:val="0"/>
          <w:vertAlign w:val="superscript"/>
          <w:lang w:val="en"/>
        </w:rPr>
        <w:t>,40)</w:t>
      </w:r>
      <w:r w:rsidRPr="00164204">
        <w:rPr>
          <w:rFonts w:eastAsia="MS PGothic"/>
          <w:kern w:val="0"/>
        </w:rPr>
        <w:t xml:space="preserve"> As an organic small molecule material, thin Spiro-</w:t>
      </w:r>
      <w:proofErr w:type="spellStart"/>
      <w:r w:rsidRPr="00164204">
        <w:rPr>
          <w:rFonts w:eastAsia="MS PGothic"/>
          <w:kern w:val="0"/>
        </w:rPr>
        <w:t>OMeTAD</w:t>
      </w:r>
      <w:proofErr w:type="spellEnd"/>
      <w:r w:rsidRPr="00164204">
        <w:rPr>
          <w:rFonts w:eastAsia="MS PGothic"/>
          <w:kern w:val="0"/>
        </w:rPr>
        <w:t xml:space="preserve"> film is also likely to suppress defects and achieves higher efficiency, as reported in several studies.</w:t>
      </w:r>
      <w:r w:rsidRPr="00164204">
        <w:rPr>
          <w:rFonts w:eastAsia="MS PGothic"/>
          <w:kern w:val="0"/>
        </w:rPr>
        <w:fldChar w:fldCharType="begin" w:fldLock="1"/>
      </w:r>
      <w:r w:rsidR="00EC51C9">
        <w:rPr>
          <w:rFonts w:eastAsia="MS PGothic"/>
          <w:kern w:val="0"/>
        </w:rPr>
        <w:instrText>ADDIN CSL_CITATION {"citationItems":[{"id":"ITEM-1","itemData":{"ISSN":"1944-8244","author":[{"dropping-particle":"","family":"Ouedraogo","given":"Nabonswende Aida Nadege","non-dropping-particle":"","parse-names":false,"suffix":""},{"dropping-particle":"","family":"Odunmbaku","given":"George Omololu","non-dropping-particle":"","parse-names":false,"suffix":""},{"dropping-particle":"","family":"Guo","given":"Bing","non-dropping-particle":"","parse-names":false,"suffix":""},{"dropping-particle":"","family":"Chen","given":"Shanshan","non-dropping-particle":"","parse-names":false,"suffix":""},{"dropping-particle":"","family":"Lin","given":"Xiaoxue","non-dropping-particle":"","parse-names":false,"suffix":""},{"dropping-particle":"","family":"Shumilova","given":"Tatyana","non-dropping-particle":"","parse-names":false,"suffix":""},{"dropping-particle":"","family":"Sun","given":"Kuan","non-dropping-particle":"","parse-names":false,"suffix":""}],"container-title":"ACS Applied Materials &amp; Interfaces","id":"ITEM-1","issue":"30","issued":{"date-parts":[["2022"]]},"page":"34303-34327","publisher":"ACS Publications","title":"Oxidation of Spiro-OMeTAD in High-Efficiency Perovskite Solar Cells","type":"article-journal","volume":"14"},"uris":["http://www.mendeley.com/documents/?uuid=ac5920e8-e1e6-467a-8660-17dfeee89ff2"]},{"id":"ITEM-2","itemData":{"ISSN":"2196-7350","author":[{"dropping-particle":"","family":"Hawash","given":"Zafer","non-dropping-particle":"","parse-names":false,"suffix":""},{"dropping-particle":"","family":"Ono","given":"Luis K","non-dropping-particle":"","parse-names":false,"suffix":""},{"dropping-particle":"","family":"Qi","given":"Yabing","non-dropping-particle":"","parse-names":false,"suffix":""}],"container-title":"Advanced Materials Interfaces","id</w:instrText>
      </w:r>
      <w:r w:rsidR="00EC51C9">
        <w:rPr>
          <w:rFonts w:eastAsia="MS PGothic" w:hint="eastAsia"/>
          <w:kern w:val="0"/>
        </w:rPr>
        <w:instrText>":"ITEM-2","issue":"1","issued":{"date-parts":[["2018"]]},"page":"1700623","publisher":"Wiley Online Library","title":"Recent advances in spiro</w:instrText>
      </w:r>
      <w:r w:rsidR="00EC51C9">
        <w:rPr>
          <w:rFonts w:eastAsia="MS PGothic" w:hint="eastAsia"/>
          <w:kern w:val="0"/>
        </w:rPr>
        <w:instrText>‐</w:instrText>
      </w:r>
      <w:r w:rsidR="00EC51C9">
        <w:rPr>
          <w:rFonts w:eastAsia="MS PGothic" w:hint="eastAsia"/>
          <w:kern w:val="0"/>
        </w:rPr>
        <w:instrText>MeOTAD hole transport material and its applications in organic</w:instrText>
      </w:r>
      <w:r w:rsidR="00EC51C9">
        <w:rPr>
          <w:rFonts w:eastAsia="MS PGothic" w:hint="eastAsia"/>
          <w:kern w:val="0"/>
        </w:rPr>
        <w:instrText>–</w:instrText>
      </w:r>
      <w:r w:rsidR="00EC51C9">
        <w:rPr>
          <w:rFonts w:eastAsia="MS PGothic" w:hint="eastAsia"/>
          <w:kern w:val="0"/>
        </w:rPr>
        <w:instrText>inorganic halide perovskite solar cells","type":</w:instrText>
      </w:r>
      <w:r w:rsidR="00EC51C9">
        <w:rPr>
          <w:rFonts w:eastAsia="MS PGothic"/>
          <w:kern w:val="0"/>
        </w:rPr>
        <w:instrText>"article-journal","volume":"5"},"uris":["http://www.mendeley.com/documents/?uuid=a9dda732-e91b-49d1-8538-9720ef7ad7bc"]}],"mendeley":{"formattedCitation":"&lt;sup&gt;39),40)&lt;/sup&gt;","manualFormatting":"41),42)"},"properties":{"noteIndex":0},"schema":"https://github.com/citation-style-language/schema/raw/master/csl-citation.json"}</w:instrText>
      </w:r>
      <w:r w:rsidRPr="00164204">
        <w:rPr>
          <w:rFonts w:eastAsia="MS PGothic"/>
          <w:kern w:val="0"/>
        </w:rPr>
        <w:fldChar w:fldCharType="separate"/>
      </w:r>
      <w:r w:rsidR="00EC51C9">
        <w:rPr>
          <w:rFonts w:eastAsia="MS PGothic"/>
          <w:noProof/>
          <w:kern w:val="0"/>
          <w:vertAlign w:val="superscript"/>
        </w:rPr>
        <w:t>41</w:t>
      </w:r>
      <w:r w:rsidR="00B564B5" w:rsidRPr="00B564B5">
        <w:rPr>
          <w:rFonts w:eastAsia="MS PGothic"/>
          <w:noProof/>
          <w:kern w:val="0"/>
          <w:vertAlign w:val="superscript"/>
        </w:rPr>
        <w:t>),4</w:t>
      </w:r>
      <w:r w:rsidR="00EC51C9">
        <w:rPr>
          <w:rFonts w:eastAsia="MS PGothic"/>
          <w:noProof/>
          <w:kern w:val="0"/>
          <w:vertAlign w:val="superscript"/>
        </w:rPr>
        <w:t>2</w:t>
      </w:r>
      <w:r w:rsidR="00B564B5" w:rsidRPr="00B564B5">
        <w:rPr>
          <w:rFonts w:eastAsia="MS PGothic"/>
          <w:noProof/>
          <w:kern w:val="0"/>
          <w:vertAlign w:val="superscript"/>
        </w:rPr>
        <w:t>)</w:t>
      </w:r>
      <w:r w:rsidRPr="00164204">
        <w:rPr>
          <w:rFonts w:eastAsia="MS PGothic"/>
          <w:kern w:val="0"/>
          <w:lang w:val="en"/>
        </w:rPr>
        <w:fldChar w:fldCharType="end"/>
      </w:r>
      <w:r w:rsidRPr="00164204">
        <w:rPr>
          <w:rFonts w:eastAsia="MS PGothic"/>
          <w:kern w:val="0"/>
        </w:rPr>
        <w:t xml:space="preserve"> Therefore, the proper thickness of ETL and HTL is set to be 20 nm and 150 nm for the subsequent optimization.</w:t>
      </w:r>
    </w:p>
    <w:p w14:paraId="4795631D" w14:textId="77777777" w:rsidR="00164204" w:rsidRDefault="00164204" w:rsidP="00CD27EE">
      <w:pPr>
        <w:pStyle w:val="MainText151510"/>
        <w:adjustRightInd w:val="0"/>
        <w:spacing w:line="360" w:lineRule="auto"/>
        <w:ind w:firstLineChars="0" w:firstLine="0"/>
        <w:rPr>
          <w:rFonts w:asciiTheme="majorHAnsi" w:hAnsiTheme="majorHAnsi"/>
          <w:szCs w:val="24"/>
        </w:rPr>
      </w:pPr>
    </w:p>
    <w:p w14:paraId="4508E0D8" w14:textId="5656CC3D" w:rsidR="00164204" w:rsidRDefault="00CD27EE" w:rsidP="00164204">
      <w:pPr>
        <w:pStyle w:val="ac"/>
        <w:spacing w:before="0" w:beforeAutospacing="0" w:after="0" w:afterAutospacing="0" w:line="360" w:lineRule="auto"/>
        <w:jc w:val="both"/>
        <w:rPr>
          <w:rFonts w:ascii="Times New Roman" w:hAnsi="Times New Roman" w:cs="Times New Roman"/>
          <w:lang w:val="en"/>
        </w:rPr>
      </w:pPr>
      <w:r>
        <w:rPr>
          <w:rFonts w:asciiTheme="majorHAnsi" w:hAnsiTheme="majorHAnsi"/>
        </w:rPr>
        <w:t>4</w:t>
      </w:r>
      <w:r w:rsidRPr="00341F2C">
        <w:rPr>
          <w:rFonts w:asciiTheme="majorHAnsi" w:hAnsiTheme="majorHAnsi"/>
        </w:rPr>
        <w:t>.</w:t>
      </w:r>
      <w:r>
        <w:rPr>
          <w:rFonts w:asciiTheme="majorHAnsi" w:hAnsiTheme="majorHAnsi"/>
        </w:rPr>
        <w:t>4</w:t>
      </w:r>
      <w:r w:rsidRPr="00341F2C">
        <w:rPr>
          <w:rFonts w:asciiTheme="majorHAnsi" w:hAnsiTheme="majorHAnsi"/>
        </w:rPr>
        <w:t xml:space="preserve"> </w:t>
      </w:r>
      <w:r w:rsidR="00164204" w:rsidRPr="00164204">
        <w:rPr>
          <w:rFonts w:asciiTheme="majorHAnsi" w:hAnsiTheme="majorHAnsi"/>
        </w:rPr>
        <w:t>Effect of interface recombination</w:t>
      </w:r>
    </w:p>
    <w:p w14:paraId="45E599B3" w14:textId="4D3EF583" w:rsidR="00164204" w:rsidRPr="00967B06" w:rsidRDefault="00164204" w:rsidP="00967B06">
      <w:pPr>
        <w:pStyle w:val="MainText151510"/>
        <w:adjustRightInd w:val="0"/>
        <w:spacing w:line="360" w:lineRule="auto"/>
        <w:ind w:firstLineChars="0" w:firstLine="0"/>
        <w:rPr>
          <w:rFonts w:eastAsiaTheme="minorEastAsia"/>
        </w:rPr>
      </w:pPr>
      <w:r w:rsidRPr="00164204">
        <w:rPr>
          <w:rFonts w:cs="Times New Roman" w:hint="eastAsia"/>
        </w:rPr>
        <w:t>A</w:t>
      </w:r>
      <w:r w:rsidRPr="00164204">
        <w:rPr>
          <w:rFonts w:cs="Times New Roman"/>
        </w:rPr>
        <w:t>fter the assumption for absorber layer and both transport layer, the interfaces</w:t>
      </w:r>
      <w:r w:rsidR="00D307E9">
        <w:rPr>
          <w:rFonts w:cs="Times New Roman"/>
        </w:rPr>
        <w:t xml:space="preserve"> between these layers </w:t>
      </w:r>
      <w:r w:rsidRPr="00164204">
        <w:rPr>
          <w:rFonts w:cs="Times New Roman"/>
        </w:rPr>
        <w:t>are also investigated</w:t>
      </w:r>
      <w:r w:rsidR="00967B06">
        <w:rPr>
          <w:rFonts w:cs="Times New Roman"/>
        </w:rPr>
        <w:t xml:space="preserve"> in Sect. 4.4.</w:t>
      </w:r>
      <w:r w:rsidRPr="00164204">
        <w:rPr>
          <w:rFonts w:cs="Times New Roman"/>
        </w:rPr>
        <w:t xml:space="preserve"> </w:t>
      </w:r>
      <w:r w:rsidR="00967B06">
        <w:rPr>
          <w:rFonts w:cs="Times New Roman"/>
        </w:rPr>
        <w:t>T</w:t>
      </w:r>
      <w:r w:rsidRPr="00164204">
        <w:rPr>
          <w:rFonts w:cs="Times New Roman"/>
        </w:rPr>
        <w:t xml:space="preserve">o </w:t>
      </w:r>
      <w:r w:rsidR="00967B06">
        <w:rPr>
          <w:rFonts w:cs="Times New Roman"/>
        </w:rPr>
        <w:t>analyze</w:t>
      </w:r>
      <w:r w:rsidRPr="00164204">
        <w:rPr>
          <w:rFonts w:cs="Times New Roman"/>
        </w:rPr>
        <w:t xml:space="preserve"> the effect of interface recombination</w:t>
      </w:r>
      <w:r w:rsidR="00967B06">
        <w:rPr>
          <w:rFonts w:cs="Times New Roman"/>
        </w:rPr>
        <w:t xml:space="preserve">, </w:t>
      </w:r>
      <w:r w:rsidR="00967B06">
        <w:t>the</w:t>
      </w:r>
      <w:r w:rsidR="00967B06" w:rsidRPr="00AD1E9E">
        <w:t xml:space="preserve"> IDLs </w:t>
      </w:r>
      <w:r w:rsidR="00967B06">
        <w:t xml:space="preserve">with thickness </w:t>
      </w:r>
      <w:r w:rsidR="00967B06" w:rsidRPr="00AD1E9E">
        <w:t xml:space="preserve">of 10 nm are </w:t>
      </w:r>
      <w:r w:rsidR="00967B06">
        <w:t>simulated</w:t>
      </w:r>
      <w:r w:rsidR="00967B06" w:rsidRPr="00AD1E9E">
        <w:t xml:space="preserve"> </w:t>
      </w:r>
      <w:r w:rsidR="0086466C">
        <w:t xml:space="preserve">as </w:t>
      </w:r>
      <w:r w:rsidR="00967B06" w:rsidRPr="00AD1E9E">
        <w:t>ETL/perovskite and perovskite/HTL</w:t>
      </w:r>
      <w:r w:rsidR="00967B06">
        <w:t>, respectively</w:t>
      </w:r>
      <w:r w:rsidR="00967B06" w:rsidRPr="00AD1E9E">
        <w:t>.</w:t>
      </w:r>
      <w:r w:rsidR="00967B06">
        <w:rPr>
          <w:rFonts w:cs="Times New Roman"/>
        </w:rPr>
        <w:t xml:space="preserve"> </w:t>
      </w:r>
      <w:r w:rsidRPr="00164204">
        <w:rPr>
          <w:rFonts w:cs="Times New Roman"/>
        </w:rPr>
        <w:t xml:space="preserve">Figure </w:t>
      </w:r>
      <w:r w:rsidR="00693C77">
        <w:rPr>
          <w:rFonts w:cs="Times New Roman"/>
        </w:rPr>
        <w:t>7</w:t>
      </w:r>
      <w:r w:rsidR="00BC495F">
        <w:rPr>
          <w:rFonts w:cs="Times New Roman"/>
        </w:rPr>
        <w:t>(</w:t>
      </w:r>
      <w:r w:rsidRPr="00164204">
        <w:rPr>
          <w:rFonts w:cs="Times New Roman"/>
        </w:rPr>
        <w:t>a</w:t>
      </w:r>
      <w:r w:rsidR="00BC495F">
        <w:rPr>
          <w:rFonts w:cs="Times New Roman"/>
        </w:rPr>
        <w:t>)</w:t>
      </w:r>
      <w:r w:rsidRPr="00164204">
        <w:rPr>
          <w:rFonts w:cs="Times New Roman"/>
        </w:rPr>
        <w:t xml:space="preserve"> presents the overall recombination </w:t>
      </w:r>
      <w:r w:rsidR="002B6A3B" w:rsidRPr="00947BBD">
        <w:rPr>
          <w:rFonts w:cs="Times New Roman"/>
        </w:rPr>
        <w:t>from HTL-interface</w:t>
      </w:r>
      <w:r w:rsidRPr="00947BBD">
        <w:rPr>
          <w:rFonts w:cs="Times New Roman"/>
        </w:rPr>
        <w:t xml:space="preserve"> </w:t>
      </w:r>
      <w:r w:rsidR="002B6A3B" w:rsidRPr="00947BBD">
        <w:rPr>
          <w:rFonts w:cs="Times New Roman"/>
        </w:rPr>
        <w:t>to ETL-</w:t>
      </w:r>
      <w:r w:rsidR="002B6A3B" w:rsidRPr="00947BBD">
        <w:rPr>
          <w:rFonts w:cs="Times New Roman"/>
        </w:rPr>
        <w:lastRenderedPageBreak/>
        <w:t>interface</w:t>
      </w:r>
      <w:r w:rsidR="002B6A3B">
        <w:rPr>
          <w:rFonts w:cs="Times New Roman"/>
        </w:rPr>
        <w:t xml:space="preserve"> </w:t>
      </w:r>
      <w:r w:rsidRPr="00164204">
        <w:rPr>
          <w:rFonts w:cs="Times New Roman"/>
        </w:rPr>
        <w:t>based on the varied interface defect density from 10</w:t>
      </w:r>
      <w:r w:rsidRPr="00164204">
        <w:rPr>
          <w:rFonts w:cs="Times New Roman"/>
          <w:vertAlign w:val="superscript"/>
        </w:rPr>
        <w:t>16</w:t>
      </w:r>
      <w:r w:rsidRPr="00164204">
        <w:rPr>
          <w:rFonts w:cs="Times New Roman"/>
        </w:rPr>
        <w:t>, 10</w:t>
      </w:r>
      <w:r w:rsidRPr="00164204">
        <w:rPr>
          <w:rFonts w:cs="Times New Roman"/>
          <w:vertAlign w:val="superscript"/>
        </w:rPr>
        <w:t>18</w:t>
      </w:r>
      <w:r w:rsidRPr="00164204">
        <w:rPr>
          <w:rFonts w:cs="Times New Roman"/>
        </w:rPr>
        <w:t xml:space="preserve"> and 10</w:t>
      </w:r>
      <w:r w:rsidRPr="00164204">
        <w:rPr>
          <w:rFonts w:cs="Times New Roman"/>
          <w:vertAlign w:val="superscript"/>
        </w:rPr>
        <w:t>20</w:t>
      </w:r>
      <w:r w:rsidRPr="00164204">
        <w:rPr>
          <w:rFonts w:cs="Times New Roman"/>
        </w:rPr>
        <w:t xml:space="preserve"> cm</w:t>
      </w:r>
      <w:r w:rsidRPr="00164204">
        <w:rPr>
          <w:rFonts w:cs="Times New Roman"/>
          <w:vertAlign w:val="superscript"/>
        </w:rPr>
        <w:t>−3</w:t>
      </w:r>
      <w:r w:rsidRPr="00164204">
        <w:rPr>
          <w:rFonts w:cs="Times New Roman"/>
        </w:rPr>
        <w:t>, respectively. At the low interface defect density of 10</w:t>
      </w:r>
      <w:r w:rsidRPr="00164204">
        <w:rPr>
          <w:rFonts w:cs="Times New Roman"/>
          <w:vertAlign w:val="superscript"/>
        </w:rPr>
        <w:t>16</w:t>
      </w:r>
      <w:r w:rsidRPr="00164204">
        <w:rPr>
          <w:rFonts w:cs="Times New Roman"/>
        </w:rPr>
        <w:t xml:space="preserve"> cm</w:t>
      </w:r>
      <w:r w:rsidRPr="00164204">
        <w:rPr>
          <w:rFonts w:cs="Times New Roman"/>
          <w:vertAlign w:val="superscript"/>
        </w:rPr>
        <w:t>−3</w:t>
      </w:r>
      <w:r w:rsidRPr="00164204">
        <w:rPr>
          <w:rFonts w:cs="Times New Roman"/>
        </w:rPr>
        <w:t>, the dominant recombination is in the range within 0.</w:t>
      </w:r>
      <w:r w:rsidR="002B6A3B">
        <w:rPr>
          <w:rFonts w:cs="Times New Roman"/>
        </w:rPr>
        <w:t>15</w:t>
      </w:r>
      <w:r w:rsidRPr="00164204">
        <w:rPr>
          <w:rFonts w:cs="Times New Roman"/>
        </w:rPr>
        <w:t xml:space="preserve"> </w:t>
      </w:r>
      <w:proofErr w:type="spellStart"/>
      <w:r w:rsidRPr="00164204">
        <w:rPr>
          <w:rFonts w:cs="Times New Roman"/>
        </w:rPr>
        <w:t>μm</w:t>
      </w:r>
      <w:proofErr w:type="spellEnd"/>
      <w:r w:rsidRPr="00164204">
        <w:rPr>
          <w:rFonts w:cs="Times New Roman"/>
        </w:rPr>
        <w:t xml:space="preserve"> to 0.5</w:t>
      </w:r>
      <w:r w:rsidR="002B6A3B">
        <w:rPr>
          <w:rFonts w:cs="Times New Roman"/>
        </w:rPr>
        <w:t>7</w:t>
      </w:r>
      <w:r w:rsidRPr="00164204">
        <w:rPr>
          <w:rFonts w:cs="Times New Roman"/>
        </w:rPr>
        <w:t xml:space="preserve"> </w:t>
      </w:r>
      <w:proofErr w:type="spellStart"/>
      <w:r w:rsidRPr="00164204">
        <w:rPr>
          <w:rFonts w:cs="Times New Roman"/>
        </w:rPr>
        <w:t>μm</w:t>
      </w:r>
      <w:proofErr w:type="spellEnd"/>
      <w:r w:rsidRPr="00164204">
        <w:rPr>
          <w:rFonts w:cs="Times New Roman"/>
        </w:rPr>
        <w:t xml:space="preserve">, which refers to the majority of bulk region and the interface ETL/absorber, respectively. In particular, the recombination rate of bulk region rises rapidly near the ETL side, indicative of the masses of carrier collection in interface ETL/absorber. </w:t>
      </w:r>
      <w:r w:rsidR="000E4D5D" w:rsidRPr="00947BBD">
        <w:rPr>
          <w:rFonts w:cs="Times New Roman"/>
        </w:rPr>
        <w:t>Simultaneously</w:t>
      </w:r>
      <w:r w:rsidRPr="00947BBD">
        <w:rPr>
          <w:rFonts w:cs="Times New Roman"/>
        </w:rPr>
        <w:t xml:space="preserve">, </w:t>
      </w:r>
      <w:r w:rsidR="000E4D5D" w:rsidRPr="00947BBD">
        <w:rPr>
          <w:rFonts w:cs="Times New Roman"/>
        </w:rPr>
        <w:t xml:space="preserve">it </w:t>
      </w:r>
      <w:r w:rsidRPr="00947BBD">
        <w:rPr>
          <w:rFonts w:cs="Times New Roman"/>
        </w:rPr>
        <w:t xml:space="preserve">shows a relatively minor peak for interface absorber/HTL. </w:t>
      </w:r>
      <w:r w:rsidR="000E1C41" w:rsidRPr="00947BBD">
        <w:rPr>
          <w:rFonts w:cs="Times New Roman"/>
        </w:rPr>
        <w:t xml:space="preserve">Fig. </w:t>
      </w:r>
      <w:r w:rsidR="00693C77" w:rsidRPr="00947BBD">
        <w:rPr>
          <w:rFonts w:cs="Times New Roman"/>
        </w:rPr>
        <w:t>7</w:t>
      </w:r>
      <w:r w:rsidR="000E1C41" w:rsidRPr="00947BBD">
        <w:rPr>
          <w:rFonts w:cs="Times New Roman"/>
        </w:rPr>
        <w:t xml:space="preserve">(b) demonstrates the effect of interface defect density for device performance. </w:t>
      </w:r>
      <w:r w:rsidR="000E4D5D" w:rsidRPr="00947BBD">
        <w:rPr>
          <w:rFonts w:cs="Times New Roman"/>
        </w:rPr>
        <w:t>With the interface defect density increased to 10</w:t>
      </w:r>
      <w:r w:rsidR="000E4D5D" w:rsidRPr="00947BBD">
        <w:rPr>
          <w:rFonts w:cs="Times New Roman"/>
          <w:vertAlign w:val="superscript"/>
        </w:rPr>
        <w:t>18</w:t>
      </w:r>
      <w:r w:rsidR="000E4D5D" w:rsidRPr="00947BBD">
        <w:rPr>
          <w:rFonts w:cs="Times New Roman"/>
        </w:rPr>
        <w:t xml:space="preserve"> cm</w:t>
      </w:r>
      <w:r w:rsidR="000E4D5D" w:rsidRPr="00947BBD">
        <w:rPr>
          <w:rFonts w:cs="Times New Roman"/>
          <w:vertAlign w:val="superscript"/>
        </w:rPr>
        <w:t xml:space="preserve">−3 </w:t>
      </w:r>
      <w:r w:rsidR="000E4D5D" w:rsidRPr="00947BBD">
        <w:rPr>
          <w:rFonts w:cs="Times New Roman"/>
        </w:rPr>
        <w:t>and even higher</w:t>
      </w:r>
      <w:r w:rsidR="000E4D5D" w:rsidRPr="00947BBD">
        <w:rPr>
          <w:rFonts w:ascii="宋体" w:eastAsia="宋体" w:hAnsi="宋体" w:cs="宋体"/>
          <w:lang w:eastAsia="zh-CN"/>
        </w:rPr>
        <w:t xml:space="preserve">, </w:t>
      </w:r>
      <w:r w:rsidR="000E4D5D" w:rsidRPr="00947BBD">
        <w:rPr>
          <w:rFonts w:cs="Times New Roman"/>
        </w:rPr>
        <w:t>the recombination rate of interface ETL/absorber emerges and becomes stronger remarkably. Therefore, the severely increased recombination restrains the electron extraction and collection efficiency in FTO electrode, finally leading to heavy energy loss.</w:t>
      </w:r>
      <w:r w:rsidR="00CF0FBF" w:rsidRPr="00CF0FBF">
        <w:rPr>
          <w:rFonts w:cs="Times New Roman"/>
        </w:rPr>
        <w:t xml:space="preserve"> </w:t>
      </w:r>
      <w:r w:rsidR="00CF0FBF" w:rsidRPr="00164204">
        <w:rPr>
          <w:rFonts w:cs="Times New Roman"/>
        </w:rPr>
        <w:t xml:space="preserve">The </w:t>
      </w:r>
      <w:proofErr w:type="spellStart"/>
      <w:r w:rsidR="00CF0FBF" w:rsidRPr="00164204">
        <w:rPr>
          <w:rFonts w:cs="Times New Roman"/>
        </w:rPr>
        <w:t>V</w:t>
      </w:r>
      <w:r w:rsidR="00CF0FBF" w:rsidRPr="00164204">
        <w:rPr>
          <w:rFonts w:cs="Times New Roman"/>
          <w:vertAlign w:val="subscript"/>
        </w:rPr>
        <w:t>oc</w:t>
      </w:r>
      <w:proofErr w:type="spellEnd"/>
      <w:r w:rsidR="00CF0FBF" w:rsidRPr="00164204">
        <w:rPr>
          <w:rFonts w:cs="Times New Roman"/>
        </w:rPr>
        <w:t xml:space="preserve"> shift from 1.093 V to 1.036 V whereas the </w:t>
      </w:r>
      <w:proofErr w:type="spellStart"/>
      <w:r w:rsidR="00CF0FBF" w:rsidRPr="00164204">
        <w:rPr>
          <w:rFonts w:cs="Times New Roman"/>
        </w:rPr>
        <w:t>J</w:t>
      </w:r>
      <w:r w:rsidR="00CF0FBF" w:rsidRPr="00164204">
        <w:rPr>
          <w:rFonts w:cs="Times New Roman"/>
          <w:vertAlign w:val="subscript"/>
        </w:rPr>
        <w:t>sc</w:t>
      </w:r>
      <w:proofErr w:type="spellEnd"/>
      <w:r w:rsidR="00CF0FBF" w:rsidRPr="00164204">
        <w:rPr>
          <w:rFonts w:cs="Times New Roman"/>
        </w:rPr>
        <w:t xml:space="preserve"> and FF almost keep the same. Thus, it leads to an efficiency discrepancy around only 1% since the defect density increases for several orders of magnitude.</w:t>
      </w:r>
      <w:r w:rsidR="000E4D5D" w:rsidRPr="00947BBD">
        <w:rPr>
          <w:rFonts w:cs="Times New Roman"/>
        </w:rPr>
        <w:t xml:space="preserve"> </w:t>
      </w:r>
      <w:r w:rsidR="00CF0FBF" w:rsidRPr="00947BBD">
        <w:rPr>
          <w:rFonts w:cs="Times New Roman"/>
        </w:rPr>
        <w:t>Similarly</w:t>
      </w:r>
      <w:r w:rsidRPr="00947BBD">
        <w:rPr>
          <w:rFonts w:cs="Times New Roman"/>
        </w:rPr>
        <w:t>,</w:t>
      </w:r>
      <w:r w:rsidR="000E1C41" w:rsidRPr="00947BBD">
        <w:rPr>
          <w:rFonts w:cs="Times New Roman"/>
        </w:rPr>
        <w:t xml:space="preserve"> </w:t>
      </w:r>
      <w:r w:rsidRPr="00947BBD">
        <w:rPr>
          <w:rFonts w:cs="Times New Roman"/>
        </w:rPr>
        <w:t>the peak of interface absorber/HTL exhibits a relatively lower intensity and has a minor impact on device performance</w:t>
      </w:r>
      <w:r w:rsidR="000E1C41" w:rsidRPr="00947BBD">
        <w:rPr>
          <w:rFonts w:cs="Times New Roman"/>
        </w:rPr>
        <w:t xml:space="preserve"> when the interface defect density is gradually increased</w:t>
      </w:r>
      <w:r w:rsidRPr="00947BBD">
        <w:rPr>
          <w:rFonts w:cs="Times New Roman"/>
        </w:rPr>
        <w:t>, as shown in Fig</w:t>
      </w:r>
      <w:r w:rsidR="00BC495F" w:rsidRPr="00947BBD">
        <w:rPr>
          <w:rFonts w:cs="Times New Roman"/>
        </w:rPr>
        <w:t>.</w:t>
      </w:r>
      <w:r w:rsidRPr="00947BBD">
        <w:rPr>
          <w:rFonts w:cs="Times New Roman"/>
        </w:rPr>
        <w:t xml:space="preserve"> </w:t>
      </w:r>
      <w:r w:rsidR="00693C77" w:rsidRPr="00947BBD">
        <w:rPr>
          <w:rFonts w:cs="Times New Roman"/>
        </w:rPr>
        <w:t>7</w:t>
      </w:r>
      <w:r w:rsidR="00BC495F" w:rsidRPr="00947BBD">
        <w:rPr>
          <w:rFonts w:cs="Times New Roman"/>
        </w:rPr>
        <w:t>(</w:t>
      </w:r>
      <w:r w:rsidRPr="00947BBD">
        <w:rPr>
          <w:rFonts w:cs="Times New Roman"/>
        </w:rPr>
        <w:t>c</w:t>
      </w:r>
      <w:r w:rsidR="00BC495F" w:rsidRPr="00947BBD">
        <w:rPr>
          <w:rFonts w:cs="Times New Roman"/>
        </w:rPr>
        <w:t>)</w:t>
      </w:r>
      <w:r w:rsidRPr="00947BBD">
        <w:rPr>
          <w:rFonts w:cs="Times New Roman"/>
        </w:rPr>
        <w:t>.</w:t>
      </w:r>
      <w:r w:rsidRPr="00164204">
        <w:rPr>
          <w:rFonts w:cs="Times New Roman"/>
        </w:rPr>
        <w:t xml:space="preserve"> The summary of J-V variation in Table </w:t>
      </w:r>
      <w:r w:rsidR="00E86FDA" w:rsidRPr="00E86FDA">
        <w:rPr>
          <w:rFonts w:eastAsia="宋体" w:cs="Times New Roman"/>
          <w:lang w:eastAsia="zh-CN"/>
        </w:rPr>
        <w:t>Ⅳ</w:t>
      </w:r>
      <w:r w:rsidRPr="00E86FDA">
        <w:rPr>
          <w:rFonts w:cs="Times New Roman"/>
        </w:rPr>
        <w:t xml:space="preserve"> </w:t>
      </w:r>
      <w:r w:rsidRPr="00164204">
        <w:rPr>
          <w:rFonts w:cs="Times New Roman"/>
        </w:rPr>
        <w:t>shows that the interface ETL/absorber plays a critical role in interface recombination, which is harmful to the overall device parameters under high defect density (&gt;10</w:t>
      </w:r>
      <w:r w:rsidRPr="00164204">
        <w:rPr>
          <w:rFonts w:cs="Times New Roman"/>
          <w:vertAlign w:val="superscript"/>
        </w:rPr>
        <w:t>18</w:t>
      </w:r>
      <w:r w:rsidRPr="00164204">
        <w:rPr>
          <w:rFonts w:cs="Times New Roman"/>
        </w:rPr>
        <w:t xml:space="preserve"> cm</w:t>
      </w:r>
      <w:r w:rsidRPr="00164204">
        <w:rPr>
          <w:rFonts w:cs="Times New Roman"/>
          <w:vertAlign w:val="superscript"/>
        </w:rPr>
        <w:t>−3</w:t>
      </w:r>
      <w:r w:rsidRPr="00164204">
        <w:rPr>
          <w:rFonts w:cs="Times New Roman"/>
        </w:rPr>
        <w:t>). One of the explanations could derive from the more generated carriers collected and accumulated at the front side during light illumination than the backside. This high carrier density causes an increase in traps at the recombination centers. Generally, the surface for perovskite growth, which indicates SnO</w:t>
      </w:r>
      <w:r w:rsidRPr="00164204">
        <w:rPr>
          <w:rFonts w:cs="Times New Roman"/>
          <w:vertAlign w:val="subscript"/>
        </w:rPr>
        <w:t>2</w:t>
      </w:r>
      <w:r w:rsidRPr="00164204">
        <w:rPr>
          <w:rFonts w:cs="Times New Roman"/>
        </w:rPr>
        <w:t xml:space="preserve"> in this n-</w:t>
      </w:r>
      <w:proofErr w:type="spellStart"/>
      <w:r w:rsidRPr="00164204">
        <w:rPr>
          <w:rFonts w:cs="Times New Roman"/>
        </w:rPr>
        <w:t>i</w:t>
      </w:r>
      <w:proofErr w:type="spellEnd"/>
      <w:r w:rsidRPr="00164204">
        <w:rPr>
          <w:rFonts w:cs="Times New Roman"/>
        </w:rPr>
        <w:t>-p structure, is of great significance for the formation of film morphology and interface defects.</w:t>
      </w:r>
      <w:r w:rsidRPr="00164204">
        <w:rPr>
          <w:rFonts w:cs="Times New Roman"/>
        </w:rPr>
        <w:fldChar w:fldCharType="begin" w:fldLock="1"/>
      </w:r>
      <w:r w:rsidRPr="00164204">
        <w:rPr>
          <w:rFonts w:cs="Times New Roman"/>
        </w:rPr>
        <w:instrText>ADDIN CSL_CITATION {"citationItems":[{"id":"ITEM-1","itemData":{"author":[{"dropping-particle":"","family":"Yang","given":"Dong","non-dropping-particle":"","parse-names":false,"suffix":""},{"dropping-particle":"","family":"Zhou","given":"Xin","non-dropping-particle":"","parse-names":false,"suffix":""},{"dropping-particle":"","family":"Yang","given":"Ruixia","non-dropping-particle":"","parse-names":false,"suffix":""},{"dropping-particle":"","family":"Yang","given":"Zhou","non-dropping-particle":"","parse-names":false,"suffix":""},{"dropping-particle":"","family":"Yu","given":"Wei","non-dropping-particle":"","parse-names":false,"suffix":""},{"dropping-particle":"","family":"Wang","given":"Xiuli","non-dropping-particle":"","parse-names":false,"suffix":""},{"dropping-particle":"","family":"Li","given":"Can","non-dropping-particle":"","parse-names":false,"suffix":""},{"dropping-particle":"","family":"Liu","given":"Shengzhong Frank","non-dropping-particle":"","parse-names":false,"suffix":""},{"dropping-particle":"","family":"Chang","given":"Robert P H","non-dropping-particle":"","parse-names":false,"suffix":""}],"container-title":"Energy &amp; Environmental Science","id":"ITEM-1","issue":"10","issued":{"date-parts":[["2016"]]},"page":"3071-3078","publisher":"Royal Society of Chemistry","title":"Surface optimization to eliminate hysteresis for record efficiency planar perovskite solar cells","type":"article-journal","volume":"9"},"uris":["http://www.mendeley.com/documents/?uuid=f68f95cb-0fe2-49b6-b432-8247a492855d"]}],"mendeley":{"formattedCitation":"&lt;sup&gt;41)&lt;/sup&gt;","plainTextFormattedCitation":"41)","previouslyFormattedCitation":"&lt;sup&gt;41)&lt;/sup&gt;"},"properties":{"noteIndex":0},"schema":"https://github.com/citation-style-language/schema/raw/master/csl-citation.json"}</w:instrText>
      </w:r>
      <w:r w:rsidRPr="00164204">
        <w:rPr>
          <w:rFonts w:cs="Times New Roman"/>
        </w:rPr>
        <w:fldChar w:fldCharType="separate"/>
      </w:r>
      <w:r w:rsidRPr="00164204">
        <w:rPr>
          <w:rFonts w:cs="Times New Roman"/>
          <w:noProof/>
          <w:vertAlign w:val="superscript"/>
        </w:rPr>
        <w:t>4</w:t>
      </w:r>
      <w:r w:rsidR="00EC51C9">
        <w:rPr>
          <w:rFonts w:cs="Times New Roman"/>
          <w:noProof/>
          <w:vertAlign w:val="superscript"/>
        </w:rPr>
        <w:t>3</w:t>
      </w:r>
      <w:r w:rsidRPr="00164204">
        <w:rPr>
          <w:rFonts w:cs="Times New Roman"/>
          <w:noProof/>
          <w:vertAlign w:val="superscript"/>
        </w:rPr>
        <w:t>)</w:t>
      </w:r>
      <w:r w:rsidRPr="00164204">
        <w:rPr>
          <w:rFonts w:cs="Times New Roman"/>
          <w:lang w:val="en"/>
        </w:rPr>
        <w:fldChar w:fldCharType="end"/>
      </w:r>
      <w:r w:rsidRPr="00164204">
        <w:rPr>
          <w:rFonts w:cs="Times New Roman"/>
        </w:rPr>
        <w:t xml:space="preserve"> Therefore, according to the J-V simulation, to get good carrier extraction and transfer, the defect density in interface ETL/absorber need to be suppressed within 10</w:t>
      </w:r>
      <w:r w:rsidRPr="00164204">
        <w:rPr>
          <w:rFonts w:cs="Times New Roman"/>
          <w:vertAlign w:val="superscript"/>
        </w:rPr>
        <w:t>17</w:t>
      </w:r>
      <w:r w:rsidRPr="00164204">
        <w:rPr>
          <w:rFonts w:cs="Times New Roman"/>
        </w:rPr>
        <w:t xml:space="preserve"> cm</w:t>
      </w:r>
      <w:r w:rsidRPr="00164204">
        <w:rPr>
          <w:rFonts w:cs="Times New Roman"/>
          <w:vertAlign w:val="superscript"/>
        </w:rPr>
        <w:t>−3</w:t>
      </w:r>
      <w:r w:rsidRPr="00164204">
        <w:rPr>
          <w:rFonts w:cs="Times New Roman"/>
        </w:rPr>
        <w:t>.</w:t>
      </w:r>
    </w:p>
    <w:p w14:paraId="4D98DD6B" w14:textId="1446325C" w:rsidR="00CD27EE" w:rsidRDefault="00CD27EE" w:rsidP="00CD27EE">
      <w:pPr>
        <w:pStyle w:val="MainText151510"/>
        <w:adjustRightInd w:val="0"/>
        <w:spacing w:line="360" w:lineRule="auto"/>
        <w:ind w:firstLineChars="0" w:firstLine="0"/>
        <w:rPr>
          <w:rFonts w:asciiTheme="majorHAnsi" w:hAnsiTheme="majorHAnsi"/>
          <w:szCs w:val="24"/>
        </w:rPr>
      </w:pPr>
    </w:p>
    <w:p w14:paraId="5803BA9B" w14:textId="6F5E0D17" w:rsidR="00CD27EE" w:rsidRDefault="00CD27EE" w:rsidP="00CD27EE">
      <w:pPr>
        <w:pStyle w:val="MainText151510"/>
        <w:adjustRightInd w:val="0"/>
        <w:spacing w:line="360" w:lineRule="auto"/>
        <w:ind w:firstLineChars="0" w:firstLine="0"/>
        <w:rPr>
          <w:rFonts w:asciiTheme="majorHAnsi" w:hAnsiTheme="majorHAnsi"/>
          <w:szCs w:val="24"/>
        </w:rPr>
      </w:pPr>
      <w:r>
        <w:rPr>
          <w:rFonts w:asciiTheme="majorHAnsi" w:hAnsiTheme="majorHAnsi"/>
          <w:szCs w:val="24"/>
        </w:rPr>
        <w:t>4</w:t>
      </w:r>
      <w:r w:rsidRPr="00341F2C">
        <w:rPr>
          <w:rFonts w:asciiTheme="majorHAnsi" w:hAnsiTheme="majorHAnsi"/>
          <w:szCs w:val="24"/>
        </w:rPr>
        <w:t>.</w:t>
      </w:r>
      <w:r>
        <w:rPr>
          <w:rFonts w:asciiTheme="majorHAnsi" w:hAnsiTheme="majorHAnsi"/>
          <w:szCs w:val="24"/>
        </w:rPr>
        <w:t>5</w:t>
      </w:r>
      <w:r w:rsidRPr="00341F2C">
        <w:rPr>
          <w:rFonts w:asciiTheme="majorHAnsi" w:hAnsiTheme="majorHAnsi"/>
          <w:szCs w:val="24"/>
        </w:rPr>
        <w:t xml:space="preserve"> </w:t>
      </w:r>
      <w:r w:rsidR="00164204" w:rsidRPr="00164204">
        <w:rPr>
          <w:rFonts w:asciiTheme="majorHAnsi" w:hAnsiTheme="majorHAnsi"/>
          <w:szCs w:val="24"/>
        </w:rPr>
        <w:t>Effect of doping concentration</w:t>
      </w:r>
    </w:p>
    <w:p w14:paraId="7D907B2C" w14:textId="32AF6E53" w:rsidR="00164204" w:rsidRDefault="00164204" w:rsidP="00164204">
      <w:pPr>
        <w:pStyle w:val="MainText151510"/>
        <w:adjustRightInd w:val="0"/>
        <w:spacing w:line="360" w:lineRule="auto"/>
        <w:ind w:firstLineChars="0" w:firstLine="0"/>
      </w:pPr>
      <w:r w:rsidRPr="00164204">
        <w:t xml:space="preserve">In </w:t>
      </w:r>
      <w:r w:rsidR="00591547">
        <w:t>Sect. 4.5</w:t>
      </w:r>
      <w:r w:rsidRPr="00164204">
        <w:t>, we investigate the effect of doping concentration, which is also of great relevance for the bulk and interface recombination, as shown in Fig</w:t>
      </w:r>
      <w:r w:rsidR="00BC495F">
        <w:t>.</w:t>
      </w:r>
      <w:r w:rsidRPr="00164204">
        <w:t xml:space="preserve"> </w:t>
      </w:r>
      <w:r w:rsidR="002B3135">
        <w:t>8</w:t>
      </w:r>
      <w:r w:rsidRPr="00164204">
        <w:t>. It has been reported that the doping concentration of MAPbI</w:t>
      </w:r>
      <w:r w:rsidRPr="00164204">
        <w:rPr>
          <w:vertAlign w:val="subscript"/>
        </w:rPr>
        <w:t>3</w:t>
      </w:r>
      <w:r w:rsidRPr="00164204">
        <w:t xml:space="preserve"> perovskite is a practical method such as cation doping to improve opto-electronic property.</w:t>
      </w:r>
      <w:r w:rsidRPr="00164204">
        <w:fldChar w:fldCharType="begin" w:fldLock="1"/>
      </w:r>
      <w:r w:rsidRPr="00164204">
        <w:instrText>ADDIN CSL_CITATION {"citationItems":[{"id":"ITEM-1","itemData":{"ISSN":"2045-2322","author":[{"dropping-particle":"","family":"Tang","given":"Zhen-Kun","non-dropping-particle":"","parse-names":false,"suffix":""},{"dropping-particle":"","family":"Xu","given":"Zhi-Feng","non-dropping-particle":"","parse-names":false,"suffix":""},{"dropping-particle":"","family":"Zhang","given":"Deng-Yu","non-dropping-particle":"","parse-names":false,"suffix":""},{"dropping-particle":"","family":"Hu","given":"Shu-Xian","non-dropping-particle":"","parse-names":false,"suffix":""},{"dropping-particle":"","family":"Lau","given":"Woon-Ming","non-dropping-particle":"","parse-names":false,"suffix":""},{"dropping-particle":"","family":"Liu","given":"Li-Min","non-dropping-particle":"","parse-names":false,"suffix":""}],"container-title":"Scientific reports","id":"ITEM-1","issue":"1","issued":{"date-parts":[["2017"]]},"page":"1-7","publisher":"Nature Publishing Group","title":"Enhanced optical absorption via cation doping hybrid lead iodine perovskites","type":"article-journal","volume":"7"},"uris":["http://www.mendeley.com/documents/?uuid=8595fa2e-4232-4427-a750-2a6fc502a404"]}],"mendeley":{"formattedCitation":"&lt;sup&gt;42)&lt;/sup&gt;","plainTextFormattedCitation":"42)","previouslyFormattedCitation":"&lt;sup&gt;42)&lt;/sup&gt;"},"properties":{"noteIndex":0},"schema":"https://github.com/citation-style-language/schema/raw/master/csl-citation.json"}</w:instrText>
      </w:r>
      <w:r w:rsidRPr="00164204">
        <w:fldChar w:fldCharType="separate"/>
      </w:r>
      <w:r w:rsidRPr="00164204">
        <w:rPr>
          <w:noProof/>
          <w:vertAlign w:val="superscript"/>
        </w:rPr>
        <w:t>4</w:t>
      </w:r>
      <w:r w:rsidR="00EC51C9">
        <w:rPr>
          <w:noProof/>
          <w:vertAlign w:val="superscript"/>
        </w:rPr>
        <w:t>4</w:t>
      </w:r>
      <w:r w:rsidRPr="00164204">
        <w:rPr>
          <w:noProof/>
          <w:vertAlign w:val="superscript"/>
        </w:rPr>
        <w:t>)</w:t>
      </w:r>
      <w:r w:rsidRPr="00164204">
        <w:rPr>
          <w:lang w:val="en"/>
        </w:rPr>
        <w:fldChar w:fldCharType="end"/>
      </w:r>
      <w:r w:rsidRPr="00164204">
        <w:t xml:space="preserve"> Here we set a series of varied doping concentration from 10</w:t>
      </w:r>
      <w:r w:rsidRPr="00164204">
        <w:rPr>
          <w:vertAlign w:val="superscript"/>
        </w:rPr>
        <w:t>13</w:t>
      </w:r>
      <w:r w:rsidRPr="00164204">
        <w:t xml:space="preserve"> to 10</w:t>
      </w:r>
      <w:r w:rsidRPr="00164204">
        <w:rPr>
          <w:vertAlign w:val="superscript"/>
        </w:rPr>
        <w:t xml:space="preserve">17 </w:t>
      </w:r>
      <w:r w:rsidRPr="00164204">
        <w:t>cm</w:t>
      </w:r>
      <w:r w:rsidRPr="00164204">
        <w:rPr>
          <w:vertAlign w:val="superscript"/>
        </w:rPr>
        <w:t>−3</w:t>
      </w:r>
      <w:r w:rsidRPr="00164204">
        <w:t xml:space="preserve"> to demonstrate the suitable value for device performance. In the low concentration region within 10</w:t>
      </w:r>
      <w:r w:rsidRPr="00164204">
        <w:rPr>
          <w:vertAlign w:val="superscript"/>
        </w:rPr>
        <w:t>15</w:t>
      </w:r>
      <w:r w:rsidRPr="00164204">
        <w:t xml:space="preserve"> cm</w:t>
      </w:r>
      <w:r w:rsidRPr="00164204">
        <w:rPr>
          <w:vertAlign w:val="superscript"/>
        </w:rPr>
        <w:t>−3</w:t>
      </w:r>
      <w:r w:rsidRPr="00164204">
        <w:t>, the increased doping concentration obtains negligible change in recombination, as illustrated in Fig</w:t>
      </w:r>
      <w:r w:rsidR="00BC495F">
        <w:t>.</w:t>
      </w:r>
      <w:r w:rsidRPr="00164204">
        <w:t xml:space="preserve"> </w:t>
      </w:r>
      <w:r w:rsidR="002B3135">
        <w:t>8</w:t>
      </w:r>
      <w:r w:rsidR="00BC495F">
        <w:t>(</w:t>
      </w:r>
      <w:r w:rsidRPr="00164204">
        <w:t>a</w:t>
      </w:r>
      <w:r w:rsidR="00BC495F">
        <w:t>)</w:t>
      </w:r>
      <w:r w:rsidRPr="00164204">
        <w:t xml:space="preserve">. </w:t>
      </w:r>
      <w:r w:rsidRPr="00164204">
        <w:lastRenderedPageBreak/>
        <w:t>However, when it rises over 10</w:t>
      </w:r>
      <w:r w:rsidRPr="00164204">
        <w:rPr>
          <w:vertAlign w:val="superscript"/>
        </w:rPr>
        <w:t>15</w:t>
      </w:r>
      <w:r w:rsidRPr="00164204">
        <w:t xml:space="preserve"> cm</w:t>
      </w:r>
      <w:r w:rsidRPr="00164204">
        <w:rPr>
          <w:vertAlign w:val="superscript"/>
        </w:rPr>
        <w:t>−3</w:t>
      </w:r>
      <w:r w:rsidRPr="00164204">
        <w:t xml:space="preserve">, the recombination rate grows up by several orders of magnitude, especially approaching the side of interface ETL/absorber. Thus, it </w:t>
      </w:r>
      <w:r w:rsidRPr="00164204">
        <w:rPr>
          <w:rFonts w:hint="eastAsia"/>
        </w:rPr>
        <w:t>induces</w:t>
      </w:r>
      <w:r w:rsidRPr="00164204">
        <w:t xml:space="preserve"> the larger amount of electron accumulated in the interface ETL/absorber, especially for the concentration of 10</w:t>
      </w:r>
      <w:r w:rsidRPr="00164204">
        <w:rPr>
          <w:vertAlign w:val="superscript"/>
        </w:rPr>
        <w:t xml:space="preserve">17 </w:t>
      </w:r>
      <w:r w:rsidRPr="00164204">
        <w:t>cm</w:t>
      </w:r>
      <w:r w:rsidRPr="00164204">
        <w:rPr>
          <w:vertAlign w:val="superscript"/>
        </w:rPr>
        <w:t>−3</w:t>
      </w:r>
      <w:r w:rsidRPr="00164204">
        <w:t>, as shown in Fig</w:t>
      </w:r>
      <w:r w:rsidR="00BC495F">
        <w:t>.</w:t>
      </w:r>
      <w:r w:rsidRPr="00164204">
        <w:t xml:space="preserve"> </w:t>
      </w:r>
      <w:r w:rsidR="002B3135">
        <w:t>8</w:t>
      </w:r>
      <w:r w:rsidR="00BC495F">
        <w:t>(</w:t>
      </w:r>
      <w:r w:rsidRPr="00164204">
        <w:t>b</w:t>
      </w:r>
      <w:r w:rsidR="00BC495F">
        <w:t>)</w:t>
      </w:r>
      <w:r w:rsidRPr="00164204">
        <w:t>. While the doping concentration increases from 10</w:t>
      </w:r>
      <w:r w:rsidRPr="00164204">
        <w:rPr>
          <w:vertAlign w:val="superscript"/>
        </w:rPr>
        <w:t xml:space="preserve">15 </w:t>
      </w:r>
      <w:r w:rsidRPr="00164204">
        <w:t>cm</w:t>
      </w:r>
      <w:r w:rsidRPr="00164204">
        <w:rPr>
          <w:vertAlign w:val="superscript"/>
        </w:rPr>
        <w:t xml:space="preserve">−3 </w:t>
      </w:r>
      <w:r w:rsidRPr="00164204">
        <w:t>to 10</w:t>
      </w:r>
      <w:r w:rsidRPr="00164204">
        <w:rPr>
          <w:vertAlign w:val="superscript"/>
        </w:rPr>
        <w:t xml:space="preserve">16 </w:t>
      </w:r>
      <w:r w:rsidRPr="00164204">
        <w:t>cm</w:t>
      </w:r>
      <w:r w:rsidRPr="00164204">
        <w:rPr>
          <w:vertAlign w:val="superscript"/>
        </w:rPr>
        <w:t>−3</w:t>
      </w:r>
      <w:r w:rsidRPr="00164204">
        <w:t xml:space="preserve">, the electric filed is reinforced and accelerates the separation of the photo-generated carriers, which contributes to a slightly enhanced </w:t>
      </w:r>
      <w:proofErr w:type="spellStart"/>
      <w:r w:rsidRPr="00164204">
        <w:t>V</w:t>
      </w:r>
      <w:r w:rsidRPr="00164204">
        <w:rPr>
          <w:vertAlign w:val="subscript"/>
        </w:rPr>
        <w:t>oc</w:t>
      </w:r>
      <w:proofErr w:type="spellEnd"/>
      <w:r w:rsidRPr="00164204">
        <w:t>, as shown in Fig</w:t>
      </w:r>
      <w:r w:rsidR="00BC495F">
        <w:t>.</w:t>
      </w:r>
      <w:r w:rsidRPr="00164204">
        <w:t xml:space="preserve"> </w:t>
      </w:r>
      <w:r w:rsidR="002B3135">
        <w:t>8</w:t>
      </w:r>
      <w:r w:rsidR="00BC495F">
        <w:t>(</w:t>
      </w:r>
      <w:r w:rsidRPr="00164204">
        <w:t>c</w:t>
      </w:r>
      <w:r w:rsidR="00BC495F">
        <w:t>)</w:t>
      </w:r>
      <w:r w:rsidRPr="00164204">
        <w:t xml:space="preserve">. Nevertheless, the increasing bulk and interface recombination ascribed to changed doping concentration aggravate the device PCE with gradually decreased </w:t>
      </w:r>
      <w:proofErr w:type="spellStart"/>
      <w:r w:rsidRPr="00164204">
        <w:t>J</w:t>
      </w:r>
      <w:r w:rsidRPr="00164204">
        <w:rPr>
          <w:vertAlign w:val="subscript"/>
        </w:rPr>
        <w:t>sc</w:t>
      </w:r>
      <w:proofErr w:type="spellEnd"/>
      <w:r w:rsidRPr="00164204">
        <w:t>. Therefore, the reasonable doping concentration of perovskite should be assumed to be 10</w:t>
      </w:r>
      <w:r w:rsidRPr="00164204">
        <w:rPr>
          <w:vertAlign w:val="superscript"/>
        </w:rPr>
        <w:t>15</w:t>
      </w:r>
      <w:r w:rsidRPr="00164204">
        <w:t xml:space="preserve"> cm</w:t>
      </w:r>
      <w:r w:rsidRPr="00164204">
        <w:rPr>
          <w:vertAlign w:val="superscript"/>
        </w:rPr>
        <w:t>−3</w:t>
      </w:r>
      <w:r w:rsidRPr="00164204">
        <w:t>.</w:t>
      </w:r>
    </w:p>
    <w:p w14:paraId="37F3BEC3" w14:textId="77777777" w:rsidR="00164204" w:rsidRPr="00164204" w:rsidRDefault="00164204" w:rsidP="00164204">
      <w:pPr>
        <w:pStyle w:val="MainText151510"/>
        <w:adjustRightInd w:val="0"/>
        <w:spacing w:line="360" w:lineRule="auto"/>
        <w:ind w:firstLineChars="0" w:firstLine="0"/>
      </w:pPr>
    </w:p>
    <w:p w14:paraId="659C1DC4" w14:textId="574C5ECF" w:rsidR="00CD27EE" w:rsidRDefault="00CD27EE" w:rsidP="00CD27EE">
      <w:pPr>
        <w:pStyle w:val="MainText151510"/>
        <w:adjustRightInd w:val="0"/>
        <w:spacing w:line="360" w:lineRule="auto"/>
        <w:ind w:firstLineChars="0" w:firstLine="0"/>
        <w:rPr>
          <w:rFonts w:asciiTheme="majorHAnsi" w:hAnsiTheme="majorHAnsi"/>
          <w:szCs w:val="24"/>
        </w:rPr>
      </w:pPr>
      <w:r>
        <w:rPr>
          <w:rFonts w:asciiTheme="majorHAnsi" w:hAnsiTheme="majorHAnsi"/>
          <w:szCs w:val="24"/>
        </w:rPr>
        <w:t>4</w:t>
      </w:r>
      <w:r w:rsidRPr="00341F2C">
        <w:rPr>
          <w:rFonts w:asciiTheme="majorHAnsi" w:hAnsiTheme="majorHAnsi"/>
          <w:szCs w:val="24"/>
        </w:rPr>
        <w:t>.</w:t>
      </w:r>
      <w:r>
        <w:rPr>
          <w:rFonts w:asciiTheme="majorHAnsi" w:hAnsiTheme="majorHAnsi"/>
          <w:szCs w:val="24"/>
        </w:rPr>
        <w:t>6</w:t>
      </w:r>
      <w:r w:rsidRPr="00341F2C">
        <w:rPr>
          <w:rFonts w:asciiTheme="majorHAnsi" w:hAnsiTheme="majorHAnsi"/>
          <w:szCs w:val="24"/>
        </w:rPr>
        <w:t xml:space="preserve"> </w:t>
      </w:r>
      <w:r w:rsidR="00164204" w:rsidRPr="00164204">
        <w:rPr>
          <w:rFonts w:asciiTheme="majorHAnsi" w:hAnsiTheme="majorHAnsi"/>
          <w:szCs w:val="24"/>
        </w:rPr>
        <w:t>Effect of series and shunt resistance</w:t>
      </w:r>
    </w:p>
    <w:p w14:paraId="7DB9CBFF" w14:textId="5A6F29A3" w:rsidR="00164204" w:rsidRPr="00164204" w:rsidRDefault="00164204" w:rsidP="00164204">
      <w:pPr>
        <w:pStyle w:val="MainText151510"/>
        <w:adjustRightInd w:val="0"/>
        <w:spacing w:line="360" w:lineRule="auto"/>
        <w:ind w:firstLineChars="0" w:firstLine="0"/>
      </w:pPr>
      <w:r w:rsidRPr="00164204">
        <w:t>The effect of series resistance (R</w:t>
      </w:r>
      <w:r w:rsidRPr="00164204">
        <w:rPr>
          <w:vertAlign w:val="subscript"/>
        </w:rPr>
        <w:t>s</w:t>
      </w:r>
      <w:r w:rsidRPr="00164204">
        <w:t>) is generally ascribed to the ohmic loss from bulk resistance and the electrode contact, especially at the interface contact of metal/semiconductor.</w:t>
      </w:r>
      <w:r w:rsidRPr="00164204">
        <w:fldChar w:fldCharType="begin" w:fldLock="1"/>
      </w:r>
      <w:r w:rsidR="00EC51C9">
        <w:instrText>ADDIN CSL_CITATION {"citationItems":[{"id":"ITEM-1","itemData":{"ISSN":"0038-1101","author":[{"dropping-particle":"","family":"Reyna","given":"Rosa F","non-dropping-particle":"","parse-names":false,"suffix":""},{"dropping-particle":"","family":"Martı́","given":"Antonio","non-dropping-particle":"","parse-names":false,"suffix":""},{"dropping-particle":"","family":"Maroto","given":"Juan C","non-dropping-particle":"","parse-names":false,"suffix":""}],"container-title":"Solid-State Electronics","id":"ITEM-1","issue":"4","issued":{"date-parts":[["1998"]]},"page":"567-571","publisher":"Elsevier","title":"Determination of the origin of the series resistance through electroluminescence measurements of GaAs and AlxGa1− xAs solar cells and LEDs","type":"article-journal","volume":"42"},"uris":["http://www.mendeley.com/documents/?uuid=5dd8d4fb-06b7-4393-9d65-758c15c6f4de"]}],"mendeley":{"formattedCitation":"&lt;sup&gt;43)&lt;/sup&gt;","manualFormatting":"45)","plainTextFormattedCitation":"43)","previouslyFormattedCitation":"&lt;sup&gt;43)&lt;/sup&gt;"},"properties":{"noteIndex":0},"schema":"https://github.com/citation-style-language/schema/raw/master/csl-citation.json"}</w:instrText>
      </w:r>
      <w:r w:rsidRPr="00164204">
        <w:fldChar w:fldCharType="separate"/>
      </w:r>
      <w:r w:rsidRPr="00164204">
        <w:rPr>
          <w:noProof/>
          <w:vertAlign w:val="superscript"/>
        </w:rPr>
        <w:t>4</w:t>
      </w:r>
      <w:r w:rsidR="00EC51C9">
        <w:rPr>
          <w:noProof/>
          <w:vertAlign w:val="superscript"/>
        </w:rPr>
        <w:t>5</w:t>
      </w:r>
      <w:r w:rsidRPr="00164204">
        <w:rPr>
          <w:noProof/>
          <w:vertAlign w:val="superscript"/>
        </w:rPr>
        <w:t>)</w:t>
      </w:r>
      <w:r w:rsidRPr="00164204">
        <w:rPr>
          <w:lang w:val="en"/>
        </w:rPr>
        <w:fldChar w:fldCharType="end"/>
      </w:r>
      <w:r w:rsidRPr="00164204">
        <w:t xml:space="preserve"> Basically, the origin of the shunt resistance (</w:t>
      </w:r>
      <w:proofErr w:type="spellStart"/>
      <w:r w:rsidRPr="00164204">
        <w:t>R</w:t>
      </w:r>
      <w:r w:rsidRPr="00164204">
        <w:rPr>
          <w:vertAlign w:val="subscript"/>
        </w:rPr>
        <w:t>shunt</w:t>
      </w:r>
      <w:proofErr w:type="spellEnd"/>
      <w:r w:rsidRPr="00164204">
        <w:t>) is from the leakage current, owing to the heavy defect states in the interface.</w:t>
      </w:r>
      <w:r w:rsidRPr="00164204">
        <w:fldChar w:fldCharType="begin" w:fldLock="1"/>
      </w:r>
      <w:r w:rsidRPr="00164204">
        <w:instrText>ADDIN CSL_CITATION {"citationItems":[{"id":"ITEM-1","itemData":{"ISSN":"0038-092X","author":[{"dropping-particle":"","family":"Karthick","given":"S","non-dropping-particle":"","parse-names":false,"suffix":""},{"dropping-particle":"","family":"Velumani","given":"S","non-dropping-particle":"","parse-names":false,"suffix":""},{"dropping-particle":"","family":"Bouclé","given":"Johann","non-dropping-particle":"","parse-names":false,"suffix":""}],"container-title":"Solar Energy","id":"ITEM-1","issued":{"date-parts":[["2020"]]},"page":"349-357","publisher":"Elsevier","title":"Experimental and SCAPS simulated formamidinium perovskite solar cells: A comparison of device performance","type":"article-journal","volume":"205"},"uris":["http://www.mendeley.com/documents/?uuid=38f9cb8f-416d-40c6-bf2d-5bae7c36073e"]}],"mendeley":{"formattedCitation":"&lt;sup&gt;27)&lt;/sup&gt;","plainTextFormattedCitation":"27)","previouslyFormattedCitation":"&lt;sup&gt;27)&lt;/sup&gt;"},"properties":{"noteIndex":0},"schema":"https://github.com/citation-style-language/schema/raw/master/csl-citation.json"}</w:instrText>
      </w:r>
      <w:r w:rsidRPr="00164204">
        <w:fldChar w:fldCharType="separate"/>
      </w:r>
      <w:r w:rsidRPr="00164204">
        <w:rPr>
          <w:noProof/>
          <w:vertAlign w:val="superscript"/>
        </w:rPr>
        <w:t>2</w:t>
      </w:r>
      <w:r w:rsidR="00EC51C9">
        <w:rPr>
          <w:noProof/>
          <w:vertAlign w:val="superscript"/>
        </w:rPr>
        <w:t>8</w:t>
      </w:r>
      <w:r w:rsidRPr="00164204">
        <w:rPr>
          <w:noProof/>
          <w:vertAlign w:val="superscript"/>
        </w:rPr>
        <w:t>)</w:t>
      </w:r>
      <w:r w:rsidRPr="00164204">
        <w:rPr>
          <w:lang w:val="en"/>
        </w:rPr>
        <w:fldChar w:fldCharType="end"/>
      </w:r>
      <w:r w:rsidRPr="00164204">
        <w:t xml:space="preserve"> In PSCs, the introduced R</w:t>
      </w:r>
      <w:r w:rsidRPr="00164204">
        <w:rPr>
          <w:vertAlign w:val="subscript"/>
        </w:rPr>
        <w:t>s</w:t>
      </w:r>
      <w:r w:rsidRPr="00164204">
        <w:t xml:space="preserve"> commonly induces a severe energy loss, compared with </w:t>
      </w:r>
      <w:proofErr w:type="spellStart"/>
      <w:r w:rsidRPr="00164204">
        <w:t>R</w:t>
      </w:r>
      <w:r w:rsidRPr="00164204">
        <w:rPr>
          <w:vertAlign w:val="subscript"/>
        </w:rPr>
        <w:t>shunt</w:t>
      </w:r>
      <w:proofErr w:type="spellEnd"/>
      <w:r w:rsidRPr="00164204">
        <w:t>. Therefore, here we evaluate the device performance with the varied R</w:t>
      </w:r>
      <w:r w:rsidRPr="00164204">
        <w:rPr>
          <w:vertAlign w:val="subscript"/>
        </w:rPr>
        <w:t>s</w:t>
      </w:r>
      <w:r w:rsidRPr="00164204">
        <w:t xml:space="preserve"> and R</w:t>
      </w:r>
      <w:r w:rsidRPr="00164204">
        <w:rPr>
          <w:vertAlign w:val="subscript"/>
        </w:rPr>
        <w:t>shunt</w:t>
      </w:r>
      <w:r w:rsidRPr="00164204">
        <w:t>.</w:t>
      </w:r>
      <w:r w:rsidR="00834971" w:rsidRPr="00164204">
        <w:fldChar w:fldCharType="begin" w:fldLock="1"/>
      </w:r>
      <w:r w:rsidR="00EC51C9">
        <w:instrText>ADDIN CSL_CITATION {"citationItems":[{"id":"ITEM-1","itemData":{"ISSN":"1614-6832","author":[{"dropping-particle":"","family":"Walter","given":"Daniel","non-dropping-particle":"","parse-names":false,"suffix":""},{"dropping-particle":"","family":"Wu","given":"Yiliang","non-dropping-particle":"","parse-names":false,"suffix":""},{"dropping-particle":"","family":"Duong","given":"The","non-dropping-particle":"","parse-names":false,"suffix":""},{"dropping-particle":"","family":"Peng","given":"Jun","non-dropping-particle":"","parse-names":false,"suffix":""},{"dropping-particle":"","family":"Jiang","given":"Liangcong","non-dropping-particle":"","parse-names":false,"suffix":""},{"dropping-particle":"","family":"Fong","given":"Kean Chern","non-dropping-particle":"","parse-names":false,"suffix":""},{"dropping-particle":"","family":"Weber","given":"Klaus","non-dropping-particle":"","parse-names":false,"suffix":""}],"container-title":"Advanced Energy Materials","id":"ITEM-1","issue":"2","issued":{"date-parts":[["2018"]]},"page":"1701522","publisher":"Wiley Online Library","title":"On the use of luminescence intensity images for quantified characterization of perovskite solar cells: spatial distribution of series resistance","type":"article-journal","volume":"8"},"uris":["http://www.mendeley.com/documents/?uuid=2296e3b1-f5b4-44fc-815c-7c75280d19bf"]}],"mendeley":{"formattedCitation":"&lt;sup&gt;44)&lt;/sup&gt;","manualFormatting":"46)","plainTextFormattedCitation":"44)","previouslyFormattedCitation":"&lt;sup&gt;44)&lt;/sup&gt;"},"properties":{"noteIndex":0},"schema":"https://github.com/citation-style-language/schema/raw/master/csl-citation.json"}</w:instrText>
      </w:r>
      <w:r w:rsidR="00834971" w:rsidRPr="00164204">
        <w:fldChar w:fldCharType="separate"/>
      </w:r>
      <w:r w:rsidR="00834971" w:rsidRPr="00164204">
        <w:rPr>
          <w:noProof/>
          <w:vertAlign w:val="superscript"/>
        </w:rPr>
        <w:t>4</w:t>
      </w:r>
      <w:r w:rsidR="00EC51C9">
        <w:rPr>
          <w:noProof/>
          <w:vertAlign w:val="superscript"/>
        </w:rPr>
        <w:t>6</w:t>
      </w:r>
      <w:r w:rsidR="00834971" w:rsidRPr="00164204">
        <w:rPr>
          <w:noProof/>
          <w:vertAlign w:val="superscript"/>
        </w:rPr>
        <w:t>)</w:t>
      </w:r>
      <w:r w:rsidR="00834971" w:rsidRPr="00164204">
        <w:rPr>
          <w:lang w:val="en"/>
        </w:rPr>
        <w:fldChar w:fldCharType="end"/>
      </w:r>
      <w:r w:rsidRPr="00164204">
        <w:t xml:space="preserve"> Figure </w:t>
      </w:r>
      <w:r w:rsidR="00F52418">
        <w:t>9</w:t>
      </w:r>
      <w:r w:rsidR="00BC495F">
        <w:t>(</w:t>
      </w:r>
      <w:r w:rsidRPr="00164204">
        <w:t>a</w:t>
      </w:r>
      <w:r w:rsidR="00BC495F">
        <w:t>)</w:t>
      </w:r>
      <w:r w:rsidRPr="00164204">
        <w:t xml:space="preserve"> and </w:t>
      </w:r>
      <w:r w:rsidR="00F52418">
        <w:t>9</w:t>
      </w:r>
      <w:r w:rsidR="00BC495F">
        <w:t>(</w:t>
      </w:r>
      <w:r w:rsidRPr="00164204">
        <w:t>b</w:t>
      </w:r>
      <w:r w:rsidR="00BC495F">
        <w:t>)</w:t>
      </w:r>
      <w:r w:rsidRPr="00164204">
        <w:t xml:space="preserve"> depict the relations between device performance and R</w:t>
      </w:r>
      <w:r w:rsidRPr="00164204">
        <w:rPr>
          <w:vertAlign w:val="subscript"/>
        </w:rPr>
        <w:t>s</w:t>
      </w:r>
      <w:r w:rsidRPr="00164204">
        <w:t>, in which the increased R</w:t>
      </w:r>
      <w:r w:rsidRPr="00164204">
        <w:rPr>
          <w:vertAlign w:val="subscript"/>
        </w:rPr>
        <w:t>s</w:t>
      </w:r>
      <w:r w:rsidRPr="00164204">
        <w:t xml:space="preserve"> aggravates the efficiency from </w:t>
      </w:r>
      <w:r w:rsidR="00196201">
        <w:t>20.55</w:t>
      </w:r>
      <w:r w:rsidRPr="00164204">
        <w:t xml:space="preserve">% to </w:t>
      </w:r>
      <w:r w:rsidR="00196201">
        <w:t>18.26</w:t>
      </w:r>
      <w:r w:rsidRPr="00164204">
        <w:t xml:space="preserve">%, mainly attributed to the accordingly declined FF from </w:t>
      </w:r>
      <w:r w:rsidR="00196201">
        <w:t>80</w:t>
      </w:r>
      <w:r w:rsidRPr="00164204">
        <w:t>.</w:t>
      </w:r>
      <w:r w:rsidR="00196201">
        <w:t>3</w:t>
      </w:r>
      <w:r w:rsidRPr="00164204">
        <w:t>% to 71.</w:t>
      </w:r>
      <w:r w:rsidR="00196201">
        <w:t>4</w:t>
      </w:r>
      <w:r w:rsidRPr="00164204">
        <w:t xml:space="preserve">%. The photovoltaic parameters are summarized in Table </w:t>
      </w:r>
      <w:r w:rsidR="00E86FDA" w:rsidRPr="00E86FDA">
        <w:rPr>
          <w:rFonts w:eastAsia="宋体" w:cs="Times New Roman"/>
          <w:lang w:eastAsia="zh-CN"/>
        </w:rPr>
        <w:t>Ⅴ</w:t>
      </w:r>
      <w:r w:rsidRPr="00164204">
        <w:t>. The impact of the increased R</w:t>
      </w:r>
      <w:r w:rsidRPr="00164204">
        <w:rPr>
          <w:vertAlign w:val="subscript"/>
        </w:rPr>
        <w:t>s</w:t>
      </w:r>
      <w:r w:rsidRPr="00164204">
        <w:t xml:space="preserve"> can be approximately interpreted by </w:t>
      </w:r>
      <w:r w:rsidR="00BC495F">
        <w:t>Eq.</w:t>
      </w:r>
      <w:r w:rsidRPr="00164204">
        <w:t xml:space="preserve"> (4), which is dependent synergistically by the internal absorber resistance and the contribution from electrodes.</w:t>
      </w:r>
      <w:r w:rsidR="00834971" w:rsidRPr="00164204">
        <w:fldChar w:fldCharType="begin" w:fldLock="1"/>
      </w:r>
      <w:r w:rsidR="00EC51C9">
        <w:instrText>ADDIN CSL_CITATION {"citationItems":[{"id":"ITEM-1","itemData":{"ISSN":"0927-0248","author":[{"dropping-particle":"","family":"Koishiyev","given":"Galymzhan T","non-dropping-particle":"","parse-names":false,"suffix":""},{"dropping-particle":"","family":"Sites","given":"James R","non-dropping-particle":"","parse-names":false,"suffix":""}],"container-title":"Solar Energy Materials and Solar Cells","id":"ITEM-1","issue":"3","issued":{"date-parts":[["2009"]]},"page":"350-354","publisher":"Elsevier","title":"Impact of sheet resistance on 2-D modeling of thin-film solar cells","type":"article-journal","volume":"93"},"uris":["http://www.mendeley.com/documents/?uuid=f7a21d79-7502-4cd7-9f81-60e76f31e080"]}],"mendeley":{"formattedCitation":"&lt;sup&gt;45)&lt;/sup&gt;","manualFormatting":"47)","plainTextFormattedCitation":"45)","previouslyFormattedCitation":"&lt;sup&gt;45)&lt;/sup&gt;"},"properties":{"noteIndex":0},"schema":"https://github.com/citation-style-language/schema/raw/master/csl-citation.json"}</w:instrText>
      </w:r>
      <w:r w:rsidR="00834971" w:rsidRPr="00164204">
        <w:fldChar w:fldCharType="separate"/>
      </w:r>
      <w:r w:rsidR="00834971" w:rsidRPr="00164204">
        <w:rPr>
          <w:noProof/>
          <w:vertAlign w:val="superscript"/>
        </w:rPr>
        <w:t>4</w:t>
      </w:r>
      <w:r w:rsidR="00EC51C9">
        <w:rPr>
          <w:noProof/>
          <w:vertAlign w:val="superscript"/>
        </w:rPr>
        <w:t>7</w:t>
      </w:r>
      <w:r w:rsidR="00834971" w:rsidRPr="00164204">
        <w:rPr>
          <w:noProof/>
          <w:vertAlign w:val="superscript"/>
        </w:rPr>
        <w:t>)</w:t>
      </w:r>
      <w:r w:rsidR="00834971" w:rsidRPr="00164204">
        <w:rPr>
          <w:lang w:val="en"/>
        </w:rPr>
        <w:fldChar w:fldCharType="end"/>
      </w:r>
    </w:p>
    <w:p w14:paraId="5BD3DE89" w14:textId="112A4BF4" w:rsidR="00164204" w:rsidRPr="00164204" w:rsidRDefault="00164204" w:rsidP="001C7AAA">
      <w:pPr>
        <w:pStyle w:val="MainText151510"/>
        <w:adjustRightInd w:val="0"/>
        <w:spacing w:before="100" w:beforeAutospacing="1" w:after="100" w:afterAutospacing="1" w:line="360" w:lineRule="auto"/>
        <w:ind w:firstLine="360"/>
      </w:pPr>
      <w:r w:rsidRPr="00164204">
        <w:rPr>
          <w:rFonts w:hint="eastAsia"/>
        </w:rPr>
        <w:t xml:space="preserve"> </w:t>
      </w:r>
      <w:r w:rsidRPr="00164204">
        <w:t xml:space="preserve">                       </w:t>
      </w:r>
      <w:r w:rsidR="00834971">
        <w:t xml:space="preserve">      </w:t>
      </w:r>
      <w:r w:rsidRPr="00164204">
        <w:t xml:space="preserve">     </w:t>
      </w:r>
      <m:oMath>
        <m:sSub>
          <m:sSubPr>
            <m:ctrlPr>
              <w:rPr>
                <w:rFonts w:ascii="Cambria Math" w:hAnsi="Cambria Math"/>
                <w:i/>
              </w:rPr>
            </m:ctrlPr>
          </m:sSubPr>
          <m:e>
            <m:r>
              <w:rPr>
                <w:rFonts w:ascii="Cambria Math" w:hAnsi="Cambria Math"/>
              </w:rPr>
              <m:t>R</m:t>
            </m:r>
          </m:e>
          <m:sub>
            <m:r>
              <w:rPr>
                <w:rFonts w:ascii="Cambria Math" w:hAnsi="Cambria Math"/>
              </w:rPr>
              <m:t>s</m:t>
            </m:r>
          </m:sub>
        </m:sSub>
        <m:r>
          <w:rPr>
            <w:rFonts w:ascii="Cambria Math" w:hAnsi="Cambria Math"/>
          </w:rPr>
          <m:t>≅</m:t>
        </m:r>
        <m:r>
          <w:rPr>
            <w:rFonts w:ascii="Cambria Math" w:hAnsi="Cambria Math" w:hint="eastAsia"/>
          </w:rPr>
          <m:t>ρb</m:t>
        </m:r>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hint="eastAsia"/>
                  </w:rPr>
                  <m:t>ρ</m:t>
                </m:r>
              </m:e>
              <m:sub>
                <m:r>
                  <w:rPr>
                    <w:rFonts w:ascii="Cambria Math" w:hAnsi="Cambria Math"/>
                  </w:rPr>
                  <m:t>s</m:t>
                </m:r>
              </m:sub>
            </m:sSub>
            <m:sSup>
              <m:sSupPr>
                <m:ctrlPr>
                  <w:rPr>
                    <w:rFonts w:ascii="Cambria Math" w:hAnsi="Cambria Math"/>
                    <w:i/>
                  </w:rPr>
                </m:ctrlPr>
              </m:sSupPr>
              <m:e>
                <m:r>
                  <w:rPr>
                    <w:rFonts w:ascii="Cambria Math" w:hAnsi="Cambria Math"/>
                  </w:rPr>
                  <m:t>L</m:t>
                </m:r>
              </m:e>
              <m:sup>
                <m:r>
                  <w:rPr>
                    <w:rFonts w:ascii="Cambria Math" w:hAnsi="Cambria Math"/>
                  </w:rPr>
                  <m:t>2</m:t>
                </m:r>
              </m:sup>
            </m:sSup>
          </m:num>
          <m:den>
            <m:r>
              <w:rPr>
                <w:rFonts w:ascii="Cambria Math" w:hAnsi="Cambria Math"/>
              </w:rPr>
              <m:t>2</m:t>
            </m:r>
          </m:den>
        </m:f>
      </m:oMath>
      <w:r w:rsidRPr="00164204">
        <w:rPr>
          <w:rFonts w:hint="eastAsia"/>
        </w:rPr>
        <w:t xml:space="preserve"> </w:t>
      </w:r>
      <w:r w:rsidRPr="00164204">
        <w:t xml:space="preserve">                </w:t>
      </w:r>
      <w:r w:rsidR="00834971">
        <w:t xml:space="preserve">         </w:t>
      </w:r>
      <w:r w:rsidRPr="00164204">
        <w:t xml:space="preserve">        </w:t>
      </w:r>
      <w:r w:rsidRPr="00164204">
        <w:rPr>
          <w:rFonts w:hint="eastAsia"/>
        </w:rPr>
        <w:t>(</w:t>
      </w:r>
      <w:r w:rsidRPr="00164204">
        <w:t>4)</w:t>
      </w:r>
    </w:p>
    <w:p w14:paraId="47456784" w14:textId="393027AF" w:rsidR="00164204" w:rsidRDefault="00164204" w:rsidP="00CD27EE">
      <w:pPr>
        <w:pStyle w:val="MainText151510"/>
        <w:adjustRightInd w:val="0"/>
        <w:spacing w:line="360" w:lineRule="auto"/>
        <w:ind w:firstLineChars="0" w:firstLine="0"/>
      </w:pPr>
      <w:r w:rsidRPr="00164204">
        <w:t xml:space="preserve">where b is absorber thickness, L is substrate length, </w:t>
      </w:r>
      <w:r w:rsidRPr="00164204">
        <w:rPr>
          <w:i/>
          <w:iCs/>
        </w:rPr>
        <w:t>ρ</w:t>
      </w:r>
      <w:r w:rsidRPr="00164204">
        <w:t xml:space="preserve"> </w:t>
      </w:r>
      <w:r w:rsidRPr="00164204">
        <w:rPr>
          <w:rFonts w:hint="eastAsia"/>
        </w:rPr>
        <w:t>and</w:t>
      </w:r>
      <w:r w:rsidRPr="00164204">
        <w:t xml:space="preserve"> </w:t>
      </w:r>
      <w:proofErr w:type="spellStart"/>
      <w:r w:rsidRPr="00164204">
        <w:rPr>
          <w:i/>
          <w:iCs/>
        </w:rPr>
        <w:t>ρ</w:t>
      </w:r>
      <w:r w:rsidRPr="00164204">
        <w:rPr>
          <w:i/>
          <w:iCs/>
          <w:vertAlign w:val="subscript"/>
        </w:rPr>
        <w:t>s</w:t>
      </w:r>
      <w:proofErr w:type="spellEnd"/>
      <w:r w:rsidRPr="00164204">
        <w:rPr>
          <w:i/>
          <w:iCs/>
          <w:vertAlign w:val="subscript"/>
        </w:rPr>
        <w:t xml:space="preserve"> </w:t>
      </w:r>
      <w:r w:rsidRPr="00164204">
        <w:t xml:space="preserve">refer to the resistivity of the absorber layer and FTO sheet resistance, respectively. </w:t>
      </w:r>
      <w:proofErr w:type="gramStart"/>
      <w:r w:rsidRPr="00164204">
        <w:t>On account of</w:t>
      </w:r>
      <w:proofErr w:type="gramEnd"/>
      <w:r w:rsidRPr="00164204">
        <w:t xml:space="preserve"> the constant effect from the electrode material, we ought to control the perovskite thickness because of the contribution for increased R</w:t>
      </w:r>
      <w:r w:rsidRPr="00164204">
        <w:rPr>
          <w:vertAlign w:val="subscript"/>
        </w:rPr>
        <w:t>s</w:t>
      </w:r>
      <w:r w:rsidRPr="00164204">
        <w:t xml:space="preserve"> , even thicker film will lead to higher </w:t>
      </w:r>
      <w:proofErr w:type="spellStart"/>
      <w:r w:rsidRPr="00164204">
        <w:t>J</w:t>
      </w:r>
      <w:r w:rsidRPr="00164204">
        <w:rPr>
          <w:vertAlign w:val="subscript"/>
        </w:rPr>
        <w:t>sc</w:t>
      </w:r>
      <w:proofErr w:type="spellEnd"/>
      <w:r w:rsidRPr="00164204">
        <w:t xml:space="preserve">. Meanwhile, the effect on device performance is slightly enhanced with highly increased </w:t>
      </w:r>
      <w:proofErr w:type="spellStart"/>
      <w:r w:rsidRPr="00164204">
        <w:t>R</w:t>
      </w:r>
      <w:r w:rsidRPr="00164204">
        <w:rPr>
          <w:vertAlign w:val="subscript"/>
        </w:rPr>
        <w:t>shunt</w:t>
      </w:r>
      <w:proofErr w:type="spellEnd"/>
      <w:r w:rsidRPr="00164204">
        <w:t>, as shown in Fig</w:t>
      </w:r>
      <w:r w:rsidR="00BC495F">
        <w:t>.</w:t>
      </w:r>
      <w:r w:rsidRPr="00164204">
        <w:t xml:space="preserve"> </w:t>
      </w:r>
      <w:r w:rsidR="00862CEB">
        <w:t>9</w:t>
      </w:r>
      <w:r w:rsidR="00BC495F">
        <w:t>(</w:t>
      </w:r>
      <w:r w:rsidRPr="00164204">
        <w:t>c</w:t>
      </w:r>
      <w:r w:rsidR="00BC495F">
        <w:t>)</w:t>
      </w:r>
      <w:r w:rsidRPr="00164204">
        <w:t xml:space="preserve">. </w:t>
      </w:r>
      <w:r w:rsidRPr="00164204">
        <w:rPr>
          <w:rFonts w:hint="eastAsia"/>
        </w:rPr>
        <w:t>A</w:t>
      </w:r>
      <w:r w:rsidRPr="00164204">
        <w:t>s a result, the PCE gradually improved as well as FF with reduced R</w:t>
      </w:r>
      <w:r w:rsidRPr="00164204">
        <w:rPr>
          <w:vertAlign w:val="subscript"/>
        </w:rPr>
        <w:t>s</w:t>
      </w:r>
      <w:r w:rsidRPr="00164204">
        <w:t xml:space="preserve"> and increased </w:t>
      </w:r>
      <w:proofErr w:type="spellStart"/>
      <w:r w:rsidRPr="00164204">
        <w:t>R</w:t>
      </w:r>
      <w:r w:rsidRPr="00164204">
        <w:rPr>
          <w:vertAlign w:val="subscript"/>
        </w:rPr>
        <w:t>shunt</w:t>
      </w:r>
      <w:proofErr w:type="spellEnd"/>
      <w:r w:rsidRPr="00164204">
        <w:rPr>
          <w:vertAlign w:val="subscript"/>
        </w:rPr>
        <w:t xml:space="preserve"> </w:t>
      </w:r>
      <w:r w:rsidRPr="00164204">
        <w:t>for our simulation structure. Therefore, the optimized device owns the R</w:t>
      </w:r>
      <w:r w:rsidRPr="00164204">
        <w:rPr>
          <w:vertAlign w:val="subscript"/>
        </w:rPr>
        <w:t>s</w:t>
      </w:r>
      <w:r w:rsidRPr="00164204">
        <w:t xml:space="preserve"> within 1 Ω </w:t>
      </w:r>
      <w:r w:rsidRPr="00164204">
        <w:rPr>
          <w:rFonts w:hint="eastAsia"/>
        </w:rPr>
        <w:t>a</w:t>
      </w:r>
      <w:r w:rsidRPr="00164204">
        <w:t xml:space="preserve">nd </w:t>
      </w:r>
      <w:proofErr w:type="spellStart"/>
      <w:r w:rsidRPr="00164204">
        <w:t>R</w:t>
      </w:r>
      <w:r w:rsidRPr="00164204">
        <w:rPr>
          <w:vertAlign w:val="subscript"/>
        </w:rPr>
        <w:t>shunt</w:t>
      </w:r>
      <w:proofErr w:type="spellEnd"/>
      <w:r w:rsidRPr="00164204">
        <w:t xml:space="preserve"> over 3000 Ω to get better </w:t>
      </w:r>
      <w:r w:rsidR="00D71647">
        <w:t>FF</w:t>
      </w:r>
      <w:r w:rsidRPr="00164204">
        <w:t>.</w:t>
      </w:r>
    </w:p>
    <w:p w14:paraId="58A48D55" w14:textId="77777777" w:rsidR="00D71647" w:rsidRPr="001C7AAA" w:rsidRDefault="00D71647" w:rsidP="00CD27EE">
      <w:pPr>
        <w:pStyle w:val="MainText151510"/>
        <w:adjustRightInd w:val="0"/>
        <w:spacing w:line="360" w:lineRule="auto"/>
        <w:ind w:firstLineChars="0" w:firstLine="0"/>
        <w:rPr>
          <w:rFonts w:eastAsiaTheme="minorEastAsia"/>
        </w:rPr>
      </w:pPr>
    </w:p>
    <w:p w14:paraId="0A0BE01C" w14:textId="64FF370C" w:rsidR="00D71647" w:rsidRPr="00947BBD" w:rsidRDefault="00D71647" w:rsidP="00D71647">
      <w:pPr>
        <w:pStyle w:val="MainText151510"/>
        <w:adjustRightInd w:val="0"/>
        <w:spacing w:line="360" w:lineRule="auto"/>
        <w:ind w:firstLineChars="0" w:firstLine="0"/>
        <w:rPr>
          <w:rFonts w:asciiTheme="majorHAnsi" w:hAnsiTheme="majorHAnsi"/>
          <w:szCs w:val="24"/>
        </w:rPr>
      </w:pPr>
      <w:r w:rsidRPr="00947BBD">
        <w:rPr>
          <w:rFonts w:asciiTheme="majorHAnsi" w:hAnsiTheme="majorHAnsi"/>
          <w:szCs w:val="24"/>
        </w:rPr>
        <w:lastRenderedPageBreak/>
        <w:t>4.7 Optimized device performance</w:t>
      </w:r>
    </w:p>
    <w:p w14:paraId="2DEFA505" w14:textId="0ECBBDC9" w:rsidR="00D71647" w:rsidRPr="00947BBD" w:rsidRDefault="00D71647" w:rsidP="00FC5C55">
      <w:pPr>
        <w:pStyle w:val="MainText151510"/>
        <w:adjustRightInd w:val="0"/>
        <w:spacing w:line="360" w:lineRule="auto"/>
        <w:ind w:firstLineChars="0" w:firstLine="0"/>
        <w:rPr>
          <w:rFonts w:asciiTheme="majorHAnsi" w:hAnsiTheme="majorHAnsi"/>
          <w:szCs w:val="24"/>
        </w:rPr>
      </w:pPr>
      <w:r w:rsidRPr="00947BBD">
        <w:t>According to the modification and improvement above, including suitable increased absorber layer thickness of 400 nm, thinner carrier transport layer thickness of 20 nm for ETL and 150 nm for HTL, suppressed defect density of 5×10</w:t>
      </w:r>
      <w:r w:rsidRPr="00947BBD">
        <w:rPr>
          <w:vertAlign w:val="superscript"/>
        </w:rPr>
        <w:t>13</w:t>
      </w:r>
      <w:r w:rsidRPr="00947BBD">
        <w:t xml:space="preserve"> cm</w:t>
      </w:r>
      <w:r w:rsidRPr="00947BBD">
        <w:rPr>
          <w:vertAlign w:val="superscript"/>
        </w:rPr>
        <w:t>−3</w:t>
      </w:r>
      <w:r w:rsidRPr="00947BBD">
        <w:t xml:space="preserve"> for absorber and 10</w:t>
      </w:r>
      <w:r w:rsidRPr="00947BBD">
        <w:rPr>
          <w:vertAlign w:val="superscript"/>
        </w:rPr>
        <w:t>17</w:t>
      </w:r>
      <w:r w:rsidRPr="00947BBD">
        <w:t xml:space="preserve"> cm</w:t>
      </w:r>
      <w:r w:rsidRPr="00947BBD">
        <w:rPr>
          <w:vertAlign w:val="superscript"/>
        </w:rPr>
        <w:t>−3</w:t>
      </w:r>
      <w:r w:rsidRPr="00947BBD">
        <w:t xml:space="preserve"> for interfaces, well-controlled dopin</w:t>
      </w:r>
      <w:bookmarkStart w:id="7" w:name="_Hlk130564731"/>
      <w:r w:rsidRPr="00947BBD">
        <w:t>g concentr</w:t>
      </w:r>
      <w:bookmarkEnd w:id="7"/>
      <w:r w:rsidRPr="00947BBD">
        <w:t>ation of 10</w:t>
      </w:r>
      <w:r w:rsidRPr="00947BBD">
        <w:rPr>
          <w:vertAlign w:val="superscript"/>
        </w:rPr>
        <w:t>15</w:t>
      </w:r>
      <w:r w:rsidRPr="00947BBD">
        <w:t xml:space="preserve"> cm</w:t>
      </w:r>
      <w:r w:rsidRPr="00947BBD">
        <w:rPr>
          <w:vertAlign w:val="superscript"/>
        </w:rPr>
        <w:t>−3</w:t>
      </w:r>
      <w:r w:rsidRPr="00947BBD">
        <w:t>, R</w:t>
      </w:r>
      <w:r w:rsidRPr="00947BBD">
        <w:rPr>
          <w:vertAlign w:val="subscript"/>
        </w:rPr>
        <w:t>s</w:t>
      </w:r>
      <w:r w:rsidRPr="00947BBD">
        <w:t xml:space="preserve"> within 1Ω </w:t>
      </w:r>
      <w:r w:rsidRPr="00947BBD">
        <w:rPr>
          <w:rFonts w:hint="eastAsia"/>
        </w:rPr>
        <w:t>a</w:t>
      </w:r>
      <w:r w:rsidRPr="00947BBD">
        <w:t xml:space="preserve">nd </w:t>
      </w:r>
      <w:proofErr w:type="spellStart"/>
      <w:r w:rsidRPr="00947BBD">
        <w:t>R</w:t>
      </w:r>
      <w:r w:rsidRPr="00947BBD">
        <w:rPr>
          <w:vertAlign w:val="subscript"/>
        </w:rPr>
        <w:t>shunt</w:t>
      </w:r>
      <w:proofErr w:type="spellEnd"/>
      <w:r w:rsidRPr="00947BBD">
        <w:t xml:space="preserve"> over 3000Ω, we reconstruct the device structure and obtain improved device performance. Importantly, the thicker absorber thickness provides sufficient optical absorption, leading to higher </w:t>
      </w:r>
      <w:proofErr w:type="spellStart"/>
      <w:r w:rsidRPr="00947BBD">
        <w:t>J</w:t>
      </w:r>
      <w:r w:rsidRPr="00947BBD">
        <w:rPr>
          <w:vertAlign w:val="subscript"/>
        </w:rPr>
        <w:t>sc</w:t>
      </w:r>
      <w:proofErr w:type="spellEnd"/>
      <w:r w:rsidRPr="00947BBD">
        <w:t xml:space="preserve">. Meanwhile, the suppressed bulk and interface recombination by suppressed defect density are the key point to achieve high </w:t>
      </w:r>
      <w:proofErr w:type="spellStart"/>
      <w:r w:rsidRPr="00947BBD">
        <w:t>V</w:t>
      </w:r>
      <w:r w:rsidRPr="00947BBD">
        <w:rPr>
          <w:vertAlign w:val="subscript"/>
        </w:rPr>
        <w:t>oc</w:t>
      </w:r>
      <w:proofErr w:type="spellEnd"/>
      <w:r w:rsidRPr="00947BBD">
        <w:rPr>
          <w:vertAlign w:val="subscript"/>
        </w:rPr>
        <w:t xml:space="preserve"> </w:t>
      </w:r>
      <w:r w:rsidRPr="00947BBD">
        <w:t xml:space="preserve">and PCE. As a result, </w:t>
      </w:r>
      <w:r w:rsidR="004731DA">
        <w:t xml:space="preserve">Figure 10 shows </w:t>
      </w:r>
      <w:r w:rsidRPr="00947BBD">
        <w:t xml:space="preserve">the optimized device achieves the improved J-V characteristics with </w:t>
      </w:r>
      <w:proofErr w:type="spellStart"/>
      <w:r w:rsidRPr="00947BBD">
        <w:t>V</w:t>
      </w:r>
      <w:r w:rsidRPr="00947BBD">
        <w:rPr>
          <w:vertAlign w:val="subscript"/>
        </w:rPr>
        <w:t>oc</w:t>
      </w:r>
      <w:proofErr w:type="spellEnd"/>
      <w:r w:rsidRPr="00947BBD">
        <w:t xml:space="preserve"> of 1.087 V, </w:t>
      </w:r>
      <w:proofErr w:type="spellStart"/>
      <w:r w:rsidRPr="00947BBD">
        <w:t>J</w:t>
      </w:r>
      <w:r w:rsidRPr="00947BBD">
        <w:rPr>
          <w:vertAlign w:val="subscript"/>
        </w:rPr>
        <w:t>sc</w:t>
      </w:r>
      <w:proofErr w:type="spellEnd"/>
      <w:r w:rsidRPr="00947BBD">
        <w:t xml:space="preserve"> of 22.56 mA/cm</w:t>
      </w:r>
      <w:r w:rsidRPr="00947BBD">
        <w:rPr>
          <w:vertAlign w:val="superscript"/>
        </w:rPr>
        <w:t>2</w:t>
      </w:r>
      <w:r w:rsidRPr="00947BBD">
        <w:t xml:space="preserve">, FF of 78.5% and an encouraging PCE </w:t>
      </w:r>
      <w:r w:rsidR="007048A1" w:rsidRPr="00947BBD">
        <w:t>of</w:t>
      </w:r>
      <w:r w:rsidRPr="00947BBD">
        <w:t xml:space="preserve"> 20.09%, comparing with control device with </w:t>
      </w:r>
      <w:proofErr w:type="spellStart"/>
      <w:r w:rsidRPr="00947BBD">
        <w:t>V</w:t>
      </w:r>
      <w:r w:rsidRPr="00947BBD">
        <w:rPr>
          <w:vertAlign w:val="subscript"/>
        </w:rPr>
        <w:t>oc</w:t>
      </w:r>
      <w:proofErr w:type="spellEnd"/>
      <w:r w:rsidRPr="00947BBD">
        <w:t xml:space="preserve"> of 1.022 V, </w:t>
      </w:r>
      <w:proofErr w:type="spellStart"/>
      <w:r w:rsidRPr="00947BBD">
        <w:t>J</w:t>
      </w:r>
      <w:r w:rsidRPr="00947BBD">
        <w:rPr>
          <w:vertAlign w:val="subscript"/>
        </w:rPr>
        <w:t>sc</w:t>
      </w:r>
      <w:proofErr w:type="spellEnd"/>
      <w:r w:rsidRPr="00947BBD">
        <w:t xml:space="preserve"> of 19.45 mA/cm</w:t>
      </w:r>
      <w:r w:rsidRPr="00947BBD">
        <w:rPr>
          <w:vertAlign w:val="superscript"/>
        </w:rPr>
        <w:t>2</w:t>
      </w:r>
      <w:r w:rsidRPr="00947BBD">
        <w:t>, FF of 75.52% and PCE of 15.68%.</w:t>
      </w:r>
    </w:p>
    <w:p w14:paraId="67F09973" w14:textId="77777777" w:rsidR="00176B2F" w:rsidRPr="00D71647" w:rsidRDefault="00176B2F" w:rsidP="00E522AC">
      <w:pPr>
        <w:pStyle w:val="MainText151510"/>
        <w:adjustRightInd w:val="0"/>
        <w:spacing w:line="360" w:lineRule="auto"/>
        <w:ind w:firstLineChars="0" w:firstLine="0"/>
        <w:rPr>
          <w:rFonts w:eastAsiaTheme="minorEastAsia" w:cs="Times New Roman"/>
          <w:b/>
          <w:sz w:val="28"/>
          <w:szCs w:val="28"/>
        </w:rPr>
      </w:pPr>
    </w:p>
    <w:p w14:paraId="143BCDE9" w14:textId="7A315EFD" w:rsidR="00176B2F" w:rsidRPr="00341F2C" w:rsidRDefault="001F481D" w:rsidP="00E522AC">
      <w:pPr>
        <w:pStyle w:val="MainText151510"/>
        <w:adjustRightInd w:val="0"/>
        <w:spacing w:line="360" w:lineRule="auto"/>
        <w:ind w:firstLineChars="0" w:firstLine="0"/>
        <w:rPr>
          <w:rFonts w:asciiTheme="majorHAnsi" w:hAnsiTheme="majorHAnsi"/>
          <w:b/>
          <w:sz w:val="28"/>
          <w:szCs w:val="28"/>
        </w:rPr>
      </w:pPr>
      <w:r>
        <w:rPr>
          <w:rFonts w:asciiTheme="majorHAnsi" w:hAnsiTheme="majorHAnsi"/>
          <w:b/>
          <w:sz w:val="28"/>
          <w:szCs w:val="28"/>
        </w:rPr>
        <w:t>5</w:t>
      </w:r>
      <w:r w:rsidR="00176B2F" w:rsidRPr="00341F2C">
        <w:rPr>
          <w:rFonts w:asciiTheme="majorHAnsi" w:hAnsiTheme="majorHAnsi"/>
          <w:b/>
          <w:sz w:val="28"/>
          <w:szCs w:val="28"/>
        </w:rPr>
        <w:t>. Conclusions</w:t>
      </w:r>
    </w:p>
    <w:p w14:paraId="70CA0A8A" w14:textId="050FD03A" w:rsidR="00D356A2" w:rsidRPr="00D356A2" w:rsidRDefault="00D356A2" w:rsidP="00D356A2">
      <w:pPr>
        <w:pStyle w:val="MainText151510"/>
        <w:adjustRightInd w:val="0"/>
        <w:spacing w:line="360" w:lineRule="auto"/>
        <w:ind w:firstLineChars="0" w:firstLine="0"/>
      </w:pPr>
      <w:r w:rsidRPr="00D356A2">
        <w:t>In conclusion, our work has presented a dramatic improvement for device optimization on n-</w:t>
      </w:r>
      <w:proofErr w:type="spellStart"/>
      <w:r w:rsidRPr="00D356A2">
        <w:t>i</w:t>
      </w:r>
      <w:proofErr w:type="spellEnd"/>
      <w:r w:rsidRPr="00D356A2">
        <w:t xml:space="preserve">-p structure PSCs via SCAPS-1D. Compared with our experimental result, the initial simulation for the control device is well-matched and exhibits distinct </w:t>
      </w:r>
      <w:proofErr w:type="spellStart"/>
      <w:r w:rsidRPr="00D356A2">
        <w:t>V</w:t>
      </w:r>
      <w:r w:rsidRPr="00D356A2">
        <w:rPr>
          <w:vertAlign w:val="subscript"/>
        </w:rPr>
        <w:t>oc</w:t>
      </w:r>
      <w:proofErr w:type="spellEnd"/>
      <w:r w:rsidRPr="00D356A2">
        <w:t xml:space="preserve"> loss and </w:t>
      </w:r>
      <w:proofErr w:type="spellStart"/>
      <w:r w:rsidRPr="00D356A2">
        <w:t>J</w:t>
      </w:r>
      <w:r w:rsidRPr="00D356A2">
        <w:rPr>
          <w:vertAlign w:val="subscript"/>
        </w:rPr>
        <w:t>sc</w:t>
      </w:r>
      <w:proofErr w:type="spellEnd"/>
      <w:r w:rsidRPr="00D356A2">
        <w:t xml:space="preserve"> deficiency. It was found these poor performances could be attributed to the improper device structure and severe defects in bulk and interfaces. </w:t>
      </w:r>
      <w:bookmarkStart w:id="8" w:name="_Hlk130250076"/>
      <w:r w:rsidRPr="00D356A2">
        <w:t>With the modification</w:t>
      </w:r>
      <w:r w:rsidR="00D71647">
        <w:t xml:space="preserve"> and improvement</w:t>
      </w:r>
      <w:r w:rsidRPr="00D356A2">
        <w:t xml:space="preserve"> of various basic properties</w:t>
      </w:r>
      <w:r w:rsidR="00D71647">
        <w:t xml:space="preserve">, the best simulation result is achieved with </w:t>
      </w:r>
      <w:r w:rsidR="007048A1">
        <w:t>superb</w:t>
      </w:r>
      <w:r w:rsidR="007048A1" w:rsidRPr="007048A1">
        <w:t xml:space="preserve"> </w:t>
      </w:r>
      <w:proofErr w:type="spellStart"/>
      <w:r w:rsidR="007048A1" w:rsidRPr="00D356A2">
        <w:t>V</w:t>
      </w:r>
      <w:r w:rsidR="007048A1" w:rsidRPr="00D356A2">
        <w:rPr>
          <w:vertAlign w:val="subscript"/>
        </w:rPr>
        <w:t>oc</w:t>
      </w:r>
      <w:proofErr w:type="spellEnd"/>
      <w:r w:rsidR="007048A1">
        <w:t xml:space="preserve">, </w:t>
      </w:r>
      <w:proofErr w:type="spellStart"/>
      <w:r w:rsidR="007048A1" w:rsidRPr="00D356A2">
        <w:t>J</w:t>
      </w:r>
      <w:r w:rsidR="007048A1" w:rsidRPr="00D356A2">
        <w:rPr>
          <w:vertAlign w:val="subscript"/>
        </w:rPr>
        <w:t>sc</w:t>
      </w:r>
      <w:proofErr w:type="spellEnd"/>
      <w:r w:rsidR="007048A1">
        <w:t xml:space="preserve"> and FF, leading to encouraging PCE over 20% for pure-MAPbI</w:t>
      </w:r>
      <w:r w:rsidR="007048A1" w:rsidRPr="007048A1">
        <w:rPr>
          <w:vertAlign w:val="subscript"/>
        </w:rPr>
        <w:t>3</w:t>
      </w:r>
      <w:r w:rsidR="007048A1">
        <w:t xml:space="preserve"> PSCs. </w:t>
      </w:r>
      <w:bookmarkEnd w:id="8"/>
      <w:r w:rsidRPr="00D356A2">
        <w:t xml:space="preserve">These </w:t>
      </w:r>
      <w:r w:rsidR="007048A1">
        <w:t>optimizations</w:t>
      </w:r>
      <w:r w:rsidRPr="00D356A2">
        <w:t xml:space="preserve"> unveil the critical role for defect suppression and provide a simple method to improve device performance on n-</w:t>
      </w:r>
      <w:proofErr w:type="spellStart"/>
      <w:r w:rsidRPr="00D356A2">
        <w:t>i</w:t>
      </w:r>
      <w:proofErr w:type="spellEnd"/>
      <w:r w:rsidRPr="00D356A2">
        <w:t>-p MAPbI</w:t>
      </w:r>
      <w:r w:rsidRPr="00D356A2">
        <w:rPr>
          <w:vertAlign w:val="subscript"/>
        </w:rPr>
        <w:t>3</w:t>
      </w:r>
      <w:r w:rsidRPr="00D356A2">
        <w:t xml:space="preserve"> PSCs. </w:t>
      </w:r>
      <w:r w:rsidR="00512FCB">
        <w:t>For purpose of</w:t>
      </w:r>
      <w:r w:rsidRPr="00D356A2">
        <w:t xml:space="preserve"> realiz</w:t>
      </w:r>
      <w:r w:rsidR="00512FCB">
        <w:t>ing</w:t>
      </w:r>
      <w:r w:rsidRPr="00D356A2">
        <w:t xml:space="preserve"> the S-Q limit of over 30%, further effort and design are required in optically corrected radiative loss and high-quality film which will avoid ohmic loss and defect-induced </w:t>
      </w:r>
      <w:r w:rsidR="00EA712C" w:rsidRPr="00D356A2">
        <w:t>recombination</w:t>
      </w:r>
      <w:r w:rsidRPr="00D356A2">
        <w:t>.</w:t>
      </w:r>
    </w:p>
    <w:p w14:paraId="0B12FB6F" w14:textId="77777777" w:rsidR="00176B2F" w:rsidRDefault="00176B2F" w:rsidP="00E522AC">
      <w:pPr>
        <w:pStyle w:val="MainText151510"/>
        <w:adjustRightInd w:val="0"/>
        <w:spacing w:line="360" w:lineRule="auto"/>
        <w:ind w:firstLineChars="0" w:firstLine="0"/>
        <w:rPr>
          <w:rFonts w:eastAsiaTheme="minorEastAsia" w:cs="Times New Roman"/>
          <w:szCs w:val="24"/>
        </w:rPr>
      </w:pPr>
    </w:p>
    <w:p w14:paraId="72449030" w14:textId="77777777" w:rsidR="001B380A" w:rsidRPr="00341F2C" w:rsidRDefault="001B380A" w:rsidP="00E522AC">
      <w:pPr>
        <w:pStyle w:val="MainText151510"/>
        <w:adjustRightInd w:val="0"/>
        <w:spacing w:line="360" w:lineRule="auto"/>
        <w:ind w:firstLineChars="0" w:firstLine="0"/>
        <w:rPr>
          <w:rFonts w:asciiTheme="majorHAnsi" w:eastAsiaTheme="minorEastAsia" w:hAnsiTheme="majorHAnsi" w:cs="Times New Roman"/>
          <w:szCs w:val="24"/>
        </w:rPr>
      </w:pPr>
      <w:r w:rsidRPr="00341F2C">
        <w:rPr>
          <w:rFonts w:asciiTheme="majorHAnsi" w:hAnsiTheme="majorHAnsi"/>
          <w:b/>
          <w:sz w:val="28"/>
          <w:szCs w:val="28"/>
        </w:rPr>
        <w:t>Acknowledgments</w:t>
      </w:r>
    </w:p>
    <w:p w14:paraId="2A1F0ACA" w14:textId="77777777" w:rsidR="00D356A2" w:rsidRPr="00D356A2" w:rsidRDefault="00D356A2" w:rsidP="00D356A2">
      <w:pPr>
        <w:pStyle w:val="MainText151510"/>
        <w:adjustRightInd w:val="0"/>
        <w:spacing w:line="360" w:lineRule="auto"/>
        <w:ind w:firstLineChars="0" w:firstLine="0"/>
      </w:pPr>
      <w:r w:rsidRPr="00D356A2">
        <w:rPr>
          <w:rFonts w:hint="eastAsia"/>
        </w:rPr>
        <w:t>T</w:t>
      </w:r>
      <w:r w:rsidRPr="00D356A2">
        <w:t>his work is financially supported by National Nature Science Foundation of China No.62274065.</w:t>
      </w:r>
    </w:p>
    <w:p w14:paraId="4BF7CCF9" w14:textId="77777777" w:rsidR="00341F2C" w:rsidRDefault="00341F2C">
      <w:pPr>
        <w:widowControl/>
        <w:jc w:val="left"/>
      </w:pPr>
      <w:r>
        <w:br w:type="page"/>
      </w:r>
    </w:p>
    <w:p w14:paraId="7C7F567A" w14:textId="77777777" w:rsidR="00734612" w:rsidRPr="00341F2C" w:rsidRDefault="00734612" w:rsidP="00E522AC">
      <w:pPr>
        <w:spacing w:line="360" w:lineRule="auto"/>
        <w:rPr>
          <w:rFonts w:asciiTheme="majorHAnsi" w:hAnsiTheme="majorHAnsi"/>
          <w:b/>
          <w:sz w:val="28"/>
          <w:szCs w:val="28"/>
        </w:rPr>
      </w:pPr>
      <w:r w:rsidRPr="00341F2C">
        <w:rPr>
          <w:rFonts w:asciiTheme="majorHAnsi" w:hAnsiTheme="majorHAnsi"/>
          <w:b/>
          <w:sz w:val="28"/>
          <w:szCs w:val="28"/>
        </w:rPr>
        <w:lastRenderedPageBreak/>
        <w:t>References</w:t>
      </w:r>
    </w:p>
    <w:p w14:paraId="15C5CFF8" w14:textId="77777777" w:rsidR="00734612" w:rsidRPr="00D5442E" w:rsidRDefault="00734612" w:rsidP="00D5442E">
      <w:pPr>
        <w:pStyle w:val="References"/>
        <w:numPr>
          <w:ilvl w:val="0"/>
          <w:numId w:val="0"/>
        </w:numPr>
        <w:spacing w:line="360" w:lineRule="auto"/>
        <w:jc w:val="left"/>
        <w:rPr>
          <w:rFonts w:eastAsiaTheme="minorEastAsia"/>
          <w:sz w:val="24"/>
        </w:rPr>
        <w:sectPr w:rsidR="00734612" w:rsidRPr="00D5442E" w:rsidSect="00C66CDB">
          <w:headerReference w:type="default" r:id="rId8"/>
          <w:footerReference w:type="even" r:id="rId9"/>
          <w:footerReference w:type="default" r:id="rId10"/>
          <w:type w:val="continuous"/>
          <w:pgSz w:w="11906" w:h="16838" w:code="9"/>
          <w:pgMar w:top="1304" w:right="1588" w:bottom="1304" w:left="1531" w:header="284" w:footer="907" w:gutter="0"/>
          <w:cols w:space="720"/>
          <w:docGrid w:linePitch="360"/>
        </w:sectPr>
      </w:pPr>
    </w:p>
    <w:p w14:paraId="05B7BA6B" w14:textId="71EEF2EE"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1)</w:t>
      </w:r>
      <w:r w:rsidR="00D5442E">
        <w:rPr>
          <w:rFonts w:ascii="Times New Roman" w:hAnsi="Times New Roman"/>
          <w:noProof/>
          <w:kern w:val="0"/>
          <w:sz w:val="24"/>
        </w:rPr>
        <w:t xml:space="preserve"> </w:t>
      </w:r>
      <w:r w:rsidRPr="00D5442E">
        <w:rPr>
          <w:rFonts w:ascii="Times New Roman" w:hAnsi="Times New Roman"/>
          <w:noProof/>
          <w:kern w:val="0"/>
          <w:sz w:val="24"/>
        </w:rPr>
        <w:t>A. Kojima, K. Teshima, Y. Shirai and T. Miyasaka, J. Am. Chem. Soc.</w:t>
      </w:r>
      <w:r w:rsidR="00A957FD">
        <w:rPr>
          <w:rFonts w:ascii="Times New Roman" w:hAnsi="Times New Roman"/>
          <w:noProof/>
          <w:kern w:val="0"/>
          <w:sz w:val="24"/>
        </w:rPr>
        <w:t xml:space="preserve"> 131, 17, 6050 (2009).</w:t>
      </w:r>
    </w:p>
    <w:p w14:paraId="74774341" w14:textId="7E08345A"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2)</w:t>
      </w:r>
      <w:r w:rsidR="00D5442E">
        <w:rPr>
          <w:rFonts w:ascii="Times New Roman" w:hAnsi="Times New Roman"/>
          <w:noProof/>
          <w:kern w:val="0"/>
          <w:sz w:val="24"/>
        </w:rPr>
        <w:t xml:space="preserve"> </w:t>
      </w:r>
      <w:r w:rsidRPr="00D5442E">
        <w:rPr>
          <w:rFonts w:ascii="Times New Roman" w:hAnsi="Times New Roman"/>
          <w:noProof/>
          <w:kern w:val="0"/>
          <w:sz w:val="24"/>
        </w:rPr>
        <w:t xml:space="preserve">W. Zhang, G. E. Eperon and H. J. Snaith, </w:t>
      </w:r>
      <w:r w:rsidRPr="00A957FD">
        <w:rPr>
          <w:rFonts w:ascii="Times New Roman" w:hAnsi="Times New Roman"/>
          <w:noProof/>
          <w:kern w:val="0"/>
          <w:sz w:val="24"/>
        </w:rPr>
        <w:t>Nat. Energy</w:t>
      </w:r>
      <w:r w:rsidRPr="00D5442E">
        <w:rPr>
          <w:rFonts w:ascii="Times New Roman" w:hAnsi="Times New Roman"/>
          <w:noProof/>
          <w:kern w:val="0"/>
          <w:sz w:val="24"/>
        </w:rPr>
        <w:t>, 2016.</w:t>
      </w:r>
    </w:p>
    <w:p w14:paraId="1E5C1126" w14:textId="2F6D3BED"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3)</w:t>
      </w:r>
      <w:r w:rsidR="00D5442E">
        <w:rPr>
          <w:rFonts w:ascii="Times New Roman" w:hAnsi="Times New Roman"/>
          <w:noProof/>
          <w:kern w:val="0"/>
          <w:sz w:val="24"/>
        </w:rPr>
        <w:t xml:space="preserve"> </w:t>
      </w:r>
      <w:r w:rsidRPr="00D5442E">
        <w:rPr>
          <w:rFonts w:ascii="Times New Roman" w:hAnsi="Times New Roman"/>
          <w:noProof/>
          <w:kern w:val="0"/>
          <w:sz w:val="24"/>
        </w:rPr>
        <w:t xml:space="preserve">H.-S. Kim, C.-R. Lee, J.-H. Im, K.-B. Lee, T. Moehl, A. Marchioro, S.-J. Moon, R. Humphry-Baker, J.-H. Yum, J. E. Moser, M. Grätzel and N.-G. Park, Sci. Rep. </w:t>
      </w:r>
      <w:r w:rsidRPr="00D5442E">
        <w:rPr>
          <w:rFonts w:ascii="Times New Roman" w:hAnsi="Times New Roman"/>
          <w:b/>
          <w:bCs/>
          <w:noProof/>
          <w:kern w:val="0"/>
          <w:sz w:val="24"/>
        </w:rPr>
        <w:t>2</w:t>
      </w:r>
      <w:r w:rsidRPr="00D5442E">
        <w:rPr>
          <w:rFonts w:ascii="Times New Roman" w:hAnsi="Times New Roman"/>
          <w:noProof/>
          <w:kern w:val="0"/>
          <w:sz w:val="24"/>
        </w:rPr>
        <w:t xml:space="preserve"> [1], 591 (2012).</w:t>
      </w:r>
    </w:p>
    <w:p w14:paraId="4D0A8E15" w14:textId="4D545C2B"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4)</w:t>
      </w:r>
      <w:r w:rsidR="00D5442E">
        <w:rPr>
          <w:rFonts w:ascii="Times New Roman" w:hAnsi="Times New Roman"/>
          <w:noProof/>
          <w:kern w:val="0"/>
          <w:sz w:val="24"/>
        </w:rPr>
        <w:t xml:space="preserve"> </w:t>
      </w:r>
      <w:r w:rsidRPr="00D5442E">
        <w:rPr>
          <w:rFonts w:ascii="Times New Roman" w:hAnsi="Times New Roman"/>
          <w:noProof/>
          <w:kern w:val="0"/>
          <w:sz w:val="24"/>
        </w:rPr>
        <w:t xml:space="preserve">M. M. Lee, J. Teuscher, T. Miyasaka, T. N. Murakami and H. J. Snaith, Science (80-. ). </w:t>
      </w:r>
      <w:r w:rsidRPr="00D5442E">
        <w:rPr>
          <w:rFonts w:ascii="Times New Roman" w:hAnsi="Times New Roman"/>
          <w:b/>
          <w:bCs/>
          <w:noProof/>
          <w:kern w:val="0"/>
          <w:sz w:val="24"/>
        </w:rPr>
        <w:t>338</w:t>
      </w:r>
      <w:r w:rsidRPr="00D5442E">
        <w:rPr>
          <w:rFonts w:ascii="Times New Roman" w:hAnsi="Times New Roman"/>
          <w:noProof/>
          <w:kern w:val="0"/>
          <w:sz w:val="24"/>
        </w:rPr>
        <w:t xml:space="preserve"> [6107], 643 (2012).</w:t>
      </w:r>
    </w:p>
    <w:p w14:paraId="28F9AD12" w14:textId="559548DE"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5)</w:t>
      </w:r>
      <w:r w:rsidR="00D5442E">
        <w:rPr>
          <w:rFonts w:ascii="Times New Roman" w:hAnsi="Times New Roman"/>
          <w:noProof/>
          <w:kern w:val="0"/>
          <w:sz w:val="24"/>
        </w:rPr>
        <w:t xml:space="preserve"> </w:t>
      </w:r>
      <w:r w:rsidRPr="00D5442E">
        <w:rPr>
          <w:rFonts w:ascii="Times New Roman" w:hAnsi="Times New Roman"/>
          <w:noProof/>
          <w:kern w:val="0"/>
          <w:sz w:val="24"/>
        </w:rPr>
        <w:t xml:space="preserve">Y. Chen, X. Zuo, Y. He, F. Qian, S. Zuo, Y. Zhang, L. Liang, Z. Chen, K. Zhao and Z. Liu, Adv. Sci. </w:t>
      </w:r>
      <w:r w:rsidRPr="00D5442E">
        <w:rPr>
          <w:rFonts w:ascii="Times New Roman" w:hAnsi="Times New Roman"/>
          <w:b/>
          <w:bCs/>
          <w:noProof/>
          <w:kern w:val="0"/>
          <w:sz w:val="24"/>
        </w:rPr>
        <w:t>8</w:t>
      </w:r>
      <w:r w:rsidRPr="00D5442E">
        <w:rPr>
          <w:rFonts w:ascii="Times New Roman" w:hAnsi="Times New Roman"/>
          <w:noProof/>
          <w:kern w:val="0"/>
          <w:sz w:val="24"/>
        </w:rPr>
        <w:t xml:space="preserve"> [5], 2001466 (2021).</w:t>
      </w:r>
    </w:p>
    <w:p w14:paraId="0D716588" w14:textId="7638BDFB"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6)</w:t>
      </w:r>
      <w:r w:rsidR="00D5442E">
        <w:rPr>
          <w:rFonts w:ascii="Times New Roman" w:hAnsi="Times New Roman"/>
          <w:noProof/>
          <w:kern w:val="0"/>
          <w:sz w:val="24"/>
        </w:rPr>
        <w:t xml:space="preserve"> </w:t>
      </w:r>
      <w:r w:rsidRPr="00D5442E">
        <w:rPr>
          <w:rFonts w:ascii="Times New Roman" w:hAnsi="Times New Roman"/>
          <w:noProof/>
          <w:kern w:val="0"/>
          <w:sz w:val="24"/>
        </w:rPr>
        <w:t xml:space="preserve">Y. Lin, L. Shen, J. Dai, Y. Deng, Y. Wu, Y. Bai, X. Zheng, J. Wang, Y. Fang and H. Wei, Adv. Mater. </w:t>
      </w:r>
      <w:r w:rsidRPr="00D5442E">
        <w:rPr>
          <w:rFonts w:ascii="Times New Roman" w:hAnsi="Times New Roman"/>
          <w:b/>
          <w:bCs/>
          <w:noProof/>
          <w:kern w:val="0"/>
          <w:sz w:val="24"/>
        </w:rPr>
        <w:t>29</w:t>
      </w:r>
      <w:r w:rsidRPr="00D5442E">
        <w:rPr>
          <w:rFonts w:ascii="Times New Roman" w:hAnsi="Times New Roman"/>
          <w:noProof/>
          <w:kern w:val="0"/>
          <w:sz w:val="24"/>
        </w:rPr>
        <w:t xml:space="preserve"> [7], 1604545 (2017).</w:t>
      </w:r>
    </w:p>
    <w:p w14:paraId="5250CBA7" w14:textId="37D6C1D1"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7)</w:t>
      </w:r>
      <w:r w:rsidR="00D5442E">
        <w:rPr>
          <w:rFonts w:ascii="Times New Roman" w:hAnsi="Times New Roman"/>
          <w:noProof/>
          <w:kern w:val="0"/>
          <w:sz w:val="24"/>
        </w:rPr>
        <w:t xml:space="preserve"> </w:t>
      </w:r>
      <w:r w:rsidRPr="00D5442E">
        <w:rPr>
          <w:rFonts w:ascii="Times New Roman" w:hAnsi="Times New Roman"/>
          <w:noProof/>
          <w:kern w:val="0"/>
          <w:sz w:val="24"/>
        </w:rPr>
        <w:t xml:space="preserve">Y. Zhang, X. Zhuang, K. Zhou, C. Cai, Z. Hu, J. Zhang and Y. Zhu, J. Mater. Chem. C </w:t>
      </w:r>
      <w:r w:rsidRPr="00D5442E">
        <w:rPr>
          <w:rFonts w:ascii="Times New Roman" w:hAnsi="Times New Roman"/>
          <w:b/>
          <w:bCs/>
          <w:noProof/>
          <w:kern w:val="0"/>
          <w:sz w:val="24"/>
        </w:rPr>
        <w:t>5</w:t>
      </w:r>
      <w:r w:rsidRPr="00D5442E">
        <w:rPr>
          <w:rFonts w:ascii="Times New Roman" w:hAnsi="Times New Roman"/>
          <w:noProof/>
          <w:kern w:val="0"/>
          <w:sz w:val="24"/>
        </w:rPr>
        <w:t xml:space="preserve"> [35], 9037 (2017).</w:t>
      </w:r>
    </w:p>
    <w:p w14:paraId="00A196D2" w14:textId="67EC8454"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8)</w:t>
      </w:r>
      <w:r w:rsidR="00D5442E">
        <w:rPr>
          <w:rFonts w:ascii="Times New Roman" w:hAnsi="Times New Roman"/>
          <w:noProof/>
          <w:kern w:val="0"/>
          <w:sz w:val="24"/>
        </w:rPr>
        <w:t xml:space="preserve"> </w:t>
      </w:r>
      <w:r w:rsidRPr="00D5442E">
        <w:rPr>
          <w:rFonts w:ascii="Times New Roman" w:hAnsi="Times New Roman"/>
          <w:noProof/>
          <w:kern w:val="0"/>
          <w:sz w:val="24"/>
        </w:rPr>
        <w:t xml:space="preserve">A. Kaewprajak, P. Kumnorkaew, K. Lohawet, B. Duong, T. Chonsut, N. Kayunkid, N. Saranrom and V. Promarak, Surfaces and Interfaces </w:t>
      </w:r>
      <w:r w:rsidRPr="00D5442E">
        <w:rPr>
          <w:rFonts w:ascii="Times New Roman" w:hAnsi="Times New Roman"/>
          <w:b/>
          <w:bCs/>
          <w:noProof/>
          <w:kern w:val="0"/>
          <w:sz w:val="24"/>
        </w:rPr>
        <w:t>23</w:t>
      </w:r>
      <w:r w:rsidRPr="00D5442E">
        <w:rPr>
          <w:rFonts w:ascii="Times New Roman" w:hAnsi="Times New Roman"/>
          <w:noProof/>
          <w:kern w:val="0"/>
          <w:sz w:val="24"/>
        </w:rPr>
        <w:t>, 100969 (2021).</w:t>
      </w:r>
    </w:p>
    <w:p w14:paraId="52239EE6" w14:textId="6C98834C"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9)</w:t>
      </w:r>
      <w:r w:rsidR="00D5442E">
        <w:rPr>
          <w:rFonts w:ascii="Times New Roman" w:hAnsi="Times New Roman"/>
          <w:noProof/>
          <w:kern w:val="0"/>
          <w:sz w:val="24"/>
        </w:rPr>
        <w:t xml:space="preserve"> </w:t>
      </w:r>
      <w:r w:rsidRPr="00D5442E">
        <w:rPr>
          <w:rFonts w:ascii="Times New Roman" w:hAnsi="Times New Roman"/>
          <w:noProof/>
          <w:kern w:val="0"/>
          <w:sz w:val="24"/>
        </w:rPr>
        <w:t xml:space="preserve">Y. Zou, H. Wang, Y. Qin, C. Mu, Q. Li, D. Xu and J. Zhang, Adv. Funct. Mater. </w:t>
      </w:r>
      <w:r w:rsidRPr="00D5442E">
        <w:rPr>
          <w:rFonts w:ascii="Times New Roman" w:hAnsi="Times New Roman"/>
          <w:b/>
          <w:bCs/>
          <w:noProof/>
          <w:kern w:val="0"/>
          <w:sz w:val="24"/>
        </w:rPr>
        <w:t>29</w:t>
      </w:r>
      <w:r w:rsidRPr="00D5442E">
        <w:rPr>
          <w:rFonts w:ascii="Times New Roman" w:hAnsi="Times New Roman"/>
          <w:noProof/>
          <w:kern w:val="0"/>
          <w:sz w:val="24"/>
        </w:rPr>
        <w:t xml:space="preserve"> [7], 1805810 (2019).</w:t>
      </w:r>
    </w:p>
    <w:p w14:paraId="3B93C8A1" w14:textId="282D71F8"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10)</w:t>
      </w:r>
      <w:r w:rsidR="00D5442E">
        <w:rPr>
          <w:rFonts w:ascii="Times New Roman" w:hAnsi="Times New Roman"/>
          <w:noProof/>
          <w:kern w:val="0"/>
          <w:sz w:val="24"/>
        </w:rPr>
        <w:t xml:space="preserve"> </w:t>
      </w:r>
      <w:r w:rsidRPr="00D5442E">
        <w:rPr>
          <w:rFonts w:ascii="Times New Roman" w:hAnsi="Times New Roman"/>
          <w:noProof/>
          <w:kern w:val="0"/>
          <w:sz w:val="24"/>
        </w:rPr>
        <w:t xml:space="preserve">W. Li, H. Wang, X. Hu, W. Cai, C. Zhang, M. Wang and Z. Zang, Sol. RRL </w:t>
      </w:r>
      <w:r w:rsidRPr="00D5442E">
        <w:rPr>
          <w:rFonts w:ascii="Times New Roman" w:hAnsi="Times New Roman"/>
          <w:b/>
          <w:bCs/>
          <w:noProof/>
          <w:kern w:val="0"/>
          <w:sz w:val="24"/>
        </w:rPr>
        <w:t>5</w:t>
      </w:r>
      <w:r w:rsidRPr="00D5442E">
        <w:rPr>
          <w:rFonts w:ascii="Times New Roman" w:hAnsi="Times New Roman"/>
          <w:noProof/>
          <w:kern w:val="0"/>
          <w:sz w:val="24"/>
        </w:rPr>
        <w:t xml:space="preserve"> [1], 2000573 (2021).</w:t>
      </w:r>
    </w:p>
    <w:p w14:paraId="2F849D15" w14:textId="4FAC1536"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11)</w:t>
      </w:r>
      <w:r w:rsidR="00D5442E">
        <w:rPr>
          <w:rFonts w:ascii="Times New Roman" w:hAnsi="Times New Roman"/>
          <w:noProof/>
          <w:kern w:val="0"/>
          <w:sz w:val="24"/>
        </w:rPr>
        <w:t xml:space="preserve"> </w:t>
      </w:r>
      <w:r w:rsidRPr="00D5442E">
        <w:rPr>
          <w:rFonts w:ascii="Times New Roman" w:hAnsi="Times New Roman"/>
          <w:noProof/>
          <w:kern w:val="0"/>
          <w:sz w:val="24"/>
        </w:rPr>
        <w:t xml:space="preserve">R. Lu, Y. Liu, J. Zhang, D. Zhao, X. Guo and C. Li, Chem. Eng. J. </w:t>
      </w:r>
      <w:r w:rsidRPr="00D5442E">
        <w:rPr>
          <w:rFonts w:ascii="Times New Roman" w:hAnsi="Times New Roman"/>
          <w:b/>
          <w:bCs/>
          <w:noProof/>
          <w:kern w:val="0"/>
          <w:sz w:val="24"/>
        </w:rPr>
        <w:t>433</w:t>
      </w:r>
      <w:r w:rsidRPr="00D5442E">
        <w:rPr>
          <w:rFonts w:ascii="Times New Roman" w:hAnsi="Times New Roman"/>
          <w:noProof/>
          <w:kern w:val="0"/>
          <w:sz w:val="24"/>
        </w:rPr>
        <w:t>, 133845 (2022).</w:t>
      </w:r>
    </w:p>
    <w:p w14:paraId="0D8B0B3E" w14:textId="538793E1"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12)</w:t>
      </w:r>
      <w:r w:rsidR="00D5442E">
        <w:rPr>
          <w:rFonts w:ascii="Times New Roman" w:hAnsi="Times New Roman"/>
          <w:noProof/>
          <w:kern w:val="0"/>
          <w:sz w:val="24"/>
        </w:rPr>
        <w:t xml:space="preserve"> </w:t>
      </w:r>
      <w:r w:rsidRPr="00D5442E">
        <w:rPr>
          <w:rFonts w:ascii="Times New Roman" w:hAnsi="Times New Roman"/>
          <w:noProof/>
          <w:kern w:val="0"/>
          <w:sz w:val="24"/>
        </w:rPr>
        <w:t xml:space="preserve">W. E. I. Sha, X. Ren, L. Chen and W. C. H. Choy, Appl. Phys. Lett. </w:t>
      </w:r>
      <w:r w:rsidRPr="00D5442E">
        <w:rPr>
          <w:rFonts w:ascii="Times New Roman" w:hAnsi="Times New Roman"/>
          <w:b/>
          <w:bCs/>
          <w:noProof/>
          <w:kern w:val="0"/>
          <w:sz w:val="24"/>
        </w:rPr>
        <w:t>106</w:t>
      </w:r>
      <w:r w:rsidRPr="00D5442E">
        <w:rPr>
          <w:rFonts w:ascii="Times New Roman" w:hAnsi="Times New Roman"/>
          <w:noProof/>
          <w:kern w:val="0"/>
          <w:sz w:val="24"/>
        </w:rPr>
        <w:t xml:space="preserve"> [22], 221104 (2015).</w:t>
      </w:r>
    </w:p>
    <w:p w14:paraId="2A3B107B" w14:textId="4127F96F"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13)</w:t>
      </w:r>
      <w:r w:rsidR="00D5442E">
        <w:rPr>
          <w:rFonts w:ascii="Times New Roman" w:hAnsi="Times New Roman"/>
          <w:noProof/>
          <w:kern w:val="0"/>
          <w:sz w:val="24"/>
        </w:rPr>
        <w:t xml:space="preserve"> </w:t>
      </w:r>
      <w:r w:rsidRPr="00D5442E">
        <w:rPr>
          <w:rFonts w:ascii="Times New Roman" w:hAnsi="Times New Roman"/>
          <w:noProof/>
          <w:kern w:val="0"/>
          <w:sz w:val="24"/>
        </w:rPr>
        <w:t xml:space="preserve">M. Samiee, S. Konduri, B. Ganapathy, R. Kottokkaran, H. A. Abbas, A. Kitahara, P. Joshi, L. Zhang, M. Noack and V. Dalal, Appl. Phys. Lett. </w:t>
      </w:r>
      <w:r w:rsidRPr="00D5442E">
        <w:rPr>
          <w:rFonts w:ascii="Times New Roman" w:hAnsi="Times New Roman"/>
          <w:b/>
          <w:bCs/>
          <w:noProof/>
          <w:kern w:val="0"/>
          <w:sz w:val="24"/>
        </w:rPr>
        <w:t>105</w:t>
      </w:r>
      <w:r w:rsidRPr="00D5442E">
        <w:rPr>
          <w:rFonts w:ascii="Times New Roman" w:hAnsi="Times New Roman"/>
          <w:noProof/>
          <w:kern w:val="0"/>
          <w:sz w:val="24"/>
        </w:rPr>
        <w:t xml:space="preserve"> [15], 153502 (2014).</w:t>
      </w:r>
    </w:p>
    <w:p w14:paraId="36F4190C" w14:textId="47CA6588"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14)</w:t>
      </w:r>
      <w:r w:rsidR="00D5442E">
        <w:rPr>
          <w:rFonts w:ascii="Times New Roman" w:hAnsi="Times New Roman"/>
          <w:noProof/>
          <w:kern w:val="0"/>
          <w:sz w:val="24"/>
        </w:rPr>
        <w:t xml:space="preserve"> </w:t>
      </w:r>
      <w:r w:rsidRPr="00D5442E">
        <w:rPr>
          <w:rFonts w:ascii="Times New Roman" w:hAnsi="Times New Roman"/>
          <w:noProof/>
          <w:kern w:val="0"/>
          <w:sz w:val="24"/>
        </w:rPr>
        <w:t xml:space="preserve">M. Burgelman, P. Nollet and S. Degrave, Thin Solid Films </w:t>
      </w:r>
      <w:r w:rsidRPr="00D5442E">
        <w:rPr>
          <w:rFonts w:ascii="Times New Roman" w:hAnsi="Times New Roman"/>
          <w:b/>
          <w:bCs/>
          <w:noProof/>
          <w:kern w:val="0"/>
          <w:sz w:val="24"/>
        </w:rPr>
        <w:t>361</w:t>
      </w:r>
      <w:r w:rsidRPr="00D5442E">
        <w:rPr>
          <w:rFonts w:ascii="Times New Roman" w:hAnsi="Times New Roman"/>
          <w:noProof/>
          <w:kern w:val="0"/>
          <w:sz w:val="24"/>
        </w:rPr>
        <w:t>, 527 (2000).</w:t>
      </w:r>
    </w:p>
    <w:p w14:paraId="4D71BD72" w14:textId="0C536851"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15)</w:t>
      </w:r>
      <w:r w:rsidR="00D5442E">
        <w:rPr>
          <w:rFonts w:ascii="Times New Roman" w:hAnsi="Times New Roman"/>
          <w:noProof/>
          <w:kern w:val="0"/>
          <w:sz w:val="24"/>
        </w:rPr>
        <w:t xml:space="preserve"> </w:t>
      </w:r>
      <w:r w:rsidRPr="00D5442E">
        <w:rPr>
          <w:rFonts w:ascii="Times New Roman" w:hAnsi="Times New Roman"/>
          <w:noProof/>
          <w:kern w:val="0"/>
          <w:sz w:val="24"/>
        </w:rPr>
        <w:t xml:space="preserve">T. Minemoto and M. Murata, J. Appl. Phys. </w:t>
      </w:r>
      <w:r w:rsidRPr="00D5442E">
        <w:rPr>
          <w:rFonts w:ascii="Times New Roman" w:hAnsi="Times New Roman"/>
          <w:b/>
          <w:bCs/>
          <w:noProof/>
          <w:kern w:val="0"/>
          <w:sz w:val="24"/>
        </w:rPr>
        <w:t>116</w:t>
      </w:r>
      <w:r w:rsidRPr="00D5442E">
        <w:rPr>
          <w:rFonts w:ascii="Times New Roman" w:hAnsi="Times New Roman"/>
          <w:noProof/>
          <w:kern w:val="0"/>
          <w:sz w:val="24"/>
        </w:rPr>
        <w:t xml:space="preserve"> [5], 54505 (2014).</w:t>
      </w:r>
    </w:p>
    <w:p w14:paraId="1F7DA152" w14:textId="7F2EF3B4"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16)</w:t>
      </w:r>
      <w:r w:rsidR="00D5442E">
        <w:rPr>
          <w:rFonts w:ascii="Times New Roman" w:hAnsi="Times New Roman"/>
          <w:noProof/>
          <w:kern w:val="0"/>
          <w:sz w:val="24"/>
        </w:rPr>
        <w:t xml:space="preserve"> </w:t>
      </w:r>
      <w:r w:rsidRPr="00D5442E">
        <w:rPr>
          <w:rFonts w:ascii="Times New Roman" w:hAnsi="Times New Roman"/>
          <w:noProof/>
          <w:kern w:val="0"/>
          <w:sz w:val="24"/>
        </w:rPr>
        <w:t xml:space="preserve">A. Andersson, N. Johansson, P. Bröms, N. Yu, D. Lupo and W. R. Salaneck, Adv. Mater. </w:t>
      </w:r>
      <w:r w:rsidRPr="00D5442E">
        <w:rPr>
          <w:rFonts w:ascii="Times New Roman" w:hAnsi="Times New Roman"/>
          <w:b/>
          <w:bCs/>
          <w:noProof/>
          <w:kern w:val="0"/>
          <w:sz w:val="24"/>
        </w:rPr>
        <w:t>10</w:t>
      </w:r>
      <w:r w:rsidRPr="00D5442E">
        <w:rPr>
          <w:rFonts w:ascii="Times New Roman" w:hAnsi="Times New Roman"/>
          <w:noProof/>
          <w:kern w:val="0"/>
          <w:sz w:val="24"/>
        </w:rPr>
        <w:t xml:space="preserve"> [11], 859 (1998).</w:t>
      </w:r>
    </w:p>
    <w:p w14:paraId="31A297A3" w14:textId="38FCE350"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17)</w:t>
      </w:r>
      <w:r w:rsidR="00D5442E">
        <w:rPr>
          <w:rFonts w:ascii="Times New Roman" w:hAnsi="Times New Roman"/>
          <w:noProof/>
          <w:kern w:val="0"/>
          <w:sz w:val="24"/>
        </w:rPr>
        <w:t xml:space="preserve"> </w:t>
      </w:r>
      <w:r w:rsidRPr="00D5442E">
        <w:rPr>
          <w:rFonts w:ascii="Times New Roman" w:hAnsi="Times New Roman"/>
          <w:noProof/>
          <w:kern w:val="0"/>
          <w:sz w:val="24"/>
        </w:rPr>
        <w:t xml:space="preserve">M. Burgelman, J. Verschraegen, S. Degrave and P. Nollet, Prog. Photovoltaics Res. Appl. </w:t>
      </w:r>
      <w:r w:rsidRPr="00D5442E">
        <w:rPr>
          <w:rFonts w:ascii="Times New Roman" w:hAnsi="Times New Roman"/>
          <w:b/>
          <w:bCs/>
          <w:noProof/>
          <w:kern w:val="0"/>
          <w:sz w:val="24"/>
        </w:rPr>
        <w:t>12</w:t>
      </w:r>
      <w:r w:rsidRPr="00D5442E">
        <w:rPr>
          <w:rFonts w:ascii="Times New Roman" w:hAnsi="Times New Roman"/>
          <w:noProof/>
          <w:kern w:val="0"/>
          <w:sz w:val="24"/>
        </w:rPr>
        <w:t xml:space="preserve"> [2‐3], 143 (2004).</w:t>
      </w:r>
    </w:p>
    <w:p w14:paraId="45A021AE" w14:textId="70C2983C"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18)</w:t>
      </w:r>
      <w:r w:rsidR="00D5442E">
        <w:rPr>
          <w:rFonts w:ascii="Times New Roman" w:hAnsi="Times New Roman"/>
          <w:noProof/>
          <w:kern w:val="0"/>
          <w:sz w:val="24"/>
        </w:rPr>
        <w:t xml:space="preserve"> </w:t>
      </w:r>
      <w:r w:rsidRPr="00D5442E">
        <w:rPr>
          <w:rFonts w:ascii="Times New Roman" w:hAnsi="Times New Roman"/>
          <w:noProof/>
          <w:kern w:val="0"/>
          <w:sz w:val="24"/>
        </w:rPr>
        <w:t xml:space="preserve">A. Z. Chen, B. J. Foley, J. H. Ma, M. R. Alpert, J. S. Niezgoda and J. J. Choi, J. Mater. Chem. A </w:t>
      </w:r>
      <w:r w:rsidRPr="00D5442E">
        <w:rPr>
          <w:rFonts w:ascii="Times New Roman" w:hAnsi="Times New Roman"/>
          <w:b/>
          <w:bCs/>
          <w:noProof/>
          <w:kern w:val="0"/>
          <w:sz w:val="24"/>
        </w:rPr>
        <w:t>5</w:t>
      </w:r>
      <w:r w:rsidRPr="00D5442E">
        <w:rPr>
          <w:rFonts w:ascii="Times New Roman" w:hAnsi="Times New Roman"/>
          <w:noProof/>
          <w:kern w:val="0"/>
          <w:sz w:val="24"/>
        </w:rPr>
        <w:t xml:space="preserve"> [17], 7796 (2017).</w:t>
      </w:r>
    </w:p>
    <w:p w14:paraId="2B38E568" w14:textId="50AB5094"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lastRenderedPageBreak/>
        <w:t>19)</w:t>
      </w:r>
      <w:r w:rsidR="00D5442E">
        <w:rPr>
          <w:rFonts w:ascii="Times New Roman" w:hAnsi="Times New Roman"/>
          <w:noProof/>
          <w:kern w:val="0"/>
          <w:sz w:val="24"/>
        </w:rPr>
        <w:t xml:space="preserve"> </w:t>
      </w:r>
      <w:r w:rsidRPr="00D5442E">
        <w:rPr>
          <w:rFonts w:ascii="Times New Roman" w:hAnsi="Times New Roman"/>
          <w:noProof/>
          <w:kern w:val="0"/>
          <w:sz w:val="24"/>
        </w:rPr>
        <w:t xml:space="preserve">J. H. Noh, S. H. Im, J. H. Heo, T. N. Mandal and S. Il Seok, Nano Lett. </w:t>
      </w:r>
      <w:r w:rsidRPr="00D5442E">
        <w:rPr>
          <w:rFonts w:ascii="Times New Roman" w:hAnsi="Times New Roman"/>
          <w:b/>
          <w:bCs/>
          <w:noProof/>
          <w:kern w:val="0"/>
          <w:sz w:val="24"/>
        </w:rPr>
        <w:t>13</w:t>
      </w:r>
      <w:r w:rsidRPr="00D5442E">
        <w:rPr>
          <w:rFonts w:ascii="Times New Roman" w:hAnsi="Times New Roman"/>
          <w:noProof/>
          <w:kern w:val="0"/>
          <w:sz w:val="24"/>
        </w:rPr>
        <w:t xml:space="preserve"> [4], 1764 (2013).</w:t>
      </w:r>
    </w:p>
    <w:p w14:paraId="40C58E6A" w14:textId="28FDF80E"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20)</w:t>
      </w:r>
      <w:r w:rsidR="00D5442E">
        <w:rPr>
          <w:rFonts w:ascii="Times New Roman" w:hAnsi="Times New Roman"/>
          <w:noProof/>
          <w:kern w:val="0"/>
          <w:sz w:val="24"/>
        </w:rPr>
        <w:t xml:space="preserve"> </w:t>
      </w:r>
      <w:r w:rsidRPr="00D5442E">
        <w:rPr>
          <w:rFonts w:ascii="Times New Roman" w:hAnsi="Times New Roman"/>
          <w:noProof/>
          <w:kern w:val="0"/>
          <w:sz w:val="24"/>
        </w:rPr>
        <w:t xml:space="preserve">H. J. Snaith and M. Grätzel, Adv. Mater. </w:t>
      </w:r>
      <w:r w:rsidRPr="00D5442E">
        <w:rPr>
          <w:rFonts w:ascii="Times New Roman" w:hAnsi="Times New Roman"/>
          <w:b/>
          <w:bCs/>
          <w:noProof/>
          <w:kern w:val="0"/>
          <w:sz w:val="24"/>
        </w:rPr>
        <w:t>19</w:t>
      </w:r>
      <w:r w:rsidRPr="00D5442E">
        <w:rPr>
          <w:rFonts w:ascii="Times New Roman" w:hAnsi="Times New Roman"/>
          <w:noProof/>
          <w:kern w:val="0"/>
          <w:sz w:val="24"/>
        </w:rPr>
        <w:t xml:space="preserve"> [21], 3643 (2007).</w:t>
      </w:r>
    </w:p>
    <w:p w14:paraId="75F544DB" w14:textId="5A416EDC"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21)</w:t>
      </w:r>
      <w:r w:rsidR="00D5442E">
        <w:rPr>
          <w:rFonts w:ascii="Times New Roman" w:hAnsi="Times New Roman"/>
          <w:noProof/>
          <w:kern w:val="0"/>
          <w:sz w:val="24"/>
        </w:rPr>
        <w:t xml:space="preserve"> </w:t>
      </w:r>
      <w:r w:rsidRPr="00D5442E">
        <w:rPr>
          <w:rFonts w:ascii="Times New Roman" w:hAnsi="Times New Roman"/>
          <w:noProof/>
          <w:kern w:val="0"/>
          <w:sz w:val="24"/>
        </w:rPr>
        <w:t xml:space="preserve">D. Poplavskyy and J. Nelson, J. Appl. Phys. </w:t>
      </w:r>
      <w:r w:rsidRPr="00D5442E">
        <w:rPr>
          <w:rFonts w:ascii="Times New Roman" w:hAnsi="Times New Roman"/>
          <w:b/>
          <w:bCs/>
          <w:noProof/>
          <w:kern w:val="0"/>
          <w:sz w:val="24"/>
        </w:rPr>
        <w:t>93</w:t>
      </w:r>
      <w:r w:rsidRPr="00D5442E">
        <w:rPr>
          <w:rFonts w:ascii="Times New Roman" w:hAnsi="Times New Roman"/>
          <w:noProof/>
          <w:kern w:val="0"/>
          <w:sz w:val="24"/>
        </w:rPr>
        <w:t xml:space="preserve"> [1], 341 (2003).</w:t>
      </w:r>
    </w:p>
    <w:p w14:paraId="5D5F8948" w14:textId="09BA23DB"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22)</w:t>
      </w:r>
      <w:r w:rsidR="00D5442E">
        <w:rPr>
          <w:rFonts w:ascii="Times New Roman" w:hAnsi="Times New Roman"/>
          <w:noProof/>
          <w:kern w:val="0"/>
          <w:sz w:val="24"/>
        </w:rPr>
        <w:t xml:space="preserve"> </w:t>
      </w:r>
      <w:r w:rsidRPr="00D5442E">
        <w:rPr>
          <w:rFonts w:ascii="Times New Roman" w:hAnsi="Times New Roman"/>
          <w:noProof/>
          <w:kern w:val="0"/>
          <w:sz w:val="24"/>
        </w:rPr>
        <w:t xml:space="preserve">D. Liu and T. L. Kelly, Nat. Photonics </w:t>
      </w:r>
      <w:r w:rsidRPr="00D5442E">
        <w:rPr>
          <w:rFonts w:ascii="Times New Roman" w:hAnsi="Times New Roman"/>
          <w:b/>
          <w:bCs/>
          <w:noProof/>
          <w:kern w:val="0"/>
          <w:sz w:val="24"/>
        </w:rPr>
        <w:t>8</w:t>
      </w:r>
      <w:r w:rsidRPr="00D5442E">
        <w:rPr>
          <w:rFonts w:ascii="Times New Roman" w:hAnsi="Times New Roman"/>
          <w:noProof/>
          <w:kern w:val="0"/>
          <w:sz w:val="24"/>
        </w:rPr>
        <w:t xml:space="preserve"> [2], 133 (2014).</w:t>
      </w:r>
    </w:p>
    <w:p w14:paraId="35227596" w14:textId="44C9F1DE"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23)</w:t>
      </w:r>
      <w:r w:rsidR="00D5442E">
        <w:rPr>
          <w:rFonts w:ascii="Times New Roman" w:hAnsi="Times New Roman"/>
          <w:noProof/>
          <w:kern w:val="0"/>
          <w:sz w:val="24"/>
        </w:rPr>
        <w:t xml:space="preserve"> </w:t>
      </w:r>
      <w:r w:rsidRPr="00D5442E">
        <w:rPr>
          <w:rFonts w:ascii="Times New Roman" w:hAnsi="Times New Roman"/>
          <w:noProof/>
          <w:kern w:val="0"/>
          <w:sz w:val="24"/>
        </w:rPr>
        <w:t>H. Zhou, Q. Chen, G. Li, S. Luo, T. B. Song, H. S. Duan, Z. Hong, J. You, Y. Liu and Y. Yang, Science</w:t>
      </w:r>
      <w:r w:rsidR="00A957FD">
        <w:rPr>
          <w:rFonts w:ascii="Times New Roman" w:hAnsi="Times New Roman"/>
          <w:noProof/>
          <w:kern w:val="0"/>
          <w:sz w:val="24"/>
        </w:rPr>
        <w:t>, 345, 6196</w:t>
      </w:r>
      <w:r w:rsidRPr="00D5442E">
        <w:rPr>
          <w:rFonts w:ascii="Times New Roman" w:hAnsi="Times New Roman"/>
          <w:noProof/>
          <w:kern w:val="0"/>
          <w:sz w:val="24"/>
        </w:rPr>
        <w:t xml:space="preserve"> (</w:t>
      </w:r>
      <w:r w:rsidR="00A957FD">
        <w:rPr>
          <w:rFonts w:ascii="Times New Roman" w:hAnsi="Times New Roman"/>
          <w:noProof/>
          <w:kern w:val="0"/>
          <w:sz w:val="24"/>
        </w:rPr>
        <w:t>2014</w:t>
      </w:r>
      <w:r w:rsidRPr="00D5442E">
        <w:rPr>
          <w:rFonts w:ascii="Times New Roman" w:hAnsi="Times New Roman"/>
          <w:noProof/>
          <w:kern w:val="0"/>
          <w:sz w:val="24"/>
        </w:rPr>
        <w:t>).</w:t>
      </w:r>
    </w:p>
    <w:p w14:paraId="0605BA96" w14:textId="7B84749A"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24)</w:t>
      </w:r>
      <w:r w:rsidR="00D5442E">
        <w:rPr>
          <w:rFonts w:ascii="Times New Roman" w:hAnsi="Times New Roman"/>
          <w:noProof/>
          <w:kern w:val="0"/>
          <w:sz w:val="24"/>
        </w:rPr>
        <w:t xml:space="preserve"> </w:t>
      </w:r>
      <w:r w:rsidRPr="00D5442E">
        <w:rPr>
          <w:rFonts w:ascii="Times New Roman" w:hAnsi="Times New Roman"/>
          <w:noProof/>
          <w:kern w:val="0"/>
          <w:sz w:val="24"/>
        </w:rPr>
        <w:t xml:space="preserve">M. Ju, J. Dai, L. Ma and X. C. Zeng, Adv. Energy Mater. </w:t>
      </w:r>
      <w:r w:rsidRPr="00D5442E">
        <w:rPr>
          <w:rFonts w:ascii="Times New Roman" w:hAnsi="Times New Roman"/>
          <w:b/>
          <w:bCs/>
          <w:noProof/>
          <w:kern w:val="0"/>
          <w:sz w:val="24"/>
        </w:rPr>
        <w:t>7</w:t>
      </w:r>
      <w:r w:rsidRPr="00D5442E">
        <w:rPr>
          <w:rFonts w:ascii="Times New Roman" w:hAnsi="Times New Roman"/>
          <w:noProof/>
          <w:kern w:val="0"/>
          <w:sz w:val="24"/>
        </w:rPr>
        <w:t xml:space="preserve"> [18], 1700216 (2017).</w:t>
      </w:r>
    </w:p>
    <w:p w14:paraId="24D3BDB9" w14:textId="226CDFB1"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25)</w:t>
      </w:r>
      <w:r w:rsidR="00D5442E">
        <w:rPr>
          <w:rFonts w:ascii="Times New Roman" w:hAnsi="Times New Roman"/>
          <w:noProof/>
          <w:kern w:val="0"/>
          <w:sz w:val="24"/>
        </w:rPr>
        <w:t xml:space="preserve"> </w:t>
      </w:r>
      <w:r w:rsidRPr="00D5442E">
        <w:rPr>
          <w:rFonts w:ascii="Times New Roman" w:hAnsi="Times New Roman"/>
          <w:noProof/>
          <w:kern w:val="0"/>
          <w:sz w:val="24"/>
        </w:rPr>
        <w:t xml:space="preserve">B. Turedi, V. Yeddu, X. Zheng, D. Y. Kim, O. M. Bakr and M. I. Saidaminov, ACS Energy Lett. </w:t>
      </w:r>
      <w:r w:rsidRPr="00D5442E">
        <w:rPr>
          <w:rFonts w:ascii="Times New Roman" w:hAnsi="Times New Roman"/>
          <w:b/>
          <w:bCs/>
          <w:noProof/>
          <w:kern w:val="0"/>
          <w:sz w:val="24"/>
        </w:rPr>
        <w:t>6</w:t>
      </w:r>
      <w:r w:rsidRPr="00D5442E">
        <w:rPr>
          <w:rFonts w:ascii="Times New Roman" w:hAnsi="Times New Roman"/>
          <w:noProof/>
          <w:kern w:val="0"/>
          <w:sz w:val="24"/>
        </w:rPr>
        <w:t xml:space="preserve"> [2], 631 (2021).</w:t>
      </w:r>
    </w:p>
    <w:p w14:paraId="6A2222A5" w14:textId="41F63821" w:rsidR="001C7AAA"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26)</w:t>
      </w:r>
      <w:r w:rsidR="00D5442E">
        <w:rPr>
          <w:rFonts w:ascii="Times New Roman" w:hAnsi="Times New Roman"/>
          <w:noProof/>
          <w:kern w:val="0"/>
          <w:sz w:val="24"/>
        </w:rPr>
        <w:t xml:space="preserve"> </w:t>
      </w:r>
      <w:r w:rsidRPr="00D5442E">
        <w:rPr>
          <w:rFonts w:ascii="Times New Roman" w:hAnsi="Times New Roman"/>
          <w:noProof/>
          <w:kern w:val="0"/>
          <w:sz w:val="24"/>
        </w:rPr>
        <w:t xml:space="preserve">J. Huang, M. Wang, L. Ding, Z. Yang and K. Zhang, RSC Adv. </w:t>
      </w:r>
      <w:r w:rsidRPr="00D5442E">
        <w:rPr>
          <w:rFonts w:ascii="Times New Roman" w:hAnsi="Times New Roman"/>
          <w:b/>
          <w:bCs/>
          <w:noProof/>
          <w:kern w:val="0"/>
          <w:sz w:val="24"/>
        </w:rPr>
        <w:t>6</w:t>
      </w:r>
      <w:r w:rsidRPr="00D5442E">
        <w:rPr>
          <w:rFonts w:ascii="Times New Roman" w:hAnsi="Times New Roman"/>
          <w:noProof/>
          <w:kern w:val="0"/>
          <w:sz w:val="24"/>
        </w:rPr>
        <w:t xml:space="preserve"> [61], 55720 (2016).</w:t>
      </w:r>
    </w:p>
    <w:p w14:paraId="05CB6DA9" w14:textId="61A82E7C" w:rsidR="00AC6204" w:rsidRPr="00BB34D6" w:rsidRDefault="00AC6204" w:rsidP="00D5442E">
      <w:pPr>
        <w:autoSpaceDE w:val="0"/>
        <w:autoSpaceDN w:val="0"/>
        <w:adjustRightInd w:val="0"/>
        <w:spacing w:line="360" w:lineRule="auto"/>
        <w:rPr>
          <w:rFonts w:ascii="Times New Roman" w:eastAsia="宋体" w:hAnsi="Times New Roman" w:hint="eastAsia"/>
          <w:noProof/>
          <w:kern w:val="0"/>
          <w:sz w:val="24"/>
          <w:lang w:eastAsia="zh-CN"/>
        </w:rPr>
      </w:pPr>
      <w:r w:rsidRPr="00BB34D6">
        <w:rPr>
          <w:rFonts w:ascii="Times New Roman" w:eastAsia="宋体" w:hAnsi="Times New Roman"/>
          <w:noProof/>
          <w:kern w:val="0"/>
          <w:sz w:val="24"/>
          <w:lang w:eastAsia="zh-CN"/>
        </w:rPr>
        <w:t xml:space="preserve">27) </w:t>
      </w:r>
      <w:r w:rsidR="00580838" w:rsidRPr="00BB34D6">
        <w:rPr>
          <w:rFonts w:ascii="Times New Roman" w:eastAsia="宋体" w:hAnsi="Times New Roman"/>
          <w:noProof/>
          <w:kern w:val="0"/>
          <w:sz w:val="24"/>
          <w:lang w:eastAsia="zh-CN"/>
        </w:rPr>
        <w:t xml:space="preserve">L. Huang, X. Sun, C. Li, R. Xu, J. Xu, Y. Du, Y. Wu, J. Ni, H. Cai, J. Li, Z. Hu and J. Zhang, Sol. Energy Mater. Sol. Cells </w:t>
      </w:r>
      <w:r w:rsidR="00580838" w:rsidRPr="00BB34D6">
        <w:rPr>
          <w:rFonts w:ascii="Times New Roman" w:eastAsia="宋体" w:hAnsi="Times New Roman"/>
          <w:b/>
          <w:bCs/>
          <w:noProof/>
          <w:kern w:val="0"/>
          <w:sz w:val="24"/>
          <w:lang w:eastAsia="zh-CN"/>
        </w:rPr>
        <w:t>157</w:t>
      </w:r>
      <w:r w:rsidR="00580838" w:rsidRPr="00BB34D6">
        <w:rPr>
          <w:rFonts w:ascii="Times New Roman" w:eastAsia="宋体" w:hAnsi="Times New Roman"/>
          <w:noProof/>
          <w:kern w:val="0"/>
          <w:sz w:val="24"/>
          <w:lang w:eastAsia="zh-CN"/>
        </w:rPr>
        <w:t>, 1038 (2016).</w:t>
      </w:r>
    </w:p>
    <w:p w14:paraId="3A97F5E0" w14:textId="2C0E6B79"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2</w:t>
      </w:r>
      <w:r w:rsidR="00EC51C9">
        <w:rPr>
          <w:rFonts w:ascii="Times New Roman" w:hAnsi="Times New Roman"/>
          <w:noProof/>
          <w:kern w:val="0"/>
          <w:sz w:val="24"/>
        </w:rPr>
        <w:t>8</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S. Karthick, S. Velumani and J. Bouclé, Sol. Energy </w:t>
      </w:r>
      <w:r w:rsidRPr="00D5442E">
        <w:rPr>
          <w:rFonts w:ascii="Times New Roman" w:hAnsi="Times New Roman"/>
          <w:b/>
          <w:bCs/>
          <w:noProof/>
          <w:kern w:val="0"/>
          <w:sz w:val="24"/>
        </w:rPr>
        <w:t>205</w:t>
      </w:r>
      <w:r w:rsidRPr="00D5442E">
        <w:rPr>
          <w:rFonts w:ascii="Times New Roman" w:hAnsi="Times New Roman"/>
          <w:noProof/>
          <w:kern w:val="0"/>
          <w:sz w:val="24"/>
        </w:rPr>
        <w:t>, 349 (2020).</w:t>
      </w:r>
    </w:p>
    <w:p w14:paraId="72C0555C" w14:textId="1C1D0288"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2</w:t>
      </w:r>
      <w:r w:rsidR="00EC51C9">
        <w:rPr>
          <w:rFonts w:ascii="Times New Roman" w:hAnsi="Times New Roman"/>
          <w:noProof/>
          <w:kern w:val="0"/>
          <w:sz w:val="24"/>
        </w:rPr>
        <w:t>9</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T. S. Sherkar, C. Momblona, L. Gil-Escrig, J. Avila, M. Sessolo, H. J. Bolink and L. J. A. Koster, ACS energy Lett. </w:t>
      </w:r>
      <w:r w:rsidRPr="00D5442E">
        <w:rPr>
          <w:rFonts w:ascii="Times New Roman" w:hAnsi="Times New Roman"/>
          <w:b/>
          <w:bCs/>
          <w:noProof/>
          <w:kern w:val="0"/>
          <w:sz w:val="24"/>
        </w:rPr>
        <w:t>2</w:t>
      </w:r>
      <w:r w:rsidRPr="00D5442E">
        <w:rPr>
          <w:rFonts w:ascii="Times New Roman" w:hAnsi="Times New Roman"/>
          <w:noProof/>
          <w:kern w:val="0"/>
          <w:sz w:val="24"/>
        </w:rPr>
        <w:t xml:space="preserve"> [5], 1214 (2017).</w:t>
      </w:r>
    </w:p>
    <w:p w14:paraId="57979318" w14:textId="5FF8ED92" w:rsidR="001C7AAA" w:rsidRPr="00D5442E" w:rsidRDefault="00EC51C9" w:rsidP="00D5442E">
      <w:pPr>
        <w:autoSpaceDE w:val="0"/>
        <w:autoSpaceDN w:val="0"/>
        <w:adjustRightInd w:val="0"/>
        <w:spacing w:line="360" w:lineRule="auto"/>
        <w:rPr>
          <w:rFonts w:ascii="Times New Roman" w:hAnsi="Times New Roman"/>
          <w:noProof/>
          <w:kern w:val="0"/>
          <w:sz w:val="24"/>
        </w:rPr>
      </w:pPr>
      <w:r>
        <w:rPr>
          <w:rFonts w:ascii="Times New Roman" w:hAnsi="Times New Roman"/>
          <w:noProof/>
          <w:kern w:val="0"/>
          <w:sz w:val="24"/>
        </w:rPr>
        <w:t>30</w:t>
      </w:r>
      <w:r w:rsidR="001C7AAA" w:rsidRPr="00D5442E">
        <w:rPr>
          <w:rFonts w:ascii="Times New Roman" w:hAnsi="Times New Roman"/>
          <w:noProof/>
          <w:kern w:val="0"/>
          <w:sz w:val="24"/>
        </w:rPr>
        <w:t>)</w:t>
      </w:r>
      <w:r w:rsidR="00D5442E">
        <w:rPr>
          <w:rFonts w:ascii="Times New Roman" w:hAnsi="Times New Roman"/>
          <w:noProof/>
          <w:kern w:val="0"/>
          <w:sz w:val="24"/>
        </w:rPr>
        <w:t xml:space="preserve"> </w:t>
      </w:r>
      <w:r w:rsidR="001C7AAA" w:rsidRPr="00D5442E">
        <w:rPr>
          <w:rFonts w:ascii="Times New Roman" w:hAnsi="Times New Roman"/>
          <w:noProof/>
          <w:kern w:val="0"/>
          <w:sz w:val="24"/>
        </w:rPr>
        <w:t xml:space="preserve">V. Sarritzu, N. Sestu, D. Marongiu, X. Chang, S. Masi, A. Rizzo, S. Colella, F. Quochi, M. Saba and A. Mura, Sci. Rep. </w:t>
      </w:r>
      <w:r w:rsidR="001C7AAA" w:rsidRPr="00D5442E">
        <w:rPr>
          <w:rFonts w:ascii="Times New Roman" w:hAnsi="Times New Roman"/>
          <w:b/>
          <w:bCs/>
          <w:noProof/>
          <w:kern w:val="0"/>
          <w:sz w:val="24"/>
        </w:rPr>
        <w:t>7</w:t>
      </w:r>
      <w:r w:rsidR="001C7AAA" w:rsidRPr="00D5442E">
        <w:rPr>
          <w:rFonts w:ascii="Times New Roman" w:hAnsi="Times New Roman"/>
          <w:noProof/>
          <w:kern w:val="0"/>
          <w:sz w:val="24"/>
        </w:rPr>
        <w:t xml:space="preserve"> [1], 1 (2017).</w:t>
      </w:r>
    </w:p>
    <w:p w14:paraId="6CF2F67A" w14:textId="159370BA"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3</w:t>
      </w:r>
      <w:r w:rsidR="00EC51C9">
        <w:rPr>
          <w:rFonts w:ascii="Times New Roman" w:hAnsi="Times New Roman"/>
          <w:noProof/>
          <w:kern w:val="0"/>
          <w:sz w:val="24"/>
        </w:rPr>
        <w:t>1</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K. C. Kao, </w:t>
      </w:r>
      <w:r w:rsidRPr="00D5442E">
        <w:rPr>
          <w:rFonts w:ascii="Times New Roman" w:hAnsi="Times New Roman"/>
          <w:i/>
          <w:iCs/>
          <w:noProof/>
          <w:kern w:val="0"/>
          <w:sz w:val="24"/>
        </w:rPr>
        <w:t>Dielectric phenomena in solids</w:t>
      </w:r>
      <w:r w:rsidRPr="00D5442E">
        <w:rPr>
          <w:rFonts w:ascii="Times New Roman" w:hAnsi="Times New Roman"/>
          <w:noProof/>
          <w:kern w:val="0"/>
          <w:sz w:val="24"/>
        </w:rPr>
        <w:t xml:space="preserve"> (2004).</w:t>
      </w:r>
    </w:p>
    <w:p w14:paraId="3FE6A2B4" w14:textId="5CEDC88B"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3</w:t>
      </w:r>
      <w:r w:rsidR="00EC51C9">
        <w:rPr>
          <w:rFonts w:ascii="Times New Roman" w:hAnsi="Times New Roman"/>
          <w:noProof/>
          <w:kern w:val="0"/>
          <w:sz w:val="24"/>
        </w:rPr>
        <w:t>2</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M.-H. Jung, RSC Adv. </w:t>
      </w:r>
      <w:r w:rsidRPr="00D5442E">
        <w:rPr>
          <w:rFonts w:ascii="Times New Roman" w:hAnsi="Times New Roman"/>
          <w:b/>
          <w:bCs/>
          <w:noProof/>
          <w:kern w:val="0"/>
          <w:sz w:val="24"/>
        </w:rPr>
        <w:t>11</w:t>
      </w:r>
      <w:r w:rsidRPr="00D5442E">
        <w:rPr>
          <w:rFonts w:ascii="Times New Roman" w:hAnsi="Times New Roman"/>
          <w:noProof/>
          <w:kern w:val="0"/>
          <w:sz w:val="24"/>
        </w:rPr>
        <w:t xml:space="preserve"> [52], 32590 (2021).</w:t>
      </w:r>
    </w:p>
    <w:p w14:paraId="0DFC9AF3" w14:textId="31B7B096"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3</w:t>
      </w:r>
      <w:r w:rsidR="00EC51C9">
        <w:rPr>
          <w:rFonts w:ascii="Times New Roman" w:hAnsi="Times New Roman"/>
          <w:noProof/>
          <w:kern w:val="0"/>
          <w:sz w:val="24"/>
        </w:rPr>
        <w:t>3</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C. C. Stoumpos, C. D. Malliakas and M. G. Kanatzidis, Inorg. Chem. </w:t>
      </w:r>
      <w:r w:rsidRPr="00D5442E">
        <w:rPr>
          <w:rFonts w:ascii="Times New Roman" w:hAnsi="Times New Roman"/>
          <w:b/>
          <w:bCs/>
          <w:noProof/>
          <w:kern w:val="0"/>
          <w:sz w:val="24"/>
        </w:rPr>
        <w:t>52</w:t>
      </w:r>
      <w:r w:rsidRPr="00D5442E">
        <w:rPr>
          <w:rFonts w:ascii="Times New Roman" w:hAnsi="Times New Roman"/>
          <w:noProof/>
          <w:kern w:val="0"/>
          <w:sz w:val="24"/>
        </w:rPr>
        <w:t xml:space="preserve"> [15], 9019 (2013).</w:t>
      </w:r>
    </w:p>
    <w:p w14:paraId="2ED121AA" w14:textId="2BE0BEEE"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3</w:t>
      </w:r>
      <w:r w:rsidR="00EC51C9">
        <w:rPr>
          <w:rFonts w:ascii="Times New Roman" w:hAnsi="Times New Roman"/>
          <w:noProof/>
          <w:kern w:val="0"/>
          <w:sz w:val="24"/>
        </w:rPr>
        <w:t>4</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V. Gonzalez-Pedro, E. J. Juarez-Perez, W.-S. Arsyad, E. M. Barea, F. Fabregat-Santiago, I. Mora-Sero and J. Bisquert, Nano Lett. </w:t>
      </w:r>
      <w:r w:rsidRPr="00D5442E">
        <w:rPr>
          <w:rFonts w:ascii="Times New Roman" w:hAnsi="Times New Roman"/>
          <w:b/>
          <w:bCs/>
          <w:noProof/>
          <w:kern w:val="0"/>
          <w:sz w:val="24"/>
        </w:rPr>
        <w:t>14</w:t>
      </w:r>
      <w:r w:rsidRPr="00D5442E">
        <w:rPr>
          <w:rFonts w:ascii="Times New Roman" w:hAnsi="Times New Roman"/>
          <w:noProof/>
          <w:kern w:val="0"/>
          <w:sz w:val="24"/>
        </w:rPr>
        <w:t xml:space="preserve"> [2], 888 (2014).</w:t>
      </w:r>
    </w:p>
    <w:p w14:paraId="280531E1" w14:textId="50F47EAE"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3</w:t>
      </w:r>
      <w:r w:rsidR="00EC51C9">
        <w:rPr>
          <w:rFonts w:ascii="Times New Roman" w:hAnsi="Times New Roman"/>
          <w:noProof/>
          <w:kern w:val="0"/>
          <w:sz w:val="24"/>
        </w:rPr>
        <w:t>5</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Z. Yang, Z. Yu, H. Wei, X. Xiao, Z. Ni, B. Chen, Y. Deng, S. N. Habisreutinger, X. Chen, K. Wang, J. Zhao, P. N. Rudd, J. J. Berry, M. C. Beard and J. Huang, Nat. Commun. </w:t>
      </w:r>
      <w:r w:rsidRPr="00D5442E">
        <w:rPr>
          <w:rFonts w:ascii="Times New Roman" w:hAnsi="Times New Roman"/>
          <w:b/>
          <w:bCs/>
          <w:noProof/>
          <w:kern w:val="0"/>
          <w:sz w:val="24"/>
        </w:rPr>
        <w:t>10</w:t>
      </w:r>
      <w:r w:rsidRPr="00D5442E">
        <w:rPr>
          <w:rFonts w:ascii="Times New Roman" w:hAnsi="Times New Roman"/>
          <w:noProof/>
          <w:kern w:val="0"/>
          <w:sz w:val="24"/>
        </w:rPr>
        <w:t xml:space="preserve"> [1], 4498 (2019).</w:t>
      </w:r>
    </w:p>
    <w:p w14:paraId="6A574446" w14:textId="517D957B"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3</w:t>
      </w:r>
      <w:r w:rsidR="00EC51C9">
        <w:rPr>
          <w:rFonts w:ascii="Times New Roman" w:hAnsi="Times New Roman"/>
          <w:noProof/>
          <w:kern w:val="0"/>
          <w:sz w:val="24"/>
        </w:rPr>
        <w:t>6</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K. Wang, C. Liu, P. Du, L. Chen, J. Zhu, A. Karim and X. Gong, Org. Electron. </w:t>
      </w:r>
      <w:r w:rsidRPr="00D5442E">
        <w:rPr>
          <w:rFonts w:ascii="Times New Roman" w:hAnsi="Times New Roman"/>
          <w:b/>
          <w:bCs/>
          <w:noProof/>
          <w:kern w:val="0"/>
          <w:sz w:val="24"/>
        </w:rPr>
        <w:t>21</w:t>
      </w:r>
      <w:r w:rsidRPr="00D5442E">
        <w:rPr>
          <w:rFonts w:ascii="Times New Roman" w:hAnsi="Times New Roman"/>
          <w:noProof/>
          <w:kern w:val="0"/>
          <w:sz w:val="24"/>
        </w:rPr>
        <w:t>, 19 (2015).</w:t>
      </w:r>
    </w:p>
    <w:p w14:paraId="30E332D5" w14:textId="79E57309"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3</w:t>
      </w:r>
      <w:r w:rsidR="00EC51C9">
        <w:rPr>
          <w:rFonts w:ascii="Times New Roman" w:hAnsi="Times New Roman"/>
          <w:noProof/>
          <w:kern w:val="0"/>
          <w:sz w:val="24"/>
        </w:rPr>
        <w:t>7</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Z. Liu, J. Hu, H. Jiao, L. Li, G. Zheng, Y. Chen, Y. Huang, Q. Zhang, C. Shen and Q. Chen, Adv. Mater. </w:t>
      </w:r>
      <w:r w:rsidRPr="00D5442E">
        <w:rPr>
          <w:rFonts w:ascii="Times New Roman" w:hAnsi="Times New Roman"/>
          <w:b/>
          <w:bCs/>
          <w:noProof/>
          <w:kern w:val="0"/>
          <w:sz w:val="24"/>
        </w:rPr>
        <w:t>29</w:t>
      </w:r>
      <w:r w:rsidRPr="00D5442E">
        <w:rPr>
          <w:rFonts w:ascii="Times New Roman" w:hAnsi="Times New Roman"/>
          <w:noProof/>
          <w:kern w:val="0"/>
          <w:sz w:val="24"/>
        </w:rPr>
        <w:t xml:space="preserve"> [23], 1606774 (2017).</w:t>
      </w:r>
    </w:p>
    <w:p w14:paraId="1721E375" w14:textId="7768E169"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lastRenderedPageBreak/>
        <w:t>3</w:t>
      </w:r>
      <w:r w:rsidR="00EC51C9">
        <w:rPr>
          <w:rFonts w:ascii="Times New Roman" w:hAnsi="Times New Roman"/>
          <w:noProof/>
          <w:kern w:val="0"/>
          <w:sz w:val="24"/>
        </w:rPr>
        <w:t>8</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Z. Liu, K. Deng, J. Hu and L. Li, </w:t>
      </w:r>
      <w:r w:rsidRPr="00D5442E">
        <w:rPr>
          <w:rFonts w:ascii="Times New Roman" w:hAnsi="Times New Roman"/>
          <w:i/>
          <w:iCs/>
          <w:noProof/>
          <w:kern w:val="0"/>
          <w:sz w:val="24"/>
        </w:rPr>
        <w:t>Angew. Chemie - Int. Ed.</w:t>
      </w:r>
      <w:r w:rsidRPr="00D5442E">
        <w:rPr>
          <w:rFonts w:ascii="Times New Roman" w:hAnsi="Times New Roman"/>
          <w:noProof/>
          <w:kern w:val="0"/>
          <w:sz w:val="24"/>
        </w:rPr>
        <w:t xml:space="preserve">, </w:t>
      </w:r>
      <w:r w:rsidR="00A957FD" w:rsidRPr="00A957FD">
        <w:rPr>
          <w:rFonts w:ascii="Times New Roman" w:hAnsi="Times New Roman"/>
          <w:b/>
          <w:bCs/>
          <w:noProof/>
          <w:kern w:val="0"/>
          <w:sz w:val="24"/>
        </w:rPr>
        <w:t>131</w:t>
      </w:r>
      <w:r w:rsidR="00A957FD">
        <w:rPr>
          <w:rFonts w:ascii="Times New Roman" w:hAnsi="Times New Roman"/>
          <w:noProof/>
          <w:kern w:val="0"/>
          <w:sz w:val="24"/>
        </w:rPr>
        <w:t>, 33, 11621 (</w:t>
      </w:r>
      <w:r w:rsidR="00A957FD" w:rsidRPr="00D5442E">
        <w:rPr>
          <w:rFonts w:ascii="Times New Roman" w:hAnsi="Times New Roman"/>
          <w:noProof/>
          <w:kern w:val="0"/>
          <w:sz w:val="24"/>
        </w:rPr>
        <w:t>2019</w:t>
      </w:r>
      <w:r w:rsidR="00A957FD">
        <w:rPr>
          <w:rFonts w:ascii="Times New Roman" w:hAnsi="Times New Roman"/>
          <w:noProof/>
          <w:kern w:val="0"/>
          <w:sz w:val="24"/>
        </w:rPr>
        <w:t>)</w:t>
      </w:r>
      <w:r w:rsidRPr="00D5442E">
        <w:rPr>
          <w:rFonts w:ascii="Times New Roman" w:hAnsi="Times New Roman"/>
          <w:noProof/>
          <w:kern w:val="0"/>
          <w:sz w:val="24"/>
        </w:rPr>
        <w:t>.</w:t>
      </w:r>
    </w:p>
    <w:p w14:paraId="5CB930D1" w14:textId="46DFCD6E" w:rsidR="007E5751" w:rsidRPr="00BB34D6" w:rsidRDefault="007E5751" w:rsidP="00D5442E">
      <w:pPr>
        <w:autoSpaceDE w:val="0"/>
        <w:autoSpaceDN w:val="0"/>
        <w:adjustRightInd w:val="0"/>
        <w:spacing w:line="360" w:lineRule="auto"/>
        <w:rPr>
          <w:rFonts w:ascii="Times New Roman" w:eastAsia="宋体" w:hAnsi="Times New Roman"/>
          <w:noProof/>
          <w:kern w:val="0"/>
          <w:sz w:val="24"/>
          <w:lang w:eastAsia="zh-CN"/>
        </w:rPr>
      </w:pPr>
      <w:r w:rsidRPr="00BB34D6">
        <w:rPr>
          <w:rFonts w:ascii="Times New Roman" w:eastAsia="宋体" w:hAnsi="Times New Roman" w:hint="eastAsia"/>
          <w:noProof/>
          <w:kern w:val="0"/>
          <w:sz w:val="24"/>
          <w:lang w:eastAsia="zh-CN"/>
        </w:rPr>
        <w:t>3</w:t>
      </w:r>
      <w:r w:rsidRPr="00BB34D6">
        <w:rPr>
          <w:rFonts w:ascii="Times New Roman" w:eastAsia="宋体" w:hAnsi="Times New Roman"/>
          <w:noProof/>
          <w:kern w:val="0"/>
          <w:sz w:val="24"/>
          <w:lang w:eastAsia="zh-CN"/>
        </w:rPr>
        <w:t>9)</w:t>
      </w:r>
      <w:r w:rsidRPr="00BB34D6">
        <w:t xml:space="preserve"> </w:t>
      </w:r>
      <w:r w:rsidRPr="00BB34D6">
        <w:rPr>
          <w:rFonts w:ascii="Times New Roman" w:eastAsia="宋体" w:hAnsi="Times New Roman"/>
          <w:noProof/>
          <w:kern w:val="0"/>
          <w:sz w:val="24"/>
          <w:lang w:eastAsia="zh-CN"/>
        </w:rPr>
        <w:t xml:space="preserve">J.-L. Brousseau, H. Bourque, A. Tessier and R. M. Leblanc, Appl. Surf. Sci. </w:t>
      </w:r>
      <w:r w:rsidRPr="00BB34D6">
        <w:rPr>
          <w:rFonts w:ascii="Times New Roman" w:eastAsia="宋体" w:hAnsi="Times New Roman"/>
          <w:b/>
          <w:bCs/>
          <w:noProof/>
          <w:kern w:val="0"/>
          <w:sz w:val="24"/>
          <w:lang w:eastAsia="zh-CN"/>
        </w:rPr>
        <w:t>108</w:t>
      </w:r>
      <w:r w:rsidRPr="00BB34D6">
        <w:rPr>
          <w:rFonts w:ascii="Times New Roman" w:eastAsia="宋体" w:hAnsi="Times New Roman"/>
          <w:noProof/>
          <w:kern w:val="0"/>
          <w:sz w:val="24"/>
          <w:lang w:eastAsia="zh-CN"/>
        </w:rPr>
        <w:t xml:space="preserve"> [3], 351 (1997).</w:t>
      </w:r>
    </w:p>
    <w:p w14:paraId="0C19DE7A" w14:textId="0BDBFCC2" w:rsidR="007E5751" w:rsidRPr="00BB34D6" w:rsidRDefault="007E5751" w:rsidP="00D5442E">
      <w:pPr>
        <w:autoSpaceDE w:val="0"/>
        <w:autoSpaceDN w:val="0"/>
        <w:adjustRightInd w:val="0"/>
        <w:spacing w:line="360" w:lineRule="auto"/>
        <w:rPr>
          <w:rFonts w:ascii="Times New Roman" w:eastAsia="宋体" w:hAnsi="Times New Roman" w:hint="eastAsia"/>
          <w:noProof/>
          <w:kern w:val="0"/>
          <w:sz w:val="24"/>
          <w:lang w:eastAsia="zh-CN"/>
        </w:rPr>
      </w:pPr>
      <w:r w:rsidRPr="00BB34D6">
        <w:rPr>
          <w:rFonts w:ascii="Times New Roman" w:eastAsia="宋体" w:hAnsi="Times New Roman" w:hint="eastAsia"/>
          <w:noProof/>
          <w:kern w:val="0"/>
          <w:sz w:val="24"/>
          <w:lang w:eastAsia="zh-CN"/>
        </w:rPr>
        <w:t>4</w:t>
      </w:r>
      <w:r w:rsidRPr="00BB34D6">
        <w:rPr>
          <w:rFonts w:ascii="Times New Roman" w:eastAsia="宋体" w:hAnsi="Times New Roman"/>
          <w:noProof/>
          <w:kern w:val="0"/>
          <w:sz w:val="24"/>
          <w:lang w:eastAsia="zh-CN"/>
        </w:rPr>
        <w:t>0)</w:t>
      </w:r>
      <w:r w:rsidRPr="00BB34D6">
        <w:t xml:space="preserve"> </w:t>
      </w:r>
      <w:r w:rsidRPr="00BB34D6">
        <w:rPr>
          <w:rFonts w:ascii="Times New Roman" w:eastAsia="宋体" w:hAnsi="Times New Roman"/>
          <w:noProof/>
          <w:kern w:val="0"/>
          <w:sz w:val="24"/>
          <w:lang w:eastAsia="zh-CN"/>
        </w:rPr>
        <w:t xml:space="preserve">J. Burschka, A. Dualeh, F. Kessler, E. Baranoff, N.-L. Cevey-Ha, C. Yi, M. K. Nazeeruddin and M. Grätzel, J. Am. Chem. Soc. </w:t>
      </w:r>
      <w:r w:rsidRPr="00BB34D6">
        <w:rPr>
          <w:rFonts w:ascii="Times New Roman" w:eastAsia="宋体" w:hAnsi="Times New Roman"/>
          <w:b/>
          <w:bCs/>
          <w:noProof/>
          <w:kern w:val="0"/>
          <w:sz w:val="24"/>
          <w:lang w:eastAsia="zh-CN"/>
        </w:rPr>
        <w:t>133</w:t>
      </w:r>
      <w:r w:rsidRPr="00BB34D6">
        <w:rPr>
          <w:rFonts w:ascii="Times New Roman" w:eastAsia="宋体" w:hAnsi="Times New Roman"/>
          <w:noProof/>
          <w:kern w:val="0"/>
          <w:sz w:val="24"/>
          <w:lang w:eastAsia="zh-CN"/>
        </w:rPr>
        <w:t xml:space="preserve"> [45], 18042 (2011).</w:t>
      </w:r>
    </w:p>
    <w:p w14:paraId="7EAEC701" w14:textId="7786ED55" w:rsidR="001C7AAA" w:rsidRPr="00D5442E" w:rsidRDefault="00EC51C9" w:rsidP="00D5442E">
      <w:pPr>
        <w:autoSpaceDE w:val="0"/>
        <w:autoSpaceDN w:val="0"/>
        <w:adjustRightInd w:val="0"/>
        <w:spacing w:line="360" w:lineRule="auto"/>
        <w:rPr>
          <w:rFonts w:ascii="Times New Roman" w:hAnsi="Times New Roman"/>
          <w:noProof/>
          <w:kern w:val="0"/>
          <w:sz w:val="24"/>
        </w:rPr>
      </w:pPr>
      <w:r>
        <w:rPr>
          <w:rFonts w:ascii="Times New Roman" w:hAnsi="Times New Roman"/>
          <w:noProof/>
          <w:kern w:val="0"/>
          <w:sz w:val="24"/>
        </w:rPr>
        <w:t>41</w:t>
      </w:r>
      <w:r w:rsidR="001C7AAA" w:rsidRPr="00D5442E">
        <w:rPr>
          <w:rFonts w:ascii="Times New Roman" w:hAnsi="Times New Roman"/>
          <w:noProof/>
          <w:kern w:val="0"/>
          <w:sz w:val="24"/>
        </w:rPr>
        <w:t>)</w:t>
      </w:r>
      <w:r w:rsidR="00D5442E">
        <w:rPr>
          <w:rFonts w:ascii="Times New Roman" w:hAnsi="Times New Roman"/>
          <w:noProof/>
          <w:kern w:val="0"/>
          <w:sz w:val="24"/>
        </w:rPr>
        <w:t xml:space="preserve"> </w:t>
      </w:r>
      <w:r w:rsidR="001C7AAA" w:rsidRPr="00D5442E">
        <w:rPr>
          <w:rFonts w:ascii="Times New Roman" w:hAnsi="Times New Roman"/>
          <w:noProof/>
          <w:kern w:val="0"/>
          <w:sz w:val="24"/>
        </w:rPr>
        <w:t xml:space="preserve">N. A. N. Ouedraogo, G. O. Odunmbaku, B. Guo, S. Chen, X. Lin, T. Shumilova and K. Sun, ACS Appl. Mater. Interfaces </w:t>
      </w:r>
      <w:r w:rsidR="001C7AAA" w:rsidRPr="00D5442E">
        <w:rPr>
          <w:rFonts w:ascii="Times New Roman" w:hAnsi="Times New Roman"/>
          <w:b/>
          <w:bCs/>
          <w:noProof/>
          <w:kern w:val="0"/>
          <w:sz w:val="24"/>
        </w:rPr>
        <w:t>14</w:t>
      </w:r>
      <w:r w:rsidR="001C7AAA" w:rsidRPr="00D5442E">
        <w:rPr>
          <w:rFonts w:ascii="Times New Roman" w:hAnsi="Times New Roman"/>
          <w:noProof/>
          <w:kern w:val="0"/>
          <w:sz w:val="24"/>
        </w:rPr>
        <w:t xml:space="preserve"> [30], 34303 (2022).</w:t>
      </w:r>
    </w:p>
    <w:p w14:paraId="121577DD" w14:textId="0AD45E3F"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4</w:t>
      </w:r>
      <w:r w:rsidR="00EC51C9">
        <w:rPr>
          <w:rFonts w:ascii="Times New Roman" w:hAnsi="Times New Roman"/>
          <w:noProof/>
          <w:kern w:val="0"/>
          <w:sz w:val="24"/>
        </w:rPr>
        <w:t>2</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Z. Hawash, L. K. Ono and Y. Qi, Adv. Mater. Interfaces </w:t>
      </w:r>
      <w:r w:rsidRPr="00D5442E">
        <w:rPr>
          <w:rFonts w:ascii="Times New Roman" w:hAnsi="Times New Roman"/>
          <w:b/>
          <w:bCs/>
          <w:noProof/>
          <w:kern w:val="0"/>
          <w:sz w:val="24"/>
        </w:rPr>
        <w:t>5</w:t>
      </w:r>
      <w:r w:rsidRPr="00D5442E">
        <w:rPr>
          <w:rFonts w:ascii="Times New Roman" w:hAnsi="Times New Roman"/>
          <w:noProof/>
          <w:kern w:val="0"/>
          <w:sz w:val="24"/>
        </w:rPr>
        <w:t xml:space="preserve"> [1], 1700623 (2018).</w:t>
      </w:r>
    </w:p>
    <w:p w14:paraId="5CA40E8F" w14:textId="284B3BD4"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4</w:t>
      </w:r>
      <w:r w:rsidR="00EC51C9">
        <w:rPr>
          <w:rFonts w:ascii="Times New Roman" w:hAnsi="Times New Roman"/>
          <w:noProof/>
          <w:kern w:val="0"/>
          <w:sz w:val="24"/>
        </w:rPr>
        <w:t>3</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D. Yang, X. Zhou, R. Yang, Z. Yang, W. Yu, X. Wang, C. Li, S. F. Liu and R. P. H. Chang, Energy Environ. Sci. </w:t>
      </w:r>
      <w:r w:rsidRPr="00D5442E">
        <w:rPr>
          <w:rFonts w:ascii="Times New Roman" w:hAnsi="Times New Roman"/>
          <w:b/>
          <w:bCs/>
          <w:noProof/>
          <w:kern w:val="0"/>
          <w:sz w:val="24"/>
        </w:rPr>
        <w:t>9</w:t>
      </w:r>
      <w:r w:rsidRPr="00D5442E">
        <w:rPr>
          <w:rFonts w:ascii="Times New Roman" w:hAnsi="Times New Roman"/>
          <w:noProof/>
          <w:kern w:val="0"/>
          <w:sz w:val="24"/>
        </w:rPr>
        <w:t xml:space="preserve"> [10], 3071 (2016).</w:t>
      </w:r>
    </w:p>
    <w:p w14:paraId="1CCF6369" w14:textId="4A74D361"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4</w:t>
      </w:r>
      <w:r w:rsidR="00EC51C9">
        <w:rPr>
          <w:rFonts w:ascii="Times New Roman" w:hAnsi="Times New Roman"/>
          <w:noProof/>
          <w:kern w:val="0"/>
          <w:sz w:val="24"/>
        </w:rPr>
        <w:t>4</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Z.-K. Tang, Z.-F. Xu, D.-Y. Zhang, S.-X. Hu, W.-M. Lau and L.-M. Liu, Sci. Rep. </w:t>
      </w:r>
      <w:r w:rsidRPr="00D5442E">
        <w:rPr>
          <w:rFonts w:ascii="Times New Roman" w:hAnsi="Times New Roman"/>
          <w:b/>
          <w:bCs/>
          <w:noProof/>
          <w:kern w:val="0"/>
          <w:sz w:val="24"/>
        </w:rPr>
        <w:t>7</w:t>
      </w:r>
      <w:r w:rsidRPr="00D5442E">
        <w:rPr>
          <w:rFonts w:ascii="Times New Roman" w:hAnsi="Times New Roman"/>
          <w:noProof/>
          <w:kern w:val="0"/>
          <w:sz w:val="24"/>
        </w:rPr>
        <w:t xml:space="preserve"> [1], 1 (2017).</w:t>
      </w:r>
    </w:p>
    <w:p w14:paraId="5B25765B" w14:textId="28748496"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4</w:t>
      </w:r>
      <w:r w:rsidR="00EC51C9">
        <w:rPr>
          <w:rFonts w:ascii="Times New Roman" w:hAnsi="Times New Roman"/>
          <w:noProof/>
          <w:kern w:val="0"/>
          <w:sz w:val="24"/>
        </w:rPr>
        <w:t>5</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R. F. Reyna, A. Martı́ and J. C. Maroto, Solid. State. Electron. </w:t>
      </w:r>
      <w:r w:rsidRPr="00D5442E">
        <w:rPr>
          <w:rFonts w:ascii="Times New Roman" w:hAnsi="Times New Roman"/>
          <w:b/>
          <w:bCs/>
          <w:noProof/>
          <w:kern w:val="0"/>
          <w:sz w:val="24"/>
        </w:rPr>
        <w:t>42</w:t>
      </w:r>
      <w:r w:rsidRPr="00D5442E">
        <w:rPr>
          <w:rFonts w:ascii="Times New Roman" w:hAnsi="Times New Roman"/>
          <w:noProof/>
          <w:kern w:val="0"/>
          <w:sz w:val="24"/>
        </w:rPr>
        <w:t xml:space="preserve"> [4], 567 (1998).</w:t>
      </w:r>
    </w:p>
    <w:p w14:paraId="473A5846" w14:textId="74F8B45E" w:rsidR="001C7AAA" w:rsidRPr="00D5442E" w:rsidRDefault="001C7AAA" w:rsidP="00D5442E">
      <w:pPr>
        <w:autoSpaceDE w:val="0"/>
        <w:autoSpaceDN w:val="0"/>
        <w:adjustRightInd w:val="0"/>
        <w:spacing w:line="360" w:lineRule="auto"/>
        <w:rPr>
          <w:rFonts w:ascii="Times New Roman" w:hAnsi="Times New Roman"/>
          <w:noProof/>
          <w:kern w:val="0"/>
          <w:sz w:val="24"/>
        </w:rPr>
      </w:pPr>
      <w:r w:rsidRPr="00D5442E">
        <w:rPr>
          <w:rFonts w:ascii="Times New Roman" w:hAnsi="Times New Roman"/>
          <w:noProof/>
          <w:kern w:val="0"/>
          <w:sz w:val="24"/>
        </w:rPr>
        <w:t>4</w:t>
      </w:r>
      <w:r w:rsidR="00EC51C9">
        <w:rPr>
          <w:rFonts w:ascii="Times New Roman" w:hAnsi="Times New Roman"/>
          <w:noProof/>
          <w:kern w:val="0"/>
          <w:sz w:val="24"/>
        </w:rPr>
        <w:t>6</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D. Walter, Y. Wu, T. Duong, J. Peng, L. Jiang, K. C. Fong and K. Weber, Adv. Energy Mater. </w:t>
      </w:r>
      <w:r w:rsidRPr="00D5442E">
        <w:rPr>
          <w:rFonts w:ascii="Times New Roman" w:hAnsi="Times New Roman"/>
          <w:b/>
          <w:bCs/>
          <w:noProof/>
          <w:kern w:val="0"/>
          <w:sz w:val="24"/>
        </w:rPr>
        <w:t>8</w:t>
      </w:r>
      <w:r w:rsidRPr="00D5442E">
        <w:rPr>
          <w:rFonts w:ascii="Times New Roman" w:hAnsi="Times New Roman"/>
          <w:noProof/>
          <w:kern w:val="0"/>
          <w:sz w:val="24"/>
        </w:rPr>
        <w:t xml:space="preserve"> [2], 1701522 (2018).</w:t>
      </w:r>
    </w:p>
    <w:p w14:paraId="24595FC1" w14:textId="358D4C6A" w:rsidR="001C7AAA" w:rsidRPr="00D5442E" w:rsidRDefault="001C7AAA" w:rsidP="00D5442E">
      <w:pPr>
        <w:autoSpaceDE w:val="0"/>
        <w:autoSpaceDN w:val="0"/>
        <w:adjustRightInd w:val="0"/>
        <w:spacing w:line="360" w:lineRule="auto"/>
        <w:rPr>
          <w:rFonts w:ascii="Times New Roman" w:hAnsi="Times New Roman"/>
          <w:noProof/>
          <w:sz w:val="24"/>
        </w:rPr>
      </w:pPr>
      <w:r w:rsidRPr="00D5442E">
        <w:rPr>
          <w:rFonts w:ascii="Times New Roman" w:hAnsi="Times New Roman"/>
          <w:noProof/>
          <w:kern w:val="0"/>
          <w:sz w:val="24"/>
        </w:rPr>
        <w:t>4</w:t>
      </w:r>
      <w:r w:rsidR="00EC51C9">
        <w:rPr>
          <w:rFonts w:ascii="Times New Roman" w:hAnsi="Times New Roman"/>
          <w:noProof/>
          <w:kern w:val="0"/>
          <w:sz w:val="24"/>
        </w:rPr>
        <w:t>7</w:t>
      </w:r>
      <w:r w:rsidRPr="00D5442E">
        <w:rPr>
          <w:rFonts w:ascii="Times New Roman" w:hAnsi="Times New Roman"/>
          <w:noProof/>
          <w:kern w:val="0"/>
          <w:sz w:val="24"/>
        </w:rPr>
        <w:t>)</w:t>
      </w:r>
      <w:r w:rsidR="00D5442E">
        <w:rPr>
          <w:rFonts w:ascii="Times New Roman" w:hAnsi="Times New Roman"/>
          <w:noProof/>
          <w:kern w:val="0"/>
          <w:sz w:val="24"/>
        </w:rPr>
        <w:t xml:space="preserve"> </w:t>
      </w:r>
      <w:r w:rsidRPr="00D5442E">
        <w:rPr>
          <w:rFonts w:ascii="Times New Roman" w:hAnsi="Times New Roman"/>
          <w:noProof/>
          <w:kern w:val="0"/>
          <w:sz w:val="24"/>
        </w:rPr>
        <w:t xml:space="preserve">G. T. Koishiyev and J. R. Sites, Sol. Energy Mater. Sol. Cells </w:t>
      </w:r>
      <w:r w:rsidRPr="00D5442E">
        <w:rPr>
          <w:rFonts w:ascii="Times New Roman" w:hAnsi="Times New Roman"/>
          <w:b/>
          <w:bCs/>
          <w:noProof/>
          <w:kern w:val="0"/>
          <w:sz w:val="24"/>
        </w:rPr>
        <w:t>93</w:t>
      </w:r>
      <w:r w:rsidRPr="00D5442E">
        <w:rPr>
          <w:rFonts w:ascii="Times New Roman" w:hAnsi="Times New Roman"/>
          <w:noProof/>
          <w:kern w:val="0"/>
          <w:sz w:val="24"/>
        </w:rPr>
        <w:t xml:space="preserve"> [3], 350 (2009).</w:t>
      </w:r>
    </w:p>
    <w:p w14:paraId="1CABE6F0" w14:textId="51F4396B" w:rsidR="00594794" w:rsidRPr="00D5442E" w:rsidRDefault="00D7248C" w:rsidP="00BC495F">
      <w:pPr>
        <w:widowControl/>
        <w:jc w:val="left"/>
        <w:rPr>
          <w:rFonts w:ascii="Times New Roman" w:eastAsiaTheme="minorEastAsia" w:hAnsi="Times New Roman"/>
          <w:sz w:val="20"/>
        </w:rPr>
      </w:pPr>
      <w:r>
        <w:rPr>
          <w:rFonts w:eastAsiaTheme="minorEastAsia"/>
        </w:rPr>
        <w:br w:type="page"/>
      </w:r>
    </w:p>
    <w:p w14:paraId="6D17EBF8" w14:textId="77777777" w:rsidR="00D536BC" w:rsidRPr="00D536BC" w:rsidRDefault="00D536BC" w:rsidP="00594794">
      <w:pPr>
        <w:spacing w:line="360" w:lineRule="auto"/>
        <w:ind w:right="945"/>
        <w:rPr>
          <w:rFonts w:asciiTheme="majorHAnsi" w:hAnsiTheme="majorHAnsi" w:cstheme="majorHAnsi"/>
          <w:b/>
          <w:sz w:val="24"/>
        </w:rPr>
      </w:pPr>
      <w:r w:rsidRPr="00D536BC">
        <w:rPr>
          <w:rFonts w:asciiTheme="majorHAnsi" w:eastAsia="MS Gothic" w:hAnsiTheme="majorHAnsi" w:cstheme="majorHAnsi"/>
          <w:b/>
          <w:kern w:val="0"/>
          <w:sz w:val="28"/>
          <w:szCs w:val="28"/>
        </w:rPr>
        <w:lastRenderedPageBreak/>
        <w:t>Figure Captions</w:t>
      </w:r>
    </w:p>
    <w:p w14:paraId="19343085" w14:textId="1D4AD382" w:rsidR="002921C5" w:rsidRPr="002921C5" w:rsidRDefault="00341F2C" w:rsidP="002921C5">
      <w:pPr>
        <w:spacing w:line="360" w:lineRule="auto"/>
        <w:rPr>
          <w:rFonts w:ascii="Times New Roman" w:hAnsi="Times New Roman"/>
          <w:sz w:val="24"/>
        </w:rPr>
      </w:pPr>
      <w:r>
        <w:rPr>
          <w:rFonts w:ascii="Times New Roman" w:hAnsi="Times New Roman"/>
          <w:b/>
          <w:sz w:val="24"/>
        </w:rPr>
        <w:t>Fig</w:t>
      </w:r>
      <w:r w:rsidR="00594794" w:rsidRPr="00594794">
        <w:rPr>
          <w:rFonts w:ascii="Times New Roman" w:hAnsi="Times New Roman"/>
          <w:b/>
          <w:sz w:val="24"/>
        </w:rPr>
        <w:t>. 1.</w:t>
      </w:r>
      <w:r w:rsidR="00594794" w:rsidRPr="00594794">
        <w:rPr>
          <w:rFonts w:ascii="Times New Roman" w:hAnsi="Times New Roman"/>
          <w:sz w:val="24"/>
        </w:rPr>
        <w:t xml:space="preserve"> </w:t>
      </w:r>
      <w:r w:rsidR="002921C5" w:rsidRPr="002921C5">
        <w:rPr>
          <w:rFonts w:ascii="Times New Roman" w:hAnsi="Times New Roman"/>
          <w:sz w:val="24"/>
        </w:rPr>
        <w:t>(a) Device architecture of n-</w:t>
      </w:r>
      <w:proofErr w:type="spellStart"/>
      <w:r w:rsidR="002921C5" w:rsidRPr="002921C5">
        <w:rPr>
          <w:rFonts w:ascii="Times New Roman" w:hAnsi="Times New Roman"/>
          <w:sz w:val="24"/>
        </w:rPr>
        <w:t>i</w:t>
      </w:r>
      <w:proofErr w:type="spellEnd"/>
      <w:r w:rsidR="002921C5" w:rsidRPr="002921C5">
        <w:rPr>
          <w:rFonts w:ascii="Times New Roman" w:hAnsi="Times New Roman"/>
          <w:sz w:val="24"/>
        </w:rPr>
        <w:t>-p MAPbI</w:t>
      </w:r>
      <w:r w:rsidR="002921C5" w:rsidRPr="002921C5">
        <w:rPr>
          <w:rFonts w:ascii="Times New Roman" w:hAnsi="Times New Roman"/>
          <w:sz w:val="24"/>
          <w:vertAlign w:val="subscript"/>
        </w:rPr>
        <w:t>3</w:t>
      </w:r>
      <w:r w:rsidR="002921C5" w:rsidRPr="002921C5">
        <w:rPr>
          <w:rFonts w:ascii="Times New Roman" w:hAnsi="Times New Roman"/>
          <w:sz w:val="24"/>
        </w:rPr>
        <w:t xml:space="preserve"> PSC for SCAPS simulation and</w:t>
      </w:r>
      <w:r w:rsidR="002921C5">
        <w:rPr>
          <w:rFonts w:ascii="Times New Roman" w:hAnsi="Times New Roman"/>
          <w:sz w:val="24"/>
        </w:rPr>
        <w:t xml:space="preserve"> </w:t>
      </w:r>
      <w:r w:rsidR="002921C5" w:rsidRPr="002921C5">
        <w:rPr>
          <w:rFonts w:ascii="Times New Roman" w:hAnsi="Times New Roman"/>
          <w:sz w:val="24"/>
        </w:rPr>
        <w:t>(b) the corresponding energy level diagram</w:t>
      </w:r>
      <w:r w:rsidR="002921C5">
        <w:rPr>
          <w:rFonts w:ascii="Times New Roman" w:hAnsi="Times New Roman"/>
          <w:sz w:val="24"/>
        </w:rPr>
        <w:t>.</w:t>
      </w:r>
    </w:p>
    <w:p w14:paraId="75CF88A8" w14:textId="77777777" w:rsidR="00D536BC" w:rsidRPr="00594794" w:rsidRDefault="00D536BC" w:rsidP="00D536BC">
      <w:pPr>
        <w:spacing w:line="360" w:lineRule="auto"/>
        <w:rPr>
          <w:rFonts w:ascii="Times New Roman" w:hAnsi="Times New Roman"/>
          <w:sz w:val="24"/>
        </w:rPr>
      </w:pPr>
    </w:p>
    <w:p w14:paraId="35BA904A" w14:textId="1AB68EF6" w:rsidR="00D536BC" w:rsidRDefault="00D536BC" w:rsidP="00D536BC">
      <w:pPr>
        <w:spacing w:line="360" w:lineRule="auto"/>
        <w:rPr>
          <w:rFonts w:ascii="Times New Roman" w:hAnsi="Times New Roman"/>
          <w:sz w:val="22"/>
          <w:szCs w:val="22"/>
        </w:rPr>
      </w:pPr>
      <w:r w:rsidRPr="00594794">
        <w:rPr>
          <w:rFonts w:ascii="Times New Roman" w:hAnsi="Times New Roman"/>
          <w:b/>
          <w:sz w:val="24"/>
        </w:rPr>
        <w:t>Fig</w:t>
      </w:r>
      <w:r>
        <w:rPr>
          <w:rFonts w:ascii="Times New Roman" w:hAnsi="Times New Roman"/>
          <w:b/>
          <w:sz w:val="24"/>
        </w:rPr>
        <w:t>. 2.</w:t>
      </w:r>
      <w:r w:rsidRPr="00594794">
        <w:rPr>
          <w:rFonts w:ascii="Times New Roman" w:hAnsi="Times New Roman"/>
          <w:sz w:val="24"/>
        </w:rPr>
        <w:t xml:space="preserve"> </w:t>
      </w:r>
      <w:r w:rsidR="007C73BF">
        <w:rPr>
          <w:rFonts w:ascii="Times New Roman" w:hAnsi="Times New Roman"/>
          <w:sz w:val="24"/>
        </w:rPr>
        <w:t xml:space="preserve">(a) Optical </w:t>
      </w:r>
      <w:r w:rsidR="007C73BF" w:rsidRPr="007C73BF">
        <w:rPr>
          <w:rFonts w:ascii="Times New Roman" w:hAnsi="Times New Roman"/>
          <w:sz w:val="24"/>
        </w:rPr>
        <w:t>absor</w:t>
      </w:r>
      <w:r w:rsidR="007C73BF">
        <w:rPr>
          <w:rFonts w:ascii="Times New Roman" w:hAnsi="Times New Roman"/>
          <w:sz w:val="24"/>
        </w:rPr>
        <w:t>bance</w:t>
      </w:r>
      <w:r w:rsidR="007C73BF" w:rsidRPr="007C73BF">
        <w:rPr>
          <w:rFonts w:ascii="Times New Roman" w:hAnsi="Times New Roman"/>
          <w:sz w:val="24"/>
        </w:rPr>
        <w:t xml:space="preserve"> of </w:t>
      </w:r>
      <w:r w:rsidR="007C73BF">
        <w:rPr>
          <w:rFonts w:ascii="Times New Roman" w:hAnsi="Times New Roman"/>
          <w:sz w:val="24"/>
        </w:rPr>
        <w:t>MAPbI</w:t>
      </w:r>
      <w:r w:rsidR="007C73BF" w:rsidRPr="007C73BF">
        <w:rPr>
          <w:rFonts w:ascii="Times New Roman" w:hAnsi="Times New Roman"/>
          <w:sz w:val="24"/>
          <w:vertAlign w:val="subscript"/>
        </w:rPr>
        <w:t>3</w:t>
      </w:r>
      <w:r w:rsidR="007C73BF" w:rsidRPr="007C73BF">
        <w:rPr>
          <w:rFonts w:ascii="Times New Roman" w:hAnsi="Times New Roman"/>
          <w:sz w:val="24"/>
        </w:rPr>
        <w:t xml:space="preserve"> layer based on SCAPs simulation</w:t>
      </w:r>
      <w:r w:rsidR="007C73BF" w:rsidRPr="007C73BF">
        <w:rPr>
          <w:rFonts w:ascii="Times New Roman" w:hAnsi="Times New Roman"/>
          <w:sz w:val="24"/>
        </w:rPr>
        <w:t xml:space="preserve"> </w:t>
      </w:r>
      <w:r w:rsidR="007C73BF">
        <w:rPr>
          <w:rFonts w:ascii="Times New Roman" w:hAnsi="Times New Roman"/>
          <w:sz w:val="24"/>
        </w:rPr>
        <w:t xml:space="preserve">(b) </w:t>
      </w:r>
      <w:r w:rsidR="002921C5" w:rsidRPr="002921C5">
        <w:rPr>
          <w:rFonts w:ascii="Times New Roman" w:hAnsi="Times New Roman"/>
          <w:sz w:val="24"/>
        </w:rPr>
        <w:t>J-V curve based on simulation and experimental result, respectively.</w:t>
      </w:r>
    </w:p>
    <w:p w14:paraId="513E3914" w14:textId="77777777" w:rsidR="00D536BC" w:rsidRDefault="00D536BC" w:rsidP="00D536BC">
      <w:pPr>
        <w:spacing w:line="360" w:lineRule="auto"/>
        <w:rPr>
          <w:rFonts w:ascii="Times New Roman" w:hAnsi="Times New Roman"/>
          <w:sz w:val="22"/>
          <w:szCs w:val="22"/>
        </w:rPr>
      </w:pPr>
    </w:p>
    <w:p w14:paraId="6369BC9F" w14:textId="5AA0D16E" w:rsidR="002921C5" w:rsidRPr="002921C5" w:rsidRDefault="002921C5" w:rsidP="002921C5">
      <w:pPr>
        <w:spacing w:line="360" w:lineRule="auto"/>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Pr>
          <w:rFonts w:ascii="Times New Roman" w:hAnsi="Times New Roman"/>
          <w:b/>
          <w:sz w:val="24"/>
        </w:rPr>
        <w:t>3</w:t>
      </w:r>
      <w:r w:rsidRPr="00594794">
        <w:rPr>
          <w:rFonts w:ascii="Times New Roman" w:hAnsi="Times New Roman"/>
          <w:b/>
          <w:sz w:val="24"/>
        </w:rPr>
        <w:t>.</w:t>
      </w:r>
      <w:r w:rsidRPr="00594794">
        <w:rPr>
          <w:rFonts w:ascii="Times New Roman" w:hAnsi="Times New Roman"/>
          <w:sz w:val="24"/>
        </w:rPr>
        <w:t xml:space="preserve"> </w:t>
      </w:r>
      <w:r w:rsidRPr="002921C5">
        <w:rPr>
          <w:rFonts w:ascii="Times New Roman" w:hAnsi="Times New Roman"/>
          <w:sz w:val="24"/>
        </w:rPr>
        <w:t>(a) Recombination rate and (b) J-V curves based on different defect density in absorber layer</w:t>
      </w:r>
      <w:r>
        <w:rPr>
          <w:rFonts w:ascii="Times New Roman" w:hAnsi="Times New Roman"/>
          <w:sz w:val="24"/>
        </w:rPr>
        <w:t>.</w:t>
      </w:r>
    </w:p>
    <w:p w14:paraId="5B209812" w14:textId="77777777" w:rsidR="00D536BC" w:rsidRPr="002921C5" w:rsidRDefault="00D536BC" w:rsidP="00E522AC">
      <w:pPr>
        <w:spacing w:line="360" w:lineRule="auto"/>
        <w:rPr>
          <w:rFonts w:ascii="Times New Roman" w:hAnsi="Times New Roman"/>
          <w:sz w:val="24"/>
        </w:rPr>
      </w:pPr>
    </w:p>
    <w:p w14:paraId="4EF1CCB5" w14:textId="5AA3272E" w:rsidR="002921C5" w:rsidRPr="002921C5" w:rsidRDefault="002921C5" w:rsidP="002921C5">
      <w:pPr>
        <w:spacing w:line="360" w:lineRule="auto"/>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Pr>
          <w:rFonts w:ascii="Times New Roman" w:hAnsi="Times New Roman"/>
          <w:b/>
          <w:sz w:val="24"/>
        </w:rPr>
        <w:t>4</w:t>
      </w:r>
      <w:r w:rsidRPr="00594794">
        <w:rPr>
          <w:rFonts w:ascii="Times New Roman" w:hAnsi="Times New Roman"/>
          <w:b/>
          <w:sz w:val="24"/>
        </w:rPr>
        <w:t>.</w:t>
      </w:r>
      <w:r w:rsidRPr="00594794">
        <w:rPr>
          <w:rFonts w:ascii="Times New Roman" w:hAnsi="Times New Roman"/>
          <w:sz w:val="24"/>
        </w:rPr>
        <w:t xml:space="preserve"> </w:t>
      </w:r>
      <w:r w:rsidRPr="002921C5">
        <w:rPr>
          <w:rFonts w:ascii="Times New Roman" w:hAnsi="Times New Roman"/>
          <w:sz w:val="24"/>
        </w:rPr>
        <w:t>J-V characteristics with varied carrier diffusion length: (a) PCE, (b)</w:t>
      </w:r>
      <w:r w:rsidRPr="002921C5">
        <w:rPr>
          <w:rFonts w:ascii="Times New Roman" w:hAnsi="Times New Roman" w:hint="eastAsia"/>
          <w:sz w:val="24"/>
        </w:rPr>
        <w:t xml:space="preserve"> </w:t>
      </w:r>
      <w:proofErr w:type="spellStart"/>
      <w:r w:rsidRPr="002921C5">
        <w:rPr>
          <w:rFonts w:ascii="Times New Roman" w:hAnsi="Times New Roman" w:hint="eastAsia"/>
          <w:sz w:val="24"/>
        </w:rPr>
        <w:t>V</w:t>
      </w:r>
      <w:r w:rsidRPr="002921C5">
        <w:rPr>
          <w:rFonts w:ascii="Times New Roman" w:hAnsi="Times New Roman" w:hint="eastAsia"/>
          <w:sz w:val="24"/>
          <w:vertAlign w:val="subscript"/>
        </w:rPr>
        <w:t>oc</w:t>
      </w:r>
      <w:proofErr w:type="spellEnd"/>
      <w:r w:rsidRPr="002921C5">
        <w:rPr>
          <w:rFonts w:ascii="Times New Roman" w:hAnsi="Times New Roman"/>
          <w:sz w:val="24"/>
        </w:rPr>
        <w:t>, (c)</w:t>
      </w:r>
      <w:r w:rsidRPr="002921C5">
        <w:rPr>
          <w:rFonts w:ascii="Times New Roman" w:hAnsi="Times New Roman" w:hint="eastAsia"/>
          <w:sz w:val="24"/>
        </w:rPr>
        <w:t xml:space="preserve"> </w:t>
      </w:r>
      <w:proofErr w:type="spellStart"/>
      <w:r w:rsidRPr="002921C5">
        <w:rPr>
          <w:rFonts w:ascii="Times New Roman" w:hAnsi="Times New Roman" w:hint="eastAsia"/>
          <w:sz w:val="24"/>
        </w:rPr>
        <w:t>J</w:t>
      </w:r>
      <w:r w:rsidRPr="002921C5">
        <w:rPr>
          <w:rFonts w:ascii="Times New Roman" w:hAnsi="Times New Roman" w:hint="eastAsia"/>
          <w:sz w:val="24"/>
          <w:vertAlign w:val="subscript"/>
        </w:rPr>
        <w:t>sc</w:t>
      </w:r>
      <w:proofErr w:type="spellEnd"/>
      <w:r w:rsidRPr="002921C5">
        <w:rPr>
          <w:rFonts w:ascii="Times New Roman" w:hAnsi="Times New Roman"/>
          <w:sz w:val="24"/>
          <w:vertAlign w:val="subscript"/>
        </w:rPr>
        <w:t xml:space="preserve"> </w:t>
      </w:r>
      <w:r w:rsidRPr="002921C5">
        <w:rPr>
          <w:rFonts w:ascii="Times New Roman" w:hAnsi="Times New Roman"/>
          <w:sz w:val="24"/>
        </w:rPr>
        <w:t>and (d) FF</w:t>
      </w:r>
      <w:r>
        <w:rPr>
          <w:rFonts w:ascii="Times New Roman" w:hAnsi="Times New Roman"/>
          <w:sz w:val="24"/>
        </w:rPr>
        <w:t>.</w:t>
      </w:r>
    </w:p>
    <w:p w14:paraId="43081288" w14:textId="77777777" w:rsidR="00594794" w:rsidRPr="002921C5" w:rsidRDefault="00594794" w:rsidP="00E522AC">
      <w:pPr>
        <w:spacing w:line="360" w:lineRule="auto"/>
        <w:rPr>
          <w:rFonts w:ascii="Times New Roman" w:hAnsi="Times New Roman"/>
          <w:sz w:val="22"/>
          <w:szCs w:val="22"/>
        </w:rPr>
      </w:pPr>
    </w:p>
    <w:p w14:paraId="2D470FFA" w14:textId="5E4EE711" w:rsidR="002921C5" w:rsidRPr="002921C5" w:rsidRDefault="002921C5" w:rsidP="002921C5">
      <w:pPr>
        <w:spacing w:line="360" w:lineRule="auto"/>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sidR="00231A7E">
        <w:rPr>
          <w:rFonts w:ascii="Times New Roman" w:hAnsi="Times New Roman"/>
          <w:b/>
          <w:sz w:val="24"/>
        </w:rPr>
        <w:t>5</w:t>
      </w:r>
      <w:r w:rsidRPr="00594794">
        <w:rPr>
          <w:rFonts w:ascii="Times New Roman" w:hAnsi="Times New Roman"/>
          <w:b/>
          <w:sz w:val="24"/>
        </w:rPr>
        <w:t>.</w:t>
      </w:r>
      <w:r w:rsidRPr="00594794">
        <w:rPr>
          <w:rFonts w:ascii="Times New Roman" w:hAnsi="Times New Roman"/>
          <w:sz w:val="24"/>
        </w:rPr>
        <w:t xml:space="preserve"> </w:t>
      </w:r>
      <w:r w:rsidR="00F81866" w:rsidRPr="00F81866">
        <w:rPr>
          <w:rFonts w:ascii="Times New Roman" w:hAnsi="Times New Roman"/>
          <w:sz w:val="24"/>
        </w:rPr>
        <w:t>The variations of J-V characteristics as a function of absorber thickness</w:t>
      </w:r>
      <w:r w:rsidR="00F81866">
        <w:rPr>
          <w:rFonts w:ascii="Times New Roman" w:hAnsi="Times New Roman"/>
          <w:sz w:val="24"/>
        </w:rPr>
        <w:t>.</w:t>
      </w:r>
    </w:p>
    <w:p w14:paraId="27BBC519" w14:textId="77777777" w:rsidR="00594794" w:rsidRPr="002921C5" w:rsidRDefault="00594794" w:rsidP="00E522AC">
      <w:pPr>
        <w:spacing w:line="360" w:lineRule="auto"/>
        <w:rPr>
          <w:rFonts w:ascii="Times New Roman" w:hAnsi="Times New Roman"/>
          <w:sz w:val="22"/>
          <w:szCs w:val="22"/>
        </w:rPr>
      </w:pPr>
    </w:p>
    <w:p w14:paraId="698513D1" w14:textId="696DA1EF" w:rsidR="00594794" w:rsidRDefault="002921C5" w:rsidP="00E522AC">
      <w:pPr>
        <w:spacing w:line="360" w:lineRule="auto"/>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sidR="00231A7E">
        <w:rPr>
          <w:rFonts w:ascii="Times New Roman" w:hAnsi="Times New Roman"/>
          <w:b/>
          <w:sz w:val="24"/>
        </w:rPr>
        <w:t>6</w:t>
      </w:r>
      <w:r w:rsidRPr="00594794">
        <w:rPr>
          <w:rFonts w:ascii="Times New Roman" w:hAnsi="Times New Roman"/>
          <w:b/>
          <w:sz w:val="24"/>
        </w:rPr>
        <w:t>.</w:t>
      </w:r>
      <w:r w:rsidRPr="00594794">
        <w:rPr>
          <w:rFonts w:ascii="Times New Roman" w:hAnsi="Times New Roman"/>
          <w:sz w:val="24"/>
        </w:rPr>
        <w:t xml:space="preserve"> </w:t>
      </w:r>
      <w:r w:rsidR="00F81866" w:rsidRPr="00F81866">
        <w:rPr>
          <w:rFonts w:ascii="Times New Roman" w:hAnsi="Times New Roman"/>
          <w:sz w:val="24"/>
        </w:rPr>
        <w:t>The variations of J-V characteristics as a function of (a) ETL thickness and (b) HTL thickness</w:t>
      </w:r>
      <w:r w:rsidR="00F81866">
        <w:rPr>
          <w:rFonts w:ascii="Times New Roman" w:hAnsi="Times New Roman"/>
          <w:sz w:val="24"/>
        </w:rPr>
        <w:t>.</w:t>
      </w:r>
    </w:p>
    <w:p w14:paraId="138D8043" w14:textId="77777777" w:rsidR="00F81866" w:rsidRPr="00F81866" w:rsidRDefault="00F81866" w:rsidP="00E522AC">
      <w:pPr>
        <w:spacing w:line="360" w:lineRule="auto"/>
        <w:rPr>
          <w:rFonts w:ascii="Times New Roman" w:hAnsi="Times New Roman"/>
          <w:sz w:val="24"/>
        </w:rPr>
      </w:pPr>
    </w:p>
    <w:p w14:paraId="235CB36B" w14:textId="5BAC76FC" w:rsidR="002921C5" w:rsidRPr="002921C5" w:rsidRDefault="002921C5" w:rsidP="002921C5">
      <w:pPr>
        <w:spacing w:line="360" w:lineRule="auto"/>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sidR="00693C77">
        <w:rPr>
          <w:rFonts w:ascii="Times New Roman" w:hAnsi="Times New Roman"/>
          <w:b/>
          <w:sz w:val="24"/>
        </w:rPr>
        <w:t>7</w:t>
      </w:r>
      <w:r w:rsidRPr="00594794">
        <w:rPr>
          <w:rFonts w:ascii="Times New Roman" w:hAnsi="Times New Roman"/>
          <w:b/>
          <w:sz w:val="24"/>
        </w:rPr>
        <w:t>.</w:t>
      </w:r>
      <w:r w:rsidRPr="00594794">
        <w:rPr>
          <w:rFonts w:ascii="Times New Roman" w:hAnsi="Times New Roman"/>
          <w:sz w:val="24"/>
        </w:rPr>
        <w:t xml:space="preserve"> </w:t>
      </w:r>
      <w:r w:rsidR="00F81866" w:rsidRPr="00F81866">
        <w:rPr>
          <w:rFonts w:ascii="Times New Roman" w:hAnsi="Times New Roman"/>
          <w:sz w:val="24"/>
        </w:rPr>
        <w:t>(a) Recombination rate</w:t>
      </w:r>
      <w:r w:rsidR="00F81866" w:rsidRPr="00BC6224">
        <w:rPr>
          <w:rFonts w:ascii="Times New Roman" w:hAnsi="Times New Roman"/>
          <w:color w:val="0000FF"/>
          <w:sz w:val="24"/>
        </w:rPr>
        <w:t xml:space="preserve"> </w:t>
      </w:r>
      <w:r w:rsidR="00BC6224" w:rsidRPr="00BB34D6">
        <w:rPr>
          <w:rFonts w:ascii="Times New Roman" w:hAnsi="Times New Roman"/>
          <w:sz w:val="24"/>
        </w:rPr>
        <w:t xml:space="preserve">from HTL-side to ETL-side </w:t>
      </w:r>
      <w:r w:rsidR="00F81866" w:rsidRPr="00F81866">
        <w:rPr>
          <w:rFonts w:ascii="Times New Roman" w:hAnsi="Times New Roman"/>
          <w:sz w:val="24"/>
        </w:rPr>
        <w:t xml:space="preserve">and J-V curves based on varied defect density in interfaces of </w:t>
      </w:r>
      <w:r w:rsidR="00E66C79" w:rsidRPr="00F81866">
        <w:rPr>
          <w:rFonts w:ascii="Times New Roman" w:hAnsi="Times New Roman"/>
          <w:sz w:val="24"/>
        </w:rPr>
        <w:t>(b)</w:t>
      </w:r>
      <w:r w:rsidR="00E66C79">
        <w:rPr>
          <w:rFonts w:ascii="Times New Roman" w:hAnsi="Times New Roman"/>
          <w:sz w:val="24"/>
        </w:rPr>
        <w:t xml:space="preserve"> </w:t>
      </w:r>
      <w:r w:rsidR="00F81866" w:rsidRPr="00F81866">
        <w:rPr>
          <w:rFonts w:ascii="Times New Roman" w:hAnsi="Times New Roman"/>
          <w:sz w:val="24"/>
        </w:rPr>
        <w:t xml:space="preserve">ETL/absorber and </w:t>
      </w:r>
      <w:r w:rsidR="00E66C79">
        <w:rPr>
          <w:rFonts w:ascii="Times New Roman" w:hAnsi="Times New Roman"/>
          <w:sz w:val="24"/>
        </w:rPr>
        <w:t xml:space="preserve">(c) </w:t>
      </w:r>
      <w:r w:rsidR="00F81866" w:rsidRPr="00F81866">
        <w:rPr>
          <w:rFonts w:ascii="Times New Roman" w:hAnsi="Times New Roman"/>
          <w:sz w:val="24"/>
        </w:rPr>
        <w:t>absorber/HTL</w:t>
      </w:r>
      <w:r w:rsidR="00F81866">
        <w:rPr>
          <w:rFonts w:ascii="Times New Roman" w:hAnsi="Times New Roman"/>
          <w:sz w:val="24"/>
        </w:rPr>
        <w:t>.</w:t>
      </w:r>
    </w:p>
    <w:p w14:paraId="31561A8F" w14:textId="77777777" w:rsidR="00594794" w:rsidRPr="002921C5" w:rsidRDefault="00594794" w:rsidP="00E522AC">
      <w:pPr>
        <w:spacing w:line="360" w:lineRule="auto"/>
        <w:rPr>
          <w:rFonts w:ascii="Times New Roman" w:hAnsi="Times New Roman"/>
          <w:sz w:val="22"/>
          <w:szCs w:val="22"/>
        </w:rPr>
      </w:pPr>
    </w:p>
    <w:p w14:paraId="365BE85D" w14:textId="5BE8B02B" w:rsidR="002921C5" w:rsidRPr="002921C5" w:rsidRDefault="002921C5" w:rsidP="002921C5">
      <w:pPr>
        <w:spacing w:line="360" w:lineRule="auto"/>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sidR="002B3135">
        <w:rPr>
          <w:rFonts w:ascii="Times New Roman" w:hAnsi="Times New Roman"/>
          <w:b/>
          <w:sz w:val="24"/>
        </w:rPr>
        <w:t>8</w:t>
      </w:r>
      <w:r w:rsidRPr="00594794">
        <w:rPr>
          <w:rFonts w:ascii="Times New Roman" w:hAnsi="Times New Roman"/>
          <w:b/>
          <w:sz w:val="24"/>
        </w:rPr>
        <w:t>.</w:t>
      </w:r>
      <w:r w:rsidRPr="00594794">
        <w:rPr>
          <w:rFonts w:ascii="Times New Roman" w:hAnsi="Times New Roman"/>
          <w:sz w:val="24"/>
        </w:rPr>
        <w:t xml:space="preserve"> </w:t>
      </w:r>
      <w:r w:rsidR="00F81866" w:rsidRPr="00F81866">
        <w:rPr>
          <w:rFonts w:ascii="Times New Roman" w:hAnsi="Times New Roman"/>
          <w:sz w:val="24"/>
        </w:rPr>
        <w:t xml:space="preserve">(a) Recombination rate, (b) Electron density </w:t>
      </w:r>
      <w:r w:rsidR="002B3135" w:rsidRPr="00BB34D6">
        <w:rPr>
          <w:rFonts w:ascii="Times New Roman" w:hAnsi="Times New Roman"/>
          <w:sz w:val="24"/>
        </w:rPr>
        <w:t>from HTL-side to ETL-side</w:t>
      </w:r>
      <w:r w:rsidR="002B3135" w:rsidRPr="00F81866">
        <w:rPr>
          <w:rFonts w:ascii="Times New Roman" w:hAnsi="Times New Roman"/>
          <w:sz w:val="24"/>
        </w:rPr>
        <w:t xml:space="preserve"> </w:t>
      </w:r>
      <w:r w:rsidR="00F81866" w:rsidRPr="00F81866">
        <w:rPr>
          <w:rFonts w:ascii="Times New Roman" w:hAnsi="Times New Roman"/>
          <w:sz w:val="24"/>
        </w:rPr>
        <w:t>and (c) J-V curves based on varied doping concentration for perovskite layer</w:t>
      </w:r>
      <w:r w:rsidR="00F81866">
        <w:rPr>
          <w:rFonts w:ascii="Times New Roman" w:hAnsi="Times New Roman"/>
          <w:sz w:val="24"/>
        </w:rPr>
        <w:t>.</w:t>
      </w:r>
    </w:p>
    <w:p w14:paraId="4F45AD6D" w14:textId="77777777" w:rsidR="00594794" w:rsidRPr="002921C5" w:rsidRDefault="00594794" w:rsidP="00E522AC">
      <w:pPr>
        <w:spacing w:line="360" w:lineRule="auto"/>
        <w:rPr>
          <w:rFonts w:ascii="Times New Roman" w:hAnsi="Times New Roman"/>
          <w:sz w:val="22"/>
          <w:szCs w:val="22"/>
        </w:rPr>
      </w:pPr>
    </w:p>
    <w:p w14:paraId="7EEDFF1D" w14:textId="4F4D561D" w:rsidR="002921C5" w:rsidRPr="002921C5" w:rsidRDefault="002921C5" w:rsidP="002921C5">
      <w:pPr>
        <w:spacing w:line="360" w:lineRule="auto"/>
        <w:rPr>
          <w:rFonts w:ascii="Times New Roman" w:hAnsi="Times New Roman"/>
          <w:sz w:val="24"/>
        </w:rPr>
      </w:pPr>
      <w:r>
        <w:rPr>
          <w:rFonts w:ascii="Times New Roman" w:hAnsi="Times New Roman"/>
          <w:b/>
          <w:sz w:val="24"/>
        </w:rPr>
        <w:t>Fig</w:t>
      </w:r>
      <w:r w:rsidRPr="00594794">
        <w:rPr>
          <w:rFonts w:ascii="Times New Roman" w:hAnsi="Times New Roman"/>
          <w:b/>
          <w:sz w:val="24"/>
        </w:rPr>
        <w:t xml:space="preserve">. </w:t>
      </w:r>
      <w:r w:rsidR="00862CEB">
        <w:rPr>
          <w:rFonts w:ascii="Times New Roman" w:hAnsi="Times New Roman"/>
          <w:b/>
          <w:sz w:val="24"/>
        </w:rPr>
        <w:t>9</w:t>
      </w:r>
      <w:r w:rsidRPr="00594794">
        <w:rPr>
          <w:rFonts w:ascii="Times New Roman" w:hAnsi="Times New Roman"/>
          <w:b/>
          <w:sz w:val="24"/>
        </w:rPr>
        <w:t>.</w:t>
      </w:r>
      <w:r w:rsidRPr="00594794">
        <w:rPr>
          <w:rFonts w:ascii="Times New Roman" w:hAnsi="Times New Roman"/>
          <w:sz w:val="24"/>
        </w:rPr>
        <w:t xml:space="preserve"> </w:t>
      </w:r>
      <w:r w:rsidR="00F81866" w:rsidRPr="00F81866">
        <w:rPr>
          <w:rFonts w:ascii="Times New Roman" w:hAnsi="Times New Roman"/>
          <w:sz w:val="24"/>
        </w:rPr>
        <w:t>(a) The variation of FF and PCE as a function of R</w:t>
      </w:r>
      <w:r w:rsidR="00F81866" w:rsidRPr="00F81866">
        <w:rPr>
          <w:rFonts w:ascii="Times New Roman" w:hAnsi="Times New Roman"/>
          <w:sz w:val="24"/>
          <w:vertAlign w:val="subscript"/>
        </w:rPr>
        <w:t>s</w:t>
      </w:r>
      <w:r w:rsidR="00F81866" w:rsidRPr="00F81866">
        <w:rPr>
          <w:rFonts w:ascii="Times New Roman" w:hAnsi="Times New Roman"/>
          <w:sz w:val="24"/>
        </w:rPr>
        <w:t xml:space="preserve">. (b) J-V </w:t>
      </w:r>
      <w:r w:rsidR="00F81866" w:rsidRPr="00F81866">
        <w:rPr>
          <w:rFonts w:ascii="Times New Roman" w:hAnsi="Times New Roman" w:hint="eastAsia"/>
          <w:sz w:val="24"/>
        </w:rPr>
        <w:t>cur</w:t>
      </w:r>
      <w:r w:rsidR="00F81866" w:rsidRPr="00F81866">
        <w:rPr>
          <w:rFonts w:ascii="Times New Roman" w:hAnsi="Times New Roman"/>
          <w:sz w:val="24"/>
        </w:rPr>
        <w:t>ves based on the varied R</w:t>
      </w:r>
      <w:r w:rsidR="00F81866" w:rsidRPr="00F81866">
        <w:rPr>
          <w:rFonts w:ascii="Times New Roman" w:hAnsi="Times New Roman"/>
          <w:sz w:val="24"/>
          <w:vertAlign w:val="subscript"/>
        </w:rPr>
        <w:t>s</w:t>
      </w:r>
      <w:r w:rsidR="00F81866" w:rsidRPr="00F81866">
        <w:rPr>
          <w:rFonts w:ascii="Times New Roman" w:hAnsi="Times New Roman"/>
          <w:sz w:val="24"/>
        </w:rPr>
        <w:t xml:space="preserve"> and (c) </w:t>
      </w:r>
      <w:proofErr w:type="spellStart"/>
      <w:r w:rsidR="00F81866" w:rsidRPr="00F81866">
        <w:rPr>
          <w:rFonts w:ascii="Times New Roman" w:hAnsi="Times New Roman"/>
          <w:sz w:val="24"/>
        </w:rPr>
        <w:t>R</w:t>
      </w:r>
      <w:r w:rsidR="00F81866" w:rsidRPr="00F81866">
        <w:rPr>
          <w:rFonts w:ascii="Times New Roman" w:hAnsi="Times New Roman"/>
          <w:sz w:val="24"/>
          <w:vertAlign w:val="subscript"/>
        </w:rPr>
        <w:t>shunt</w:t>
      </w:r>
      <w:proofErr w:type="spellEnd"/>
      <w:r w:rsidR="00F81866">
        <w:rPr>
          <w:rFonts w:ascii="Times New Roman" w:hAnsi="Times New Roman"/>
          <w:sz w:val="24"/>
        </w:rPr>
        <w:t>.</w:t>
      </w:r>
    </w:p>
    <w:p w14:paraId="3F1B0165" w14:textId="77777777" w:rsidR="00594794" w:rsidRPr="002921C5" w:rsidRDefault="00594794" w:rsidP="00E522AC">
      <w:pPr>
        <w:spacing w:line="360" w:lineRule="auto"/>
        <w:rPr>
          <w:rFonts w:ascii="Times New Roman" w:hAnsi="Times New Roman"/>
          <w:sz w:val="22"/>
          <w:szCs w:val="22"/>
        </w:rPr>
      </w:pPr>
    </w:p>
    <w:p w14:paraId="2E9672BB" w14:textId="35BF3212" w:rsidR="00594794" w:rsidRPr="00591547" w:rsidRDefault="002921C5" w:rsidP="00E522AC">
      <w:pPr>
        <w:spacing w:line="360" w:lineRule="auto"/>
        <w:rPr>
          <w:rFonts w:ascii="Times New Roman" w:hAnsi="Times New Roman"/>
          <w:sz w:val="24"/>
        </w:rPr>
      </w:pPr>
      <w:r>
        <w:rPr>
          <w:rFonts w:ascii="Times New Roman" w:hAnsi="Times New Roman"/>
          <w:b/>
          <w:sz w:val="24"/>
        </w:rPr>
        <w:t>Fig</w:t>
      </w:r>
      <w:r w:rsidRPr="00594794">
        <w:rPr>
          <w:rFonts w:ascii="Times New Roman" w:hAnsi="Times New Roman"/>
          <w:b/>
          <w:sz w:val="24"/>
        </w:rPr>
        <w:t>. 1</w:t>
      </w:r>
      <w:r w:rsidR="00EA712C">
        <w:rPr>
          <w:rFonts w:ascii="Times New Roman" w:hAnsi="Times New Roman"/>
          <w:b/>
          <w:sz w:val="24"/>
        </w:rPr>
        <w:t>0</w:t>
      </w:r>
      <w:r w:rsidRPr="00594794">
        <w:rPr>
          <w:rFonts w:ascii="Times New Roman" w:hAnsi="Times New Roman"/>
          <w:b/>
          <w:sz w:val="24"/>
        </w:rPr>
        <w:t>.</w:t>
      </w:r>
      <w:r w:rsidRPr="00594794">
        <w:rPr>
          <w:rFonts w:ascii="Times New Roman" w:hAnsi="Times New Roman"/>
          <w:sz w:val="24"/>
        </w:rPr>
        <w:t xml:space="preserve"> </w:t>
      </w:r>
      <w:r w:rsidR="00970031" w:rsidRPr="00970031">
        <w:rPr>
          <w:rFonts w:ascii="Times New Roman" w:hAnsi="Times New Roman"/>
          <w:sz w:val="24"/>
        </w:rPr>
        <w:t xml:space="preserve">The optimization result </w:t>
      </w:r>
      <w:r w:rsidR="00970031">
        <w:rPr>
          <w:rFonts w:ascii="Times New Roman" w:hAnsi="Times New Roman"/>
          <w:sz w:val="24"/>
        </w:rPr>
        <w:t>for</w:t>
      </w:r>
      <w:r w:rsidR="00970031" w:rsidRPr="00970031">
        <w:rPr>
          <w:rFonts w:ascii="Times New Roman" w:hAnsi="Times New Roman"/>
          <w:sz w:val="24"/>
        </w:rPr>
        <w:t xml:space="preserve"> J-V curve</w:t>
      </w:r>
      <w:r w:rsidR="00E25027">
        <w:rPr>
          <w:rFonts w:ascii="Times New Roman" w:hAnsi="Times New Roman"/>
          <w:sz w:val="24"/>
        </w:rPr>
        <w:t>s</w:t>
      </w:r>
    </w:p>
    <w:p w14:paraId="469F731F" w14:textId="6E10340A" w:rsidR="00BC495F" w:rsidRDefault="00BC495F">
      <w:pPr>
        <w:widowControl/>
        <w:jc w:val="left"/>
        <w:rPr>
          <w:rFonts w:ascii="Times New Roman" w:hAnsi="Times New Roman" w:cs="MS Mincho"/>
          <w:sz w:val="22"/>
          <w:szCs w:val="22"/>
        </w:rPr>
      </w:pPr>
      <w:r>
        <w:rPr>
          <w:sz w:val="22"/>
          <w:szCs w:val="22"/>
        </w:rPr>
        <w:br w:type="page"/>
      </w:r>
    </w:p>
    <w:p w14:paraId="4111A927" w14:textId="346FECC7" w:rsidR="00BC495F" w:rsidRPr="00BC495F" w:rsidRDefault="00BC495F" w:rsidP="0013077D">
      <w:pPr>
        <w:spacing w:beforeLines="100" w:before="240" w:afterLines="50" w:after="120" w:line="400" w:lineRule="exact"/>
        <w:jc w:val="left"/>
        <w:rPr>
          <w:rFonts w:ascii="Times New Roman" w:eastAsia="等线" w:hAnsi="Times New Roman"/>
          <w:b/>
          <w:bCs/>
          <w:sz w:val="24"/>
          <w:szCs w:val="28"/>
          <w:lang w:eastAsia="zh-CN"/>
        </w:rPr>
      </w:pPr>
      <w:r w:rsidRPr="00BC495F">
        <w:rPr>
          <w:rFonts w:ascii="Times New Roman" w:eastAsia="等线" w:hAnsi="Times New Roman" w:hint="eastAsia"/>
          <w:b/>
          <w:bCs/>
          <w:sz w:val="24"/>
          <w:szCs w:val="28"/>
          <w:lang w:eastAsia="zh-CN"/>
        </w:rPr>
        <w:lastRenderedPageBreak/>
        <w:t>T</w:t>
      </w:r>
      <w:r w:rsidRPr="00BC495F">
        <w:rPr>
          <w:rFonts w:ascii="Times New Roman" w:eastAsia="等线" w:hAnsi="Times New Roman"/>
          <w:b/>
          <w:bCs/>
          <w:sz w:val="24"/>
          <w:szCs w:val="28"/>
          <w:lang w:eastAsia="zh-CN"/>
        </w:rPr>
        <w:t xml:space="preserve">able </w:t>
      </w:r>
      <w:r w:rsidR="0013077D" w:rsidRPr="0013077D">
        <w:rPr>
          <w:rFonts w:ascii="Times New Roman" w:eastAsia="等线" w:hAnsi="Times New Roman"/>
          <w:b/>
          <w:bCs/>
          <w:sz w:val="24"/>
          <w:szCs w:val="28"/>
          <w:lang w:eastAsia="zh-CN"/>
        </w:rPr>
        <w:t>Ⅰ</w:t>
      </w:r>
      <w:r w:rsidR="00D53618">
        <w:rPr>
          <w:rFonts w:ascii="Times New Roman" w:eastAsia="等线" w:hAnsi="Times New Roman"/>
          <w:b/>
          <w:bCs/>
          <w:sz w:val="24"/>
          <w:szCs w:val="28"/>
          <w:lang w:eastAsia="zh-CN"/>
        </w:rPr>
        <w:t>.</w:t>
      </w:r>
      <w:r w:rsidR="0013077D">
        <w:rPr>
          <w:rFonts w:ascii="Times New Roman" w:eastAsia="等线" w:hAnsi="Times New Roman" w:hint="eastAsia"/>
          <w:b/>
          <w:bCs/>
          <w:sz w:val="24"/>
          <w:szCs w:val="28"/>
          <w:lang w:eastAsia="zh-CN"/>
        </w:rPr>
        <w:t xml:space="preserve"> </w:t>
      </w:r>
      <w:r w:rsidRPr="00BC495F">
        <w:rPr>
          <w:rFonts w:ascii="Times New Roman" w:eastAsia="等线" w:hAnsi="Times New Roman"/>
          <w:b/>
          <w:bCs/>
          <w:sz w:val="24"/>
          <w:szCs w:val="28"/>
          <w:lang w:eastAsia="zh-CN"/>
        </w:rPr>
        <w:t>Basic parameters for each layer of the device</w:t>
      </w:r>
    </w:p>
    <w:tbl>
      <w:tblPr>
        <w:tblStyle w:val="ae"/>
        <w:tblW w:w="8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1530"/>
        <w:gridCol w:w="1530"/>
        <w:gridCol w:w="1548"/>
        <w:gridCol w:w="1530"/>
      </w:tblGrid>
      <w:tr w:rsidR="00BC495F" w:rsidRPr="00BC495F" w14:paraId="17531674" w14:textId="77777777" w:rsidTr="001B2A8C">
        <w:trPr>
          <w:trHeight w:val="510"/>
        </w:trPr>
        <w:tc>
          <w:tcPr>
            <w:tcW w:w="2268" w:type="dxa"/>
            <w:tcBorders>
              <w:top w:val="single" w:sz="12" w:space="0" w:color="auto"/>
              <w:bottom w:val="single" w:sz="12" w:space="0" w:color="auto"/>
            </w:tcBorders>
            <w:vAlign w:val="center"/>
          </w:tcPr>
          <w:p w14:paraId="5D9318E1" w14:textId="77777777" w:rsidR="00BC495F" w:rsidRPr="00BC495F" w:rsidRDefault="00BC495F" w:rsidP="00BC495F">
            <w:pPr>
              <w:spacing w:line="400" w:lineRule="exact"/>
              <w:ind w:firstLineChars="200" w:firstLine="420"/>
              <w:jc w:val="center"/>
              <w:rPr>
                <w:rFonts w:ascii="Times New Roman" w:hAnsi="Times New Roman"/>
                <w:b/>
                <w:szCs w:val="21"/>
              </w:rPr>
            </w:pPr>
          </w:p>
        </w:tc>
        <w:tc>
          <w:tcPr>
            <w:tcW w:w="1531" w:type="dxa"/>
            <w:tcBorders>
              <w:top w:val="single" w:sz="12" w:space="0" w:color="auto"/>
              <w:bottom w:val="single" w:sz="12" w:space="0" w:color="auto"/>
            </w:tcBorders>
          </w:tcPr>
          <w:p w14:paraId="6F2E562A" w14:textId="77777777" w:rsidR="00BC495F" w:rsidRPr="00BC495F" w:rsidRDefault="00BC495F" w:rsidP="00BC495F">
            <w:pPr>
              <w:spacing w:line="400" w:lineRule="exact"/>
              <w:ind w:firstLine="480"/>
              <w:jc w:val="center"/>
              <w:rPr>
                <w:rFonts w:ascii="Times New Roman" w:hAnsi="Times New Roman"/>
                <w:b/>
                <w:bCs/>
                <w:szCs w:val="21"/>
              </w:rPr>
            </w:pPr>
            <w:r w:rsidRPr="00BC495F">
              <w:rPr>
                <w:rFonts w:ascii="Times New Roman" w:hAnsi="Times New Roman"/>
                <w:b/>
                <w:bCs/>
                <w:szCs w:val="20"/>
              </w:rPr>
              <w:t>FTO</w:t>
            </w:r>
          </w:p>
        </w:tc>
        <w:tc>
          <w:tcPr>
            <w:tcW w:w="1531" w:type="dxa"/>
            <w:tcBorders>
              <w:top w:val="single" w:sz="12" w:space="0" w:color="auto"/>
              <w:bottom w:val="single" w:sz="12" w:space="0" w:color="auto"/>
            </w:tcBorders>
          </w:tcPr>
          <w:p w14:paraId="5FAC6EB6" w14:textId="77777777" w:rsidR="00BC495F" w:rsidRPr="00BC495F" w:rsidRDefault="00BC495F" w:rsidP="00BC495F">
            <w:pPr>
              <w:spacing w:line="400" w:lineRule="exact"/>
              <w:ind w:firstLine="480"/>
              <w:jc w:val="center"/>
              <w:rPr>
                <w:rFonts w:ascii="Times New Roman" w:hAnsi="Times New Roman"/>
                <w:b/>
                <w:bCs/>
                <w:szCs w:val="21"/>
              </w:rPr>
            </w:pPr>
            <w:r w:rsidRPr="00BC495F">
              <w:rPr>
                <w:rFonts w:ascii="Times New Roman" w:hAnsi="Times New Roman"/>
                <w:b/>
                <w:bCs/>
                <w:szCs w:val="20"/>
              </w:rPr>
              <w:t>SnO</w:t>
            </w:r>
            <w:r w:rsidRPr="00BC495F">
              <w:rPr>
                <w:rFonts w:ascii="Times New Roman" w:hAnsi="Times New Roman"/>
                <w:b/>
                <w:bCs/>
                <w:szCs w:val="20"/>
                <w:vertAlign w:val="subscript"/>
              </w:rPr>
              <w:t>2</w:t>
            </w:r>
          </w:p>
        </w:tc>
        <w:tc>
          <w:tcPr>
            <w:tcW w:w="1531" w:type="dxa"/>
            <w:tcBorders>
              <w:top w:val="single" w:sz="12" w:space="0" w:color="auto"/>
              <w:bottom w:val="single" w:sz="12" w:space="0" w:color="auto"/>
            </w:tcBorders>
          </w:tcPr>
          <w:p w14:paraId="752013DB" w14:textId="77777777" w:rsidR="00BC495F" w:rsidRPr="00BC495F" w:rsidRDefault="00BC495F" w:rsidP="00BC495F">
            <w:pPr>
              <w:spacing w:line="400" w:lineRule="exact"/>
              <w:ind w:firstLine="480"/>
              <w:jc w:val="center"/>
              <w:rPr>
                <w:rFonts w:ascii="Times New Roman" w:hAnsi="Times New Roman"/>
                <w:b/>
                <w:bCs/>
                <w:szCs w:val="20"/>
              </w:rPr>
            </w:pPr>
            <w:r w:rsidRPr="00BC495F">
              <w:rPr>
                <w:rFonts w:ascii="Times New Roman" w:hAnsi="Times New Roman" w:hint="eastAsia"/>
                <w:b/>
                <w:bCs/>
                <w:szCs w:val="20"/>
              </w:rPr>
              <w:t>A</w:t>
            </w:r>
            <w:r w:rsidRPr="00BC495F">
              <w:rPr>
                <w:rFonts w:ascii="Times New Roman" w:hAnsi="Times New Roman"/>
                <w:b/>
                <w:bCs/>
                <w:szCs w:val="20"/>
              </w:rPr>
              <w:t>bsorber</w:t>
            </w:r>
          </w:p>
        </w:tc>
        <w:tc>
          <w:tcPr>
            <w:tcW w:w="1531" w:type="dxa"/>
            <w:tcBorders>
              <w:top w:val="single" w:sz="12" w:space="0" w:color="auto"/>
              <w:bottom w:val="single" w:sz="12" w:space="0" w:color="auto"/>
            </w:tcBorders>
          </w:tcPr>
          <w:p w14:paraId="6AA6AD4B" w14:textId="77777777" w:rsidR="00BC495F" w:rsidRPr="00BC495F" w:rsidRDefault="00BC495F" w:rsidP="00BC495F">
            <w:pPr>
              <w:spacing w:line="400" w:lineRule="exact"/>
              <w:ind w:firstLine="480"/>
              <w:jc w:val="center"/>
              <w:rPr>
                <w:rFonts w:ascii="Times New Roman" w:hAnsi="Times New Roman"/>
                <w:b/>
                <w:bCs/>
                <w:szCs w:val="20"/>
              </w:rPr>
            </w:pPr>
            <w:r w:rsidRPr="00BC495F">
              <w:rPr>
                <w:rFonts w:ascii="Times New Roman" w:hAnsi="Times New Roman"/>
                <w:b/>
                <w:bCs/>
                <w:szCs w:val="20"/>
              </w:rPr>
              <w:t>Spiro</w:t>
            </w:r>
          </w:p>
        </w:tc>
      </w:tr>
      <w:tr w:rsidR="00BC495F" w:rsidRPr="00BC495F" w14:paraId="42ECA97A" w14:textId="77777777" w:rsidTr="001B2A8C">
        <w:trPr>
          <w:trHeight w:val="850"/>
        </w:trPr>
        <w:tc>
          <w:tcPr>
            <w:tcW w:w="2268" w:type="dxa"/>
            <w:tcBorders>
              <w:top w:val="single" w:sz="12" w:space="0" w:color="auto"/>
            </w:tcBorders>
            <w:vAlign w:val="center"/>
          </w:tcPr>
          <w:p w14:paraId="69910B72"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Thickness (nm)</w:t>
            </w:r>
          </w:p>
        </w:tc>
        <w:tc>
          <w:tcPr>
            <w:tcW w:w="1531" w:type="dxa"/>
            <w:tcBorders>
              <w:top w:val="single" w:sz="12" w:space="0" w:color="auto"/>
            </w:tcBorders>
            <w:vAlign w:val="center"/>
          </w:tcPr>
          <w:p w14:paraId="7C71142A"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600</w:t>
            </w:r>
          </w:p>
        </w:tc>
        <w:tc>
          <w:tcPr>
            <w:tcW w:w="1531" w:type="dxa"/>
            <w:tcBorders>
              <w:top w:val="single" w:sz="12" w:space="0" w:color="auto"/>
            </w:tcBorders>
            <w:vAlign w:val="center"/>
          </w:tcPr>
          <w:p w14:paraId="191F83D9"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50</w:t>
            </w:r>
          </w:p>
        </w:tc>
        <w:tc>
          <w:tcPr>
            <w:tcW w:w="1531" w:type="dxa"/>
            <w:tcBorders>
              <w:top w:val="single" w:sz="12" w:space="0" w:color="auto"/>
            </w:tcBorders>
            <w:vAlign w:val="center"/>
          </w:tcPr>
          <w:p w14:paraId="6911E795"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250</w:t>
            </w:r>
          </w:p>
        </w:tc>
        <w:tc>
          <w:tcPr>
            <w:tcW w:w="1531" w:type="dxa"/>
            <w:tcBorders>
              <w:top w:val="single" w:sz="12" w:space="0" w:color="auto"/>
            </w:tcBorders>
            <w:vAlign w:val="center"/>
          </w:tcPr>
          <w:p w14:paraId="6EEE3178"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250</w:t>
            </w:r>
          </w:p>
        </w:tc>
      </w:tr>
      <w:tr w:rsidR="00BC495F" w:rsidRPr="00BC495F" w14:paraId="38DF5067" w14:textId="77777777" w:rsidTr="001B2A8C">
        <w:trPr>
          <w:trHeight w:val="850"/>
        </w:trPr>
        <w:tc>
          <w:tcPr>
            <w:tcW w:w="2268" w:type="dxa"/>
            <w:vAlign w:val="center"/>
          </w:tcPr>
          <w:p w14:paraId="0C2E81EB"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Bandgap (eV)</w:t>
            </w:r>
          </w:p>
        </w:tc>
        <w:tc>
          <w:tcPr>
            <w:tcW w:w="1531" w:type="dxa"/>
            <w:vAlign w:val="center"/>
          </w:tcPr>
          <w:p w14:paraId="6F3ACA9E"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3.50</w:t>
            </w:r>
          </w:p>
        </w:tc>
        <w:tc>
          <w:tcPr>
            <w:tcW w:w="1531" w:type="dxa"/>
            <w:vAlign w:val="center"/>
          </w:tcPr>
          <w:p w14:paraId="3D7BFCB8"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3.50</w:t>
            </w:r>
          </w:p>
        </w:tc>
        <w:tc>
          <w:tcPr>
            <w:tcW w:w="1531" w:type="dxa"/>
            <w:vAlign w:val="center"/>
          </w:tcPr>
          <w:p w14:paraId="589AF948"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1.55</w:t>
            </w:r>
          </w:p>
        </w:tc>
        <w:tc>
          <w:tcPr>
            <w:tcW w:w="1531" w:type="dxa"/>
            <w:vAlign w:val="center"/>
          </w:tcPr>
          <w:p w14:paraId="4C5A2236"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2.91</w:t>
            </w:r>
          </w:p>
        </w:tc>
      </w:tr>
      <w:tr w:rsidR="00BC495F" w:rsidRPr="00BC495F" w14:paraId="5215E0BC" w14:textId="77777777" w:rsidTr="001B2A8C">
        <w:trPr>
          <w:trHeight w:val="850"/>
        </w:trPr>
        <w:tc>
          <w:tcPr>
            <w:tcW w:w="2268" w:type="dxa"/>
            <w:vAlign w:val="center"/>
          </w:tcPr>
          <w:p w14:paraId="6A1C50A3"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 xml:space="preserve">Electron affinity (eV) </w:t>
            </w:r>
          </w:p>
        </w:tc>
        <w:tc>
          <w:tcPr>
            <w:tcW w:w="1531" w:type="dxa"/>
            <w:vAlign w:val="center"/>
          </w:tcPr>
          <w:p w14:paraId="5B4E7985"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4</w:t>
            </w:r>
          </w:p>
        </w:tc>
        <w:tc>
          <w:tcPr>
            <w:tcW w:w="1531" w:type="dxa"/>
            <w:vAlign w:val="center"/>
          </w:tcPr>
          <w:p w14:paraId="6C98CA44"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4</w:t>
            </w:r>
          </w:p>
        </w:tc>
        <w:tc>
          <w:tcPr>
            <w:tcW w:w="1531" w:type="dxa"/>
            <w:vAlign w:val="center"/>
          </w:tcPr>
          <w:p w14:paraId="3C948292" w14:textId="77777777" w:rsidR="00BC495F" w:rsidRPr="00BC495F" w:rsidRDefault="00BC495F" w:rsidP="00BC495F">
            <w:pPr>
              <w:spacing w:line="400" w:lineRule="exact"/>
              <w:ind w:firstLine="480"/>
              <w:jc w:val="center"/>
              <w:rPr>
                <w:rFonts w:ascii="Calibri" w:hAnsi="Calibri"/>
                <w:szCs w:val="21"/>
              </w:rPr>
            </w:pPr>
            <w:r w:rsidRPr="00BC495F">
              <w:rPr>
                <w:rFonts w:ascii="Times New Roman" w:hAnsi="Times New Roman"/>
                <w:szCs w:val="20"/>
              </w:rPr>
              <w:t>3.9</w:t>
            </w:r>
          </w:p>
        </w:tc>
        <w:tc>
          <w:tcPr>
            <w:tcW w:w="1531" w:type="dxa"/>
            <w:vAlign w:val="center"/>
          </w:tcPr>
          <w:p w14:paraId="2861FC39" w14:textId="77777777" w:rsidR="00BC495F" w:rsidRPr="00BC495F" w:rsidRDefault="00BC495F" w:rsidP="00BC495F">
            <w:pPr>
              <w:spacing w:line="400" w:lineRule="exact"/>
              <w:ind w:firstLine="480"/>
              <w:jc w:val="center"/>
              <w:rPr>
                <w:rFonts w:ascii="Calibri" w:hAnsi="Calibri"/>
                <w:szCs w:val="21"/>
              </w:rPr>
            </w:pPr>
            <w:r w:rsidRPr="00BC495F">
              <w:rPr>
                <w:rFonts w:ascii="Times New Roman" w:hAnsi="Times New Roman"/>
                <w:szCs w:val="20"/>
              </w:rPr>
              <w:t>2.45</w:t>
            </w:r>
          </w:p>
        </w:tc>
      </w:tr>
      <w:tr w:rsidR="00BC495F" w:rsidRPr="00BC495F" w14:paraId="1A0AE568" w14:textId="77777777" w:rsidTr="001B2A8C">
        <w:trPr>
          <w:trHeight w:val="850"/>
        </w:trPr>
        <w:tc>
          <w:tcPr>
            <w:tcW w:w="2268" w:type="dxa"/>
            <w:vAlign w:val="center"/>
          </w:tcPr>
          <w:p w14:paraId="2C5B77D2"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Dielectric permittivity</w:t>
            </w:r>
          </w:p>
        </w:tc>
        <w:tc>
          <w:tcPr>
            <w:tcW w:w="1531" w:type="dxa"/>
            <w:vAlign w:val="center"/>
          </w:tcPr>
          <w:p w14:paraId="4C107FDE"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9</w:t>
            </w:r>
          </w:p>
        </w:tc>
        <w:tc>
          <w:tcPr>
            <w:tcW w:w="1531" w:type="dxa"/>
            <w:vAlign w:val="center"/>
          </w:tcPr>
          <w:p w14:paraId="3006338D"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9</w:t>
            </w:r>
          </w:p>
        </w:tc>
        <w:tc>
          <w:tcPr>
            <w:tcW w:w="1531" w:type="dxa"/>
            <w:vAlign w:val="center"/>
          </w:tcPr>
          <w:p w14:paraId="78F48222"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6.5</w:t>
            </w:r>
          </w:p>
        </w:tc>
        <w:tc>
          <w:tcPr>
            <w:tcW w:w="1531" w:type="dxa"/>
            <w:vAlign w:val="center"/>
          </w:tcPr>
          <w:p w14:paraId="5731515B"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3</w:t>
            </w:r>
          </w:p>
        </w:tc>
      </w:tr>
      <w:tr w:rsidR="00BC495F" w:rsidRPr="00BC495F" w14:paraId="088FB698" w14:textId="77777777" w:rsidTr="001B2A8C">
        <w:trPr>
          <w:trHeight w:val="850"/>
        </w:trPr>
        <w:tc>
          <w:tcPr>
            <w:tcW w:w="2268" w:type="dxa"/>
            <w:vAlign w:val="center"/>
          </w:tcPr>
          <w:p w14:paraId="2F0F75FD"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CB effective density of states (cm</w:t>
            </w:r>
            <w:r w:rsidRPr="00BC495F">
              <w:rPr>
                <w:rFonts w:ascii="Times New Roman" w:hAnsi="Times New Roman"/>
                <w:szCs w:val="20"/>
                <w:vertAlign w:val="superscript"/>
              </w:rPr>
              <w:t>−3</w:t>
            </w:r>
            <w:r w:rsidRPr="00BC495F">
              <w:rPr>
                <w:rFonts w:ascii="Times New Roman" w:hAnsi="Times New Roman"/>
                <w:szCs w:val="20"/>
              </w:rPr>
              <w:t>)</w:t>
            </w:r>
          </w:p>
        </w:tc>
        <w:tc>
          <w:tcPr>
            <w:tcW w:w="1531" w:type="dxa"/>
            <w:vAlign w:val="center"/>
          </w:tcPr>
          <w:p w14:paraId="7F2E2F04"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2.2×10</w:t>
            </w:r>
            <w:r w:rsidRPr="00BC495F">
              <w:rPr>
                <w:rFonts w:ascii="Times New Roman" w:hAnsi="Times New Roman"/>
                <w:szCs w:val="20"/>
                <w:vertAlign w:val="superscript"/>
              </w:rPr>
              <w:t>18</w:t>
            </w:r>
          </w:p>
        </w:tc>
        <w:tc>
          <w:tcPr>
            <w:tcW w:w="1531" w:type="dxa"/>
            <w:vAlign w:val="center"/>
          </w:tcPr>
          <w:p w14:paraId="29CEB0EE"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2.2×10</w:t>
            </w:r>
            <w:r w:rsidRPr="00BC495F">
              <w:rPr>
                <w:rFonts w:ascii="Times New Roman" w:hAnsi="Times New Roman"/>
                <w:szCs w:val="20"/>
                <w:vertAlign w:val="superscript"/>
              </w:rPr>
              <w:t>17</w:t>
            </w:r>
          </w:p>
        </w:tc>
        <w:tc>
          <w:tcPr>
            <w:tcW w:w="1531" w:type="dxa"/>
            <w:vAlign w:val="center"/>
          </w:tcPr>
          <w:p w14:paraId="79665354"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2.2×10</w:t>
            </w:r>
            <w:r w:rsidRPr="00BC495F">
              <w:rPr>
                <w:rFonts w:ascii="Times New Roman" w:hAnsi="Times New Roman"/>
                <w:szCs w:val="20"/>
                <w:vertAlign w:val="superscript"/>
              </w:rPr>
              <w:t>18</w:t>
            </w:r>
          </w:p>
        </w:tc>
        <w:tc>
          <w:tcPr>
            <w:tcW w:w="1531" w:type="dxa"/>
            <w:vAlign w:val="center"/>
          </w:tcPr>
          <w:p w14:paraId="6597B88C"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2.2×10</w:t>
            </w:r>
            <w:r w:rsidRPr="00BC495F">
              <w:rPr>
                <w:rFonts w:ascii="Times New Roman" w:hAnsi="Times New Roman"/>
                <w:szCs w:val="20"/>
                <w:vertAlign w:val="superscript"/>
              </w:rPr>
              <w:t>18</w:t>
            </w:r>
          </w:p>
        </w:tc>
      </w:tr>
      <w:tr w:rsidR="00BC495F" w:rsidRPr="00BC495F" w14:paraId="11DE6A1E" w14:textId="77777777" w:rsidTr="001B2A8C">
        <w:trPr>
          <w:trHeight w:val="850"/>
        </w:trPr>
        <w:tc>
          <w:tcPr>
            <w:tcW w:w="2268" w:type="dxa"/>
            <w:vAlign w:val="center"/>
          </w:tcPr>
          <w:p w14:paraId="0C5C8FA2"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VB effective density of states (cm</w:t>
            </w:r>
            <w:r w:rsidRPr="00BC495F">
              <w:rPr>
                <w:rFonts w:ascii="Times New Roman" w:hAnsi="Times New Roman"/>
                <w:szCs w:val="20"/>
                <w:vertAlign w:val="superscript"/>
              </w:rPr>
              <w:t>−3</w:t>
            </w:r>
            <w:r w:rsidRPr="00BC495F">
              <w:rPr>
                <w:rFonts w:ascii="Times New Roman" w:hAnsi="Times New Roman"/>
                <w:szCs w:val="20"/>
              </w:rPr>
              <w:t>)</w:t>
            </w:r>
          </w:p>
        </w:tc>
        <w:tc>
          <w:tcPr>
            <w:tcW w:w="1531" w:type="dxa"/>
            <w:vAlign w:val="center"/>
          </w:tcPr>
          <w:p w14:paraId="55FEE5FC"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2.2×10</w:t>
            </w:r>
            <w:r w:rsidRPr="00BC495F">
              <w:rPr>
                <w:rFonts w:ascii="Times New Roman" w:hAnsi="Times New Roman"/>
                <w:szCs w:val="20"/>
                <w:vertAlign w:val="superscript"/>
              </w:rPr>
              <w:t>18</w:t>
            </w:r>
          </w:p>
        </w:tc>
        <w:tc>
          <w:tcPr>
            <w:tcW w:w="1531" w:type="dxa"/>
            <w:vAlign w:val="center"/>
          </w:tcPr>
          <w:p w14:paraId="2EC9CDDD"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2.2×10</w:t>
            </w:r>
            <w:r w:rsidRPr="00BC495F">
              <w:rPr>
                <w:rFonts w:ascii="Times New Roman" w:hAnsi="Times New Roman"/>
                <w:szCs w:val="20"/>
                <w:vertAlign w:val="superscript"/>
              </w:rPr>
              <w:t>17</w:t>
            </w:r>
          </w:p>
        </w:tc>
        <w:tc>
          <w:tcPr>
            <w:tcW w:w="1531" w:type="dxa"/>
            <w:vAlign w:val="center"/>
          </w:tcPr>
          <w:p w14:paraId="0EEB5E8C" w14:textId="77777777" w:rsidR="00BC495F" w:rsidRPr="00BC495F" w:rsidRDefault="00BC495F" w:rsidP="00BC495F">
            <w:pPr>
              <w:spacing w:line="400" w:lineRule="exact"/>
              <w:ind w:firstLine="480"/>
              <w:jc w:val="center"/>
              <w:rPr>
                <w:rFonts w:ascii="宋体" w:hAnsi="宋体" w:cs="宋体"/>
                <w:color w:val="000000"/>
                <w:kern w:val="0"/>
                <w:szCs w:val="21"/>
              </w:rPr>
            </w:pPr>
            <w:r w:rsidRPr="00BC495F">
              <w:rPr>
                <w:rFonts w:ascii="Times New Roman" w:hAnsi="Times New Roman"/>
                <w:szCs w:val="20"/>
              </w:rPr>
              <w:t>1.8×10</w:t>
            </w:r>
            <w:r w:rsidRPr="00BC495F">
              <w:rPr>
                <w:rFonts w:ascii="Times New Roman" w:hAnsi="Times New Roman"/>
                <w:szCs w:val="20"/>
                <w:vertAlign w:val="superscript"/>
              </w:rPr>
              <w:t>19</w:t>
            </w:r>
          </w:p>
        </w:tc>
        <w:tc>
          <w:tcPr>
            <w:tcW w:w="1531" w:type="dxa"/>
            <w:vAlign w:val="center"/>
          </w:tcPr>
          <w:p w14:paraId="7696CA5E" w14:textId="77777777" w:rsidR="00BC495F" w:rsidRPr="00BC495F" w:rsidRDefault="00BC495F" w:rsidP="00BC495F">
            <w:pPr>
              <w:spacing w:line="400" w:lineRule="exact"/>
              <w:ind w:firstLine="480"/>
              <w:jc w:val="center"/>
              <w:rPr>
                <w:rFonts w:ascii="宋体" w:hAnsi="宋体" w:cs="宋体"/>
                <w:color w:val="000000"/>
                <w:kern w:val="0"/>
                <w:szCs w:val="21"/>
              </w:rPr>
            </w:pPr>
            <w:r w:rsidRPr="00BC495F">
              <w:rPr>
                <w:rFonts w:ascii="Times New Roman" w:hAnsi="Times New Roman"/>
                <w:szCs w:val="20"/>
              </w:rPr>
              <w:t>2.2×10</w:t>
            </w:r>
            <w:r w:rsidRPr="00BC495F">
              <w:rPr>
                <w:rFonts w:ascii="Times New Roman" w:hAnsi="Times New Roman"/>
                <w:szCs w:val="20"/>
                <w:vertAlign w:val="superscript"/>
              </w:rPr>
              <w:t>18</w:t>
            </w:r>
          </w:p>
        </w:tc>
      </w:tr>
      <w:tr w:rsidR="00BC495F" w:rsidRPr="00BC495F" w14:paraId="5A178EAB" w14:textId="77777777" w:rsidTr="001B2A8C">
        <w:trPr>
          <w:trHeight w:val="850"/>
        </w:trPr>
        <w:tc>
          <w:tcPr>
            <w:tcW w:w="2268" w:type="dxa"/>
            <w:vAlign w:val="center"/>
          </w:tcPr>
          <w:p w14:paraId="1C99BF04"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Electron mobility (cm</w:t>
            </w:r>
            <w:r w:rsidRPr="00BC495F">
              <w:rPr>
                <w:rFonts w:ascii="Times New Roman" w:hAnsi="Times New Roman"/>
                <w:szCs w:val="20"/>
                <w:vertAlign w:val="superscript"/>
              </w:rPr>
              <w:t>2</w:t>
            </w:r>
            <w:r w:rsidRPr="00BC495F">
              <w:rPr>
                <w:rFonts w:ascii="Times New Roman" w:hAnsi="Times New Roman"/>
                <w:szCs w:val="20"/>
              </w:rPr>
              <w:t>/V s)</w:t>
            </w:r>
          </w:p>
        </w:tc>
        <w:tc>
          <w:tcPr>
            <w:tcW w:w="1531" w:type="dxa"/>
            <w:vAlign w:val="center"/>
          </w:tcPr>
          <w:p w14:paraId="5141C62F"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20</w:t>
            </w:r>
          </w:p>
        </w:tc>
        <w:tc>
          <w:tcPr>
            <w:tcW w:w="1531" w:type="dxa"/>
            <w:vAlign w:val="center"/>
          </w:tcPr>
          <w:p w14:paraId="635CC8B9"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20</w:t>
            </w:r>
          </w:p>
        </w:tc>
        <w:tc>
          <w:tcPr>
            <w:tcW w:w="1531" w:type="dxa"/>
            <w:vAlign w:val="center"/>
          </w:tcPr>
          <w:p w14:paraId="798D3E44"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w:t>
            </w:r>
          </w:p>
        </w:tc>
        <w:tc>
          <w:tcPr>
            <w:tcW w:w="1531" w:type="dxa"/>
            <w:vAlign w:val="center"/>
          </w:tcPr>
          <w:p w14:paraId="3A9AA779"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2×10</w:t>
            </w:r>
            <w:r w:rsidRPr="00BC495F">
              <w:rPr>
                <w:rFonts w:ascii="Times New Roman" w:hAnsi="Times New Roman"/>
                <w:szCs w:val="20"/>
                <w:vertAlign w:val="superscript"/>
              </w:rPr>
              <w:t>−4</w:t>
            </w:r>
          </w:p>
        </w:tc>
      </w:tr>
      <w:tr w:rsidR="00BC495F" w:rsidRPr="00BC495F" w14:paraId="178D404E" w14:textId="77777777" w:rsidTr="001B2A8C">
        <w:trPr>
          <w:trHeight w:val="850"/>
        </w:trPr>
        <w:tc>
          <w:tcPr>
            <w:tcW w:w="2268" w:type="dxa"/>
            <w:vAlign w:val="center"/>
          </w:tcPr>
          <w:p w14:paraId="54C91B6C"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Hole mobility (cm</w:t>
            </w:r>
            <w:r w:rsidRPr="00BC495F">
              <w:rPr>
                <w:rFonts w:ascii="Times New Roman" w:hAnsi="Times New Roman"/>
                <w:szCs w:val="20"/>
                <w:vertAlign w:val="superscript"/>
              </w:rPr>
              <w:t>2</w:t>
            </w:r>
            <w:r w:rsidRPr="00BC495F">
              <w:rPr>
                <w:rFonts w:ascii="Times New Roman" w:hAnsi="Times New Roman"/>
                <w:szCs w:val="20"/>
              </w:rPr>
              <w:t>/V s)</w:t>
            </w:r>
          </w:p>
        </w:tc>
        <w:tc>
          <w:tcPr>
            <w:tcW w:w="1531" w:type="dxa"/>
            <w:vAlign w:val="center"/>
          </w:tcPr>
          <w:p w14:paraId="422DEE41"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10</w:t>
            </w:r>
          </w:p>
        </w:tc>
        <w:tc>
          <w:tcPr>
            <w:tcW w:w="1531" w:type="dxa"/>
            <w:vAlign w:val="center"/>
          </w:tcPr>
          <w:p w14:paraId="7719FC4A"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10</w:t>
            </w:r>
          </w:p>
        </w:tc>
        <w:tc>
          <w:tcPr>
            <w:tcW w:w="1531" w:type="dxa"/>
            <w:vAlign w:val="center"/>
          </w:tcPr>
          <w:p w14:paraId="3AF0AA6E"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w:t>
            </w:r>
          </w:p>
        </w:tc>
        <w:tc>
          <w:tcPr>
            <w:tcW w:w="1531" w:type="dxa"/>
            <w:vAlign w:val="center"/>
          </w:tcPr>
          <w:p w14:paraId="3DC70811"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2×10</w:t>
            </w:r>
            <w:r w:rsidRPr="00BC495F">
              <w:rPr>
                <w:rFonts w:ascii="Times New Roman" w:hAnsi="Times New Roman"/>
                <w:szCs w:val="20"/>
                <w:vertAlign w:val="superscript"/>
              </w:rPr>
              <w:t>−4</w:t>
            </w:r>
          </w:p>
        </w:tc>
      </w:tr>
      <w:tr w:rsidR="00BC495F" w:rsidRPr="00BC495F" w14:paraId="04418A60" w14:textId="77777777" w:rsidTr="001B2A8C">
        <w:trPr>
          <w:trHeight w:val="850"/>
        </w:trPr>
        <w:tc>
          <w:tcPr>
            <w:tcW w:w="2268" w:type="dxa"/>
            <w:vAlign w:val="center"/>
          </w:tcPr>
          <w:p w14:paraId="20E8B8CB"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Donor density (cm</w:t>
            </w:r>
            <w:r w:rsidRPr="00BC495F">
              <w:rPr>
                <w:rFonts w:ascii="Times New Roman" w:hAnsi="Times New Roman"/>
                <w:szCs w:val="20"/>
                <w:vertAlign w:val="superscript"/>
              </w:rPr>
              <w:t>−3</w:t>
            </w:r>
            <w:r w:rsidRPr="00BC495F">
              <w:rPr>
                <w:rFonts w:ascii="Times New Roman" w:hAnsi="Times New Roman"/>
                <w:szCs w:val="20"/>
              </w:rPr>
              <w:t>)</w:t>
            </w:r>
          </w:p>
        </w:tc>
        <w:tc>
          <w:tcPr>
            <w:tcW w:w="1531" w:type="dxa"/>
            <w:vAlign w:val="center"/>
          </w:tcPr>
          <w:p w14:paraId="1B061007"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2×10</w:t>
            </w:r>
            <w:r w:rsidRPr="00BC495F">
              <w:rPr>
                <w:rFonts w:ascii="Times New Roman" w:hAnsi="Times New Roman"/>
                <w:szCs w:val="20"/>
                <w:vertAlign w:val="superscript"/>
              </w:rPr>
              <w:t>19</w:t>
            </w:r>
          </w:p>
        </w:tc>
        <w:tc>
          <w:tcPr>
            <w:tcW w:w="1531" w:type="dxa"/>
            <w:vAlign w:val="center"/>
          </w:tcPr>
          <w:p w14:paraId="52A18C92"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1×10</w:t>
            </w:r>
            <w:r w:rsidRPr="00BC495F">
              <w:rPr>
                <w:rFonts w:ascii="Times New Roman" w:hAnsi="Times New Roman"/>
                <w:szCs w:val="20"/>
                <w:vertAlign w:val="superscript"/>
              </w:rPr>
              <w:t>18</w:t>
            </w:r>
          </w:p>
        </w:tc>
        <w:tc>
          <w:tcPr>
            <w:tcW w:w="1531" w:type="dxa"/>
            <w:vAlign w:val="center"/>
          </w:tcPr>
          <w:p w14:paraId="1A9AA771" w14:textId="77777777" w:rsidR="00BC495F" w:rsidRPr="00BC495F" w:rsidRDefault="00BC495F" w:rsidP="00BC495F">
            <w:pPr>
              <w:spacing w:line="400" w:lineRule="exact"/>
              <w:ind w:firstLine="480"/>
              <w:jc w:val="center"/>
              <w:rPr>
                <w:rFonts w:ascii="Times New Roman" w:hAnsi="Times New Roman"/>
                <w:color w:val="333333"/>
                <w:szCs w:val="21"/>
                <w:shd w:val="clear" w:color="auto" w:fill="FFFFFF"/>
              </w:rPr>
            </w:pPr>
            <w:r w:rsidRPr="00BC495F">
              <w:rPr>
                <w:rFonts w:ascii="Times New Roman" w:hAnsi="Times New Roman"/>
                <w:szCs w:val="20"/>
              </w:rPr>
              <w:t>1×10</w:t>
            </w:r>
            <w:r w:rsidRPr="00BC495F">
              <w:rPr>
                <w:rFonts w:ascii="Times New Roman" w:hAnsi="Times New Roman"/>
                <w:szCs w:val="20"/>
                <w:vertAlign w:val="superscript"/>
              </w:rPr>
              <w:t>16</w:t>
            </w:r>
          </w:p>
        </w:tc>
        <w:tc>
          <w:tcPr>
            <w:tcW w:w="1531" w:type="dxa"/>
            <w:vAlign w:val="center"/>
          </w:tcPr>
          <w:p w14:paraId="3A164AD4" w14:textId="77777777" w:rsidR="00BC495F" w:rsidRPr="00BC495F" w:rsidRDefault="00BC495F" w:rsidP="00BC495F">
            <w:pPr>
              <w:spacing w:line="400" w:lineRule="exact"/>
              <w:ind w:firstLine="480"/>
              <w:jc w:val="center"/>
              <w:rPr>
                <w:rFonts w:ascii="Times New Roman" w:hAnsi="Times New Roman"/>
                <w:color w:val="333333"/>
                <w:szCs w:val="21"/>
                <w:shd w:val="clear" w:color="auto" w:fill="FFFFFF"/>
              </w:rPr>
            </w:pPr>
            <w:r w:rsidRPr="00BC495F">
              <w:rPr>
                <w:rFonts w:ascii="Times New Roman" w:hAnsi="Times New Roman"/>
                <w:szCs w:val="20"/>
              </w:rPr>
              <w:t>0</w:t>
            </w:r>
          </w:p>
        </w:tc>
      </w:tr>
      <w:tr w:rsidR="00BC495F" w:rsidRPr="00BC495F" w14:paraId="53FCE13F" w14:textId="77777777" w:rsidTr="001B2A8C">
        <w:trPr>
          <w:trHeight w:val="850"/>
        </w:trPr>
        <w:tc>
          <w:tcPr>
            <w:tcW w:w="2268" w:type="dxa"/>
            <w:vAlign w:val="center"/>
          </w:tcPr>
          <w:p w14:paraId="616632CE"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Acceptor density (cm</w:t>
            </w:r>
            <w:r w:rsidRPr="00BC495F">
              <w:rPr>
                <w:rFonts w:ascii="Times New Roman" w:hAnsi="Times New Roman"/>
                <w:szCs w:val="20"/>
                <w:vertAlign w:val="superscript"/>
              </w:rPr>
              <w:t>−3</w:t>
            </w:r>
            <w:r w:rsidRPr="00BC495F">
              <w:rPr>
                <w:rFonts w:ascii="Times New Roman" w:hAnsi="Times New Roman"/>
                <w:szCs w:val="20"/>
              </w:rPr>
              <w:t>)</w:t>
            </w:r>
          </w:p>
        </w:tc>
        <w:tc>
          <w:tcPr>
            <w:tcW w:w="1531" w:type="dxa"/>
            <w:vAlign w:val="center"/>
          </w:tcPr>
          <w:p w14:paraId="28B7EFF0"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0</w:t>
            </w:r>
          </w:p>
        </w:tc>
        <w:tc>
          <w:tcPr>
            <w:tcW w:w="1531" w:type="dxa"/>
            <w:vAlign w:val="center"/>
          </w:tcPr>
          <w:p w14:paraId="337CA1A1"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0</w:t>
            </w:r>
          </w:p>
        </w:tc>
        <w:tc>
          <w:tcPr>
            <w:tcW w:w="1531" w:type="dxa"/>
            <w:vAlign w:val="center"/>
          </w:tcPr>
          <w:p w14:paraId="4F51765A"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0</w:t>
            </w:r>
          </w:p>
        </w:tc>
        <w:tc>
          <w:tcPr>
            <w:tcW w:w="1531" w:type="dxa"/>
            <w:vAlign w:val="center"/>
          </w:tcPr>
          <w:p w14:paraId="033644DF"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2×10</w:t>
            </w:r>
            <w:r w:rsidRPr="00BC495F">
              <w:rPr>
                <w:rFonts w:ascii="Times New Roman" w:hAnsi="Times New Roman"/>
                <w:szCs w:val="20"/>
                <w:vertAlign w:val="superscript"/>
              </w:rPr>
              <w:t>18</w:t>
            </w:r>
          </w:p>
        </w:tc>
      </w:tr>
      <w:tr w:rsidR="00BC495F" w:rsidRPr="00BC495F" w14:paraId="6B544B29" w14:textId="77777777" w:rsidTr="001B2A8C">
        <w:trPr>
          <w:trHeight w:val="850"/>
        </w:trPr>
        <w:tc>
          <w:tcPr>
            <w:tcW w:w="2268" w:type="dxa"/>
            <w:tcBorders>
              <w:bottom w:val="single" w:sz="12" w:space="0" w:color="auto"/>
            </w:tcBorders>
            <w:vAlign w:val="center"/>
          </w:tcPr>
          <w:p w14:paraId="275A1D9C" w14:textId="77777777" w:rsidR="00BC495F" w:rsidRPr="00BC495F" w:rsidRDefault="00BC495F" w:rsidP="00BC495F">
            <w:pPr>
              <w:spacing w:line="400" w:lineRule="exact"/>
              <w:jc w:val="left"/>
              <w:rPr>
                <w:rFonts w:ascii="Times New Roman" w:hAnsi="Times New Roman"/>
                <w:szCs w:val="20"/>
              </w:rPr>
            </w:pPr>
            <w:r w:rsidRPr="00BC495F">
              <w:rPr>
                <w:rFonts w:ascii="Times New Roman" w:hAnsi="Times New Roman"/>
                <w:szCs w:val="20"/>
              </w:rPr>
              <w:t>Defect density (cm</w:t>
            </w:r>
            <w:r w:rsidRPr="00BC495F">
              <w:rPr>
                <w:rFonts w:ascii="Times New Roman" w:hAnsi="Times New Roman"/>
                <w:szCs w:val="20"/>
                <w:vertAlign w:val="superscript"/>
              </w:rPr>
              <w:t>−3</w:t>
            </w:r>
            <w:r w:rsidRPr="00BC495F">
              <w:rPr>
                <w:rFonts w:ascii="Times New Roman" w:hAnsi="Times New Roman"/>
                <w:szCs w:val="20"/>
              </w:rPr>
              <w:t>)</w:t>
            </w:r>
          </w:p>
        </w:tc>
        <w:tc>
          <w:tcPr>
            <w:tcW w:w="1531" w:type="dxa"/>
            <w:tcBorders>
              <w:bottom w:val="single" w:sz="12" w:space="0" w:color="auto"/>
            </w:tcBorders>
            <w:vAlign w:val="center"/>
          </w:tcPr>
          <w:p w14:paraId="472EAD7B"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1×10</w:t>
            </w:r>
            <w:r w:rsidRPr="00BC495F">
              <w:rPr>
                <w:rFonts w:ascii="Times New Roman" w:hAnsi="Times New Roman"/>
                <w:szCs w:val="20"/>
                <w:vertAlign w:val="superscript"/>
              </w:rPr>
              <w:t>15</w:t>
            </w:r>
          </w:p>
        </w:tc>
        <w:tc>
          <w:tcPr>
            <w:tcW w:w="1531" w:type="dxa"/>
            <w:tcBorders>
              <w:bottom w:val="single" w:sz="12" w:space="0" w:color="auto"/>
            </w:tcBorders>
            <w:vAlign w:val="center"/>
          </w:tcPr>
          <w:p w14:paraId="64C23048"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1×10</w:t>
            </w:r>
            <w:r w:rsidRPr="00BC495F">
              <w:rPr>
                <w:rFonts w:ascii="Times New Roman" w:hAnsi="Times New Roman"/>
                <w:szCs w:val="20"/>
                <w:vertAlign w:val="superscript"/>
              </w:rPr>
              <w:t>15</w:t>
            </w:r>
          </w:p>
        </w:tc>
        <w:tc>
          <w:tcPr>
            <w:tcW w:w="1531" w:type="dxa"/>
            <w:tcBorders>
              <w:bottom w:val="single" w:sz="12" w:space="0" w:color="auto"/>
            </w:tcBorders>
            <w:vAlign w:val="center"/>
          </w:tcPr>
          <w:p w14:paraId="08C329E1"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1×10</w:t>
            </w:r>
            <w:r w:rsidRPr="00BC495F">
              <w:rPr>
                <w:rFonts w:ascii="Times New Roman" w:hAnsi="Times New Roman"/>
                <w:szCs w:val="20"/>
                <w:vertAlign w:val="superscript"/>
              </w:rPr>
              <w:t>15</w:t>
            </w:r>
          </w:p>
        </w:tc>
        <w:tc>
          <w:tcPr>
            <w:tcW w:w="1531" w:type="dxa"/>
            <w:tcBorders>
              <w:bottom w:val="single" w:sz="12" w:space="0" w:color="auto"/>
            </w:tcBorders>
            <w:vAlign w:val="center"/>
          </w:tcPr>
          <w:p w14:paraId="422A498C" w14:textId="77777777" w:rsidR="00BC495F" w:rsidRPr="00BC495F" w:rsidRDefault="00BC495F" w:rsidP="00BC495F">
            <w:pPr>
              <w:spacing w:line="400" w:lineRule="exact"/>
              <w:ind w:firstLine="480"/>
              <w:jc w:val="center"/>
              <w:rPr>
                <w:rFonts w:ascii="Times New Roman" w:hAnsi="Times New Roman"/>
                <w:szCs w:val="21"/>
              </w:rPr>
            </w:pPr>
            <w:r w:rsidRPr="00BC495F">
              <w:rPr>
                <w:rFonts w:ascii="Times New Roman" w:hAnsi="Times New Roman"/>
                <w:szCs w:val="20"/>
              </w:rPr>
              <w:t>1×10</w:t>
            </w:r>
            <w:r w:rsidRPr="00BC495F">
              <w:rPr>
                <w:rFonts w:ascii="Times New Roman" w:hAnsi="Times New Roman"/>
                <w:szCs w:val="20"/>
                <w:vertAlign w:val="superscript"/>
              </w:rPr>
              <w:t>15</w:t>
            </w:r>
          </w:p>
        </w:tc>
      </w:tr>
    </w:tbl>
    <w:p w14:paraId="21391CCF" w14:textId="279875C2" w:rsidR="00DA38A0" w:rsidRDefault="00DA38A0" w:rsidP="0013077D">
      <w:pPr>
        <w:spacing w:beforeLines="100" w:before="240" w:afterLines="50" w:after="120" w:line="400" w:lineRule="exact"/>
        <w:jc w:val="left"/>
        <w:rPr>
          <w:rFonts w:ascii="Times New Roman" w:eastAsia="等线" w:hAnsi="Times New Roman"/>
          <w:b/>
          <w:bCs/>
          <w:sz w:val="24"/>
          <w:szCs w:val="28"/>
          <w:lang w:eastAsia="zh-CN"/>
        </w:rPr>
      </w:pPr>
    </w:p>
    <w:p w14:paraId="1BE126C1" w14:textId="200F2984" w:rsidR="00DA38A0" w:rsidRDefault="00DA38A0" w:rsidP="00DA38A0">
      <w:pPr>
        <w:widowControl/>
        <w:jc w:val="left"/>
        <w:rPr>
          <w:rFonts w:ascii="Times New Roman" w:eastAsia="等线" w:hAnsi="Times New Roman"/>
          <w:b/>
          <w:bCs/>
          <w:sz w:val="24"/>
          <w:szCs w:val="28"/>
          <w:lang w:eastAsia="zh-CN"/>
        </w:rPr>
      </w:pPr>
      <w:r>
        <w:rPr>
          <w:rFonts w:ascii="Times New Roman" w:eastAsia="等线" w:hAnsi="Times New Roman"/>
          <w:b/>
          <w:bCs/>
          <w:sz w:val="24"/>
          <w:szCs w:val="28"/>
          <w:lang w:eastAsia="zh-CN"/>
        </w:rPr>
        <w:br w:type="page"/>
      </w:r>
    </w:p>
    <w:p w14:paraId="60AD3B2E" w14:textId="07068C18" w:rsidR="0013077D" w:rsidRPr="0013077D" w:rsidRDefault="0013077D" w:rsidP="0013077D">
      <w:pPr>
        <w:spacing w:beforeLines="100" w:before="240" w:afterLines="50" w:after="120" w:line="400" w:lineRule="exact"/>
        <w:jc w:val="left"/>
        <w:rPr>
          <w:rFonts w:ascii="Times New Roman" w:eastAsia="等线" w:hAnsi="Times New Roman"/>
          <w:b/>
          <w:bCs/>
          <w:szCs w:val="22"/>
          <w:lang w:eastAsia="zh-CN"/>
        </w:rPr>
      </w:pPr>
      <w:r w:rsidRPr="0013077D">
        <w:rPr>
          <w:rFonts w:ascii="Times New Roman" w:eastAsia="等线" w:hAnsi="Times New Roman" w:hint="eastAsia"/>
          <w:b/>
          <w:bCs/>
          <w:sz w:val="24"/>
          <w:szCs w:val="28"/>
          <w:lang w:eastAsia="zh-CN"/>
        </w:rPr>
        <w:lastRenderedPageBreak/>
        <w:t>T</w:t>
      </w:r>
      <w:r w:rsidRPr="0013077D">
        <w:rPr>
          <w:rFonts w:ascii="Times New Roman" w:eastAsia="等线" w:hAnsi="Times New Roman"/>
          <w:b/>
          <w:bCs/>
          <w:sz w:val="24"/>
          <w:szCs w:val="28"/>
          <w:lang w:eastAsia="zh-CN"/>
        </w:rPr>
        <w:t>able Ⅱ</w:t>
      </w:r>
      <w:r w:rsidR="00D53618">
        <w:rPr>
          <w:rFonts w:ascii="Times New Roman" w:eastAsia="等线" w:hAnsi="Times New Roman"/>
          <w:b/>
          <w:bCs/>
          <w:sz w:val="24"/>
          <w:szCs w:val="28"/>
          <w:lang w:eastAsia="zh-CN"/>
        </w:rPr>
        <w:t>.</w:t>
      </w:r>
      <w:r>
        <w:rPr>
          <w:rFonts w:ascii="Times New Roman" w:eastAsia="等线" w:hAnsi="Times New Roman" w:hint="eastAsia"/>
          <w:b/>
          <w:bCs/>
          <w:sz w:val="24"/>
          <w:szCs w:val="28"/>
          <w:lang w:eastAsia="zh-CN"/>
        </w:rPr>
        <w:t xml:space="preserve"> </w:t>
      </w:r>
      <w:r w:rsidRPr="0013077D">
        <w:rPr>
          <w:rFonts w:ascii="Times New Roman" w:eastAsia="等线" w:hAnsi="Times New Roman"/>
          <w:b/>
          <w:bCs/>
          <w:sz w:val="24"/>
          <w:szCs w:val="28"/>
          <w:lang w:eastAsia="zh-CN"/>
        </w:rPr>
        <w:t>Summary of the photovoltaic parameters for varied diffusion length</w:t>
      </w:r>
    </w:p>
    <w:tbl>
      <w:tblPr>
        <w:tblW w:w="9186" w:type="dxa"/>
        <w:jc w:val="center"/>
        <w:tblLayout w:type="fixed"/>
        <w:tblLook w:val="04A0" w:firstRow="1" w:lastRow="0" w:firstColumn="1" w:lastColumn="0" w:noHBand="0" w:noVBand="1"/>
      </w:tblPr>
      <w:tblGrid>
        <w:gridCol w:w="1531"/>
        <w:gridCol w:w="1531"/>
        <w:gridCol w:w="1531"/>
        <w:gridCol w:w="1531"/>
        <w:gridCol w:w="1531"/>
        <w:gridCol w:w="1531"/>
      </w:tblGrid>
      <w:tr w:rsidR="0013077D" w:rsidRPr="0013077D" w14:paraId="152B7E00" w14:textId="77777777" w:rsidTr="0013077D">
        <w:trPr>
          <w:trHeight w:val="510"/>
          <w:jc w:val="center"/>
        </w:trPr>
        <w:tc>
          <w:tcPr>
            <w:tcW w:w="1531" w:type="dxa"/>
            <w:tcBorders>
              <w:top w:val="single" w:sz="12" w:space="0" w:color="auto"/>
              <w:bottom w:val="single" w:sz="12" w:space="0" w:color="auto"/>
            </w:tcBorders>
          </w:tcPr>
          <w:p w14:paraId="70C43CAF" w14:textId="77777777" w:rsidR="0013077D" w:rsidRPr="00C32958" w:rsidRDefault="0013077D" w:rsidP="0013077D">
            <w:pPr>
              <w:spacing w:line="400" w:lineRule="exact"/>
              <w:jc w:val="center"/>
              <w:rPr>
                <w:rFonts w:ascii="Times New Roman" w:eastAsia="等线" w:hAnsi="Times New Roman"/>
                <w:b/>
                <w:bCs/>
                <w:szCs w:val="20"/>
                <w:lang w:eastAsia="zh-CN"/>
              </w:rPr>
            </w:pPr>
            <w:proofErr w:type="spellStart"/>
            <w:r w:rsidRPr="00C32958">
              <w:rPr>
                <w:rFonts w:ascii="Times New Roman" w:eastAsia="等线" w:hAnsi="Times New Roman"/>
                <w:b/>
                <w:bCs/>
                <w:i/>
                <w:iCs/>
                <w:szCs w:val="20"/>
                <w:lang w:eastAsia="zh-CN"/>
              </w:rPr>
              <w:t>N</w:t>
            </w:r>
            <w:r w:rsidRPr="00C32958">
              <w:rPr>
                <w:rFonts w:ascii="Times New Roman" w:eastAsia="等线" w:hAnsi="Times New Roman"/>
                <w:b/>
                <w:bCs/>
                <w:i/>
                <w:iCs/>
                <w:szCs w:val="20"/>
                <w:vertAlign w:val="subscript"/>
                <w:lang w:eastAsia="zh-CN"/>
              </w:rPr>
              <w:t>t</w:t>
            </w:r>
            <w:proofErr w:type="spellEnd"/>
            <w:r w:rsidRPr="00C32958">
              <w:rPr>
                <w:rFonts w:ascii="Times New Roman" w:eastAsia="等线" w:hAnsi="Times New Roman"/>
                <w:b/>
                <w:bCs/>
                <w:szCs w:val="20"/>
                <w:lang w:eastAsia="zh-CN"/>
              </w:rPr>
              <w:t xml:space="preserve"> (cm)</w:t>
            </w:r>
          </w:p>
        </w:tc>
        <w:tc>
          <w:tcPr>
            <w:tcW w:w="1531" w:type="dxa"/>
            <w:tcBorders>
              <w:top w:val="single" w:sz="12" w:space="0" w:color="auto"/>
              <w:bottom w:val="single" w:sz="12" w:space="0" w:color="auto"/>
            </w:tcBorders>
          </w:tcPr>
          <w:p w14:paraId="3358F1C6" w14:textId="77777777" w:rsidR="0013077D" w:rsidRPr="00C32958" w:rsidRDefault="0013077D" w:rsidP="0013077D">
            <w:pPr>
              <w:spacing w:line="400" w:lineRule="exact"/>
              <w:jc w:val="center"/>
              <w:rPr>
                <w:rFonts w:ascii="Times New Roman" w:eastAsia="等线" w:hAnsi="Times New Roman"/>
                <w:szCs w:val="20"/>
                <w:lang w:eastAsia="zh-CN"/>
              </w:rPr>
            </w:pPr>
            <w:r w:rsidRPr="00C32958">
              <w:rPr>
                <w:rFonts w:ascii="Times New Roman" w:eastAsia="等线" w:hAnsi="Times New Roman"/>
                <w:szCs w:val="20"/>
                <w:lang w:eastAsia="zh-CN"/>
              </w:rPr>
              <w:t>10</w:t>
            </w:r>
            <w:r w:rsidRPr="00C32958">
              <w:rPr>
                <w:rFonts w:ascii="Times New Roman" w:eastAsia="等线" w:hAnsi="Times New Roman"/>
                <w:szCs w:val="20"/>
                <w:vertAlign w:val="superscript"/>
                <w:lang w:eastAsia="zh-CN"/>
              </w:rPr>
              <w:t>16</w:t>
            </w:r>
          </w:p>
        </w:tc>
        <w:tc>
          <w:tcPr>
            <w:tcW w:w="1531" w:type="dxa"/>
            <w:tcBorders>
              <w:top w:val="single" w:sz="12" w:space="0" w:color="auto"/>
              <w:bottom w:val="single" w:sz="12" w:space="0" w:color="auto"/>
            </w:tcBorders>
          </w:tcPr>
          <w:p w14:paraId="763FF77E" w14:textId="77777777" w:rsidR="0013077D" w:rsidRPr="00C32958" w:rsidRDefault="0013077D" w:rsidP="0013077D">
            <w:pPr>
              <w:spacing w:line="400" w:lineRule="exact"/>
              <w:jc w:val="center"/>
              <w:rPr>
                <w:rFonts w:ascii="Times New Roman" w:eastAsia="等线" w:hAnsi="Times New Roman"/>
                <w:szCs w:val="20"/>
                <w:lang w:eastAsia="zh-CN"/>
              </w:rPr>
            </w:pPr>
            <w:r w:rsidRPr="00C32958">
              <w:rPr>
                <w:rFonts w:ascii="Times New Roman" w:eastAsia="等线" w:hAnsi="Times New Roman"/>
                <w:szCs w:val="20"/>
                <w:lang w:eastAsia="zh-CN"/>
              </w:rPr>
              <w:t>10</w:t>
            </w:r>
            <w:r w:rsidRPr="00C32958">
              <w:rPr>
                <w:rFonts w:ascii="Times New Roman" w:eastAsia="等线" w:hAnsi="Times New Roman"/>
                <w:szCs w:val="20"/>
                <w:vertAlign w:val="superscript"/>
                <w:lang w:eastAsia="zh-CN"/>
              </w:rPr>
              <w:t>15</w:t>
            </w:r>
          </w:p>
        </w:tc>
        <w:tc>
          <w:tcPr>
            <w:tcW w:w="1531" w:type="dxa"/>
            <w:tcBorders>
              <w:top w:val="single" w:sz="12" w:space="0" w:color="auto"/>
              <w:bottom w:val="single" w:sz="12" w:space="0" w:color="auto"/>
            </w:tcBorders>
          </w:tcPr>
          <w:p w14:paraId="0F069051" w14:textId="77777777" w:rsidR="0013077D" w:rsidRPr="00C32958" w:rsidRDefault="0013077D" w:rsidP="0013077D">
            <w:pPr>
              <w:spacing w:line="400" w:lineRule="exact"/>
              <w:jc w:val="center"/>
              <w:rPr>
                <w:rFonts w:ascii="Times New Roman" w:eastAsia="等线" w:hAnsi="Times New Roman"/>
                <w:szCs w:val="20"/>
                <w:lang w:eastAsia="zh-CN"/>
              </w:rPr>
            </w:pPr>
            <w:r w:rsidRPr="00C32958">
              <w:rPr>
                <w:rFonts w:ascii="Times New Roman" w:eastAsia="等线" w:hAnsi="Times New Roman"/>
                <w:szCs w:val="20"/>
                <w:lang w:eastAsia="zh-CN"/>
              </w:rPr>
              <w:t>10</w:t>
            </w:r>
            <w:r w:rsidRPr="00C32958">
              <w:rPr>
                <w:rFonts w:ascii="Times New Roman" w:eastAsia="等线" w:hAnsi="Times New Roman"/>
                <w:szCs w:val="20"/>
                <w:vertAlign w:val="superscript"/>
                <w:lang w:eastAsia="zh-CN"/>
              </w:rPr>
              <w:t>14</w:t>
            </w:r>
          </w:p>
        </w:tc>
        <w:tc>
          <w:tcPr>
            <w:tcW w:w="1531" w:type="dxa"/>
            <w:tcBorders>
              <w:top w:val="single" w:sz="12" w:space="0" w:color="auto"/>
              <w:bottom w:val="single" w:sz="12" w:space="0" w:color="auto"/>
            </w:tcBorders>
          </w:tcPr>
          <w:p w14:paraId="09DB2A80" w14:textId="77777777" w:rsidR="0013077D" w:rsidRPr="00C32958" w:rsidRDefault="0013077D" w:rsidP="0013077D">
            <w:pPr>
              <w:spacing w:line="400" w:lineRule="exact"/>
              <w:jc w:val="center"/>
              <w:rPr>
                <w:rFonts w:ascii="Times New Roman" w:eastAsia="等线" w:hAnsi="Times New Roman"/>
                <w:szCs w:val="20"/>
                <w:lang w:eastAsia="zh-CN"/>
              </w:rPr>
            </w:pPr>
            <w:r w:rsidRPr="00C32958">
              <w:rPr>
                <w:rFonts w:ascii="Times New Roman" w:eastAsia="等线" w:hAnsi="Times New Roman"/>
                <w:szCs w:val="20"/>
                <w:lang w:eastAsia="zh-CN"/>
              </w:rPr>
              <w:t>5×10</w:t>
            </w:r>
            <w:r w:rsidRPr="00C32958">
              <w:rPr>
                <w:rFonts w:ascii="Times New Roman" w:eastAsia="等线" w:hAnsi="Times New Roman"/>
                <w:szCs w:val="20"/>
                <w:vertAlign w:val="superscript"/>
                <w:lang w:eastAsia="zh-CN"/>
              </w:rPr>
              <w:t>13</w:t>
            </w:r>
          </w:p>
        </w:tc>
        <w:tc>
          <w:tcPr>
            <w:tcW w:w="1531" w:type="dxa"/>
            <w:tcBorders>
              <w:top w:val="single" w:sz="12" w:space="0" w:color="auto"/>
              <w:bottom w:val="single" w:sz="12" w:space="0" w:color="auto"/>
            </w:tcBorders>
          </w:tcPr>
          <w:p w14:paraId="37FA3762" w14:textId="77777777" w:rsidR="0013077D" w:rsidRPr="00C32958" w:rsidRDefault="0013077D" w:rsidP="0013077D">
            <w:pPr>
              <w:spacing w:line="400" w:lineRule="exact"/>
              <w:jc w:val="center"/>
              <w:rPr>
                <w:rFonts w:ascii="Times New Roman" w:eastAsia="等线" w:hAnsi="Times New Roman"/>
                <w:szCs w:val="20"/>
                <w:lang w:eastAsia="zh-CN"/>
              </w:rPr>
            </w:pPr>
            <w:r w:rsidRPr="00C32958">
              <w:rPr>
                <w:rFonts w:ascii="Times New Roman" w:eastAsia="等线" w:hAnsi="Times New Roman"/>
                <w:szCs w:val="20"/>
                <w:lang w:eastAsia="zh-CN"/>
              </w:rPr>
              <w:t>10</w:t>
            </w:r>
            <w:r w:rsidRPr="00C32958">
              <w:rPr>
                <w:rFonts w:ascii="Times New Roman" w:eastAsia="等线" w:hAnsi="Times New Roman"/>
                <w:szCs w:val="20"/>
                <w:vertAlign w:val="superscript"/>
                <w:lang w:eastAsia="zh-CN"/>
              </w:rPr>
              <w:t>13</w:t>
            </w:r>
          </w:p>
        </w:tc>
      </w:tr>
      <w:tr w:rsidR="0013077D" w:rsidRPr="0013077D" w14:paraId="1E9CD24A" w14:textId="77777777" w:rsidTr="0013077D">
        <w:trPr>
          <w:trHeight w:val="510"/>
          <w:jc w:val="center"/>
        </w:trPr>
        <w:tc>
          <w:tcPr>
            <w:tcW w:w="1531" w:type="dxa"/>
            <w:tcBorders>
              <w:top w:val="single" w:sz="12" w:space="0" w:color="auto"/>
            </w:tcBorders>
            <w:vAlign w:val="center"/>
          </w:tcPr>
          <w:p w14:paraId="408D7FD8" w14:textId="77777777" w:rsidR="0013077D" w:rsidRPr="00C32958" w:rsidRDefault="0013077D" w:rsidP="0013077D">
            <w:pPr>
              <w:spacing w:line="400" w:lineRule="exact"/>
              <w:jc w:val="center"/>
              <w:rPr>
                <w:rFonts w:ascii="Times New Roman" w:eastAsia="等线" w:hAnsi="Times New Roman"/>
                <w:b/>
                <w:bCs/>
                <w:szCs w:val="20"/>
                <w:lang w:eastAsia="zh-CN"/>
              </w:rPr>
            </w:pPr>
            <w:r w:rsidRPr="00C32958">
              <w:rPr>
                <w:rFonts w:ascii="Times New Roman" w:eastAsia="等线" w:hAnsi="Times New Roman"/>
                <w:b/>
                <w:bCs/>
                <w:i/>
                <w:iCs/>
                <w:szCs w:val="20"/>
                <w:lang w:eastAsia="zh-CN"/>
              </w:rPr>
              <w:t xml:space="preserve">τ </w:t>
            </w:r>
            <w:r w:rsidRPr="00C32958">
              <w:rPr>
                <w:rFonts w:ascii="Times New Roman" w:eastAsia="等线" w:hAnsi="Times New Roman"/>
                <w:b/>
                <w:bCs/>
                <w:szCs w:val="20"/>
                <w:lang w:eastAsia="zh-CN"/>
              </w:rPr>
              <w:t>(ns)</w:t>
            </w:r>
          </w:p>
        </w:tc>
        <w:tc>
          <w:tcPr>
            <w:tcW w:w="1531" w:type="dxa"/>
            <w:tcBorders>
              <w:top w:val="single" w:sz="12" w:space="0" w:color="auto"/>
            </w:tcBorders>
            <w:vAlign w:val="center"/>
          </w:tcPr>
          <w:p w14:paraId="0F6E6401" w14:textId="77777777" w:rsidR="0013077D" w:rsidRPr="0013077D" w:rsidRDefault="0013077D" w:rsidP="0013077D">
            <w:pPr>
              <w:spacing w:line="400" w:lineRule="exact"/>
              <w:jc w:val="center"/>
              <w:rPr>
                <w:rFonts w:ascii="Times New Roman" w:eastAsia="等线" w:hAnsi="Times New Roman"/>
                <w:szCs w:val="20"/>
                <w:lang w:eastAsia="zh-CN"/>
              </w:rPr>
            </w:pPr>
            <w:r w:rsidRPr="0013077D">
              <w:rPr>
                <w:rFonts w:ascii="Times New Roman" w:eastAsia="等线" w:hAnsi="Times New Roman"/>
                <w:szCs w:val="20"/>
                <w:lang w:eastAsia="zh-CN"/>
              </w:rPr>
              <w:t>0.5</w:t>
            </w:r>
          </w:p>
        </w:tc>
        <w:tc>
          <w:tcPr>
            <w:tcW w:w="1531" w:type="dxa"/>
            <w:tcBorders>
              <w:top w:val="single" w:sz="12" w:space="0" w:color="auto"/>
            </w:tcBorders>
            <w:vAlign w:val="center"/>
          </w:tcPr>
          <w:p w14:paraId="18FF285F" w14:textId="77777777" w:rsidR="0013077D" w:rsidRPr="0013077D" w:rsidRDefault="0013077D" w:rsidP="0013077D">
            <w:pPr>
              <w:spacing w:line="400" w:lineRule="exact"/>
              <w:jc w:val="center"/>
              <w:rPr>
                <w:rFonts w:ascii="Times New Roman" w:eastAsia="等线" w:hAnsi="Times New Roman"/>
                <w:szCs w:val="20"/>
                <w:lang w:eastAsia="zh-CN"/>
              </w:rPr>
            </w:pPr>
            <w:r w:rsidRPr="0013077D">
              <w:rPr>
                <w:rFonts w:ascii="Times New Roman" w:eastAsia="等线" w:hAnsi="Times New Roman"/>
                <w:szCs w:val="20"/>
                <w:lang w:eastAsia="zh-CN"/>
              </w:rPr>
              <w:t>5</w:t>
            </w:r>
          </w:p>
        </w:tc>
        <w:tc>
          <w:tcPr>
            <w:tcW w:w="1531" w:type="dxa"/>
            <w:tcBorders>
              <w:top w:val="single" w:sz="12" w:space="0" w:color="auto"/>
            </w:tcBorders>
            <w:vAlign w:val="center"/>
          </w:tcPr>
          <w:p w14:paraId="0FBC8C39" w14:textId="77777777" w:rsidR="0013077D" w:rsidRPr="0013077D" w:rsidRDefault="0013077D" w:rsidP="0013077D">
            <w:pPr>
              <w:spacing w:line="400" w:lineRule="exact"/>
              <w:jc w:val="center"/>
              <w:rPr>
                <w:rFonts w:ascii="Times New Roman" w:eastAsia="等线" w:hAnsi="Times New Roman"/>
                <w:szCs w:val="20"/>
                <w:lang w:eastAsia="zh-CN"/>
              </w:rPr>
            </w:pPr>
            <w:r w:rsidRPr="0013077D">
              <w:rPr>
                <w:rFonts w:ascii="Times New Roman" w:eastAsia="等线" w:hAnsi="Times New Roman"/>
                <w:szCs w:val="20"/>
                <w:lang w:eastAsia="zh-CN"/>
              </w:rPr>
              <w:t>50</w:t>
            </w:r>
          </w:p>
        </w:tc>
        <w:tc>
          <w:tcPr>
            <w:tcW w:w="1531" w:type="dxa"/>
            <w:tcBorders>
              <w:top w:val="single" w:sz="12" w:space="0" w:color="auto"/>
            </w:tcBorders>
            <w:vAlign w:val="center"/>
          </w:tcPr>
          <w:p w14:paraId="4F5C13AA" w14:textId="77777777" w:rsidR="0013077D" w:rsidRPr="0013077D" w:rsidRDefault="0013077D" w:rsidP="0013077D">
            <w:pPr>
              <w:spacing w:line="400" w:lineRule="exact"/>
              <w:jc w:val="center"/>
              <w:rPr>
                <w:rFonts w:ascii="Times New Roman" w:eastAsia="等线" w:hAnsi="Times New Roman"/>
                <w:szCs w:val="20"/>
                <w:lang w:eastAsia="zh-CN"/>
              </w:rPr>
            </w:pPr>
            <w:r w:rsidRPr="0013077D">
              <w:rPr>
                <w:rFonts w:ascii="Times New Roman" w:eastAsia="等线" w:hAnsi="Times New Roman"/>
                <w:szCs w:val="20"/>
                <w:lang w:eastAsia="zh-CN"/>
              </w:rPr>
              <w:t>100</w:t>
            </w:r>
          </w:p>
        </w:tc>
        <w:tc>
          <w:tcPr>
            <w:tcW w:w="1531" w:type="dxa"/>
            <w:tcBorders>
              <w:top w:val="single" w:sz="12" w:space="0" w:color="auto"/>
            </w:tcBorders>
            <w:vAlign w:val="center"/>
          </w:tcPr>
          <w:p w14:paraId="1A6B3A00" w14:textId="77777777" w:rsidR="0013077D" w:rsidRPr="0013077D" w:rsidRDefault="0013077D" w:rsidP="0013077D">
            <w:pPr>
              <w:spacing w:line="400" w:lineRule="exact"/>
              <w:jc w:val="center"/>
              <w:rPr>
                <w:rFonts w:ascii="Times New Roman" w:eastAsia="等线" w:hAnsi="Times New Roman"/>
                <w:szCs w:val="20"/>
                <w:lang w:eastAsia="zh-CN"/>
              </w:rPr>
            </w:pPr>
            <w:r w:rsidRPr="0013077D">
              <w:rPr>
                <w:rFonts w:ascii="Times New Roman" w:eastAsia="等线" w:hAnsi="Times New Roman" w:hint="eastAsia"/>
                <w:szCs w:val="20"/>
                <w:lang w:eastAsia="zh-CN"/>
              </w:rPr>
              <w:t>5</w:t>
            </w:r>
            <w:r w:rsidRPr="0013077D">
              <w:rPr>
                <w:rFonts w:ascii="Times New Roman" w:eastAsia="等线" w:hAnsi="Times New Roman"/>
                <w:szCs w:val="20"/>
                <w:lang w:eastAsia="zh-CN"/>
              </w:rPr>
              <w:t>00</w:t>
            </w:r>
          </w:p>
        </w:tc>
      </w:tr>
      <w:tr w:rsidR="0013077D" w:rsidRPr="0013077D" w14:paraId="276A17B2" w14:textId="77777777" w:rsidTr="0013077D">
        <w:trPr>
          <w:trHeight w:val="510"/>
          <w:jc w:val="center"/>
        </w:trPr>
        <w:tc>
          <w:tcPr>
            <w:tcW w:w="1531" w:type="dxa"/>
            <w:tcBorders>
              <w:bottom w:val="single" w:sz="12" w:space="0" w:color="auto"/>
            </w:tcBorders>
            <w:vAlign w:val="center"/>
          </w:tcPr>
          <w:p w14:paraId="013C34E2" w14:textId="77777777" w:rsidR="0013077D" w:rsidRPr="00C32958" w:rsidRDefault="0013077D" w:rsidP="0013077D">
            <w:pPr>
              <w:spacing w:line="400" w:lineRule="exact"/>
              <w:jc w:val="center"/>
              <w:rPr>
                <w:rFonts w:ascii="Times New Roman" w:eastAsia="等线" w:hAnsi="Times New Roman"/>
                <w:b/>
                <w:bCs/>
                <w:i/>
                <w:iCs/>
                <w:szCs w:val="20"/>
                <w:lang w:eastAsia="zh-CN"/>
              </w:rPr>
            </w:pPr>
            <w:r w:rsidRPr="00C32958">
              <w:rPr>
                <w:rFonts w:ascii="Times New Roman" w:eastAsia="等线" w:hAnsi="Times New Roman"/>
                <w:b/>
                <w:bCs/>
                <w:i/>
                <w:iCs/>
                <w:szCs w:val="20"/>
                <w:lang w:eastAsia="zh-CN"/>
              </w:rPr>
              <w:t>L</w:t>
            </w:r>
            <w:r w:rsidRPr="00C32958">
              <w:rPr>
                <w:rFonts w:ascii="Times New Roman" w:eastAsia="等线" w:hAnsi="Times New Roman"/>
                <w:b/>
                <w:bCs/>
                <w:i/>
                <w:iCs/>
                <w:szCs w:val="20"/>
                <w:vertAlign w:val="subscript"/>
                <w:lang w:eastAsia="zh-CN"/>
              </w:rPr>
              <w:t>D</w:t>
            </w:r>
            <w:r w:rsidRPr="00C32958">
              <w:rPr>
                <w:rFonts w:ascii="Times New Roman" w:eastAsia="等线" w:hAnsi="Times New Roman"/>
                <w:b/>
                <w:bCs/>
                <w:i/>
                <w:iCs/>
                <w:szCs w:val="20"/>
                <w:lang w:eastAsia="zh-CN"/>
              </w:rPr>
              <w:t xml:space="preserve"> </w:t>
            </w:r>
            <w:r w:rsidRPr="00C32958">
              <w:rPr>
                <w:rFonts w:ascii="Times New Roman" w:eastAsia="等线" w:hAnsi="Times New Roman"/>
                <w:b/>
                <w:bCs/>
                <w:szCs w:val="20"/>
                <w:lang w:eastAsia="zh-CN"/>
              </w:rPr>
              <w:t>(</w:t>
            </w:r>
            <w:proofErr w:type="spellStart"/>
            <w:r w:rsidRPr="00C32958">
              <w:rPr>
                <w:rFonts w:ascii="Times New Roman" w:eastAsia="等线" w:hAnsi="Times New Roman"/>
                <w:b/>
                <w:bCs/>
                <w:szCs w:val="20"/>
                <w:lang w:eastAsia="zh-CN"/>
              </w:rPr>
              <w:t>μm</w:t>
            </w:r>
            <w:proofErr w:type="spellEnd"/>
            <w:r w:rsidRPr="00C32958">
              <w:rPr>
                <w:rFonts w:ascii="Times New Roman" w:eastAsia="等线" w:hAnsi="Times New Roman"/>
                <w:b/>
                <w:bCs/>
                <w:szCs w:val="20"/>
                <w:lang w:eastAsia="zh-CN"/>
              </w:rPr>
              <w:t>)</w:t>
            </w:r>
          </w:p>
        </w:tc>
        <w:tc>
          <w:tcPr>
            <w:tcW w:w="1531" w:type="dxa"/>
            <w:tcBorders>
              <w:bottom w:val="single" w:sz="12" w:space="0" w:color="auto"/>
            </w:tcBorders>
            <w:vAlign w:val="center"/>
          </w:tcPr>
          <w:p w14:paraId="7DC566F6" w14:textId="77777777" w:rsidR="0013077D" w:rsidRPr="0013077D" w:rsidRDefault="0013077D" w:rsidP="0013077D">
            <w:pPr>
              <w:spacing w:line="400" w:lineRule="exact"/>
              <w:jc w:val="center"/>
              <w:rPr>
                <w:rFonts w:ascii="Times New Roman" w:eastAsia="等线" w:hAnsi="Times New Roman"/>
                <w:szCs w:val="20"/>
                <w:lang w:eastAsia="zh-CN"/>
              </w:rPr>
            </w:pPr>
            <w:r w:rsidRPr="0013077D">
              <w:rPr>
                <w:rFonts w:ascii="Times New Roman" w:eastAsia="等线" w:hAnsi="Times New Roman"/>
                <w:szCs w:val="20"/>
                <w:lang w:eastAsia="zh-CN"/>
              </w:rPr>
              <w:t>0.051</w:t>
            </w:r>
          </w:p>
        </w:tc>
        <w:tc>
          <w:tcPr>
            <w:tcW w:w="1531" w:type="dxa"/>
            <w:tcBorders>
              <w:bottom w:val="single" w:sz="12" w:space="0" w:color="auto"/>
            </w:tcBorders>
            <w:vAlign w:val="center"/>
          </w:tcPr>
          <w:p w14:paraId="190BF9A9" w14:textId="77777777" w:rsidR="0013077D" w:rsidRPr="0013077D" w:rsidRDefault="0013077D" w:rsidP="0013077D">
            <w:pPr>
              <w:spacing w:line="400" w:lineRule="exact"/>
              <w:jc w:val="center"/>
              <w:rPr>
                <w:rFonts w:ascii="Times New Roman" w:eastAsia="等线" w:hAnsi="Times New Roman"/>
                <w:szCs w:val="20"/>
                <w:lang w:eastAsia="zh-CN"/>
              </w:rPr>
            </w:pPr>
            <w:r w:rsidRPr="0013077D">
              <w:rPr>
                <w:rFonts w:ascii="Times New Roman" w:eastAsia="等线" w:hAnsi="Times New Roman"/>
                <w:szCs w:val="20"/>
                <w:lang w:eastAsia="zh-CN"/>
              </w:rPr>
              <w:t>0.16</w:t>
            </w:r>
          </w:p>
        </w:tc>
        <w:tc>
          <w:tcPr>
            <w:tcW w:w="1531" w:type="dxa"/>
            <w:tcBorders>
              <w:bottom w:val="single" w:sz="12" w:space="0" w:color="auto"/>
            </w:tcBorders>
            <w:vAlign w:val="center"/>
          </w:tcPr>
          <w:p w14:paraId="7B758502" w14:textId="77777777" w:rsidR="0013077D" w:rsidRPr="0013077D" w:rsidRDefault="0013077D" w:rsidP="0013077D">
            <w:pPr>
              <w:spacing w:line="400" w:lineRule="exact"/>
              <w:jc w:val="center"/>
              <w:rPr>
                <w:rFonts w:ascii="Times New Roman" w:eastAsia="等线" w:hAnsi="Times New Roman"/>
                <w:szCs w:val="20"/>
                <w:lang w:eastAsia="zh-CN"/>
              </w:rPr>
            </w:pPr>
            <w:r w:rsidRPr="0013077D">
              <w:rPr>
                <w:rFonts w:ascii="Times New Roman" w:eastAsia="等线" w:hAnsi="Times New Roman"/>
                <w:szCs w:val="20"/>
                <w:lang w:eastAsia="zh-CN"/>
              </w:rPr>
              <w:t>0.51</w:t>
            </w:r>
          </w:p>
        </w:tc>
        <w:tc>
          <w:tcPr>
            <w:tcW w:w="1531" w:type="dxa"/>
            <w:tcBorders>
              <w:bottom w:val="single" w:sz="12" w:space="0" w:color="auto"/>
            </w:tcBorders>
            <w:vAlign w:val="center"/>
          </w:tcPr>
          <w:p w14:paraId="667C9BE7" w14:textId="77777777" w:rsidR="0013077D" w:rsidRPr="0013077D" w:rsidRDefault="0013077D" w:rsidP="0013077D">
            <w:pPr>
              <w:spacing w:line="400" w:lineRule="exact"/>
              <w:jc w:val="center"/>
              <w:rPr>
                <w:rFonts w:ascii="Times New Roman" w:eastAsia="等线" w:hAnsi="Times New Roman"/>
                <w:szCs w:val="20"/>
                <w:lang w:eastAsia="zh-CN"/>
              </w:rPr>
            </w:pPr>
            <w:r w:rsidRPr="0013077D">
              <w:rPr>
                <w:rFonts w:ascii="Times New Roman" w:eastAsia="等线" w:hAnsi="Times New Roman"/>
                <w:szCs w:val="20"/>
                <w:lang w:eastAsia="zh-CN"/>
              </w:rPr>
              <w:t>0.72</w:t>
            </w:r>
          </w:p>
        </w:tc>
        <w:tc>
          <w:tcPr>
            <w:tcW w:w="1531" w:type="dxa"/>
            <w:tcBorders>
              <w:bottom w:val="single" w:sz="12" w:space="0" w:color="auto"/>
            </w:tcBorders>
            <w:vAlign w:val="center"/>
          </w:tcPr>
          <w:p w14:paraId="5575E8A0" w14:textId="77777777" w:rsidR="0013077D" w:rsidRPr="0013077D" w:rsidRDefault="0013077D" w:rsidP="0013077D">
            <w:pPr>
              <w:spacing w:line="400" w:lineRule="exact"/>
              <w:jc w:val="center"/>
              <w:rPr>
                <w:rFonts w:ascii="Times New Roman" w:eastAsia="等线" w:hAnsi="Times New Roman"/>
                <w:szCs w:val="20"/>
                <w:lang w:eastAsia="zh-CN"/>
              </w:rPr>
            </w:pPr>
            <w:r w:rsidRPr="0013077D">
              <w:rPr>
                <w:rFonts w:ascii="Times New Roman" w:eastAsia="等线" w:hAnsi="Times New Roman" w:hint="eastAsia"/>
                <w:szCs w:val="20"/>
                <w:lang w:eastAsia="zh-CN"/>
              </w:rPr>
              <w:t>1</w:t>
            </w:r>
            <w:r w:rsidRPr="0013077D">
              <w:rPr>
                <w:rFonts w:ascii="Times New Roman" w:eastAsia="等线" w:hAnsi="Times New Roman"/>
                <w:szCs w:val="20"/>
                <w:lang w:eastAsia="zh-CN"/>
              </w:rPr>
              <w:t>.6</w:t>
            </w:r>
          </w:p>
        </w:tc>
      </w:tr>
    </w:tbl>
    <w:p w14:paraId="40B93B32" w14:textId="77777777" w:rsidR="00DA38A0" w:rsidRDefault="00DA38A0" w:rsidP="00D53618">
      <w:pPr>
        <w:spacing w:beforeLines="100" w:before="240" w:afterLines="50" w:after="120" w:line="400" w:lineRule="exact"/>
        <w:jc w:val="left"/>
        <w:rPr>
          <w:rFonts w:ascii="Times New Roman" w:eastAsia="等线" w:hAnsi="Times New Roman"/>
          <w:b/>
          <w:bCs/>
          <w:sz w:val="24"/>
          <w:szCs w:val="28"/>
          <w:lang w:eastAsia="zh-CN"/>
        </w:rPr>
      </w:pPr>
    </w:p>
    <w:p w14:paraId="118F2A01" w14:textId="00B87DA8" w:rsidR="00D53618" w:rsidRPr="00D53618" w:rsidRDefault="00D53618" w:rsidP="00D53618">
      <w:pPr>
        <w:spacing w:beforeLines="100" w:before="240" w:afterLines="50" w:after="120" w:line="400" w:lineRule="exact"/>
        <w:jc w:val="left"/>
        <w:rPr>
          <w:rFonts w:ascii="Times New Roman" w:eastAsia="等线" w:hAnsi="Times New Roman"/>
          <w:b/>
          <w:bCs/>
          <w:sz w:val="24"/>
          <w:szCs w:val="22"/>
          <w:lang w:eastAsia="zh-CN"/>
        </w:rPr>
      </w:pPr>
      <w:r w:rsidRPr="00D53618">
        <w:rPr>
          <w:rFonts w:ascii="Times New Roman" w:eastAsia="等线" w:hAnsi="Times New Roman" w:hint="eastAsia"/>
          <w:b/>
          <w:bCs/>
          <w:sz w:val="24"/>
          <w:szCs w:val="28"/>
          <w:lang w:eastAsia="zh-CN"/>
        </w:rPr>
        <w:t>T</w:t>
      </w:r>
      <w:r w:rsidRPr="00D53618">
        <w:rPr>
          <w:rFonts w:ascii="Times New Roman" w:eastAsia="等线" w:hAnsi="Times New Roman"/>
          <w:b/>
          <w:bCs/>
          <w:sz w:val="24"/>
          <w:szCs w:val="28"/>
          <w:lang w:eastAsia="zh-CN"/>
        </w:rPr>
        <w:t>able</w:t>
      </w:r>
      <w:r>
        <w:rPr>
          <w:rFonts w:ascii="Times New Roman" w:eastAsia="等线" w:hAnsi="Times New Roman"/>
          <w:b/>
          <w:bCs/>
          <w:sz w:val="24"/>
          <w:szCs w:val="28"/>
          <w:lang w:eastAsia="zh-CN"/>
        </w:rPr>
        <w:t xml:space="preserve"> </w:t>
      </w:r>
      <w:r w:rsidRPr="00D53618">
        <w:rPr>
          <w:rFonts w:ascii="Times New Roman" w:eastAsia="等线" w:hAnsi="Times New Roman"/>
          <w:b/>
          <w:bCs/>
          <w:sz w:val="24"/>
          <w:szCs w:val="28"/>
          <w:lang w:eastAsia="zh-CN"/>
        </w:rPr>
        <w:t>Ⅲ</w:t>
      </w:r>
      <w:r>
        <w:rPr>
          <w:rFonts w:ascii="Times New Roman" w:eastAsia="等线" w:hAnsi="Times New Roman" w:hint="eastAsia"/>
          <w:b/>
          <w:bCs/>
          <w:sz w:val="24"/>
          <w:szCs w:val="28"/>
          <w:lang w:eastAsia="zh-CN"/>
        </w:rPr>
        <w:t>.</w:t>
      </w:r>
      <w:r w:rsidRPr="00D53618">
        <w:rPr>
          <w:rFonts w:ascii="Times New Roman" w:eastAsia="等线" w:hAnsi="Times New Roman"/>
          <w:b/>
          <w:bCs/>
          <w:sz w:val="24"/>
          <w:szCs w:val="28"/>
          <w:lang w:eastAsia="zh-CN"/>
        </w:rPr>
        <w:t xml:space="preserve"> Summary of the photovoltaic parameters for varied diffusion length</w:t>
      </w:r>
    </w:p>
    <w:tbl>
      <w:tblPr>
        <w:tblW w:w="8220" w:type="dxa"/>
        <w:tblCellMar>
          <w:left w:w="0" w:type="dxa"/>
          <w:right w:w="0" w:type="dxa"/>
        </w:tblCellMar>
        <w:tblLook w:val="04A0" w:firstRow="1" w:lastRow="0" w:firstColumn="1" w:lastColumn="0" w:noHBand="0" w:noVBand="1"/>
      </w:tblPr>
      <w:tblGrid>
        <w:gridCol w:w="1644"/>
        <w:gridCol w:w="1644"/>
        <w:gridCol w:w="1644"/>
        <w:gridCol w:w="1644"/>
        <w:gridCol w:w="1644"/>
      </w:tblGrid>
      <w:tr w:rsidR="00D53618" w:rsidRPr="00D53618" w14:paraId="48F036A6" w14:textId="77777777" w:rsidTr="00D53618">
        <w:trPr>
          <w:trHeight w:val="567"/>
        </w:trPr>
        <w:tc>
          <w:tcPr>
            <w:tcW w:w="164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hideMark/>
          </w:tcPr>
          <w:p w14:paraId="3C4B128C" w14:textId="77777777" w:rsidR="00D53618" w:rsidRPr="00D53618" w:rsidRDefault="00D53618" w:rsidP="00D53618">
            <w:pPr>
              <w:spacing w:line="400" w:lineRule="exact"/>
              <w:jc w:val="center"/>
              <w:rPr>
                <w:rFonts w:ascii="Arial" w:eastAsia="等线" w:hAnsi="Arial" w:cs="Arial"/>
                <w:b/>
                <w:bCs/>
                <w:kern w:val="0"/>
                <w:szCs w:val="21"/>
                <w:lang w:eastAsia="zh-CN"/>
              </w:rPr>
            </w:pPr>
            <w:r w:rsidRPr="00D53618">
              <w:rPr>
                <w:rFonts w:ascii="Times New Roman" w:eastAsia="等线" w:hAnsi="Times New Roman"/>
                <w:b/>
                <w:bCs/>
                <w:szCs w:val="21"/>
                <w:lang w:eastAsia="zh-CN"/>
              </w:rPr>
              <w:t>Thickness (nm)</w:t>
            </w:r>
          </w:p>
        </w:tc>
        <w:tc>
          <w:tcPr>
            <w:tcW w:w="164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hideMark/>
          </w:tcPr>
          <w:p w14:paraId="271368D1" w14:textId="77777777" w:rsidR="00D53618" w:rsidRPr="00D53618" w:rsidRDefault="00D53618" w:rsidP="00D53618">
            <w:pPr>
              <w:spacing w:line="400" w:lineRule="exact"/>
              <w:jc w:val="center"/>
              <w:rPr>
                <w:rFonts w:ascii="Arial" w:eastAsia="等线" w:hAnsi="Arial" w:cs="Arial"/>
                <w:b/>
                <w:bCs/>
                <w:kern w:val="0"/>
                <w:szCs w:val="21"/>
                <w:lang w:eastAsia="zh-CN"/>
              </w:rPr>
            </w:pPr>
            <w:r w:rsidRPr="00D53618">
              <w:rPr>
                <w:rFonts w:ascii="Times New Roman" w:eastAsia="等线" w:hAnsi="Times New Roman"/>
                <w:b/>
                <w:bCs/>
                <w:szCs w:val="21"/>
                <w:lang w:eastAsia="zh-CN"/>
              </w:rPr>
              <w:t>PCE (%)</w:t>
            </w:r>
          </w:p>
        </w:tc>
        <w:tc>
          <w:tcPr>
            <w:tcW w:w="164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hideMark/>
          </w:tcPr>
          <w:p w14:paraId="2EA8D93E" w14:textId="77777777" w:rsidR="00D53618" w:rsidRPr="00D53618" w:rsidRDefault="00D53618" w:rsidP="00D53618">
            <w:pPr>
              <w:spacing w:line="400" w:lineRule="exact"/>
              <w:jc w:val="center"/>
              <w:rPr>
                <w:rFonts w:ascii="Arial" w:eastAsia="等线" w:hAnsi="Arial" w:cs="Arial"/>
                <w:b/>
                <w:bCs/>
                <w:kern w:val="0"/>
                <w:szCs w:val="21"/>
                <w:lang w:eastAsia="zh-CN"/>
              </w:rPr>
            </w:pPr>
            <w:proofErr w:type="spellStart"/>
            <w:r w:rsidRPr="00D53618">
              <w:rPr>
                <w:rFonts w:ascii="Times New Roman" w:eastAsia="等线" w:hAnsi="Times New Roman"/>
                <w:b/>
                <w:bCs/>
                <w:szCs w:val="21"/>
                <w:lang w:eastAsia="zh-CN"/>
              </w:rPr>
              <w:t>V</w:t>
            </w:r>
            <w:r w:rsidRPr="00D53618">
              <w:rPr>
                <w:rFonts w:ascii="Times New Roman" w:eastAsia="等线" w:hAnsi="Times New Roman"/>
                <w:b/>
                <w:bCs/>
                <w:szCs w:val="21"/>
                <w:vertAlign w:val="subscript"/>
                <w:lang w:eastAsia="zh-CN"/>
              </w:rPr>
              <w:t>oc</w:t>
            </w:r>
            <w:proofErr w:type="spellEnd"/>
            <w:r w:rsidRPr="00D53618">
              <w:rPr>
                <w:rFonts w:ascii="Times New Roman" w:eastAsia="等线" w:hAnsi="Times New Roman"/>
                <w:b/>
                <w:bCs/>
                <w:position w:val="-16"/>
                <w:szCs w:val="21"/>
                <w:vertAlign w:val="subscript"/>
                <w:lang w:eastAsia="zh-CN"/>
              </w:rPr>
              <w:t xml:space="preserve"> </w:t>
            </w:r>
            <w:r w:rsidRPr="00D53618">
              <w:rPr>
                <w:rFonts w:ascii="Times New Roman" w:eastAsia="等线" w:hAnsi="Times New Roman"/>
                <w:b/>
                <w:bCs/>
                <w:position w:val="1"/>
                <w:szCs w:val="21"/>
                <w:lang w:eastAsia="zh-CN"/>
              </w:rPr>
              <w:t>(V)</w:t>
            </w:r>
          </w:p>
        </w:tc>
        <w:tc>
          <w:tcPr>
            <w:tcW w:w="164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hideMark/>
          </w:tcPr>
          <w:p w14:paraId="1EA2E5A9" w14:textId="77777777" w:rsidR="00D53618" w:rsidRPr="00D53618" w:rsidRDefault="00D53618" w:rsidP="00D53618">
            <w:pPr>
              <w:spacing w:line="400" w:lineRule="exact"/>
              <w:jc w:val="center"/>
              <w:rPr>
                <w:rFonts w:ascii="Arial" w:eastAsia="等线" w:hAnsi="Arial" w:cs="Arial"/>
                <w:b/>
                <w:bCs/>
                <w:kern w:val="0"/>
                <w:szCs w:val="21"/>
                <w:lang w:eastAsia="zh-CN"/>
              </w:rPr>
            </w:pPr>
            <w:proofErr w:type="spellStart"/>
            <w:r w:rsidRPr="00D53618">
              <w:rPr>
                <w:rFonts w:ascii="Times New Roman" w:eastAsia="等线" w:hAnsi="Times New Roman"/>
                <w:b/>
                <w:bCs/>
                <w:szCs w:val="21"/>
                <w:lang w:eastAsia="zh-CN"/>
              </w:rPr>
              <w:t>J</w:t>
            </w:r>
            <w:r w:rsidRPr="00D53618">
              <w:rPr>
                <w:rFonts w:ascii="Times New Roman" w:eastAsia="等线" w:hAnsi="Times New Roman"/>
                <w:b/>
                <w:bCs/>
                <w:szCs w:val="21"/>
                <w:vertAlign w:val="subscript"/>
                <w:lang w:eastAsia="zh-CN"/>
              </w:rPr>
              <w:t>sc</w:t>
            </w:r>
            <w:proofErr w:type="spellEnd"/>
            <w:r w:rsidRPr="00D53618">
              <w:rPr>
                <w:rFonts w:ascii="Times New Roman" w:eastAsia="等线" w:hAnsi="Times New Roman"/>
                <w:b/>
                <w:bCs/>
                <w:position w:val="1"/>
                <w:szCs w:val="21"/>
                <w:lang w:eastAsia="zh-CN"/>
              </w:rPr>
              <w:t>(</w:t>
            </w:r>
            <w:bookmarkStart w:id="9" w:name="_Hlk122189453"/>
            <w:r w:rsidRPr="00D53618">
              <w:rPr>
                <w:rFonts w:ascii="Times New Roman" w:eastAsia="等线" w:hAnsi="Times New Roman"/>
                <w:b/>
                <w:bCs/>
                <w:position w:val="1"/>
                <w:szCs w:val="21"/>
                <w:lang w:eastAsia="zh-CN"/>
              </w:rPr>
              <w:t>mA/cm</w:t>
            </w:r>
            <w:r w:rsidRPr="00D53618">
              <w:rPr>
                <w:rFonts w:ascii="Times New Roman" w:eastAsia="等线" w:hAnsi="Times New Roman"/>
                <w:b/>
                <w:bCs/>
                <w:position w:val="1"/>
                <w:szCs w:val="21"/>
                <w:vertAlign w:val="superscript"/>
                <w:lang w:eastAsia="zh-CN"/>
              </w:rPr>
              <w:t>2</w:t>
            </w:r>
            <w:bookmarkEnd w:id="9"/>
            <w:r w:rsidRPr="00D53618">
              <w:rPr>
                <w:rFonts w:ascii="Times New Roman" w:eastAsia="等线" w:hAnsi="Times New Roman"/>
                <w:b/>
                <w:bCs/>
                <w:position w:val="1"/>
                <w:szCs w:val="21"/>
                <w:lang w:eastAsia="zh-CN"/>
              </w:rPr>
              <w:t>)</w:t>
            </w:r>
          </w:p>
        </w:tc>
        <w:tc>
          <w:tcPr>
            <w:tcW w:w="164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hideMark/>
          </w:tcPr>
          <w:p w14:paraId="6A513878" w14:textId="77777777" w:rsidR="00D53618" w:rsidRPr="00D53618" w:rsidRDefault="00D53618" w:rsidP="00D53618">
            <w:pPr>
              <w:spacing w:line="400" w:lineRule="exact"/>
              <w:jc w:val="center"/>
              <w:rPr>
                <w:rFonts w:ascii="Arial" w:eastAsia="等线" w:hAnsi="Arial" w:cs="Arial"/>
                <w:b/>
                <w:bCs/>
                <w:kern w:val="0"/>
                <w:szCs w:val="21"/>
                <w:lang w:eastAsia="zh-CN"/>
              </w:rPr>
            </w:pPr>
            <w:r w:rsidRPr="00D53618">
              <w:rPr>
                <w:rFonts w:ascii="Times New Roman" w:eastAsia="等线" w:hAnsi="Times New Roman"/>
                <w:b/>
                <w:bCs/>
                <w:szCs w:val="21"/>
                <w:lang w:eastAsia="zh-CN"/>
              </w:rPr>
              <w:t>FF (%)</w:t>
            </w:r>
          </w:p>
        </w:tc>
      </w:tr>
      <w:tr w:rsidR="00D53618" w:rsidRPr="00D53618" w14:paraId="101B64FA" w14:textId="77777777" w:rsidTr="001B2A8C">
        <w:trPr>
          <w:trHeight w:val="567"/>
        </w:trPr>
        <w:tc>
          <w:tcPr>
            <w:tcW w:w="1644" w:type="dxa"/>
            <w:tcBorders>
              <w:top w:val="single" w:sz="12" w:space="0" w:color="auto"/>
              <w:left w:val="nil"/>
              <w:right w:val="nil"/>
            </w:tcBorders>
            <w:shd w:val="clear" w:color="auto" w:fill="auto"/>
            <w:tcMar>
              <w:top w:w="15" w:type="dxa"/>
              <w:left w:w="108" w:type="dxa"/>
              <w:bottom w:w="0" w:type="dxa"/>
              <w:right w:w="108" w:type="dxa"/>
            </w:tcMar>
            <w:vAlign w:val="center"/>
          </w:tcPr>
          <w:p w14:paraId="426D5D17"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1</w:t>
            </w:r>
            <w:r w:rsidRPr="00D53618">
              <w:rPr>
                <w:rFonts w:ascii="Times New Roman" w:eastAsia="等线" w:hAnsi="Times New Roman"/>
                <w:szCs w:val="21"/>
                <w:lang w:eastAsia="zh-CN"/>
              </w:rPr>
              <w:t>50</w:t>
            </w:r>
          </w:p>
        </w:tc>
        <w:tc>
          <w:tcPr>
            <w:tcW w:w="1644" w:type="dxa"/>
            <w:tcBorders>
              <w:top w:val="single" w:sz="12" w:space="0" w:color="auto"/>
              <w:left w:val="nil"/>
              <w:right w:val="nil"/>
            </w:tcBorders>
            <w:shd w:val="clear" w:color="auto" w:fill="auto"/>
            <w:tcMar>
              <w:top w:w="15" w:type="dxa"/>
              <w:left w:w="108" w:type="dxa"/>
              <w:bottom w:w="0" w:type="dxa"/>
              <w:right w:w="108" w:type="dxa"/>
            </w:tcMar>
            <w:vAlign w:val="center"/>
          </w:tcPr>
          <w:p w14:paraId="78990C93"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1</w:t>
            </w:r>
            <w:r w:rsidRPr="00D53618">
              <w:rPr>
                <w:rFonts w:ascii="Times New Roman" w:eastAsia="等线" w:hAnsi="Times New Roman"/>
                <w:szCs w:val="21"/>
                <w:lang w:eastAsia="zh-CN"/>
              </w:rPr>
              <w:t>3.09</w:t>
            </w:r>
          </w:p>
        </w:tc>
        <w:tc>
          <w:tcPr>
            <w:tcW w:w="1644" w:type="dxa"/>
            <w:tcBorders>
              <w:top w:val="single" w:sz="12" w:space="0" w:color="auto"/>
              <w:left w:val="nil"/>
              <w:right w:val="nil"/>
            </w:tcBorders>
            <w:shd w:val="clear" w:color="auto" w:fill="auto"/>
            <w:tcMar>
              <w:top w:w="15" w:type="dxa"/>
              <w:left w:w="108" w:type="dxa"/>
              <w:bottom w:w="0" w:type="dxa"/>
              <w:right w:w="108" w:type="dxa"/>
            </w:tcMar>
            <w:vAlign w:val="center"/>
          </w:tcPr>
          <w:p w14:paraId="22845FB6"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1</w:t>
            </w:r>
            <w:r w:rsidRPr="00D53618">
              <w:rPr>
                <w:rFonts w:ascii="Times New Roman" w:eastAsia="等线" w:hAnsi="Times New Roman"/>
                <w:szCs w:val="21"/>
                <w:lang w:eastAsia="zh-CN"/>
              </w:rPr>
              <w:t>.037</w:t>
            </w:r>
          </w:p>
        </w:tc>
        <w:tc>
          <w:tcPr>
            <w:tcW w:w="1644" w:type="dxa"/>
            <w:tcBorders>
              <w:top w:val="single" w:sz="12" w:space="0" w:color="auto"/>
              <w:left w:val="nil"/>
              <w:right w:val="nil"/>
            </w:tcBorders>
            <w:shd w:val="clear" w:color="auto" w:fill="auto"/>
            <w:tcMar>
              <w:top w:w="15" w:type="dxa"/>
              <w:left w:w="108" w:type="dxa"/>
              <w:bottom w:w="0" w:type="dxa"/>
              <w:right w:w="108" w:type="dxa"/>
            </w:tcMar>
            <w:vAlign w:val="center"/>
          </w:tcPr>
          <w:p w14:paraId="4B5889C8"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1</w:t>
            </w:r>
            <w:r w:rsidRPr="00D53618">
              <w:rPr>
                <w:rFonts w:ascii="Times New Roman" w:eastAsia="等线" w:hAnsi="Times New Roman"/>
                <w:szCs w:val="21"/>
                <w:lang w:eastAsia="zh-CN"/>
              </w:rPr>
              <w:t>5.63</w:t>
            </w:r>
          </w:p>
        </w:tc>
        <w:tc>
          <w:tcPr>
            <w:tcW w:w="1644" w:type="dxa"/>
            <w:tcBorders>
              <w:top w:val="single" w:sz="12" w:space="0" w:color="auto"/>
              <w:left w:val="nil"/>
              <w:right w:val="nil"/>
            </w:tcBorders>
            <w:shd w:val="clear" w:color="auto" w:fill="auto"/>
            <w:tcMar>
              <w:top w:w="15" w:type="dxa"/>
              <w:left w:w="108" w:type="dxa"/>
              <w:bottom w:w="0" w:type="dxa"/>
              <w:right w:w="108" w:type="dxa"/>
            </w:tcMar>
            <w:vAlign w:val="center"/>
          </w:tcPr>
          <w:p w14:paraId="1EAA8E22"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7</w:t>
            </w:r>
            <w:r w:rsidRPr="00D53618">
              <w:rPr>
                <w:rFonts w:ascii="Times New Roman" w:eastAsia="等线" w:hAnsi="Times New Roman"/>
                <w:szCs w:val="21"/>
                <w:lang w:eastAsia="zh-CN"/>
              </w:rPr>
              <w:t>7.3</w:t>
            </w:r>
          </w:p>
        </w:tc>
      </w:tr>
      <w:tr w:rsidR="00D53618" w:rsidRPr="00D53618" w14:paraId="4F143037" w14:textId="77777777" w:rsidTr="001B2A8C">
        <w:trPr>
          <w:trHeight w:val="567"/>
        </w:trPr>
        <w:tc>
          <w:tcPr>
            <w:tcW w:w="1644" w:type="dxa"/>
            <w:tcBorders>
              <w:left w:val="nil"/>
              <w:right w:val="nil"/>
            </w:tcBorders>
            <w:shd w:val="clear" w:color="auto" w:fill="auto"/>
            <w:tcMar>
              <w:top w:w="15" w:type="dxa"/>
              <w:left w:w="108" w:type="dxa"/>
              <w:bottom w:w="0" w:type="dxa"/>
              <w:right w:w="108" w:type="dxa"/>
            </w:tcMar>
            <w:vAlign w:val="center"/>
            <w:hideMark/>
          </w:tcPr>
          <w:p w14:paraId="05FD8E42"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200</w:t>
            </w:r>
          </w:p>
        </w:tc>
        <w:tc>
          <w:tcPr>
            <w:tcW w:w="1644" w:type="dxa"/>
            <w:tcBorders>
              <w:left w:val="nil"/>
              <w:right w:val="nil"/>
            </w:tcBorders>
            <w:shd w:val="clear" w:color="auto" w:fill="auto"/>
            <w:tcMar>
              <w:top w:w="15" w:type="dxa"/>
              <w:left w:w="108" w:type="dxa"/>
              <w:bottom w:w="0" w:type="dxa"/>
              <w:right w:w="108" w:type="dxa"/>
            </w:tcMar>
            <w:vAlign w:val="center"/>
            <w:hideMark/>
          </w:tcPr>
          <w:p w14:paraId="6B473FBC"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14.66</w:t>
            </w:r>
          </w:p>
        </w:tc>
        <w:tc>
          <w:tcPr>
            <w:tcW w:w="1644" w:type="dxa"/>
            <w:tcBorders>
              <w:left w:val="nil"/>
              <w:right w:val="nil"/>
            </w:tcBorders>
            <w:shd w:val="clear" w:color="auto" w:fill="auto"/>
            <w:tcMar>
              <w:top w:w="15" w:type="dxa"/>
              <w:left w:w="108" w:type="dxa"/>
              <w:bottom w:w="0" w:type="dxa"/>
              <w:right w:w="108" w:type="dxa"/>
            </w:tcMar>
            <w:vAlign w:val="center"/>
            <w:hideMark/>
          </w:tcPr>
          <w:p w14:paraId="2764ED42"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1.029</w:t>
            </w:r>
          </w:p>
        </w:tc>
        <w:tc>
          <w:tcPr>
            <w:tcW w:w="1644" w:type="dxa"/>
            <w:tcBorders>
              <w:left w:val="nil"/>
              <w:right w:val="nil"/>
            </w:tcBorders>
            <w:shd w:val="clear" w:color="auto" w:fill="auto"/>
            <w:tcMar>
              <w:top w:w="15" w:type="dxa"/>
              <w:left w:w="108" w:type="dxa"/>
              <w:bottom w:w="0" w:type="dxa"/>
              <w:right w:w="108" w:type="dxa"/>
            </w:tcMar>
            <w:vAlign w:val="center"/>
            <w:hideMark/>
          </w:tcPr>
          <w:p w14:paraId="65EECE6C"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17.82</w:t>
            </w:r>
          </w:p>
        </w:tc>
        <w:tc>
          <w:tcPr>
            <w:tcW w:w="1644" w:type="dxa"/>
            <w:tcBorders>
              <w:left w:val="nil"/>
              <w:right w:val="nil"/>
            </w:tcBorders>
            <w:shd w:val="clear" w:color="auto" w:fill="auto"/>
            <w:tcMar>
              <w:top w:w="15" w:type="dxa"/>
              <w:left w:w="108" w:type="dxa"/>
              <w:bottom w:w="0" w:type="dxa"/>
              <w:right w:w="108" w:type="dxa"/>
            </w:tcMar>
            <w:vAlign w:val="center"/>
            <w:hideMark/>
          </w:tcPr>
          <w:p w14:paraId="1571F016"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76.5</w:t>
            </w:r>
          </w:p>
        </w:tc>
      </w:tr>
      <w:tr w:rsidR="00D53618" w:rsidRPr="00D53618" w14:paraId="6384AC82" w14:textId="77777777" w:rsidTr="001B2A8C">
        <w:trPr>
          <w:trHeight w:val="567"/>
        </w:trPr>
        <w:tc>
          <w:tcPr>
            <w:tcW w:w="1644" w:type="dxa"/>
            <w:tcBorders>
              <w:left w:val="nil"/>
              <w:bottom w:val="nil"/>
              <w:right w:val="nil"/>
            </w:tcBorders>
            <w:shd w:val="clear" w:color="auto" w:fill="auto"/>
            <w:tcMar>
              <w:top w:w="15" w:type="dxa"/>
              <w:left w:w="108" w:type="dxa"/>
              <w:bottom w:w="0" w:type="dxa"/>
              <w:right w:w="108" w:type="dxa"/>
            </w:tcMar>
            <w:vAlign w:val="center"/>
          </w:tcPr>
          <w:p w14:paraId="548A9EF9"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2</w:t>
            </w:r>
            <w:r w:rsidRPr="00D53618">
              <w:rPr>
                <w:rFonts w:ascii="Times New Roman" w:eastAsia="等线" w:hAnsi="Times New Roman"/>
                <w:szCs w:val="21"/>
                <w:lang w:eastAsia="zh-CN"/>
              </w:rPr>
              <w:t>50</w:t>
            </w:r>
          </w:p>
        </w:tc>
        <w:tc>
          <w:tcPr>
            <w:tcW w:w="1644" w:type="dxa"/>
            <w:tcBorders>
              <w:left w:val="nil"/>
              <w:bottom w:val="nil"/>
              <w:right w:val="nil"/>
            </w:tcBorders>
            <w:shd w:val="clear" w:color="auto" w:fill="auto"/>
            <w:tcMar>
              <w:top w:w="15" w:type="dxa"/>
              <w:left w:w="108" w:type="dxa"/>
              <w:bottom w:w="0" w:type="dxa"/>
              <w:right w:w="108" w:type="dxa"/>
            </w:tcMar>
            <w:vAlign w:val="center"/>
          </w:tcPr>
          <w:p w14:paraId="65018CFF"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1</w:t>
            </w:r>
            <w:r w:rsidRPr="00D53618">
              <w:rPr>
                <w:rFonts w:ascii="Times New Roman" w:eastAsia="等线" w:hAnsi="Times New Roman"/>
                <w:szCs w:val="21"/>
                <w:lang w:eastAsia="zh-CN"/>
              </w:rPr>
              <w:t>5.68</w:t>
            </w:r>
          </w:p>
        </w:tc>
        <w:tc>
          <w:tcPr>
            <w:tcW w:w="1644" w:type="dxa"/>
            <w:tcBorders>
              <w:left w:val="nil"/>
              <w:bottom w:val="nil"/>
              <w:right w:val="nil"/>
            </w:tcBorders>
            <w:shd w:val="clear" w:color="auto" w:fill="auto"/>
            <w:tcMar>
              <w:top w:w="15" w:type="dxa"/>
              <w:left w:w="108" w:type="dxa"/>
              <w:bottom w:w="0" w:type="dxa"/>
              <w:right w:w="108" w:type="dxa"/>
            </w:tcMar>
            <w:vAlign w:val="center"/>
          </w:tcPr>
          <w:p w14:paraId="078B0AFA"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1</w:t>
            </w:r>
            <w:r w:rsidRPr="00D53618">
              <w:rPr>
                <w:rFonts w:ascii="Times New Roman" w:eastAsia="等线" w:hAnsi="Times New Roman"/>
                <w:szCs w:val="21"/>
                <w:lang w:eastAsia="zh-CN"/>
              </w:rPr>
              <w:t>.022</w:t>
            </w:r>
          </w:p>
        </w:tc>
        <w:tc>
          <w:tcPr>
            <w:tcW w:w="1644" w:type="dxa"/>
            <w:tcBorders>
              <w:left w:val="nil"/>
              <w:bottom w:val="nil"/>
              <w:right w:val="nil"/>
            </w:tcBorders>
            <w:shd w:val="clear" w:color="auto" w:fill="auto"/>
            <w:tcMar>
              <w:top w:w="15" w:type="dxa"/>
              <w:left w:w="108" w:type="dxa"/>
              <w:bottom w:w="0" w:type="dxa"/>
              <w:right w:w="108" w:type="dxa"/>
            </w:tcMar>
            <w:vAlign w:val="center"/>
          </w:tcPr>
          <w:p w14:paraId="7C30C15A"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1</w:t>
            </w:r>
            <w:r w:rsidRPr="00D53618">
              <w:rPr>
                <w:rFonts w:ascii="Times New Roman" w:eastAsia="等线" w:hAnsi="Times New Roman"/>
                <w:szCs w:val="21"/>
                <w:lang w:eastAsia="zh-CN"/>
              </w:rPr>
              <w:t>9.45</w:t>
            </w:r>
          </w:p>
        </w:tc>
        <w:tc>
          <w:tcPr>
            <w:tcW w:w="1644" w:type="dxa"/>
            <w:tcBorders>
              <w:left w:val="nil"/>
              <w:bottom w:val="nil"/>
              <w:right w:val="nil"/>
            </w:tcBorders>
            <w:shd w:val="clear" w:color="auto" w:fill="auto"/>
            <w:tcMar>
              <w:top w:w="15" w:type="dxa"/>
              <w:left w:w="108" w:type="dxa"/>
              <w:bottom w:w="0" w:type="dxa"/>
              <w:right w:w="108" w:type="dxa"/>
            </w:tcMar>
            <w:vAlign w:val="center"/>
          </w:tcPr>
          <w:p w14:paraId="7576A429"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7</w:t>
            </w:r>
            <w:r w:rsidRPr="00D53618">
              <w:rPr>
                <w:rFonts w:ascii="Times New Roman" w:eastAsia="等线" w:hAnsi="Times New Roman"/>
                <w:szCs w:val="21"/>
                <w:lang w:eastAsia="zh-CN"/>
              </w:rPr>
              <w:t>5.5</w:t>
            </w:r>
          </w:p>
        </w:tc>
      </w:tr>
      <w:tr w:rsidR="00D53618" w:rsidRPr="00D53618" w14:paraId="5990F4DD" w14:textId="77777777" w:rsidTr="001B2A8C">
        <w:trPr>
          <w:trHeight w:val="567"/>
        </w:trPr>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73DADB8D"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300</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2E25B8BE"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16.30</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782D2910"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1.015</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778D350F"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20.67</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7F39702A"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74.4</w:t>
            </w:r>
          </w:p>
        </w:tc>
      </w:tr>
      <w:tr w:rsidR="00D53618" w:rsidRPr="00D53618" w14:paraId="5CDDAC15" w14:textId="77777777" w:rsidTr="001B2A8C">
        <w:trPr>
          <w:trHeight w:val="567"/>
        </w:trPr>
        <w:tc>
          <w:tcPr>
            <w:tcW w:w="1644" w:type="dxa"/>
            <w:tcBorders>
              <w:top w:val="nil"/>
              <w:left w:val="nil"/>
              <w:right w:val="nil"/>
            </w:tcBorders>
            <w:shd w:val="clear" w:color="auto" w:fill="auto"/>
            <w:tcMar>
              <w:top w:w="15" w:type="dxa"/>
              <w:left w:w="108" w:type="dxa"/>
              <w:bottom w:w="0" w:type="dxa"/>
              <w:right w:w="108" w:type="dxa"/>
            </w:tcMar>
            <w:vAlign w:val="center"/>
          </w:tcPr>
          <w:p w14:paraId="290EBAFF"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3</w:t>
            </w:r>
            <w:r w:rsidRPr="00D53618">
              <w:rPr>
                <w:rFonts w:ascii="Times New Roman" w:eastAsia="等线" w:hAnsi="Times New Roman"/>
                <w:szCs w:val="21"/>
                <w:lang w:eastAsia="zh-CN"/>
              </w:rPr>
              <w:t>50</w:t>
            </w:r>
          </w:p>
        </w:tc>
        <w:tc>
          <w:tcPr>
            <w:tcW w:w="1644" w:type="dxa"/>
            <w:tcBorders>
              <w:top w:val="nil"/>
              <w:left w:val="nil"/>
              <w:right w:val="nil"/>
            </w:tcBorders>
            <w:shd w:val="clear" w:color="auto" w:fill="auto"/>
            <w:tcMar>
              <w:top w:w="15" w:type="dxa"/>
              <w:left w:w="108" w:type="dxa"/>
              <w:bottom w:w="0" w:type="dxa"/>
              <w:right w:w="108" w:type="dxa"/>
            </w:tcMar>
            <w:vAlign w:val="center"/>
          </w:tcPr>
          <w:p w14:paraId="35289404"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1</w:t>
            </w:r>
            <w:r w:rsidRPr="00D53618">
              <w:rPr>
                <w:rFonts w:ascii="Times New Roman" w:eastAsia="等线" w:hAnsi="Times New Roman"/>
                <w:szCs w:val="21"/>
                <w:lang w:eastAsia="zh-CN"/>
              </w:rPr>
              <w:t>6.58</w:t>
            </w:r>
          </w:p>
        </w:tc>
        <w:tc>
          <w:tcPr>
            <w:tcW w:w="1644" w:type="dxa"/>
            <w:tcBorders>
              <w:top w:val="nil"/>
              <w:left w:val="nil"/>
              <w:right w:val="nil"/>
            </w:tcBorders>
            <w:shd w:val="clear" w:color="auto" w:fill="auto"/>
            <w:tcMar>
              <w:top w:w="15" w:type="dxa"/>
              <w:left w:w="108" w:type="dxa"/>
              <w:bottom w:w="0" w:type="dxa"/>
              <w:right w:w="108" w:type="dxa"/>
            </w:tcMar>
            <w:vAlign w:val="center"/>
          </w:tcPr>
          <w:p w14:paraId="70C32CF3"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1</w:t>
            </w:r>
            <w:r w:rsidRPr="00D53618">
              <w:rPr>
                <w:rFonts w:ascii="Times New Roman" w:eastAsia="等线" w:hAnsi="Times New Roman"/>
                <w:szCs w:val="21"/>
                <w:lang w:eastAsia="zh-CN"/>
              </w:rPr>
              <w:t>.009</w:t>
            </w:r>
          </w:p>
        </w:tc>
        <w:tc>
          <w:tcPr>
            <w:tcW w:w="1644" w:type="dxa"/>
            <w:tcBorders>
              <w:top w:val="nil"/>
              <w:left w:val="nil"/>
              <w:right w:val="nil"/>
            </w:tcBorders>
            <w:shd w:val="clear" w:color="auto" w:fill="auto"/>
            <w:tcMar>
              <w:top w:w="15" w:type="dxa"/>
              <w:left w:w="108" w:type="dxa"/>
              <w:bottom w:w="0" w:type="dxa"/>
              <w:right w:w="108" w:type="dxa"/>
            </w:tcMar>
            <w:vAlign w:val="center"/>
          </w:tcPr>
          <w:p w14:paraId="0AA05BC5"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2</w:t>
            </w:r>
            <w:r w:rsidRPr="00D53618">
              <w:rPr>
                <w:rFonts w:ascii="Times New Roman" w:eastAsia="等线" w:hAnsi="Times New Roman"/>
                <w:szCs w:val="21"/>
                <w:lang w:eastAsia="zh-CN"/>
              </w:rPr>
              <w:t>1.59</w:t>
            </w:r>
          </w:p>
        </w:tc>
        <w:tc>
          <w:tcPr>
            <w:tcW w:w="1644" w:type="dxa"/>
            <w:tcBorders>
              <w:top w:val="nil"/>
              <w:left w:val="nil"/>
              <w:right w:val="nil"/>
            </w:tcBorders>
            <w:shd w:val="clear" w:color="auto" w:fill="auto"/>
            <w:tcMar>
              <w:top w:w="15" w:type="dxa"/>
              <w:left w:w="108" w:type="dxa"/>
              <w:bottom w:w="0" w:type="dxa"/>
              <w:right w:w="108" w:type="dxa"/>
            </w:tcMar>
            <w:vAlign w:val="center"/>
          </w:tcPr>
          <w:p w14:paraId="44ED40D9" w14:textId="77777777" w:rsidR="00D53618" w:rsidRPr="00D53618" w:rsidRDefault="00D53618" w:rsidP="00D53618">
            <w:pPr>
              <w:spacing w:line="400" w:lineRule="exact"/>
              <w:jc w:val="center"/>
              <w:rPr>
                <w:rFonts w:ascii="Times New Roman" w:eastAsia="等线" w:hAnsi="Times New Roman"/>
                <w:szCs w:val="21"/>
                <w:lang w:eastAsia="zh-CN"/>
              </w:rPr>
            </w:pPr>
            <w:r w:rsidRPr="00D53618">
              <w:rPr>
                <w:rFonts w:ascii="Times New Roman" w:eastAsia="等线" w:hAnsi="Times New Roman" w:hint="eastAsia"/>
                <w:szCs w:val="21"/>
                <w:lang w:eastAsia="zh-CN"/>
              </w:rPr>
              <w:t>7</w:t>
            </w:r>
            <w:r w:rsidRPr="00D53618">
              <w:rPr>
                <w:rFonts w:ascii="Times New Roman" w:eastAsia="等线" w:hAnsi="Times New Roman"/>
                <w:szCs w:val="21"/>
                <w:lang w:eastAsia="zh-CN"/>
              </w:rPr>
              <w:t>2.9</w:t>
            </w:r>
          </w:p>
        </w:tc>
      </w:tr>
      <w:tr w:rsidR="00D53618" w:rsidRPr="00D53618" w14:paraId="5D47626E" w14:textId="77777777" w:rsidTr="001B2A8C">
        <w:trPr>
          <w:trHeight w:val="567"/>
        </w:trPr>
        <w:tc>
          <w:tcPr>
            <w:tcW w:w="1644"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3F1F8702"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400</w:t>
            </w:r>
          </w:p>
        </w:tc>
        <w:tc>
          <w:tcPr>
            <w:tcW w:w="1644"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378B285A"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16.60</w:t>
            </w:r>
          </w:p>
        </w:tc>
        <w:tc>
          <w:tcPr>
            <w:tcW w:w="1644"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7097C941"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1.003</w:t>
            </w:r>
          </w:p>
        </w:tc>
        <w:tc>
          <w:tcPr>
            <w:tcW w:w="1644"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0A10A42C"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22.27</w:t>
            </w:r>
          </w:p>
        </w:tc>
        <w:tc>
          <w:tcPr>
            <w:tcW w:w="1644"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3B76F2A4" w14:textId="77777777" w:rsidR="00D53618" w:rsidRPr="00D53618" w:rsidRDefault="00D53618" w:rsidP="00D53618">
            <w:pPr>
              <w:spacing w:line="400" w:lineRule="exact"/>
              <w:jc w:val="center"/>
              <w:rPr>
                <w:rFonts w:ascii="Arial" w:eastAsia="等线" w:hAnsi="Arial" w:cs="Arial"/>
                <w:kern w:val="0"/>
                <w:szCs w:val="21"/>
                <w:lang w:eastAsia="zh-CN"/>
              </w:rPr>
            </w:pPr>
            <w:r w:rsidRPr="00D53618">
              <w:rPr>
                <w:rFonts w:ascii="Times New Roman" w:eastAsia="等线" w:hAnsi="Times New Roman"/>
                <w:szCs w:val="21"/>
                <w:lang w:eastAsia="zh-CN"/>
              </w:rPr>
              <w:t>71.2</w:t>
            </w:r>
          </w:p>
        </w:tc>
      </w:tr>
    </w:tbl>
    <w:p w14:paraId="0E09484B" w14:textId="478C7E40" w:rsidR="00DA38A0" w:rsidRDefault="00DA38A0" w:rsidP="00DA38A0">
      <w:pPr>
        <w:spacing w:beforeLines="100" w:before="240" w:afterLines="50" w:after="120" w:line="400" w:lineRule="exact"/>
        <w:jc w:val="left"/>
        <w:rPr>
          <w:rFonts w:ascii="Times New Roman" w:eastAsia="等线" w:hAnsi="Times New Roman"/>
          <w:b/>
          <w:bCs/>
          <w:sz w:val="24"/>
          <w:szCs w:val="28"/>
          <w:lang w:eastAsia="zh-CN"/>
        </w:rPr>
      </w:pPr>
    </w:p>
    <w:p w14:paraId="1B8139A0" w14:textId="2E3E4B72" w:rsidR="00DA38A0" w:rsidRDefault="00DA38A0" w:rsidP="00DA38A0">
      <w:pPr>
        <w:widowControl/>
        <w:jc w:val="left"/>
        <w:rPr>
          <w:rFonts w:ascii="Times New Roman" w:eastAsia="等线" w:hAnsi="Times New Roman"/>
          <w:b/>
          <w:bCs/>
          <w:sz w:val="24"/>
          <w:szCs w:val="28"/>
          <w:lang w:eastAsia="zh-CN"/>
        </w:rPr>
      </w:pPr>
      <w:r>
        <w:rPr>
          <w:rFonts w:ascii="Times New Roman" w:eastAsia="等线" w:hAnsi="Times New Roman"/>
          <w:b/>
          <w:bCs/>
          <w:sz w:val="24"/>
          <w:szCs w:val="28"/>
          <w:lang w:eastAsia="zh-CN"/>
        </w:rPr>
        <w:br w:type="page"/>
      </w:r>
    </w:p>
    <w:p w14:paraId="382FC8CE" w14:textId="1D20CA9A" w:rsidR="00DA38A0" w:rsidRPr="00DA38A0" w:rsidRDefault="00DA38A0" w:rsidP="00DA38A0">
      <w:pPr>
        <w:spacing w:beforeLines="100" w:before="240" w:afterLines="50" w:after="120" w:line="400" w:lineRule="exact"/>
        <w:jc w:val="left"/>
        <w:rPr>
          <w:rFonts w:ascii="Times New Roman" w:eastAsia="等线" w:hAnsi="Times New Roman"/>
          <w:b/>
          <w:bCs/>
          <w:sz w:val="24"/>
          <w:szCs w:val="22"/>
          <w:lang w:eastAsia="zh-CN"/>
        </w:rPr>
      </w:pPr>
      <w:r w:rsidRPr="00DA38A0">
        <w:rPr>
          <w:rFonts w:ascii="Times New Roman" w:eastAsia="等线" w:hAnsi="Times New Roman" w:hint="eastAsia"/>
          <w:b/>
          <w:bCs/>
          <w:sz w:val="24"/>
          <w:szCs w:val="28"/>
          <w:lang w:eastAsia="zh-CN"/>
        </w:rPr>
        <w:lastRenderedPageBreak/>
        <w:t>T</w:t>
      </w:r>
      <w:r w:rsidRPr="00DA38A0">
        <w:rPr>
          <w:rFonts w:ascii="Times New Roman" w:eastAsia="等线" w:hAnsi="Times New Roman"/>
          <w:b/>
          <w:bCs/>
          <w:sz w:val="24"/>
          <w:szCs w:val="28"/>
          <w:lang w:eastAsia="zh-CN"/>
        </w:rPr>
        <w:t>able Ⅳ</w:t>
      </w:r>
      <w:r>
        <w:rPr>
          <w:rFonts w:ascii="Times New Roman" w:eastAsia="等线" w:hAnsi="Times New Roman" w:hint="eastAsia"/>
          <w:b/>
          <w:bCs/>
          <w:sz w:val="24"/>
          <w:szCs w:val="28"/>
          <w:lang w:eastAsia="zh-CN"/>
        </w:rPr>
        <w:t>.</w:t>
      </w:r>
      <w:r w:rsidRPr="00DA38A0">
        <w:rPr>
          <w:rFonts w:ascii="Times New Roman" w:eastAsia="等线" w:hAnsi="Times New Roman"/>
          <w:b/>
          <w:bCs/>
          <w:sz w:val="24"/>
          <w:szCs w:val="28"/>
          <w:lang w:eastAsia="zh-CN"/>
        </w:rPr>
        <w:t xml:space="preserve"> Summary of the photovoltaic parameters for varied defect density in ETL/absorber</w:t>
      </w:r>
    </w:p>
    <w:tbl>
      <w:tblPr>
        <w:tblW w:w="8278" w:type="dxa"/>
        <w:tblCellMar>
          <w:left w:w="0" w:type="dxa"/>
          <w:right w:w="0" w:type="dxa"/>
        </w:tblCellMar>
        <w:tblLook w:val="04A0" w:firstRow="1" w:lastRow="0" w:firstColumn="1" w:lastColumn="0" w:noHBand="0" w:noVBand="1"/>
      </w:tblPr>
      <w:tblGrid>
        <w:gridCol w:w="2154"/>
        <w:gridCol w:w="1531"/>
        <w:gridCol w:w="1531"/>
        <w:gridCol w:w="1531"/>
        <w:gridCol w:w="1531"/>
      </w:tblGrid>
      <w:tr w:rsidR="00DA38A0" w:rsidRPr="00DA38A0" w14:paraId="68B2A482" w14:textId="77777777" w:rsidTr="001B2A8C">
        <w:trPr>
          <w:trHeight w:val="567"/>
        </w:trPr>
        <w:tc>
          <w:tcPr>
            <w:tcW w:w="215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1C375464" w14:textId="77777777" w:rsidR="00DA38A0" w:rsidRPr="00DA38A0" w:rsidRDefault="00DA38A0" w:rsidP="00DA38A0">
            <w:pPr>
              <w:spacing w:line="400" w:lineRule="exact"/>
              <w:jc w:val="center"/>
              <w:rPr>
                <w:rFonts w:ascii="Arial" w:eastAsia="等线" w:hAnsi="Arial" w:cs="Arial"/>
                <w:b/>
                <w:bCs/>
                <w:kern w:val="0"/>
                <w:szCs w:val="21"/>
                <w:lang w:eastAsia="zh-CN"/>
              </w:rPr>
            </w:pPr>
            <w:r w:rsidRPr="00DA38A0">
              <w:rPr>
                <w:rFonts w:ascii="Times New Roman" w:eastAsia="等线" w:hAnsi="Times New Roman"/>
                <w:b/>
                <w:bCs/>
                <w:szCs w:val="21"/>
                <w:lang w:eastAsia="zh-CN"/>
              </w:rPr>
              <w:t>Defect density (</w:t>
            </w:r>
            <w:r w:rsidRPr="00DA38A0">
              <w:rPr>
                <w:rFonts w:ascii="Times New Roman" w:eastAsia="等线" w:hAnsi="Times New Roman"/>
                <w:b/>
                <w:bCs/>
                <w:szCs w:val="20"/>
                <w:lang w:eastAsia="zh-CN"/>
              </w:rPr>
              <w:t>cm</w:t>
            </w:r>
            <w:r w:rsidRPr="00DA38A0">
              <w:rPr>
                <w:rFonts w:ascii="Times New Roman" w:eastAsia="等线" w:hAnsi="Times New Roman"/>
                <w:b/>
                <w:bCs/>
                <w:szCs w:val="20"/>
                <w:vertAlign w:val="superscript"/>
                <w:lang w:eastAsia="zh-CN"/>
              </w:rPr>
              <w:t>−3</w:t>
            </w:r>
            <w:r w:rsidRPr="00DA38A0">
              <w:rPr>
                <w:rFonts w:ascii="Times New Roman" w:eastAsia="等线" w:hAnsi="Times New Roman"/>
                <w:b/>
                <w:bCs/>
                <w:szCs w:val="21"/>
                <w:lang w:eastAsia="zh-CN"/>
              </w:rPr>
              <w:t>)</w:t>
            </w:r>
          </w:p>
        </w:tc>
        <w:tc>
          <w:tcPr>
            <w:tcW w:w="1531"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11AD33BB" w14:textId="77777777" w:rsidR="00DA38A0" w:rsidRPr="00DA38A0" w:rsidRDefault="00DA38A0" w:rsidP="00DA38A0">
            <w:pPr>
              <w:spacing w:line="400" w:lineRule="exact"/>
              <w:jc w:val="center"/>
              <w:rPr>
                <w:rFonts w:ascii="Arial" w:eastAsia="等线" w:hAnsi="Arial" w:cs="Arial"/>
                <w:b/>
                <w:bCs/>
                <w:kern w:val="0"/>
                <w:szCs w:val="21"/>
                <w:lang w:eastAsia="zh-CN"/>
              </w:rPr>
            </w:pPr>
            <w:r w:rsidRPr="00DA38A0">
              <w:rPr>
                <w:rFonts w:ascii="Times New Roman" w:eastAsia="等线" w:hAnsi="Times New Roman"/>
                <w:b/>
                <w:bCs/>
                <w:szCs w:val="21"/>
                <w:lang w:eastAsia="zh-CN"/>
              </w:rPr>
              <w:t>PCE (%)</w:t>
            </w:r>
          </w:p>
        </w:tc>
        <w:tc>
          <w:tcPr>
            <w:tcW w:w="1531"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3CA657A3" w14:textId="77777777" w:rsidR="00DA38A0" w:rsidRPr="00DA38A0" w:rsidRDefault="00DA38A0" w:rsidP="00DA38A0">
            <w:pPr>
              <w:spacing w:line="400" w:lineRule="exact"/>
              <w:jc w:val="center"/>
              <w:rPr>
                <w:rFonts w:ascii="Arial" w:eastAsia="等线" w:hAnsi="Arial" w:cs="Arial"/>
                <w:b/>
                <w:bCs/>
                <w:kern w:val="0"/>
                <w:szCs w:val="21"/>
                <w:lang w:eastAsia="zh-CN"/>
              </w:rPr>
            </w:pPr>
            <w:proofErr w:type="spellStart"/>
            <w:r w:rsidRPr="00DA38A0">
              <w:rPr>
                <w:rFonts w:ascii="Times New Roman" w:eastAsia="等线" w:hAnsi="Times New Roman"/>
                <w:b/>
                <w:bCs/>
                <w:szCs w:val="21"/>
                <w:lang w:eastAsia="zh-CN"/>
              </w:rPr>
              <w:t>V</w:t>
            </w:r>
            <w:r w:rsidRPr="00DA38A0">
              <w:rPr>
                <w:rFonts w:ascii="Times New Roman" w:eastAsia="等线" w:hAnsi="Times New Roman"/>
                <w:b/>
                <w:bCs/>
                <w:szCs w:val="21"/>
                <w:vertAlign w:val="subscript"/>
                <w:lang w:eastAsia="zh-CN"/>
              </w:rPr>
              <w:t>oc</w:t>
            </w:r>
            <w:proofErr w:type="spellEnd"/>
            <w:r w:rsidRPr="00DA38A0">
              <w:rPr>
                <w:rFonts w:ascii="Times New Roman" w:eastAsia="等线" w:hAnsi="Times New Roman"/>
                <w:b/>
                <w:bCs/>
                <w:position w:val="-16"/>
                <w:szCs w:val="21"/>
                <w:vertAlign w:val="subscript"/>
                <w:lang w:eastAsia="zh-CN"/>
              </w:rPr>
              <w:t xml:space="preserve"> </w:t>
            </w:r>
            <w:r w:rsidRPr="00DA38A0">
              <w:rPr>
                <w:rFonts w:ascii="Times New Roman" w:eastAsia="等线" w:hAnsi="Times New Roman"/>
                <w:b/>
                <w:bCs/>
                <w:position w:val="1"/>
                <w:szCs w:val="21"/>
                <w:lang w:eastAsia="zh-CN"/>
              </w:rPr>
              <w:t>(V)</w:t>
            </w:r>
          </w:p>
        </w:tc>
        <w:tc>
          <w:tcPr>
            <w:tcW w:w="1531"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547CE5B9" w14:textId="77777777" w:rsidR="00DA38A0" w:rsidRPr="00DA38A0" w:rsidRDefault="00DA38A0" w:rsidP="00DA38A0">
            <w:pPr>
              <w:spacing w:line="400" w:lineRule="exact"/>
              <w:jc w:val="center"/>
              <w:rPr>
                <w:rFonts w:ascii="Arial" w:eastAsia="等线" w:hAnsi="Arial" w:cs="Arial"/>
                <w:b/>
                <w:bCs/>
                <w:kern w:val="0"/>
                <w:szCs w:val="21"/>
                <w:lang w:eastAsia="zh-CN"/>
              </w:rPr>
            </w:pPr>
            <w:proofErr w:type="spellStart"/>
            <w:r w:rsidRPr="00DA38A0">
              <w:rPr>
                <w:rFonts w:ascii="Times New Roman" w:eastAsia="等线" w:hAnsi="Times New Roman"/>
                <w:b/>
                <w:bCs/>
                <w:szCs w:val="21"/>
                <w:lang w:eastAsia="zh-CN"/>
              </w:rPr>
              <w:t>J</w:t>
            </w:r>
            <w:r w:rsidRPr="00DA38A0">
              <w:rPr>
                <w:rFonts w:ascii="Times New Roman" w:eastAsia="等线" w:hAnsi="Times New Roman"/>
                <w:b/>
                <w:bCs/>
                <w:szCs w:val="21"/>
                <w:vertAlign w:val="subscript"/>
                <w:lang w:eastAsia="zh-CN"/>
              </w:rPr>
              <w:t>sc</w:t>
            </w:r>
            <w:proofErr w:type="spellEnd"/>
            <w:r w:rsidRPr="00DA38A0">
              <w:rPr>
                <w:rFonts w:ascii="Times New Roman" w:eastAsia="等线" w:hAnsi="Times New Roman"/>
                <w:b/>
                <w:bCs/>
                <w:position w:val="1"/>
                <w:szCs w:val="21"/>
                <w:lang w:eastAsia="zh-CN"/>
              </w:rPr>
              <w:t>(mA/cm</w:t>
            </w:r>
            <w:r w:rsidRPr="00DA38A0">
              <w:rPr>
                <w:rFonts w:ascii="Times New Roman" w:eastAsia="等线" w:hAnsi="Times New Roman"/>
                <w:b/>
                <w:bCs/>
                <w:position w:val="1"/>
                <w:szCs w:val="21"/>
                <w:vertAlign w:val="superscript"/>
                <w:lang w:eastAsia="zh-CN"/>
              </w:rPr>
              <w:t>2</w:t>
            </w:r>
            <w:r w:rsidRPr="00DA38A0">
              <w:rPr>
                <w:rFonts w:ascii="Times New Roman" w:eastAsia="等线" w:hAnsi="Times New Roman"/>
                <w:b/>
                <w:bCs/>
                <w:position w:val="1"/>
                <w:szCs w:val="21"/>
                <w:lang w:eastAsia="zh-CN"/>
              </w:rPr>
              <w:t>)</w:t>
            </w:r>
          </w:p>
        </w:tc>
        <w:tc>
          <w:tcPr>
            <w:tcW w:w="1531"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5685DE6B" w14:textId="77777777" w:rsidR="00DA38A0" w:rsidRPr="00DA38A0" w:rsidRDefault="00DA38A0" w:rsidP="00DA38A0">
            <w:pPr>
              <w:spacing w:line="400" w:lineRule="exact"/>
              <w:jc w:val="center"/>
              <w:rPr>
                <w:rFonts w:ascii="Arial" w:eastAsia="等线" w:hAnsi="Arial" w:cs="Arial"/>
                <w:b/>
                <w:bCs/>
                <w:kern w:val="0"/>
                <w:szCs w:val="21"/>
                <w:lang w:eastAsia="zh-CN"/>
              </w:rPr>
            </w:pPr>
            <w:r w:rsidRPr="00DA38A0">
              <w:rPr>
                <w:rFonts w:ascii="Times New Roman" w:eastAsia="等线" w:hAnsi="Times New Roman"/>
                <w:b/>
                <w:bCs/>
                <w:szCs w:val="21"/>
                <w:lang w:eastAsia="zh-CN"/>
              </w:rPr>
              <w:t>FF (%)</w:t>
            </w:r>
          </w:p>
        </w:tc>
      </w:tr>
      <w:tr w:rsidR="00DA38A0" w:rsidRPr="00DA38A0" w14:paraId="61F6BB52" w14:textId="77777777" w:rsidTr="001B2A8C">
        <w:trPr>
          <w:trHeight w:val="567"/>
        </w:trPr>
        <w:tc>
          <w:tcPr>
            <w:tcW w:w="2154" w:type="dxa"/>
            <w:tcBorders>
              <w:top w:val="single" w:sz="12" w:space="0" w:color="auto"/>
              <w:left w:val="nil"/>
              <w:right w:val="nil"/>
            </w:tcBorders>
            <w:shd w:val="clear" w:color="auto" w:fill="auto"/>
            <w:tcMar>
              <w:top w:w="15" w:type="dxa"/>
              <w:left w:w="108" w:type="dxa"/>
              <w:bottom w:w="0" w:type="dxa"/>
              <w:right w:w="108" w:type="dxa"/>
            </w:tcMar>
            <w:vAlign w:val="center"/>
          </w:tcPr>
          <w:p w14:paraId="285DEFD0" w14:textId="77777777" w:rsidR="00DA38A0" w:rsidRPr="00DA38A0" w:rsidRDefault="00DA38A0" w:rsidP="00DA38A0">
            <w:pPr>
              <w:spacing w:line="400" w:lineRule="exact"/>
              <w:jc w:val="center"/>
              <w:rPr>
                <w:rFonts w:ascii="Times New Roman" w:eastAsia="等线" w:hAnsi="Times New Roman"/>
                <w:szCs w:val="21"/>
                <w:lang w:eastAsia="zh-CN"/>
              </w:rPr>
            </w:pPr>
            <w:r w:rsidRPr="00DA38A0">
              <w:rPr>
                <w:rFonts w:ascii="Times New Roman" w:eastAsia="等线" w:hAnsi="Times New Roman"/>
                <w:szCs w:val="20"/>
                <w:lang w:eastAsia="zh-CN"/>
              </w:rPr>
              <w:t>10</w:t>
            </w:r>
            <w:r w:rsidRPr="00DA38A0">
              <w:rPr>
                <w:rFonts w:ascii="Times New Roman" w:eastAsia="等线" w:hAnsi="Times New Roman"/>
                <w:szCs w:val="20"/>
                <w:vertAlign w:val="superscript"/>
                <w:lang w:eastAsia="zh-CN"/>
              </w:rPr>
              <w:t>16</w:t>
            </w:r>
          </w:p>
        </w:tc>
        <w:tc>
          <w:tcPr>
            <w:tcW w:w="1531" w:type="dxa"/>
            <w:tcBorders>
              <w:top w:val="single" w:sz="12" w:space="0" w:color="auto"/>
              <w:left w:val="nil"/>
              <w:right w:val="nil"/>
            </w:tcBorders>
            <w:shd w:val="clear" w:color="auto" w:fill="auto"/>
            <w:tcMar>
              <w:top w:w="15" w:type="dxa"/>
              <w:left w:w="108" w:type="dxa"/>
              <w:bottom w:w="0" w:type="dxa"/>
              <w:right w:w="108" w:type="dxa"/>
            </w:tcMar>
            <w:vAlign w:val="center"/>
          </w:tcPr>
          <w:p w14:paraId="36C5B736" w14:textId="77777777" w:rsidR="00DA38A0" w:rsidRPr="00DA38A0" w:rsidRDefault="00DA38A0" w:rsidP="00DA38A0">
            <w:pPr>
              <w:spacing w:line="400" w:lineRule="exact"/>
              <w:jc w:val="center"/>
              <w:rPr>
                <w:rFonts w:ascii="Times New Roman" w:eastAsia="等线" w:hAnsi="Times New Roman"/>
                <w:szCs w:val="21"/>
                <w:lang w:eastAsia="zh-CN"/>
              </w:rPr>
            </w:pPr>
            <w:r w:rsidRPr="00DA38A0">
              <w:rPr>
                <w:rFonts w:ascii="Times New Roman" w:eastAsia="等线" w:hAnsi="Times New Roman"/>
                <w:szCs w:val="21"/>
                <w:lang w:eastAsia="zh-CN"/>
              </w:rPr>
              <w:t>20.17</w:t>
            </w:r>
          </w:p>
        </w:tc>
        <w:tc>
          <w:tcPr>
            <w:tcW w:w="1531" w:type="dxa"/>
            <w:tcBorders>
              <w:top w:val="single" w:sz="12" w:space="0" w:color="auto"/>
              <w:left w:val="nil"/>
              <w:right w:val="nil"/>
            </w:tcBorders>
            <w:shd w:val="clear" w:color="auto" w:fill="auto"/>
            <w:tcMar>
              <w:top w:w="15" w:type="dxa"/>
              <w:left w:w="108" w:type="dxa"/>
              <w:bottom w:w="0" w:type="dxa"/>
              <w:right w:w="108" w:type="dxa"/>
            </w:tcMar>
            <w:vAlign w:val="center"/>
          </w:tcPr>
          <w:p w14:paraId="5A125261" w14:textId="77777777" w:rsidR="00DA38A0" w:rsidRPr="00DA38A0" w:rsidRDefault="00DA38A0" w:rsidP="00DA38A0">
            <w:pPr>
              <w:spacing w:line="400" w:lineRule="exact"/>
              <w:jc w:val="center"/>
              <w:rPr>
                <w:rFonts w:ascii="Times New Roman" w:eastAsia="等线" w:hAnsi="Times New Roman"/>
                <w:szCs w:val="21"/>
                <w:lang w:eastAsia="zh-CN"/>
              </w:rPr>
            </w:pPr>
            <w:r w:rsidRPr="00DA38A0">
              <w:rPr>
                <w:rFonts w:ascii="Times New Roman" w:eastAsia="等线" w:hAnsi="Times New Roman"/>
                <w:szCs w:val="21"/>
                <w:lang w:eastAsia="zh-CN"/>
              </w:rPr>
              <w:t>1.088</w:t>
            </w:r>
          </w:p>
        </w:tc>
        <w:tc>
          <w:tcPr>
            <w:tcW w:w="1531" w:type="dxa"/>
            <w:tcBorders>
              <w:top w:val="single" w:sz="12" w:space="0" w:color="auto"/>
              <w:left w:val="nil"/>
              <w:right w:val="nil"/>
            </w:tcBorders>
            <w:shd w:val="clear" w:color="auto" w:fill="auto"/>
            <w:tcMar>
              <w:top w:w="15" w:type="dxa"/>
              <w:left w:w="108" w:type="dxa"/>
              <w:bottom w:w="0" w:type="dxa"/>
              <w:right w:w="108" w:type="dxa"/>
            </w:tcMar>
            <w:vAlign w:val="center"/>
          </w:tcPr>
          <w:p w14:paraId="0BEF432F" w14:textId="77777777" w:rsidR="00DA38A0" w:rsidRPr="00DA38A0" w:rsidRDefault="00DA38A0" w:rsidP="00DA38A0">
            <w:pPr>
              <w:spacing w:line="400" w:lineRule="exact"/>
              <w:jc w:val="center"/>
              <w:rPr>
                <w:rFonts w:ascii="Times New Roman" w:eastAsia="等线" w:hAnsi="Times New Roman"/>
                <w:szCs w:val="21"/>
                <w:lang w:eastAsia="zh-CN"/>
              </w:rPr>
            </w:pPr>
            <w:r w:rsidRPr="00DA38A0">
              <w:rPr>
                <w:rFonts w:ascii="Times New Roman" w:eastAsia="等线" w:hAnsi="Times New Roman"/>
                <w:szCs w:val="21"/>
                <w:lang w:eastAsia="zh-CN"/>
              </w:rPr>
              <w:t>22.58</w:t>
            </w:r>
          </w:p>
        </w:tc>
        <w:tc>
          <w:tcPr>
            <w:tcW w:w="1531" w:type="dxa"/>
            <w:tcBorders>
              <w:top w:val="single" w:sz="12" w:space="0" w:color="auto"/>
              <w:left w:val="nil"/>
              <w:right w:val="nil"/>
            </w:tcBorders>
            <w:shd w:val="clear" w:color="auto" w:fill="auto"/>
            <w:tcMar>
              <w:top w:w="15" w:type="dxa"/>
              <w:left w:w="108" w:type="dxa"/>
              <w:bottom w:w="0" w:type="dxa"/>
              <w:right w:w="108" w:type="dxa"/>
            </w:tcMar>
            <w:vAlign w:val="center"/>
          </w:tcPr>
          <w:p w14:paraId="74F123C9" w14:textId="77777777" w:rsidR="00DA38A0" w:rsidRPr="00DA38A0" w:rsidRDefault="00DA38A0" w:rsidP="00DA38A0">
            <w:pPr>
              <w:spacing w:line="400" w:lineRule="exact"/>
              <w:jc w:val="center"/>
              <w:rPr>
                <w:rFonts w:ascii="Times New Roman" w:eastAsia="等线" w:hAnsi="Times New Roman"/>
                <w:szCs w:val="21"/>
                <w:lang w:eastAsia="zh-CN"/>
              </w:rPr>
            </w:pPr>
            <w:r w:rsidRPr="00DA38A0">
              <w:rPr>
                <w:rFonts w:ascii="Times New Roman" w:eastAsia="等线" w:hAnsi="Times New Roman" w:hint="eastAsia"/>
                <w:szCs w:val="21"/>
                <w:lang w:eastAsia="zh-CN"/>
              </w:rPr>
              <w:t>7</w:t>
            </w:r>
            <w:r w:rsidRPr="00DA38A0">
              <w:rPr>
                <w:rFonts w:ascii="Times New Roman" w:eastAsia="等线" w:hAnsi="Times New Roman"/>
                <w:szCs w:val="21"/>
                <w:lang w:eastAsia="zh-CN"/>
              </w:rPr>
              <w:t>8.6</w:t>
            </w:r>
          </w:p>
        </w:tc>
      </w:tr>
      <w:tr w:rsidR="00DA38A0" w:rsidRPr="00DA38A0" w14:paraId="687FCC5C" w14:textId="77777777" w:rsidTr="001B2A8C">
        <w:trPr>
          <w:trHeight w:val="567"/>
        </w:trPr>
        <w:tc>
          <w:tcPr>
            <w:tcW w:w="2154" w:type="dxa"/>
            <w:tcBorders>
              <w:left w:val="nil"/>
              <w:right w:val="nil"/>
            </w:tcBorders>
            <w:shd w:val="clear" w:color="auto" w:fill="auto"/>
            <w:tcMar>
              <w:top w:w="15" w:type="dxa"/>
              <w:left w:w="108" w:type="dxa"/>
              <w:bottom w:w="0" w:type="dxa"/>
              <w:right w:w="108" w:type="dxa"/>
            </w:tcMar>
            <w:vAlign w:val="center"/>
            <w:hideMark/>
          </w:tcPr>
          <w:p w14:paraId="517D28CE"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0"/>
                <w:lang w:eastAsia="zh-CN"/>
              </w:rPr>
              <w:t>10</w:t>
            </w:r>
            <w:r w:rsidRPr="00DA38A0">
              <w:rPr>
                <w:rFonts w:ascii="Times New Roman" w:eastAsia="等线" w:hAnsi="Times New Roman"/>
                <w:szCs w:val="20"/>
                <w:vertAlign w:val="superscript"/>
                <w:lang w:eastAsia="zh-CN"/>
              </w:rPr>
              <w:t>17</w:t>
            </w:r>
          </w:p>
        </w:tc>
        <w:tc>
          <w:tcPr>
            <w:tcW w:w="1531" w:type="dxa"/>
            <w:tcBorders>
              <w:left w:val="nil"/>
              <w:right w:val="nil"/>
            </w:tcBorders>
            <w:shd w:val="clear" w:color="auto" w:fill="auto"/>
            <w:tcMar>
              <w:top w:w="15" w:type="dxa"/>
              <w:left w:w="108" w:type="dxa"/>
              <w:bottom w:w="0" w:type="dxa"/>
              <w:right w:w="108" w:type="dxa"/>
            </w:tcMar>
            <w:vAlign w:val="center"/>
            <w:hideMark/>
          </w:tcPr>
          <w:p w14:paraId="499355E1"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20.09</w:t>
            </w:r>
          </w:p>
        </w:tc>
        <w:tc>
          <w:tcPr>
            <w:tcW w:w="1531" w:type="dxa"/>
            <w:tcBorders>
              <w:left w:val="nil"/>
              <w:right w:val="nil"/>
            </w:tcBorders>
            <w:shd w:val="clear" w:color="auto" w:fill="auto"/>
            <w:tcMar>
              <w:top w:w="15" w:type="dxa"/>
              <w:left w:w="108" w:type="dxa"/>
              <w:bottom w:w="0" w:type="dxa"/>
              <w:right w:w="108" w:type="dxa"/>
            </w:tcMar>
            <w:vAlign w:val="center"/>
            <w:hideMark/>
          </w:tcPr>
          <w:p w14:paraId="345279EC"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1.087</w:t>
            </w:r>
          </w:p>
        </w:tc>
        <w:tc>
          <w:tcPr>
            <w:tcW w:w="1531" w:type="dxa"/>
            <w:tcBorders>
              <w:left w:val="nil"/>
              <w:right w:val="nil"/>
            </w:tcBorders>
            <w:shd w:val="clear" w:color="auto" w:fill="auto"/>
            <w:tcMar>
              <w:top w:w="15" w:type="dxa"/>
              <w:left w:w="108" w:type="dxa"/>
              <w:bottom w:w="0" w:type="dxa"/>
              <w:right w:w="108" w:type="dxa"/>
            </w:tcMar>
            <w:vAlign w:val="center"/>
            <w:hideMark/>
          </w:tcPr>
          <w:p w14:paraId="5B1C1CC3"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22.56</w:t>
            </w:r>
          </w:p>
        </w:tc>
        <w:tc>
          <w:tcPr>
            <w:tcW w:w="1531" w:type="dxa"/>
            <w:tcBorders>
              <w:left w:val="nil"/>
              <w:right w:val="nil"/>
            </w:tcBorders>
            <w:shd w:val="clear" w:color="auto" w:fill="auto"/>
            <w:tcMar>
              <w:top w:w="15" w:type="dxa"/>
              <w:left w:w="108" w:type="dxa"/>
              <w:bottom w:w="0" w:type="dxa"/>
              <w:right w:w="108" w:type="dxa"/>
            </w:tcMar>
            <w:vAlign w:val="center"/>
            <w:hideMark/>
          </w:tcPr>
          <w:p w14:paraId="6088505C"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78.5</w:t>
            </w:r>
          </w:p>
        </w:tc>
      </w:tr>
      <w:tr w:rsidR="00DA38A0" w:rsidRPr="00DA38A0" w14:paraId="37E86D88" w14:textId="77777777" w:rsidTr="001B2A8C">
        <w:trPr>
          <w:trHeight w:val="567"/>
        </w:trPr>
        <w:tc>
          <w:tcPr>
            <w:tcW w:w="2154" w:type="dxa"/>
            <w:tcBorders>
              <w:left w:val="nil"/>
              <w:bottom w:val="nil"/>
              <w:right w:val="nil"/>
            </w:tcBorders>
            <w:shd w:val="clear" w:color="auto" w:fill="auto"/>
            <w:tcMar>
              <w:top w:w="15" w:type="dxa"/>
              <w:left w:w="108" w:type="dxa"/>
              <w:bottom w:w="0" w:type="dxa"/>
              <w:right w:w="108" w:type="dxa"/>
            </w:tcMar>
            <w:vAlign w:val="center"/>
          </w:tcPr>
          <w:p w14:paraId="09CFD7B1" w14:textId="77777777" w:rsidR="00DA38A0" w:rsidRPr="00DA38A0" w:rsidRDefault="00DA38A0" w:rsidP="00DA38A0">
            <w:pPr>
              <w:spacing w:line="400" w:lineRule="exact"/>
              <w:jc w:val="center"/>
              <w:rPr>
                <w:rFonts w:ascii="Times New Roman" w:eastAsia="等线" w:hAnsi="Times New Roman"/>
                <w:szCs w:val="21"/>
                <w:lang w:eastAsia="zh-CN"/>
              </w:rPr>
            </w:pPr>
            <w:r w:rsidRPr="00DA38A0">
              <w:rPr>
                <w:rFonts w:ascii="Times New Roman" w:eastAsia="等线" w:hAnsi="Times New Roman"/>
                <w:szCs w:val="20"/>
                <w:lang w:eastAsia="zh-CN"/>
              </w:rPr>
              <w:t>10</w:t>
            </w:r>
            <w:r w:rsidRPr="00DA38A0">
              <w:rPr>
                <w:rFonts w:ascii="Times New Roman" w:eastAsia="等线" w:hAnsi="Times New Roman"/>
                <w:szCs w:val="20"/>
                <w:vertAlign w:val="superscript"/>
                <w:lang w:eastAsia="zh-CN"/>
              </w:rPr>
              <w:t>18</w:t>
            </w:r>
          </w:p>
        </w:tc>
        <w:tc>
          <w:tcPr>
            <w:tcW w:w="1531" w:type="dxa"/>
            <w:tcBorders>
              <w:left w:val="nil"/>
              <w:bottom w:val="nil"/>
              <w:right w:val="nil"/>
            </w:tcBorders>
            <w:shd w:val="clear" w:color="auto" w:fill="auto"/>
            <w:tcMar>
              <w:top w:w="15" w:type="dxa"/>
              <w:left w:w="108" w:type="dxa"/>
              <w:bottom w:w="0" w:type="dxa"/>
              <w:right w:w="108" w:type="dxa"/>
            </w:tcMar>
            <w:vAlign w:val="center"/>
          </w:tcPr>
          <w:p w14:paraId="059254DB" w14:textId="77777777" w:rsidR="00DA38A0" w:rsidRPr="00DA38A0" w:rsidRDefault="00DA38A0" w:rsidP="00DA38A0">
            <w:pPr>
              <w:spacing w:line="400" w:lineRule="exact"/>
              <w:jc w:val="center"/>
              <w:rPr>
                <w:rFonts w:ascii="Times New Roman" w:eastAsia="等线" w:hAnsi="Times New Roman"/>
                <w:szCs w:val="21"/>
                <w:lang w:eastAsia="zh-CN"/>
              </w:rPr>
            </w:pPr>
            <w:r w:rsidRPr="00DA38A0">
              <w:rPr>
                <w:rFonts w:ascii="Times New Roman" w:eastAsia="等线" w:hAnsi="Times New Roman"/>
                <w:szCs w:val="21"/>
                <w:lang w:eastAsia="zh-CN"/>
              </w:rPr>
              <w:t>19.43</w:t>
            </w:r>
          </w:p>
        </w:tc>
        <w:tc>
          <w:tcPr>
            <w:tcW w:w="1531" w:type="dxa"/>
            <w:tcBorders>
              <w:left w:val="nil"/>
              <w:bottom w:val="nil"/>
              <w:right w:val="nil"/>
            </w:tcBorders>
            <w:shd w:val="clear" w:color="auto" w:fill="auto"/>
            <w:tcMar>
              <w:top w:w="15" w:type="dxa"/>
              <w:left w:w="108" w:type="dxa"/>
              <w:bottom w:w="0" w:type="dxa"/>
              <w:right w:w="108" w:type="dxa"/>
            </w:tcMar>
            <w:vAlign w:val="center"/>
          </w:tcPr>
          <w:p w14:paraId="59CE07D6" w14:textId="77777777" w:rsidR="00DA38A0" w:rsidRPr="00DA38A0" w:rsidRDefault="00DA38A0" w:rsidP="00DA38A0">
            <w:pPr>
              <w:spacing w:line="400" w:lineRule="exact"/>
              <w:jc w:val="center"/>
              <w:rPr>
                <w:rFonts w:ascii="Times New Roman" w:eastAsia="等线" w:hAnsi="Times New Roman"/>
                <w:szCs w:val="21"/>
                <w:lang w:eastAsia="zh-CN"/>
              </w:rPr>
            </w:pPr>
            <w:r w:rsidRPr="00DA38A0">
              <w:rPr>
                <w:rFonts w:ascii="Times New Roman" w:eastAsia="等线" w:hAnsi="Times New Roman"/>
                <w:szCs w:val="21"/>
                <w:lang w:eastAsia="zh-CN"/>
              </w:rPr>
              <w:t>1.077</w:t>
            </w:r>
          </w:p>
        </w:tc>
        <w:tc>
          <w:tcPr>
            <w:tcW w:w="1531" w:type="dxa"/>
            <w:tcBorders>
              <w:left w:val="nil"/>
              <w:bottom w:val="nil"/>
              <w:right w:val="nil"/>
            </w:tcBorders>
            <w:shd w:val="clear" w:color="auto" w:fill="auto"/>
            <w:tcMar>
              <w:top w:w="15" w:type="dxa"/>
              <w:left w:w="108" w:type="dxa"/>
              <w:bottom w:w="0" w:type="dxa"/>
              <w:right w:w="108" w:type="dxa"/>
            </w:tcMar>
            <w:vAlign w:val="center"/>
          </w:tcPr>
          <w:p w14:paraId="500F7203" w14:textId="77777777" w:rsidR="00DA38A0" w:rsidRPr="00DA38A0" w:rsidRDefault="00DA38A0" w:rsidP="00DA38A0">
            <w:pPr>
              <w:spacing w:line="400" w:lineRule="exact"/>
              <w:jc w:val="center"/>
              <w:rPr>
                <w:rFonts w:ascii="Times New Roman" w:eastAsia="等线" w:hAnsi="Times New Roman"/>
                <w:szCs w:val="21"/>
                <w:lang w:eastAsia="zh-CN"/>
              </w:rPr>
            </w:pPr>
            <w:r w:rsidRPr="00DA38A0">
              <w:rPr>
                <w:rFonts w:ascii="Times New Roman" w:eastAsia="等线" w:hAnsi="Times New Roman"/>
                <w:szCs w:val="21"/>
                <w:lang w:eastAsia="zh-CN"/>
              </w:rPr>
              <w:t>22.33</w:t>
            </w:r>
          </w:p>
        </w:tc>
        <w:tc>
          <w:tcPr>
            <w:tcW w:w="1531" w:type="dxa"/>
            <w:tcBorders>
              <w:left w:val="nil"/>
              <w:bottom w:val="nil"/>
              <w:right w:val="nil"/>
            </w:tcBorders>
            <w:shd w:val="clear" w:color="auto" w:fill="auto"/>
            <w:tcMar>
              <w:top w:w="15" w:type="dxa"/>
              <w:left w:w="108" w:type="dxa"/>
              <w:bottom w:w="0" w:type="dxa"/>
              <w:right w:w="108" w:type="dxa"/>
            </w:tcMar>
            <w:vAlign w:val="center"/>
          </w:tcPr>
          <w:p w14:paraId="7B95ABB0" w14:textId="77777777" w:rsidR="00DA38A0" w:rsidRPr="00DA38A0" w:rsidRDefault="00DA38A0" w:rsidP="00DA38A0">
            <w:pPr>
              <w:spacing w:line="400" w:lineRule="exact"/>
              <w:jc w:val="center"/>
              <w:rPr>
                <w:rFonts w:ascii="Times New Roman" w:eastAsia="等线" w:hAnsi="Times New Roman"/>
                <w:szCs w:val="21"/>
                <w:lang w:eastAsia="zh-CN"/>
              </w:rPr>
            </w:pPr>
            <w:r w:rsidRPr="00DA38A0">
              <w:rPr>
                <w:rFonts w:ascii="Times New Roman" w:eastAsia="等线" w:hAnsi="Times New Roman"/>
                <w:szCs w:val="21"/>
                <w:lang w:eastAsia="zh-CN"/>
              </w:rPr>
              <w:t>77.3</w:t>
            </w:r>
          </w:p>
        </w:tc>
      </w:tr>
      <w:tr w:rsidR="00DA38A0" w:rsidRPr="00DA38A0" w14:paraId="4A7C4E77" w14:textId="77777777" w:rsidTr="001B2A8C">
        <w:trPr>
          <w:trHeight w:val="567"/>
        </w:trPr>
        <w:tc>
          <w:tcPr>
            <w:tcW w:w="2154" w:type="dxa"/>
            <w:tcBorders>
              <w:top w:val="nil"/>
              <w:left w:val="nil"/>
              <w:bottom w:val="nil"/>
              <w:right w:val="nil"/>
            </w:tcBorders>
            <w:shd w:val="clear" w:color="auto" w:fill="auto"/>
            <w:tcMar>
              <w:top w:w="15" w:type="dxa"/>
              <w:left w:w="108" w:type="dxa"/>
              <w:bottom w:w="0" w:type="dxa"/>
              <w:right w:w="108" w:type="dxa"/>
            </w:tcMar>
            <w:vAlign w:val="center"/>
            <w:hideMark/>
          </w:tcPr>
          <w:p w14:paraId="6ABED824"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0"/>
                <w:lang w:eastAsia="zh-CN"/>
              </w:rPr>
              <w:t>10</w:t>
            </w:r>
            <w:r w:rsidRPr="00DA38A0">
              <w:rPr>
                <w:rFonts w:ascii="Times New Roman" w:eastAsia="等线" w:hAnsi="Times New Roman"/>
                <w:szCs w:val="20"/>
                <w:vertAlign w:val="superscript"/>
                <w:lang w:eastAsia="zh-CN"/>
              </w:rPr>
              <w:t>19</w:t>
            </w:r>
          </w:p>
        </w:tc>
        <w:tc>
          <w:tcPr>
            <w:tcW w:w="1531" w:type="dxa"/>
            <w:tcBorders>
              <w:top w:val="nil"/>
              <w:left w:val="nil"/>
              <w:bottom w:val="nil"/>
              <w:right w:val="nil"/>
            </w:tcBorders>
            <w:shd w:val="clear" w:color="auto" w:fill="auto"/>
            <w:tcMar>
              <w:top w:w="15" w:type="dxa"/>
              <w:left w:w="108" w:type="dxa"/>
              <w:bottom w:w="0" w:type="dxa"/>
              <w:right w:w="108" w:type="dxa"/>
            </w:tcMar>
            <w:vAlign w:val="center"/>
            <w:hideMark/>
          </w:tcPr>
          <w:p w14:paraId="3676BFD6"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17.31</w:t>
            </w:r>
          </w:p>
        </w:tc>
        <w:tc>
          <w:tcPr>
            <w:tcW w:w="1531" w:type="dxa"/>
            <w:tcBorders>
              <w:top w:val="nil"/>
              <w:left w:val="nil"/>
              <w:bottom w:val="nil"/>
              <w:right w:val="nil"/>
            </w:tcBorders>
            <w:shd w:val="clear" w:color="auto" w:fill="auto"/>
            <w:tcMar>
              <w:top w:w="15" w:type="dxa"/>
              <w:left w:w="108" w:type="dxa"/>
              <w:bottom w:w="0" w:type="dxa"/>
              <w:right w:w="108" w:type="dxa"/>
            </w:tcMar>
            <w:vAlign w:val="center"/>
            <w:hideMark/>
          </w:tcPr>
          <w:p w14:paraId="04AA37A8"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1.058</w:t>
            </w:r>
          </w:p>
        </w:tc>
        <w:tc>
          <w:tcPr>
            <w:tcW w:w="1531" w:type="dxa"/>
            <w:tcBorders>
              <w:top w:val="nil"/>
              <w:left w:val="nil"/>
              <w:bottom w:val="nil"/>
              <w:right w:val="nil"/>
            </w:tcBorders>
            <w:shd w:val="clear" w:color="auto" w:fill="auto"/>
            <w:tcMar>
              <w:top w:w="15" w:type="dxa"/>
              <w:left w:w="108" w:type="dxa"/>
              <w:bottom w:w="0" w:type="dxa"/>
              <w:right w:w="108" w:type="dxa"/>
            </w:tcMar>
            <w:vAlign w:val="center"/>
            <w:hideMark/>
          </w:tcPr>
          <w:p w14:paraId="1125E361"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21.23</w:t>
            </w:r>
          </w:p>
        </w:tc>
        <w:tc>
          <w:tcPr>
            <w:tcW w:w="1531" w:type="dxa"/>
            <w:tcBorders>
              <w:top w:val="nil"/>
              <w:left w:val="nil"/>
              <w:bottom w:val="nil"/>
              <w:right w:val="nil"/>
            </w:tcBorders>
            <w:shd w:val="clear" w:color="auto" w:fill="auto"/>
            <w:tcMar>
              <w:top w:w="15" w:type="dxa"/>
              <w:left w:w="108" w:type="dxa"/>
              <w:bottom w:w="0" w:type="dxa"/>
              <w:right w:w="108" w:type="dxa"/>
            </w:tcMar>
            <w:vAlign w:val="center"/>
            <w:hideMark/>
          </w:tcPr>
          <w:p w14:paraId="7590AE51"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73.8</w:t>
            </w:r>
          </w:p>
        </w:tc>
      </w:tr>
      <w:tr w:rsidR="00DA38A0" w:rsidRPr="00DA38A0" w14:paraId="336EB1A9" w14:textId="77777777" w:rsidTr="001B2A8C">
        <w:trPr>
          <w:trHeight w:val="567"/>
        </w:trPr>
        <w:tc>
          <w:tcPr>
            <w:tcW w:w="2154"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1DDAFA95"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0"/>
                <w:lang w:eastAsia="zh-CN"/>
              </w:rPr>
              <w:t>10</w:t>
            </w:r>
            <w:r w:rsidRPr="00DA38A0">
              <w:rPr>
                <w:rFonts w:ascii="Times New Roman" w:eastAsia="等线" w:hAnsi="Times New Roman"/>
                <w:szCs w:val="20"/>
                <w:vertAlign w:val="superscript"/>
                <w:lang w:eastAsia="zh-CN"/>
              </w:rPr>
              <w:t>20</w:t>
            </w:r>
          </w:p>
        </w:tc>
        <w:tc>
          <w:tcPr>
            <w:tcW w:w="1531"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74CBE750"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16.00</w:t>
            </w:r>
          </w:p>
        </w:tc>
        <w:tc>
          <w:tcPr>
            <w:tcW w:w="1531"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4D75E950"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1.049</w:t>
            </w:r>
          </w:p>
        </w:tc>
        <w:tc>
          <w:tcPr>
            <w:tcW w:w="1531"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3F8488A4"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cs="Arial" w:hint="eastAsia"/>
                <w:kern w:val="0"/>
                <w:szCs w:val="21"/>
                <w:lang w:eastAsia="zh-CN"/>
              </w:rPr>
              <w:t>2</w:t>
            </w:r>
            <w:r w:rsidRPr="00DA38A0">
              <w:rPr>
                <w:rFonts w:ascii="Times New Roman" w:eastAsia="等线" w:hAnsi="Times New Roman" w:cs="Arial"/>
                <w:kern w:val="0"/>
                <w:szCs w:val="21"/>
                <w:lang w:eastAsia="zh-CN"/>
              </w:rPr>
              <w:t>0.17</w:t>
            </w:r>
          </w:p>
        </w:tc>
        <w:tc>
          <w:tcPr>
            <w:tcW w:w="1531" w:type="dxa"/>
            <w:tcBorders>
              <w:top w:val="nil"/>
              <w:left w:val="nil"/>
              <w:bottom w:val="single" w:sz="12" w:space="0" w:color="auto"/>
              <w:right w:val="nil"/>
            </w:tcBorders>
            <w:shd w:val="clear" w:color="auto" w:fill="auto"/>
            <w:tcMar>
              <w:top w:w="15" w:type="dxa"/>
              <w:left w:w="108" w:type="dxa"/>
              <w:bottom w:w="0" w:type="dxa"/>
              <w:right w:w="108" w:type="dxa"/>
            </w:tcMar>
            <w:vAlign w:val="center"/>
            <w:hideMark/>
          </w:tcPr>
          <w:p w14:paraId="5A7AC89A"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72.4</w:t>
            </w:r>
          </w:p>
        </w:tc>
      </w:tr>
    </w:tbl>
    <w:p w14:paraId="23B8F354" w14:textId="77777777" w:rsidR="00DA38A0" w:rsidRDefault="00DA38A0" w:rsidP="00DA38A0">
      <w:pPr>
        <w:spacing w:beforeLines="100" w:before="240" w:afterLines="50" w:after="120" w:line="400" w:lineRule="exact"/>
        <w:jc w:val="left"/>
        <w:rPr>
          <w:rFonts w:ascii="Times New Roman" w:eastAsia="等线" w:hAnsi="Times New Roman"/>
          <w:b/>
          <w:bCs/>
          <w:sz w:val="24"/>
          <w:szCs w:val="28"/>
          <w:lang w:eastAsia="zh-CN"/>
        </w:rPr>
      </w:pPr>
    </w:p>
    <w:p w14:paraId="3FC295DD" w14:textId="26E11395" w:rsidR="00DA38A0" w:rsidRPr="00DA38A0" w:rsidRDefault="00DA38A0" w:rsidP="00DA38A0">
      <w:pPr>
        <w:spacing w:beforeLines="100" w:before="240" w:afterLines="50" w:after="120" w:line="400" w:lineRule="exact"/>
        <w:jc w:val="left"/>
        <w:rPr>
          <w:rFonts w:ascii="Times New Roman" w:eastAsia="等线" w:hAnsi="Times New Roman"/>
          <w:b/>
          <w:bCs/>
          <w:sz w:val="24"/>
          <w:szCs w:val="22"/>
          <w:lang w:eastAsia="zh-CN"/>
        </w:rPr>
      </w:pPr>
      <w:r w:rsidRPr="00DA38A0">
        <w:rPr>
          <w:rFonts w:ascii="Times New Roman" w:eastAsia="等线" w:hAnsi="Times New Roman" w:hint="eastAsia"/>
          <w:b/>
          <w:bCs/>
          <w:sz w:val="24"/>
          <w:szCs w:val="28"/>
          <w:lang w:eastAsia="zh-CN"/>
        </w:rPr>
        <w:t>T</w:t>
      </w:r>
      <w:r w:rsidRPr="00DA38A0">
        <w:rPr>
          <w:rFonts w:ascii="Times New Roman" w:eastAsia="等线" w:hAnsi="Times New Roman"/>
          <w:b/>
          <w:bCs/>
          <w:sz w:val="24"/>
          <w:szCs w:val="28"/>
          <w:lang w:eastAsia="zh-CN"/>
        </w:rPr>
        <w:t>able Ⅴ</w:t>
      </w:r>
      <w:r>
        <w:rPr>
          <w:rFonts w:ascii="Times New Roman" w:eastAsia="等线" w:hAnsi="Times New Roman" w:hint="eastAsia"/>
          <w:b/>
          <w:bCs/>
          <w:sz w:val="24"/>
          <w:szCs w:val="28"/>
          <w:lang w:eastAsia="zh-CN"/>
        </w:rPr>
        <w:t>.</w:t>
      </w:r>
      <w:r w:rsidRPr="00DA38A0">
        <w:rPr>
          <w:rFonts w:ascii="Times New Roman" w:eastAsia="等线" w:hAnsi="Times New Roman"/>
          <w:b/>
          <w:bCs/>
          <w:sz w:val="24"/>
          <w:szCs w:val="28"/>
          <w:lang w:eastAsia="zh-CN"/>
        </w:rPr>
        <w:t xml:space="preserve"> Summary of the photovoltaic parameters for varied</w:t>
      </w:r>
      <w:r w:rsidRPr="00DA38A0">
        <w:rPr>
          <w:rFonts w:ascii="Times New Roman" w:eastAsia="等线" w:hAnsi="Times New Roman"/>
          <w:b/>
          <w:bCs/>
          <w:sz w:val="24"/>
          <w:szCs w:val="22"/>
          <w:lang w:eastAsia="zh-CN"/>
        </w:rPr>
        <w:t xml:space="preserve"> R</w:t>
      </w:r>
      <w:r w:rsidRPr="00DA38A0">
        <w:rPr>
          <w:rFonts w:ascii="Times New Roman" w:eastAsia="等线" w:hAnsi="Times New Roman"/>
          <w:b/>
          <w:bCs/>
          <w:sz w:val="24"/>
          <w:szCs w:val="22"/>
          <w:vertAlign w:val="subscript"/>
          <w:lang w:eastAsia="zh-CN"/>
        </w:rPr>
        <w:t>s</w:t>
      </w:r>
    </w:p>
    <w:tbl>
      <w:tblPr>
        <w:tblW w:w="8220" w:type="dxa"/>
        <w:tblCellMar>
          <w:left w:w="0" w:type="dxa"/>
          <w:right w:w="0" w:type="dxa"/>
        </w:tblCellMar>
        <w:tblLook w:val="04A0" w:firstRow="1" w:lastRow="0" w:firstColumn="1" w:lastColumn="0" w:noHBand="0" w:noVBand="1"/>
      </w:tblPr>
      <w:tblGrid>
        <w:gridCol w:w="1644"/>
        <w:gridCol w:w="1644"/>
        <w:gridCol w:w="1644"/>
        <w:gridCol w:w="1644"/>
        <w:gridCol w:w="1644"/>
      </w:tblGrid>
      <w:tr w:rsidR="00DA38A0" w:rsidRPr="00DA38A0" w14:paraId="72EFF1C1" w14:textId="77777777" w:rsidTr="001B2A8C">
        <w:trPr>
          <w:trHeight w:val="567"/>
        </w:trPr>
        <w:tc>
          <w:tcPr>
            <w:tcW w:w="164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26FC1AA0" w14:textId="77777777" w:rsidR="00DA38A0" w:rsidRPr="00DA38A0" w:rsidRDefault="00DA38A0" w:rsidP="00DA38A0">
            <w:pPr>
              <w:spacing w:line="400" w:lineRule="exact"/>
              <w:jc w:val="center"/>
              <w:rPr>
                <w:rFonts w:ascii="Arial" w:eastAsia="等线" w:hAnsi="Arial" w:cs="Arial"/>
                <w:b/>
                <w:bCs/>
                <w:kern w:val="0"/>
                <w:szCs w:val="21"/>
                <w:lang w:eastAsia="zh-CN"/>
              </w:rPr>
            </w:pPr>
            <w:proofErr w:type="spellStart"/>
            <w:r w:rsidRPr="00DA38A0">
              <w:rPr>
                <w:rFonts w:ascii="Times New Roman" w:eastAsia="等线" w:hAnsi="Times New Roman"/>
                <w:b/>
                <w:bCs/>
                <w:szCs w:val="21"/>
                <w:lang w:eastAsia="zh-CN"/>
              </w:rPr>
              <w:t>R</w:t>
            </w:r>
            <w:r w:rsidRPr="00DA38A0">
              <w:rPr>
                <w:rFonts w:ascii="Times New Roman" w:eastAsia="等线" w:hAnsi="Times New Roman"/>
                <w:b/>
                <w:bCs/>
                <w:szCs w:val="21"/>
                <w:vertAlign w:val="subscript"/>
                <w:lang w:eastAsia="zh-CN"/>
              </w:rPr>
              <w:t>shunt</w:t>
            </w:r>
            <w:proofErr w:type="spellEnd"/>
            <w:r w:rsidRPr="00DA38A0">
              <w:rPr>
                <w:rFonts w:ascii="Times New Roman" w:eastAsia="等线" w:hAnsi="Times New Roman"/>
                <w:b/>
                <w:bCs/>
                <w:szCs w:val="21"/>
                <w:lang w:eastAsia="zh-CN"/>
              </w:rPr>
              <w:t xml:space="preserve"> (Ω)</w:t>
            </w:r>
          </w:p>
        </w:tc>
        <w:tc>
          <w:tcPr>
            <w:tcW w:w="164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30962FB6" w14:textId="77777777" w:rsidR="00DA38A0" w:rsidRPr="00DA38A0" w:rsidRDefault="00DA38A0" w:rsidP="00DA38A0">
            <w:pPr>
              <w:spacing w:line="400" w:lineRule="exact"/>
              <w:jc w:val="center"/>
              <w:rPr>
                <w:rFonts w:ascii="Arial" w:eastAsia="等线" w:hAnsi="Arial" w:cs="Arial"/>
                <w:b/>
                <w:bCs/>
                <w:kern w:val="0"/>
                <w:szCs w:val="21"/>
                <w:lang w:eastAsia="zh-CN"/>
              </w:rPr>
            </w:pPr>
            <w:r w:rsidRPr="00DA38A0">
              <w:rPr>
                <w:rFonts w:ascii="Times New Roman" w:eastAsia="等线" w:hAnsi="Times New Roman"/>
                <w:b/>
                <w:bCs/>
                <w:szCs w:val="21"/>
                <w:lang w:eastAsia="zh-CN"/>
              </w:rPr>
              <w:t>PCE (%)</w:t>
            </w:r>
          </w:p>
        </w:tc>
        <w:tc>
          <w:tcPr>
            <w:tcW w:w="164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0CB12CD1" w14:textId="77777777" w:rsidR="00DA38A0" w:rsidRPr="00DA38A0" w:rsidRDefault="00DA38A0" w:rsidP="00DA38A0">
            <w:pPr>
              <w:spacing w:line="400" w:lineRule="exact"/>
              <w:jc w:val="center"/>
              <w:rPr>
                <w:rFonts w:ascii="Arial" w:eastAsia="等线" w:hAnsi="Arial" w:cs="Arial"/>
                <w:b/>
                <w:bCs/>
                <w:kern w:val="0"/>
                <w:szCs w:val="21"/>
                <w:lang w:eastAsia="zh-CN"/>
              </w:rPr>
            </w:pPr>
            <w:proofErr w:type="spellStart"/>
            <w:r w:rsidRPr="00DA38A0">
              <w:rPr>
                <w:rFonts w:ascii="Times New Roman" w:eastAsia="等线" w:hAnsi="Times New Roman"/>
                <w:b/>
                <w:bCs/>
                <w:szCs w:val="21"/>
                <w:lang w:eastAsia="zh-CN"/>
              </w:rPr>
              <w:t>V</w:t>
            </w:r>
            <w:r w:rsidRPr="00DA38A0">
              <w:rPr>
                <w:rFonts w:ascii="Times New Roman" w:eastAsia="等线" w:hAnsi="Times New Roman"/>
                <w:b/>
                <w:bCs/>
                <w:szCs w:val="21"/>
                <w:vertAlign w:val="subscript"/>
                <w:lang w:eastAsia="zh-CN"/>
              </w:rPr>
              <w:t>oc</w:t>
            </w:r>
            <w:proofErr w:type="spellEnd"/>
            <w:r w:rsidRPr="00DA38A0">
              <w:rPr>
                <w:rFonts w:ascii="Times New Roman" w:eastAsia="等线" w:hAnsi="Times New Roman"/>
                <w:b/>
                <w:bCs/>
                <w:position w:val="-16"/>
                <w:szCs w:val="21"/>
                <w:vertAlign w:val="subscript"/>
                <w:lang w:eastAsia="zh-CN"/>
              </w:rPr>
              <w:t xml:space="preserve"> </w:t>
            </w:r>
            <w:r w:rsidRPr="00DA38A0">
              <w:rPr>
                <w:rFonts w:ascii="Times New Roman" w:eastAsia="等线" w:hAnsi="Times New Roman"/>
                <w:b/>
                <w:bCs/>
                <w:position w:val="1"/>
                <w:szCs w:val="21"/>
                <w:lang w:eastAsia="zh-CN"/>
              </w:rPr>
              <w:t>(V)</w:t>
            </w:r>
          </w:p>
        </w:tc>
        <w:tc>
          <w:tcPr>
            <w:tcW w:w="164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0410FD49" w14:textId="77777777" w:rsidR="00DA38A0" w:rsidRPr="00DA38A0" w:rsidRDefault="00DA38A0" w:rsidP="00DA38A0">
            <w:pPr>
              <w:spacing w:line="400" w:lineRule="exact"/>
              <w:jc w:val="center"/>
              <w:rPr>
                <w:rFonts w:ascii="Arial" w:eastAsia="等线" w:hAnsi="Arial" w:cs="Arial"/>
                <w:b/>
                <w:bCs/>
                <w:kern w:val="0"/>
                <w:szCs w:val="21"/>
                <w:lang w:eastAsia="zh-CN"/>
              </w:rPr>
            </w:pPr>
            <w:proofErr w:type="spellStart"/>
            <w:r w:rsidRPr="00DA38A0">
              <w:rPr>
                <w:rFonts w:ascii="Times New Roman" w:eastAsia="等线" w:hAnsi="Times New Roman"/>
                <w:b/>
                <w:bCs/>
                <w:szCs w:val="21"/>
                <w:lang w:eastAsia="zh-CN"/>
              </w:rPr>
              <w:t>J</w:t>
            </w:r>
            <w:r w:rsidRPr="00DA38A0">
              <w:rPr>
                <w:rFonts w:ascii="Times New Roman" w:eastAsia="等线" w:hAnsi="Times New Roman"/>
                <w:b/>
                <w:bCs/>
                <w:szCs w:val="21"/>
                <w:vertAlign w:val="subscript"/>
                <w:lang w:eastAsia="zh-CN"/>
              </w:rPr>
              <w:t>sc</w:t>
            </w:r>
            <w:proofErr w:type="spellEnd"/>
            <w:r w:rsidRPr="00DA38A0">
              <w:rPr>
                <w:rFonts w:ascii="Times New Roman" w:eastAsia="等线" w:hAnsi="Times New Roman"/>
                <w:b/>
                <w:bCs/>
                <w:position w:val="1"/>
                <w:szCs w:val="21"/>
                <w:lang w:eastAsia="zh-CN"/>
              </w:rPr>
              <w:t>(mA/cm</w:t>
            </w:r>
            <w:r w:rsidRPr="00DA38A0">
              <w:rPr>
                <w:rFonts w:ascii="Times New Roman" w:eastAsia="等线" w:hAnsi="Times New Roman"/>
                <w:b/>
                <w:bCs/>
                <w:position w:val="1"/>
                <w:szCs w:val="21"/>
                <w:vertAlign w:val="superscript"/>
                <w:lang w:eastAsia="zh-CN"/>
              </w:rPr>
              <w:t>2</w:t>
            </w:r>
            <w:r w:rsidRPr="00DA38A0">
              <w:rPr>
                <w:rFonts w:ascii="Times New Roman" w:eastAsia="等线" w:hAnsi="Times New Roman"/>
                <w:b/>
                <w:bCs/>
                <w:position w:val="1"/>
                <w:szCs w:val="21"/>
                <w:lang w:eastAsia="zh-CN"/>
              </w:rPr>
              <w:t>)</w:t>
            </w:r>
          </w:p>
        </w:tc>
        <w:tc>
          <w:tcPr>
            <w:tcW w:w="1644" w:type="dxa"/>
            <w:tcBorders>
              <w:top w:val="single" w:sz="12" w:space="0" w:color="auto"/>
              <w:left w:val="nil"/>
              <w:bottom w:val="single" w:sz="12" w:space="0" w:color="auto"/>
              <w:right w:val="nil"/>
            </w:tcBorders>
            <w:shd w:val="clear" w:color="auto" w:fill="auto"/>
            <w:tcMar>
              <w:top w:w="15" w:type="dxa"/>
              <w:left w:w="108" w:type="dxa"/>
              <w:bottom w:w="0" w:type="dxa"/>
              <w:right w:w="108" w:type="dxa"/>
            </w:tcMar>
            <w:vAlign w:val="center"/>
            <w:hideMark/>
          </w:tcPr>
          <w:p w14:paraId="1AD18535" w14:textId="77777777" w:rsidR="00DA38A0" w:rsidRPr="00DA38A0" w:rsidRDefault="00DA38A0" w:rsidP="00DA38A0">
            <w:pPr>
              <w:spacing w:line="400" w:lineRule="exact"/>
              <w:jc w:val="center"/>
              <w:rPr>
                <w:rFonts w:ascii="Arial" w:eastAsia="等线" w:hAnsi="Arial" w:cs="Arial"/>
                <w:b/>
                <w:bCs/>
                <w:kern w:val="0"/>
                <w:szCs w:val="21"/>
                <w:lang w:eastAsia="zh-CN"/>
              </w:rPr>
            </w:pPr>
            <w:r w:rsidRPr="00DA38A0">
              <w:rPr>
                <w:rFonts w:ascii="Times New Roman" w:eastAsia="等线" w:hAnsi="Times New Roman"/>
                <w:b/>
                <w:bCs/>
                <w:szCs w:val="21"/>
                <w:lang w:eastAsia="zh-CN"/>
              </w:rPr>
              <w:t>FF (%)</w:t>
            </w:r>
          </w:p>
        </w:tc>
      </w:tr>
      <w:tr w:rsidR="00DA38A0" w:rsidRPr="00DA38A0" w14:paraId="19B256E5" w14:textId="77777777" w:rsidTr="001B2A8C">
        <w:trPr>
          <w:trHeight w:val="567"/>
        </w:trPr>
        <w:tc>
          <w:tcPr>
            <w:tcW w:w="1644"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7A1A7F75" w14:textId="74845E24" w:rsidR="00DA38A0" w:rsidRPr="00DA38A0" w:rsidRDefault="00E86FDA"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0</w:t>
            </w:r>
          </w:p>
        </w:tc>
        <w:tc>
          <w:tcPr>
            <w:tcW w:w="1644"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65989F91" w14:textId="21EC976F" w:rsidR="00DA38A0" w:rsidRPr="00DA38A0" w:rsidRDefault="00E86FDA"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20.55</w:t>
            </w:r>
          </w:p>
        </w:tc>
        <w:tc>
          <w:tcPr>
            <w:tcW w:w="1644"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2B2E6574" w14:textId="4A103338"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1.08</w:t>
            </w:r>
            <w:r w:rsidR="00E86FDA">
              <w:rPr>
                <w:rFonts w:ascii="Times New Roman" w:eastAsia="等线" w:hAnsi="Times New Roman"/>
                <w:szCs w:val="21"/>
                <w:lang w:eastAsia="zh-CN"/>
              </w:rPr>
              <w:t>7</w:t>
            </w:r>
          </w:p>
        </w:tc>
        <w:tc>
          <w:tcPr>
            <w:tcW w:w="1644"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2DF6DC92" w14:textId="4061A4A3"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22.5</w:t>
            </w:r>
            <w:r w:rsidR="00E86FDA">
              <w:rPr>
                <w:rFonts w:ascii="Times New Roman" w:eastAsia="等线" w:hAnsi="Times New Roman"/>
                <w:szCs w:val="21"/>
                <w:lang w:eastAsia="zh-CN"/>
              </w:rPr>
              <w:t>7</w:t>
            </w:r>
          </w:p>
        </w:tc>
        <w:tc>
          <w:tcPr>
            <w:tcW w:w="1644" w:type="dxa"/>
            <w:tcBorders>
              <w:top w:val="single" w:sz="12" w:space="0" w:color="auto"/>
              <w:left w:val="nil"/>
              <w:bottom w:val="nil"/>
              <w:right w:val="nil"/>
            </w:tcBorders>
            <w:shd w:val="clear" w:color="auto" w:fill="auto"/>
            <w:tcMar>
              <w:top w:w="15" w:type="dxa"/>
              <w:left w:w="108" w:type="dxa"/>
              <w:bottom w:w="0" w:type="dxa"/>
              <w:right w:w="108" w:type="dxa"/>
            </w:tcMar>
            <w:vAlign w:val="center"/>
            <w:hideMark/>
          </w:tcPr>
          <w:p w14:paraId="7278A72D" w14:textId="0D0BD9A1" w:rsidR="00DA38A0" w:rsidRPr="00E86FDA" w:rsidRDefault="00E86FDA" w:rsidP="00DA38A0">
            <w:pPr>
              <w:spacing w:line="400" w:lineRule="exact"/>
              <w:jc w:val="center"/>
              <w:rPr>
                <w:rFonts w:ascii="Times New Roman" w:eastAsia="等线" w:hAnsi="Times New Roman"/>
                <w:kern w:val="0"/>
                <w:szCs w:val="21"/>
                <w:lang w:eastAsia="zh-CN"/>
              </w:rPr>
            </w:pPr>
            <w:r w:rsidRPr="00E86FDA">
              <w:rPr>
                <w:rFonts w:ascii="Times New Roman" w:eastAsia="等线" w:hAnsi="Times New Roman"/>
                <w:szCs w:val="21"/>
                <w:lang w:eastAsia="zh-CN"/>
              </w:rPr>
              <w:t>80.3</w:t>
            </w:r>
          </w:p>
        </w:tc>
      </w:tr>
      <w:tr w:rsidR="00DA38A0" w:rsidRPr="00DA38A0" w14:paraId="1E29D022" w14:textId="77777777" w:rsidTr="001B2A8C">
        <w:trPr>
          <w:trHeight w:val="567"/>
        </w:trPr>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69BC583F" w14:textId="7EDC6BBB" w:rsidR="00DA38A0" w:rsidRPr="00DA38A0" w:rsidRDefault="00E86FDA"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1</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7992468B" w14:textId="7C6F3401" w:rsidR="00DA38A0" w:rsidRPr="00DA38A0" w:rsidRDefault="00E86FDA"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20.09</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7BA944A5" w14:textId="7BDF4762"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1.08</w:t>
            </w:r>
            <w:r w:rsidR="00E86FDA">
              <w:rPr>
                <w:rFonts w:ascii="Times New Roman" w:eastAsia="等线" w:hAnsi="Times New Roman"/>
                <w:szCs w:val="21"/>
                <w:lang w:eastAsia="zh-CN"/>
              </w:rPr>
              <w:t>7</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27BB5B6A" w14:textId="1FBAC785"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22.5</w:t>
            </w:r>
            <w:r w:rsidR="00E86FDA">
              <w:rPr>
                <w:rFonts w:ascii="Times New Roman" w:eastAsia="等线" w:hAnsi="Times New Roman"/>
                <w:szCs w:val="21"/>
                <w:lang w:eastAsia="zh-CN"/>
              </w:rPr>
              <w:t>6</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59AEB385" w14:textId="154C1B9F"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78.</w:t>
            </w:r>
            <w:r w:rsidR="00E86FDA">
              <w:rPr>
                <w:rFonts w:ascii="Times New Roman" w:eastAsia="等线" w:hAnsi="Times New Roman"/>
                <w:szCs w:val="21"/>
                <w:lang w:eastAsia="zh-CN"/>
              </w:rPr>
              <w:t>5</w:t>
            </w:r>
          </w:p>
        </w:tc>
      </w:tr>
      <w:tr w:rsidR="00DA38A0" w:rsidRPr="00DA38A0" w14:paraId="560E8529" w14:textId="77777777" w:rsidTr="001B2A8C">
        <w:trPr>
          <w:trHeight w:val="567"/>
        </w:trPr>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45226186" w14:textId="3A0EEB7F" w:rsidR="00DA38A0" w:rsidRPr="00DA38A0" w:rsidRDefault="00E86FDA"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2</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53041BDC" w14:textId="29EC9726" w:rsidR="00DA38A0" w:rsidRPr="00DA38A0" w:rsidRDefault="00E86FDA"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19.63</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5FAD9A04" w14:textId="6E409673"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1.08</w:t>
            </w:r>
            <w:r w:rsidR="00E86FDA">
              <w:rPr>
                <w:rFonts w:ascii="Times New Roman" w:eastAsia="等线" w:hAnsi="Times New Roman"/>
                <w:szCs w:val="21"/>
                <w:lang w:eastAsia="zh-CN"/>
              </w:rPr>
              <w:t>7</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21FA7627" w14:textId="1B13278E"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22.5</w:t>
            </w:r>
            <w:r w:rsidR="00E86FDA">
              <w:rPr>
                <w:rFonts w:ascii="Times New Roman" w:eastAsia="等线" w:hAnsi="Times New Roman"/>
                <w:szCs w:val="21"/>
                <w:lang w:eastAsia="zh-CN"/>
              </w:rPr>
              <w:t>5</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209382D2" w14:textId="5BA16BD7" w:rsidR="00DA38A0" w:rsidRPr="00DA38A0" w:rsidRDefault="00E86FDA"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76.7</w:t>
            </w:r>
          </w:p>
        </w:tc>
      </w:tr>
      <w:tr w:rsidR="00DA38A0" w:rsidRPr="00DA38A0" w14:paraId="47B4B91B" w14:textId="77777777" w:rsidTr="001B2A8C">
        <w:trPr>
          <w:trHeight w:val="567"/>
        </w:trPr>
        <w:tc>
          <w:tcPr>
            <w:tcW w:w="1644" w:type="dxa"/>
            <w:tcBorders>
              <w:top w:val="nil"/>
              <w:left w:val="nil"/>
              <w:right w:val="nil"/>
            </w:tcBorders>
            <w:shd w:val="clear" w:color="auto" w:fill="auto"/>
            <w:tcMar>
              <w:top w:w="15" w:type="dxa"/>
              <w:left w:w="108" w:type="dxa"/>
              <w:bottom w:w="0" w:type="dxa"/>
              <w:right w:w="108" w:type="dxa"/>
            </w:tcMar>
            <w:vAlign w:val="center"/>
            <w:hideMark/>
          </w:tcPr>
          <w:p w14:paraId="06174BB1" w14:textId="1D37C174" w:rsidR="00DA38A0" w:rsidRPr="00DA38A0" w:rsidRDefault="00E86FDA"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3</w:t>
            </w:r>
          </w:p>
        </w:tc>
        <w:tc>
          <w:tcPr>
            <w:tcW w:w="1644" w:type="dxa"/>
            <w:tcBorders>
              <w:top w:val="nil"/>
              <w:left w:val="nil"/>
              <w:right w:val="nil"/>
            </w:tcBorders>
            <w:shd w:val="clear" w:color="auto" w:fill="auto"/>
            <w:tcMar>
              <w:top w:w="15" w:type="dxa"/>
              <w:left w:w="108" w:type="dxa"/>
              <w:bottom w:w="0" w:type="dxa"/>
              <w:right w:w="108" w:type="dxa"/>
            </w:tcMar>
            <w:vAlign w:val="center"/>
            <w:hideMark/>
          </w:tcPr>
          <w:p w14:paraId="46BF77F4" w14:textId="6EC0E7B1" w:rsidR="00DA38A0" w:rsidRPr="00DA38A0" w:rsidRDefault="00196201"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19.17</w:t>
            </w:r>
          </w:p>
        </w:tc>
        <w:tc>
          <w:tcPr>
            <w:tcW w:w="1644" w:type="dxa"/>
            <w:tcBorders>
              <w:top w:val="nil"/>
              <w:left w:val="nil"/>
              <w:right w:val="nil"/>
            </w:tcBorders>
            <w:shd w:val="clear" w:color="auto" w:fill="auto"/>
            <w:tcMar>
              <w:top w:w="15" w:type="dxa"/>
              <w:left w:w="108" w:type="dxa"/>
              <w:bottom w:w="0" w:type="dxa"/>
              <w:right w:w="108" w:type="dxa"/>
            </w:tcMar>
            <w:vAlign w:val="center"/>
            <w:hideMark/>
          </w:tcPr>
          <w:p w14:paraId="3A699D63"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1.087</w:t>
            </w:r>
          </w:p>
        </w:tc>
        <w:tc>
          <w:tcPr>
            <w:tcW w:w="1644" w:type="dxa"/>
            <w:tcBorders>
              <w:top w:val="nil"/>
              <w:left w:val="nil"/>
              <w:right w:val="nil"/>
            </w:tcBorders>
            <w:shd w:val="clear" w:color="auto" w:fill="auto"/>
            <w:tcMar>
              <w:top w:w="15" w:type="dxa"/>
              <w:left w:w="108" w:type="dxa"/>
              <w:bottom w:w="0" w:type="dxa"/>
              <w:right w:w="108" w:type="dxa"/>
            </w:tcMar>
            <w:vAlign w:val="center"/>
            <w:hideMark/>
          </w:tcPr>
          <w:p w14:paraId="00C7BF54" w14:textId="1009CC0F"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22.5</w:t>
            </w:r>
            <w:r w:rsidR="00196201">
              <w:rPr>
                <w:rFonts w:ascii="Times New Roman" w:eastAsia="等线" w:hAnsi="Times New Roman"/>
                <w:szCs w:val="21"/>
                <w:lang w:eastAsia="zh-CN"/>
              </w:rPr>
              <w:t>4</w:t>
            </w:r>
          </w:p>
        </w:tc>
        <w:tc>
          <w:tcPr>
            <w:tcW w:w="1644" w:type="dxa"/>
            <w:tcBorders>
              <w:top w:val="nil"/>
              <w:left w:val="nil"/>
              <w:right w:val="nil"/>
            </w:tcBorders>
            <w:shd w:val="clear" w:color="auto" w:fill="auto"/>
            <w:tcMar>
              <w:top w:w="15" w:type="dxa"/>
              <w:left w:w="108" w:type="dxa"/>
              <w:bottom w:w="0" w:type="dxa"/>
              <w:right w:w="108" w:type="dxa"/>
            </w:tcMar>
            <w:vAlign w:val="center"/>
            <w:hideMark/>
          </w:tcPr>
          <w:p w14:paraId="0A039D43" w14:textId="7495E9AA"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7</w:t>
            </w:r>
            <w:r w:rsidR="00196201">
              <w:rPr>
                <w:rFonts w:ascii="Times New Roman" w:eastAsia="等线" w:hAnsi="Times New Roman"/>
                <w:szCs w:val="21"/>
                <w:lang w:eastAsia="zh-CN"/>
              </w:rPr>
              <w:t>4.9</w:t>
            </w:r>
          </w:p>
        </w:tc>
      </w:tr>
      <w:tr w:rsidR="00DA38A0" w:rsidRPr="00DA38A0" w14:paraId="5BFE10B1" w14:textId="77777777" w:rsidTr="00E86FDA">
        <w:trPr>
          <w:trHeight w:val="567"/>
        </w:trPr>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7B2E14C3" w14:textId="0998595A" w:rsidR="00DA38A0" w:rsidRPr="00DA38A0" w:rsidRDefault="00E86FDA"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4</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31DF7E2B" w14:textId="393F2483" w:rsidR="00DA38A0" w:rsidRPr="00DA38A0" w:rsidRDefault="00196201" w:rsidP="00DA38A0">
            <w:pPr>
              <w:spacing w:line="400" w:lineRule="exact"/>
              <w:jc w:val="center"/>
              <w:rPr>
                <w:rFonts w:ascii="Arial" w:eastAsia="等线" w:hAnsi="Arial" w:cs="Arial"/>
                <w:kern w:val="0"/>
                <w:szCs w:val="21"/>
                <w:lang w:eastAsia="zh-CN"/>
              </w:rPr>
            </w:pPr>
            <w:r>
              <w:rPr>
                <w:rFonts w:ascii="Times New Roman" w:eastAsia="等线" w:hAnsi="Times New Roman"/>
                <w:szCs w:val="21"/>
                <w:lang w:eastAsia="zh-CN"/>
              </w:rPr>
              <w:t>18.71</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65F7FEE0" w14:textId="77777777"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1.087</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75F9CD9C" w14:textId="34562081"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22.5</w:t>
            </w:r>
            <w:r w:rsidR="00196201">
              <w:rPr>
                <w:rFonts w:ascii="Times New Roman" w:eastAsia="等线" w:hAnsi="Times New Roman"/>
                <w:szCs w:val="21"/>
                <w:lang w:eastAsia="zh-CN"/>
              </w:rPr>
              <w:t>3</w:t>
            </w:r>
          </w:p>
        </w:tc>
        <w:tc>
          <w:tcPr>
            <w:tcW w:w="1644" w:type="dxa"/>
            <w:tcBorders>
              <w:top w:val="nil"/>
              <w:left w:val="nil"/>
              <w:bottom w:val="nil"/>
              <w:right w:val="nil"/>
            </w:tcBorders>
            <w:shd w:val="clear" w:color="auto" w:fill="auto"/>
            <w:tcMar>
              <w:top w:w="15" w:type="dxa"/>
              <w:left w:w="108" w:type="dxa"/>
              <w:bottom w:w="0" w:type="dxa"/>
              <w:right w:w="108" w:type="dxa"/>
            </w:tcMar>
            <w:vAlign w:val="center"/>
            <w:hideMark/>
          </w:tcPr>
          <w:p w14:paraId="0B51CBA4" w14:textId="04D6905B" w:rsidR="00DA38A0" w:rsidRPr="00DA38A0" w:rsidRDefault="00DA38A0" w:rsidP="00DA38A0">
            <w:pPr>
              <w:spacing w:line="400" w:lineRule="exact"/>
              <w:jc w:val="center"/>
              <w:rPr>
                <w:rFonts w:ascii="Arial" w:eastAsia="等线" w:hAnsi="Arial" w:cs="Arial"/>
                <w:kern w:val="0"/>
                <w:szCs w:val="21"/>
                <w:lang w:eastAsia="zh-CN"/>
              </w:rPr>
            </w:pPr>
            <w:r w:rsidRPr="00DA38A0">
              <w:rPr>
                <w:rFonts w:ascii="Times New Roman" w:eastAsia="等线" w:hAnsi="Times New Roman"/>
                <w:szCs w:val="21"/>
                <w:lang w:eastAsia="zh-CN"/>
              </w:rPr>
              <w:t>7</w:t>
            </w:r>
            <w:r w:rsidR="00196201">
              <w:rPr>
                <w:rFonts w:ascii="Times New Roman" w:eastAsia="等线" w:hAnsi="Times New Roman"/>
                <w:szCs w:val="21"/>
                <w:lang w:eastAsia="zh-CN"/>
              </w:rPr>
              <w:t>3.2</w:t>
            </w:r>
          </w:p>
        </w:tc>
      </w:tr>
      <w:tr w:rsidR="00E86FDA" w:rsidRPr="00DA38A0" w14:paraId="12F341EF" w14:textId="77777777" w:rsidTr="001B2A8C">
        <w:trPr>
          <w:trHeight w:val="567"/>
        </w:trPr>
        <w:tc>
          <w:tcPr>
            <w:tcW w:w="1644" w:type="dxa"/>
            <w:tcBorders>
              <w:top w:val="nil"/>
              <w:left w:val="nil"/>
              <w:bottom w:val="single" w:sz="12" w:space="0" w:color="auto"/>
              <w:right w:val="nil"/>
            </w:tcBorders>
            <w:shd w:val="clear" w:color="auto" w:fill="auto"/>
            <w:tcMar>
              <w:top w:w="15" w:type="dxa"/>
              <w:left w:w="108" w:type="dxa"/>
              <w:bottom w:w="0" w:type="dxa"/>
              <w:right w:w="108" w:type="dxa"/>
            </w:tcMar>
            <w:vAlign w:val="center"/>
          </w:tcPr>
          <w:p w14:paraId="76FA99E5" w14:textId="19352101" w:rsidR="00E86FDA" w:rsidRDefault="00E86FDA" w:rsidP="00DA38A0">
            <w:pPr>
              <w:spacing w:line="400" w:lineRule="exact"/>
              <w:jc w:val="center"/>
              <w:rPr>
                <w:rFonts w:ascii="Times New Roman" w:eastAsia="等线" w:hAnsi="Times New Roman"/>
                <w:szCs w:val="21"/>
                <w:lang w:eastAsia="zh-CN"/>
              </w:rPr>
            </w:pPr>
            <w:r>
              <w:rPr>
                <w:rFonts w:ascii="Times New Roman" w:eastAsia="等线" w:hAnsi="Times New Roman" w:hint="eastAsia"/>
                <w:szCs w:val="21"/>
                <w:lang w:eastAsia="zh-CN"/>
              </w:rPr>
              <w:t>5</w:t>
            </w:r>
          </w:p>
        </w:tc>
        <w:tc>
          <w:tcPr>
            <w:tcW w:w="1644" w:type="dxa"/>
            <w:tcBorders>
              <w:top w:val="nil"/>
              <w:left w:val="nil"/>
              <w:bottom w:val="single" w:sz="12" w:space="0" w:color="auto"/>
              <w:right w:val="nil"/>
            </w:tcBorders>
            <w:shd w:val="clear" w:color="auto" w:fill="auto"/>
            <w:tcMar>
              <w:top w:w="15" w:type="dxa"/>
              <w:left w:w="108" w:type="dxa"/>
              <w:bottom w:w="0" w:type="dxa"/>
              <w:right w:w="108" w:type="dxa"/>
            </w:tcMar>
            <w:vAlign w:val="center"/>
          </w:tcPr>
          <w:p w14:paraId="06EEE580" w14:textId="6BA1D04A" w:rsidR="00E86FDA" w:rsidRPr="00DA38A0" w:rsidRDefault="00196201" w:rsidP="00DA38A0">
            <w:pPr>
              <w:spacing w:line="400" w:lineRule="exact"/>
              <w:jc w:val="center"/>
              <w:rPr>
                <w:rFonts w:ascii="Times New Roman" w:eastAsia="等线" w:hAnsi="Times New Roman"/>
                <w:szCs w:val="21"/>
                <w:lang w:eastAsia="zh-CN"/>
              </w:rPr>
            </w:pPr>
            <w:r>
              <w:rPr>
                <w:rFonts w:ascii="Times New Roman" w:eastAsia="等线" w:hAnsi="Times New Roman" w:hint="eastAsia"/>
                <w:szCs w:val="21"/>
                <w:lang w:eastAsia="zh-CN"/>
              </w:rPr>
              <w:t>1</w:t>
            </w:r>
            <w:r>
              <w:rPr>
                <w:rFonts w:ascii="Times New Roman" w:eastAsia="等线" w:hAnsi="Times New Roman"/>
                <w:szCs w:val="21"/>
                <w:lang w:eastAsia="zh-CN"/>
              </w:rPr>
              <w:t>8.26</w:t>
            </w:r>
          </w:p>
        </w:tc>
        <w:tc>
          <w:tcPr>
            <w:tcW w:w="1644" w:type="dxa"/>
            <w:tcBorders>
              <w:top w:val="nil"/>
              <w:left w:val="nil"/>
              <w:bottom w:val="single" w:sz="12" w:space="0" w:color="auto"/>
              <w:right w:val="nil"/>
            </w:tcBorders>
            <w:shd w:val="clear" w:color="auto" w:fill="auto"/>
            <w:tcMar>
              <w:top w:w="15" w:type="dxa"/>
              <w:left w:w="108" w:type="dxa"/>
              <w:bottom w:w="0" w:type="dxa"/>
              <w:right w:w="108" w:type="dxa"/>
            </w:tcMar>
            <w:vAlign w:val="center"/>
          </w:tcPr>
          <w:p w14:paraId="15E703FE" w14:textId="6211B82B" w:rsidR="00E86FDA" w:rsidRPr="00DA38A0" w:rsidRDefault="00196201" w:rsidP="00DA38A0">
            <w:pPr>
              <w:spacing w:line="400" w:lineRule="exact"/>
              <w:jc w:val="center"/>
              <w:rPr>
                <w:rFonts w:ascii="Times New Roman" w:eastAsia="等线" w:hAnsi="Times New Roman"/>
                <w:szCs w:val="21"/>
                <w:lang w:eastAsia="zh-CN"/>
              </w:rPr>
            </w:pPr>
            <w:r>
              <w:rPr>
                <w:rFonts w:ascii="Times New Roman" w:eastAsia="等线" w:hAnsi="Times New Roman" w:hint="eastAsia"/>
                <w:szCs w:val="21"/>
                <w:lang w:eastAsia="zh-CN"/>
              </w:rPr>
              <w:t>1</w:t>
            </w:r>
            <w:r>
              <w:rPr>
                <w:rFonts w:ascii="Times New Roman" w:eastAsia="等线" w:hAnsi="Times New Roman"/>
                <w:szCs w:val="21"/>
                <w:lang w:eastAsia="zh-CN"/>
              </w:rPr>
              <w:t>.087</w:t>
            </w:r>
          </w:p>
        </w:tc>
        <w:tc>
          <w:tcPr>
            <w:tcW w:w="1644" w:type="dxa"/>
            <w:tcBorders>
              <w:top w:val="nil"/>
              <w:left w:val="nil"/>
              <w:bottom w:val="single" w:sz="12" w:space="0" w:color="auto"/>
              <w:right w:val="nil"/>
            </w:tcBorders>
            <w:shd w:val="clear" w:color="auto" w:fill="auto"/>
            <w:tcMar>
              <w:top w:w="15" w:type="dxa"/>
              <w:left w:w="108" w:type="dxa"/>
              <w:bottom w:w="0" w:type="dxa"/>
              <w:right w:w="108" w:type="dxa"/>
            </w:tcMar>
            <w:vAlign w:val="center"/>
          </w:tcPr>
          <w:p w14:paraId="5A90EC5B" w14:textId="45242B71" w:rsidR="00E86FDA" w:rsidRPr="00DA38A0" w:rsidRDefault="00196201" w:rsidP="00DA38A0">
            <w:pPr>
              <w:spacing w:line="400" w:lineRule="exact"/>
              <w:jc w:val="center"/>
              <w:rPr>
                <w:rFonts w:ascii="Times New Roman" w:eastAsia="等线" w:hAnsi="Times New Roman"/>
                <w:szCs w:val="21"/>
                <w:lang w:eastAsia="zh-CN"/>
              </w:rPr>
            </w:pPr>
            <w:r>
              <w:rPr>
                <w:rFonts w:ascii="Times New Roman" w:eastAsia="等线" w:hAnsi="Times New Roman" w:hint="eastAsia"/>
                <w:szCs w:val="21"/>
                <w:lang w:eastAsia="zh-CN"/>
              </w:rPr>
              <w:t>2</w:t>
            </w:r>
            <w:r>
              <w:rPr>
                <w:rFonts w:ascii="Times New Roman" w:eastAsia="等线" w:hAnsi="Times New Roman"/>
                <w:szCs w:val="21"/>
                <w:lang w:eastAsia="zh-CN"/>
              </w:rPr>
              <w:t>2.52</w:t>
            </w:r>
          </w:p>
        </w:tc>
        <w:tc>
          <w:tcPr>
            <w:tcW w:w="1644" w:type="dxa"/>
            <w:tcBorders>
              <w:top w:val="nil"/>
              <w:left w:val="nil"/>
              <w:bottom w:val="single" w:sz="12" w:space="0" w:color="auto"/>
              <w:right w:val="nil"/>
            </w:tcBorders>
            <w:shd w:val="clear" w:color="auto" w:fill="auto"/>
            <w:tcMar>
              <w:top w:w="15" w:type="dxa"/>
              <w:left w:w="108" w:type="dxa"/>
              <w:bottom w:w="0" w:type="dxa"/>
              <w:right w:w="108" w:type="dxa"/>
            </w:tcMar>
            <w:vAlign w:val="center"/>
          </w:tcPr>
          <w:p w14:paraId="04C84B09" w14:textId="32D5BA93" w:rsidR="00E86FDA" w:rsidRPr="00DA38A0" w:rsidRDefault="00196201" w:rsidP="00DA38A0">
            <w:pPr>
              <w:spacing w:line="400" w:lineRule="exact"/>
              <w:jc w:val="center"/>
              <w:rPr>
                <w:rFonts w:ascii="Times New Roman" w:eastAsia="等线" w:hAnsi="Times New Roman"/>
                <w:szCs w:val="21"/>
                <w:lang w:eastAsia="zh-CN"/>
              </w:rPr>
            </w:pPr>
            <w:r>
              <w:rPr>
                <w:rFonts w:ascii="Times New Roman" w:eastAsia="等线" w:hAnsi="Times New Roman" w:hint="eastAsia"/>
                <w:szCs w:val="21"/>
                <w:lang w:eastAsia="zh-CN"/>
              </w:rPr>
              <w:t>7</w:t>
            </w:r>
            <w:r>
              <w:rPr>
                <w:rFonts w:ascii="Times New Roman" w:eastAsia="等线" w:hAnsi="Times New Roman"/>
                <w:szCs w:val="21"/>
                <w:lang w:eastAsia="zh-CN"/>
              </w:rPr>
              <w:t>1.4</w:t>
            </w:r>
          </w:p>
        </w:tc>
      </w:tr>
    </w:tbl>
    <w:p w14:paraId="4280520A" w14:textId="026564C0" w:rsidR="00D536BC" w:rsidRDefault="00D536BC" w:rsidP="00D536BC">
      <w:pPr>
        <w:spacing w:line="360" w:lineRule="auto"/>
        <w:jc w:val="center"/>
      </w:pPr>
    </w:p>
    <w:p w14:paraId="4B9290D4" w14:textId="53853B14" w:rsidR="00F92699" w:rsidRDefault="00F92699">
      <w:pPr>
        <w:widowControl/>
        <w:jc w:val="left"/>
      </w:pPr>
      <w:r>
        <w:br w:type="page"/>
      </w:r>
    </w:p>
    <w:p w14:paraId="39385B70" w14:textId="434316F1" w:rsidR="00D536BC" w:rsidRPr="00686681" w:rsidRDefault="00F92699" w:rsidP="00D536BC">
      <w:pPr>
        <w:spacing w:line="360" w:lineRule="auto"/>
        <w:rPr>
          <w:rFonts w:ascii="Arial" w:hAnsi="Arial" w:cs="Arial"/>
          <w:sz w:val="22"/>
          <w:szCs w:val="22"/>
        </w:rPr>
      </w:pPr>
      <w:r>
        <w:rPr>
          <w:noProof/>
        </w:rPr>
        <w:lastRenderedPageBreak/>
        <w:drawing>
          <wp:inline distT="0" distB="0" distL="0" distR="0" wp14:anchorId="7FD3F7EF" wp14:editId="01DB8A9B">
            <wp:extent cx="5012232" cy="1943100"/>
            <wp:effectExtent l="0" t="0" r="0" b="0"/>
            <wp:docPr id="5" name="图片 5" descr="图表, 瀑布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 瀑布图&#10;&#10;描述已自动生成"/>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27889" cy="1949170"/>
                    </a:xfrm>
                    <a:prstGeom prst="rect">
                      <a:avLst/>
                    </a:prstGeom>
                  </pic:spPr>
                </pic:pic>
              </a:graphicData>
            </a:graphic>
          </wp:inline>
        </w:drawing>
      </w:r>
    </w:p>
    <w:p w14:paraId="50CAFF7D" w14:textId="77777777" w:rsidR="00D536BC" w:rsidRDefault="00D536BC" w:rsidP="00D536BC">
      <w:pPr>
        <w:spacing w:line="360" w:lineRule="auto"/>
        <w:rPr>
          <w:rFonts w:ascii="Times New Roman" w:hAnsi="Times New Roman"/>
          <w:sz w:val="24"/>
        </w:rPr>
      </w:pPr>
      <w:r w:rsidRPr="00A24114">
        <w:rPr>
          <w:rFonts w:ascii="Times New Roman" w:hAnsi="Times New Roman"/>
          <w:sz w:val="24"/>
        </w:rPr>
        <w:t>Fig.1</w:t>
      </w:r>
      <w:r w:rsidR="00B20B66">
        <w:rPr>
          <w:rFonts w:ascii="Times New Roman" w:hAnsi="Times New Roman"/>
          <w:sz w:val="24"/>
        </w:rPr>
        <w:t>.</w:t>
      </w:r>
    </w:p>
    <w:p w14:paraId="64EA239D" w14:textId="056519FA" w:rsidR="00D536BC" w:rsidRDefault="00CE7D67" w:rsidP="00CE7D67">
      <w:pPr>
        <w:widowControl/>
        <w:jc w:val="left"/>
        <w:rPr>
          <w:rFonts w:ascii="Times New Roman" w:hAnsi="Times New Roman"/>
          <w:sz w:val="24"/>
        </w:rPr>
      </w:pPr>
      <w:r>
        <w:rPr>
          <w:rFonts w:ascii="Times New Roman" w:hAnsi="Times New Roman"/>
          <w:sz w:val="24"/>
        </w:rPr>
        <w:br w:type="page"/>
      </w:r>
    </w:p>
    <w:p w14:paraId="6FCCCE39" w14:textId="619C3086" w:rsidR="00D536BC" w:rsidRDefault="008F2303" w:rsidP="00CE7D67">
      <w:pPr>
        <w:spacing w:line="360" w:lineRule="auto"/>
        <w:jc w:val="center"/>
        <w:rPr>
          <w:rFonts w:ascii="Times New Roman" w:hAnsi="Times New Roman"/>
          <w:sz w:val="24"/>
        </w:rPr>
      </w:pPr>
      <w:r>
        <w:rPr>
          <w:rFonts w:ascii="Times New Roman" w:hAnsi="Times New Roman"/>
          <w:noProof/>
          <w:sz w:val="24"/>
        </w:rPr>
        <w:lastRenderedPageBreak/>
        <w:drawing>
          <wp:inline distT="0" distB="0" distL="0" distR="0" wp14:anchorId="7E6C7681" wp14:editId="3943FA33">
            <wp:extent cx="5638800" cy="2468700"/>
            <wp:effectExtent l="0" t="0" r="0" b="8255"/>
            <wp:docPr id="4" name="图片 4"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表, 折线图&#10;&#10;描述已自动生成"/>
                    <pic:cNvPicPr/>
                  </pic:nvPicPr>
                  <pic:blipFill>
                    <a:blip r:embed="rId12"/>
                    <a:stretch>
                      <a:fillRect/>
                    </a:stretch>
                  </pic:blipFill>
                  <pic:spPr>
                    <a:xfrm>
                      <a:off x="0" y="0"/>
                      <a:ext cx="5645896" cy="2471807"/>
                    </a:xfrm>
                    <a:prstGeom prst="rect">
                      <a:avLst/>
                    </a:prstGeom>
                  </pic:spPr>
                </pic:pic>
              </a:graphicData>
            </a:graphic>
          </wp:inline>
        </w:drawing>
      </w:r>
    </w:p>
    <w:p w14:paraId="6106DF5A" w14:textId="1FD6D4A9" w:rsidR="00CE7D67" w:rsidRDefault="00D536BC" w:rsidP="00D536BC">
      <w:pPr>
        <w:spacing w:line="360" w:lineRule="auto"/>
        <w:rPr>
          <w:rFonts w:ascii="Times New Roman" w:hAnsi="Times New Roman"/>
          <w:sz w:val="24"/>
        </w:rPr>
      </w:pPr>
      <w:r>
        <w:rPr>
          <w:rFonts w:ascii="Times New Roman" w:hAnsi="Times New Roman" w:hint="eastAsia"/>
          <w:sz w:val="24"/>
        </w:rPr>
        <w:t>Fig</w:t>
      </w:r>
      <w:r>
        <w:rPr>
          <w:rFonts w:ascii="Times New Roman" w:hAnsi="Times New Roman"/>
          <w:sz w:val="24"/>
        </w:rPr>
        <w:t>.</w:t>
      </w:r>
      <w:r>
        <w:rPr>
          <w:rFonts w:ascii="Times New Roman" w:hAnsi="Times New Roman" w:hint="eastAsia"/>
          <w:sz w:val="24"/>
        </w:rPr>
        <w:t xml:space="preserve"> 2</w:t>
      </w:r>
      <w:r w:rsidR="00B20B66">
        <w:rPr>
          <w:rFonts w:ascii="Times New Roman" w:hAnsi="Times New Roman"/>
          <w:sz w:val="24"/>
        </w:rPr>
        <w:t>.</w:t>
      </w:r>
    </w:p>
    <w:p w14:paraId="74A840AF" w14:textId="75C678A6" w:rsidR="00CE7D67" w:rsidRDefault="00CE7D67" w:rsidP="00CE7D67">
      <w:pPr>
        <w:widowControl/>
        <w:jc w:val="left"/>
        <w:rPr>
          <w:rFonts w:ascii="Times New Roman" w:hAnsi="Times New Roman"/>
          <w:sz w:val="24"/>
        </w:rPr>
      </w:pPr>
      <w:r>
        <w:rPr>
          <w:rFonts w:ascii="Times New Roman" w:hAnsi="Times New Roman"/>
          <w:sz w:val="24"/>
        </w:rPr>
        <w:br w:type="page"/>
      </w:r>
    </w:p>
    <w:p w14:paraId="7F92A206" w14:textId="6FD065FF" w:rsidR="00CE7D67" w:rsidRDefault="00231A7E" w:rsidP="00231A7E">
      <w:pPr>
        <w:spacing w:line="360" w:lineRule="auto"/>
        <w:rPr>
          <w:rFonts w:ascii="Times New Roman" w:hAnsi="Times New Roman"/>
          <w:sz w:val="24"/>
        </w:rPr>
      </w:pPr>
      <w:r>
        <w:rPr>
          <w:rFonts w:ascii="Times New Roman" w:hAnsi="Times New Roman"/>
          <w:noProof/>
          <w:sz w:val="24"/>
        </w:rPr>
        <w:lastRenderedPageBreak/>
        <w:drawing>
          <wp:inline distT="0" distB="0" distL="0" distR="0" wp14:anchorId="45448EA6" wp14:editId="28E5CD2B">
            <wp:extent cx="6004192" cy="252412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13"/>
                    <a:stretch>
                      <a:fillRect/>
                    </a:stretch>
                  </pic:blipFill>
                  <pic:spPr>
                    <a:xfrm>
                      <a:off x="0" y="0"/>
                      <a:ext cx="6012107" cy="2527453"/>
                    </a:xfrm>
                    <a:prstGeom prst="rect">
                      <a:avLst/>
                    </a:prstGeom>
                  </pic:spPr>
                </pic:pic>
              </a:graphicData>
            </a:graphic>
          </wp:inline>
        </w:drawing>
      </w:r>
    </w:p>
    <w:p w14:paraId="5280BCED" w14:textId="1B9A2187" w:rsidR="00CE7D67" w:rsidRPr="00E25027" w:rsidRDefault="00CE7D67" w:rsidP="00CE7D67">
      <w:pPr>
        <w:spacing w:line="360" w:lineRule="auto"/>
        <w:rPr>
          <w:rFonts w:ascii="Times New Roman" w:hAnsi="Times New Roman"/>
          <w:sz w:val="24"/>
        </w:rPr>
      </w:pPr>
      <w:r w:rsidRPr="00E25027">
        <w:rPr>
          <w:rFonts w:ascii="Times New Roman" w:hAnsi="Times New Roman" w:hint="eastAsia"/>
          <w:sz w:val="24"/>
        </w:rPr>
        <w:t>Fig</w:t>
      </w:r>
      <w:r w:rsidRPr="00E25027">
        <w:rPr>
          <w:rFonts w:ascii="Times New Roman" w:hAnsi="Times New Roman"/>
          <w:sz w:val="24"/>
        </w:rPr>
        <w:t>.</w:t>
      </w:r>
      <w:r w:rsidRPr="00E25027">
        <w:rPr>
          <w:rFonts w:ascii="Times New Roman" w:hAnsi="Times New Roman" w:hint="eastAsia"/>
          <w:sz w:val="24"/>
        </w:rPr>
        <w:t xml:space="preserve"> </w:t>
      </w:r>
      <w:r w:rsidRPr="00E25027">
        <w:rPr>
          <w:rFonts w:ascii="Times New Roman" w:hAnsi="Times New Roman"/>
          <w:sz w:val="24"/>
        </w:rPr>
        <w:t>3.</w:t>
      </w:r>
    </w:p>
    <w:p w14:paraId="54C3A3DA" w14:textId="7071B5AA" w:rsidR="00CE7D67" w:rsidRDefault="00CE7D67" w:rsidP="00CE7D67">
      <w:pPr>
        <w:widowControl/>
        <w:jc w:val="left"/>
        <w:rPr>
          <w:rFonts w:ascii="Times New Roman" w:hAnsi="Times New Roman"/>
          <w:sz w:val="24"/>
        </w:rPr>
      </w:pPr>
      <w:r>
        <w:rPr>
          <w:rFonts w:ascii="Times New Roman" w:hAnsi="Times New Roman"/>
          <w:sz w:val="24"/>
        </w:rPr>
        <w:br w:type="page"/>
      </w:r>
    </w:p>
    <w:p w14:paraId="213F315D" w14:textId="278F6D6F" w:rsidR="00CE7D67" w:rsidRDefault="00CE7D67" w:rsidP="00CE7D67">
      <w:pPr>
        <w:spacing w:line="360" w:lineRule="auto"/>
        <w:jc w:val="center"/>
        <w:rPr>
          <w:rFonts w:ascii="Times New Roman" w:hAnsi="Times New Roman"/>
          <w:sz w:val="24"/>
        </w:rPr>
      </w:pPr>
      <w:r>
        <w:rPr>
          <w:noProof/>
          <w:szCs w:val="20"/>
        </w:rPr>
        <w:lastRenderedPageBreak/>
        <w:drawing>
          <wp:inline distT="0" distB="0" distL="0" distR="0" wp14:anchorId="4465F47F" wp14:editId="01AA6847">
            <wp:extent cx="5574772" cy="4465320"/>
            <wp:effectExtent l="0" t="0" r="6985" b="0"/>
            <wp:docPr id="3" name="图片 3" descr="图形用户界面, 图示, 工程绘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形用户界面, 图示, 工程绘图&#10;&#10;描述已自动生成"/>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610124" cy="4493636"/>
                    </a:xfrm>
                    <a:prstGeom prst="rect">
                      <a:avLst/>
                    </a:prstGeom>
                  </pic:spPr>
                </pic:pic>
              </a:graphicData>
            </a:graphic>
          </wp:inline>
        </w:drawing>
      </w:r>
    </w:p>
    <w:p w14:paraId="2FDCC091" w14:textId="04D68039" w:rsidR="00CE7D67" w:rsidRDefault="00CE7D67" w:rsidP="00CE7D67">
      <w:pPr>
        <w:spacing w:line="360" w:lineRule="auto"/>
        <w:rPr>
          <w:rFonts w:ascii="Times New Roman" w:hAnsi="Times New Roman"/>
          <w:sz w:val="24"/>
        </w:rPr>
      </w:pPr>
      <w:r>
        <w:rPr>
          <w:rFonts w:ascii="Times New Roman" w:hAnsi="Times New Roman" w:hint="eastAsia"/>
          <w:sz w:val="24"/>
        </w:rPr>
        <w:t>Fig</w:t>
      </w:r>
      <w:r>
        <w:rPr>
          <w:rFonts w:ascii="Times New Roman" w:hAnsi="Times New Roman"/>
          <w:sz w:val="24"/>
        </w:rPr>
        <w:t>.</w:t>
      </w:r>
      <w:r>
        <w:rPr>
          <w:rFonts w:ascii="Times New Roman" w:hAnsi="Times New Roman" w:hint="eastAsia"/>
          <w:sz w:val="24"/>
        </w:rPr>
        <w:t xml:space="preserve"> </w:t>
      </w:r>
      <w:r>
        <w:rPr>
          <w:rFonts w:ascii="Times New Roman" w:hAnsi="Times New Roman"/>
          <w:sz w:val="24"/>
        </w:rPr>
        <w:t>4.</w:t>
      </w:r>
    </w:p>
    <w:p w14:paraId="32D6D541" w14:textId="4D33B792" w:rsidR="00CE7D67" w:rsidRDefault="00CE7D67" w:rsidP="00CE7D67">
      <w:pPr>
        <w:widowControl/>
        <w:jc w:val="left"/>
        <w:rPr>
          <w:rFonts w:ascii="Times New Roman" w:hAnsi="Times New Roman"/>
          <w:sz w:val="24"/>
        </w:rPr>
      </w:pPr>
      <w:r>
        <w:rPr>
          <w:rFonts w:ascii="Times New Roman" w:hAnsi="Times New Roman"/>
          <w:sz w:val="24"/>
        </w:rPr>
        <w:br w:type="page"/>
      </w:r>
    </w:p>
    <w:p w14:paraId="78FED46A" w14:textId="290F9D2E" w:rsidR="00CE7D67" w:rsidRDefault="00CE7D67" w:rsidP="00CE7D67">
      <w:pPr>
        <w:spacing w:line="360" w:lineRule="auto"/>
        <w:jc w:val="center"/>
        <w:rPr>
          <w:rFonts w:ascii="Times New Roman" w:hAnsi="Times New Roman"/>
          <w:sz w:val="24"/>
        </w:rPr>
      </w:pPr>
      <w:r>
        <w:rPr>
          <w:noProof/>
        </w:rPr>
        <w:lastRenderedPageBreak/>
        <w:drawing>
          <wp:inline distT="0" distB="0" distL="0" distR="0" wp14:anchorId="570DA7EE" wp14:editId="2769E760">
            <wp:extent cx="5036265" cy="3855720"/>
            <wp:effectExtent l="0" t="0" r="0" b="0"/>
            <wp:docPr id="7" name="图片 7"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表, 折线图&#10;&#10;描述已自动生成"/>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56746" cy="3871400"/>
                    </a:xfrm>
                    <a:prstGeom prst="rect">
                      <a:avLst/>
                    </a:prstGeom>
                  </pic:spPr>
                </pic:pic>
              </a:graphicData>
            </a:graphic>
          </wp:inline>
        </w:drawing>
      </w:r>
    </w:p>
    <w:p w14:paraId="64AD154A" w14:textId="0101EE7B" w:rsidR="00CE7D67" w:rsidRDefault="00CE7D67" w:rsidP="00CE7D67">
      <w:pPr>
        <w:spacing w:line="360" w:lineRule="auto"/>
        <w:rPr>
          <w:rFonts w:ascii="Times New Roman" w:hAnsi="Times New Roman"/>
          <w:sz w:val="24"/>
        </w:rPr>
      </w:pPr>
      <w:r>
        <w:rPr>
          <w:rFonts w:ascii="Times New Roman" w:hAnsi="Times New Roman" w:hint="eastAsia"/>
          <w:sz w:val="24"/>
        </w:rPr>
        <w:t>Fig</w:t>
      </w:r>
      <w:r>
        <w:rPr>
          <w:rFonts w:ascii="Times New Roman" w:hAnsi="Times New Roman"/>
          <w:sz w:val="24"/>
        </w:rPr>
        <w:t>.</w:t>
      </w:r>
      <w:r>
        <w:rPr>
          <w:rFonts w:ascii="Times New Roman" w:hAnsi="Times New Roman" w:hint="eastAsia"/>
          <w:sz w:val="24"/>
        </w:rPr>
        <w:t xml:space="preserve"> </w:t>
      </w:r>
      <w:r w:rsidR="00231A7E">
        <w:rPr>
          <w:rFonts w:ascii="Times New Roman" w:hAnsi="Times New Roman"/>
          <w:sz w:val="24"/>
        </w:rPr>
        <w:t>5</w:t>
      </w:r>
      <w:r>
        <w:rPr>
          <w:rFonts w:ascii="Times New Roman" w:hAnsi="Times New Roman"/>
          <w:sz w:val="24"/>
        </w:rPr>
        <w:t>.</w:t>
      </w:r>
    </w:p>
    <w:p w14:paraId="773F44D3" w14:textId="514051F4" w:rsidR="00CE7D67" w:rsidRDefault="00CE7D67" w:rsidP="00CE7D67">
      <w:pPr>
        <w:widowControl/>
        <w:jc w:val="left"/>
        <w:rPr>
          <w:rFonts w:ascii="Times New Roman" w:hAnsi="Times New Roman"/>
          <w:sz w:val="24"/>
        </w:rPr>
      </w:pPr>
      <w:r>
        <w:rPr>
          <w:rFonts w:ascii="Times New Roman" w:hAnsi="Times New Roman"/>
          <w:sz w:val="24"/>
        </w:rPr>
        <w:br w:type="page"/>
      </w:r>
    </w:p>
    <w:p w14:paraId="3F55BF30" w14:textId="3C131E0C" w:rsidR="00CE7D67" w:rsidRDefault="00CE7D67" w:rsidP="00CE7D67">
      <w:pPr>
        <w:spacing w:line="360" w:lineRule="auto"/>
        <w:jc w:val="center"/>
        <w:rPr>
          <w:rFonts w:ascii="Times New Roman" w:hAnsi="Times New Roman"/>
          <w:sz w:val="24"/>
        </w:rPr>
      </w:pPr>
      <w:r>
        <w:rPr>
          <w:noProof/>
        </w:rPr>
        <w:lastRenderedPageBreak/>
        <w:drawing>
          <wp:inline distT="0" distB="0" distL="0" distR="0" wp14:anchorId="44749856" wp14:editId="182F0A22">
            <wp:extent cx="5997058" cy="2407920"/>
            <wp:effectExtent l="0" t="0" r="3810" b="0"/>
            <wp:docPr id="12" name="图片 12" descr="图表,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图表, 散点图&#10;&#10;描述已自动生成"/>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059242" cy="2432888"/>
                    </a:xfrm>
                    <a:prstGeom prst="rect">
                      <a:avLst/>
                    </a:prstGeom>
                  </pic:spPr>
                </pic:pic>
              </a:graphicData>
            </a:graphic>
          </wp:inline>
        </w:drawing>
      </w:r>
    </w:p>
    <w:p w14:paraId="5F16AA86" w14:textId="5E9B345F" w:rsidR="00CE7D67" w:rsidRDefault="00CE7D67" w:rsidP="00CE7D67">
      <w:pPr>
        <w:spacing w:line="360" w:lineRule="auto"/>
        <w:rPr>
          <w:rFonts w:ascii="Times New Roman" w:hAnsi="Times New Roman"/>
          <w:sz w:val="24"/>
        </w:rPr>
      </w:pPr>
      <w:r>
        <w:rPr>
          <w:rFonts w:ascii="Times New Roman" w:hAnsi="Times New Roman" w:hint="eastAsia"/>
          <w:sz w:val="24"/>
        </w:rPr>
        <w:t>Fig</w:t>
      </w:r>
      <w:r>
        <w:rPr>
          <w:rFonts w:ascii="Times New Roman" w:hAnsi="Times New Roman"/>
          <w:sz w:val="24"/>
        </w:rPr>
        <w:t>.</w:t>
      </w:r>
      <w:r>
        <w:rPr>
          <w:rFonts w:ascii="Times New Roman" w:hAnsi="Times New Roman" w:hint="eastAsia"/>
          <w:sz w:val="24"/>
        </w:rPr>
        <w:t xml:space="preserve"> </w:t>
      </w:r>
      <w:r w:rsidR="00231A7E">
        <w:rPr>
          <w:rFonts w:ascii="Times New Roman" w:hAnsi="Times New Roman"/>
          <w:sz w:val="24"/>
        </w:rPr>
        <w:t>6</w:t>
      </w:r>
      <w:r>
        <w:rPr>
          <w:rFonts w:ascii="Times New Roman" w:hAnsi="Times New Roman"/>
          <w:sz w:val="24"/>
        </w:rPr>
        <w:t>.</w:t>
      </w:r>
    </w:p>
    <w:p w14:paraId="45D9245D" w14:textId="3654DDB3" w:rsidR="00CE7D67" w:rsidRDefault="00CE7D67" w:rsidP="00CE7D67">
      <w:pPr>
        <w:widowControl/>
        <w:jc w:val="left"/>
        <w:rPr>
          <w:rFonts w:ascii="Times New Roman" w:hAnsi="Times New Roman"/>
          <w:sz w:val="24"/>
        </w:rPr>
      </w:pPr>
      <w:r>
        <w:rPr>
          <w:rFonts w:ascii="Times New Roman" w:hAnsi="Times New Roman"/>
          <w:sz w:val="24"/>
        </w:rPr>
        <w:br w:type="page"/>
      </w:r>
    </w:p>
    <w:p w14:paraId="6DD6A623" w14:textId="267FCDE7" w:rsidR="00CE7D67" w:rsidRDefault="00693C77" w:rsidP="00CE7D67">
      <w:pPr>
        <w:spacing w:line="360" w:lineRule="auto"/>
        <w:jc w:val="left"/>
        <w:rPr>
          <w:rFonts w:ascii="Times New Roman" w:hAnsi="Times New Roman"/>
          <w:sz w:val="24"/>
        </w:rPr>
      </w:pPr>
      <w:r>
        <w:rPr>
          <w:rFonts w:ascii="Times New Roman" w:hAnsi="Times New Roman"/>
          <w:noProof/>
          <w:sz w:val="24"/>
        </w:rPr>
        <w:lastRenderedPageBreak/>
        <w:drawing>
          <wp:inline distT="0" distB="0" distL="0" distR="0" wp14:anchorId="7514E46C" wp14:editId="100AD9FB">
            <wp:extent cx="6059452" cy="1828800"/>
            <wp:effectExtent l="0" t="0" r="0" b="0"/>
            <wp:docPr id="9" name="图片 9"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图表, 直方图&#10;&#10;描述已自动生成"/>
                    <pic:cNvPicPr/>
                  </pic:nvPicPr>
                  <pic:blipFill>
                    <a:blip r:embed="rId17"/>
                    <a:stretch>
                      <a:fillRect/>
                    </a:stretch>
                  </pic:blipFill>
                  <pic:spPr>
                    <a:xfrm>
                      <a:off x="0" y="0"/>
                      <a:ext cx="6072030" cy="1832596"/>
                    </a:xfrm>
                    <a:prstGeom prst="rect">
                      <a:avLst/>
                    </a:prstGeom>
                  </pic:spPr>
                </pic:pic>
              </a:graphicData>
            </a:graphic>
          </wp:inline>
        </w:drawing>
      </w:r>
    </w:p>
    <w:p w14:paraId="0398AD13" w14:textId="79AC7A8B" w:rsidR="00CE7D67" w:rsidRDefault="00CE7D67" w:rsidP="00CE7D67">
      <w:pPr>
        <w:spacing w:line="360" w:lineRule="auto"/>
        <w:rPr>
          <w:rFonts w:ascii="Times New Roman" w:hAnsi="Times New Roman"/>
          <w:sz w:val="24"/>
        </w:rPr>
      </w:pPr>
      <w:r>
        <w:rPr>
          <w:rFonts w:ascii="Times New Roman" w:hAnsi="Times New Roman" w:hint="eastAsia"/>
          <w:sz w:val="24"/>
        </w:rPr>
        <w:t>Fig</w:t>
      </w:r>
      <w:r>
        <w:rPr>
          <w:rFonts w:ascii="Times New Roman" w:hAnsi="Times New Roman"/>
          <w:sz w:val="24"/>
        </w:rPr>
        <w:t>.</w:t>
      </w:r>
      <w:r>
        <w:rPr>
          <w:rFonts w:ascii="Times New Roman" w:hAnsi="Times New Roman" w:hint="eastAsia"/>
          <w:sz w:val="24"/>
        </w:rPr>
        <w:t xml:space="preserve"> </w:t>
      </w:r>
      <w:r w:rsidR="00231A7E">
        <w:rPr>
          <w:rFonts w:ascii="Times New Roman" w:hAnsi="Times New Roman"/>
          <w:sz w:val="24"/>
        </w:rPr>
        <w:t>7</w:t>
      </w:r>
      <w:r>
        <w:rPr>
          <w:rFonts w:ascii="Times New Roman" w:hAnsi="Times New Roman"/>
          <w:sz w:val="24"/>
        </w:rPr>
        <w:t>.</w:t>
      </w:r>
    </w:p>
    <w:p w14:paraId="13C45491" w14:textId="6A12B967" w:rsidR="00CE7D67" w:rsidRDefault="00CE7D67" w:rsidP="00862CEB">
      <w:pPr>
        <w:widowControl/>
        <w:jc w:val="left"/>
        <w:rPr>
          <w:rFonts w:ascii="Times New Roman" w:hAnsi="Times New Roman"/>
          <w:sz w:val="24"/>
        </w:rPr>
      </w:pPr>
      <w:r>
        <w:rPr>
          <w:rFonts w:ascii="Times New Roman" w:hAnsi="Times New Roman"/>
          <w:sz w:val="24"/>
        </w:rPr>
        <w:br w:type="page"/>
      </w:r>
    </w:p>
    <w:p w14:paraId="65A83CD0" w14:textId="0FCF68A9" w:rsidR="00CE7D67" w:rsidRDefault="002B3135" w:rsidP="00CE7D67">
      <w:pPr>
        <w:spacing w:line="360" w:lineRule="auto"/>
        <w:jc w:val="center"/>
        <w:rPr>
          <w:rFonts w:ascii="Times New Roman" w:hAnsi="Times New Roman"/>
          <w:sz w:val="24"/>
        </w:rPr>
      </w:pPr>
      <w:r>
        <w:rPr>
          <w:rFonts w:ascii="Times New Roman" w:hAnsi="Times New Roman"/>
          <w:noProof/>
          <w:sz w:val="24"/>
        </w:rPr>
        <w:lastRenderedPageBreak/>
        <w:drawing>
          <wp:inline distT="0" distB="0" distL="0" distR="0" wp14:anchorId="11B68095" wp14:editId="22EEC937">
            <wp:extent cx="6177880" cy="1836420"/>
            <wp:effectExtent l="0" t="0" r="0" b="0"/>
            <wp:docPr id="10" name="图片 10"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表, 折线图&#10;&#10;描述已自动生成"/>
                    <pic:cNvPicPr/>
                  </pic:nvPicPr>
                  <pic:blipFill>
                    <a:blip r:embed="rId18"/>
                    <a:stretch>
                      <a:fillRect/>
                    </a:stretch>
                  </pic:blipFill>
                  <pic:spPr>
                    <a:xfrm>
                      <a:off x="0" y="0"/>
                      <a:ext cx="6191657" cy="1840515"/>
                    </a:xfrm>
                    <a:prstGeom prst="rect">
                      <a:avLst/>
                    </a:prstGeom>
                  </pic:spPr>
                </pic:pic>
              </a:graphicData>
            </a:graphic>
          </wp:inline>
        </w:drawing>
      </w:r>
    </w:p>
    <w:p w14:paraId="133475F1" w14:textId="5340D69C" w:rsidR="00CE7D67" w:rsidRDefault="00CE7D67" w:rsidP="00CE7D67">
      <w:pPr>
        <w:spacing w:line="360" w:lineRule="auto"/>
        <w:rPr>
          <w:rFonts w:ascii="Times New Roman" w:hAnsi="Times New Roman"/>
          <w:sz w:val="24"/>
        </w:rPr>
      </w:pPr>
      <w:r>
        <w:rPr>
          <w:rFonts w:ascii="Times New Roman" w:hAnsi="Times New Roman" w:hint="eastAsia"/>
          <w:sz w:val="24"/>
        </w:rPr>
        <w:t>Fig</w:t>
      </w:r>
      <w:r>
        <w:rPr>
          <w:rFonts w:ascii="Times New Roman" w:hAnsi="Times New Roman"/>
          <w:sz w:val="24"/>
        </w:rPr>
        <w:t>.</w:t>
      </w:r>
      <w:r w:rsidR="002B3135">
        <w:rPr>
          <w:rFonts w:ascii="Times New Roman" w:hAnsi="Times New Roman"/>
          <w:sz w:val="24"/>
        </w:rPr>
        <w:t xml:space="preserve"> 8</w:t>
      </w:r>
      <w:r>
        <w:rPr>
          <w:rFonts w:ascii="Times New Roman" w:hAnsi="Times New Roman"/>
          <w:sz w:val="24"/>
        </w:rPr>
        <w:t>.</w:t>
      </w:r>
    </w:p>
    <w:p w14:paraId="5468D334" w14:textId="547B547F" w:rsidR="00CE7D67" w:rsidRDefault="00CE7D67" w:rsidP="00CE7D67">
      <w:pPr>
        <w:widowControl/>
        <w:jc w:val="left"/>
        <w:rPr>
          <w:rFonts w:ascii="Times New Roman" w:hAnsi="Times New Roman"/>
          <w:sz w:val="24"/>
        </w:rPr>
      </w:pPr>
      <w:r>
        <w:rPr>
          <w:rFonts w:ascii="Times New Roman" w:hAnsi="Times New Roman"/>
          <w:sz w:val="24"/>
        </w:rPr>
        <w:br w:type="page"/>
      </w:r>
    </w:p>
    <w:p w14:paraId="55FDFF84" w14:textId="3F72672B" w:rsidR="00CE7D67" w:rsidRDefault="00862CEB" w:rsidP="00CE7D67">
      <w:pPr>
        <w:spacing w:line="360" w:lineRule="auto"/>
        <w:rPr>
          <w:rFonts w:ascii="Times New Roman" w:hAnsi="Times New Roman"/>
          <w:sz w:val="24"/>
        </w:rPr>
      </w:pPr>
      <w:r>
        <w:rPr>
          <w:rFonts w:ascii="Times New Roman" w:hAnsi="Times New Roman"/>
          <w:noProof/>
          <w:sz w:val="24"/>
        </w:rPr>
        <w:lastRenderedPageBreak/>
        <w:drawing>
          <wp:inline distT="0" distB="0" distL="0" distR="0" wp14:anchorId="4B76C09C" wp14:editId="22ECBD35">
            <wp:extent cx="6165092" cy="1859280"/>
            <wp:effectExtent l="0" t="0" r="7620" b="762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pic:nvPicPr>
                  <pic:blipFill>
                    <a:blip r:embed="rId19"/>
                    <a:stretch>
                      <a:fillRect/>
                    </a:stretch>
                  </pic:blipFill>
                  <pic:spPr>
                    <a:xfrm>
                      <a:off x="0" y="0"/>
                      <a:ext cx="6172569" cy="1861535"/>
                    </a:xfrm>
                    <a:prstGeom prst="rect">
                      <a:avLst/>
                    </a:prstGeom>
                  </pic:spPr>
                </pic:pic>
              </a:graphicData>
            </a:graphic>
          </wp:inline>
        </w:drawing>
      </w:r>
    </w:p>
    <w:p w14:paraId="5E9D4F54" w14:textId="2E1730DD" w:rsidR="00CE7D67" w:rsidRDefault="00CE7D67" w:rsidP="00CE7D67">
      <w:pPr>
        <w:spacing w:line="360" w:lineRule="auto"/>
        <w:rPr>
          <w:rFonts w:ascii="Times New Roman" w:hAnsi="Times New Roman"/>
          <w:sz w:val="24"/>
        </w:rPr>
      </w:pPr>
      <w:r>
        <w:rPr>
          <w:rFonts w:ascii="Times New Roman" w:hAnsi="Times New Roman" w:hint="eastAsia"/>
          <w:sz w:val="24"/>
        </w:rPr>
        <w:t>Fig</w:t>
      </w:r>
      <w:r>
        <w:rPr>
          <w:rFonts w:ascii="Times New Roman" w:hAnsi="Times New Roman"/>
          <w:sz w:val="24"/>
        </w:rPr>
        <w:t>.</w:t>
      </w:r>
      <w:r>
        <w:rPr>
          <w:rFonts w:ascii="Times New Roman" w:hAnsi="Times New Roman" w:hint="eastAsia"/>
          <w:sz w:val="24"/>
        </w:rPr>
        <w:t xml:space="preserve"> </w:t>
      </w:r>
      <w:r w:rsidR="00862CEB">
        <w:rPr>
          <w:rFonts w:ascii="Times New Roman" w:hAnsi="Times New Roman"/>
          <w:sz w:val="24"/>
        </w:rPr>
        <w:t>9</w:t>
      </w:r>
      <w:r>
        <w:rPr>
          <w:rFonts w:ascii="Times New Roman" w:hAnsi="Times New Roman"/>
          <w:sz w:val="24"/>
        </w:rPr>
        <w:t>.</w:t>
      </w:r>
    </w:p>
    <w:p w14:paraId="3F3F76E8" w14:textId="5FB7CD7E" w:rsidR="00CE7D67" w:rsidRDefault="00CE7D67" w:rsidP="00CE7D67">
      <w:pPr>
        <w:widowControl/>
        <w:jc w:val="left"/>
        <w:rPr>
          <w:rFonts w:ascii="Times New Roman" w:hAnsi="Times New Roman"/>
          <w:sz w:val="24"/>
        </w:rPr>
      </w:pPr>
      <w:r>
        <w:rPr>
          <w:rFonts w:ascii="Times New Roman" w:hAnsi="Times New Roman"/>
          <w:sz w:val="24"/>
        </w:rPr>
        <w:br w:type="page"/>
      </w:r>
    </w:p>
    <w:p w14:paraId="1B10897D" w14:textId="7A929632" w:rsidR="00CE7D67" w:rsidRDefault="00EA712C" w:rsidP="00CE7D67">
      <w:pPr>
        <w:spacing w:line="360" w:lineRule="auto"/>
        <w:jc w:val="center"/>
        <w:rPr>
          <w:rFonts w:ascii="Times New Roman" w:hAnsi="Times New Roman"/>
          <w:sz w:val="24"/>
        </w:rPr>
      </w:pPr>
      <w:r>
        <w:rPr>
          <w:rFonts w:ascii="Times New Roman" w:hAnsi="Times New Roman"/>
          <w:noProof/>
          <w:sz w:val="24"/>
        </w:rPr>
        <w:lastRenderedPageBreak/>
        <w:drawing>
          <wp:inline distT="0" distB="0" distL="0" distR="0" wp14:anchorId="0A41D941" wp14:editId="6498F878">
            <wp:extent cx="4069080" cy="3115136"/>
            <wp:effectExtent l="0" t="0" r="7620" b="9525"/>
            <wp:docPr id="13" name="图片 13"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图表&#10;&#10;描述已自动生成"/>
                    <pic:cNvPicPr/>
                  </pic:nvPicPr>
                  <pic:blipFill>
                    <a:blip r:embed="rId20"/>
                    <a:stretch>
                      <a:fillRect/>
                    </a:stretch>
                  </pic:blipFill>
                  <pic:spPr>
                    <a:xfrm>
                      <a:off x="0" y="0"/>
                      <a:ext cx="4087352" cy="3129124"/>
                    </a:xfrm>
                    <a:prstGeom prst="rect">
                      <a:avLst/>
                    </a:prstGeom>
                  </pic:spPr>
                </pic:pic>
              </a:graphicData>
            </a:graphic>
          </wp:inline>
        </w:drawing>
      </w:r>
    </w:p>
    <w:p w14:paraId="53F92CDF" w14:textId="53C88D3B" w:rsidR="00CE7D67" w:rsidRDefault="00CE7D67" w:rsidP="00CE7D67">
      <w:pPr>
        <w:spacing w:line="360" w:lineRule="auto"/>
        <w:rPr>
          <w:rFonts w:ascii="Times New Roman" w:hAnsi="Times New Roman"/>
          <w:sz w:val="24"/>
        </w:rPr>
      </w:pPr>
      <w:r>
        <w:rPr>
          <w:rFonts w:ascii="Times New Roman" w:hAnsi="Times New Roman" w:hint="eastAsia"/>
          <w:sz w:val="24"/>
        </w:rPr>
        <w:t>Fig</w:t>
      </w:r>
      <w:r>
        <w:rPr>
          <w:rFonts w:ascii="Times New Roman" w:hAnsi="Times New Roman"/>
          <w:sz w:val="24"/>
        </w:rPr>
        <w:t>.</w:t>
      </w:r>
      <w:r>
        <w:rPr>
          <w:rFonts w:ascii="Times New Roman" w:hAnsi="Times New Roman" w:hint="eastAsia"/>
          <w:sz w:val="24"/>
        </w:rPr>
        <w:t xml:space="preserve"> </w:t>
      </w:r>
      <w:r>
        <w:rPr>
          <w:rFonts w:ascii="Times New Roman" w:hAnsi="Times New Roman"/>
          <w:sz w:val="24"/>
        </w:rPr>
        <w:t>1</w:t>
      </w:r>
      <w:r w:rsidR="00EA712C">
        <w:rPr>
          <w:rFonts w:ascii="Times New Roman" w:hAnsi="Times New Roman"/>
          <w:sz w:val="24"/>
        </w:rPr>
        <w:t>0</w:t>
      </w:r>
      <w:r>
        <w:rPr>
          <w:rFonts w:ascii="Times New Roman" w:hAnsi="Times New Roman"/>
          <w:sz w:val="24"/>
        </w:rPr>
        <w:t>.</w:t>
      </w:r>
    </w:p>
    <w:p w14:paraId="499E21BA" w14:textId="77777777" w:rsidR="00CE7D67" w:rsidRPr="00CE7D67" w:rsidRDefault="00CE7D67" w:rsidP="00D536BC">
      <w:pPr>
        <w:spacing w:line="360" w:lineRule="auto"/>
        <w:rPr>
          <w:rFonts w:ascii="Times New Roman" w:hAnsi="Times New Roman"/>
          <w:sz w:val="24"/>
        </w:rPr>
      </w:pPr>
    </w:p>
    <w:sectPr w:rsidR="00CE7D67" w:rsidRPr="00CE7D67" w:rsidSect="00C66CDB">
      <w:type w:val="continuous"/>
      <w:pgSz w:w="11906" w:h="16838" w:code="9"/>
      <w:pgMar w:top="2381" w:right="1588" w:bottom="1418" w:left="1531" w:header="567"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AF0C3B" w14:textId="77777777" w:rsidR="002D72EE" w:rsidRDefault="002D72EE">
      <w:r>
        <w:separator/>
      </w:r>
    </w:p>
  </w:endnote>
  <w:endnote w:type="continuationSeparator" w:id="0">
    <w:p w14:paraId="31FAF78D" w14:textId="77777777" w:rsidR="002D72EE" w:rsidRDefault="002D7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8313C" w14:textId="77777777" w:rsidR="00734612" w:rsidRDefault="00734612" w:rsidP="00F17150">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E058A69" w14:textId="77777777" w:rsidR="00734612" w:rsidRDefault="00734612">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621F" w14:textId="77777777" w:rsidR="00734612" w:rsidRDefault="00734612" w:rsidP="00686681">
    <w:pPr>
      <w:pStyle w:val="a3"/>
      <w:jc w:val="center"/>
    </w:pPr>
    <w:r>
      <w:fldChar w:fldCharType="begin"/>
    </w:r>
    <w:r>
      <w:instrText>PAGE   \* MERGEFORMAT</w:instrText>
    </w:r>
    <w:r>
      <w:fldChar w:fldCharType="separate"/>
    </w:r>
    <w:r w:rsidR="00380754" w:rsidRPr="00380754">
      <w:rPr>
        <w:noProof/>
        <w:lang w:val="ja-JP"/>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CD62A" w14:textId="77777777" w:rsidR="002D72EE" w:rsidRDefault="002D72EE">
      <w:r>
        <w:separator/>
      </w:r>
    </w:p>
  </w:footnote>
  <w:footnote w:type="continuationSeparator" w:id="0">
    <w:p w14:paraId="0DF977B9" w14:textId="77777777" w:rsidR="002D72EE" w:rsidRDefault="002D7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0BE6C" w14:textId="40BBA478" w:rsidR="00C66CDB" w:rsidRPr="002E2FD1" w:rsidRDefault="00C66CDB" w:rsidP="00DD06D9">
    <w:pPr>
      <w:pStyle w:val="a6"/>
      <w:tabs>
        <w:tab w:val="clear" w:pos="8504"/>
        <w:tab w:val="right" w:pos="8787"/>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5B6"/>
    <w:multiLevelType w:val="hybridMultilevel"/>
    <w:tmpl w:val="2F72B78A"/>
    <w:lvl w:ilvl="0" w:tplc="9BC08016">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 w15:restartNumberingAfterBreak="0">
    <w:nsid w:val="10CC1046"/>
    <w:multiLevelType w:val="hybridMultilevel"/>
    <w:tmpl w:val="0BA06B58"/>
    <w:lvl w:ilvl="0" w:tplc="6916E6C0">
      <w:start w:val="3"/>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7A3369"/>
    <w:multiLevelType w:val="hybridMultilevel"/>
    <w:tmpl w:val="50A8C08C"/>
    <w:lvl w:ilvl="0" w:tplc="0E763E4C">
      <w:start w:val="2"/>
      <w:numFmt w:val="bullet"/>
      <w:lvlText w:val=""/>
      <w:lvlJc w:val="left"/>
      <w:pPr>
        <w:ind w:left="360" w:hanging="360"/>
      </w:pPr>
      <w:rPr>
        <w:rFonts w:ascii="Wingdings" w:eastAsiaTheme="minorEastAsia" w:hAnsi="Wingdings" w:cstheme="minorBidi"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 w15:restartNumberingAfterBreak="0">
    <w:nsid w:val="31E6136F"/>
    <w:multiLevelType w:val="hybridMultilevel"/>
    <w:tmpl w:val="7B584F7E"/>
    <w:lvl w:ilvl="0" w:tplc="F1BC504A">
      <w:start w:val="3"/>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3E11612C"/>
    <w:multiLevelType w:val="hybridMultilevel"/>
    <w:tmpl w:val="A168A16A"/>
    <w:lvl w:ilvl="0" w:tplc="9E4A2344">
      <w:start w:val="1"/>
      <w:numFmt w:val="decimal"/>
      <w:pStyle w:val="References"/>
      <w:lvlText w:val="%1)"/>
      <w:lvlJc w:val="right"/>
      <w:pPr>
        <w:tabs>
          <w:tab w:val="num" w:pos="132"/>
        </w:tabs>
        <w:ind w:left="132" w:hanging="132"/>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43182783"/>
    <w:multiLevelType w:val="hybridMultilevel"/>
    <w:tmpl w:val="83363BE0"/>
    <w:lvl w:ilvl="0" w:tplc="5032F38A">
      <w:start w:val="1"/>
      <w:numFmt w:val="lowerLetter"/>
      <w:lvlText w:val="(%1)"/>
      <w:lvlJc w:val="left"/>
      <w:pPr>
        <w:ind w:left="3000" w:hanging="360"/>
      </w:pPr>
      <w:rPr>
        <w:rFonts w:hint="default"/>
      </w:rPr>
    </w:lvl>
    <w:lvl w:ilvl="1" w:tplc="04090017" w:tentative="1">
      <w:start w:val="1"/>
      <w:numFmt w:val="aiueoFullWidth"/>
      <w:lvlText w:val="(%2)"/>
      <w:lvlJc w:val="left"/>
      <w:pPr>
        <w:ind w:left="3480" w:hanging="420"/>
      </w:pPr>
    </w:lvl>
    <w:lvl w:ilvl="2" w:tplc="04090011" w:tentative="1">
      <w:start w:val="1"/>
      <w:numFmt w:val="decimalEnclosedCircle"/>
      <w:lvlText w:val="%3"/>
      <w:lvlJc w:val="left"/>
      <w:pPr>
        <w:ind w:left="3900" w:hanging="420"/>
      </w:pPr>
    </w:lvl>
    <w:lvl w:ilvl="3" w:tplc="0409000F" w:tentative="1">
      <w:start w:val="1"/>
      <w:numFmt w:val="decimal"/>
      <w:lvlText w:val="%4."/>
      <w:lvlJc w:val="left"/>
      <w:pPr>
        <w:ind w:left="4320" w:hanging="420"/>
      </w:pPr>
    </w:lvl>
    <w:lvl w:ilvl="4" w:tplc="04090017" w:tentative="1">
      <w:start w:val="1"/>
      <w:numFmt w:val="aiueoFullWidth"/>
      <w:lvlText w:val="(%5)"/>
      <w:lvlJc w:val="left"/>
      <w:pPr>
        <w:ind w:left="4740" w:hanging="420"/>
      </w:pPr>
    </w:lvl>
    <w:lvl w:ilvl="5" w:tplc="04090011" w:tentative="1">
      <w:start w:val="1"/>
      <w:numFmt w:val="decimalEnclosedCircle"/>
      <w:lvlText w:val="%6"/>
      <w:lvlJc w:val="left"/>
      <w:pPr>
        <w:ind w:left="5160" w:hanging="420"/>
      </w:pPr>
    </w:lvl>
    <w:lvl w:ilvl="6" w:tplc="0409000F" w:tentative="1">
      <w:start w:val="1"/>
      <w:numFmt w:val="decimal"/>
      <w:lvlText w:val="%7."/>
      <w:lvlJc w:val="left"/>
      <w:pPr>
        <w:ind w:left="5580" w:hanging="420"/>
      </w:pPr>
    </w:lvl>
    <w:lvl w:ilvl="7" w:tplc="04090017" w:tentative="1">
      <w:start w:val="1"/>
      <w:numFmt w:val="aiueoFullWidth"/>
      <w:lvlText w:val="(%8)"/>
      <w:lvlJc w:val="left"/>
      <w:pPr>
        <w:ind w:left="6000" w:hanging="420"/>
      </w:pPr>
    </w:lvl>
    <w:lvl w:ilvl="8" w:tplc="04090011" w:tentative="1">
      <w:start w:val="1"/>
      <w:numFmt w:val="decimalEnclosedCircle"/>
      <w:lvlText w:val="%9"/>
      <w:lvlJc w:val="left"/>
      <w:pPr>
        <w:ind w:left="6420" w:hanging="420"/>
      </w:pPr>
    </w:lvl>
  </w:abstractNum>
  <w:abstractNum w:abstractNumId="7" w15:restartNumberingAfterBreak="0">
    <w:nsid w:val="44E30B70"/>
    <w:multiLevelType w:val="hybridMultilevel"/>
    <w:tmpl w:val="83164C8C"/>
    <w:lvl w:ilvl="0" w:tplc="BB008B18">
      <w:start w:val="1"/>
      <w:numFmt w:val="decimal"/>
      <w:lvlText w:val="%1."/>
      <w:lvlJc w:val="left"/>
      <w:pPr>
        <w:tabs>
          <w:tab w:val="num" w:pos="390"/>
        </w:tabs>
        <w:ind w:left="390" w:hanging="390"/>
      </w:pPr>
      <w:rPr>
        <w:rFonts w:eastAsia="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9794084"/>
    <w:multiLevelType w:val="hybridMultilevel"/>
    <w:tmpl w:val="A0A2F700"/>
    <w:lvl w:ilvl="0" w:tplc="1C80B0D6">
      <w:start w:val="2"/>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0" w15:restartNumberingAfterBreak="0">
    <w:nsid w:val="758F385F"/>
    <w:multiLevelType w:val="hybridMultilevel"/>
    <w:tmpl w:val="62CED93A"/>
    <w:lvl w:ilvl="0" w:tplc="0316A9F4">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1" w15:restartNumberingAfterBreak="0">
    <w:nsid w:val="7BB65303"/>
    <w:multiLevelType w:val="hybridMultilevel"/>
    <w:tmpl w:val="00F29F96"/>
    <w:lvl w:ilvl="0" w:tplc="D5F24B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1267077467">
    <w:abstractNumId w:val="4"/>
  </w:num>
  <w:num w:numId="2" w16cid:durableId="933517555">
    <w:abstractNumId w:val="11"/>
  </w:num>
  <w:num w:numId="3" w16cid:durableId="342365043">
    <w:abstractNumId w:val="10"/>
  </w:num>
  <w:num w:numId="4" w16cid:durableId="1768187611">
    <w:abstractNumId w:val="0"/>
  </w:num>
  <w:num w:numId="5" w16cid:durableId="854222730">
    <w:abstractNumId w:val="9"/>
  </w:num>
  <w:num w:numId="6" w16cid:durableId="337730746">
    <w:abstractNumId w:val="1"/>
  </w:num>
  <w:num w:numId="7" w16cid:durableId="64183248">
    <w:abstractNumId w:val="8"/>
  </w:num>
  <w:num w:numId="8" w16cid:durableId="2085763057">
    <w:abstractNumId w:val="7"/>
  </w:num>
  <w:num w:numId="9" w16cid:durableId="1608536730">
    <w:abstractNumId w:val="5"/>
  </w:num>
  <w:num w:numId="10" w16cid:durableId="195123111">
    <w:abstractNumId w:val="2"/>
  </w:num>
  <w:num w:numId="11" w16cid:durableId="16274187">
    <w:abstractNumId w:val="3"/>
  </w:num>
  <w:num w:numId="12" w16cid:durableId="15513766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544"/>
    <w:rsid w:val="0000265A"/>
    <w:rsid w:val="000135FE"/>
    <w:rsid w:val="00036544"/>
    <w:rsid w:val="000511C7"/>
    <w:rsid w:val="000523E5"/>
    <w:rsid w:val="000615D3"/>
    <w:rsid w:val="00073C8C"/>
    <w:rsid w:val="00077476"/>
    <w:rsid w:val="00080958"/>
    <w:rsid w:val="00086277"/>
    <w:rsid w:val="000A50C6"/>
    <w:rsid w:val="000C54AD"/>
    <w:rsid w:val="000D38AE"/>
    <w:rsid w:val="000D5A80"/>
    <w:rsid w:val="000E1C41"/>
    <w:rsid w:val="000E232F"/>
    <w:rsid w:val="000E4D5D"/>
    <w:rsid w:val="000F5631"/>
    <w:rsid w:val="00105B4D"/>
    <w:rsid w:val="001223AF"/>
    <w:rsid w:val="0013077D"/>
    <w:rsid w:val="0014162B"/>
    <w:rsid w:val="0015138B"/>
    <w:rsid w:val="00164204"/>
    <w:rsid w:val="00164328"/>
    <w:rsid w:val="0016557E"/>
    <w:rsid w:val="001675A9"/>
    <w:rsid w:val="00176B2F"/>
    <w:rsid w:val="001910D1"/>
    <w:rsid w:val="001945C6"/>
    <w:rsid w:val="00196201"/>
    <w:rsid w:val="001A1956"/>
    <w:rsid w:val="001A5A2D"/>
    <w:rsid w:val="001B380A"/>
    <w:rsid w:val="001C242B"/>
    <w:rsid w:val="001C5475"/>
    <w:rsid w:val="001C7AAA"/>
    <w:rsid w:val="001D1374"/>
    <w:rsid w:val="001D70C0"/>
    <w:rsid w:val="001F4276"/>
    <w:rsid w:val="001F481D"/>
    <w:rsid w:val="0020214A"/>
    <w:rsid w:val="00203988"/>
    <w:rsid w:val="002239C5"/>
    <w:rsid w:val="0023042F"/>
    <w:rsid w:val="00231A7E"/>
    <w:rsid w:val="002628D6"/>
    <w:rsid w:val="002731DC"/>
    <w:rsid w:val="00275343"/>
    <w:rsid w:val="002810D9"/>
    <w:rsid w:val="002921C5"/>
    <w:rsid w:val="002A0CDF"/>
    <w:rsid w:val="002A6676"/>
    <w:rsid w:val="002B1674"/>
    <w:rsid w:val="002B3135"/>
    <w:rsid w:val="002B6A3B"/>
    <w:rsid w:val="002B7D71"/>
    <w:rsid w:val="002C42AB"/>
    <w:rsid w:val="002D72EE"/>
    <w:rsid w:val="002E2FD1"/>
    <w:rsid w:val="002E5A7A"/>
    <w:rsid w:val="002F6B5E"/>
    <w:rsid w:val="00317109"/>
    <w:rsid w:val="00320583"/>
    <w:rsid w:val="003216FC"/>
    <w:rsid w:val="003236A8"/>
    <w:rsid w:val="00326D0F"/>
    <w:rsid w:val="00327761"/>
    <w:rsid w:val="00327838"/>
    <w:rsid w:val="00341F2C"/>
    <w:rsid w:val="00350790"/>
    <w:rsid w:val="00354BE3"/>
    <w:rsid w:val="00363073"/>
    <w:rsid w:val="00363FE3"/>
    <w:rsid w:val="00380754"/>
    <w:rsid w:val="003A4EC3"/>
    <w:rsid w:val="003C5207"/>
    <w:rsid w:val="003C5B89"/>
    <w:rsid w:val="003D0F3F"/>
    <w:rsid w:val="003E183B"/>
    <w:rsid w:val="003F6DF8"/>
    <w:rsid w:val="00402EE4"/>
    <w:rsid w:val="00422039"/>
    <w:rsid w:val="004240E0"/>
    <w:rsid w:val="00425334"/>
    <w:rsid w:val="004254FA"/>
    <w:rsid w:val="00431C80"/>
    <w:rsid w:val="00436588"/>
    <w:rsid w:val="004731DA"/>
    <w:rsid w:val="004A0F51"/>
    <w:rsid w:val="004B4D6C"/>
    <w:rsid w:val="004D4102"/>
    <w:rsid w:val="004D7EDC"/>
    <w:rsid w:val="004F1401"/>
    <w:rsid w:val="00500FE0"/>
    <w:rsid w:val="005031B4"/>
    <w:rsid w:val="00504310"/>
    <w:rsid w:val="00512FCB"/>
    <w:rsid w:val="00537600"/>
    <w:rsid w:val="0054389C"/>
    <w:rsid w:val="00572773"/>
    <w:rsid w:val="00580838"/>
    <w:rsid w:val="005857A6"/>
    <w:rsid w:val="00591547"/>
    <w:rsid w:val="00594794"/>
    <w:rsid w:val="00594C61"/>
    <w:rsid w:val="00596333"/>
    <w:rsid w:val="005A6D3B"/>
    <w:rsid w:val="005A73C6"/>
    <w:rsid w:val="005F2368"/>
    <w:rsid w:val="00614B15"/>
    <w:rsid w:val="00620CC2"/>
    <w:rsid w:val="00623CB8"/>
    <w:rsid w:val="00625F9A"/>
    <w:rsid w:val="006300E4"/>
    <w:rsid w:val="00630CAE"/>
    <w:rsid w:val="00652AAD"/>
    <w:rsid w:val="00673F93"/>
    <w:rsid w:val="00686681"/>
    <w:rsid w:val="006918AE"/>
    <w:rsid w:val="00693C77"/>
    <w:rsid w:val="006D0D18"/>
    <w:rsid w:val="006D2756"/>
    <w:rsid w:val="007048A1"/>
    <w:rsid w:val="00705B0E"/>
    <w:rsid w:val="00727EDE"/>
    <w:rsid w:val="00734612"/>
    <w:rsid w:val="007409AC"/>
    <w:rsid w:val="00743ACC"/>
    <w:rsid w:val="00746BDC"/>
    <w:rsid w:val="00756FE3"/>
    <w:rsid w:val="00765DE4"/>
    <w:rsid w:val="00783E93"/>
    <w:rsid w:val="00786616"/>
    <w:rsid w:val="007935CB"/>
    <w:rsid w:val="007C73BF"/>
    <w:rsid w:val="007D2262"/>
    <w:rsid w:val="007D3D40"/>
    <w:rsid w:val="007E5751"/>
    <w:rsid w:val="007F016B"/>
    <w:rsid w:val="007F5198"/>
    <w:rsid w:val="0080569B"/>
    <w:rsid w:val="00817599"/>
    <w:rsid w:val="00834971"/>
    <w:rsid w:val="008367F8"/>
    <w:rsid w:val="00851F89"/>
    <w:rsid w:val="0085727A"/>
    <w:rsid w:val="00862CEB"/>
    <w:rsid w:val="0086466C"/>
    <w:rsid w:val="00877084"/>
    <w:rsid w:val="00881030"/>
    <w:rsid w:val="00884F86"/>
    <w:rsid w:val="008855C3"/>
    <w:rsid w:val="008A1272"/>
    <w:rsid w:val="008A24AB"/>
    <w:rsid w:val="008A34EB"/>
    <w:rsid w:val="008A695B"/>
    <w:rsid w:val="008B5E05"/>
    <w:rsid w:val="008E19A9"/>
    <w:rsid w:val="008F06DE"/>
    <w:rsid w:val="008F2303"/>
    <w:rsid w:val="009461C1"/>
    <w:rsid w:val="00947BBD"/>
    <w:rsid w:val="00951949"/>
    <w:rsid w:val="00953E95"/>
    <w:rsid w:val="0095508E"/>
    <w:rsid w:val="00955D2E"/>
    <w:rsid w:val="0095619B"/>
    <w:rsid w:val="00967B06"/>
    <w:rsid w:val="00970031"/>
    <w:rsid w:val="00972644"/>
    <w:rsid w:val="00982A49"/>
    <w:rsid w:val="00992A21"/>
    <w:rsid w:val="009C0E90"/>
    <w:rsid w:val="009C5FE5"/>
    <w:rsid w:val="009C7851"/>
    <w:rsid w:val="009E01F8"/>
    <w:rsid w:val="009E76DB"/>
    <w:rsid w:val="00A0016E"/>
    <w:rsid w:val="00A03A67"/>
    <w:rsid w:val="00A24114"/>
    <w:rsid w:val="00A2597B"/>
    <w:rsid w:val="00A367C8"/>
    <w:rsid w:val="00A4041B"/>
    <w:rsid w:val="00A60E38"/>
    <w:rsid w:val="00A633E9"/>
    <w:rsid w:val="00A66AB4"/>
    <w:rsid w:val="00A946B1"/>
    <w:rsid w:val="00A957FD"/>
    <w:rsid w:val="00A9715E"/>
    <w:rsid w:val="00AC6204"/>
    <w:rsid w:val="00AD1E9E"/>
    <w:rsid w:val="00AE07AF"/>
    <w:rsid w:val="00AF08FF"/>
    <w:rsid w:val="00AF3E32"/>
    <w:rsid w:val="00AF5809"/>
    <w:rsid w:val="00AF5CC0"/>
    <w:rsid w:val="00B04056"/>
    <w:rsid w:val="00B20B66"/>
    <w:rsid w:val="00B37AA0"/>
    <w:rsid w:val="00B564B5"/>
    <w:rsid w:val="00B6680D"/>
    <w:rsid w:val="00B74094"/>
    <w:rsid w:val="00B8431F"/>
    <w:rsid w:val="00B90F8C"/>
    <w:rsid w:val="00B95AE1"/>
    <w:rsid w:val="00BA0B5B"/>
    <w:rsid w:val="00BA1A40"/>
    <w:rsid w:val="00BB07FE"/>
    <w:rsid w:val="00BB34D6"/>
    <w:rsid w:val="00BB3F99"/>
    <w:rsid w:val="00BB4962"/>
    <w:rsid w:val="00BC0BAA"/>
    <w:rsid w:val="00BC266B"/>
    <w:rsid w:val="00BC495F"/>
    <w:rsid w:val="00BC6224"/>
    <w:rsid w:val="00BE2AF4"/>
    <w:rsid w:val="00C12FC3"/>
    <w:rsid w:val="00C26064"/>
    <w:rsid w:val="00C30BC9"/>
    <w:rsid w:val="00C32958"/>
    <w:rsid w:val="00C36D07"/>
    <w:rsid w:val="00C638C8"/>
    <w:rsid w:val="00C64E13"/>
    <w:rsid w:val="00C66CDB"/>
    <w:rsid w:val="00C8447D"/>
    <w:rsid w:val="00C84A6B"/>
    <w:rsid w:val="00C95FB9"/>
    <w:rsid w:val="00C97B70"/>
    <w:rsid w:val="00CA20F1"/>
    <w:rsid w:val="00CA750D"/>
    <w:rsid w:val="00CD27EE"/>
    <w:rsid w:val="00CE7D67"/>
    <w:rsid w:val="00CF0FBF"/>
    <w:rsid w:val="00D0781E"/>
    <w:rsid w:val="00D206DC"/>
    <w:rsid w:val="00D307E9"/>
    <w:rsid w:val="00D356A2"/>
    <w:rsid w:val="00D47320"/>
    <w:rsid w:val="00D53618"/>
    <w:rsid w:val="00D536BC"/>
    <w:rsid w:val="00D5442E"/>
    <w:rsid w:val="00D64650"/>
    <w:rsid w:val="00D71647"/>
    <w:rsid w:val="00D7248C"/>
    <w:rsid w:val="00DA0FB3"/>
    <w:rsid w:val="00DA38A0"/>
    <w:rsid w:val="00DD06D9"/>
    <w:rsid w:val="00DD0986"/>
    <w:rsid w:val="00DD0B9C"/>
    <w:rsid w:val="00DD424C"/>
    <w:rsid w:val="00DF09D1"/>
    <w:rsid w:val="00E07A2D"/>
    <w:rsid w:val="00E1633F"/>
    <w:rsid w:val="00E17464"/>
    <w:rsid w:val="00E22795"/>
    <w:rsid w:val="00E25027"/>
    <w:rsid w:val="00E522AC"/>
    <w:rsid w:val="00E56312"/>
    <w:rsid w:val="00E57536"/>
    <w:rsid w:val="00E6311D"/>
    <w:rsid w:val="00E66C79"/>
    <w:rsid w:val="00E86FDA"/>
    <w:rsid w:val="00E946B7"/>
    <w:rsid w:val="00EA712C"/>
    <w:rsid w:val="00EC51C9"/>
    <w:rsid w:val="00EE1334"/>
    <w:rsid w:val="00EE2F33"/>
    <w:rsid w:val="00EE3BA7"/>
    <w:rsid w:val="00EE52CB"/>
    <w:rsid w:val="00F03D6E"/>
    <w:rsid w:val="00F051FD"/>
    <w:rsid w:val="00F10E14"/>
    <w:rsid w:val="00F17150"/>
    <w:rsid w:val="00F44120"/>
    <w:rsid w:val="00F52418"/>
    <w:rsid w:val="00F61131"/>
    <w:rsid w:val="00F63A79"/>
    <w:rsid w:val="00F81866"/>
    <w:rsid w:val="00F92699"/>
    <w:rsid w:val="00FB3103"/>
    <w:rsid w:val="00FC5C55"/>
    <w:rsid w:val="00FD0D90"/>
    <w:rsid w:val="00FD19CF"/>
    <w:rsid w:val="00FD7B09"/>
    <w:rsid w:val="00FF23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0B08820F"/>
  <w15:docId w15:val="{FC5AFF4C-BFD5-41B4-9D5E-EF1B5B3B7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left="700"/>
      <w:outlineLvl w:val="0"/>
    </w:pPr>
    <w:rPr>
      <w:rFonts w:ascii="MS Gothic" w:eastAsia="MS Gothic" w:hAnsi="Times New Roman"/>
      <w:b/>
      <w:kern w:val="0"/>
      <w:sz w:val="28"/>
      <w:szCs w:val="20"/>
    </w:rPr>
  </w:style>
  <w:style w:type="paragraph" w:styleId="2">
    <w:name w:val="heading 2"/>
    <w:basedOn w:val="a"/>
    <w:next w:val="a"/>
    <w:qFormat/>
    <w:pPr>
      <w:keepNext/>
      <w:jc w:val="center"/>
      <w:outlineLvl w:val="1"/>
    </w:pPr>
    <w:rPr>
      <w:rFonts w:ascii="Times New Roman" w:hAnsi="Times New Roman"/>
      <w:i/>
      <w:iCs/>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rPr>
      <w:rFonts w:ascii="Times New Roman" w:hAnsi="Times New Roman"/>
      <w:kern w:val="0"/>
      <w:sz w:val="22"/>
      <w:szCs w:val="20"/>
    </w:rPr>
  </w:style>
  <w:style w:type="character" w:styleId="a5">
    <w:name w:val="page number"/>
    <w:basedOn w:val="a0"/>
    <w:rsid w:val="003A4EC3"/>
  </w:style>
  <w:style w:type="paragraph" w:styleId="a6">
    <w:name w:val="header"/>
    <w:basedOn w:val="a"/>
    <w:link w:val="a7"/>
    <w:uiPriority w:val="99"/>
    <w:rsid w:val="003A4EC3"/>
    <w:pPr>
      <w:tabs>
        <w:tab w:val="center" w:pos="4252"/>
        <w:tab w:val="right" w:pos="8504"/>
      </w:tabs>
      <w:snapToGrid w:val="0"/>
    </w:pPr>
  </w:style>
  <w:style w:type="paragraph" w:customStyle="1" w:styleId="10">
    <w:name w:val="表題1"/>
    <w:basedOn w:val="a"/>
    <w:rsid w:val="00504310"/>
    <w:pPr>
      <w:adjustRightInd w:val="0"/>
      <w:snapToGrid w:val="0"/>
      <w:spacing w:beforeLines="200" w:before="480" w:line="320" w:lineRule="exact"/>
      <w:ind w:rightChars="450" w:right="945"/>
      <w:jc w:val="left"/>
    </w:pPr>
    <w:rPr>
      <w:rFonts w:ascii="Arial" w:eastAsia="Times New Roman" w:hAnsi="Arial" w:cs="Arial"/>
      <w:b/>
      <w:bCs/>
      <w:sz w:val="28"/>
      <w:szCs w:val="28"/>
    </w:rPr>
  </w:style>
  <w:style w:type="paragraph" w:customStyle="1" w:styleId="Abstract">
    <w:name w:val="Abstract"/>
    <w:basedOn w:val="a"/>
    <w:rsid w:val="000A50C6"/>
    <w:pPr>
      <w:spacing w:line="240" w:lineRule="exact"/>
      <w:ind w:rightChars="450" w:right="450"/>
    </w:pPr>
    <w:rPr>
      <w:rFonts w:ascii="Times New Roman" w:eastAsia="Times New Roman" w:hAnsi="Times New Roman"/>
      <w:sz w:val="20"/>
    </w:rPr>
  </w:style>
  <w:style w:type="paragraph" w:customStyle="1" w:styleId="AUTHORS">
    <w:name w:val="AUTHORS"/>
    <w:basedOn w:val="a"/>
    <w:rsid w:val="008367F8"/>
    <w:pPr>
      <w:adjustRightInd w:val="0"/>
      <w:spacing w:line="280" w:lineRule="exact"/>
      <w:ind w:rightChars="450" w:right="450"/>
    </w:pPr>
    <w:rPr>
      <w:rFonts w:ascii="Times New Roman" w:eastAsia="Times New Roman" w:hAnsi="Times New Roman"/>
      <w:sz w:val="22"/>
    </w:rPr>
  </w:style>
  <w:style w:type="paragraph" w:customStyle="1" w:styleId="Affiliation">
    <w:name w:val="Affiliation"/>
    <w:basedOn w:val="a"/>
    <w:rsid w:val="00972644"/>
    <w:pPr>
      <w:adjustRightInd w:val="0"/>
      <w:ind w:rightChars="450" w:right="450"/>
    </w:pPr>
    <w:rPr>
      <w:rFonts w:eastAsia="Times New Roman"/>
      <w:i/>
    </w:rPr>
  </w:style>
  <w:style w:type="paragraph" w:styleId="a8">
    <w:name w:val="Balloon Text"/>
    <w:basedOn w:val="a"/>
    <w:semiHidden/>
    <w:rsid w:val="00673F93"/>
    <w:rPr>
      <w:rFonts w:ascii="Arial" w:eastAsia="MS Gothic" w:hAnsi="Arial"/>
      <w:sz w:val="18"/>
      <w:szCs w:val="18"/>
    </w:rPr>
  </w:style>
  <w:style w:type="paragraph" w:customStyle="1" w:styleId="KEYWORDS">
    <w:name w:val="KEYWORDS"/>
    <w:basedOn w:val="a"/>
    <w:link w:val="KEYWORDS0"/>
    <w:rsid w:val="009C0E90"/>
    <w:pPr>
      <w:adjustRightInd w:val="0"/>
      <w:snapToGrid w:val="0"/>
      <w:spacing w:line="240" w:lineRule="exact"/>
      <w:ind w:rightChars="550" w:right="550"/>
    </w:pPr>
    <w:rPr>
      <w:rFonts w:ascii="Arial" w:hAnsi="Arial"/>
      <w:b/>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
    <w:rsid w:val="009C0E90"/>
    <w:pPr>
      <w:spacing w:line="120" w:lineRule="atLeast"/>
      <w:jc w:val="left"/>
    </w:pPr>
    <w:rPr>
      <w:rFonts w:ascii="Times New Roman" w:eastAsia="Times New Roman" w:hAnsi="Times New Roman" w:cs="MS Mincho"/>
      <w:sz w:val="20"/>
      <w:szCs w:val="20"/>
    </w:rPr>
  </w:style>
  <w:style w:type="paragraph" w:customStyle="1" w:styleId="AFFILIATIONS45">
    <w:name w:val="スタイル AFFILIATIONS + 右 :  4.5 字"/>
    <w:basedOn w:val="Affiliation"/>
    <w:rsid w:val="009C0E90"/>
    <w:pPr>
      <w:spacing w:line="240" w:lineRule="exact"/>
    </w:pPr>
    <w:rPr>
      <w:rFonts w:cs="MS Mincho"/>
      <w:iCs/>
      <w:sz w:val="20"/>
      <w:szCs w:val="20"/>
    </w:rPr>
  </w:style>
  <w:style w:type="paragraph" w:customStyle="1" w:styleId="AUTHORS45">
    <w:name w:val="スタイル AUTHORS + 右 :  4.5 字"/>
    <w:basedOn w:val="AUTHORS"/>
    <w:rsid w:val="001C5475"/>
    <w:pPr>
      <w:spacing w:line="240" w:lineRule="exact"/>
    </w:pPr>
    <w:rPr>
      <w:rFonts w:cs="MS Mincho"/>
      <w:szCs w:val="20"/>
    </w:rPr>
  </w:style>
  <w:style w:type="paragraph" w:customStyle="1" w:styleId="SectionTitle">
    <w:name w:val="SectionTitle"/>
    <w:basedOn w:val="a"/>
    <w:autoRedefine/>
    <w:rsid w:val="00341F2C"/>
    <w:pPr>
      <w:spacing w:line="360" w:lineRule="auto"/>
    </w:pPr>
    <w:rPr>
      <w:rFonts w:asciiTheme="majorHAnsi" w:hAnsiTheme="majorHAnsi"/>
      <w:b/>
      <w:sz w:val="28"/>
      <w:szCs w:val="28"/>
    </w:rPr>
  </w:style>
  <w:style w:type="paragraph" w:customStyle="1" w:styleId="MainText">
    <w:name w:val="MainText"/>
    <w:basedOn w:val="a"/>
    <w:rsid w:val="00363FE3"/>
    <w:pPr>
      <w:spacing w:line="260" w:lineRule="exact"/>
      <w:ind w:firstLineChars="150" w:firstLine="150"/>
    </w:pPr>
    <w:rPr>
      <w:rFonts w:ascii="Times New Roman" w:eastAsia="Times New Roman" w:hAnsi="Times New Roman"/>
      <w:sz w:val="22"/>
      <w:szCs w:val="22"/>
    </w:rPr>
  </w:style>
  <w:style w:type="paragraph" w:customStyle="1" w:styleId="SubSectionTitle">
    <w:name w:val="SubSectionTitle"/>
    <w:basedOn w:val="a"/>
    <w:rsid w:val="00504310"/>
    <w:pPr>
      <w:spacing w:before="120" w:after="120" w:line="280" w:lineRule="exact"/>
    </w:pPr>
    <w:rPr>
      <w:rFonts w:asciiTheme="majorHAnsi" w:eastAsiaTheme="majorEastAsia" w:hAnsiTheme="majorHAnsi"/>
      <w:b/>
      <w:sz w:val="22"/>
      <w:szCs w:val="22"/>
    </w:rPr>
  </w:style>
  <w:style w:type="character" w:customStyle="1" w:styleId="KEYWORDS0">
    <w:name w:val="KEYWORDS (文字)"/>
    <w:link w:val="KEYWORDS"/>
    <w:rsid w:val="00EE2F33"/>
    <w:rPr>
      <w:rFonts w:ascii="Arial" w:eastAsia="MS Mincho" w:hAnsi="Arial"/>
      <w:b/>
      <w:kern w:val="2"/>
      <w:szCs w:val="22"/>
      <w:lang w:val="en-US" w:eastAsia="ja-JP" w:bidi="ar-SA"/>
    </w:rPr>
  </w:style>
  <w:style w:type="character" w:customStyle="1" w:styleId="Keywords2">
    <w:name w:val="Keywords (文字)"/>
    <w:basedOn w:val="KEYWORDS0"/>
    <w:link w:val="Keywords1"/>
    <w:rsid w:val="00EE2F33"/>
    <w:rPr>
      <w:rFonts w:ascii="Arial" w:eastAsia="MS Mincho"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
    <w:rsid w:val="00AF5809"/>
    <w:pPr>
      <w:numPr>
        <w:numId w:val="9"/>
      </w:numPr>
      <w:spacing w:line="240" w:lineRule="exact"/>
    </w:pPr>
    <w:rPr>
      <w:rFonts w:ascii="Times New Roman" w:eastAsia="Times New Roman" w:hAnsi="Times New Roman"/>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
    <w:link w:val="Caption"/>
    <w:rsid w:val="00CA750D"/>
    <w:pPr>
      <w:snapToGrid w:val="0"/>
      <w:spacing w:line="240" w:lineRule="exact"/>
    </w:pPr>
    <w:rPr>
      <w:rFonts w:ascii="Times New Roman" w:eastAsia="Times New Roman" w:hAnsi="Times New Roman"/>
      <w:sz w:val="18"/>
    </w:rPr>
  </w:style>
  <w:style w:type="character" w:customStyle="1" w:styleId="Caption">
    <w:name w:val="Caption (文字)"/>
    <w:link w:val="11"/>
    <w:rsid w:val="00CA750D"/>
    <w:rPr>
      <w:kern w:val="2"/>
      <w:sz w:val="18"/>
      <w:szCs w:val="24"/>
      <w:lang w:val="en-US" w:eastAsia="ja-JP" w:bidi="ar-SA"/>
    </w:rPr>
  </w:style>
  <w:style w:type="paragraph" w:customStyle="1" w:styleId="SubSectionTitle0">
    <w:name w:val="スタイル SubSectionTitle"/>
    <w:basedOn w:val="SubSectionTitle"/>
    <w:rsid w:val="00363FE3"/>
    <w:pPr>
      <w:spacing w:beforeLines="50" w:before="50"/>
    </w:pPr>
    <w:rPr>
      <w:rFonts w:cs="MS Mincho"/>
      <w:iCs/>
      <w:szCs w:val="20"/>
    </w:rPr>
  </w:style>
  <w:style w:type="paragraph" w:customStyle="1" w:styleId="MainText15">
    <w:name w:val="スタイル MainText + 最初の行 :  1.5 字"/>
    <w:basedOn w:val="MainText"/>
    <w:rsid w:val="00363FE3"/>
    <w:pPr>
      <w:ind w:firstLine="330"/>
    </w:pPr>
    <w:rPr>
      <w:rFonts w:cs="MS Mincho"/>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rPr>
      <w:rFonts w:cs="MS Mincho"/>
      <w:szCs w:val="20"/>
    </w:r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rFonts w:cs="MS Mincho"/>
      <w:szCs w:val="20"/>
    </w:rPr>
  </w:style>
  <w:style w:type="paragraph" w:customStyle="1" w:styleId="MainText151510">
    <w:name w:val="スタイル スタイル スタイル スタイル MainText + 最初の行 :  1.5 字 + 最初の行 :  1.5 字 + 最初の...1"/>
    <w:basedOn w:val="MainText15150"/>
    <w:rsid w:val="000C54AD"/>
    <w:rPr>
      <w:rFonts w:cs="MS Mincho"/>
      <w:szCs w:val="20"/>
    </w:rPr>
  </w:style>
  <w:style w:type="character" w:customStyle="1" w:styleId="a4">
    <w:name w:val="页脚 字符"/>
    <w:link w:val="a3"/>
    <w:uiPriority w:val="99"/>
    <w:rsid w:val="00686681"/>
    <w:rPr>
      <w:rFonts w:ascii="Times New Roman" w:hAnsi="Times New Roman"/>
      <w:sz w:val="22"/>
    </w:rPr>
  </w:style>
  <w:style w:type="character" w:styleId="a9">
    <w:name w:val="Placeholder Text"/>
    <w:basedOn w:val="a0"/>
    <w:uiPriority w:val="99"/>
    <w:semiHidden/>
    <w:rsid w:val="00354BE3"/>
    <w:rPr>
      <w:color w:val="808080"/>
    </w:rPr>
  </w:style>
  <w:style w:type="character" w:styleId="aa">
    <w:name w:val="Hyperlink"/>
    <w:basedOn w:val="a0"/>
    <w:uiPriority w:val="99"/>
    <w:unhideWhenUsed/>
    <w:rsid w:val="003236A8"/>
    <w:rPr>
      <w:color w:val="0000FF"/>
      <w:u w:val="single"/>
    </w:rPr>
  </w:style>
  <w:style w:type="paragraph" w:styleId="ab">
    <w:name w:val="List Paragraph"/>
    <w:basedOn w:val="a"/>
    <w:uiPriority w:val="34"/>
    <w:qFormat/>
    <w:rsid w:val="003236A8"/>
    <w:pPr>
      <w:ind w:leftChars="400" w:left="840"/>
    </w:pPr>
    <w:rPr>
      <w:rFonts w:asciiTheme="minorHAnsi" w:eastAsiaTheme="minorEastAsia" w:hAnsiTheme="minorHAnsi" w:cstheme="minorBidi"/>
      <w:szCs w:val="22"/>
    </w:rPr>
  </w:style>
  <w:style w:type="paragraph" w:styleId="ac">
    <w:name w:val="Normal (Web)"/>
    <w:basedOn w:val="a"/>
    <w:uiPriority w:val="99"/>
    <w:unhideWhenUsed/>
    <w:rsid w:val="00176B2F"/>
    <w:pPr>
      <w:widowControl/>
      <w:spacing w:before="100" w:beforeAutospacing="1" w:after="100" w:afterAutospacing="1"/>
      <w:jc w:val="left"/>
    </w:pPr>
    <w:rPr>
      <w:rFonts w:ascii="MS PGothic" w:eastAsia="MS PGothic" w:hAnsi="MS PGothic" w:cs="MS PGothic"/>
      <w:kern w:val="0"/>
      <w:sz w:val="24"/>
    </w:rPr>
  </w:style>
  <w:style w:type="character" w:styleId="ad">
    <w:name w:val="Strong"/>
    <w:basedOn w:val="a0"/>
    <w:uiPriority w:val="22"/>
    <w:qFormat/>
    <w:rsid w:val="00176B2F"/>
    <w:rPr>
      <w:b/>
      <w:bCs/>
    </w:rPr>
  </w:style>
  <w:style w:type="character" w:customStyle="1" w:styleId="a7">
    <w:name w:val="页眉 字符"/>
    <w:basedOn w:val="a0"/>
    <w:link w:val="a6"/>
    <w:uiPriority w:val="99"/>
    <w:rsid w:val="00C66CDB"/>
    <w:rPr>
      <w:kern w:val="2"/>
      <w:sz w:val="21"/>
      <w:szCs w:val="24"/>
    </w:rPr>
  </w:style>
  <w:style w:type="table" w:styleId="ae">
    <w:name w:val="Table Grid"/>
    <w:basedOn w:val="a1"/>
    <w:uiPriority w:val="39"/>
    <w:rsid w:val="00BC495F"/>
    <w:rPr>
      <w:rFonts w:ascii="等线" w:eastAsia="等线" w:hAnsi="等线"/>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semiHidden/>
    <w:unhideWhenUsed/>
    <w:rsid w:val="00652AAD"/>
    <w:rPr>
      <w:sz w:val="21"/>
      <w:szCs w:val="21"/>
    </w:rPr>
  </w:style>
  <w:style w:type="paragraph" w:styleId="af0">
    <w:name w:val="annotation text"/>
    <w:basedOn w:val="a"/>
    <w:link w:val="af1"/>
    <w:unhideWhenUsed/>
    <w:rsid w:val="00652AAD"/>
    <w:pPr>
      <w:jc w:val="left"/>
    </w:pPr>
  </w:style>
  <w:style w:type="character" w:customStyle="1" w:styleId="af1">
    <w:name w:val="批注文字 字符"/>
    <w:basedOn w:val="a0"/>
    <w:link w:val="af0"/>
    <w:rsid w:val="00652AAD"/>
    <w:rPr>
      <w:kern w:val="2"/>
      <w:sz w:val="21"/>
      <w:szCs w:val="24"/>
    </w:rPr>
  </w:style>
  <w:style w:type="paragraph" w:styleId="af2">
    <w:name w:val="annotation subject"/>
    <w:basedOn w:val="af0"/>
    <w:next w:val="af0"/>
    <w:link w:val="af3"/>
    <w:semiHidden/>
    <w:unhideWhenUsed/>
    <w:rsid w:val="00652AAD"/>
    <w:rPr>
      <w:b/>
      <w:bCs/>
    </w:rPr>
  </w:style>
  <w:style w:type="character" w:customStyle="1" w:styleId="af3">
    <w:name w:val="批注主题 字符"/>
    <w:basedOn w:val="af1"/>
    <w:link w:val="af2"/>
    <w:semiHidden/>
    <w:rsid w:val="00652AAD"/>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tiff"/><Relationship Id="rId10" Type="http://schemas.openxmlformats.org/officeDocument/2006/relationships/footer" Target="footer2.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D2B68-96D2-4205-8CDB-D6242BC29D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28</Pages>
  <Words>15913</Words>
  <Characters>90710</Characters>
  <Application>Microsoft Office Word</Application>
  <DocSecurity>0</DocSecurity>
  <Lines>755</Lines>
  <Paragraphs>212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Title of Paper Goes Here:</vt:lpstr>
      <vt:lpstr>Title of Paper Goes Here:</vt:lpstr>
    </vt:vector>
  </TitlesOfParts>
  <Company>JPSJ編集部</Company>
  <LinksUpToDate>false</LinksUpToDate>
  <CharactersWithSpaces>106411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 Goes Here:</dc:title>
  <dc:subject/>
  <dc:creator>JPSJ1</dc:creator>
  <cp:keywords/>
  <dc:description/>
  <cp:lastModifiedBy>sl C</cp:lastModifiedBy>
  <cp:revision>7</cp:revision>
  <cp:lastPrinted>2022-12-26T06:36:00Z</cp:lastPrinted>
  <dcterms:created xsi:type="dcterms:W3CDTF">2023-03-24T07:15:00Z</dcterms:created>
  <dcterms:modified xsi:type="dcterms:W3CDTF">2023-03-24T07:22:00Z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http://www.zotero.org/styles/japanese-journal-of-applied-physics</vt:lpwstr>
  </property>
  <property fmtid="{D5CDD505-2E9C-101B-9397-08002B2CF9AE}" pid="4" name="Mendeley Unique User Id_1">
    <vt:lpwstr>d363e038-f424-3d42-ad8a-13389cf05f52</vt:lpwstr>
  </property>
  <property fmtid="{D5CDD505-2E9C-101B-9397-08002B2CF9AE}" pid="5" name="Mendeley Recent Style Id 0_1">
    <vt:lpwstr>http://www.zotero.org/styles/advanced-functional-materials</vt:lpwstr>
  </property>
  <property fmtid="{D5CDD505-2E9C-101B-9397-08002B2CF9AE}" pid="6" name="Mendeley Recent Style Name 0_1">
    <vt:lpwstr>Advanced Functional Materials</vt:lpwstr>
  </property>
  <property fmtid="{D5CDD505-2E9C-101B-9397-08002B2CF9AE}" pid="7" name="Mendeley Recent Style Id 1_1">
    <vt:lpwstr>http://www.zotero.org/styles/american-medical-association</vt:lpwstr>
  </property>
  <property fmtid="{D5CDD505-2E9C-101B-9397-08002B2CF9AE}" pid="8" name="Mendeley Recent Style Name 1_1">
    <vt:lpwstr>American Medical Association</vt:lpwstr>
  </property>
  <property fmtid="{D5CDD505-2E9C-101B-9397-08002B2CF9AE}" pid="9" name="Mendeley Recent Style Id 2_1">
    <vt:lpwstr>http://www.zotero.org/styles/american-political-science-association</vt:lpwstr>
  </property>
  <property fmtid="{D5CDD505-2E9C-101B-9397-08002B2CF9AE}" pid="10" name="Mendeley Recent Style Name 2_1">
    <vt:lpwstr>American Political Science Association</vt:lpwstr>
  </property>
  <property fmtid="{D5CDD505-2E9C-101B-9397-08002B2CF9AE}" pid="11" name="Mendeley Recent Style Id 3_1">
    <vt:lpwstr>http://www.zotero.org/styles/apa</vt:lpwstr>
  </property>
  <property fmtid="{D5CDD505-2E9C-101B-9397-08002B2CF9AE}" pid="12" name="Mendeley Recent Style Name 3_1">
    <vt:lpwstr>American Psychological Association 7th edition</vt:lpwstr>
  </property>
  <property fmtid="{D5CDD505-2E9C-101B-9397-08002B2CF9AE}" pid="13" name="Mendeley Recent Style Id 4_1">
    <vt:lpwstr>http://www.zotero.org/styles/american-sociological-association</vt:lpwstr>
  </property>
  <property fmtid="{D5CDD505-2E9C-101B-9397-08002B2CF9AE}" pid="14" name="Mendeley Recent Style Name 4_1">
    <vt:lpwstr>American Sociological Association</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http://www.zotero.org/styles/japanese-journal-of-applied-physics</vt:lpwstr>
  </property>
  <property fmtid="{D5CDD505-2E9C-101B-9397-08002B2CF9AE}" pid="18" name="Mendeley Recent Style Name 6_1">
    <vt:lpwstr>Japanese Journal of Applied Physics</vt:lpwstr>
  </property>
  <property fmtid="{D5CDD505-2E9C-101B-9397-08002B2CF9AE}" pid="19" name="Mendeley Recent Style Id 7_1">
    <vt:lpwstr>http://www.zotero.org/styles/national-library-of-medicine</vt:lpwstr>
  </property>
  <property fmtid="{D5CDD505-2E9C-101B-9397-08002B2CF9AE}" pid="20" name="Mendeley Recent Style Name 7_1">
    <vt:lpwstr>National Library of Medicine</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https://csl.mendeley.com/styles/571526061/CQUCQU</vt:lpwstr>
  </property>
  <property fmtid="{D5CDD505-2E9C-101B-9397-08002B2CF9AE}" pid="24" name="Mendeley Recent Style Name 9_1">
    <vt:lpwstr>毕业论文参考文献</vt:lpwstr>
  </property>
</Properties>
</file>