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B0E8D">
      <w:pPr>
        <w:spacing w:before="720" w:after="360" w:line="480" w:lineRule="auto"/>
        <w:jc w:val="center"/>
        <w:rPr>
          <w:rFonts w:ascii="Times New Roman" w:hAnsi="Times New Roman" w:cs="Times New Roman"/>
          <w:sz w:val="44"/>
          <w:szCs w:val="44"/>
        </w:rPr>
      </w:pPr>
      <w:r>
        <w:rPr>
          <w:rFonts w:ascii="Times New Roman" w:hAnsi="Times New Roman" w:cs="Times New Roman"/>
          <w:sz w:val="44"/>
          <w:szCs w:val="44"/>
        </w:rPr>
        <w:t xml:space="preserve">Moiré potential independent of moiré size </w:t>
      </w:r>
      <w:r>
        <w:rPr>
          <w:rFonts w:hint="eastAsia" w:ascii="Times New Roman" w:hAnsi="Times New Roman" w:cs="Times New Roman"/>
          <w:sz w:val="44"/>
          <w:szCs w:val="44"/>
          <w:lang w:val="en-US" w:eastAsia="zh-CN"/>
        </w:rPr>
        <w:t xml:space="preserve">down to a few nanometers </w:t>
      </w:r>
      <w:r>
        <w:rPr>
          <w:rFonts w:ascii="Times New Roman" w:hAnsi="Times New Roman" w:cs="Times New Roman"/>
          <w:sz w:val="44"/>
          <w:szCs w:val="44"/>
        </w:rPr>
        <w:t>in sliding ferroelectrics</w:t>
      </w:r>
    </w:p>
    <w:p w14:paraId="23D9F39E">
      <w:pPr>
        <w:spacing w:after="240" w:line="480" w:lineRule="auto"/>
        <w:jc w:val="center"/>
        <w:rPr>
          <w:rFonts w:ascii="Times" w:hAnsi="Times" w:cs="Times"/>
          <w:i/>
          <w:iCs/>
          <w:sz w:val="24"/>
          <w:szCs w:val="24"/>
        </w:rPr>
      </w:pPr>
      <w:r>
        <w:rPr>
          <w:rFonts w:ascii="Times" w:hAnsi="Times" w:cs="Times"/>
          <w:b/>
          <w:bCs/>
          <w:i/>
          <w:iCs/>
          <w:sz w:val="24"/>
          <w:szCs w:val="24"/>
        </w:rPr>
        <w:t>AUTHOR NAMES.</w:t>
      </w:r>
      <w:r>
        <w:rPr>
          <w:rFonts w:ascii="Times" w:hAnsi="Times" w:cs="Times"/>
          <w:i/>
          <w:iCs/>
          <w:sz w:val="24"/>
          <w:szCs w:val="24"/>
        </w:rPr>
        <w:t xml:space="preserve"> Jian Liao</w:t>
      </w:r>
      <w:r>
        <w:rPr>
          <w:rFonts w:ascii="Times" w:hAnsi="Times" w:cs="Times"/>
          <w:i/>
          <w:iCs/>
          <w:sz w:val="24"/>
          <w:szCs w:val="24"/>
          <w:vertAlign w:val="superscript"/>
        </w:rPr>
        <w:t>1</w:t>
      </w:r>
      <w:r>
        <w:rPr>
          <w:rFonts w:ascii="Times" w:hAnsi="Times" w:cs="Times"/>
          <w:i/>
          <w:iCs/>
          <w:sz w:val="24"/>
          <w:szCs w:val="24"/>
        </w:rPr>
        <w:t>, Xinyu Lv</w:t>
      </w:r>
      <w:r>
        <w:rPr>
          <w:rFonts w:ascii="Times" w:hAnsi="Times" w:cs="Times"/>
          <w:i/>
          <w:iCs/>
          <w:sz w:val="24"/>
          <w:szCs w:val="24"/>
          <w:vertAlign w:val="superscript"/>
        </w:rPr>
        <w:t>1</w:t>
      </w:r>
      <w:r>
        <w:rPr>
          <w:rFonts w:ascii="Times" w:hAnsi="Times" w:cs="Times"/>
          <w:i/>
          <w:iCs/>
          <w:sz w:val="24"/>
          <w:szCs w:val="24"/>
        </w:rPr>
        <w:t>, Takashi Taniguchi</w:t>
      </w:r>
      <w:r>
        <w:rPr>
          <w:rFonts w:ascii="Times" w:hAnsi="Times" w:cs="Times"/>
          <w:i/>
          <w:iCs/>
          <w:sz w:val="24"/>
          <w:szCs w:val="24"/>
          <w:vertAlign w:val="superscript"/>
        </w:rPr>
        <w:t>2</w:t>
      </w:r>
      <w:r>
        <w:rPr>
          <w:rFonts w:ascii="Times" w:hAnsi="Times" w:cs="Times"/>
          <w:i/>
          <w:iCs/>
          <w:sz w:val="24"/>
          <w:szCs w:val="24"/>
        </w:rPr>
        <w:t>, Kenji Watanabe</w:t>
      </w:r>
      <w:r>
        <w:rPr>
          <w:rFonts w:ascii="Times" w:hAnsi="Times" w:cs="Times"/>
          <w:i/>
          <w:iCs/>
          <w:sz w:val="24"/>
          <w:szCs w:val="24"/>
          <w:vertAlign w:val="superscript"/>
        </w:rPr>
        <w:t>3</w:t>
      </w:r>
      <w:r>
        <w:rPr>
          <w:rFonts w:ascii="Times" w:hAnsi="Times" w:cs="Times"/>
          <w:i/>
          <w:iCs/>
          <w:sz w:val="24"/>
          <w:szCs w:val="24"/>
        </w:rPr>
        <w:t>, Jianming Lu</w:t>
      </w:r>
      <w:r>
        <w:rPr>
          <w:rFonts w:ascii="Times" w:hAnsi="Times" w:cs="Times"/>
          <w:i/>
          <w:iCs/>
          <w:sz w:val="24"/>
          <w:szCs w:val="24"/>
          <w:vertAlign w:val="superscript"/>
        </w:rPr>
        <w:t>4</w:t>
      </w:r>
      <w:r>
        <w:rPr>
          <w:rFonts w:ascii="Times" w:hAnsi="Times" w:cs="Times"/>
          <w:i/>
          <w:iCs/>
          <w:sz w:val="24"/>
          <w:szCs w:val="24"/>
        </w:rPr>
        <w:t>*, and Jiamin Xue</w:t>
      </w:r>
      <w:r>
        <w:rPr>
          <w:rFonts w:ascii="Times" w:hAnsi="Times" w:cs="Times"/>
          <w:i/>
          <w:iCs/>
          <w:sz w:val="24"/>
          <w:szCs w:val="24"/>
          <w:vertAlign w:val="superscript"/>
        </w:rPr>
        <w:t>1</w:t>
      </w:r>
      <w:r>
        <w:rPr>
          <w:rFonts w:ascii="Times" w:hAnsi="Times" w:cs="Times"/>
          <w:i/>
          <w:iCs/>
          <w:sz w:val="24"/>
          <w:szCs w:val="24"/>
        </w:rPr>
        <w:t>*</w:t>
      </w:r>
    </w:p>
    <w:p w14:paraId="0FBF9C74">
      <w:pPr>
        <w:pStyle w:val="19"/>
        <w:jc w:val="left"/>
        <w:rPr>
          <w:rFonts w:eastAsiaTheme="minorEastAsia"/>
          <w:b/>
          <w:bCs/>
          <w:lang w:eastAsia="zh-CN"/>
        </w:rPr>
      </w:pPr>
      <w:r>
        <w:rPr>
          <w:b/>
          <w:bCs/>
        </w:rPr>
        <w:t>AUTHOR ADDRESS</w:t>
      </w:r>
    </w:p>
    <w:p w14:paraId="7B63B74E">
      <w:pPr>
        <w:spacing w:after="240" w:line="480" w:lineRule="auto"/>
        <w:rPr>
          <w:rFonts w:ascii="Times" w:hAnsi="Times" w:cs="Times"/>
          <w:sz w:val="24"/>
          <w:szCs w:val="24"/>
        </w:rPr>
      </w:pPr>
      <w:r>
        <w:rPr>
          <w:rFonts w:ascii="Times" w:hAnsi="Times" w:cs="Times"/>
          <w:sz w:val="24"/>
          <w:szCs w:val="24"/>
          <w:vertAlign w:val="superscript"/>
        </w:rPr>
        <w:t>1</w:t>
      </w:r>
      <w:r>
        <w:rPr>
          <w:rFonts w:ascii="Times" w:hAnsi="Times" w:cs="Times"/>
          <w:sz w:val="24"/>
          <w:szCs w:val="24"/>
        </w:rPr>
        <w:t>School of Physical Science and Technology, ShanghaiTech University, Pudong, Shanghai 201210, China.</w:t>
      </w:r>
    </w:p>
    <w:p w14:paraId="3B7C3368">
      <w:pPr>
        <w:spacing w:after="240" w:line="480" w:lineRule="auto"/>
        <w:rPr>
          <w:rFonts w:ascii="Times" w:hAnsi="Times" w:cs="Times"/>
          <w:sz w:val="24"/>
          <w:szCs w:val="24"/>
        </w:rPr>
      </w:pPr>
      <w:r>
        <w:rPr>
          <w:rFonts w:ascii="Times" w:hAnsi="Times" w:cs="Times"/>
          <w:sz w:val="24"/>
          <w:szCs w:val="24"/>
          <w:vertAlign w:val="superscript"/>
        </w:rPr>
        <w:t>2</w:t>
      </w:r>
      <w:r>
        <w:rPr>
          <w:rFonts w:ascii="Times" w:hAnsi="Times" w:cs="Times"/>
          <w:sz w:val="24"/>
          <w:szCs w:val="24"/>
        </w:rPr>
        <w:t>Research Center for Materials Nanoarchitectonics, National Institute for Materials Science,  1-1 Namiki, Tsukuba 305-0044, Japan</w:t>
      </w:r>
    </w:p>
    <w:p w14:paraId="26CCF13A">
      <w:pPr>
        <w:spacing w:after="240" w:line="480" w:lineRule="auto"/>
        <w:rPr>
          <w:rFonts w:ascii="Times" w:hAnsi="Times" w:cs="Times"/>
          <w:sz w:val="24"/>
          <w:szCs w:val="24"/>
        </w:rPr>
      </w:pPr>
      <w:r>
        <w:rPr>
          <w:rFonts w:ascii="Times" w:hAnsi="Times" w:cs="Times"/>
          <w:sz w:val="24"/>
          <w:szCs w:val="24"/>
          <w:vertAlign w:val="superscript"/>
        </w:rPr>
        <w:t>3</w:t>
      </w:r>
      <w:r>
        <w:rPr>
          <w:rFonts w:ascii="Times" w:hAnsi="Times" w:cs="Times"/>
          <w:sz w:val="24"/>
          <w:szCs w:val="24"/>
        </w:rPr>
        <w:t>Research Center for Electronic and Optical Materials, National Institute for Materials Science, 1-1 Namiki, Tsukuba 305-0044, Japan</w:t>
      </w:r>
    </w:p>
    <w:p w14:paraId="1F4F0CBF">
      <w:pPr>
        <w:spacing w:after="240" w:line="480" w:lineRule="auto"/>
        <w:rPr>
          <w:rFonts w:ascii="Times" w:hAnsi="Times" w:cs="Times"/>
          <w:sz w:val="24"/>
          <w:szCs w:val="24"/>
        </w:rPr>
      </w:pPr>
      <w:r>
        <w:rPr>
          <w:rFonts w:ascii="Times" w:hAnsi="Times" w:cs="Times"/>
          <w:sz w:val="24"/>
          <w:szCs w:val="24"/>
          <w:vertAlign w:val="superscript"/>
        </w:rPr>
        <w:t>4</w:t>
      </w:r>
      <w:r>
        <w:rPr>
          <w:rFonts w:ascii="Times" w:hAnsi="Times" w:cs="Times"/>
          <w:sz w:val="24"/>
          <w:szCs w:val="24"/>
        </w:rPr>
        <w:t>State Key Laboratory for Mesoscopic Physics, School of Physics, Peking University, Beijing</w:t>
      </w:r>
      <w:r>
        <w:rPr>
          <w:rFonts w:hint="eastAsia" w:ascii="Times" w:hAnsi="Times" w:cs="Times"/>
          <w:sz w:val="24"/>
          <w:szCs w:val="24"/>
          <w:lang w:val="en-US" w:eastAsia="zh-CN"/>
        </w:rPr>
        <w:t xml:space="preserve"> 100871</w:t>
      </w:r>
      <w:r>
        <w:rPr>
          <w:rFonts w:ascii="Times" w:hAnsi="Times" w:cs="Times"/>
          <w:sz w:val="24"/>
          <w:szCs w:val="24"/>
        </w:rPr>
        <w:t>, China</w:t>
      </w:r>
    </w:p>
    <w:p w14:paraId="4D8E5052">
      <w:pPr>
        <w:spacing w:after="240" w:line="480" w:lineRule="auto"/>
        <w:rPr>
          <w:rFonts w:ascii="Times" w:hAnsi="Times" w:cs="Times"/>
          <w:sz w:val="24"/>
          <w:szCs w:val="24"/>
        </w:rPr>
      </w:pPr>
      <w:r>
        <w:rPr>
          <w:rFonts w:hint="eastAsia" w:ascii="Times" w:hAnsi="Times" w:cs="Times"/>
          <w:sz w:val="24"/>
          <w:szCs w:val="24"/>
        </w:rPr>
        <w:t>*Correspondence to: jmlu@pku.edu.cn; xuejm@shanghaitech.edu.cn</w:t>
      </w:r>
    </w:p>
    <w:p w14:paraId="6E815C52">
      <w:pPr>
        <w:spacing w:after="200" w:line="480" w:lineRule="auto"/>
        <w:jc w:val="both"/>
        <w:rPr>
          <w:rFonts w:ascii="Times" w:hAnsi="Times" w:cs="Times"/>
          <w:color w:val="000000" w:themeColor="text1"/>
          <w:sz w:val="24"/>
          <w:szCs w:val="24"/>
          <w14:textFill>
            <w14:solidFill>
              <w14:schemeClr w14:val="tx1"/>
            </w14:solidFill>
          </w14:textFill>
        </w:rPr>
      </w:pPr>
      <w:r>
        <w:rPr>
          <w:rFonts w:ascii="Times" w:hAnsi="Times" w:cs="Times"/>
          <w:b/>
          <w:bCs/>
          <w:color w:val="000000" w:themeColor="text1"/>
          <w:sz w:val="24"/>
          <w:szCs w:val="24"/>
          <w14:textFill>
            <w14:solidFill>
              <w14:schemeClr w14:val="tx1"/>
            </w14:solidFill>
          </w14:textFill>
        </w:rPr>
        <w:t>KEYWORDS</w:t>
      </w:r>
      <w:r>
        <w:rPr>
          <w:rFonts w:hint="eastAsia" w:ascii="Times" w:hAnsi="Times" w:cs="Times"/>
          <w:b/>
          <w:bCs/>
          <w:color w:val="000000" w:themeColor="text1"/>
          <w:sz w:val="24"/>
          <w:szCs w:val="24"/>
          <w14:textFill>
            <w14:solidFill>
              <w14:schemeClr w14:val="tx1"/>
            </w14:solidFill>
          </w14:textFill>
        </w:rPr>
        <w:t>:</w:t>
      </w:r>
      <w:r>
        <w:rPr>
          <w:rFonts w:ascii="Times" w:hAnsi="Times" w:cs="Times"/>
          <w:color w:val="000000" w:themeColor="text1"/>
          <w:sz w:val="24"/>
          <w:szCs w:val="24"/>
          <w14:textFill>
            <w14:solidFill>
              <w14:schemeClr w14:val="tx1"/>
            </w14:solidFill>
          </w14:textFill>
        </w:rPr>
        <w:t xml:space="preserve"> sliding ferroelectrics, moiré potential, moiré size, Kelvin probe force microscopy, contact-mode scanning tunneling microscopy</w:t>
      </w:r>
    </w:p>
    <w:p w14:paraId="73070CF0">
      <w:pPr>
        <w:spacing w:before="360" w:after="360" w:line="480" w:lineRule="auto"/>
        <w:jc w:val="both"/>
        <w:rPr>
          <w:rFonts w:ascii="Times" w:hAnsi="Times" w:cs="Times"/>
          <w:b/>
          <w:bCs/>
          <w:sz w:val="24"/>
          <w:szCs w:val="24"/>
        </w:rPr>
      </w:pPr>
      <w:r>
        <w:rPr>
          <w:rFonts w:ascii="Times" w:hAnsi="Times" w:cs="Times"/>
          <w:b/>
          <w:bCs/>
          <w:sz w:val="24"/>
          <w:szCs w:val="24"/>
        </w:rPr>
        <w:t>ABSTRACT:</w:t>
      </w:r>
      <w:r>
        <w:rPr>
          <w:rFonts w:ascii="Times" w:hAnsi="Times" w:cs="Times"/>
          <w:sz w:val="24"/>
          <w:szCs w:val="24"/>
        </w:rPr>
        <w:t xml:space="preserve"> Sliding ferroelectricity</w:t>
      </w:r>
      <w:r>
        <w:rPr>
          <w:rFonts w:hint="eastAsia" w:ascii="Times" w:hAnsi="Times" w:cs="Times"/>
          <w:sz w:val="24"/>
          <w:szCs w:val="24"/>
          <w:lang w:val="en-US" w:eastAsia="zh-CN"/>
        </w:rPr>
        <w:t xml:space="preserve"> </w:t>
      </w:r>
      <w:r>
        <w:rPr>
          <w:rFonts w:ascii="Times" w:hAnsi="Times" w:cs="Times"/>
          <w:sz w:val="24"/>
          <w:szCs w:val="24"/>
        </w:rPr>
        <w:t>represents a way of realizing atomically thin ferroelectric materials. Due to the moiré pattern formed in the stacking process, the alternating ferroelectric domain network provides an attractive superlattice of electrostatic potential to modulate the electronic structures of another material sitting on it. The relationship between the ferroelectric potential magnitude and the moiré size, however, has been controversial in the literature. In addition, how strong the potential remains for domain sizes down to the 10 nm range is unclear</w:t>
      </w:r>
      <w:r>
        <w:rPr>
          <w:rFonts w:ascii="Times" w:hAnsi="Times" w:cs="Times"/>
          <w:color w:val="0000FF"/>
          <w:sz w:val="24"/>
          <w:szCs w:val="24"/>
        </w:rPr>
        <w:t xml:space="preserve">. </w:t>
      </w:r>
      <w:r>
        <w:rPr>
          <w:rFonts w:ascii="Times" w:hAnsi="Times" w:cs="Times"/>
          <w:sz w:val="24"/>
          <w:szCs w:val="24"/>
        </w:rPr>
        <w:t xml:space="preserve">In this study, we use contact-mode scanning tunneling microscopy with </w:t>
      </w:r>
      <w:r>
        <w:rPr>
          <w:rFonts w:hint="eastAsia" w:ascii="Times" w:hAnsi="Times" w:cs="Times"/>
          <w:sz w:val="24"/>
          <w:szCs w:val="24"/>
          <w:lang w:val="en-US" w:eastAsia="zh-CN"/>
        </w:rPr>
        <w:t>high</w:t>
      </w:r>
      <w:r>
        <w:rPr>
          <w:rFonts w:ascii="Times" w:hAnsi="Times" w:cs="Times"/>
          <w:sz w:val="24"/>
          <w:szCs w:val="24"/>
        </w:rPr>
        <w:t xml:space="preserve"> spatial and energy resolution to show that the moiré potential is independent of the domain size ranging from hundreds to several nanometers. We also show that the electrostatic potential is solely determined by the specific materials used to fabricate the stack. This study provides important information for the sliding ferroelectrics and can foster their applications in modulating other materials.</w:t>
      </w:r>
    </w:p>
    <w:p w14:paraId="708838F0">
      <w:pPr>
        <w:spacing w:after="0" w:line="480" w:lineRule="auto"/>
        <w:jc w:val="both"/>
        <w:rPr>
          <w:rFonts w:ascii="Times" w:hAnsi="Times" w:cs="Times"/>
          <w:b/>
          <w:bCs/>
          <w:sz w:val="24"/>
          <w:szCs w:val="24"/>
        </w:rPr>
      </w:pPr>
    </w:p>
    <w:p w14:paraId="20418A88">
      <w:pPr>
        <w:spacing w:after="0" w:line="480" w:lineRule="auto"/>
        <w:jc w:val="both"/>
        <w:rPr>
          <w:rFonts w:ascii="Times" w:hAnsi="Times" w:cs="Times"/>
          <w:b/>
          <w:bCs/>
          <w:sz w:val="24"/>
          <w:szCs w:val="24"/>
        </w:rPr>
      </w:pPr>
    </w:p>
    <w:p w14:paraId="34FD42CE">
      <w:pPr>
        <w:spacing w:after="0" w:line="480" w:lineRule="auto"/>
        <w:ind w:firstLine="204"/>
        <w:jc w:val="both"/>
        <w:rPr>
          <w:rFonts w:ascii="Times" w:hAnsi="Times" w:cs="Times"/>
          <w:sz w:val="24"/>
          <w:szCs w:val="24"/>
        </w:rPr>
      </w:pPr>
      <w:r>
        <w:rPr>
          <w:rFonts w:ascii="Times" w:hAnsi="Times" w:cs="Times"/>
          <w:sz w:val="24"/>
          <w:szCs w:val="24"/>
        </w:rPr>
        <w:t>Sliding ferroelectricity has attracted a lot of research interest thanks to its capability in producing various atomically thin ferroelectric materials by stacking atomic layers of two dimensional (2D) materials. Since its theoretical proposal</w:t>
      </w:r>
      <w:r>
        <w:rPr>
          <w:rFonts w:ascii="Times" w:hAnsi="Times" w:cs="Times"/>
          <w:sz w:val="24"/>
          <w:szCs w:val="24"/>
        </w:rPr>
        <w:fldChar w:fldCharType="begin"/>
      </w:r>
      <w:r>
        <w:rPr>
          <w:rFonts w:ascii="Times" w:hAnsi="Times" w:cs="Times"/>
          <w:sz w:val="24"/>
          <w:szCs w:val="24"/>
        </w:rPr>
        <w:instrText xml:space="preserve"> ADDIN ZOTERO_ITEM CSL_CITATION {"citationID":"LjIrLKDB","properties":{"formattedCitation":"\\super 1\\nosupersub{}","plainCitation":"1","noteIndex":0},"citationItems":[{"id":47,"uris":["http://zotero.org/users/9383478/items/2WD5X9KW"],"itemData":{"id":47,"type":"article-journal","abstract":"Vertical ferroelectricity in two-dimensional (2D) materials is desirable for high-density data storage without quantum tunneling or high power consumption/dissipation, which still remains elusive due to the surface-depolarizing field. Herein, we report the first-principles evidence of 2D vertical ferroelectricity induced by interlayer translation, which exists extensively in the graphitic bilayer of BN, AlN, ZnO, MoS2, GaSe, etc.; the bilayer of some 2D ferromagnets like MXene, VS2, and MoN2 can be even multiferroics with switchable magnetizations upon ferroelectric switching, rendering efficient reading and writing for high-density data storage. In particular, the electromechanical coupling between interlayer translation and potential can be used to drive the flow of electrons as nanogenerators for harvesting energy from human activities, ocean waves, mechanical vibration, etc. A ferroelectric superlattice with spatial varying potential can be formed in a bilayer Moire pattern upon a small twist or strain, making it possible to generate periodic n/p doped-domains and shape the periodicity of the potential energy landscape. Finally, some of their multilayer counterparts with wurtzite structures like a ZnO multilayer are revealed to exhibit another type of vertical ferroelectricity with greatly enhanced polarizations.","container-title":"ACS Nano","DOI":"10.1021/acsnano.7b02756","ISSN":"1936-0851","issue":"6","journalAbbreviation":"ACS Nano","note":"publisher: American Chemical Society","page":"6382-6388","source":"ACS Publications","title":"Binary Compound Bilayer and Multilayer with Vertical Polarizations: Two-Dimensional Ferroelectrics, Multiferroics, and Nanogenerators","title-short":"Binary Compound Bilayer and Multilayer with Vertical Polarizations","volume":"11","author":[{"family":"Li","given":"Lei"},{"family":"Wu","given":"Menghao"}],"issued":{"date-parts":[["2017",6,27]]}}}],"schema":"https://github.com/citation-style-language/schema/raw/master/csl-citation.json"}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1</w:t>
      </w:r>
      <w:r>
        <w:rPr>
          <w:rFonts w:ascii="Times" w:hAnsi="Times" w:cs="Times"/>
          <w:sz w:val="24"/>
          <w:szCs w:val="24"/>
        </w:rPr>
        <w:fldChar w:fldCharType="end"/>
      </w:r>
      <w:r>
        <w:rPr>
          <w:rFonts w:ascii="Times" w:hAnsi="Times" w:cs="Times"/>
          <w:sz w:val="24"/>
          <w:szCs w:val="24"/>
        </w:rPr>
        <w:t>, it has been experimentally realized in hexagonal boron nitride (hBN)</w:t>
      </w:r>
      <w:r>
        <w:rPr>
          <w:rFonts w:ascii="Times" w:hAnsi="Times" w:cs="Times"/>
          <w:sz w:val="24"/>
          <w:szCs w:val="24"/>
        </w:rPr>
        <w:fldChar w:fldCharType="begin"/>
      </w:r>
      <w:r>
        <w:rPr>
          <w:rFonts w:ascii="Times" w:hAnsi="Times" w:cs="Times"/>
          <w:sz w:val="24"/>
          <w:szCs w:val="24"/>
        </w:rPr>
        <w:instrText xml:space="preserve"> ADDIN ZOTERO_ITEM CSL_CITATION {"citationID":"n7NLHd9Y","properties":{"formattedCitation":"\\super 2\\uc0\\u8211{}4\\nosupersub{}","plainCitation":"2–4","noteIndex":0},"citationItems":[{"id":2204,"uris":["http://zotero.org/users/9383478/items/IFSMG8GT"],"itemData":{"id":2204,"type":"article-journal","abstract":"Stacking a ferroelectric\n            \n              Properties of layered van der Waals structures can depend sensitively on the stacking arrangement of constituent layers. This phenomenon has been exploited to engineer superconducting, correlated insulator, and magnetic states. Two groups now show that ferroelectricity can also be engineered through stacking: Parallel-stacked bilayers of hexagonal boron nitride exhibit ferroelectric switching even though the bulk material is not ferroelectric (see the Perspective by Tsymbal). To explore these phenomena, Yasuda\n              et al.\n              used transport measurements, whereas Vizner Stern\n              et al.\n              focused on atomic force microscopy.\n            \n            \n              Science\n              , abd3230 and abe8177, this issue p.\n              1458\n              and p.\n              1462\n              ; see also abi7296, p.\n              1389\n            \n          , \n            Parallel-stacked bilayers of hexagonal boron nitride (hBN) exhibit ferroelectric switching even though bulk hBN is not ferroelectric.\n          , \n            Despite their partial ionic nature, many-layered diatomic crystals avoid internal electric polarization by forming a centrosymmetric lattice at their optimal van der Waals stacking. Here, we report a stable ferroelectric order emerging at the interface between two naturally grown flakes of hexagonal boron nitride, which are stacked together in a metastable non-centrosymmetric parallel orientation. We observe alternating domains of inverted normal polarization, caused by a lateral shift of one lattice site between the domains. Reversible polarization switching coupled to lateral sliding is achieved by scanning a biased tip above the surface. Our calculations trace the origin of the phenomenon to a subtle interplay between charge redistribution and ionic displacement and provide intuitive insights to explore the interfacial polarization and its distinctive “slidetronics” switching mechanism.","container-title":"Science","DOI":"10.1126/science.abe8177","ISSN":"0036-8075, 1095-9203","issue":"6549","journalAbbreviation":"Science","language":"en","page":"1462-1466","source":"DOI.org (Crossref)","title":"Interfacial ferroelectricity by van der Waals sliding","volume":"372","author":[{"family":"Vizner Stern","given":"M."},{"family":"Waschitz","given":"Y."},{"family":"Cao","given":"W."},{"family":"Nevo","given":"I."},{"family":"Watanabe","given":"K."},{"family":"Taniguchi","given":"T."},{"family":"Sela","given":"E."},{"family":"Urbakh","given":"M."},{"family":"Hod","given":"O."},{"family":"Ben Shalom","given":"M."}],"issued":{"date-parts":[["2021",6,25]]}}},{"id":2231,"uris":["http://zotero.org/users/9383478/items/9JSH6LDM"],"itemData":{"id":2231,"type":"article-journal","abstract":"Abstract\n            When two-dimensional crystals are brought into close proximity, their interaction results in reconstruction of electronic spectrum and crystal structure. Such reconstruction strongly depends on the twist angle between the crystals, which has received growing attention due to interesting electronic and optical properties that arise in graphene and transitional metal dichalcogenides. Here we study two insulating crystals of hexagonal boron nitride stacked at small twist angle. Using electrostatic force microscopy, we observe ferroelectric-like domains arranged in triangular superlattices with a large surface potential. The observation is attributed to interfacial elastic deformations that result in out-of-plane dipoles formed by pairs of boron and nitrogen atoms belonging to opposite interfacial surfaces. This creates a bilayer-thick ferroelectric with oppositely polarized (BN and NB) dipoles in neighbouring domains, in agreement with our modeling. These findings open up possibilities for designing van der Waals heterostructures and offer an alternative probe to study moiré-superlattice electrostatic potentials.","container-title":"Nature Communications","DOI":"10.1038/s41467-020-20667-2","ISSN":"2041-1723","issue":"1","journalAbbreviation":"Nat Commun","language":"en","page":"347","source":"DOI.org (Crossref)","title":"Charge-polarized interfacial superlattices in marginally twisted hexagonal boron nitride","volume":"12","author":[{"family":"Woods","given":"C. R."},{"family":"Ares","given":"P."},{"family":"Nevison-Andrews","given":"H."},{"family":"Holwill","given":"M. J."},{"family":"Fabregas","given":"R."},{"family":"Guinea","given":"F."},{"family":"Geim","given":"A. K."},{"family":"Novoselov","given":"K. S."},{"family":"Walet","given":"N. R."},{"family":"Fumagalli","given":"L."}],"issued":{"date-parts":[["2021",1,12]]}},"label":"page"},{"id":2538,"uris":["http://zotero.org/users/9383478/items/BEJ6IYIU"],"itemData":{"id":2538,"type":"article-journal","abstract":"Stacking a ferroelectric\n            \n              Properties of layered van der Waals structures can depend sensitively on the stacking arrangement of constituent layers. This phenomenon has been exploited to engineer superconducting, correlated insulator, and magnetic states. Two groups now show that ferroelectricity can also be engineered through stacking: Parallel-stacked bilayers of hexagonal boron nitride exhibit ferroelectric switching even though the bulk material is not ferroelectric (see the Perspective by Tsymbal). To explore these phenomena, Yasuda\n              et al.\n              used transport measurements, whereas Vizner Stern\n              et al.\n              focused on atomic force microscopy.\n            \n            \n              Science\n              , abd3230 and abe8177, this issue p.\n              1458\n              and p.\n              1462\n              ; see also abi7296, p.\n              1389\n            \n          , \n            Parallel-stacked bilayers of hexagonal boron nitride (hBN) exhibit ferroelectric switching even though bulk hBN is not ferroelectric.\n          , \n            Two-dimensional (2D) ferroelectrics with robust polarization down to atomic thicknesses provide building blocks for functional heterostructures. Experimental realization remains challenging because of the requirement of a layered polar crystal. Here, we demonstrate a rational design approach to engineering 2D ferroelectrics from a nonferroelectric parent compound by using van der Waals assembly. Parallel-stacked bilayer boron nitride exhibits out-of-plane electric polarization that reverses depending on the stacking order. The polarization switching is probed through the resistance of an adjacently stacked graphene sheet. Twisting the boron nitride sheets by a small angle changes the dynamics of switching because of the formation of moiré ferroelectricity with staggered polarization. The ferroelectricity persists to room temperature while keeping the high mobility of graphene, paving the way for potential ultrathin nonvolatile memory applications.","container-title":"Science","DOI":"10.1126/science.abd3230","ISSN":"0036-8075, 1095-9203","issue":"6549","journalAbbreviation":"Science","language":"en","page":"1458-1462","source":"DOI.org (Crossref)","title":"Stacking-engineered ferroelectricity in bilayer boron nitride","volume":"372","author":[{"family":"Yasuda","given":"Kenji"},{"family":"Wang","given":"Xirui"},{"family":"Watanabe","given":"Kenji"},{"family":"Taniguchi","given":"Takashi"},{"family":"Jarillo-Herrero","given":"Pablo"}],"issued":{"date-parts":[["2021",6,25]]}}}],"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2–4</w:t>
      </w:r>
      <w:r>
        <w:rPr>
          <w:rFonts w:ascii="Times" w:hAnsi="Times" w:cs="Times"/>
          <w:sz w:val="24"/>
          <w:szCs w:val="24"/>
        </w:rPr>
        <w:fldChar w:fldCharType="end"/>
      </w:r>
      <w:r>
        <w:rPr>
          <w:rFonts w:ascii="Times" w:hAnsi="Times" w:cs="Times"/>
          <w:sz w:val="24"/>
          <w:szCs w:val="24"/>
        </w:rPr>
        <w:t>, transitional metal dichalcogenides (TMD)</w:t>
      </w:r>
      <w:r>
        <w:rPr>
          <w:rFonts w:ascii="Times" w:hAnsi="Times" w:cs="Times"/>
          <w:sz w:val="24"/>
          <w:szCs w:val="24"/>
        </w:rPr>
        <w:fldChar w:fldCharType="begin"/>
      </w:r>
      <w:r>
        <w:rPr>
          <w:rFonts w:ascii="Times" w:hAnsi="Times" w:cs="Times"/>
          <w:sz w:val="24"/>
          <w:szCs w:val="24"/>
        </w:rPr>
        <w:instrText xml:space="preserve"> ADDIN ZOTERO_ITEM CSL_CITATION {"citationID":"0qKdIwPz","properties":{"formattedCitation":"\\super 5\\uc0\\u8211{}9\\nosupersub{}","plainCitation":"5–9","noteIndex":0},"citationItems":[{"id":2544,"uris":["http://zotero.org/users/9383478/items/S3HM5TT5"],"itemData":{"id":2544,"type":"article-journal","container-title":"Nature Nanotechnology","DOI":"10.1038/s41565-021-01059-z","ISSN":"1748-3387, 1748-3395","issue":"4","journalAbbreviation":"Nat. Nanotechnol.","language":"en","page":"367-371","source":"DOI.org (Crossref)","title":"Interfacial ferroelectricity in rhombohedral-stacked bilayer transition metal dichalcogenides","volume":"17","author":[{"family":"Wang","given":"Xirui"},{"family":"Yasuda","given":"Kenji"},{"family":"Zhang","given":"Yang"},{"family":"Liu","given":"Song"},{"family":"Watanabe","given":"Kenji"},{"family":"Taniguchi","given":"Takashi"},{"family":"Hone","given":"James"},{"family":"Fu","given":"Liang"},{"family":"Jarillo-Herrero","given":"Pablo"}],"issued":{"date-parts":[["2022",4]]}}},{"id":2547,"uris":["http://zotero.org/users/9383478/items/WD7UI666"],"itemData":{"id":2547,"type":"article-journal","abstract":"Abstract\n            \n              Twisted heterostructures of two-dimensional crystals offer almost unlimited scope for the design of new metamaterials. Here we demonstrate a room temperature ferroelectric semiconductor that is assembled using mono- or few-layer MoS\n              2\n              . These van der Waals heterostructures feature broken inversion symmetry, which, together with the asymmetry of atomic arrangement at the interface of two 2D crystals, enables ferroelectric domains with alternating out-of-plane polarization arranged into a twist-controlled network. The last can be moved by applying out-of-plane electrical fields, as visualized in situ using channelling contrast electron microscopy. The observed interfacial charge transfer, movement of domain walls and their bending rigidity agree well with theoretical calculations. Furthermore, we demonstrate proof-of-principle field-effect transistors, where the channel resistance exhibits a pronounced hysteresis governed by pinning of ferroelectric domain walls. Our results show a potential avenue towards room temperature electronic and optoelectronic semiconductor devices with built-in ferroelectric memory functions.","container-title":"Nature Nanotechnology","DOI":"10.1038/s41565-022-01072-w","ISSN":"1748-3387, 1748-3395","issue":"4","journalAbbreviation":"Nat. Nanotechnol.","language":"en","page":"390-395","source":"DOI.org (Crossref)","title":"Interfacial ferroelectricity in marginally twisted 2D semiconductors","volume":"17","author":[{"family":"Weston","given":"Astrid"},{"family":"Castanon","given":"Eli G."},{"family":"Enaldiev","given":"Vladimir"},{"family":"Ferreira","given":"Fábio"},{"family":"Bhattacharjee","given":"Shubhadeep"},{"family":"Xu","given":"Shuigang"},{"family":"Corte-León","given":"Héctor"},{"family":"Wu","given":"Zefei"},{"family":"Clark","given":"Nicholas"},{"family":"Summerfield","given":"Alex"},{"family":"Hashimoto","given":"Teruo"},{"family":"Gao","given":"Yunze"},{"family":"Wang","given":"Wendong"},{"family":"Hamer","given":"Matthew"},{"family":"Read","given":"Harriet"},{"family":"Fumagalli","given":"Laura"},{"family":"Kretinin","given":"Andrey V."},{"family":"Haigh","given":"Sarah J."},{"family":"Kazakova","given":"Olga"},{"family":"Geim","given":"A. K."},{"family":"Fal’ko","given":"Vladimir I."},{"family":"Gorbachev","given":"Roman"}],"issued":{"date-parts":[["2022",4]]}}},{"id":2541,"uris":["http://zotero.org/users/9383478/items/W3I7H5Q8"],"itemData":{"id":2541,"type":"article-journal","container-title":"Nature Materials","DOI":"10.1038/s41563-023-01595-0","ISSN":"1476-1122, 1476-4660","issue":"8","journalAbbreviation":"Nat. Mater.","language":"en","page":"992-998","source":"DOI.org (Crossref)","title":"Operando electron microscopy investigation of polar domain dynamics in twisted van der Waals homobilayers","volume":"22","author":[{"family":"Ko","given":"Kahyun"},{"family":"Yuk","given":"Ayoung"},{"family":"Engelke","given":"Rebecca"},{"family":"Carr","given":"Stephen"},{"family":"Kim","given":"Junhyung"},{"family":"Park","given":"Daesung"},{"family":"Heo","given":"Hoseok"},{"family":"Kim","given":"Hyun-Mi"},{"family":"Kim","given":"Seul-Gi"},{"family":"Kim","given":"Hyeongkeun"},{"family":"Taniguchi","given":"Takashi"},{"family":"Watanabe","given":"Kenji"},{"family":"Park","given":"Hongkun"},{"family":"Kaxiras","given":"Efthimios"},{"family":"Yang","given":"Sang Mo"},{"family":"Kim","given":"Philip"},{"family":"Yoo","given":"Hyobin"}],"issued":{"date-parts":[["2023",8]]}},"label":"page"},{"id":53,"uris":["http://zotero.org/users/9383478/items/6WMI3PIR"],"itemData":{"id":53,"type":"article-journal","container-title":"Nature Photonics","DOI":"10.1038/s41566-022-01008-9","ISSN":"1749-4885, 1749-4893","issue":"6","journalAbbreviation":"Nat. Photon.","language":"en","page":"469-474","source":"DOI.org (Crossref)","title":"Spontaneous-polarization-induced photovoltaic effect in rhombohedrally stacked MoS&lt;sub&gt;2&lt;/sub&gt;","volume":"16","author":[{"family":"Yang","given":"Dongyang"},{"family":"Wu","given":"Jingda"},{"family":"Zhou","given":"Benjamin T."},{"family":"Liang","given":"Jing"},{"family":"Ideue","given":"Toshiya"},{"family":"Siu","given":"Teri"},{"family":"Awan","given":"Kashif Masud"},{"family":"Watanabe","given":"Kenji"},{"family":"Taniguchi","given":"Takashi"},{"family":"Iwasa","given":"Yoshihiro"},{"family":"Franz","given":"Marcel"},{"family":"Ye","given":"Ziliang"}],"issued":{"date-parts":[["2022",6]]}}},{"id":2485,"uris":["http://zotero.org/users/9383478/items/HQSQKVG3"],"itemData":{"id":2485,"type":"article-journal","abstract":"Two-dimensional materials with out-of-plane (OOP) ferroelectric and piezoelectric properties are highly desirable for the realization of ultrathin ferro- and piezoelectronic devices. We demonstrate unexpected OOP ferroelectricity and piezoelectricity in untwisted, commensurate, and epitaxial MoS\n              2\n              /WS\n              2\n              heterobilayers synthesized by scalable one-step chemical vapor deposition. We show\n              d\n              33\n              piezoelectric constants of 1.95 to 2.09 picometers per volt that are larger than the natural OOP piezoelectric constant of monolayer In\n              2\n              Se\n              3\n              by a factor of ~6. We demonstrate the modulation of tunneling current by about three orders of magnitude in ferroelectric tunnel junction devices by changing the polarization state of MoS\n              2\n              /WS\n              2\n              heterobilayers. Our results are consistent with density functional theory, which shows that both symmetry breaking and interlayer sliding give rise to the unexpected properties without the need for invoking twist angles or moiré domains.\n            \n          , \n            Untwisted heterobilayers\n            \n              Stacking two-dimensional materials can lead to a range of interesting and useful properties. For example, the emergence of piezo and ferroelectricity can occur by twisting the layers relative to each other. Rogée\n              et al\n              . used a different strategy for obtaining these sorts of properties by stacking alternating layers of molybdenum disulfide and tungsten disulfide, which breaks symmetry without requiring twisting. The authors show that these vapor-deposited heterobilayers can be made into a ferroelectric tunnel junction device. —BG\n            \n          , \n            Heterobilayers of molybdenum and tungsten disulfide have mechanical and electrical properties that the individual layers lack.","container-title":"Science","DOI":"10.1126/science.abm5734","ISSN":"0036-8075, 1095-9203","issue":"6596","journalAbbreviation":"Science","language":"en","page":"973-978","source":"DOI.org (Crossref)","title":"Ferroelectricity in untwisted heterobilayers of transition metal dichalcogenides","volume":"376","author":[{"family":"Rogée","given":"Lukas"},{"family":"Wang","given":"Lvjin"},{"family":"Zhang","given":"Yi"},{"family":"Cai","given":"Songhua"},{"family":"Wang","given":"Peng"},{"family":"Chhowalla","given":"Manish"},{"family":"Ji","given":"Wei"},{"family":"Lau","given":"Shu Ping"}],"issued":{"date-parts":[["2022",5,27]]}},"label":"page"}],"schema":"https://github.com/citation-style-language/schema/raw/master/csl-citation.json"}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5–9</w:t>
      </w:r>
      <w:r>
        <w:rPr>
          <w:rFonts w:ascii="Times" w:hAnsi="Times" w:cs="Times"/>
          <w:sz w:val="24"/>
          <w:szCs w:val="24"/>
        </w:rPr>
        <w:fldChar w:fldCharType="end"/>
      </w:r>
      <w:r>
        <w:rPr>
          <w:rFonts w:ascii="Times" w:hAnsi="Times" w:cs="Times"/>
          <w:sz w:val="24"/>
          <w:szCs w:val="24"/>
        </w:rPr>
        <w:t>, polymer van der Waals crystals</w:t>
      </w:r>
      <w:r>
        <w:rPr>
          <w:rFonts w:ascii="Times" w:hAnsi="Times" w:cs="Times"/>
          <w:sz w:val="24"/>
          <w:szCs w:val="24"/>
        </w:rPr>
        <w:fldChar w:fldCharType="begin"/>
      </w:r>
      <w:r>
        <w:rPr>
          <w:rFonts w:ascii="Times" w:hAnsi="Times" w:cs="Times"/>
          <w:sz w:val="24"/>
          <w:szCs w:val="24"/>
        </w:rPr>
        <w:instrText xml:space="preserve"> ADDIN ZOTERO_ITEM CSL_CITATION {"citationID":"kvwzPTPS","properties":{"formattedCitation":"\\super 10\\nosupersub{}","plainCitation":"10","noteIndex":0},"citationItems":[{"id":2550,"uris":["http://zotero.org/users/9383478/items/WQDD5QHA"],"itemData":{"id":2550,"type":"article-journal","container-title":"Nature Materials","DOI":"10.1038/s41563-022-01322-1","ISSN":"1476-1122, 1476-4660","issue":"10","journalAbbreviation":"Nat. Mater.","language":"en","page":"1158-1164","source":"DOI.org (Crossref)","title":"Direct observation of geometric and sliding ferroelectricity in an amphidynamic crystal","volume":"21","author":[{"family":"Miao","given":"Le-Ping"},{"family":"Ding","given":"Ning"},{"family":"Wang","given":"Na"},{"family":"Shi","given":"Chao"},{"family":"Ye","given":"Heng-Yun"},{"family":"Li","given":"Linglong"},{"family":"Yao","given":"Ye-Feng"},{"family":"Dong","given":"Shuai"},{"family":"Zhang","given":"Yi"}],"issued":{"date-parts":[["2022",10]]}}}],"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10</w:t>
      </w:r>
      <w:r>
        <w:rPr>
          <w:rFonts w:ascii="Times" w:hAnsi="Times" w:cs="Times"/>
          <w:sz w:val="24"/>
          <w:szCs w:val="24"/>
        </w:rPr>
        <w:fldChar w:fldCharType="end"/>
      </w:r>
      <w:r>
        <w:rPr>
          <w:rFonts w:ascii="Times" w:hAnsi="Times" w:cs="Times"/>
          <w:sz w:val="24"/>
          <w:szCs w:val="24"/>
        </w:rPr>
        <w:t xml:space="preserve"> and so on. Manually stacking two atomic layers with a twist angle results in moiré patterns in which the ferroelectric polarization is locked with the moiré domains. While the research on the unique ferroelectric properties of this new material system is fast growing, utilizing the alternating polarization to modulate another 2D atomic layer is also gaining strong interests. Theoretical calculations</w:t>
      </w:r>
      <w:r>
        <w:rPr>
          <w:rFonts w:ascii="Times" w:hAnsi="Times" w:cs="Times"/>
          <w:sz w:val="24"/>
          <w:szCs w:val="24"/>
        </w:rPr>
        <w:fldChar w:fldCharType="begin"/>
      </w:r>
      <w:r>
        <w:rPr>
          <w:rFonts w:ascii="Times" w:hAnsi="Times" w:cs="Times"/>
          <w:sz w:val="24"/>
          <w:szCs w:val="24"/>
        </w:rPr>
        <w:instrText xml:space="preserve"> ADDIN ZOTERO_ITEM CSL_CITATION {"citationID":"BMfVnWcF","properties":{"formattedCitation":"\\super 11,12\\nosupersub{}","plainCitation":"11,12","noteIndex":0},"citationItems":[{"id":1919,"uris":["http://zotero.org/users/9383478/items/MFRT4LVN"],"itemData":{"id":1919,"type":"article-journal","abstract":"Abstract\n            \n              Lateral superlattices in 2D materials provide a powerful platform for exploring intriguing quantum phenomena, which can be realized through the proximity coupling in forming moiré pattern with another layer. This approach, however, is invasive, material-specific, and requires small lattice mismatch and suitable band alignment, largely limited to graphene and transition metal dichalcogenides (TMDs). Hexagonal boron nitride (h-BN) of antiparallel (AA′) stacking has been an indispensable building block, as dielectric substrates and capping layers for realizing high-quality van der Waals devices. There is also emerging interest on parallelly aligned h-BN of Bernal (AB) stacking, where the broken inversion and mirror symmetries lead to out-of-plane electrical polarization. Here we show the that laterally patterned electrical polarization at a nearly parallel interface within the h-BN substrate can be exploited to create noninvasively a universal superlattice potential in general 2D materials. The feasibility is demonstrated by first principle calculations for monolayer MoSe\n              2\n              , black phosphorus, and antiferromagnetic MnPSe\n              3\n              on such h-BN. The potential strength can reach 200 meV, customizable in this range through choice of distance of target material from the interface in h-BN. We also find sizable out-of-plane electric field at the h-BN surface, which can realize superlattice potential for interlayer excitons in TMD bilayers as well as dipolar molecules. The idea is further generalized to AB-stacked h-BN subject to torsion with adjacent layers all twisted with an angle, which allows the potential and field strength to be scaled up with film thickness, saturating to a quasi-periodic one with chiral structure.","container-title":"npj 2D Materials and Applications","DOI":"10.1038/s41699-021-00221-4","ISSN":"2397-7132","issue":"1","journalAbbreviation":"npj 2D Mater Appl","language":"en","page":"38","source":"DOI.org (Crossref)","title":"Universal superlattice potential for 2D materials from twisted interface inside h-BN substrate","volume":"5","author":[{"family":"Zhao","given":"Pei"},{"family":"Xiao","given":"Chengxin"},{"family":"Yao","given":"Wang"}],"issued":{"date-parts":[["2021",4,12]]}}},{"id":2502,"uris":["http://zotero.org/users/9383478/items/Q7JDWQII"],"itemData":{"id":2502,"type":"article-journal","container-title":"Physical Review Letters","DOI":"10.1103/PhysRevLett.133.206601","ISSN":"0031-9007, 1079-7114","issue":"20","journalAbbreviation":"Phys. Rev. Lett.","language":"en","page":"206601","source":"DOI.org (Crossref)","title":"Designing Topology and Fractionalization in Narrow Gap Semiconductor Films via Electrostatic Engineering","volume":"133","author":[{"family":"Tan","given":"Tixuan"},{"family":"Reddy","given":"Aidan P."},{"family":"Fu","given":"Liang"},{"family":"Devakul","given":"Trithep"}],"issued":{"date-parts":[["2024",11,12]]}}}],"schema":"https://github.com/citation-style-language/schema/raw/master/csl-citation.json"}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11,12</w:t>
      </w:r>
      <w:r>
        <w:rPr>
          <w:rFonts w:ascii="Times" w:hAnsi="Times" w:cs="Times"/>
          <w:sz w:val="24"/>
          <w:szCs w:val="24"/>
        </w:rPr>
        <w:fldChar w:fldCharType="end"/>
      </w:r>
      <w:r>
        <w:rPr>
          <w:rFonts w:ascii="Times" w:hAnsi="Times" w:cs="Times"/>
          <w:sz w:val="24"/>
          <w:szCs w:val="24"/>
        </w:rPr>
        <w:t xml:space="preserve"> have examined this possibility. Meanwhile, experiments have used the moiré ferroelectric potential to modulate excitons in TMD</w:t>
      </w:r>
      <w:r>
        <w:rPr>
          <w:rFonts w:ascii="Times" w:hAnsi="Times" w:cs="Times"/>
          <w:sz w:val="24"/>
          <w:szCs w:val="24"/>
        </w:rPr>
        <w:fldChar w:fldCharType="begin"/>
      </w:r>
      <w:r>
        <w:rPr>
          <w:rFonts w:ascii="Times" w:hAnsi="Times" w:cs="Times"/>
          <w:sz w:val="24"/>
          <w:szCs w:val="24"/>
        </w:rPr>
        <w:instrText xml:space="preserve"> ADDIN ZOTERO_ITEM CSL_CITATION {"citationID":"uxoI2rW2","properties":{"formattedCitation":"\\super 13\\uc0\\u8211{}18\\nosupersub{}","plainCitation":"13–18","noteIndex":0},"citationItems":[{"id":2553,"uris":["http://zotero.org/users/9383478/items/H8DBVP5Y"],"itemData":{"id":2553,"type":"article-journal","container-title":"Nano Letters","DOI":"10.1021/acs.nanolett.4c04996","ISSN":"1530-6984","journalAbbreviation":"Nano Lett.","note":"publisher: American Chemical Society","title":"Moiré Exciton Polaron Engineering via twisted hBN","URL":"https://doi.org/10.1021/acs.nanolett.4c04996","author":[{"family":"Cho","given":"Minhyun"},{"family":"Datta","given":"Biswajit"},{"family":"Han","given":"Kwanghee"},{"family":"Chand","given":"Saroj B."},{"family":"Adak","given":"Pratap Chandra"},{"family":"Yu","given":"Sichao"},{"family":"Li","given":"Fengping"},{"family":"Watanabe","given":"Kenji"},{"family":"Taniguchi","given":"Takashi"},{"family":"Hone","given":"James"},{"family":"Jung","given":"Jeil"},{"family":"Grosso","given":"Gabriele"},{"family":"Kim","given":"Young Duck"},{"family":"Menon","given":"Vinod M."}],"issued":{"date-parts":[["2024",12,2]]}}},{"id":1988,"uris":["http://zotero.org/users/9383478/items/QWJA7BQT"],"itemData":{"id":1988,"type":"article","abstract":"Ferroelectricity has been recently discovered in stacked or twisted van der Waals (vdW) moir\\'e systems. The versatility of producing a large array of size-tunable domains and integration with diverse functional materials make them an enticing platform for developing multifunctional devices. Here, we show that ferroelectric polar domains formed in a twisted hexagonal boron nitride (t-hBN) substrate can modulate light emission from an adjacent semiconductor monolayer. The abrupt change in electrostatic potential across the domains produces an in-plane electric field (E-field) and leads to a remarkably large exciton Stark shift in the adjacent MoSe$_2$ monolayer, previously only observable in \\textit{p-n} junctions created by the advanced e-beam lithography tools. Both the spectrum and spatial pattern of the light emission from the monolayer are periodically modulated by the remote moir\\'e potential imposed by the t-hBN substrate. We further observe a characteristic hysteresis behavior in the light emission as an electric gate erases and restores the domains. Our findings chart an exciting pathway for integrating nanometer-scale moir\\'e ferroelectric domains with various optically active functional layers, paving the way for advanced nanophotonic applications.","language":"en","note":"arXiv:2405.11159 [cond-mat]","number":"arXiv:2405.11159","publisher":"arXiv","source":"arXiv.org","title":"Harnessing moiré ferroelectricity to modulate semiconductor monolayer light emission","URL":"http://arxiv.org/abs/2405.11159","author":[{"family":"Kim","given":"Dong Seob"},{"family":"Xiao","given":"Chengxin"},{"family":"Dominguez","given":"Roy C."},{"family":"Liu","given":"Zhida"},{"family":"Abudayyeh","given":"Hamza"},{"family":"Lee","given":"Kyoungpyo"},{"family":"Mayorga-Luna","given":"Rigo"},{"family":"Kim","given":"Hyunsue"},{"family":"Watanabe","given":"Kenji"},{"family":"Taniguchi","given":"Takashi"},{"family":"Shih","given":"Chih-Kang"},{"family":"Miyahara","given":"Yoichi"},{"family":"Yao","given":"Wang"},{"family":"Li","given":"Xiaoqin"}],"issued":{"date-parts":[["2024",5,17]]}}},{"id":1892,"uris":["http://zotero.org/users/9383478/items/H3KHLPX9"],"itemData":{"id":1892,"type":"article-journal","container-title":"Nature Materials","DOI":"10.1038/s41563-023-01637-7","ISSN":"1476-1122, 1476-4660","issue":"1","journalAbbreviation":"Nat. Mater.","language":"en","page":"65-70","source":"DOI.org (Crossref)","title":"Electrostatic moiré potential from twisted hexagonal boron nitride layers","volume":"23","author":[{"family":"Kim","given":"Dong Seob"},{"family":"Dominguez","given":"Roy C."},{"family":"Mayorga-Luna","given":"Rigo"},{"family":"Ye","given":"Dingyi"},{"family":"Embley","given":"Jacob"},{"family":"Tan","given":"Tixuan"},{"family":"Ni","given":"Yue"},{"family":"Liu","given":"Zhida"},{"family":"Ford","given":"Mitchell"},{"family":"Gao","given":"Frank Y."},{"family":"Arash","given":"Saba"},{"family":"Watanabe","given":"Kenji"},{"family":"Taniguchi","given":"Takashi"},{"family":"Kim","given":"Suenne"},{"family":"Shih","given":"Chih-Kang"},{"family":"Lai","given":"Keji"},{"family":"Yao","given":"Wang"},{"family":"Yang","given":"Li"},{"family":"Li","given":"Xiaoqin"},{"family":"Miyahara","given":"Yoichi"}],"issued":{"date-parts":[["2024",1]]}},"label":"page"},{"id":2557,"uris":["http://zotero.org/users/9383478/items/42U2PS7T"],"itemData":{"id":2557,"type":"article-journal","container-title":"Nano Letters","DOI":"10.1021/acs.nanolett.4c05062","ISSN":"1530-6984","journalAbbreviation":"Nano Lett.","note":"publisher: American Chemical Society","title":"Optical Detection of Sliding Ferroelectric Switching in hBN with a WSe&lt;sub&gt;2&lt;/sub&gt; Monolayer","URL":"https://doi.org/10.1021/acs.nanolett.4c05062","author":[{"family":"Roux","given":"Sébastien"},{"family":"Fraunié","given":"Jules"},{"family":"Watanabe","given":"Kenji"},{"family":"Taniguchi","given":"Takashi"},{"family":"Lassagne","given":"Benjamin"},{"family":"Robert","given":"Cedric"}],"issued":{"date-parts":[["2024",12,17]]}}},{"id":2560,"uris":["http://zotero.org/users/9383478/items/YX8LN3XZ"],"itemData":{"id":2560,"type":"article-journal","container-title":"Phys. Rev. Mater.","DOI":"10.1103/PhysRevMaterials.7.L121002","issue":"12","note":"publisher: American Physical Society","page":"L121002","title":"Electron and hole doping of monolayer WSe&lt;sub&gt;2&lt;/sub&gt; induced by twisted ferroelectric hexagonal boron nitride","volume":"7","author":[{"family":"Fraunié","given":"J."},{"family":"Jamil","given":"R."},{"family":"Kantelberg","given":"R."},{"family":"Roux","given":"S."},{"family":"Petit","given":"L."},{"family":"Lepleux","given":"E."},{"family":"Pacheco","given":"L."},{"family":"Watanabe","given":"K."},{"family":"Taniguchi","given":"T."},{"family":"Jacques","given":"V."},{"family":"Lombez","given":"L."},{"family":"Glazov","given":"M. M."},{"family":"Lassagne","given":"B."},{"family":"Marie","given":"X."},{"family":"Robert","given":"C."}],"issued":{"date-parts":[["2023",12]]}}},{"id":2606,"uris":["http://zotero.org/users/9383478/items/9M3DXTMS"],"itemData":{"id":2606,"type":"article","abstract":"Moir\\'e heterostructures consisting of transition metal dichalcogenide (TMD) hetero- and homobilayers have emerged as a promising material platform to study correlated electronic states. Optical signatures of strong correlations in the form of Mott-Wigner states and fractional Chern insulators have already been observed in TMD monolayers and their twisted bilayers. In this work, we use a moir\\'e substrate containing a twisted hexagonal boron nitride (h-BN) interface to externally generate a superlattice potential for the TMD layer: the periodic structure of ferroelectric domains in h-BN effects a purely electrostatic potential for charge carriers. We find direct evidence for the induced moir\\'e potential in the emergence of new excitonic resonances at integer fillings, and our observation of an enhancement of the trion binding energy by $\\simeq$ 3 meV. A theoretical model for exciton-electron interactions allows us to directly determine the moir\\'e potential modulation of 30$\\pm$5 meV from the measured trion binding energy shift. We obtain direct evidence for charge order linked to electronic Mott-Wigner states at filling factors $\\nu$ = 1/3 and $\\nu$ = 2/3 through the associated exciton Umklapp resonances.","DOI":"10.48550/arXiv.2407.20905","language":"en","note":"arXiv:2407.20905 [cond-mat]","number":"arXiv:2407.20905","publisher":"arXiv","source":"arXiv.org","title":"Confined Trions and Mott-Wigner States in a Purely Electrostatic Moiré Potential","URL":"http://arxiv.org/abs/2407.20905","author":[{"family":"Kiper","given":"Natasha"},{"family":"Adlong","given":"Haydn S."},{"family":"Christianen","given":"Arthur"},{"family":"Kroner","given":"Martin"},{"family":"Watanabe","given":"Kenji"},{"family":"Taniguchi","given":"Takashi"},{"family":"Imamoglu","given":"Atac"}],"accessed":{"date-parts":[["2025",1,8]]},"issued":{"date-parts":[["2024",7,30]]}}}],"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13–18</w:t>
      </w:r>
      <w:r>
        <w:rPr>
          <w:rFonts w:ascii="Times" w:hAnsi="Times" w:cs="Times"/>
          <w:sz w:val="24"/>
          <w:szCs w:val="24"/>
        </w:rPr>
        <w:fldChar w:fldCharType="end"/>
      </w:r>
      <w:r>
        <w:rPr>
          <w:rFonts w:ascii="Times" w:hAnsi="Times" w:cs="Times"/>
          <w:sz w:val="24"/>
          <w:szCs w:val="24"/>
        </w:rPr>
        <w:t>, plasmon in graphene</w:t>
      </w:r>
      <w:r>
        <w:rPr>
          <w:rFonts w:ascii="Times" w:hAnsi="Times" w:cs="Times"/>
          <w:sz w:val="24"/>
          <w:szCs w:val="24"/>
        </w:rPr>
        <w:fldChar w:fldCharType="begin"/>
      </w:r>
      <w:r>
        <w:rPr>
          <w:rFonts w:ascii="Times" w:hAnsi="Times" w:cs="Times"/>
          <w:sz w:val="24"/>
          <w:szCs w:val="24"/>
        </w:rPr>
        <w:instrText xml:space="preserve"> ADDIN ZOTERO_ITEM CSL_CITATION {"citationID":"W4rCATY1","properties":{"formattedCitation":"\\super 19,20\\nosupersub{}","plainCitation":"19,20","noteIndex":0},"citationItems":[{"id":2564,"uris":["http://zotero.org/users/9383478/items/27XJI423"],"itemData":{"id":2564,"type":"article","abstract":"Plasmon polaritons are formed by coupling light with delocalized electrons. The half-light and half-matter nature of plasmon polaritons endows them with unparalleled tunability via a range of parameters, such as dielectric environments and carrier density. Therefore, plasmon polaritons are expected to be tuned when in proximity to polar materials since the carrier density is tuned by an electrostatic potential; conversely, the plasmon polariton response might enable the sensing of polarization. Here, we use infrared nano-imaging and nano-photocurrent measurements to investigate heterostructures composed of graphene and twisted hexagonal boron nitride (t-BN), with alternating polarization in a triangular network of moir\\'e stacking domains. We observe that the carrier density and the corresponding plasmonic response of graphene are modulated by polar domains in t-BN. In addition, we demonstrate that the nanometer-wide domain walls of graphene moir\\'es superlattices, created by the polar domains of t-BN, provide momenta to assist the plasmonic excitations. Furthermore, our studies establish that the plasmon of graphene could function as a delicate sensor for polarization textures. The evolution of polarization textures in t-BN under uniform electric fields is tomographically examined via plasmonic imaging. Strikingly, no noticeable polarization switching is observed under applied electric fields up to 0.23 V/nm, at variance with transport reports. Our nano-images unambiguously reveal that t-BN with triangular domains acts like a ferrielectric, rather than ferroelectric claimed by many previous studies.","DOI":"10.48550/arXiv.2406.18028","note":"arXiv:2406.18028 [cond-mat]","number":"arXiv:2406.18028","publisher":"arXiv","source":"arXiv.org","title":"Plasmonic polarization sensing of electrostatic superlattice potentials","URL":"http://arxiv.org/abs/2406.18028","author":[{"family":"Zhang","given":"Shuai"},{"family":"Fonseca","given":"Jordan"},{"family":"Bennett","given":"Daniel"},{"family":"Sun","given":"Zhiyuan"},{"family":"Zhang","given":"Junhe"},{"family":"Jing","given":"Ran"},{"family":"Xu","given":"Suheng"},{"family":"He","given":"Leo"},{"family":"Moore","given":"S. L."},{"family":"Rossi","given":"S. E."},{"family":"Ovchinnikov","given":"Dmitry"},{"family":"Cobden","given":"David"},{"family":"Jarillo-Herrero","given":"Pablo"},{"family":"Fogler","given":"M. M."},{"family":"Kim","given":"Philip"},{"family":"Kaxiras","given":"Efthimios"},{"family":"Xu","given":"Xiaodong"},{"family":"Basov","given":"D. N."}],"accessed":{"date-parts":[["2025",1,7]]},"issued":{"date-parts":[["2024",6,26]]}}},{"id":2585,"uris":["http://zotero.org/users/9383478/items/WTM98KRX"],"itemData":{"id":2585,"type":"article-journal","abstract":"Abstract\n            \n              Ferroelectricity, a spontaneous and reversible electric polarization, is found in certain classes of van der Waals (vdW) materials. The discovery of ferroelectricity in twisted vdW layers provides new opportunities to engineer spatially dependent electric and optical properties associated with the configuration of moiré superlattice domains and the network of domain walls. Here, we employ near-field infrared nano-imaging and nano-photocurrent measurements to study ferroelectricity in minimally twisted WSe\n              2\n              . The ferroelectric domains are visualized through the imaging of the plasmonic response in a graphene monolayer adjacent to the moiré WSe\n              2\n              bilayers. Specifically, we find that the ferroelectric polarization in moiré domains is imprinted on the plasmonic response of the graphene. Complementary nano-photocurrent measurements demonstrate that the optoelectronic properties of graphene are also modulated by the proximal ferroelectric domains. Our approach represents an alternative strategy for studying moiré ferroelectricity at native length scales and opens promising prospects for (opto)electronic devices.","container-title":"Nature Communications","DOI":"10.1038/s41467-023-41773-x","ISSN":"2041-1723","issue":"1","journalAbbreviation":"Nat Commun","language":"en","page":"6200","source":"DOI.org (Crossref)","title":"Visualizing moiré ferroelectricity via plasmons and nano-photocurrent in graphene/twisted-WSe&lt;sub&gt;2&lt;/sub&gt; structures","volume":"14","author":[{"family":"Zhang","given":"Shuai"},{"family":"Liu","given":"Yang"},{"family":"Sun","given":"Zhiyuan"},{"family":"Chen","given":"Xinzhong"},{"family":"Li","given":"Baichang"},{"family":"Moore","given":"S. L."},{"family":"Liu","given":"Song"},{"family":"Wang","given":"Zhiying"},{"family":"Rossi","given":"S. E."},{"family":"Jing","given":"Ran"},{"family":"Fonseca","given":"Jordan"},{"family":"Yang","given":"Birui"},{"family":"Shao","given":"Yinming"},{"family":"Huang","given":"Chun-Ying"},{"family":"Handa","given":"Taketo"},{"family":"Xiong","given":"Lin"},{"family":"Fu","given":"Matthew"},{"family":"Pan","given":"Tsai-Chun"},{"family":"Halbertal","given":"Dorri"},{"family":"Xu","given":"Xinyi"},{"family":"Zheng","given":"Wenjun"},{"family":"Schuck","given":"P. J."},{"family":"Pasupathy","given":"A. N."},{"family":"Dean","given":"C. R."},{"family":"Zhu","given":"Xiaoyang"},{"family":"Cobden","given":"David H."},{"family":"Xu","given":"Xiaodong"},{"family":"Liu","given":"Mengkun"},{"family":"Fogler","given":"M. M."},{"family":"Hone","given":"James C."},{"family":"Basov","given":"D. N."}],"issued":{"date-parts":[["2023",10,4]]}}}],"schema":"https://github.com/citation-style-language/schema/raw/master/csl-citation.json"}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19,20</w:t>
      </w:r>
      <w:r>
        <w:rPr>
          <w:rFonts w:ascii="Times" w:hAnsi="Times" w:cs="Times"/>
          <w:sz w:val="24"/>
          <w:szCs w:val="24"/>
        </w:rPr>
        <w:fldChar w:fldCharType="end"/>
      </w:r>
      <w:r>
        <w:rPr>
          <w:rFonts w:ascii="Times" w:hAnsi="Times" w:cs="Times"/>
          <w:sz w:val="24"/>
          <w:szCs w:val="24"/>
        </w:rPr>
        <w:t>, band structure in graphene</w:t>
      </w:r>
      <w:r>
        <w:rPr>
          <w:rFonts w:ascii="Times" w:hAnsi="Times" w:cs="Times"/>
          <w:sz w:val="24"/>
          <w:szCs w:val="24"/>
        </w:rPr>
        <w:fldChar w:fldCharType="begin"/>
      </w:r>
      <w:r>
        <w:rPr>
          <w:rFonts w:ascii="Times" w:hAnsi="Times" w:cs="Times"/>
          <w:sz w:val="24"/>
          <w:szCs w:val="24"/>
        </w:rPr>
        <w:instrText xml:space="preserve"> ADDIN ZOTERO_ITEM CSL_CITATION {"citationID":"Cyr02Vl5","properties":{"formattedCitation":"\\super 21\\uc0\\u8211{}23\\nosupersub{}","plainCitation":"21–23","noteIndex":0},"citationItems":[{"id":2520,"uris":["http://zotero.org/users/9383478/items/RIDKE7ED"],"itemData":{"id":2520,"type":"article-journal","container-title":"Nature Communications","DOI":"10.1038/s41467-024-53440-w","ISSN":"2041-1723","issue":"1","journalAbbreviation":"Nat Commun","language":"en","page":"9087","source":"DOI.org (Crossref)","title":"Engineering band structures of two-dimensional materials with remote moiré ferroelectricity","volume":"15","author":[{"family":"Ding","given":"Jing"},{"family":"Xiang","given":"Hanxiao"},{"family":"Zhou","given":"Wenqiang"},{"family":"Liu","given":"Naitian"},{"family":"Chen","given":"Qianmei"},{"family":"Fang","given":"Xinjie"},{"family":"Wang","given":"Kangyu"},{"family":"Wu","given":"Linfeng"},{"family":"Watanabe","given":"Kenji"},{"family":"Taniguchi","given":"Takashi"},{"family":"Xin","given":"Na"},{"family":"Xu","given":"Shuigang"}],"issued":{"date-parts":[["2024",10,21]]}}},{"id":2569,"uris":["http://zotero.org/users/9383478/items/UHGFBY2R"],"itemData":{"id":2569,"type":"article-journal","container-title":"Nature Communications","DOI":"10.1038/s41467-024-55432-2","ISSN":"2041-1723","issue":"1","journalAbbreviation":"Nat Commun","language":"en","page":"178","source":"DOI.org (Crossref)","title":"Moiré band structure engineering using a twisted boron nitride substrate","volume":"16","author":[{"family":"Wang","given":"Xirui"},{"family":"Xu","given":"Cheng"},{"family":"Aronson","given":"Samuel"},{"family":"Bennett","given":"Daniel"},{"family":"Paul","given":"Nisarga"},{"family":"Crowley","given":"Philip J. D."},{"family":"Collignon","given":"Clément"},{"family":"Watanabe","given":"Kenji"},{"family":"Taniguchi","given":"Takashi"},{"family":"Ashoori","given":"Raymond"},{"family":"Kaxiras","given":"Efthimios"},{"family":"Zhang","given":"Yang"},{"family":"Jarillo-Herrero","given":"Pablo"},{"family":"Yasuda","given":"Kenji"}],"issued":{"date-parts":[["2025",1,2]]}}},{"id":2628,"uris":["http://zotero.org/users/9383478/items/VLEU8BZ6"],"itemData":{"id":2628,"type":"article-journal","abstract":"Abstract\n            Strong band engineering in two-dimensional (2D) materials can be achieved by introducing moiré superlattices, leading to the emergence of various novel quantum phases with promising potential for future applications. Presented works to create moiré patterns have been focused on a twist embedded inside channel materials or between channel and substrate. However, the effects of a twist inside the substrate materials on the unaligned channel materials are much less explored. In this work, we report the realization of superlattice multi-Dirac cones with the coexistence of the main Dirac cone in a monolayer graphene (MLG) on a </w:instrText>
      </w:r>
      <w:r>
        <w:rPr>
          <w:rFonts w:ascii="Cambria Math" w:hAnsi="Cambria Math" w:cs="Cambria Math"/>
          <w:sz w:val="24"/>
          <w:szCs w:val="24"/>
        </w:rPr>
        <w:instrText xml:space="preserve">∼</w:instrText>
      </w:r>
      <w:r>
        <w:rPr>
          <w:rFonts w:ascii="Times" w:hAnsi="Times" w:cs="Times"/>
          <w:sz w:val="24"/>
          <w:szCs w:val="24"/>
        </w:rPr>
        <w:instrText xml:space="preserve">0.14° twisted double-layer boron nitride (tBN) substrate. Transport measurements reveal the emergence of three pairs of superlattice Dirac points around the pristine Dirac cone, featuring multiple metallic or insulating states surrounding the charge neutrality point. Displacement field tunable and electron–hole asymmetric Fermi velocities are indicated from temperature dependent measurements, along with the gapless dispersion of superlattice Dirac cones. The experimental observation of multiple Dirac cones in MLG/tBN heterostructure is supported by band structure calculations employing a periodic moiré potential. Our results unveil the potential of using twisted substrate as a universal band engineering technique for 2D materials regardless of lattice matching and crystal orientations, which might pave the way for a new branch of twistronics.","container-title":"2D Materials","DOI":"10.1088/2053-1583/acbdaa","ISSN":"2053-1583","issue":"2","journalAbbreviation":"2D Mater.","page":"025016","source":"DOI.org (Crossref)","title":"Transport evidence of superlattice Dirac cones in graphene monolayer on twisted boron nitride substrate","volume":"10","author":[{"family":"Cao","given":"Shimin"},{"family":"Chen","given":"Mantang"},{"family":"Zeng","given":"Jiang"},{"family":"Ma","given":"Ning"},{"family":"Zheng","given":"Runjie"},{"family":"Feng","given":"Ya"},{"family":"Yan","given":"Shili"},{"family":"Liu","given":"Jing"},{"family":"Watanabe","given":"Kenji"},{"family":"Taniguchi","given":"Takashi"},{"family":"Xie","given":"X C"},{"family":"Chen","given":"Jian-Hao"}],"issued":{"date-parts":[["2023",4,1]]}}}],"schema":"https://github.com/citation-style-language/schema/raw/master/csl-citation.json"}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21–23</w:t>
      </w:r>
      <w:r>
        <w:rPr>
          <w:rFonts w:ascii="Times" w:hAnsi="Times" w:cs="Times"/>
          <w:sz w:val="24"/>
          <w:szCs w:val="24"/>
        </w:rPr>
        <w:fldChar w:fldCharType="end"/>
      </w:r>
      <w:r>
        <w:rPr>
          <w:rFonts w:ascii="Times" w:hAnsi="Times" w:cs="Times"/>
          <w:sz w:val="24"/>
          <w:szCs w:val="24"/>
        </w:rPr>
        <w:t xml:space="preserve"> and so on. One central issue in these studies is the magnitude of potential variation introduced by the alternating polarization domains, which determines the strength of the modulation. Theoretical calculation expected that the potential variation strongly depends on the moiré size</w:t>
      </w:r>
      <w:r>
        <w:rPr>
          <w:rFonts w:ascii="Times" w:hAnsi="Times" w:cs="Times"/>
          <w:sz w:val="24"/>
          <w:szCs w:val="24"/>
        </w:rPr>
        <w:fldChar w:fldCharType="begin"/>
      </w:r>
      <w:r>
        <w:rPr>
          <w:rFonts w:ascii="Times" w:hAnsi="Times" w:cs="Times"/>
          <w:sz w:val="24"/>
          <w:szCs w:val="24"/>
        </w:rPr>
        <w:instrText xml:space="preserve"> ADDIN ZOTERO_ITEM CSL_CITATION {"citationID":"SV6yWu8S","properties":{"formattedCitation":"\\super 11\\nosupersub{}","plainCitation":"11","noteIndex":0},"citationItems":[{"id":1919,"uris":["http://zotero.org/users/9383478/items/MFRT4LVN"],"itemData":{"id":1919,"type":"article-journal","abstract":"Abstract\n            \n              Lateral superlattices in 2D materials provide a powerful platform for exploring intriguing quantum phenomena, which can be realized through the proximity coupling in forming moiré pattern with another layer. This approach, however, is invasive, material-specific, and requires small lattice mismatch and suitable band alignment, largely limited to graphene and transition metal dichalcogenides (TMDs). Hexagonal boron nitride (h-BN) of antiparallel (AA′) stacking has been an indispensable building block, as dielectric substrates and capping layers for realizing high-quality van der Waals devices. There is also emerging interest on parallelly aligned h-BN of Bernal (AB) stacking, where the broken inversion and mirror symmetries lead to out-of-plane electrical polarization. Here we show the that laterally patterned electrical polarization at a nearly parallel interface within the h-BN substrate can be exploited to create noninvasively a universal superlattice potential in general 2D materials. The feasibility is demonstrated by first principle calculations for monolayer MoSe\n              2\n              , black phosphorus, and antiferromagnetic MnPSe\n              3\n              on such h-BN. The potential strength can reach 200 meV, customizable in this range through choice of distance of target material from the interface in h-BN. We also find sizable out-of-plane electric field at the h-BN surface, which can realize superlattice potential for interlayer excitons in TMD bilayers as well as dipolar molecules. The idea is further generalized to AB-stacked h-BN subject to torsion with adjacent layers all twisted with an angle, which allows the potential and field strength to be scaled up with film thickness, saturating to a quasi-periodic one with chiral structure.","container-title":"npj 2D Materials and Applications","DOI":"10.1038/s41699-021-00221-4","ISSN":"2397-7132","issue":"1","journalAbbreviation":"npj 2D Mater Appl","language":"en","page":"38","source":"DOI.org (Crossref)","title":"Universal superlattice potential for 2D materials from twisted interface inside h-BN substrate","volume":"5","author":[{"family":"Zhao","given":"Pei"},{"family":"Xiao","given":"Chengxin"},{"family":"Yao","given":"Wang"}],"issued":{"date-parts":[["2021",4,12]]}}}],"schema":"https://github.com/citation-style-language/schema/raw/master/csl-citation.json"}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11</w:t>
      </w:r>
      <w:r>
        <w:rPr>
          <w:rFonts w:ascii="Times" w:hAnsi="Times" w:cs="Times"/>
          <w:sz w:val="24"/>
          <w:szCs w:val="24"/>
        </w:rPr>
        <w:fldChar w:fldCharType="end"/>
      </w:r>
      <w:r>
        <w:rPr>
          <w:rFonts w:ascii="Times" w:hAnsi="Times" w:cs="Times"/>
          <w:sz w:val="24"/>
          <w:szCs w:val="24"/>
        </w:rPr>
        <w:t>. Experimental studies, however, gave contradictory results. Electrostatic force microscopy (EFM)</w:t>
      </w:r>
      <w:r>
        <w:rPr>
          <w:rFonts w:ascii="Times" w:hAnsi="Times" w:cs="Times"/>
          <w:sz w:val="24"/>
          <w:szCs w:val="24"/>
        </w:rPr>
        <w:fldChar w:fldCharType="begin"/>
      </w:r>
      <w:r>
        <w:rPr>
          <w:rFonts w:ascii="Times" w:hAnsi="Times" w:cs="Times"/>
          <w:sz w:val="24"/>
          <w:szCs w:val="24"/>
        </w:rPr>
        <w:instrText xml:space="preserve"> ADDIN ZOTERO_ITEM CSL_CITATION {"citationID":"wL5U9hgs","properties":{"formattedCitation":"\\super 3\\nosupersub{}","plainCitation":"3","noteIndex":0},"citationItems":[{"id":2231,"uris":["http://zotero.org/users/9383478/items/9JSH6LDM"],"itemData":{"id":2231,"type":"article-journal","abstract":"Abstract\n            When two-dimensional crystals are brought into close proximity, their interaction results in reconstruction of electronic spectrum and crystal structure. Such reconstruction strongly depends on the twist angle between the crystals, which has received growing attention due to interesting electronic and optical properties that arise in graphene and transitional metal dichalcogenides. Here we study two insulating crystals of hexagonal boron nitride stacked at small twist angle. Using electrostatic force microscopy, we observe ferroelectric-like domains arranged in triangular superlattices with a large surface potential. The observation is attributed to interfacial elastic deformations that result in out-of-plane dipoles formed by pairs of boron and nitrogen atoms belonging to opposite interfacial surfaces. This creates a bilayer-thick ferroelectric with oppositely polarized (BN and NB) dipoles in neighbouring domains, in agreement with our modeling. These findings open up possibilities for designing van der Waals heterostructures and offer an alternative probe to study moiré-superlattice electrostatic potentials.","container-title":"Nature Communications","DOI":"10.1038/s41467-020-20667-2","ISSN":"2041-1723","issue":"1","journalAbbreviation":"Nat Commun","language":"en","page":"347","source":"DOI.org (Crossref)","title":"Charge-polarized interfacial superlattices in marginally twisted hexagonal boron nitride","volume":"12","author":[{"family":"Woods","given":"C. R."},{"family":"Ares","given":"P."},{"family":"Nevison-Andrews","given":"H."},{"family":"Holwill","given":"M. J."},{"family":"Fabregas","given":"R."},{"family":"Guinea","given":"F."},{"family":"Geim","given":"A. K."},{"family":"Novoselov","given":"K. S."},{"family":"Walet","given":"N. R."},{"family":"Fumagalli","given":"L."}],"issued":{"date-parts":[["2021",1,12]]}}}],"schema":"https://github.com/citation-style-language/schema/raw/master/csl-citation.json"}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3</w:t>
      </w:r>
      <w:r>
        <w:rPr>
          <w:rFonts w:ascii="Times" w:hAnsi="Times" w:cs="Times"/>
          <w:sz w:val="24"/>
          <w:szCs w:val="24"/>
        </w:rPr>
        <w:fldChar w:fldCharType="end"/>
      </w:r>
      <w:r>
        <w:rPr>
          <w:rFonts w:ascii="Times" w:hAnsi="Times" w:cs="Times"/>
          <w:sz w:val="24"/>
          <w:szCs w:val="24"/>
        </w:rPr>
        <w:t xml:space="preserve"> showed that the moiré electrostatic potential is independent of moiré size from micrometer down to ~30 nm (no data below this size was shown due to the lateral resolution of this technique). On the other hand, frequency-modulated Kelvin probe force microscopy (KPFM)</w:t>
      </w:r>
      <w:r>
        <w:rPr>
          <w:rFonts w:ascii="Times" w:hAnsi="Times" w:cs="Times"/>
          <w:sz w:val="24"/>
          <w:szCs w:val="24"/>
        </w:rPr>
        <w:fldChar w:fldCharType="begin"/>
      </w:r>
      <w:r>
        <w:rPr>
          <w:rFonts w:ascii="Times" w:hAnsi="Times" w:cs="Times"/>
          <w:sz w:val="24"/>
          <w:szCs w:val="24"/>
        </w:rPr>
        <w:instrText xml:space="preserve"> ADDIN ZOTERO_ITEM CSL_CITATION {"citationID":"SNGrafUQ","properties":{"formattedCitation":"\\super 13\\uc0\\u8211{}15,24\\nosupersub{}","plainCitation":"13–15,24","noteIndex":0},"citationItems":[{"id":2553,"uris":["http://zotero.org/users/9383478/items/H8DBVP5Y"],"itemData":{"id":2553,"type":"article-journal","container-title":"Nano Letters","DOI":"10.1021/acs.nanolett.4c04996","ISSN":"1530-6984","journalAbbreviation":"Nano Lett.","note":"publisher: American Chemical Society","title":"Moiré Exciton Polaron Engineering via twisted hBN","URL":"https://doi.org/10.1021/acs.nanolett.4c04996","author":[{"family":"Cho","given":"Minhyun"},{"family":"Datta","given":"Biswajit"},{"family":"Han","given":"Kwanghee"},{"family":"Chand","given":"Saroj B."},{"family":"Adak","given":"Pratap Chandra"},{"family":"Yu","given":"Sichao"},{"family":"Li","given":"Fengping"},{"family":"Watanabe","given":"Kenji"},{"family":"Taniguchi","given":"Takashi"},{"family":"Hone","given":"James"},{"family":"Jung","given":"Jeil"},{"family":"Grosso","given":"Gabriele"},{"family":"Kim","given":"Young Duck"},{"family":"Menon","given":"Vinod M."}],"issued":{"date-parts":[["2024",12,2]]}}},{"id":1988,"uris":["http://zotero.org/users/9383478/items/QWJA7BQT"],"itemData":{"id":1988,"type":"article","abstract":"Ferroelectricity has been recently discovered in stacked or twisted van der Waals (vdW) moir\\'e systems. The versatility of producing a large array of size-tunable domains and integration with diverse functional materials make them an enticing platform for developing multifunctional devices. Here, we show that ferroelectric polar domains formed in a twisted hexagonal boron nitride (t-hBN) substrate can modulate light emission from an adjacent semiconductor monolayer. The abrupt change in electrostatic potential across the domains produces an in-plane electric field (E-field) and leads to a remarkably large exciton Stark shift in the adjacent MoSe$_2$ monolayer, previously only observable in \\textit{p-n} junctions created by the advanced e-beam lithography tools. Both the spectrum and spatial pattern of the light emission from the monolayer are periodically modulated by the remote moir\\'e potential imposed by the t-hBN substrate. We further observe a characteristic hysteresis behavior in the light emission as an electric gate erases and restores the domains. Our findings chart an exciting pathway for integrating nanometer-scale moir\\'e ferroelectric domains with various optically active functional layers, paving the way for advanced nanophotonic applications.","language":"en","note":"arXiv:2405.11159 [cond-mat]","number":"arXiv:2405.11159","publisher":"arXiv","source":"arXiv.org","title":"Harnessing moiré ferroelectricity to modulate semiconductor monolayer light emission","URL":"http://arxiv.org/abs/2405.11159","author":[{"family":"Kim","given":"Dong Seob"},{"family":"Xiao","given":"Chengxin"},{"family":"Dominguez","given":"Roy C."},{"family":"Liu","given":"Zhida"},{"family":"Abudayyeh","given":"Hamza"},{"family":"Lee","given":"Kyoungpyo"},{"family":"Mayorga-Luna","given":"Rigo"},{"family":"Kim","given":"Hyunsue"},{"family":"Watanabe","given":"Kenji"},{"family":"Taniguchi","given":"Takashi"},{"family":"Shih","given":"Chih-Kang"},{"family":"Miyahara","given":"Yoichi"},{"family":"Yao","given":"Wang"},{"family":"Li","given":"Xiaoqin"}],"issued":{"date-parts":[["2024",5,17]]}}},{"id":1892,"uris":["http://zotero.org/users/9383478/items/H3KHLPX9"],"itemData":{"id":1892,"type":"article-journal","container-title":"Nature Materials","DOI":"10.1038/s41563-023-01637-7","ISSN":"1476-1122, 1476-4660","issue":"1","journalAbbreviation":"Nat. Mater.","language":"en","page":"65-70","source":"DOI.org (Crossref)","title":"Electrostatic moiré potential from twisted hexagonal boron nitride layers","volume":"23","author":[{"family":"Kim","given":"Dong Seob"},{"family":"Dominguez","given":"Roy C."},{"family":"Mayorga-Luna","given":"Rigo"},{"family":"Ye","given":"Dingyi"},{"family":"Embley","given":"Jacob"},{"family":"Tan","given":"Tixuan"},{"family":"Ni","given":"Yue"},{"family":"Liu","given":"Zhida"},{"family":"Ford","given":"Mitchell"},{"family":"Gao","given":"Frank Y."},{"family":"Arash","given":"Saba"},{"family":"Watanabe","given":"Kenji"},{"family":"Taniguchi","given":"Takashi"},{"family":"Kim","given":"Suenne"},{"family":"Shih","given":"Chih-Kang"},{"family":"Lai","given":"Keji"},{"family":"Yao","given":"Wang"},{"family":"Yang","given":"Li"},{"family":"Li","given":"Xiaoqin"},{"family":"Miyahara","given":"Yoichi"}],"issued":{"date-parts":[["2024",1]]}},"label":"page"},{"id":2572,"uris":["http://zotero.org/users/9383478/items/J74D2VAH"],"itemData":{"id":2572,"type":"article-journal","abstract":"Abstract\n            Moiré superlattice of twisted hexagonal boron nitride (hBN) has emerged as an advanced atomically thin van der Waals interfacial ferroelectricity platform. Nanoscale periodic ferroelectric moiré potentials in twisted hBN allow the hosting of remote Coulomb superlattice potentials to adjacent 2D materials. Therefore, the new strategies for engineering moiré length, angle, and potential strength are essential for developing programmable quantum materials. Here, it demonstrates the realization of twisted hBN‐based moiré superlattice platforms and visualizes the moiré domains and ferroelectric properties using Kelvin probe force microscopy (KPFM). Also, the regular moiré superlattice in the large area is reported. It offers the possibility to reproduce uniform moiré structures with precise control piezo stage stacking and heat annealing. It demonstrates cumulative multi‐ferroelectric polarization and multi‐level domains with multiple angle mismatched interfaces. Additionally, it observes the quasi‐1D anisotropic moiré domains and show the highest resolution analysis of the local built‐in strain between adjacent hBN layers compared to the conventional methods. Furthermore, in‐situ manipulation of moiré potential is demonstrated using femtosecond pulse laser, which results in the optical phonon‐induced atomic displacement at the hBN moiré interfaces. The results pave the way to develop precisely programmable moiré superlattice platforms and investigate strongly correlated physics.","container-title":"Advanced Science","DOI":"10.1002/advs.202408034","ISSN":"2198-3844, 2198-3844","journalAbbreviation":"Advanced Science","language":"en","page":"2408034","source":"DOI.org (Crossref)","title":"Highly Tunable Moiré Superlattice Potentials in Twisted Hexagonal Boron Nitrides","author":[{"family":"Han","given":"Kwanghee"},{"family":"Cho","given":"Minhyun"},{"family":"Kim","given":"Taehyung"},{"family":"Kim","given":"Seung Tae"},{"family":"Kim","given":"Suk Hyun"},{"family":"Park","given":"Sang Hwa"},{"family":"Yang","given":"Sang Mo"},{"family":"Watanabe","given":"Kenji"},{"family":"Taniguchi","given":"Takashi"},{"family":"Menon","given":"Vinod"},{"family":"Kim","given":"Young Duck"}],"issued":{"date-parts":[["2024",11,8]]}}}],"schema":"https://github.com/citation-style-language/schema/raw/master/csl-citation.json"}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13–15,24</w:t>
      </w:r>
      <w:r>
        <w:rPr>
          <w:rFonts w:ascii="Times" w:hAnsi="Times" w:cs="Times"/>
          <w:sz w:val="24"/>
          <w:szCs w:val="24"/>
        </w:rPr>
        <w:fldChar w:fldCharType="end"/>
      </w:r>
      <w:r>
        <w:rPr>
          <w:rFonts w:ascii="Times" w:hAnsi="Times" w:cs="Times"/>
          <w:sz w:val="24"/>
          <w:szCs w:val="24"/>
        </w:rPr>
        <w:t xml:space="preserve"> showed that the potential depends strongly on the moiré size as expected in theory. This obvious discrepancy prompted us to examine this problem with a different experimental technique.</w:t>
      </w:r>
    </w:p>
    <w:p w14:paraId="72F896CD">
      <w:pPr>
        <w:spacing w:after="0" w:line="480" w:lineRule="auto"/>
        <w:ind w:firstLine="204"/>
        <w:jc w:val="both"/>
        <w:rPr>
          <w:rFonts w:ascii="Times" w:hAnsi="Times" w:cs="Times"/>
          <w:sz w:val="24"/>
          <w:szCs w:val="24"/>
        </w:rPr>
      </w:pPr>
      <w:r>
        <w:rPr>
          <w:rFonts w:ascii="Times" w:hAnsi="Times" w:cs="Times"/>
          <w:sz w:val="24"/>
          <w:szCs w:val="24"/>
        </w:rPr>
        <w:t>In this study, we use a monolayer graphene as a sensing layer and contact-mode scanning tunneling microscopy (CMSTM)</w:t>
      </w:r>
      <w:r>
        <w:rPr>
          <w:rFonts w:ascii="Times" w:hAnsi="Times" w:cs="Times"/>
          <w:sz w:val="24"/>
          <w:szCs w:val="24"/>
        </w:rPr>
        <w:fldChar w:fldCharType="begin"/>
      </w:r>
      <w:r>
        <w:rPr>
          <w:rFonts w:ascii="Times" w:hAnsi="Times" w:cs="Times"/>
          <w:sz w:val="24"/>
          <w:szCs w:val="24"/>
        </w:rPr>
        <w:instrText xml:space="preserve"> ADDIN ZOTERO_ITEM CSL_CITATION {"citationID":"9SKttpqy","properties":{"formattedCitation":"\\super 25\\uc0\\u8211{}27\\nosupersub{}","plainCitation":"25–27","noteIndex":0},"citationItems":[{"id":2169,"uris":["http://zotero.org/users/9383478/items/NG42I3RY"],"itemData":{"id":2169,"type":"article-journal","abstract":"Band profiles of electronic devices are of fundamental importance in determining their properties. A technique that can map the band profile of both the interior and edges of a device at the nanometer scale is highly demanded. Conventional scanning tunneling spectroscopy (STS) can map band structure at the atomic scale but is limited to the interior of large and conductive samples. Here, we develop contactmode STS based on a conductive atomic force microscope that can remove these constraints. With this technique, we map the band profile of MoS2 transistors with nanometer resolution at room temperature. A band bending of 0.6 eV within 18 nm of the edges of MoS2 on an insulating substrate is discovered. This technique will be of great use for both fundamental and applied studies of various electronic devices.","container-title":"Review of Scientific Instruments","DOI":"10.1063/5.0008412","ISSN":"0034-6748, 1089-7623","issue":"7","language":"en","page":"073702","source":"DOI.org (Crossref)","title":"Detecting band profiles of devices with conductive atomic force microscopy","volume":"91","author":[{"family":"Li","given":"Ranran"},{"family":"Taniguchi","given":"Takashi"},{"family":"Watanabe","given":"Kenji"},{"family":"Xue","given":"Jiamin"}],"issued":{"date-parts":[["2020",7,1]]}}},{"id":28,"uris":["http://zotero.org/users/9383478/items/YD5GACAJ"],"itemData":{"id":28,"type":"article-journal","abstract":"Heterostructure devices based on two-dimensional materials have been under intensive study due to their intriguing electrical and optical properties. One key factor in understanding these devices is their nanometer-scale band profiles, which is challenging to obtain in devices. Here, we use a technique named contact-mode scanning tunneling spectroscopy to directly visualize the band profiles of MoS2/WSe2 heterostructure devices at different gate voltages with nanometer resolution. The long-held view of a conventional p–n junction in the MoS2/WSe2 heterostructure is reexamined. Due to strong inter- and intralayer charge transfer, the MoS2 layer in contact with WSe2 is found to convert from n-type to p-type, and a series of gate-tunable p–n and p–p+ junctions are developed in the devices. Highly conductive edges are also discovered which could strongly affect the device properties.","container-title":"ACS Nano","DOI":"10.1021/acsnano.1c05491","ISSN":"1936-0851","issue":"10","journalAbbreviation":"ACS Nano","note":"publisher: American Chemical Society","page":"16314-16321","source":"ACS Publications","title":"Visualizing Band Profiles of Gate-Tunable Junctions in MoS&lt;sub&gt;2&lt;/sub&gt;/WSe&lt;sub&gt;2&lt;/sub&gt; Heterostructure Transistors","volume":"15","author":[{"family":"Sun","given":"Xinzuo"},{"family":"Chen","given":"Yan"},{"family":"Li","given":"Zhiwei"},{"family":"Han","given":"Yu"},{"family":"Zhou","given":"Qin"},{"family":"Wang","given":"Binbin"},{"family":"Taniguchi","given":"Takashi"},{"family":"Watanabe","given":"Kenji"},{"family":"Zhao","given":"Aidi"},{"family":"Wang","given":"Jianlu"},{"family":"Liu","given":"Yuan"},{"family":"Xue","given":"Jiamin"}],"issued":{"date-parts":[["2021",10,26]]}}},{"id":2631,"uris":["http://zotero.org/users/9383478/items/8EG8MNM2"],"itemData":{"id":2631,"type":"article-journal","container-title":"ACS Applied Materials &amp; Interfaces","DOI":"10.1021/acsami.2c09457","ISSN":"1944-8244, 1944-8252","issue":"34","journalAbbreviation":"ACS Appl. Mater. Interfaces","language":"en","license":"https://doi.org/10.15223/policy-029","page":"39039-39045","source":"DOI.org (Crossref)","title":"Natural p–n Junctions at the MoS&lt;sub&gt;2&lt;/sub&gt; Flake Edges","volume":"14","author":[{"family":"Wang","given":"Kang"},{"family":"Taniguchi","given":"Takashi"},{"family":"Watanabe","given":"Kenji"},{"family":"Xue","given":"Jiamin"}],"issued":{"date-parts":[["2022",8,31]]}}}],"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25–27</w:t>
      </w:r>
      <w:r>
        <w:rPr>
          <w:rFonts w:ascii="Times" w:hAnsi="Times" w:cs="Times"/>
          <w:sz w:val="24"/>
          <w:szCs w:val="24"/>
        </w:rPr>
        <w:fldChar w:fldCharType="end"/>
      </w:r>
      <w:r>
        <w:rPr>
          <w:rFonts w:ascii="Times" w:hAnsi="Times" w:cs="Times"/>
          <w:sz w:val="24"/>
          <w:szCs w:val="24"/>
        </w:rPr>
        <w:t xml:space="preserve"> to directly measure how the alternating potential of a twisted hBN substrate modulates the graphene layer on top. With its nanometer spatial and tens-of-millivolt energy resolution, CMSTM shows that the moiré potential of twisted hBN is independent of the moiré size, ranging from hundreds to a few nanometers. Our results provide a new perspective on this important problem in sliding ferroelectricity and could benefit future studies in utilizing this system to modulate other materials.</w:t>
      </w:r>
    </w:p>
    <w:p w14:paraId="45BE18A1">
      <w:pPr>
        <w:spacing w:after="0" w:line="480" w:lineRule="auto"/>
        <w:jc w:val="both"/>
        <w:rPr>
          <w:rFonts w:ascii="Times" w:hAnsi="Times" w:cs="Times"/>
          <w:b/>
          <w:bCs/>
          <w:sz w:val="24"/>
          <w:szCs w:val="24"/>
        </w:rPr>
      </w:pPr>
    </w:p>
    <w:p w14:paraId="28C3B088">
      <w:pPr>
        <w:spacing w:line="480" w:lineRule="auto"/>
        <w:ind w:firstLine="204"/>
        <w:jc w:val="both"/>
        <w:rPr>
          <w:rFonts w:ascii="Times New Roman" w:hAnsi="Times New Roman" w:cs="Times New Roman"/>
        </w:rPr>
      </w:pPr>
      <w:r>
        <w:rPr>
          <w:rFonts w:ascii="Times" w:hAnsi="Times" w:cs="Times"/>
          <w:sz w:val="24"/>
          <w:szCs w:val="24"/>
        </w:rPr>
        <w:t>Twisted hBN bilayer (t-hBN) samples are fabricated and the electrostatic potential on a typical sample surface is measured with KPFM (as schematically shown in Fig. 1a) to confirm that ferroelectric domains are obtained. The process of sample fabrication and KPFM measurements are detailed in Methods. Fig. 1b shows the measured triangular moiré potential patterns similar to those in the literature</w:t>
      </w:r>
      <w:r>
        <w:rPr>
          <w:rFonts w:ascii="Times" w:hAnsi="Times" w:cs="Times"/>
          <w:sz w:val="24"/>
          <w:szCs w:val="24"/>
        </w:rPr>
        <w:fldChar w:fldCharType="begin"/>
      </w:r>
      <w:r>
        <w:rPr>
          <w:rFonts w:ascii="Times" w:hAnsi="Times" w:cs="Times"/>
          <w:sz w:val="24"/>
          <w:szCs w:val="24"/>
        </w:rPr>
        <w:instrText xml:space="preserve"> ADDIN ZOTERO_ITEM CSL_CITATION {"citationID":"f9vaIEwD","properties":{"formattedCitation":"\\super 2\\uc0\\u8211{}4\\nosupersub{}","plainCitation":"2–4","noteIndex":0},"citationItems":[{"id":2204,"uris":["http://zotero.org/users/9383478/items/IFSMG8GT"],"itemData":{"id":2204,"type":"article-journal","abstract":"Stacking a ferroelectric\n            \n              Properties of layered van der Waals structures can depend sensitively on the stacking arrangement of constituent layers. This phenomenon has been exploited to engineer superconducting, correlated insulator, and magnetic states. Two groups now show that ferroelectricity can also be engineered through stacking: Parallel-stacked bilayers of hexagonal boron nitride exhibit ferroelectric switching even though the bulk material is not ferroelectric (see the Perspective by Tsymbal). To explore these phenomena, Yasuda\n              et al.\n              used transport measurements, whereas Vizner Stern\n              et al.\n              focused on atomic force microscopy.\n            \n            \n              Science\n              , abd3230 and abe8177, this issue p.\n              1458\n              and p.\n              1462\n              ; see also abi7296, p.\n              1389\n            \n          , \n            Parallel-stacked bilayers of hexagonal boron nitride (hBN) exhibit ferroelectric switching even though bulk hBN is not ferroelectric.\n          , \n            Despite their partial ionic nature, many-layered diatomic crystals avoid internal electric polarization by forming a centrosymmetric lattice at their optimal van der Waals stacking. Here, we report a stable ferroelectric order emerging at the interface between two naturally grown flakes of hexagonal boron nitride, which are stacked together in a metastable non-centrosymmetric parallel orientation. We observe alternating domains of inverted normal polarization, caused by a lateral shift of one lattice site between the domains. Reversible polarization switching coupled to lateral sliding is achieved by scanning a biased tip above the surface. Our calculations trace the origin of the phenomenon to a subtle interplay between charge redistribution and ionic displacement and provide intuitive insights to explore the interfacial polarization and its distinctive “slidetronics” switching mechanism.","container-title":"Science","DOI":"10.1126/science.abe8177","ISSN":"0036-8075, 1095-9203","issue":"6549","journalAbbreviation":"Science","language":"en","page":"1462-1466","source":"DOI.org (Crossref)","title":"Interfacial ferroelectricity by van der Waals sliding","volume":"372","author":[{"family":"Vizner Stern","given":"M."},{"family":"Waschitz","given":"Y."},{"family":"Cao","given":"W."},{"family":"Nevo","given":"I."},{"family":"Watanabe","given":"K."},{"family":"Taniguchi","given":"T."},{"family":"Sela","given":"E."},{"family":"Urbakh","given":"M."},{"family":"Hod","given":"O."},{"family":"Ben Shalom","given":"M."}],"issued":{"date-parts":[["2021",6,25]]}}},{"id":2231,"uris":["http://zotero.org/users/9383478/items/9JSH6LDM"],"itemData":{"id":2231,"type":"article-journal","abstract":"Abstract\n            When two-dimensional crystals are brought into close proximity, their interaction results in reconstruction of electronic spectrum and crystal structure. Such reconstruction strongly depends on the twist angle between the crystals, which has received growing attention due to interesting electronic and optical properties that arise in graphene and transitional metal dichalcogenides. Here we study two insulating crystals of hexagonal boron nitride stacked at small twist angle. Using electrostatic force microscopy, we observe ferroelectric-like domains arranged in triangular superlattices with a large surface potential. The observation is attributed to interfacial elastic deformations that result in out-of-plane dipoles formed by pairs of boron and nitrogen atoms belonging to opposite interfacial surfaces. This creates a bilayer-thick ferroelectric with oppositely polarized (BN and NB) dipoles in neighbouring domains, in agreement with our modeling. These findings open up possibilities for designing van der Waals heterostructures and offer an alternative probe to study moiré-superlattice electrostatic potentials.","container-title":"Nature Communications","DOI":"10.1038/s41467-020-20667-2","ISSN":"2041-1723","issue":"1","journalAbbreviation":"Nat Commun","language":"en","page":"347","source":"DOI.org (Crossref)","title":"Charge-polarized interfacial superlattices in marginally twisted hexagonal boron nitride","volume":"12","author":[{"family":"Woods","given":"C. R."},{"family":"Ares","given":"P."},{"family":"Nevison-Andrews","given":"H."},{"family":"Holwill","given":"M. J."},{"family":"Fabregas","given":"R."},{"family":"Guinea","given":"F."},{"family":"Geim","given":"A. K."},{"family":"Novoselov","given":"K. S."},{"family":"Walet","given":"N. R."},{"family":"Fumagalli","given":"L."}],"issued":{"date-parts":[["2021",1,12]]}}},{"id":2538,"uris":["http://zotero.org/users/9383478/items/BEJ6IYIU"],"itemData":{"id":2538,"type":"article-journal","abstract":"Stacking a ferroelectric\n            \n              Properties of layered van der Waals structures can depend sensitively on the stacking arrangement of constituent layers. This phenomenon has been exploited to engineer superconducting, correlated insulator, and magnetic states. Two groups now show that ferroelectricity can also be engineered through stacking: Parallel-stacked bilayers of hexagonal boron nitride exhibit ferroelectric switching even though the bulk material is not ferroelectric (see the Perspective by Tsymbal). To explore these phenomena, Yasuda\n              et al.\n              used transport measurements, whereas Vizner Stern\n              et al.\n              focused on atomic force microscopy.\n            \n            \n              Science\n              , abd3230 and abe8177, this issue p.\n              1458\n              and p.\n              1462\n              ; see also abi7296, p.\n              1389\n            \n          , \n            Parallel-stacked bilayers of hexagonal boron nitride (hBN) exhibit ferroelectric switching even though bulk hBN is not ferroelectric.\n          , \n            Two-dimensional (2D) ferroelectrics with robust polarization down to atomic thicknesses provide building blocks for functional heterostructures. Experimental realization remains challenging because of the requirement of a layered polar crystal. Here, we demonstrate a rational design approach to engineering 2D ferroelectrics from a nonferroelectric parent compound by using van der Waals assembly. Parallel-stacked bilayer boron nitride exhibits out-of-plane electric polarization that reverses depending on the stacking order. The polarization switching is probed through the resistance of an adjacently stacked graphene sheet. Twisting the boron nitride sheets by a small angle changes the dynamics of switching because of the formation of moiré ferroelectricity with staggered polarization. The ferroelectricity persists to room temperature while keeping the high mobility of graphene, paving the way for potential ultrathin nonvolatile memory applications.","container-title":"Science","DOI":"10.1126/science.abd3230","ISSN":"0036-8075, 1095-9203","issue":"6549","journalAbbreviation":"Science","language":"en","page":"1458-1462","source":"DOI.org (Crossref)","title":"Stacking-engineered ferroelectricity in bilayer boron nitride","volume":"372","author":[{"family":"Yasuda","given":"Kenji"},{"family":"Wang","given":"Xirui"},{"family":"Watanabe","given":"Kenji"},{"family":"Taniguchi","given":"Takashi"},{"family":"Jarillo-Herrero","given":"Pablo"}],"issued":{"date-parts":[["2021",6,25]]}}}],"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2–4</w:t>
      </w:r>
      <w:r>
        <w:rPr>
          <w:rFonts w:ascii="Times" w:hAnsi="Times" w:cs="Times"/>
          <w:sz w:val="24"/>
          <w:szCs w:val="24"/>
        </w:rPr>
        <w:fldChar w:fldCharType="end"/>
      </w:r>
      <w:r>
        <w:rPr>
          <w:rFonts w:ascii="Times" w:hAnsi="Times" w:cs="Times"/>
          <w:sz w:val="24"/>
          <w:szCs w:val="24"/>
        </w:rPr>
        <w:t xml:space="preserve">, with sizes ranging from ~600 nm to ~40 nm, below which the domains are non-detectable due to the resolution limit of KPFM. The change in size likely originates from strain-induced twist-angle variations. The twist angles are estimated to be between 0.025° and 0.375° using the relation </w:t>
      </w:r>
      <m:oMath>
        <m:r>
          <m:rPr/>
          <w:rPr>
            <w:rFonts w:ascii="Cambria Math" w:hAnsi="Cambria Math" w:cs="Times"/>
            <w:sz w:val="24"/>
            <w:szCs w:val="24"/>
          </w:rPr>
          <m:t>b = a/δ</m:t>
        </m:r>
      </m:oMath>
      <w:r>
        <w:rPr>
          <w:rFonts w:ascii="Times" w:hAnsi="Times" w:cs="Times"/>
          <w:sz w:val="24"/>
          <w:szCs w:val="24"/>
        </w:rPr>
        <w:t xml:space="preserve">, where </w:t>
      </w:r>
      <m:oMath>
        <m:r>
          <m:rPr/>
          <w:rPr>
            <w:rFonts w:ascii="Cambria Math" w:hAnsi="Cambria Math" w:cs="Times"/>
            <w:sz w:val="24"/>
            <w:szCs w:val="24"/>
          </w:rPr>
          <m:t>b</m:t>
        </m:r>
      </m:oMath>
      <w:r>
        <w:rPr>
          <w:rFonts w:ascii="Times" w:hAnsi="Times" w:cs="Times"/>
          <w:sz w:val="24"/>
          <w:szCs w:val="24"/>
        </w:rPr>
        <w:t xml:space="preserve"> is the moiré size, </w:t>
      </w:r>
      <m:oMath>
        <m:r>
          <m:rPr/>
          <w:rPr>
            <w:rFonts w:ascii="Cambria Math" w:hAnsi="Cambria Math" w:cs="Times"/>
            <w:sz w:val="24"/>
            <w:szCs w:val="24"/>
          </w:rPr>
          <m:t>a</m:t>
        </m:r>
      </m:oMath>
      <w:r>
        <w:rPr>
          <w:rFonts w:ascii="Times" w:hAnsi="Times" w:cs="Times"/>
          <w:sz w:val="24"/>
          <w:szCs w:val="24"/>
        </w:rPr>
        <w:t xml:space="preserve"> is the hBN lattice constant and </w:t>
      </w:r>
      <m:oMath>
        <m:r>
          <m:rPr/>
          <w:rPr>
            <w:rFonts w:ascii="Cambria Math" w:hAnsi="Cambria Math" w:cs="Times"/>
            <w:sz w:val="24"/>
            <w:szCs w:val="24"/>
          </w:rPr>
          <m:t>δ</m:t>
        </m:r>
      </m:oMath>
      <w:r>
        <w:rPr>
          <w:rFonts w:ascii="Times" w:hAnsi="Times" w:cs="Times"/>
          <w:sz w:val="24"/>
          <w:szCs w:val="24"/>
        </w:rPr>
        <w:t xml:space="preserve"> is the twist angle</w:t>
      </w:r>
      <w:r>
        <w:rPr>
          <w:rFonts w:ascii="Times" w:hAnsi="Times" w:cs="Times"/>
          <w:sz w:val="24"/>
          <w:szCs w:val="24"/>
        </w:rPr>
        <w:fldChar w:fldCharType="begin"/>
      </w:r>
      <w:r>
        <w:rPr>
          <w:rFonts w:ascii="Times" w:hAnsi="Times" w:cs="Times"/>
          <w:sz w:val="24"/>
          <w:szCs w:val="24"/>
        </w:rPr>
        <w:instrText xml:space="preserve"> ADDIN ZOTERO_ITEM CSL_CITATION {"citationID":"0ZTNqZBn","properties":{"formattedCitation":"\\super 15\\nosupersub{}","plainCitation":"15","noteIndex":0},"citationItems":[{"id":1892,"uris":["http://zotero.org/users/9383478/items/H3KHLPX9"],"itemData":{"id":1892,"type":"article-journal","container-title":"Nature Materials","DOI":"10.1038/s41563-023-01637-7","ISSN":"1476-1122, 1476-4660","issue":"1","journalAbbreviation":"Nat. Mater.","language":"en","page":"65-70","source":"DOI.org (Crossref)","title":"Electrostatic moiré potential from twisted hexagonal boron nitride layers","volume":"23","author":[{"family":"Kim","given":"Dong Seob"},{"family":"Dominguez","given":"Roy C."},{"family":"Mayorga-Luna","given":"Rigo"},{"family":"Ye","given":"Dingyi"},{"family":"Embley","given":"Jacob"},{"family":"Tan","given":"Tixuan"},{"family":"Ni","given":"Yue"},{"family":"Liu","given":"Zhida"},{"family":"Ford","given":"Mitchell"},{"family":"Gao","given":"Frank Y."},{"family":"Arash","given":"Saba"},{"family":"Watanabe","given":"Kenji"},{"family":"Taniguchi","given":"Takashi"},{"family":"Kim","given":"Suenne"},{"family":"Shih","given":"Chih-Kang"},{"family":"Lai","given":"Keji"},{"family":"Yao","given":"Wang"},{"family":"Yang","given":"Li"},{"family":"Li","given":"Xiaoqin"},{"family":"Miyahara","given":"Yoichi"}],"issued":{"date-parts":[["2024",1]]}}}],"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15</w:t>
      </w:r>
      <w:r>
        <w:rPr>
          <w:rFonts w:ascii="Times" w:hAnsi="Times" w:cs="Times"/>
          <w:sz w:val="24"/>
          <w:szCs w:val="24"/>
        </w:rPr>
        <w:fldChar w:fldCharType="end"/>
      </w:r>
      <w:r>
        <w:rPr>
          <w:rFonts w:ascii="Times" w:hAnsi="Times" w:cs="Times"/>
          <w:sz w:val="24"/>
          <w:szCs w:val="24"/>
        </w:rPr>
        <w:t>. From Fig. 1b, it can be seen that areas with smaller moiré patterns have less potential difference (</w:t>
      </w:r>
      <m:oMath>
        <m:r>
          <m:rPr>
            <m:sty m:val="p"/>
          </m:rPr>
          <w:rPr>
            <w:rFonts w:ascii="Cambria Math" w:hAnsi="Cambria Math" w:cs="Times"/>
            <w:sz w:val="24"/>
            <w:szCs w:val="24"/>
          </w:rPr>
          <m:t>Δ</m:t>
        </m:r>
        <m:r>
          <m:rPr/>
          <w:rPr>
            <w:rFonts w:ascii="Cambria Math" w:hAnsi="Cambria Math" w:cs="Times"/>
            <w:sz w:val="24"/>
            <w:szCs w:val="24"/>
          </w:rPr>
          <m:t>V</m:t>
        </m:r>
      </m:oMath>
      <w:r>
        <w:rPr>
          <w:rFonts w:ascii="Times" w:hAnsi="Times" w:cs="Times"/>
          <w:sz w:val="24"/>
          <w:szCs w:val="24"/>
        </w:rPr>
        <w:t xml:space="preserve">) between neighbouring domains with opposite polarization, which can be quantified as shown in Fig. 1c (see the </w:t>
      </w:r>
      <w:r>
        <w:rPr>
          <w:rFonts w:hint="eastAsia" w:ascii="Times" w:hAnsi="Times" w:cs="Times"/>
          <w:sz w:val="24"/>
          <w:szCs w:val="24"/>
          <w:lang w:eastAsia="zh-CN"/>
        </w:rPr>
        <w:t>Supporting</w:t>
      </w:r>
      <w:r>
        <w:rPr>
          <w:rFonts w:ascii="Times" w:hAnsi="Times" w:cs="Times"/>
          <w:sz w:val="24"/>
          <w:szCs w:val="24"/>
        </w:rPr>
        <w:t xml:space="preserve"> Information for data fitting details)</w:t>
      </w:r>
      <w:r>
        <w:rPr>
          <w:rFonts w:ascii="Times" w:hAnsi="Times" w:cs="Times"/>
          <w:sz w:val="24"/>
          <w:szCs w:val="24"/>
        </w:rPr>
        <w:fldChar w:fldCharType="begin"/>
      </w:r>
      <w:r>
        <w:rPr>
          <w:rFonts w:ascii="Times" w:hAnsi="Times" w:cs="Times"/>
          <w:sz w:val="24"/>
          <w:szCs w:val="24"/>
        </w:rPr>
        <w:instrText xml:space="preserve"> ADDIN ZOTERO_ITEM CSL_CITATION {"citationID":"lxbGTFax","properties":{"formattedCitation":"\\super 15\\nosupersub{}","plainCitation":"15","noteIndex":0},"citationItems":[{"id":1892,"uris":["http://zotero.org/users/9383478/items/H3KHLPX9"],"itemData":{"id":1892,"type":"article-journal","container-title":"Nature Materials","DOI":"10.1038/s41563-023-01637-7","ISSN":"1476-1122, 1476-4660","issue":"1","journalAbbreviation":"Nat. Mater.","language":"en","page":"65-70","source":"DOI.org (Crossref)","title":"Electrostatic moiré potential from twisted hexagonal boron nitride layers","volume":"23","author":[{"family":"Kim","given":"Dong Seob"},{"family":"Dominguez","given":"Roy C."},{"family":"Mayorga-Luna","given":"Rigo"},{"family":"Ye","given":"Dingyi"},{"family":"Embley","given":"Jacob"},{"family":"Tan","given":"Tixuan"},{"family":"Ni","given":"Yue"},{"family":"Liu","given":"Zhida"},{"family":"Ford","given":"Mitchell"},{"family":"Gao","given":"Frank Y."},{"family":"Arash","given":"Saba"},{"family":"Watanabe","given":"Kenji"},{"family":"Taniguchi","given":"Takashi"},{"family":"Kim","given":"Suenne"},{"family":"Shih","given":"Chih-Kang"},{"family":"Lai","given":"Keji"},{"family":"Yao","given":"Wang"},{"family":"Yang","given":"Li"},{"family":"Li","given":"Xiaoqin"},{"family":"Miyahara","given":"Yoichi"}],"issued":{"date-parts":[["2024",1]]}}}],"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15</w:t>
      </w:r>
      <w:r>
        <w:rPr>
          <w:rFonts w:ascii="Times" w:hAnsi="Times" w:cs="Times"/>
          <w:sz w:val="24"/>
          <w:szCs w:val="24"/>
        </w:rPr>
        <w:fldChar w:fldCharType="end"/>
      </w:r>
      <w:r>
        <w:rPr>
          <w:rFonts w:ascii="Times" w:hAnsi="Times" w:cs="Times"/>
          <w:sz w:val="24"/>
          <w:szCs w:val="24"/>
        </w:rPr>
        <w:t xml:space="preserve">.  </w:t>
      </w:r>
      <m:oMath>
        <m:r>
          <m:rPr>
            <m:sty m:val="p"/>
          </m:rPr>
          <w:rPr>
            <w:rFonts w:ascii="Cambria Math" w:hAnsi="Cambria Math" w:cs="Times"/>
            <w:sz w:val="24"/>
            <w:szCs w:val="24"/>
          </w:rPr>
          <m:t>Δ</m:t>
        </m:r>
        <m:r>
          <m:rPr/>
          <w:rPr>
            <w:rFonts w:ascii="Cambria Math" w:hAnsi="Cambria Math" w:cs="Times"/>
            <w:sz w:val="24"/>
            <w:szCs w:val="24"/>
          </w:rPr>
          <m:t>V</m:t>
        </m:r>
      </m:oMath>
      <w:r>
        <w:rPr>
          <w:rFonts w:ascii="Times" w:hAnsi="Times" w:cs="Times"/>
          <w:sz w:val="24"/>
          <w:szCs w:val="24"/>
        </w:rPr>
        <w:t xml:space="preserve"> increases with characteristic length (</w:t>
      </w:r>
      <m:oMath>
        <m:sSub>
          <m:sSubPr>
            <m:ctrlPr>
              <w:rPr>
                <w:rFonts w:ascii="Cambria Math" w:hAnsi="Cambria Math" w:cs="Times"/>
                <w:i/>
                <w:sz w:val="24"/>
                <w:szCs w:val="24"/>
              </w:rPr>
            </m:ctrlPr>
          </m:sSubPr>
          <m:e>
            <m:r>
              <m:rPr/>
              <w:rPr>
                <w:rFonts w:ascii="Cambria Math" w:hAnsi="Cambria Math" w:cs="Times"/>
                <w:sz w:val="24"/>
                <w:szCs w:val="24"/>
              </w:rPr>
              <m:t>L</m:t>
            </m:r>
            <m:ctrlPr>
              <w:rPr>
                <w:rFonts w:ascii="Cambria Math" w:hAnsi="Cambria Math" w:cs="Times"/>
                <w:i/>
                <w:sz w:val="24"/>
                <w:szCs w:val="24"/>
              </w:rPr>
            </m:ctrlPr>
          </m:e>
          <m:sub>
            <m:r>
              <m:rPr>
                <m:sty m:val="p"/>
              </m:rPr>
              <w:rPr>
                <w:rFonts w:ascii="Cambria Math" w:hAnsi="Cambria Math" w:cs="Times"/>
                <w:sz w:val="24"/>
                <w:szCs w:val="24"/>
              </w:rPr>
              <m:t>c</m:t>
            </m:r>
            <m:ctrlPr>
              <w:rPr>
                <w:rFonts w:ascii="Cambria Math" w:hAnsi="Cambria Math" w:cs="Times"/>
                <w:i/>
                <w:sz w:val="24"/>
                <w:szCs w:val="24"/>
              </w:rPr>
            </m:ctrlPr>
          </m:sub>
        </m:sSub>
      </m:oMath>
      <w:r>
        <w:rPr>
          <w:rFonts w:ascii="Times" w:hAnsi="Times" w:cs="Times"/>
          <w:sz w:val="24"/>
          <w:szCs w:val="24"/>
        </w:rPr>
        <w:t>) of the moiré domains and reaches a maximum saturation value of ~200 mV, similar to the results of others</w:t>
      </w:r>
      <w:r>
        <w:rPr>
          <w:rFonts w:ascii="Times" w:hAnsi="Times" w:cs="Times"/>
          <w:sz w:val="24"/>
          <w:szCs w:val="24"/>
        </w:rPr>
        <w:fldChar w:fldCharType="begin"/>
      </w:r>
      <w:r>
        <w:rPr>
          <w:rFonts w:ascii="Times" w:hAnsi="Times" w:cs="Times"/>
          <w:sz w:val="24"/>
          <w:szCs w:val="24"/>
        </w:rPr>
        <w:instrText xml:space="preserve"> ADDIN ZOTERO_ITEM CSL_CITATION {"citationID":"Em86MQHz","properties":{"formattedCitation":"\\super 2,3,15\\nosupersub{}","plainCitation":"2,3,15","noteIndex":0},"citationItems":[{"id":2204,"uris":["http://zotero.org/users/9383478/items/IFSMG8GT"],"itemData":{"id":2204,"type":"article-journal","abstract":"Stacking a ferroelectric\n            \n              Properties of layered van der Waals structures can depend sensitively on the stacking arrangement of constituent layers. This phenomenon has been exploited to engineer superconducting, correlated insulator, and magnetic states. Two groups now show that ferroelectricity can also be engineered through stacking: Parallel-stacked bilayers of hexagonal boron nitride exhibit ferroelectric switching even though the bulk material is not ferroelectric (see the Perspective by Tsymbal). To explore these phenomena, Yasuda\n              et al.\n              used transport measurements, whereas Vizner Stern\n              et al.\n              focused on atomic force microscopy.\n            \n            \n              Science\n              , abd3230 and abe8177, this issue p.\n              1458\n              and p.\n              1462\n              ; see also abi7296, p.\n              1389\n            \n          , \n            Parallel-stacked bilayers of hexagonal boron nitride (hBN) exhibit ferroelectric switching even though bulk hBN is not ferroelectric.\n          , \n            Despite their partial ionic nature, many-layered diatomic crystals avoid internal electric polarization by forming a centrosymmetric lattice at their optimal van der Waals stacking. Here, we report a stable ferroelectric order emerging at the interface between two naturally grown flakes of hexagonal boron nitride, which are stacked together in a metastable non-centrosymmetric parallel orientation. We observe alternating domains of inverted normal polarization, caused by a lateral shift of one lattice site between the domains. Reversible polarization switching coupled to lateral sliding is achieved by scanning a biased tip above the surface. Our calculations trace the origin of the phenomenon to a subtle interplay between charge redistribution and ionic displacement and provide intuitive insights to explore the interfacial polarization and its distinctive “slidetronics” switching mechanism.","container-title":"Science","DOI":"10.1126/science.abe8177","ISSN":"0036-8075, 1095-9203","issue":"6549","journalAbbreviation":"Science","language":"en","page":"1462-1466","source":"DOI.org (Crossref)","title":"Interfacial ferroelectricity by van der Waals sliding","volume":"372","author":[{"family":"Vizner Stern","given":"M."},{"family":"Waschitz","given":"Y."},{"family":"Cao","given":"W."},{"family":"Nevo","given":"I."},{"family":"Watanabe","given":"K."},{"family":"Taniguchi","given":"T."},{"family":"Sela","given":"E."},{"family":"Urbakh","given":"M."},{"family":"Hod","given":"O."},{"family":"Ben Shalom","given":"M."}],"issued":{"date-parts":[["2021",6,25]]}}},{"id":2231,"uris":["http://zotero.org/users/9383478/items/9JSH6LDM"],"itemData":{"id":2231,"type":"article-journal","abstract":"Abstract\n            When two-dimensional crystals are brought into close proximity, their interaction results in reconstruction of electronic spectrum and crystal structure. Such reconstruction strongly depends on the twist angle between the crystals, which has received growing attention due to interesting electronic and optical properties that arise in graphene and transitional metal dichalcogenides. Here we study two insulating crystals of hexagonal boron nitride stacked at small twist angle. Using electrostatic force microscopy, we observe ferroelectric-like domains arranged in triangular superlattices with a large surface potential. The observation is attributed to interfacial elastic deformations that result in out-of-plane dipoles formed by pairs of boron and nitrogen atoms belonging to opposite interfacial surfaces. This creates a bilayer-thick ferroelectric with oppositely polarized (BN and NB) dipoles in neighbouring domains, in agreement with our modeling. These findings open up possibilities for designing van der Waals heterostructures and offer an alternative probe to study moiré-superlattice electrostatic potentials.","container-title":"Nature Communications","DOI":"10.1038/s41467-020-20667-2","ISSN":"2041-1723","issue":"1","journalAbbreviation":"Nat Commun","language":"en","page":"347","source":"DOI.org (Crossref)","title":"Charge-polarized interfacial superlattices in marginally twisted hexagonal boron nitride","volume":"12","author":[{"family":"Woods","given":"C. R."},{"family":"Ares","given":"P."},{"family":"Nevison-Andrews","given":"H."},{"family":"Holwill","given":"M. J."},{"family":"Fabregas","given":"R."},{"family":"Guinea","given":"F."},{"family":"Geim","given":"A. K."},{"family":"Novoselov","given":"K. S."},{"family":"Walet","given":"N. R."},{"family":"Fumagalli","given":"L."}],"issued":{"date-parts":[["2021",1,12]]}}},{"id":1892,"uris":["http://zotero.org/users/9383478/items/H3KHLPX9"],"itemData":{"id":1892,"type":"article-journal","container-title":"Nature Materials","DOI":"10.1038/s41563-023-01637-7","ISSN":"1476-1122, 1476-4660","issue":"1","journalAbbreviation":"Nat. Mater.","language":"en","page":"65-70","source":"DOI.org (Crossref)","title":"Electrostatic moiré potential from twisted hexagonal boron nitride layers","volume":"23","author":[{"family":"Kim","given":"Dong Seob"},{"family":"Dominguez","given":"Roy C."},{"family":"Mayorga-Luna","given":"Rigo"},{"family":"Ye","given":"Dingyi"},{"family":"Embley","given":"Jacob"},{"family":"Tan","given":"Tixuan"},{"family":"Ni","given":"Yue"},{"family":"Liu","given":"Zhida"},{"family":"Ford","given":"Mitchell"},{"family":"Gao","given":"Frank Y."},{"family":"Arash","given":"Saba"},{"family":"Watanabe","given":"Kenji"},{"family":"Taniguchi","given":"Takashi"},{"family":"Kim","given":"Suenne"},{"family":"Shih","given":"Chih-Kang"},{"family":"Lai","given":"Keji"},{"family":"Yao","given":"Wang"},{"family":"Yang","given":"Li"},{"family":"Li","given":"Xiaoqin"},{"family":"Miyahara","given":"Yoichi"}],"issued":{"date-parts":[["2024",1]]}},"label":"page"}],"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2,3,15</w:t>
      </w:r>
      <w:r>
        <w:rPr>
          <w:rFonts w:ascii="Times" w:hAnsi="Times" w:cs="Times"/>
          <w:sz w:val="24"/>
          <w:szCs w:val="24"/>
        </w:rPr>
        <w:fldChar w:fldCharType="end"/>
      </w:r>
      <w:r>
        <w:rPr>
          <w:rFonts w:ascii="Times" w:hAnsi="Times" w:cs="Times"/>
          <w:sz w:val="24"/>
          <w:szCs w:val="24"/>
        </w:rPr>
        <w:t>. Previously, this trend was interpreted as the intrinsic behavior of sliding ferroelectricity</w:t>
      </w:r>
      <w:r>
        <w:rPr>
          <w:rFonts w:ascii="Times" w:hAnsi="Times" w:cs="Times"/>
          <w:sz w:val="24"/>
          <w:szCs w:val="24"/>
        </w:rPr>
        <w:fldChar w:fldCharType="begin"/>
      </w:r>
      <w:r>
        <w:rPr>
          <w:rFonts w:ascii="Times" w:hAnsi="Times" w:cs="Times"/>
          <w:sz w:val="24"/>
          <w:szCs w:val="24"/>
        </w:rPr>
        <w:instrText xml:space="preserve"> ADDIN ZOTERO_ITEM CSL_CITATION {"citationID":"6QoOAs9V","properties":{"formattedCitation":"\\super 13,15,24\\nosupersub{}","plainCitation":"13,15,24","noteIndex":0},"citationItems":[{"id":2553,"uris":["http://zotero.org/users/9383478/items/H8DBVP5Y"],"itemData":{"id":2553,"type":"article-journal","container-title":"Nano Letters","DOI":"10.1021/acs.nanolett.4c04996","ISSN":"1530-6984","journalAbbreviation":"Nano Lett.","note":"publisher: American Chemical Society","title":"Moiré Exciton Polaron Engineering via twisted hBN","URL":"https://doi.org/10.1021/acs.nanolett.4c04996","author":[{"family":"Cho","given":"Minhyun"},{"family":"Datta","given":"Biswajit"},{"family":"Han","given":"Kwanghee"},{"family":"Chand","given":"Saroj B."},{"family":"Adak","given":"Pratap Chandra"},{"family":"Yu","given":"Sichao"},{"family":"Li","given":"Fengping"},{"family":"Watanabe","given":"Kenji"},{"family":"Taniguchi","given":"Takashi"},{"family":"Hone","given":"James"},{"family":"Jung","given":"Jeil"},{"family":"Grosso","given":"Gabriele"},{"family":"Kim","given":"Young Duck"},{"family":"Menon","given":"Vinod M."}],"issued":{"date-parts":[["2024",12,2]]}}},{"id":1892,"uris":["http://zotero.org/users/9383478/items/H3KHLPX9"],"itemData":{"id":1892,"type":"article-journal","container-title":"Nature Materials","DOI":"10.1038/s41563-023-01637-7","ISSN":"1476-1122, 1476-4660","issue":"1","journalAbbreviation":"Nat. Mater.","language":"en","page":"65-70","source":"DOI.org (Crossref)","title":"Electrostatic moiré potential from twisted hexagonal boron nitride layers","volume":"23","author":[{"family":"Kim","given":"Dong Seob"},{"family":"Dominguez","given":"Roy C."},{"family":"Mayorga-Luna","given":"Rigo"},{"family":"Ye","given":"Dingyi"},{"family":"Embley","given":"Jacob"},{"family":"Tan","given":"Tixuan"},{"family":"Ni","given":"Yue"},{"family":"Liu","given":"Zhida"},{"family":"Ford","given":"Mitchell"},{"family":"Gao","given":"Frank Y."},{"family":"Arash","given":"Saba"},{"family":"Watanabe","given":"Kenji"},{"family":"Taniguchi","given":"Takashi"},{"family":"Kim","given":"Suenne"},{"family":"Shih","given":"Chih-Kang"},{"family":"Lai","given":"Keji"},{"family":"Yao","given":"Wang"},{"family":"Yang","given":"Li"},{"family":"Li","given":"Xiaoqin"},{"family":"Miyahara","given":"Yoichi"}],"issued":{"date-parts":[["2024",1]]}}},{"id":2572,"uris":["http://zotero.org/users/9383478/items/J74D2VAH"],"itemData":{"id":2572,"type":"article-journal","abstract":"Abstract\n            Moiré superlattice of twisted hexagonal boron nitride (hBN) has emerged as an advanced atomically thin van der Waals interfacial ferroelectricity platform. Nanoscale periodic ferroelectric moiré potentials in twisted hBN allow the hosting of remote Coulomb superlattice potentials to adjacent 2D materials. Therefore, the new strategies for engineering moiré length, angle, and potential strength are essential for developing programmable quantum materials. Here, it demonstrates the realization of twisted hBN‐based moiré superlattice platforms and visualizes the moiré domains and ferroelectric properties using Kelvin probe force microscopy (KPFM). Also, the regular moiré superlattice in the large area is reported. It offers the possibility to reproduce uniform moiré structures with precise control piezo stage stacking and heat annealing. It demonstrates cumulative multi‐ferroelectric polarization and multi‐level domains with multiple angle mismatched interfaces. Additionally, it observes the quasi‐1D anisotropic moiré domains and show the highest resolution analysis of the local built‐in strain between adjacent hBN layers compared to the conventional methods. Furthermore, in‐situ manipulation of moiré potential is demonstrated using femtosecond pulse laser, which results in the optical phonon‐induced atomic displacement at the hBN moiré interfaces. The results pave the way to develop precisely programmable moiré superlattice platforms and investigate strongly correlated physics.","container-title":"Advanced Science","DOI":"10.1002/advs.202408034","ISSN":"2198-3844, 2198-3844","journalAbbreviation":"Advanced Science","language":"en","page":"2408034","source":"DOI.org (Crossref)","title":"Highly Tunable Moiré Superlattice Potentials in Twisted Hexagonal Boron Nitrides","author":[{"family":"Han","given":"Kwanghee"},{"family":"Cho","given":"Minhyun"},{"family":"Kim","given":"Taehyung"},{"family":"Kim","given":"Seung Tae"},{"family":"Kim","given":"Suk Hyun"},{"family":"Park","given":"Sang Hwa"},{"family":"Yang","given":"Sang Mo"},{"family":"Watanabe","given":"Kenji"},{"family":"Taniguchi","given":"Takashi"},{"family":"Menon","given":"Vinod"},{"family":"Kim","given":"Young Duck"}],"issued":{"date-parts":[["2024",11,8]]}}}],"schema":"https://github.com/citation-style-language/schema/raw/master/csl-citation.json"}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13,15,24</w:t>
      </w:r>
      <w:r>
        <w:rPr>
          <w:rFonts w:ascii="Times" w:hAnsi="Times" w:cs="Times"/>
          <w:sz w:val="24"/>
          <w:szCs w:val="24"/>
        </w:rPr>
        <w:fldChar w:fldCharType="end"/>
      </w:r>
      <w:r>
        <w:rPr>
          <w:rFonts w:ascii="Times" w:hAnsi="Times" w:cs="Times"/>
          <w:sz w:val="24"/>
          <w:szCs w:val="24"/>
        </w:rPr>
        <w:t xml:space="preserve"> and was fitted by the theoretical function of the potential variation (red curve in Fig. 1c)</w:t>
      </w:r>
      <w:r>
        <w:rPr>
          <w:rFonts w:ascii="Times" w:hAnsi="Times" w:cs="Times"/>
          <w:sz w:val="24"/>
          <w:szCs w:val="24"/>
        </w:rPr>
        <w:fldChar w:fldCharType="begin"/>
      </w:r>
      <w:r>
        <w:rPr>
          <w:rFonts w:ascii="Times" w:hAnsi="Times" w:cs="Times"/>
          <w:sz w:val="24"/>
          <w:szCs w:val="24"/>
        </w:rPr>
        <w:instrText xml:space="preserve"> ADDIN ZOTERO_ITEM CSL_CITATION {"citationID":"EQj8GCEU","properties":{"formattedCitation":"\\super 11,15\\nosupersub{}","plainCitation":"11,15","noteIndex":0},"citationItems":[{"id":1892,"uris":["http://zotero.org/users/9383478/items/H3KHLPX9"],"itemData":{"id":1892,"type":"article-journal","container-title":"Nature Materials","DOI":"10.1038/s41563-023-01637-7","ISSN":"1476-1122, 1476-4660","issue":"1","journalAbbreviation":"Nat. Mater.","language":"en","page":"65-70","source":"DOI.org (Crossref)","title":"Electrostatic moiré potential from twisted hexagonal boron nitride layers","volume":"23","author":[{"family":"Kim","given":"Dong Seob"},{"family":"Dominguez","given":"Roy C."},{"family":"Mayorga-Luna","given":"Rigo"},{"family":"Ye","given":"Dingyi"},{"family":"Embley","given":"Jacob"},{"family":"Tan","given":"Tixuan"},{"family":"Ni","given":"Yue"},{"family":"Liu","given":"Zhida"},{"family":"Ford","given":"Mitchell"},{"family":"Gao","given":"Frank Y."},{"family":"Arash","given":"Saba"},{"family":"Watanabe","given":"Kenji"},{"family":"Taniguchi","given":"Takashi"},{"family":"Kim","given":"Suenne"},{"family":"Shih","given":"Chih-Kang"},{"family":"Lai","given":"Keji"},{"family":"Yao","given":"Wang"},{"family":"Yang","given":"Li"},{"family":"Li","given":"Xiaoqin"},{"family":"Miyahara","given":"Yoichi"}],"issued":{"date-parts":[["2024",1]]}}},{"id":1919,"uris":["http://zotero.org/users/9383478/items/MFRT4LVN"],"itemData":{"id":1919,"type":"article-journal","abstract":"Abstract\n            \n              Lateral superlattices in 2D materials provide a powerful platform for exploring intriguing quantum phenomena, which can be realized through the proximity coupling in forming moiré pattern with another layer. This approach, however, is invasive, material-specific, and requires small lattice mismatch and suitable band alignment, largely limited to graphene and transition metal dichalcogenides (TMDs). Hexagonal boron nitride (h-BN) of antiparallel (AA′) stacking has been an indispensable building block, as dielectric substrates and capping layers for realizing high-quality van der Waals devices. There is also emerging interest on parallelly aligned h-BN of Bernal (AB) stacking, where the broken inversion and mirror symmetries lead to out-of-plane electrical polarization. Here we show the that laterally patterned electrical polarization at a nearly parallel interface within the h-BN substrate can be exploited to create noninvasively a universal superlattice potential in general 2D materials. The feasibility is demonstrated by first principle calculations for monolayer MoSe\n              2\n              , black phosphorus, and antiferromagnetic MnPSe\n              3\n              on such h-BN. The potential strength can reach 200 meV, customizable in this range through choice of distance of target material from the interface in h-BN. We also find sizable out-of-plane electric field at the h-BN surface, which can realize superlattice potential for interlayer excitons in TMD bilayers as well as dipolar molecules. The idea is further generalized to AB-stacked h-BN subject to torsion with adjacent layers all twisted with an angle, which allows the potential and field strength to be scaled up with film thickness, saturating to a quasi-periodic one with chiral structure.","container-title":"npj 2D Materials and Applications","DOI":"10.1038/s41699-021-00221-4","ISSN":"2397-7132","issue":"1","journalAbbreviation":"npj 2D Mater Appl","language":"en","page":"38","source":"DOI.org (Crossref)","title":"Universal superlattice potential for 2D materials from twisted interface inside h-BN substrate","volume":"5","author":[{"family":"Zhao","given":"Pei"},{"family":"Xiao","given":"Chengxin"},{"family":"Yao","given":"Wang"}],"issued":{"date-parts":[["2021",4,12]]}}}],"schema":"https://github.com/citation-style-language/schema/raw/master/csl-citation.json"}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11,15</w:t>
      </w:r>
      <w:r>
        <w:rPr>
          <w:rFonts w:ascii="Times" w:hAnsi="Times" w:cs="Times"/>
          <w:sz w:val="24"/>
          <w:szCs w:val="24"/>
        </w:rPr>
        <w:fldChar w:fldCharType="end"/>
      </w:r>
      <w:r>
        <w:rPr>
          <w:rFonts w:ascii="Times New Roman" w:hAnsi="Times New Roman" w:cs="Times New Roman"/>
        </w:rPr>
        <w:t xml:space="preserve"> </w:t>
      </w:r>
    </w:p>
    <w:p w14:paraId="7658154A">
      <w:pPr>
        <w:spacing w:line="360" w:lineRule="auto"/>
        <w:jc w:val="center"/>
        <w:rPr>
          <w:rFonts w:ascii="Times New Roman" w:hAnsi="Times New Roman" w:cs="Times New Roman"/>
          <w:iCs/>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m:oMath>
        <m:r>
          <m:rPr>
            <m:sty m:val="p"/>
          </m:rPr>
          <w:rPr>
            <w:rFonts w:ascii="Cambria Math" w:hAnsi="Cambria Math" w:cs="Times New Roman"/>
            <w:sz w:val="24"/>
            <w:szCs w:val="24"/>
          </w:rPr>
          <m:t>Δ</m:t>
        </m:r>
        <m:r>
          <m:rPr/>
          <w:rPr>
            <w:rFonts w:ascii="Cambria Math" w:hAnsi="Cambria Math" w:cs="Times New Roman"/>
            <w:sz w:val="24"/>
            <w:szCs w:val="24"/>
          </w:rPr>
          <m:t>V(z)≈</m:t>
        </m:r>
        <m:f>
          <m:fPr>
            <m:ctrlPr>
              <w:rPr>
                <w:rFonts w:ascii="Cambria Math" w:hAnsi="Cambria Math" w:cs="Times New Roman"/>
                <w:i/>
                <w:iCs/>
                <w:sz w:val="24"/>
                <w:szCs w:val="24"/>
              </w:rPr>
            </m:ctrlPr>
          </m:fPr>
          <m:num>
            <m:r>
              <m:rPr/>
              <w:rPr>
                <w:rFonts w:ascii="Cambria Math" w:hAnsi="Cambria Math" w:cs="Times New Roman"/>
                <w:sz w:val="24"/>
                <w:szCs w:val="24"/>
              </w:rPr>
              <m:t>P</m:t>
            </m:r>
            <m:ctrlPr>
              <w:rPr>
                <w:rFonts w:ascii="Cambria Math" w:hAnsi="Cambria Math" w:cs="Times New Roman"/>
                <w:i/>
                <w:iCs/>
                <w:sz w:val="24"/>
                <w:szCs w:val="24"/>
              </w:rPr>
            </m:ctrlPr>
          </m:num>
          <m:den>
            <m:sSub>
              <m:sSubPr>
                <m:ctrlPr>
                  <w:rPr>
                    <w:rFonts w:ascii="Cambria Math" w:hAnsi="Cambria Math" w:cs="Times New Roman"/>
                    <w:i/>
                    <w:iCs/>
                    <w:sz w:val="24"/>
                    <w:szCs w:val="24"/>
                  </w:rPr>
                </m:ctrlPr>
              </m:sSubPr>
              <m:e>
                <m:r>
                  <m:rPr/>
                  <w:rPr>
                    <w:rFonts w:ascii="Cambria Math" w:hAnsi="Cambria Math" w:cs="Times New Roman"/>
                    <w:sz w:val="24"/>
                    <w:szCs w:val="24"/>
                  </w:rPr>
                  <m:t>ε</m:t>
                </m:r>
                <m:ctrlPr>
                  <w:rPr>
                    <w:rFonts w:ascii="Cambria Math" w:hAnsi="Cambria Math" w:cs="Times New Roman"/>
                    <w:i/>
                    <w:iCs/>
                    <w:sz w:val="24"/>
                    <w:szCs w:val="24"/>
                  </w:rPr>
                </m:ctrlPr>
              </m:e>
              <m:sub>
                <m:r>
                  <m:rPr/>
                  <w:rPr>
                    <w:rFonts w:ascii="Cambria Math" w:hAnsi="Cambria Math" w:cs="Times New Roman"/>
                    <w:sz w:val="24"/>
                    <w:szCs w:val="24"/>
                  </w:rPr>
                  <m:t>0</m:t>
                </m:r>
                <m:ctrlPr>
                  <w:rPr>
                    <w:rFonts w:ascii="Cambria Math" w:hAnsi="Cambria Math" w:cs="Times New Roman"/>
                    <w:i/>
                    <w:iCs/>
                    <w:sz w:val="24"/>
                    <w:szCs w:val="24"/>
                  </w:rPr>
                </m:ctrlPr>
              </m:sub>
            </m:sSub>
            <m:ctrlPr>
              <w:rPr>
                <w:rFonts w:ascii="Cambria Math" w:hAnsi="Cambria Math" w:cs="Times New Roman"/>
                <w:i/>
                <w:iCs/>
                <w:sz w:val="24"/>
                <w:szCs w:val="24"/>
              </w:rPr>
            </m:ctrlPr>
          </m:den>
        </m:f>
        <m:sSup>
          <m:sSupPr>
            <m:ctrlPr>
              <w:rPr>
                <w:rFonts w:ascii="Cambria Math" w:hAnsi="Cambria Math" w:cs="Times New Roman"/>
                <w:i/>
                <w:iCs/>
                <w:sz w:val="24"/>
                <w:szCs w:val="24"/>
              </w:rPr>
            </m:ctrlPr>
          </m:sSupPr>
          <m:e>
            <m:r>
              <m:rPr/>
              <w:rPr>
                <w:rFonts w:ascii="Cambria Math" w:hAnsi="Cambria Math" w:cs="Times New Roman"/>
                <w:sz w:val="24"/>
                <w:szCs w:val="24"/>
              </w:rPr>
              <m:t>e</m:t>
            </m:r>
            <m:ctrlPr>
              <w:rPr>
                <w:rFonts w:ascii="Cambria Math" w:hAnsi="Cambria Math" w:cs="Times New Roman"/>
                <w:i/>
                <w:iCs/>
                <w:sz w:val="24"/>
                <w:szCs w:val="24"/>
              </w:rPr>
            </m:ctrlPr>
          </m:e>
          <m:sup>
            <m:r>
              <m:rPr/>
              <w:rPr>
                <w:rFonts w:ascii="Cambria Math" w:hAnsi="Cambria Math" w:cs="Times New Roman"/>
                <w:sz w:val="24"/>
                <w:szCs w:val="24"/>
              </w:rPr>
              <m:t>−Gz</m:t>
            </m:r>
            <m:ctrlPr>
              <w:rPr>
                <w:rFonts w:ascii="Cambria Math" w:hAnsi="Cambria Math" w:cs="Times New Roman"/>
                <w:i/>
                <w:iCs/>
                <w:sz w:val="24"/>
                <w:szCs w:val="24"/>
              </w:rPr>
            </m:ctrlPr>
          </m:sup>
        </m:sSup>
      </m:oMath>
      <w:r>
        <w:rPr>
          <w:rFonts w:ascii="Times New Roman" w:hAnsi="Times New Roman" w:cs="Times New Roman"/>
          <w:iCs/>
          <w:sz w:val="24"/>
          <w:szCs w:val="24"/>
        </w:rPr>
        <w:t>,</w:t>
      </w:r>
      <w:r>
        <w:rPr>
          <w:rFonts w:ascii="Times New Roman" w:hAnsi="Times New Roman" w:cs="Times New Roman"/>
          <w:iCs/>
        </w:rPr>
        <w:t xml:space="preserve">                           </w:t>
      </w:r>
      <w:r>
        <w:rPr>
          <w:rFonts w:ascii="Times New Roman" w:hAnsi="Times New Roman" w:cs="Times New Roman"/>
          <w:iCs/>
          <w:sz w:val="24"/>
          <w:szCs w:val="24"/>
        </w:rPr>
        <w:t>(1)</w:t>
      </w:r>
    </w:p>
    <w:p w14:paraId="2C35A774">
      <w:pPr>
        <w:spacing w:after="0" w:line="480" w:lineRule="auto"/>
        <w:jc w:val="both"/>
        <w:rPr>
          <w:rFonts w:ascii="Times" w:hAnsi="Times" w:cs="Times"/>
          <w:sz w:val="24"/>
          <w:szCs w:val="24"/>
        </w:rPr>
      </w:pPr>
      <w:r>
        <w:rPr>
          <w:rFonts w:ascii="Times" w:hAnsi="Times" w:cs="Times"/>
          <w:iCs/>
          <w:sz w:val="24"/>
          <w:szCs w:val="24"/>
        </w:rPr>
        <w:t xml:space="preserve">where </w:t>
      </w:r>
      <m:oMath>
        <m:r>
          <m:rPr/>
          <w:rPr>
            <w:rFonts w:ascii="Cambria Math" w:hAnsi="Cambria Math" w:cs="Times"/>
            <w:sz w:val="24"/>
            <w:szCs w:val="24"/>
          </w:rPr>
          <m:t>P</m:t>
        </m:r>
      </m:oMath>
      <w:r>
        <w:rPr>
          <w:rFonts w:ascii="Times" w:hAnsi="Times" w:cs="Times"/>
          <w:iCs/>
          <w:sz w:val="24"/>
          <w:szCs w:val="24"/>
        </w:rPr>
        <w:t xml:space="preserve"> is the net polarization, </w:t>
      </w:r>
      <m:oMath>
        <m:r>
          <m:rPr/>
          <w:rPr>
            <w:rFonts w:ascii="Cambria Math" w:hAnsi="Cambria Math" w:cs="Times"/>
            <w:sz w:val="24"/>
            <w:szCs w:val="24"/>
          </w:rPr>
          <m:t>G=</m:t>
        </m:r>
        <m:f>
          <m:fPr>
            <m:ctrlPr>
              <w:rPr>
                <w:rFonts w:ascii="Cambria Math" w:hAnsi="Cambria Math" w:cs="Times"/>
                <w:i/>
                <w:iCs/>
                <w:sz w:val="24"/>
                <w:szCs w:val="24"/>
              </w:rPr>
            </m:ctrlPr>
          </m:fPr>
          <m:num>
            <m:r>
              <m:rPr/>
              <w:rPr>
                <w:rFonts w:ascii="Cambria Math" w:hAnsi="Cambria Math" w:cs="Times"/>
                <w:sz w:val="24"/>
                <w:szCs w:val="24"/>
              </w:rPr>
              <m:t>4π</m:t>
            </m:r>
            <m:ctrlPr>
              <w:rPr>
                <w:rFonts w:ascii="Cambria Math" w:hAnsi="Cambria Math" w:cs="Times"/>
                <w:i/>
                <w:iCs/>
                <w:sz w:val="24"/>
                <w:szCs w:val="24"/>
              </w:rPr>
            </m:ctrlPr>
          </m:num>
          <m:den>
            <m:rad>
              <m:radPr>
                <m:degHide m:val="1"/>
                <m:ctrlPr>
                  <w:rPr>
                    <w:rFonts w:ascii="Cambria Math" w:hAnsi="Cambria Math" w:cs="Times"/>
                    <w:i/>
                    <w:iCs/>
                    <w:sz w:val="24"/>
                    <w:szCs w:val="24"/>
                  </w:rPr>
                </m:ctrlPr>
              </m:radPr>
              <m:deg>
                <m:ctrlPr>
                  <w:rPr>
                    <w:rFonts w:ascii="Cambria Math" w:hAnsi="Cambria Math" w:cs="Times"/>
                    <w:i/>
                    <w:iCs/>
                    <w:sz w:val="24"/>
                    <w:szCs w:val="24"/>
                  </w:rPr>
                </m:ctrlPr>
              </m:deg>
              <m:e>
                <m:r>
                  <m:rPr/>
                  <w:rPr>
                    <w:rFonts w:ascii="Cambria Math" w:hAnsi="Cambria Math" w:cs="Times"/>
                    <w:sz w:val="24"/>
                    <w:szCs w:val="24"/>
                  </w:rPr>
                  <m:t>3</m:t>
                </m:r>
                <m:ctrlPr>
                  <w:rPr>
                    <w:rFonts w:ascii="Cambria Math" w:hAnsi="Cambria Math" w:cs="Times"/>
                    <w:i/>
                    <w:iCs/>
                    <w:sz w:val="24"/>
                    <w:szCs w:val="24"/>
                  </w:rPr>
                </m:ctrlPr>
              </m:e>
            </m:rad>
            <m:r>
              <m:rPr/>
              <w:rPr>
                <w:rFonts w:ascii="Cambria Math" w:hAnsi="Cambria Math" w:cs="Times"/>
                <w:sz w:val="24"/>
                <w:szCs w:val="24"/>
              </w:rPr>
              <m:t>b</m:t>
            </m:r>
            <m:ctrlPr>
              <w:rPr>
                <w:rFonts w:ascii="Cambria Math" w:hAnsi="Cambria Math" w:cs="Times"/>
                <w:i/>
                <w:iCs/>
                <w:sz w:val="24"/>
                <w:szCs w:val="24"/>
              </w:rPr>
            </m:ctrlPr>
          </m:den>
        </m:f>
      </m:oMath>
      <w:r>
        <w:rPr>
          <w:rFonts w:ascii="Times" w:hAnsi="Times" w:cs="Times"/>
          <w:iCs/>
          <w:sz w:val="24"/>
          <w:szCs w:val="24"/>
        </w:rPr>
        <w:t xml:space="preserve"> is the reciprocal lattice vector of the</w:t>
      </w:r>
      <w:r>
        <w:rPr>
          <w:rFonts w:ascii="Times" w:hAnsi="Times" w:cs="Times"/>
          <w:iCs/>
          <w:color w:val="000000" w:themeColor="text1"/>
          <w:sz w:val="24"/>
          <w:szCs w:val="24"/>
          <w14:textFill>
            <w14:solidFill>
              <w14:schemeClr w14:val="tx1"/>
            </w14:solidFill>
          </w14:textFill>
        </w:rPr>
        <w:t xml:space="preserve"> moiré </w:t>
      </w:r>
      <w:r>
        <w:rPr>
          <w:rFonts w:ascii="Times" w:hAnsi="Times" w:cs="Times"/>
          <w:iCs/>
          <w:sz w:val="24"/>
          <w:szCs w:val="24"/>
        </w:rPr>
        <w:t xml:space="preserve">pattern, </w:t>
      </w:r>
      <m:oMath>
        <m:r>
          <m:rPr/>
          <w:rPr>
            <w:rFonts w:ascii="Cambria Math" w:hAnsi="Cambria Math" w:cs="Times"/>
            <w:sz w:val="24"/>
            <w:szCs w:val="24"/>
          </w:rPr>
          <m:t>b</m:t>
        </m:r>
      </m:oMath>
      <w:r>
        <w:rPr>
          <w:rFonts w:ascii="Times" w:hAnsi="Times" w:cs="Times"/>
          <w:iCs/>
          <w:sz w:val="24"/>
          <w:szCs w:val="24"/>
        </w:rPr>
        <w:t xml:space="preserve"> is the moiré period, </w:t>
      </w:r>
      <m:oMath>
        <m:r>
          <m:rPr/>
          <w:rPr>
            <w:rFonts w:ascii="Cambria Math" w:hAnsi="Cambria Math" w:cs="Times"/>
            <w:sz w:val="24"/>
            <w:szCs w:val="24"/>
          </w:rPr>
          <m:t>z</m:t>
        </m:r>
      </m:oMath>
      <w:r>
        <w:rPr>
          <w:rFonts w:ascii="Times" w:hAnsi="Times" w:cs="Times"/>
          <w:iCs/>
          <w:sz w:val="24"/>
          <w:szCs w:val="24"/>
        </w:rPr>
        <w:t xml:space="preserve"> is the vertical distance to t-hBN interface and </w:t>
      </w:r>
      <m:oMath>
        <m:sSub>
          <m:sSubPr>
            <m:ctrlPr>
              <w:rPr>
                <w:rFonts w:ascii="Cambria Math" w:hAnsi="Cambria Math" w:cs="Times"/>
                <w:i/>
                <w:iCs/>
                <w:sz w:val="24"/>
                <w:szCs w:val="24"/>
              </w:rPr>
            </m:ctrlPr>
          </m:sSubPr>
          <m:e>
            <m:r>
              <m:rPr/>
              <w:rPr>
                <w:rFonts w:ascii="Cambria Math" w:hAnsi="Cambria Math" w:cs="Times"/>
                <w:sz w:val="24"/>
                <w:szCs w:val="24"/>
              </w:rPr>
              <m:t>ε</m:t>
            </m:r>
            <m:ctrlPr>
              <w:rPr>
                <w:rFonts w:ascii="Cambria Math" w:hAnsi="Cambria Math" w:cs="Times"/>
                <w:i/>
                <w:iCs/>
                <w:sz w:val="24"/>
                <w:szCs w:val="24"/>
              </w:rPr>
            </m:ctrlPr>
          </m:e>
          <m:sub>
            <m:r>
              <m:rPr/>
              <w:rPr>
                <w:rFonts w:ascii="Cambria Math" w:hAnsi="Cambria Math" w:cs="Times"/>
                <w:sz w:val="24"/>
                <w:szCs w:val="24"/>
              </w:rPr>
              <m:t>0</m:t>
            </m:r>
            <m:ctrlPr>
              <w:rPr>
                <w:rFonts w:ascii="Cambria Math" w:hAnsi="Cambria Math" w:cs="Times"/>
                <w:i/>
                <w:iCs/>
                <w:sz w:val="24"/>
                <w:szCs w:val="24"/>
              </w:rPr>
            </m:ctrlPr>
          </m:sub>
        </m:sSub>
      </m:oMath>
      <w:r>
        <w:rPr>
          <w:rFonts w:ascii="Times" w:hAnsi="Times" w:cs="Times"/>
          <w:iCs/>
          <w:sz w:val="24"/>
          <w:szCs w:val="24"/>
        </w:rPr>
        <w:t xml:space="preserve"> is the vacuum permittivity.</w:t>
      </w:r>
    </w:p>
    <w:p w14:paraId="2165D274">
      <w:pPr>
        <w:spacing w:after="0" w:line="480" w:lineRule="auto"/>
        <w:ind w:firstLine="204"/>
        <w:jc w:val="both"/>
        <w:rPr>
          <w:rFonts w:ascii="Times" w:hAnsi="Times" w:cs="Times"/>
          <w:sz w:val="24"/>
          <w:szCs w:val="24"/>
        </w:rPr>
      </w:pPr>
      <w:r>
        <w:rPr>
          <w:rFonts w:ascii="Times" w:hAnsi="Times" w:cs="Times"/>
          <w:sz w:val="24"/>
          <w:szCs w:val="24"/>
        </w:rPr>
        <w:t>However, since it is the Coulomb interaction between the tip and the sample that is detected in KPFM, the long range characteristic of this interaction could cause averaging effect and results in tens-of-nanometer spatial resolution limit. To overcome this limitation, we turn to a scanning tunneling microscopy (STM) based technique, i.e. the CMSTM</w:t>
      </w:r>
      <w:r>
        <w:rPr>
          <w:rFonts w:ascii="Times" w:hAnsi="Times" w:cs="Times"/>
          <w:sz w:val="24"/>
          <w:szCs w:val="24"/>
        </w:rPr>
        <w:fldChar w:fldCharType="begin"/>
      </w:r>
      <w:r>
        <w:rPr>
          <w:rFonts w:ascii="Times" w:hAnsi="Times" w:cs="Times"/>
          <w:sz w:val="24"/>
          <w:szCs w:val="24"/>
        </w:rPr>
        <w:instrText xml:space="preserve"> ADDIN ZOTERO_ITEM CSL_CITATION {"citationID":"8a5KOZRp","properties":{"formattedCitation":"\\super 25\\uc0\\u8211{}27\\nosupersub{}","plainCitation":"25–27","noteIndex":0},"citationItems":[{"id":2169,"uris":["http://zotero.org/users/9383478/items/NG42I3RY"],"itemData":{"id":2169,"type":"article-journal","abstract":"Band profiles of electronic devices are of fundamental importance in determining their properties. A technique that can map the band profile of both the interior and edges of a device at the nanometer scale is highly demanded. Conventional scanning tunneling spectroscopy (STS) can map band structure at the atomic scale but is limited to the interior of large and conductive samples. Here, we develop contactmode STS based on a conductive atomic force microscope that can remove these constraints. With this technique, we map the band profile of MoS2 transistors with nanometer resolution at room temperature. A band bending of 0.6 eV within 18 nm of the edges of MoS2 on an insulating substrate is discovered. This technique will be of great use for both fundamental and applied studies of various electronic devices.","container-title":"Review of Scientific Instruments","DOI":"10.1063/5.0008412","ISSN":"0034-6748, 1089-7623","issue":"7","language":"en","page":"073702","source":"DOI.org (Crossref)","title":"Detecting band profiles of devices with conductive atomic force microscopy","volume":"91","author":[{"family":"Li","given":"Ranran"},{"family":"Taniguchi","given":"Takashi"},{"family":"Watanabe","given":"Kenji"},{"family":"Xue","given":"Jiamin"}],"issued":{"date-parts":[["2020",7,1]]}}},{"id":28,"uris":["http://zotero.org/users/9383478/items/YD5GACAJ"],"itemData":{"id":28,"type":"article-journal","abstract":"Heterostructure devices based on two-dimensional materials have been under intensive study due to their intriguing electrical and optical properties. One key factor in understanding these devices is their nanometer-scale band profiles, which is challenging to obtain in devices. Here, we use a technique named contact-mode scanning tunneling spectroscopy to directly visualize the band profiles of MoS2/WSe2 heterostructure devices at different gate voltages with nanometer resolution. The long-held view of a conventional p–n junction in the MoS2/WSe2 heterostructure is reexamined. Due to strong inter- and intralayer charge transfer, the MoS2 layer in contact with WSe2 is found to convert from n-type to p-type, and a series of gate-tunable p–n and p–p+ junctions are developed in the devices. Highly conductive edges are also discovered which could strongly affect the device properties.","container-title":"ACS Nano","DOI":"10.1021/acsnano.1c05491","ISSN":"1936-0851","issue":"10","journalAbbreviation":"ACS Nano","note":"publisher: American Chemical Society","page":"16314-16321","source":"ACS Publications","title":"Visualizing Band Profiles of Gate-Tunable Junctions in MoS&lt;sub&gt;2&lt;/sub&gt;/WSe&lt;sub&gt;2&lt;/sub&gt; Heterostructure Transistors","volume":"15","author":[{"family":"Sun","given":"Xinzuo"},{"family":"Chen","given":"Yan"},{"family":"Li","given":"Zhiwei"},{"family":"Han","given":"Yu"},{"family":"Zhou","given":"Qin"},{"family":"Wang","given":"Binbin"},{"family":"Taniguchi","given":"Takashi"},{"family":"Watanabe","given":"Kenji"},{"family":"Zhao","given":"Aidi"},{"family":"Wang","given":"Jianlu"},{"family":"Liu","given":"Yuan"},{"family":"Xue","given":"Jiamin"}],"issued":{"date-parts":[["2021",10,26]]}}},{"id":2631,"uris":["http://zotero.org/users/9383478/items/8EG8MNM2"],"itemData":{"id":2631,"type":"article-journal","container-title":"ACS Applied Materials &amp; Interfaces","DOI":"10.1021/acsami.2c09457","ISSN":"1944-8244, 1944-8252","issue":"34","journalAbbreviation":"ACS Appl. Mater. Interfaces","language":"en","license":"https://doi.org/10.15223/policy-029","page":"39039-39045","source":"DOI.org (Crossref)","title":"Natural p–n Junctions at the MoS&lt;sub&gt;2&lt;/sub&gt; Flake Edges","volume":"14","author":[{"family":"Wang","given":"Kang"},{"family":"Taniguchi","given":"Takashi"},{"family":"Watanabe","given":"Kenji"},{"family":"Xue","given":"Jiamin"}],"issued":{"date-parts":[["2022",8,31]]}}}],"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25–27</w:t>
      </w:r>
      <w:r>
        <w:rPr>
          <w:rFonts w:ascii="Times" w:hAnsi="Times" w:cs="Times"/>
          <w:sz w:val="24"/>
          <w:szCs w:val="24"/>
        </w:rPr>
        <w:fldChar w:fldCharType="end"/>
      </w:r>
      <w:r>
        <w:rPr>
          <w:rFonts w:ascii="Times" w:hAnsi="Times" w:cs="Times"/>
          <w:sz w:val="24"/>
          <w:szCs w:val="24"/>
        </w:rPr>
        <w:t xml:space="preserve">. Fig. 1d shows the schematic of the measurement setup. A monolayer graphene as </w:t>
      </w:r>
      <w:r>
        <w:rPr>
          <w:rFonts w:ascii="Times" w:hAnsi="Times" w:cs="Times"/>
          <w:color w:val="000000" w:themeColor="text1"/>
          <w:sz w:val="24"/>
          <w:szCs w:val="24"/>
          <w14:textFill>
            <w14:solidFill>
              <w14:schemeClr w14:val="tx1"/>
            </w14:solidFill>
          </w14:textFill>
        </w:rPr>
        <w:t xml:space="preserve">an </w:t>
      </w:r>
      <w:r>
        <w:rPr>
          <w:rFonts w:ascii="Times" w:hAnsi="Times" w:cs="Times"/>
          <w:sz w:val="24"/>
          <w:szCs w:val="24"/>
        </w:rPr>
        <w:t>electrostatic potential sensing layer is placed on top of the t-hBN. This powerful method has been adopted to measure the ferroelectricity in t-hBN</w:t>
      </w:r>
      <w:r>
        <w:rPr>
          <w:rFonts w:ascii="Times" w:hAnsi="Times" w:cs="Times"/>
          <w:sz w:val="24"/>
          <w:szCs w:val="24"/>
        </w:rPr>
        <w:fldChar w:fldCharType="begin"/>
      </w:r>
      <w:r>
        <w:rPr>
          <w:rFonts w:ascii="Times" w:hAnsi="Times" w:cs="Times"/>
          <w:sz w:val="24"/>
          <w:szCs w:val="24"/>
        </w:rPr>
        <w:instrText xml:space="preserve"> ADDIN ZOTERO_ITEM CSL_CITATION {"citationID":"l53mZFdf","properties":{"formattedCitation":"\\super 4,28\\nosupersub{}","plainCitation":"4,28","noteIndex":0},"citationItems":[{"id":2538,"uris":["http://zotero.org/users/9383478/items/BEJ6IYIU"],"itemData":{"id":2538,"type":"article-journal","abstract":"Stacking a ferroelectric\n            \n              Properties of layered van der Waals structures can depend sensitively on the stacking arrangement of constituent layers. This phenomenon has been exploited to engineer superconducting, correlated insulator, and magnetic states. Two groups now show that ferroelectricity can also be engineered through stacking: Parallel-stacked bilayers of hexagonal boron nitride exhibit ferroelectric switching even though the bulk material is not ferroelectric (see the Perspective by Tsymbal). To explore these phenomena, Yasuda\n              et al.\n              used transport measurements, whereas Vizner Stern\n              et al.\n              focused on atomic force microscopy.\n            \n            \n              Science\n              , abd3230 and abe8177, this issue p.\n              1458\n              and p.\n              1462\n              ; see also abi7296, p.\n              1389\n            \n          , \n            Parallel-stacked bilayers of hexagonal boron nitride (hBN) exhibit ferroelectric switching even though bulk hBN is not ferroelectric.\n          , \n            Two-dimensional (2D) ferroelectrics with robust polarization down to atomic thicknesses provide building blocks for functional heterostructures. Experimental realization remains challenging because of the requirement of a layered polar crystal. Here, we demonstrate a rational design approach to engineering 2D ferroelectrics from a nonferroelectric parent compound by using van der Waals assembly. Parallel-stacked bilayer boron nitride exhibits out-of-plane electric polarization that reverses depending on the stacking order. The polarization switching is probed through the resistance of an adjacently stacked graphene sheet. Twisting the boron nitride sheets by a small angle changes the dynamics of switching because of the formation of moiré ferroelectricity with staggered polarization. The ferroelectricity persists to room temperature while keeping the high mobility of graphene, paving the way for potential ultrathin nonvolatile memory applications.","container-title":"Science","DOI":"10.1126/science.abd3230","ISSN":"0036-8075, 1095-9203","issue":"6549","journalAbbreviation":"Science","language":"en","page":"1458-1462","source":"DOI.org (Crossref)","title":"Stacking-engineered ferroelectricity in bilayer boron nitride","volume":"372","author":[{"family":"Yasuda","given":"Kenji"},{"family":"Wang","given":"Xirui"},{"family":"Watanabe","given":"Kenji"},{"family":"Taniguchi","given":"Takashi"},{"family":"Jarillo-Herrero","given":"Pablo"}],"issued":{"date-parts":[["2021",6,25]]}}},{"id":2636,"uris":["http://zotero.org/users/9383478/items/DV9YI88E"],"itemData":{"id":2636,"type":"article-journal","abstract":"The persistence of voltage-switchable collective electronic phenomena down to the atomic scale has extensive implications for area- and energy-efficient electronics, especially in emerging nonvolatile memory technology. We investigate the performance of a ferroelectric field-effect transistor (FeFET) based on sliding ferroelectricity in bilayer boron nitride at room temperature. Sliding ferroelectricity represents a different form of atomically thin two-dimensional (2D) ferroelectrics, characterized by the switching of out-of-plane polarization through interlayer sliding motion. We examined the FeFET device employing monolayer graphene as the channel layer, which demonstrated ultrafast switching speeds on the nanosecond scale and high endurance exceeding 10\n              11\n              switching cycles, comparable to state-of-the-art FeFET devices. These characteristics highlight the potential of 2D sliding ferroelectrics for inspiring next-generation nonvolatile memory technology.\n            \n          , \n            Editor’s summary\n            \n              Ferroelectric materials change polarization in response to an electric field and are useful for memory. However, these materials often fatigue as they are cycled many times, capping their lifetime. Bian\n              et al\n              . explored this behavior of a sliding ferroelectric, bilayer molybdenum disulfide, and found very little fatigue after switching the polarization a million times. Sliding ferroelectrics switch polarization differently than conventional ferroelectrics, giving rise to this behavior. These observations show why this type of material might be of interest for applications such as nonvolatile memory. Yasuda\n              et al\n              . investigated the fatigue behavior of another sliding ferroelectric, bilayer boron nitride, and found very little fatigue after switching the polarization 100 billion times. This number of switching cycles rivals other state-of-the-art conventional ferroelectric materials. The robust stability through this many cycles is due to the fact that the defects that occur in conventional ferroelectrics and degrade the electrical properties over time are not generated. —Brent Grocholski","container-title":"Science","DOI":"10.1126/science.adp3575","ISSN":"0036-8075, 1095-9203","issue":"6704","journalAbbreviation":"Science","language":"en","page":"53-56","source":"DOI.org (Crossref)","title":"Ultrafast high-endurance memory based on sliding ferroelectrics","volume":"385","author":[{"family":"Yasuda","given":"Kenji"},{"family":"Zalys-Geller","given":"Evan"},{"family":"Wang","given":"Xirui"},{"family":"Bennett","given":"Daniel"},{"family":"Cheema","given":"Suraj S."},{"family":"Watanabe","given":"Kenji"},{"family":"Taniguchi","given":"Takashi"},{"family":"Kaxiras","given":"Efthimios"},{"family":"Jarillo-Herrero","given":"Pablo"},{"family":"Ashoori","given":"Raymond"}],"issued":{"date-parts":[["2024",7,5]]}}}],"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4,28</w:t>
      </w:r>
      <w:r>
        <w:rPr>
          <w:rFonts w:ascii="Times" w:hAnsi="Times" w:cs="Times"/>
          <w:sz w:val="24"/>
          <w:szCs w:val="24"/>
        </w:rPr>
        <w:fldChar w:fldCharType="end"/>
      </w:r>
      <w:r>
        <w:rPr>
          <w:rFonts w:ascii="Times" w:hAnsi="Times" w:cs="Times"/>
          <w:sz w:val="24"/>
          <w:szCs w:val="24"/>
        </w:rPr>
        <w:t xml:space="preserve"> and WTe</w:t>
      </w:r>
      <w:r>
        <w:rPr>
          <w:rFonts w:ascii="Times" w:hAnsi="Times" w:cs="Times"/>
          <w:sz w:val="24"/>
          <w:szCs w:val="24"/>
          <w:vertAlign w:val="subscript"/>
        </w:rPr>
        <w:t>2</w:t>
      </w:r>
      <w:r>
        <w:rPr>
          <w:rFonts w:ascii="Times" w:hAnsi="Times" w:cs="Times"/>
          <w:color w:val="C00000"/>
          <w:sz w:val="24"/>
          <w:szCs w:val="24"/>
        </w:rPr>
        <w:fldChar w:fldCharType="begin"/>
      </w:r>
      <w:r>
        <w:rPr>
          <w:rFonts w:ascii="Times" w:hAnsi="Times" w:cs="Times"/>
          <w:color w:val="C00000"/>
          <w:sz w:val="24"/>
          <w:szCs w:val="24"/>
        </w:rPr>
        <w:instrText xml:space="preserve"> ADDIN ZOTERO_ITEM CSL_CITATION {"citationID":"Q23us76B","properties":{"formattedCitation":"\\super 29\\nosupersub{}","plainCitation":"29","noteIndex":0},"citationItems":[{"id":2641,"uris":["http://zotero.org/users/9383478/items/7QPVYNGL"],"itemData":{"id":2641,"type":"article-journal","container-title":"Nature","DOI":"10.1038/s41586-018-0336-3","ISSN":"0028-0836, 1476-4687","issue":"7718","journalAbbreviation":"Nature","language":"en","page":"336-339","source":"DOI.org (Crossref)","title":"Ferroelectric switching of a two-dimensional metal","volume":"560","author":[{"family":"Fei","given":"Zaiyao"},{"family":"Zhao","given":"Wenjin"},{"family":"Palomaki","given":"Tauno A."},{"family":"Sun","given":"Bosong"},{"family":"Miller","given":"Moira K."},{"family":"Zhao","given":"Zhiying"},{"family":"Yan","given":"Jiaqiang"},{"family":"Xu","given":"Xiaodong"},{"family":"Cobden","given":"David H."}],"issued":{"date-parts":[["2018",8]]}}}],"schema":"https://github.com/citation-style-language/schema/raw/master/csl-citation.json"} </w:instrText>
      </w:r>
      <w:r>
        <w:rPr>
          <w:rFonts w:ascii="Times" w:hAnsi="Times" w:cs="Times"/>
          <w:color w:val="C00000"/>
          <w:sz w:val="24"/>
          <w:szCs w:val="24"/>
        </w:rPr>
        <w:fldChar w:fldCharType="separate"/>
      </w:r>
      <w:r>
        <w:rPr>
          <w:rFonts w:ascii="Times" w:hAnsi="Times" w:cs="Times"/>
          <w:kern w:val="0"/>
          <w:sz w:val="24"/>
          <w:szCs w:val="24"/>
          <w:vertAlign w:val="superscript"/>
        </w:rPr>
        <w:t>29</w:t>
      </w:r>
      <w:r>
        <w:rPr>
          <w:rFonts w:ascii="Times" w:hAnsi="Times" w:cs="Times"/>
          <w:color w:val="C00000"/>
          <w:sz w:val="24"/>
          <w:szCs w:val="24"/>
        </w:rPr>
        <w:fldChar w:fldCharType="end"/>
      </w:r>
      <w:r>
        <w:rPr>
          <w:rFonts w:ascii="Times" w:hAnsi="Times" w:cs="Times"/>
          <w:sz w:val="24"/>
          <w:szCs w:val="24"/>
        </w:rPr>
        <w:t>, the delicate Wigner crystal state in 2D heterostructures</w:t>
      </w:r>
      <w:r>
        <w:rPr>
          <w:rFonts w:ascii="Times" w:hAnsi="Times" w:cs="Times"/>
          <w:color w:val="C00000"/>
          <w:sz w:val="24"/>
          <w:szCs w:val="24"/>
        </w:rPr>
        <w:fldChar w:fldCharType="begin"/>
      </w:r>
      <w:r>
        <w:rPr>
          <w:rFonts w:ascii="Times" w:hAnsi="Times" w:cs="Times"/>
          <w:color w:val="C00000"/>
          <w:sz w:val="24"/>
          <w:szCs w:val="24"/>
        </w:rPr>
        <w:instrText xml:space="preserve"> ADDIN ZOTERO_ITEM CSL_CITATION {"citationID":"wQCIueIA","properties":{"formattedCitation":"\\super 30\\nosupersub{}","plainCitation":"30","noteIndex":0},"citationItems":[{"id":2646,"uris":["http://zotero.org/users/9383478/items/MFMPGTDK"],"itemData":{"id":2646,"type":"article-journal","container-title":"Nature","DOI":"10.1038/s41586-021-03874-9","ISSN":"0028-0836, 1476-4687","issue":"7878","journalAbbreviation":"Nature","language":"en","page":"650-654","source":"DOI.org (Crossref)","title":"Imaging two-dimensional generalized Wigner crystals","volume":"597","author":[{"family":"Li","given":"Hongyuan"},{"family":"Li","given":"Shaowei"},{"family":"Regan","given":"Emma C."},{"family":"Wang","given":"Danqing"},{"family":"Zhao","given":"Wenyu"},{"family":"Kahn","given":"Salman"},{"family":"Yumigeta","given":"Kentaro"},{"family":"Blei","given":"Mark"},{"family":"Taniguchi","given":"Takashi"},{"family":"Watanabe","given":"Kenji"},{"family":"Tongay","given":"Sefaattin"},{"family":"Zettl","given":"Alex"},{"family":"Crommie","given":"Michael F."},{"family":"Wang","given":"Feng"}],"issued":{"date-parts":[["2021",9,30]]}}}],"schema":"https://github.com/citation-style-language/schema/raw/master/csl-citation.json"} </w:instrText>
      </w:r>
      <w:r>
        <w:rPr>
          <w:rFonts w:ascii="Times" w:hAnsi="Times" w:cs="Times"/>
          <w:color w:val="C00000"/>
          <w:sz w:val="24"/>
          <w:szCs w:val="24"/>
        </w:rPr>
        <w:fldChar w:fldCharType="separate"/>
      </w:r>
      <w:r>
        <w:rPr>
          <w:rFonts w:ascii="Times" w:hAnsi="Times" w:cs="Times"/>
          <w:kern w:val="0"/>
          <w:sz w:val="24"/>
          <w:szCs w:val="24"/>
          <w:vertAlign w:val="superscript"/>
        </w:rPr>
        <w:t>30</w:t>
      </w:r>
      <w:r>
        <w:rPr>
          <w:rFonts w:ascii="Times" w:hAnsi="Times" w:cs="Times"/>
          <w:color w:val="C00000"/>
          <w:sz w:val="24"/>
          <w:szCs w:val="24"/>
        </w:rPr>
        <w:fldChar w:fldCharType="end"/>
      </w:r>
      <w:r>
        <w:rPr>
          <w:rFonts w:ascii="Times" w:hAnsi="Times" w:cs="Times"/>
          <w:sz w:val="24"/>
          <w:szCs w:val="24"/>
        </w:rPr>
        <w:t xml:space="preserve">, and so on. Due to its very low density of electronic states near the Dirac point, potential variation generated by the ferroelectric domains in the t-hBN effectively modulate the Fermi level in graphene (Fig. 1e), which could be detected by an STM current mapping. Since the tunneling current decay exponentially with distance as opposed to the power law decay in Coulomb interaction, STM can probe the local potential variation. Conventional STM has atomic scale resolution but limited scanning area. To detect the potential variation from hundreds of nanometer to several nanometer sized moiré patterns, it is cumbersome to use a conventional STM. Therefore, CMSTM is adopted. As schematically shown in Fig. 1d, an extra layer of hBN with a thickness of 1.1 nm used as a tunneling layer is placed on top of the graphene/t-hBN stack (sample fabrication and CMSTM measurements are detailed in Methods). By measuring the tunneling current between graphene and the conductive atomic force microscope (AFM) tip under a bias voltage </w:t>
      </w:r>
      <m:oMath>
        <m:sSub>
          <m:sSubPr>
            <m:ctrlPr>
              <w:rPr>
                <w:rFonts w:ascii="Cambria Math" w:hAnsi="Cambria Math" w:cs="Times"/>
                <w:i/>
                <w:sz w:val="24"/>
                <w:szCs w:val="24"/>
              </w:rPr>
            </m:ctrlPr>
          </m:sSubPr>
          <m:e>
            <m:r>
              <m:rPr/>
              <w:rPr>
                <w:rFonts w:ascii="Cambria Math" w:hAnsi="Cambria Math" w:cs="Times"/>
                <w:sz w:val="24"/>
                <w:szCs w:val="24"/>
              </w:rPr>
              <m:t>V</m:t>
            </m:r>
            <m:ctrlPr>
              <w:rPr>
                <w:rFonts w:ascii="Cambria Math" w:hAnsi="Cambria Math" w:cs="Times"/>
                <w:i/>
                <w:sz w:val="24"/>
                <w:szCs w:val="24"/>
              </w:rPr>
            </m:ctrlPr>
          </m:e>
          <m:sub>
            <m:r>
              <m:rPr>
                <m:sty m:val="p"/>
              </m:rPr>
              <w:rPr>
                <w:rFonts w:ascii="Cambria Math" w:hAnsi="Cambria Math" w:cs="Times"/>
                <w:sz w:val="24"/>
                <w:szCs w:val="24"/>
              </w:rPr>
              <m:t>b</m:t>
            </m:r>
            <m:ctrlPr>
              <w:rPr>
                <w:rFonts w:ascii="Cambria Math" w:hAnsi="Cambria Math" w:cs="Times"/>
                <w:i/>
                <w:sz w:val="24"/>
                <w:szCs w:val="24"/>
              </w:rPr>
            </m:ctrlPr>
          </m:sub>
        </m:sSub>
      </m:oMath>
      <w:r>
        <w:rPr>
          <w:rFonts w:ascii="Times" w:hAnsi="Times" w:cs="Times"/>
          <w:sz w:val="24"/>
          <w:szCs w:val="24"/>
        </w:rPr>
        <w:t>, the local density of states information of the graphene below the tip can be obtained. Combining the high spatial and energy resolution of STM and ease of use of AFM, the CMSTM technique is particularly suitable for studying the moiré potential in t-hBN. Fig. 1f shows a typical CMSTM tunneling current (</w:t>
      </w:r>
      <m:oMath>
        <m:sSub>
          <m:sSubPr>
            <m:ctrlPr>
              <w:rPr>
                <w:rFonts w:ascii="Cambria Math" w:hAnsi="Cambria Math" w:cs="Times"/>
                <w:i/>
                <w:sz w:val="24"/>
                <w:szCs w:val="24"/>
              </w:rPr>
            </m:ctrlPr>
          </m:sSubPr>
          <m:e>
            <m:r>
              <m:rPr/>
              <w:rPr>
                <w:rFonts w:ascii="Cambria Math" w:hAnsi="Cambria Math" w:cs="Times"/>
                <w:sz w:val="24"/>
                <w:szCs w:val="24"/>
              </w:rPr>
              <m:t>I</m:t>
            </m:r>
            <m:ctrlPr>
              <w:rPr>
                <w:rFonts w:ascii="Cambria Math" w:hAnsi="Cambria Math" w:cs="Times"/>
                <w:i/>
                <w:sz w:val="24"/>
                <w:szCs w:val="24"/>
              </w:rPr>
            </m:ctrlPr>
          </m:e>
          <m:sub>
            <m:r>
              <m:rPr>
                <m:sty m:val="p"/>
              </m:rPr>
              <w:rPr>
                <w:rFonts w:ascii="Cambria Math" w:hAnsi="Cambria Math" w:cs="Times"/>
                <w:sz w:val="24"/>
                <w:szCs w:val="24"/>
              </w:rPr>
              <m:t>t</m:t>
            </m:r>
            <m:ctrlPr>
              <w:rPr>
                <w:rFonts w:ascii="Cambria Math" w:hAnsi="Cambria Math" w:cs="Times"/>
                <w:i/>
                <w:sz w:val="24"/>
                <w:szCs w:val="24"/>
              </w:rPr>
            </m:ctrlPr>
          </m:sub>
        </m:sSub>
      </m:oMath>
      <w:r>
        <w:rPr>
          <w:rFonts w:ascii="Times" w:hAnsi="Times" w:cs="Times"/>
          <w:sz w:val="24"/>
          <w:szCs w:val="24"/>
        </w:rPr>
        <w:t xml:space="preserve">) mapping of such a device measured at </w:t>
      </w:r>
      <m:oMath>
        <m:sSub>
          <m:sSubPr>
            <m:ctrlPr>
              <w:rPr>
                <w:rFonts w:ascii="Cambria Math" w:hAnsi="Cambria Math" w:cs="Times"/>
                <w:i/>
                <w:sz w:val="24"/>
                <w:szCs w:val="24"/>
              </w:rPr>
            </m:ctrlPr>
          </m:sSubPr>
          <m:e>
            <m:r>
              <m:rPr/>
              <w:rPr>
                <w:rFonts w:ascii="Cambria Math" w:hAnsi="Cambria Math" w:cs="Times"/>
                <w:sz w:val="24"/>
                <w:szCs w:val="24"/>
              </w:rPr>
              <m:t>V</m:t>
            </m:r>
            <m:ctrlPr>
              <w:rPr>
                <w:rFonts w:ascii="Cambria Math" w:hAnsi="Cambria Math" w:cs="Times"/>
                <w:i/>
                <w:sz w:val="24"/>
                <w:szCs w:val="24"/>
              </w:rPr>
            </m:ctrlPr>
          </m:e>
          <m:sub>
            <m:r>
              <m:rPr>
                <m:sty m:val="p"/>
              </m:rPr>
              <w:rPr>
                <w:rFonts w:ascii="Cambria Math" w:hAnsi="Cambria Math" w:cs="Times"/>
                <w:sz w:val="24"/>
                <w:szCs w:val="24"/>
              </w:rPr>
              <m:t>b</m:t>
            </m:r>
            <m:ctrlPr>
              <w:rPr>
                <w:rFonts w:ascii="Cambria Math" w:hAnsi="Cambria Math" w:cs="Times"/>
                <w:i/>
                <w:sz w:val="24"/>
                <w:szCs w:val="24"/>
              </w:rPr>
            </m:ctrlPr>
          </m:sub>
        </m:sSub>
        <m:r>
          <m:rPr/>
          <w:rPr>
            <w:rFonts w:ascii="Cambria Math" w:hAnsi="Cambria Math" w:cs="Times"/>
            <w:sz w:val="24"/>
            <w:szCs w:val="24"/>
          </w:rPr>
          <m:t xml:space="preserve">=0.2 </m:t>
        </m:r>
        <m:r>
          <m:rPr>
            <m:sty m:val="p"/>
          </m:rPr>
          <w:rPr>
            <w:rFonts w:ascii="Cambria Math" w:hAnsi="Cambria Math" w:cs="Times"/>
            <w:sz w:val="24"/>
            <w:szCs w:val="24"/>
          </w:rPr>
          <m:t>V</m:t>
        </m:r>
      </m:oMath>
      <w:r>
        <w:rPr>
          <w:rFonts w:ascii="Times" w:hAnsi="Times" w:cs="Times"/>
          <w:sz w:val="24"/>
          <w:szCs w:val="24"/>
        </w:rPr>
        <w:t>. A triangular moiré pattern in the current mapping imprinted by the ferroelectric domains in the underneath t-hBN is clearly seen. A noticeable feature is that domains of the same polarization have similar current regardless of their sizes, in contrast to the behavior shown in Figs. 1b and c.</w:t>
      </w:r>
    </w:p>
    <w:p w14:paraId="5A47604A">
      <w:pPr>
        <w:spacing w:after="0" w:line="480" w:lineRule="auto"/>
        <w:jc w:val="both"/>
        <w:rPr>
          <w:rFonts w:ascii="Times New Roman" w:hAnsi="Times New Roman" w:cs="Times New Roman"/>
        </w:rPr>
      </w:pPr>
    </w:p>
    <w:p w14:paraId="7F45E0E7">
      <w:pPr>
        <w:spacing w:before="200" w:after="200" w:line="480" w:lineRule="auto"/>
        <w:jc w:val="center"/>
        <w:rPr>
          <w:rFonts w:ascii="Times New Roman" w:hAnsi="Times New Roman" w:cs="Times New Roman"/>
          <w:b/>
          <w:bCs/>
        </w:rPr>
      </w:pPr>
      <w:r>
        <w:rPr>
          <w:rFonts w:hint="eastAsia" w:ascii="Times New Roman" w:hAnsi="Times New Roman" w:cs="Times New Roman"/>
          <w:b/>
          <w:bCs/>
        </w:rPr>
        <w:drawing>
          <wp:inline distT="0" distB="0" distL="114300" distR="114300">
            <wp:extent cx="3816350" cy="4752340"/>
            <wp:effectExtent l="0" t="0" r="12700" b="10160"/>
            <wp:docPr id="4" name="图片 4" descr="webwxgetmsgim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ebwxgetmsgimg2"/>
                    <pic:cNvPicPr>
                      <a:picLocks noChangeAspect="1"/>
                    </pic:cNvPicPr>
                  </pic:nvPicPr>
                  <pic:blipFill>
                    <a:blip r:embed="rId6"/>
                    <a:stretch>
                      <a:fillRect/>
                    </a:stretch>
                  </pic:blipFill>
                  <pic:spPr>
                    <a:xfrm>
                      <a:off x="0" y="0"/>
                      <a:ext cx="3816350" cy="4752340"/>
                    </a:xfrm>
                    <a:prstGeom prst="rect">
                      <a:avLst/>
                    </a:prstGeom>
                  </pic:spPr>
                </pic:pic>
              </a:graphicData>
            </a:graphic>
          </wp:inline>
        </w:drawing>
      </w:r>
    </w:p>
    <w:p w14:paraId="36D1FEF2">
      <w:pPr>
        <w:spacing w:after="200" w:line="480" w:lineRule="auto"/>
        <w:jc w:val="both"/>
        <w:rPr>
          <w:rFonts w:ascii="Times" w:hAnsi="Times" w:cs="Times"/>
          <w:iCs/>
          <w:sz w:val="24"/>
          <w:szCs w:val="24"/>
        </w:rPr>
      </w:pPr>
      <w:r>
        <w:rPr>
          <w:rFonts w:ascii="Times" w:hAnsi="Times" w:cs="Times"/>
          <w:b/>
          <w:bCs/>
          <w:sz w:val="24"/>
          <w:szCs w:val="24"/>
        </w:rPr>
        <w:t xml:space="preserve">Figure 1. General KPFM and </w:t>
      </w:r>
      <w:r>
        <w:rPr>
          <w:rFonts w:hint="eastAsia" w:ascii="Times" w:hAnsi="Times" w:cs="Times"/>
          <w:b/>
          <w:bCs/>
          <w:sz w:val="24"/>
          <w:szCs w:val="24"/>
          <w:lang w:eastAsia="zh-CN"/>
        </w:rPr>
        <w:t>CMSTM</w:t>
      </w:r>
      <w:r>
        <w:rPr>
          <w:rFonts w:ascii="Times" w:hAnsi="Times" w:cs="Times"/>
          <w:b/>
          <w:bCs/>
          <w:sz w:val="24"/>
          <w:szCs w:val="24"/>
        </w:rPr>
        <w:t xml:space="preserve"> measurements of t-hBN bilayers.</w:t>
      </w:r>
      <w:r>
        <w:rPr>
          <w:rFonts w:ascii="Times" w:hAnsi="Times" w:cs="Times"/>
          <w:sz w:val="24"/>
          <w:szCs w:val="24"/>
        </w:rPr>
        <w:t xml:space="preserve"> </w:t>
      </w:r>
      <w:r>
        <w:rPr>
          <w:rFonts w:ascii="Times" w:hAnsi="Times" w:cs="Times"/>
          <w:b/>
          <w:bCs/>
          <w:sz w:val="24"/>
          <w:szCs w:val="24"/>
        </w:rPr>
        <w:t>a</w:t>
      </w:r>
      <w:r>
        <w:rPr>
          <w:rFonts w:ascii="Times" w:hAnsi="Times" w:cs="Times"/>
          <w:sz w:val="24"/>
          <w:szCs w:val="24"/>
        </w:rPr>
        <w:t xml:space="preserve"> Schematic of the KFPM measurement. </w:t>
      </w:r>
      <w:r>
        <w:rPr>
          <w:rFonts w:ascii="Times" w:hAnsi="Times" w:cs="Times"/>
          <w:b/>
          <w:bCs/>
          <w:sz w:val="24"/>
          <w:szCs w:val="24"/>
        </w:rPr>
        <w:t>b</w:t>
      </w:r>
      <w:r>
        <w:rPr>
          <w:rFonts w:ascii="Times" w:hAnsi="Times" w:cs="Times"/>
          <w:sz w:val="24"/>
          <w:szCs w:val="24"/>
        </w:rPr>
        <w:t xml:space="preserve"> A representative KPFM image of a t-hBN bilayer. </w:t>
      </w:r>
      <w:r>
        <w:rPr>
          <w:rFonts w:ascii="Times" w:hAnsi="Times" w:cs="Times"/>
          <w:b/>
          <w:bCs/>
          <w:sz w:val="24"/>
          <w:szCs w:val="24"/>
        </w:rPr>
        <w:t>c</w:t>
      </w:r>
      <w:r>
        <w:rPr>
          <w:rFonts w:ascii="Times" w:hAnsi="Times" w:cs="Times"/>
          <w:sz w:val="24"/>
          <w:szCs w:val="24"/>
        </w:rPr>
        <w:t xml:space="preserve"> The relationship between the potential difference (</w:t>
      </w:r>
      <m:oMath>
        <m:r>
          <m:rPr>
            <m:sty m:val="p"/>
          </m:rPr>
          <w:rPr>
            <w:rFonts w:ascii="Cambria Math" w:hAnsi="Cambria Math" w:cs="Times"/>
            <w:sz w:val="24"/>
            <w:szCs w:val="24"/>
          </w:rPr>
          <m:t>Δ</m:t>
        </m:r>
        <m:r>
          <m:rPr/>
          <w:rPr>
            <w:rFonts w:ascii="Cambria Math" w:hAnsi="Cambria Math" w:cs="Times"/>
            <w:sz w:val="24"/>
            <w:szCs w:val="24"/>
          </w:rPr>
          <m:t>V</m:t>
        </m:r>
      </m:oMath>
      <w:r>
        <w:rPr>
          <w:rFonts w:ascii="Times" w:hAnsi="Times" w:cs="Times"/>
          <w:sz w:val="24"/>
          <w:szCs w:val="24"/>
        </w:rPr>
        <w:t xml:space="preserve">) between neighbouring domains with opposite polarization and the domain size (characteristic length </w:t>
      </w:r>
      <m:oMath>
        <m:sSub>
          <m:sSubPr>
            <m:ctrlPr>
              <w:rPr>
                <w:rFonts w:ascii="Cambria Math" w:hAnsi="Cambria Math" w:cs="Times"/>
                <w:i/>
                <w:sz w:val="24"/>
                <w:szCs w:val="24"/>
              </w:rPr>
            </m:ctrlPr>
          </m:sSubPr>
          <m:e>
            <m:r>
              <m:rPr/>
              <w:rPr>
                <w:rFonts w:ascii="Cambria Math" w:hAnsi="Cambria Math" w:cs="Times"/>
                <w:sz w:val="24"/>
                <w:szCs w:val="24"/>
              </w:rPr>
              <m:t>L</m:t>
            </m:r>
            <m:ctrlPr>
              <w:rPr>
                <w:rFonts w:ascii="Cambria Math" w:hAnsi="Cambria Math" w:cs="Times"/>
                <w:i/>
                <w:sz w:val="24"/>
                <w:szCs w:val="24"/>
              </w:rPr>
            </m:ctrlPr>
          </m:e>
          <m:sub>
            <m:r>
              <m:rPr>
                <m:sty m:val="p"/>
              </m:rPr>
              <w:rPr>
                <w:rFonts w:ascii="Cambria Math" w:hAnsi="Cambria Math" w:cs="Times"/>
                <w:sz w:val="24"/>
                <w:szCs w:val="24"/>
              </w:rPr>
              <m:t>c</m:t>
            </m:r>
            <m:ctrlPr>
              <w:rPr>
                <w:rFonts w:ascii="Cambria Math" w:hAnsi="Cambria Math" w:cs="Times"/>
                <w:i/>
                <w:sz w:val="24"/>
                <w:szCs w:val="24"/>
              </w:rPr>
            </m:ctrlPr>
          </m:sub>
        </m:sSub>
      </m:oMath>
      <w:r>
        <w:rPr>
          <w:rFonts w:ascii="Times" w:hAnsi="Times" w:cs="Times"/>
          <w:sz w:val="24"/>
          <w:szCs w:val="24"/>
        </w:rPr>
        <w:t xml:space="preserve">). The error bars along the horizontal and vertical axes indicate the uncertainty of the moiré size and surface potential, respectively. The data points are measured from panel b and the red curve is a fitting with Eq. 1. </w:t>
      </w:r>
      <w:r>
        <w:rPr>
          <w:rFonts w:ascii="Times" w:hAnsi="Times" w:cs="Times"/>
          <w:b/>
          <w:bCs/>
          <w:sz w:val="24"/>
          <w:szCs w:val="24"/>
        </w:rPr>
        <w:t>d</w:t>
      </w:r>
      <w:r>
        <w:rPr>
          <w:rFonts w:ascii="Times" w:hAnsi="Times" w:cs="Times"/>
          <w:sz w:val="24"/>
          <w:szCs w:val="24"/>
        </w:rPr>
        <w:t xml:space="preserve"> Schematic of the </w:t>
      </w:r>
      <w:r>
        <w:rPr>
          <w:rFonts w:hint="eastAsia" w:ascii="Times" w:hAnsi="Times" w:cs="Times"/>
          <w:sz w:val="24"/>
          <w:szCs w:val="24"/>
          <w:lang w:eastAsia="zh-CN"/>
        </w:rPr>
        <w:t>CMSTM</w:t>
      </w:r>
      <w:r>
        <w:rPr>
          <w:rFonts w:ascii="Times" w:hAnsi="Times" w:cs="Times"/>
          <w:sz w:val="24"/>
          <w:szCs w:val="24"/>
        </w:rPr>
        <w:t xml:space="preserve"> measurement. </w:t>
      </w:r>
      <w:r>
        <w:rPr>
          <w:rFonts w:ascii="Times" w:hAnsi="Times" w:cs="Times"/>
          <w:b/>
          <w:bCs/>
          <w:sz w:val="24"/>
          <w:szCs w:val="24"/>
        </w:rPr>
        <w:t>e</w:t>
      </w:r>
      <w:r>
        <w:rPr>
          <w:rFonts w:ascii="Times" w:hAnsi="Times" w:cs="Times"/>
          <w:sz w:val="24"/>
          <w:szCs w:val="24"/>
        </w:rPr>
        <w:t xml:space="preserve"> Fermi level modulation in the graphene sensing layer due to different polarization in t-hBN. </w:t>
      </w:r>
      <w:r>
        <w:rPr>
          <w:rFonts w:ascii="Times" w:hAnsi="Times" w:cs="Times"/>
          <w:b/>
          <w:bCs/>
          <w:sz w:val="24"/>
          <w:szCs w:val="24"/>
        </w:rPr>
        <w:t>f</w:t>
      </w:r>
      <w:r>
        <w:rPr>
          <w:rFonts w:ascii="Times" w:hAnsi="Times" w:cs="Times"/>
          <w:sz w:val="24"/>
          <w:szCs w:val="24"/>
        </w:rPr>
        <w:t xml:space="preserve"> A typical CMSTM tunneling current </w:t>
      </w:r>
      <m:oMath>
        <m:sSub>
          <m:sSubPr>
            <m:ctrlPr>
              <w:rPr>
                <w:rFonts w:ascii="Cambria Math" w:hAnsi="Cambria Math" w:cs="Times"/>
                <w:i/>
                <w:sz w:val="24"/>
                <w:szCs w:val="24"/>
              </w:rPr>
            </m:ctrlPr>
          </m:sSubPr>
          <m:e>
            <m:r>
              <m:rPr/>
              <w:rPr>
                <w:rFonts w:ascii="Cambria Math" w:hAnsi="Cambria Math" w:cs="Times"/>
                <w:sz w:val="24"/>
                <w:szCs w:val="24"/>
              </w:rPr>
              <m:t>I</m:t>
            </m:r>
            <m:ctrlPr>
              <w:rPr>
                <w:rFonts w:ascii="Cambria Math" w:hAnsi="Cambria Math" w:cs="Times"/>
                <w:i/>
                <w:sz w:val="24"/>
                <w:szCs w:val="24"/>
              </w:rPr>
            </m:ctrlPr>
          </m:e>
          <m:sub>
            <m:r>
              <m:rPr>
                <m:sty m:val="p"/>
              </m:rPr>
              <w:rPr>
                <w:rFonts w:ascii="Cambria Math" w:hAnsi="Cambria Math" w:cs="Times"/>
                <w:sz w:val="24"/>
                <w:szCs w:val="24"/>
              </w:rPr>
              <m:t>t</m:t>
            </m:r>
            <m:ctrlPr>
              <w:rPr>
                <w:rFonts w:ascii="Cambria Math" w:hAnsi="Cambria Math" w:cs="Times"/>
                <w:i/>
                <w:sz w:val="24"/>
                <w:szCs w:val="24"/>
              </w:rPr>
            </m:ctrlPr>
          </m:sub>
        </m:sSub>
      </m:oMath>
      <w:r>
        <w:rPr>
          <w:rFonts w:ascii="Times" w:hAnsi="Times" w:cs="Times"/>
          <w:sz w:val="24"/>
          <w:szCs w:val="24"/>
        </w:rPr>
        <w:t xml:space="preserve"> mapping of a graphene layer modulated by t-hBN measured at </w:t>
      </w:r>
      <m:oMath>
        <m:sSub>
          <m:sSubPr>
            <m:ctrlPr>
              <w:rPr>
                <w:rFonts w:ascii="Cambria Math" w:hAnsi="Cambria Math" w:cs="Times"/>
                <w:i/>
                <w:sz w:val="24"/>
                <w:szCs w:val="24"/>
              </w:rPr>
            </m:ctrlPr>
          </m:sSubPr>
          <m:e>
            <m:r>
              <m:rPr/>
              <w:rPr>
                <w:rFonts w:ascii="Cambria Math" w:hAnsi="Cambria Math" w:cs="Times"/>
                <w:sz w:val="24"/>
                <w:szCs w:val="24"/>
              </w:rPr>
              <m:t>V</m:t>
            </m:r>
            <m:ctrlPr>
              <w:rPr>
                <w:rFonts w:ascii="Cambria Math" w:hAnsi="Cambria Math" w:cs="Times"/>
                <w:i/>
                <w:sz w:val="24"/>
                <w:szCs w:val="24"/>
              </w:rPr>
            </m:ctrlPr>
          </m:e>
          <m:sub>
            <m:r>
              <m:rPr>
                <m:sty m:val="p"/>
              </m:rPr>
              <w:rPr>
                <w:rFonts w:ascii="Cambria Math" w:hAnsi="Cambria Math" w:cs="Times"/>
                <w:sz w:val="24"/>
                <w:szCs w:val="24"/>
              </w:rPr>
              <m:t>b</m:t>
            </m:r>
            <m:ctrlPr>
              <w:rPr>
                <w:rFonts w:ascii="Cambria Math" w:hAnsi="Cambria Math" w:cs="Times"/>
                <w:i/>
                <w:sz w:val="24"/>
                <w:szCs w:val="24"/>
              </w:rPr>
            </m:ctrlPr>
          </m:sub>
        </m:sSub>
        <m:r>
          <m:rPr/>
          <w:rPr>
            <w:rFonts w:ascii="Cambria Math" w:hAnsi="Cambria Math" w:cs="Times"/>
            <w:sz w:val="24"/>
            <w:szCs w:val="24"/>
          </w:rPr>
          <m:t xml:space="preserve">=0.2 </m:t>
        </m:r>
        <m:r>
          <m:rPr>
            <m:sty m:val="p"/>
          </m:rPr>
          <w:rPr>
            <w:rFonts w:ascii="Cambria Math" w:hAnsi="Cambria Math" w:cs="Times"/>
            <w:sz w:val="24"/>
            <w:szCs w:val="24"/>
          </w:rPr>
          <m:t>V</m:t>
        </m:r>
      </m:oMath>
      <w:r>
        <w:rPr>
          <w:rFonts w:ascii="Times" w:hAnsi="Times" w:cs="Times"/>
          <w:sz w:val="24"/>
          <w:szCs w:val="24"/>
        </w:rPr>
        <w:t>.</w:t>
      </w:r>
    </w:p>
    <w:p w14:paraId="312E5BA9">
      <w:pPr>
        <w:spacing w:after="0" w:line="480" w:lineRule="auto"/>
        <w:ind w:firstLine="204"/>
        <w:jc w:val="both"/>
        <w:rPr>
          <w:rFonts w:ascii="Times" w:hAnsi="Times" w:cs="Times"/>
          <w:sz w:val="24"/>
          <w:szCs w:val="24"/>
        </w:rPr>
      </w:pPr>
      <w:r>
        <w:rPr>
          <w:rFonts w:ascii="Times" w:hAnsi="Times" w:cs="Times"/>
          <w:sz w:val="24"/>
          <w:szCs w:val="24"/>
        </w:rPr>
        <w:t>To better compare the differences of KPFM and CMSTM, we measured the same t-hBN before and after the placement of graphene and tunneling hBN layers, which are shown in Figs. 2a and c, respectively. The moiré pattern measured with the extra layers is different from that measured without, presumably due to the disturbance to the t-hBN layers introduced in the fabrication process, similar to a previous study</w:t>
      </w:r>
      <w:r>
        <w:rPr>
          <w:rFonts w:ascii="Times" w:hAnsi="Times" w:cs="Times"/>
          <w:sz w:val="24"/>
          <w:szCs w:val="24"/>
        </w:rPr>
        <w:fldChar w:fldCharType="begin"/>
      </w:r>
      <w:r>
        <w:rPr>
          <w:rFonts w:ascii="Times" w:hAnsi="Times" w:cs="Times"/>
          <w:sz w:val="24"/>
          <w:szCs w:val="24"/>
        </w:rPr>
        <w:instrText xml:space="preserve"> ADDIN ZOTERO_ITEM CSL_CITATION {"citationID":"jCA1l2d6","properties":{"formattedCitation":"\\super 13\\nosupersub{}","plainCitation":"13","noteIndex":0},"citationItems":[{"id":2553,"uris":["http://zotero.org/users/9383478/items/H8DBVP5Y"],"itemData":{"id":2553,"type":"article-journal","container-title":"Nano Letters","DOI":"10.1021/acs.nanolett.4c04996","ISSN":"1530-6984","journalAbbreviation":"Nano Lett.","note":"publisher: American Chemical Society","title":"Moiré Exciton Polaron Engineering via twisted hBN","URL":"https://doi.org/10.1021/acs.nanolett.4c04996","author":[{"family":"Cho","given":"Minhyun"},{"family":"Datta","given":"Biswajit"},{"family":"Han","given":"Kwanghee"},{"family":"Chand","given":"Saroj B."},{"family":"Adak","given":"Pratap Chandra"},{"family":"Yu","given":"Sichao"},{"family":"Li","given":"Fengping"},{"family":"Watanabe","given":"Kenji"},{"family":"Taniguchi","given":"Takashi"},{"family":"Hone","given":"James"},{"family":"Jung","given":"Jeil"},{"family":"Grosso","given":"Gabriele"},{"family":"Kim","given":"Young Duck"},{"family":"Menon","given":"Vinod M."}],"issued":{"date-parts":[["2024",12,2]]}}}],"schema":"https://github.com/citation-style-language/schema/raw/master/csl-citation.json"}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13</w:t>
      </w:r>
      <w:r>
        <w:rPr>
          <w:rFonts w:ascii="Times" w:hAnsi="Times" w:cs="Times"/>
          <w:sz w:val="24"/>
          <w:szCs w:val="24"/>
        </w:rPr>
        <w:fldChar w:fldCharType="end"/>
      </w:r>
      <w:r>
        <w:rPr>
          <w:rFonts w:ascii="Times" w:hAnsi="Times" w:cs="Times"/>
          <w:sz w:val="24"/>
          <w:szCs w:val="24"/>
        </w:rPr>
        <w:t>.</w:t>
      </w:r>
      <w:r>
        <w:rPr>
          <w:rFonts w:hint="eastAsia" w:ascii="Times" w:hAnsi="Times" w:cs="Times"/>
          <w:sz w:val="24"/>
          <w:szCs w:val="24"/>
          <w:lang w:val="en-US" w:eastAsia="zh-CN"/>
        </w:rPr>
        <w:t xml:space="preserve"> After placing the extra layers, the </w:t>
      </w:r>
      <w:r>
        <w:rPr>
          <w:rFonts w:ascii="Times" w:hAnsi="Times" w:cs="Times"/>
          <w:sz w:val="24"/>
          <w:szCs w:val="24"/>
        </w:rPr>
        <w:t>moiré pattern</w:t>
      </w:r>
      <w:r>
        <w:rPr>
          <w:rFonts w:hint="eastAsia" w:ascii="Times" w:hAnsi="Times" w:cs="Times"/>
          <w:sz w:val="24"/>
          <w:szCs w:val="24"/>
          <w:lang w:val="en-US" w:eastAsia="zh-CN"/>
        </w:rPr>
        <w:t xml:space="preserve"> is no longer visible in KPFM due to the screening of graphene layer, but shows up clearly in the CMSTM image of Fig. 2c.</w:t>
      </w:r>
      <w:r>
        <w:rPr>
          <w:rFonts w:ascii="Times" w:hAnsi="Times" w:cs="Times"/>
          <w:sz w:val="24"/>
          <w:szCs w:val="24"/>
        </w:rPr>
        <w:t xml:space="preserve"> Line profiles across some elongated domains as marked by the blue and red arrows are displayed in Figs. 2b and d. In the KPFM potential profiles, narrower domains show significantly smaller </w:t>
      </w:r>
      <m:oMath>
        <m:r>
          <m:rPr>
            <m:sty m:val="p"/>
          </m:rPr>
          <w:rPr>
            <w:rFonts w:ascii="Cambria Math" w:hAnsi="Cambria Math" w:cs="Times"/>
            <w:sz w:val="24"/>
            <w:szCs w:val="24"/>
          </w:rPr>
          <m:t>∆</m:t>
        </m:r>
        <m:r>
          <m:rPr/>
          <w:rPr>
            <w:rFonts w:ascii="Cambria Math" w:hAnsi="Cambria Math" w:cs="Times"/>
            <w:sz w:val="24"/>
            <w:szCs w:val="24"/>
          </w:rPr>
          <m:t>V</m:t>
        </m:r>
      </m:oMath>
      <w:r>
        <w:rPr>
          <w:rFonts w:ascii="Times" w:hAnsi="Times" w:cs="Times"/>
          <w:sz w:val="24"/>
          <w:szCs w:val="24"/>
        </w:rPr>
        <w:t xml:space="preserve"> compared with that of the wider ones. In stark contrast, the CMSTM tunneling current profile shows similar current variations independent of the domain width, strongly suggesting that the potential in t-hBN is the same for different moiré sizes and KPFM data similar to that in Fig. 1c is a result of the tip averaging effect.</w:t>
      </w:r>
    </w:p>
    <w:p w14:paraId="5A7F42C0">
      <w:pPr>
        <w:spacing w:line="360" w:lineRule="auto"/>
        <w:jc w:val="center"/>
        <w:rPr>
          <w:rFonts w:ascii="Times New Roman" w:hAnsi="Times New Roman" w:cs="Times New Roman"/>
        </w:rPr>
      </w:pPr>
      <w:r>
        <w:rPr>
          <w:rFonts w:hint="eastAsia" w:ascii="Times New Roman" w:hAnsi="Times New Roman" w:cs="Times New Roman"/>
        </w:rPr>
        <w:drawing>
          <wp:inline distT="0" distB="0" distL="114300" distR="114300">
            <wp:extent cx="3744595" cy="2988310"/>
            <wp:effectExtent l="0" t="0" r="8255" b="2540"/>
            <wp:docPr id="6" name="图片 6" descr="webwxgetms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webwxgetmsgimg"/>
                    <pic:cNvPicPr>
                      <a:picLocks noChangeAspect="1"/>
                    </pic:cNvPicPr>
                  </pic:nvPicPr>
                  <pic:blipFill>
                    <a:blip r:embed="rId7"/>
                    <a:stretch>
                      <a:fillRect/>
                    </a:stretch>
                  </pic:blipFill>
                  <pic:spPr>
                    <a:xfrm>
                      <a:off x="0" y="0"/>
                      <a:ext cx="3744595" cy="2988310"/>
                    </a:xfrm>
                    <a:prstGeom prst="rect">
                      <a:avLst/>
                    </a:prstGeom>
                  </pic:spPr>
                </pic:pic>
              </a:graphicData>
            </a:graphic>
          </wp:inline>
        </w:drawing>
      </w:r>
    </w:p>
    <w:p w14:paraId="5F30B037">
      <w:pPr>
        <w:spacing w:after="200" w:line="480" w:lineRule="auto"/>
        <w:jc w:val="both"/>
        <w:rPr>
          <w:rFonts w:ascii="Times" w:hAnsi="Times" w:cs="Times"/>
          <w:sz w:val="24"/>
          <w:szCs w:val="24"/>
        </w:rPr>
      </w:pPr>
      <w:r>
        <w:rPr>
          <w:rFonts w:ascii="Times" w:hAnsi="Times" w:cs="Times"/>
          <w:b/>
          <w:bCs/>
          <w:sz w:val="24"/>
          <w:szCs w:val="24"/>
        </w:rPr>
        <w:t xml:space="preserve">Figure 2. Comparison of KPFM and </w:t>
      </w:r>
      <w:r>
        <w:rPr>
          <w:rFonts w:hint="eastAsia" w:ascii="Times" w:hAnsi="Times" w:cs="Times"/>
          <w:b/>
          <w:bCs/>
          <w:sz w:val="24"/>
          <w:szCs w:val="24"/>
          <w:lang w:eastAsia="zh-CN"/>
        </w:rPr>
        <w:t>CMSTM</w:t>
      </w:r>
      <w:r>
        <w:rPr>
          <w:rFonts w:ascii="Times" w:hAnsi="Times" w:cs="Times"/>
          <w:b/>
          <w:bCs/>
          <w:sz w:val="24"/>
          <w:szCs w:val="24"/>
        </w:rPr>
        <w:t xml:space="preserve"> of the same t-hBN bilayer.</w:t>
      </w:r>
      <w:r>
        <w:rPr>
          <w:rFonts w:ascii="Times" w:hAnsi="Times" w:cs="Times"/>
          <w:sz w:val="24"/>
          <w:szCs w:val="24"/>
        </w:rPr>
        <w:t xml:space="preserve"> </w:t>
      </w:r>
      <w:r>
        <w:rPr>
          <w:rFonts w:ascii="Times" w:hAnsi="Times" w:cs="Times"/>
          <w:b/>
          <w:bCs/>
          <w:sz w:val="24"/>
          <w:szCs w:val="24"/>
        </w:rPr>
        <w:t>a</w:t>
      </w:r>
      <w:r>
        <w:rPr>
          <w:rFonts w:ascii="Times" w:hAnsi="Times" w:cs="Times"/>
          <w:sz w:val="24"/>
          <w:szCs w:val="24"/>
        </w:rPr>
        <w:t xml:space="preserve"> KPFM image of the t-hBN substrate before covering with graphene and tunneling hBN. </w:t>
      </w:r>
      <w:r>
        <w:rPr>
          <w:rFonts w:ascii="Times" w:hAnsi="Times" w:cs="Times"/>
          <w:b/>
          <w:bCs/>
          <w:sz w:val="24"/>
          <w:szCs w:val="24"/>
        </w:rPr>
        <w:t>b</w:t>
      </w:r>
      <w:r>
        <w:rPr>
          <w:rFonts w:ascii="Times" w:hAnsi="Times" w:cs="Times"/>
          <w:sz w:val="24"/>
          <w:szCs w:val="24"/>
        </w:rPr>
        <w:t xml:space="preserve"> Line profile along the blue arrow in panel a. </w:t>
      </w:r>
      <w:r>
        <w:rPr>
          <w:rFonts w:ascii="Times" w:hAnsi="Times" w:cs="Times"/>
          <w:b/>
          <w:bCs/>
          <w:sz w:val="24"/>
          <w:szCs w:val="24"/>
        </w:rPr>
        <w:t>c</w:t>
      </w:r>
      <w:r>
        <w:rPr>
          <w:rFonts w:ascii="Times" w:hAnsi="Times" w:cs="Times"/>
          <w:sz w:val="24"/>
          <w:szCs w:val="24"/>
        </w:rPr>
        <w:t xml:space="preserve"> </w:t>
      </w:r>
      <m:oMath>
        <m:sSub>
          <m:sSubPr>
            <m:ctrlPr>
              <w:rPr>
                <w:rFonts w:ascii="Cambria Math" w:hAnsi="Cambria Math" w:cs="Times"/>
                <w:i/>
                <w:sz w:val="24"/>
                <w:szCs w:val="24"/>
              </w:rPr>
            </m:ctrlPr>
          </m:sSubPr>
          <m:e>
            <m:r>
              <m:rPr/>
              <w:rPr>
                <w:rFonts w:ascii="Cambria Math" w:hAnsi="Cambria Math" w:cs="Times"/>
                <w:sz w:val="24"/>
                <w:szCs w:val="24"/>
              </w:rPr>
              <m:t>I</m:t>
            </m:r>
            <m:ctrlPr>
              <w:rPr>
                <w:rFonts w:ascii="Cambria Math" w:hAnsi="Cambria Math" w:cs="Times"/>
                <w:i/>
                <w:sz w:val="24"/>
                <w:szCs w:val="24"/>
              </w:rPr>
            </m:ctrlPr>
          </m:e>
          <m:sub>
            <m:r>
              <m:rPr>
                <m:sty m:val="p"/>
              </m:rPr>
              <w:rPr>
                <w:rFonts w:ascii="Cambria Math" w:hAnsi="Cambria Math" w:cs="Times"/>
                <w:sz w:val="24"/>
                <w:szCs w:val="24"/>
              </w:rPr>
              <m:t>t</m:t>
            </m:r>
            <m:ctrlPr>
              <w:rPr>
                <w:rFonts w:ascii="Cambria Math" w:hAnsi="Cambria Math" w:cs="Times"/>
                <w:i/>
                <w:sz w:val="24"/>
                <w:szCs w:val="24"/>
              </w:rPr>
            </m:ctrlPr>
          </m:sub>
        </m:sSub>
      </m:oMath>
      <w:r>
        <w:rPr>
          <w:rFonts w:ascii="Times" w:hAnsi="Times" w:cs="Times"/>
          <w:sz w:val="24"/>
          <w:szCs w:val="24"/>
        </w:rPr>
        <w:t xml:space="preserve"> mapping measured after covering with graphene and tunneling hBN (</w:t>
      </w:r>
      <m:oMath>
        <m:sSub>
          <m:sSubPr>
            <m:ctrlPr>
              <w:rPr>
                <w:rFonts w:ascii="Cambria Math" w:hAnsi="Cambria Math" w:cs="Times"/>
                <w:i/>
                <w:sz w:val="24"/>
                <w:szCs w:val="24"/>
              </w:rPr>
            </m:ctrlPr>
          </m:sSubPr>
          <m:e>
            <m:r>
              <m:rPr/>
              <w:rPr>
                <w:rFonts w:ascii="Cambria Math" w:hAnsi="Cambria Math" w:cs="Times"/>
                <w:sz w:val="24"/>
                <w:szCs w:val="24"/>
              </w:rPr>
              <m:t>V</m:t>
            </m:r>
            <m:ctrlPr>
              <w:rPr>
                <w:rFonts w:ascii="Cambria Math" w:hAnsi="Cambria Math" w:cs="Times"/>
                <w:i/>
                <w:sz w:val="24"/>
                <w:szCs w:val="24"/>
              </w:rPr>
            </m:ctrlPr>
          </m:e>
          <m:sub>
            <m:r>
              <m:rPr>
                <m:sty m:val="p"/>
              </m:rPr>
              <w:rPr>
                <w:rFonts w:ascii="Cambria Math" w:hAnsi="Cambria Math" w:cs="Times"/>
                <w:sz w:val="24"/>
                <w:szCs w:val="24"/>
              </w:rPr>
              <m:t>b</m:t>
            </m:r>
            <m:ctrlPr>
              <w:rPr>
                <w:rFonts w:ascii="Cambria Math" w:hAnsi="Cambria Math" w:cs="Times"/>
                <w:i/>
                <w:sz w:val="24"/>
                <w:szCs w:val="24"/>
              </w:rPr>
            </m:ctrlPr>
          </m:sub>
        </m:sSub>
        <m:r>
          <m:rPr/>
          <w:rPr>
            <w:rFonts w:ascii="Cambria Math" w:hAnsi="Cambria Math" w:cs="Times"/>
            <w:sz w:val="24"/>
            <w:szCs w:val="24"/>
          </w:rPr>
          <m:t xml:space="preserve">=0.2 </m:t>
        </m:r>
        <m:r>
          <m:rPr>
            <m:sty m:val="p"/>
          </m:rPr>
          <w:rPr>
            <w:rFonts w:ascii="Cambria Math" w:hAnsi="Cambria Math" w:cs="Times"/>
            <w:sz w:val="24"/>
            <w:szCs w:val="24"/>
          </w:rPr>
          <m:t>V</m:t>
        </m:r>
      </m:oMath>
      <w:r>
        <w:rPr>
          <w:rFonts w:ascii="Times" w:hAnsi="Times" w:cs="Times"/>
          <w:sz w:val="24"/>
          <w:szCs w:val="24"/>
        </w:rPr>
        <w:t xml:space="preserve">). </w:t>
      </w:r>
      <w:r>
        <w:rPr>
          <w:rFonts w:ascii="Times" w:hAnsi="Times" w:cs="Times"/>
          <w:b/>
          <w:bCs/>
          <w:sz w:val="24"/>
          <w:szCs w:val="24"/>
        </w:rPr>
        <w:t>d</w:t>
      </w:r>
      <w:r>
        <w:rPr>
          <w:rFonts w:ascii="Times" w:hAnsi="Times" w:cs="Times"/>
          <w:sz w:val="24"/>
          <w:szCs w:val="24"/>
        </w:rPr>
        <w:t xml:space="preserve"> Line profile along the red arrow in panel c.</w:t>
      </w:r>
    </w:p>
    <w:p w14:paraId="69E52078">
      <w:pPr>
        <w:spacing w:after="0" w:line="480" w:lineRule="auto"/>
        <w:ind w:firstLine="204"/>
        <w:jc w:val="both"/>
        <w:rPr>
          <w:rFonts w:ascii="Times" w:hAnsi="Times" w:cs="Times"/>
          <w:sz w:val="24"/>
          <w:szCs w:val="24"/>
        </w:rPr>
      </w:pPr>
      <w:r>
        <w:rPr>
          <w:rFonts w:ascii="Times" w:hAnsi="Times" w:cs="Times"/>
          <w:sz w:val="24"/>
          <w:szCs w:val="24"/>
        </w:rPr>
        <w:t xml:space="preserve">In order to quantitatively compare the results of KPFM and </w:t>
      </w:r>
      <w:r>
        <w:rPr>
          <w:rFonts w:hint="eastAsia" w:ascii="Times" w:hAnsi="Times" w:cs="Times"/>
          <w:sz w:val="24"/>
          <w:szCs w:val="24"/>
          <w:lang w:eastAsia="zh-CN"/>
        </w:rPr>
        <w:t>CMSTM</w:t>
      </w:r>
      <w:r>
        <w:rPr>
          <w:rFonts w:ascii="Times" w:hAnsi="Times" w:cs="Times"/>
          <w:sz w:val="24"/>
          <w:szCs w:val="24"/>
        </w:rPr>
        <w:t xml:space="preserve">, line profiles cutting through some triangular domains are extracted from the potential and tunneling current mappings (insets of Figs. 3a and b). Potential difference </w:t>
      </w:r>
      <m:oMath>
        <m:r>
          <m:rPr>
            <m:sty m:val="p"/>
          </m:rPr>
          <w:rPr>
            <w:rFonts w:ascii="Cambria Math" w:hAnsi="Cambria Math" w:cs="Times"/>
            <w:sz w:val="24"/>
            <w:szCs w:val="24"/>
          </w:rPr>
          <m:t>Δ</m:t>
        </m:r>
        <m:r>
          <m:rPr/>
          <w:rPr>
            <w:rFonts w:ascii="Cambria Math" w:hAnsi="Cambria Math" w:cs="Times"/>
            <w:sz w:val="24"/>
            <w:szCs w:val="24"/>
          </w:rPr>
          <m:t>V</m:t>
        </m:r>
      </m:oMath>
      <w:r>
        <w:rPr>
          <w:rFonts w:ascii="Times" w:hAnsi="Times" w:cs="Times"/>
          <w:sz w:val="24"/>
          <w:szCs w:val="24"/>
        </w:rPr>
        <w:t xml:space="preserve"> and tunneling current difference </w:t>
      </w:r>
      <m:oMath>
        <m:r>
          <m:rPr>
            <m:sty m:val="p"/>
          </m:rPr>
          <w:rPr>
            <w:rFonts w:ascii="Cambria Math" w:hAnsi="Cambria Math" w:cs="Times"/>
            <w:sz w:val="24"/>
            <w:szCs w:val="24"/>
          </w:rPr>
          <m:t>∆</m:t>
        </m:r>
        <m:sSub>
          <m:sSubPr>
            <m:ctrlPr>
              <w:rPr>
                <w:rFonts w:ascii="Cambria Math" w:hAnsi="Cambria Math" w:cs="Times"/>
                <w:sz w:val="24"/>
                <w:szCs w:val="24"/>
              </w:rPr>
            </m:ctrlPr>
          </m:sSubPr>
          <m:e>
            <m:r>
              <m:rPr/>
              <w:rPr>
                <w:rFonts w:ascii="Cambria Math" w:hAnsi="Cambria Math" w:cs="Times"/>
                <w:sz w:val="24"/>
                <w:szCs w:val="24"/>
              </w:rPr>
              <m:t>I</m:t>
            </m:r>
            <m:ctrlPr>
              <w:rPr>
                <w:rFonts w:ascii="Cambria Math" w:hAnsi="Cambria Math" w:cs="Times"/>
                <w:sz w:val="24"/>
                <w:szCs w:val="24"/>
              </w:rPr>
            </m:ctrlPr>
          </m:e>
          <m:sub>
            <m:r>
              <m:rPr>
                <m:sty m:val="p"/>
              </m:rPr>
              <w:rPr>
                <w:rFonts w:ascii="Cambria Math" w:hAnsi="Cambria Math" w:cs="Times"/>
                <w:sz w:val="24"/>
                <w:szCs w:val="24"/>
              </w:rPr>
              <m:t>t</m:t>
            </m:r>
            <m:ctrlPr>
              <w:rPr>
                <w:rFonts w:ascii="Cambria Math" w:hAnsi="Cambria Math" w:cs="Times"/>
                <w:sz w:val="24"/>
                <w:szCs w:val="24"/>
              </w:rPr>
            </m:ctrlPr>
          </m:sub>
        </m:sSub>
      </m:oMath>
      <w:r>
        <w:rPr>
          <w:rFonts w:ascii="Times" w:hAnsi="Times" w:cs="Times"/>
          <w:sz w:val="24"/>
          <w:szCs w:val="24"/>
        </w:rPr>
        <w:t xml:space="preserve"> between neighbouring domains with opposite polarization are plotted as a function of the central domain width (Figs. 3a and b) (the determination of width, </w:t>
      </w:r>
      <m:oMath>
        <m:r>
          <m:rPr>
            <m:sty m:val="p"/>
          </m:rPr>
          <w:rPr>
            <w:rFonts w:ascii="Cambria Math" w:hAnsi="Cambria Math" w:cs="Times"/>
            <w:sz w:val="24"/>
            <w:szCs w:val="24"/>
          </w:rPr>
          <m:t>Δ</m:t>
        </m:r>
        <m:r>
          <m:rPr/>
          <w:rPr>
            <w:rFonts w:ascii="Cambria Math" w:hAnsi="Cambria Math" w:cs="Times"/>
            <w:sz w:val="24"/>
            <w:szCs w:val="24"/>
          </w:rPr>
          <m:t>V</m:t>
        </m:r>
      </m:oMath>
      <w:r>
        <w:rPr>
          <w:rFonts w:ascii="Times" w:hAnsi="Times" w:cs="Times"/>
          <w:sz w:val="24"/>
          <w:szCs w:val="24"/>
        </w:rPr>
        <w:t xml:space="preserve"> and </w:t>
      </w:r>
      <m:oMath>
        <m:r>
          <m:rPr>
            <m:sty m:val="p"/>
          </m:rPr>
          <w:rPr>
            <w:rFonts w:ascii="Cambria Math" w:hAnsi="Cambria Math" w:cs="Times"/>
            <w:sz w:val="24"/>
            <w:szCs w:val="24"/>
          </w:rPr>
          <m:t>∆</m:t>
        </m:r>
        <m:sSub>
          <m:sSubPr>
            <m:ctrlPr>
              <w:rPr>
                <w:rFonts w:ascii="Cambria Math" w:hAnsi="Cambria Math" w:cs="Times"/>
                <w:sz w:val="24"/>
                <w:szCs w:val="24"/>
              </w:rPr>
            </m:ctrlPr>
          </m:sSubPr>
          <m:e>
            <m:r>
              <m:rPr/>
              <w:rPr>
                <w:rFonts w:ascii="Cambria Math" w:hAnsi="Cambria Math" w:cs="Times"/>
                <w:sz w:val="24"/>
                <w:szCs w:val="24"/>
              </w:rPr>
              <m:t>I</m:t>
            </m:r>
            <m:ctrlPr>
              <w:rPr>
                <w:rFonts w:ascii="Cambria Math" w:hAnsi="Cambria Math" w:cs="Times"/>
                <w:sz w:val="24"/>
                <w:szCs w:val="24"/>
              </w:rPr>
            </m:ctrlPr>
          </m:e>
          <m:sub>
            <m:r>
              <m:rPr>
                <m:sty m:val="p"/>
              </m:rPr>
              <w:rPr>
                <w:rFonts w:ascii="Cambria Math" w:hAnsi="Cambria Math" w:cs="Times"/>
                <w:sz w:val="24"/>
                <w:szCs w:val="24"/>
              </w:rPr>
              <m:t>t</m:t>
            </m:r>
            <m:ctrlPr>
              <w:rPr>
                <w:rFonts w:ascii="Cambria Math" w:hAnsi="Cambria Math" w:cs="Times"/>
                <w:sz w:val="24"/>
                <w:szCs w:val="24"/>
              </w:rPr>
            </m:ctrlPr>
          </m:sub>
        </m:sSub>
      </m:oMath>
      <w:r>
        <w:rPr>
          <w:rFonts w:ascii="Times" w:hAnsi="Times" w:cs="Times"/>
          <w:sz w:val="24"/>
          <w:szCs w:val="24"/>
        </w:rPr>
        <w:t xml:space="preserve"> can be found in the </w:t>
      </w:r>
      <w:r>
        <w:rPr>
          <w:rFonts w:hint="eastAsia" w:ascii="Times" w:hAnsi="Times" w:cs="Times"/>
          <w:sz w:val="24"/>
          <w:szCs w:val="24"/>
          <w:lang w:eastAsia="zh-CN"/>
        </w:rPr>
        <w:t>Supporting</w:t>
      </w:r>
      <w:r>
        <w:rPr>
          <w:rFonts w:ascii="Times" w:hAnsi="Times" w:cs="Times"/>
          <w:sz w:val="24"/>
          <w:szCs w:val="24"/>
        </w:rPr>
        <w:t xml:space="preserve"> Information). It is noteworthy that even for the same domain, the measured </w:t>
      </w:r>
      <m:oMath>
        <m:r>
          <m:rPr>
            <m:sty m:val="p"/>
          </m:rPr>
          <w:rPr>
            <w:rFonts w:ascii="Cambria Math" w:hAnsi="Cambria Math" w:cs="Times"/>
            <w:sz w:val="24"/>
            <w:szCs w:val="24"/>
          </w:rPr>
          <m:t>Δ</m:t>
        </m:r>
        <m:r>
          <m:rPr/>
          <w:rPr>
            <w:rFonts w:ascii="Cambria Math" w:hAnsi="Cambria Math" w:cs="Times"/>
            <w:sz w:val="24"/>
            <w:szCs w:val="24"/>
          </w:rPr>
          <m:t>V</m:t>
        </m:r>
      </m:oMath>
      <w:r>
        <w:rPr>
          <w:rFonts w:ascii="Times" w:hAnsi="Times" w:cs="Times"/>
          <w:sz w:val="24"/>
          <w:szCs w:val="24"/>
        </w:rPr>
        <w:t xml:space="preserve"> has strong dependence on the domain width (Fig. 3a), and exhibits similar behavior to that in Fig. 1c. On the other hand, </w:t>
      </w:r>
      <m:oMath>
        <m:r>
          <m:rPr>
            <m:sty m:val="p"/>
          </m:rPr>
          <w:rPr>
            <w:rFonts w:ascii="Cambria Math" w:hAnsi="Cambria Math" w:cs="Times"/>
            <w:sz w:val="24"/>
            <w:szCs w:val="24"/>
          </w:rPr>
          <m:t>∆</m:t>
        </m:r>
        <m:sSub>
          <m:sSubPr>
            <m:ctrlPr>
              <w:rPr>
                <w:rFonts w:ascii="Cambria Math" w:hAnsi="Cambria Math" w:cs="Times"/>
                <w:sz w:val="24"/>
                <w:szCs w:val="24"/>
              </w:rPr>
            </m:ctrlPr>
          </m:sSubPr>
          <m:e>
            <m:r>
              <m:rPr/>
              <w:rPr>
                <w:rFonts w:ascii="Cambria Math" w:hAnsi="Cambria Math" w:cs="Times"/>
                <w:sz w:val="24"/>
                <w:szCs w:val="24"/>
              </w:rPr>
              <m:t>I</m:t>
            </m:r>
            <m:ctrlPr>
              <w:rPr>
                <w:rFonts w:ascii="Cambria Math" w:hAnsi="Cambria Math" w:cs="Times"/>
                <w:sz w:val="24"/>
                <w:szCs w:val="24"/>
              </w:rPr>
            </m:ctrlPr>
          </m:e>
          <m:sub>
            <m:r>
              <m:rPr>
                <m:sty m:val="p"/>
              </m:rPr>
              <w:rPr>
                <w:rFonts w:ascii="Cambria Math" w:hAnsi="Cambria Math" w:cs="Times"/>
                <w:sz w:val="24"/>
                <w:szCs w:val="24"/>
              </w:rPr>
              <m:t>t</m:t>
            </m:r>
            <m:ctrlPr>
              <w:rPr>
                <w:rFonts w:ascii="Cambria Math" w:hAnsi="Cambria Math" w:cs="Times"/>
                <w:sz w:val="24"/>
                <w:szCs w:val="24"/>
              </w:rPr>
            </m:ctrlPr>
          </m:sub>
        </m:sSub>
      </m:oMath>
      <w:r>
        <w:rPr>
          <w:rFonts w:ascii="Times" w:hAnsi="Times" w:cs="Times"/>
          <w:sz w:val="24"/>
          <w:szCs w:val="24"/>
        </w:rPr>
        <w:t xml:space="preserve"> remains stable (~ 7 pA) for width ranging from ~20 nm to 140 nm.  This difference leads us to conclude that the moiré electrostatic potential in sliding ferroelectric systems should be independent of the moiré size, and the apparent different behavior in KPFM measurements is unlikely to be intrinsic. </w:t>
      </w:r>
    </w:p>
    <w:p w14:paraId="5CEB8569">
      <w:pPr>
        <w:spacing w:after="0" w:line="480" w:lineRule="auto"/>
        <w:ind w:firstLine="204"/>
        <w:jc w:val="both"/>
        <w:rPr>
          <w:rFonts w:hint="default" w:ascii="Times" w:hAnsi="Times" w:cs="Times" w:eastAsiaTheme="minorEastAsia"/>
          <w:sz w:val="24"/>
          <w:szCs w:val="24"/>
          <w:lang w:val="en-US" w:eastAsia="zh-CN"/>
        </w:rPr>
      </w:pPr>
      <w:r>
        <w:rPr>
          <w:rFonts w:ascii="Times" w:hAnsi="Times" w:cs="Times"/>
          <w:sz w:val="24"/>
          <w:szCs w:val="24"/>
        </w:rPr>
        <w:t>Another benefit of CMSTM compared to the scanning potential microscopy based technique is its superior spatial resolution. Previously, EFM and KPFM studies were limited to ~30 nm and above</w:t>
      </w:r>
      <w:r>
        <w:rPr>
          <w:rFonts w:ascii="Times" w:hAnsi="Times" w:cs="Times"/>
          <w:sz w:val="24"/>
          <w:szCs w:val="24"/>
        </w:rPr>
        <w:fldChar w:fldCharType="begin"/>
      </w:r>
      <w:r>
        <w:rPr>
          <w:rFonts w:ascii="Times" w:hAnsi="Times" w:cs="Times"/>
          <w:sz w:val="24"/>
          <w:szCs w:val="24"/>
        </w:rPr>
        <w:instrText xml:space="preserve"> ADDIN ZOTERO_ITEM CSL_CITATION {"citationID":"JcCS5N2p","properties":{"formattedCitation":"\\super 3,13,15,24\\nosupersub{}","plainCitation":"3,13,15,24","noteIndex":0},"citationItems":[{"id":2231,"uris":["http://zotero.org/users/9383478/items/9JSH6LDM"],"itemData":{"id":2231,"type":"article-journal","abstract":"Abstract\n            When two-dimensional crystals are brought into close proximity, their interaction results in reconstruction of electronic spectrum and crystal structure. Such reconstruction strongly depends on the twist angle between the crystals, which has received growing attention due to interesting electronic and optical properties that arise in graphene and transitional metal dichalcogenides. Here we study two insulating crystals of hexagonal boron nitride stacked at small twist angle. Using electrostatic force microscopy, we observe ferroelectric-like domains arranged in triangular superlattices with a large surface potential. The observation is attributed to interfacial elastic deformations that result in out-of-plane dipoles formed by pairs of boron and nitrogen atoms belonging to opposite interfacial surfaces. This creates a bilayer-thick ferroelectric with oppositely polarized (BN and NB) dipoles in neighbouring domains, in agreement with our modeling. These findings open up possibilities for designing van der Waals heterostructures and offer an alternative probe to study moiré-superlattice electrostatic potentials.","container-title":"Nature Communications","DOI":"10.1038/s41467-020-20667-2","ISSN":"2041-1723","issue":"1","journalAbbreviation":"Nat Commun","language":"en","page":"347","source":"DOI.org (Crossref)","title":"Charge-polarized interfacial superlattices in marginally twisted hexagonal boron nitride","volume":"12","author":[{"family":"Woods","given":"C. R."},{"family":"Ares","given":"P."},{"family":"Nevison-Andrews","given":"H."},{"family":"Holwill","given":"M. J."},{"family":"Fabregas","given":"R."},{"family":"Guinea","given":"F."},{"family":"Geim","given":"A. K."},{"family":"Novoselov","given":"K. S."},{"family":"Walet","given":"N. R."},{"family":"Fumagalli","given":"L."}],"issued":{"date-parts":[["2021",1,12]]}}},{"id":2553,"uris":["http://zotero.org/users/9383478/items/H8DBVP5Y"],"itemData":{"id":2553,"type":"article-journal","container-title":"Nano Letters","DOI":"10.1021/acs.nanolett.4c04996","ISSN":"1530-6984","journalAbbreviation":"Nano Lett.","note":"publisher: American Chemical Society","title":"Moiré Exciton Polaron Engineering via twisted hBN","URL":"https://doi.org/10.1021/acs.nanolett.4c04996","author":[{"family":"Cho","given":"Minhyun"},{"family":"Datta","given":"Biswajit"},{"family":"Han","given":"Kwanghee"},{"family":"Chand","given":"Saroj B."},{"family":"Adak","given":"Pratap Chandra"},{"family":"Yu","given":"Sichao"},{"family":"Li","given":"Fengping"},{"family":"Watanabe","given":"Kenji"},{"family":"Taniguchi","given":"Takashi"},{"family":"Hone","given":"James"},{"family":"Jung","given":"Jeil"},{"family":"Grosso","given":"Gabriele"},{"family":"Kim","given":"Young Duck"},{"family":"Menon","given":"Vinod M."}],"issued":{"date-parts":[["2024",12,2]]}}},{"id":1892,"uris":["http://zotero.org/users/9383478/items/H3KHLPX9"],"itemData":{"id":1892,"type":"article-journal","container-title":"Nature Materials","DOI":"10.1038/s41563-023-01637-7","ISSN":"1476-1122, 1476-4660","issue":"1","journalAbbreviation":"Nat. Mater.","language":"en","page":"65-70","source":"DOI.org (Crossref)","title":"Electrostatic moiré potential from twisted hexagonal boron nitride layers","volume":"23","author":[{"family":"Kim","given":"Dong Seob"},{"family":"Dominguez","given":"Roy C."},{"family":"Mayorga-Luna","given":"Rigo"},{"family":"Ye","given":"Dingyi"},{"family":"Embley","given":"Jacob"},{"family":"Tan","given":"Tixuan"},{"family":"Ni","given":"Yue"},{"family":"Liu","given":"Zhida"},{"family":"Ford","given":"Mitchell"},{"family":"Gao","given":"Frank Y."},{"family":"Arash","given":"Saba"},{"family":"Watanabe","given":"Kenji"},{"family":"Taniguchi","given":"Takashi"},{"family":"Kim","given":"Suenne"},{"family":"Shih","given":"Chih-Kang"},{"family":"Lai","given":"Keji"},{"family":"Yao","given":"Wang"},{"family":"Yang","given":"Li"},{"family":"Li","given":"Xiaoqin"},{"family":"Miyahara","given":"Yoichi"}],"issued":{"date-parts":[["2024",1]]}}},{"id":2572,"uris":["http://zotero.org/users/9383478/items/J74D2VAH"],"itemData":{"id":2572,"type":"article-journal","abstract":"Abstract\n            Moiré superlattice of twisted hexagonal boron nitride (hBN) has emerged as an advanced atomically thin van der Waals interfacial ferroelectricity platform. Nanoscale periodic ferroelectric moiré potentials in twisted hBN allow the hosting of remote Coulomb superlattice potentials to adjacent 2D materials. Therefore, the new strategies for engineering moiré length, angle, and potential strength are essential for developing programmable quantum materials. Here, it demonstrates the realization of twisted hBN‐based moiré superlattice platforms and visualizes the moiré domains and ferroelectric properties using Kelvin probe force microscopy (KPFM). Also, the regular moiré superlattice in the large area is reported. It offers the possibility to reproduce uniform moiré structures with precise control piezo stage stacking and heat annealing. It demonstrates cumulative multi‐ferroelectric polarization and multi‐level domains with multiple angle mismatched interfaces. Additionally, it observes the quasi‐1D anisotropic moiré domains and show the highest resolution analysis of the local built‐in strain between adjacent hBN layers compared to the conventional methods. Furthermore, in‐situ manipulation of moiré potential is demonstrated using femtosecond pulse laser, which results in the optical phonon‐induced atomic displacement at the hBN moiré interfaces. The results pave the way to develop precisely programmable moiré superlattice platforms and investigate strongly correlated physics.","container-title":"Advanced Science","DOI":"10.1002/advs.202408034","ISSN":"2198-3844, 2198-3844","journalAbbreviation":"Advanced Science","language":"en","page":"2408034","source":"DOI.org (Crossref)","title":"Highly Tunable Moiré Superlattice Potentials in Twisted Hexagonal Boron Nitrides","author":[{"family":"Han","given":"Kwanghee"},{"family":"Cho","given":"Minhyun"},{"family":"Kim","given":"Taehyung"},{"family":"Kim","given":"Seung Tae"},{"family":"Kim","given":"Suk Hyun"},{"family":"Park","given":"Sang Hwa"},{"family":"Yang","given":"Sang Mo"},{"family":"Watanabe","given":"Kenji"},{"family":"Taniguchi","given":"Takashi"},{"family":"Menon","given":"Vinod"},{"family":"Kim","given":"Young Duck"}],"issued":{"date-parts":[["2024",11,8]]}}}],"schema":"https://github.com/citation-style-language/schema/raw/master/csl-citation.json"}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3,13,15,24</w:t>
      </w:r>
      <w:r>
        <w:rPr>
          <w:rFonts w:ascii="Times" w:hAnsi="Times" w:cs="Times"/>
          <w:sz w:val="24"/>
          <w:szCs w:val="24"/>
        </w:rPr>
        <w:fldChar w:fldCharType="end"/>
      </w:r>
      <w:r>
        <w:rPr>
          <w:rFonts w:ascii="Times" w:hAnsi="Times" w:cs="Times"/>
          <w:sz w:val="24"/>
          <w:szCs w:val="24"/>
        </w:rPr>
        <w:t>. However, moiré potential with ~10 nm period is of particular interest as demonstrated in the magic angle graphene and numerous other twisted 2D systems</w:t>
      </w:r>
      <w:r>
        <w:rPr>
          <w:rFonts w:ascii="Times" w:hAnsi="Times" w:cs="Times"/>
          <w:sz w:val="24"/>
          <w:szCs w:val="24"/>
        </w:rPr>
        <w:fldChar w:fldCharType="begin"/>
      </w:r>
      <w:r>
        <w:rPr>
          <w:rFonts w:ascii="Times" w:hAnsi="Times" w:cs="Times"/>
          <w:sz w:val="24"/>
          <w:szCs w:val="24"/>
        </w:rPr>
        <w:instrText xml:space="preserve"> ADDIN ZOTERO_ITEM CSL_CITATION {"citationID":"x0F2l8MI","properties":{"formattedCitation":"\\super 31\\nosupersub{}","plainCitation":"31","noteIndex":0},"citationItems":[{"id":2649,"uris":["http://zotero.org/users/9383478/items/TFHI7CJV"],"itemData":{"id":2649,"type":"article-journal","container-title":"Nature Reviews Materials","DOI":"10.1038/s41578-024-00682-1","ISSN":"2058-8437","issue":"7","journalAbbreviation":"Nat Rev Mater","language":"en","page":"460-480","source":"DOI.org (Crossref)","title":"A microscopic perspective on moiré materials","volume":"9","author":[{"family":"Nuckolls","given":"Kevin P."},{"family":"Yazdani","given":"Ali"}],"issued":{"date-parts":[["2024",5,31]]}}}],"schema":"https://github.com/citation-style-language/schema/raw/master/csl-citation.json"}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31</w:t>
      </w:r>
      <w:r>
        <w:rPr>
          <w:rFonts w:ascii="Times" w:hAnsi="Times" w:cs="Times"/>
          <w:sz w:val="24"/>
          <w:szCs w:val="24"/>
        </w:rPr>
        <w:fldChar w:fldCharType="end"/>
      </w:r>
      <w:r>
        <w:rPr>
          <w:rFonts w:ascii="Times" w:hAnsi="Times" w:cs="Times"/>
          <w:sz w:val="24"/>
          <w:szCs w:val="24"/>
        </w:rPr>
        <w:t xml:space="preserve">, where many intriguing physics phenomena have emerged. Therefore, it is important to measure the potential variation in t-hBN down to the 10 nm scale. Fig. 3c inset shows a high resolution CMSTM current mapping of a stretched domain. From ~7 nm to 20 nm </w:t>
      </w:r>
      <m:oMath>
        <m:r>
          <m:rPr>
            <m:sty m:val="p"/>
          </m:rPr>
          <w:rPr>
            <w:rFonts w:ascii="Cambria Math" w:hAnsi="Cambria Math" w:cs="Times"/>
            <w:sz w:val="24"/>
            <w:szCs w:val="24"/>
          </w:rPr>
          <m:t>∆</m:t>
        </m:r>
        <m:sSub>
          <m:sSubPr>
            <m:ctrlPr>
              <w:rPr>
                <w:rFonts w:ascii="Cambria Math" w:hAnsi="Cambria Math" w:cs="Times"/>
                <w:sz w:val="24"/>
                <w:szCs w:val="24"/>
              </w:rPr>
            </m:ctrlPr>
          </m:sSubPr>
          <m:e>
            <m:r>
              <m:rPr/>
              <w:rPr>
                <w:rFonts w:ascii="Cambria Math" w:hAnsi="Cambria Math" w:cs="Times"/>
                <w:sz w:val="24"/>
                <w:szCs w:val="24"/>
              </w:rPr>
              <m:t>I</m:t>
            </m:r>
            <m:ctrlPr>
              <w:rPr>
                <w:rFonts w:ascii="Cambria Math" w:hAnsi="Cambria Math" w:cs="Times"/>
                <w:sz w:val="24"/>
                <w:szCs w:val="24"/>
              </w:rPr>
            </m:ctrlPr>
          </m:e>
          <m:sub>
            <m:r>
              <m:rPr>
                <m:sty m:val="p"/>
              </m:rPr>
              <w:rPr>
                <w:rFonts w:ascii="Cambria Math" w:hAnsi="Cambria Math" w:cs="Times"/>
                <w:sz w:val="24"/>
                <w:szCs w:val="24"/>
              </w:rPr>
              <m:t>t</m:t>
            </m:r>
            <m:ctrlPr>
              <w:rPr>
                <w:rFonts w:ascii="Cambria Math" w:hAnsi="Cambria Math" w:cs="Times"/>
                <w:sz w:val="24"/>
                <w:szCs w:val="24"/>
              </w:rPr>
            </m:ctrlPr>
          </m:sub>
        </m:sSub>
      </m:oMath>
      <w:r>
        <w:rPr>
          <w:rFonts w:ascii="Times" w:hAnsi="Times" w:cs="Times"/>
          <w:sz w:val="24"/>
          <w:szCs w:val="24"/>
        </w:rPr>
        <w:t xml:space="preserve"> stays around 7 pA, indicating that within this critical domain size range, the moiré electrostatic potential still remains the same.</w:t>
      </w:r>
      <w:r>
        <w:rPr>
          <w:rFonts w:hint="eastAsia" w:ascii="Times" w:hAnsi="Times" w:cs="Times"/>
          <w:sz w:val="24"/>
          <w:szCs w:val="24"/>
          <w:lang w:val="en-US" w:eastAsia="zh-CN"/>
        </w:rPr>
        <w:t xml:space="preserve"> This finding is in apparent contradiction with the theoretical expectation</w:t>
      </w:r>
      <w:r>
        <w:rPr>
          <w:rFonts w:ascii="Times" w:hAnsi="Times" w:cs="Times"/>
          <w:sz w:val="24"/>
          <w:szCs w:val="24"/>
        </w:rPr>
        <w:fldChar w:fldCharType="begin"/>
      </w:r>
      <w:r>
        <w:rPr>
          <w:rFonts w:ascii="Times" w:hAnsi="Times" w:cs="Times"/>
          <w:sz w:val="24"/>
          <w:szCs w:val="24"/>
        </w:rPr>
        <w:instrText xml:space="preserve"> ADDIN ZOTERO_ITEM CSL_CITATION {"citationID":"SV6yWu8S","properties":{"formattedCitation":"\\super 11\\nosupersub{}","plainCitation":"11","noteIndex":0},"citationItems":[{"id":1919,"uris":["http://zotero.org/users/9383478/items/MFRT4LVN"],"itemData":{"id":1919,"type":"article-journal","abstract":"Abstract\n            \n              Lateral superlattices in 2D materials provide a powerful platform for exploring intriguing quantum phenomena, which can be realized through the proximity coupling in forming moiré pattern with another layer. This approach, however, is invasive, material-specific, and requires small lattice mismatch and suitable band alignment, largely limited to graphene and transition metal dichalcogenides (TMDs). Hexagonal boron nitride (h-BN) of antiparallel (AA′) stacking has been an indispensable building block, as dielectric substrates and capping layers for realizing high-quality van der Waals devices. There is also emerging interest on parallelly aligned h-BN of Bernal (AB) stacking, where the broken inversion and mirror symmetries lead to out-of-plane electrical polarization. Here we show the that laterally patterned electrical polarization at a nearly parallel interface within the h-BN substrate can be exploited to create noninvasively a universal superlattice potential in general 2D materials. The feasibility is demonstrated by first principle calculations for monolayer MoSe\n              2\n              , black phosphorus, and antiferromagnetic MnPSe\n              3\n              on such h-BN. The potential strength can reach 200 meV, customizable in this range through choice of distance of target material from the interface in h-BN. We also find sizable out-of-plane electric field at the h-BN surface, which can realize superlattice potential for interlayer excitons in TMD bilayers as well as dipolar molecules. The idea is further generalized to AB-stacked h-BN subject to torsion with adjacent layers all twisted with an angle, which allows the potential and field strength to be scaled up with film thickness, saturating to a quasi-periodic one with chiral structure.","container-title":"npj 2D Materials and Applications","DOI":"10.1038/s41699-021-00221-4","ISSN":"2397-7132","issue":"1","journalAbbreviation":"npj 2D Mater Appl","language":"en","page":"38","source":"DOI.org (Crossref)","title":"Universal superlattice potential for 2D materials from twisted interface inside h-BN substrate","volume":"5","author":[{"family":"Zhao","given":"Pei"},{"family":"Xiao","given":"Chengxin"},{"family":"Yao","given":"Wang"}],"issued":{"date-parts":[["2021",4,12]]}}}],"schema":"https://github.com/citation-style-language/schema/raw/master/csl-citation.json"}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11</w:t>
      </w:r>
      <w:r>
        <w:rPr>
          <w:rFonts w:ascii="Times" w:hAnsi="Times" w:cs="Times"/>
          <w:sz w:val="24"/>
          <w:szCs w:val="24"/>
        </w:rPr>
        <w:fldChar w:fldCharType="end"/>
      </w:r>
      <w:r>
        <w:rPr>
          <w:rFonts w:hint="eastAsia" w:ascii="Times" w:hAnsi="Times" w:cs="Times"/>
          <w:sz w:val="24"/>
          <w:szCs w:val="24"/>
          <w:lang w:val="en-US" w:eastAsia="zh-CN"/>
        </w:rPr>
        <w:t>, which could be due to the following two factors. First, in the theory calculation, the sample needs to be infinitely large and perfectly periodic. Both conditions were not met in this work and all previous experimental reports. Second, in the calculation the ferroelectric material is surrounded by vacuum; while in experiments it is always supported by a substrate. If the ferroelectric domains are to be utilized to modulate other materials, it is also covered from above. The screening effect by the dielectric environment could significantly alter the potential.</w:t>
      </w:r>
    </w:p>
    <w:p w14:paraId="5269F78B">
      <w:pPr>
        <w:spacing w:before="200" w:after="200" w:line="480" w:lineRule="auto"/>
        <w:jc w:val="both"/>
        <w:rPr>
          <w:rFonts w:ascii="Times New Roman" w:hAnsi="Times New Roman" w:cs="Times New Roman"/>
          <w:b/>
          <w:bCs/>
        </w:rPr>
      </w:pPr>
      <w:r>
        <w:rPr>
          <w:rFonts w:hint="eastAsia" w:ascii="Times New Roman" w:hAnsi="Times New Roman" w:cs="Times New Roman"/>
          <w:b/>
          <w:bCs/>
        </w:rPr>
        <w:drawing>
          <wp:inline distT="0" distB="0" distL="114300" distR="114300">
            <wp:extent cx="5220335" cy="1799590"/>
            <wp:effectExtent l="0" t="0" r="18415" b="10160"/>
            <wp:docPr id="2" name="图片 2"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3"/>
                    <pic:cNvPicPr>
                      <a:picLocks noChangeAspect="1"/>
                    </pic:cNvPicPr>
                  </pic:nvPicPr>
                  <pic:blipFill>
                    <a:blip r:embed="rId8"/>
                    <a:stretch>
                      <a:fillRect/>
                    </a:stretch>
                  </pic:blipFill>
                  <pic:spPr>
                    <a:xfrm>
                      <a:off x="0" y="0"/>
                      <a:ext cx="5220335" cy="1799590"/>
                    </a:xfrm>
                    <a:prstGeom prst="rect">
                      <a:avLst/>
                    </a:prstGeom>
                  </pic:spPr>
                </pic:pic>
              </a:graphicData>
            </a:graphic>
          </wp:inline>
        </w:drawing>
      </w:r>
    </w:p>
    <w:p w14:paraId="464A66A3">
      <w:pPr>
        <w:spacing w:after="200" w:line="480" w:lineRule="auto"/>
        <w:jc w:val="both"/>
        <w:rPr>
          <w:rFonts w:ascii="Times" w:hAnsi="Times" w:cs="Times"/>
          <w:sz w:val="24"/>
          <w:szCs w:val="24"/>
        </w:rPr>
      </w:pPr>
      <w:r>
        <w:rPr>
          <w:rFonts w:ascii="Times" w:hAnsi="Times" w:cs="Times"/>
          <w:b/>
          <w:bCs/>
          <w:sz w:val="24"/>
          <w:szCs w:val="24"/>
        </w:rPr>
        <w:t xml:space="preserve">Figure 3. Quantitative comparison of KPFM and </w:t>
      </w:r>
      <w:r>
        <w:rPr>
          <w:rFonts w:hint="eastAsia" w:ascii="Times" w:hAnsi="Times" w:cs="Times"/>
          <w:b/>
          <w:bCs/>
          <w:sz w:val="24"/>
          <w:szCs w:val="24"/>
          <w:lang w:eastAsia="zh-CN"/>
        </w:rPr>
        <w:t>CMSTM</w:t>
      </w:r>
      <w:r>
        <w:rPr>
          <w:rFonts w:ascii="Times" w:hAnsi="Times" w:cs="Times"/>
          <w:b/>
          <w:bCs/>
          <w:sz w:val="24"/>
          <w:szCs w:val="24"/>
        </w:rPr>
        <w:t xml:space="preserve"> results.</w:t>
      </w:r>
      <w:r>
        <w:rPr>
          <w:rFonts w:ascii="Times" w:hAnsi="Times" w:cs="Times"/>
          <w:color w:val="FF0000"/>
          <w:sz w:val="24"/>
          <w:szCs w:val="24"/>
        </w:rPr>
        <w:t xml:space="preserve"> </w:t>
      </w:r>
      <w:r>
        <w:rPr>
          <w:rFonts w:ascii="Times" w:hAnsi="Times" w:cs="Times"/>
          <w:b/>
          <w:bCs/>
          <w:sz w:val="24"/>
          <w:szCs w:val="24"/>
        </w:rPr>
        <w:t>a</w:t>
      </w:r>
      <w:r>
        <w:rPr>
          <w:rFonts w:ascii="Times" w:hAnsi="Times" w:cs="Times"/>
          <w:sz w:val="24"/>
          <w:szCs w:val="24"/>
        </w:rPr>
        <w:t xml:space="preserve"> </w:t>
      </w:r>
      <m:oMath>
        <m:r>
          <m:rPr>
            <m:sty m:val="p"/>
          </m:rPr>
          <w:rPr>
            <w:rFonts w:ascii="Cambria Math" w:hAnsi="Cambria Math" w:cs="Times"/>
            <w:sz w:val="24"/>
            <w:szCs w:val="24"/>
          </w:rPr>
          <m:t>Δ</m:t>
        </m:r>
        <m:r>
          <m:rPr/>
          <w:rPr>
            <w:rFonts w:ascii="Cambria Math" w:hAnsi="Cambria Math" w:cs="Times"/>
            <w:sz w:val="24"/>
            <w:szCs w:val="24"/>
          </w:rPr>
          <m:t>V</m:t>
        </m:r>
      </m:oMath>
      <w:r>
        <w:rPr>
          <w:rFonts w:ascii="Times" w:hAnsi="Times" w:cs="Times"/>
          <w:sz w:val="24"/>
          <w:szCs w:val="24"/>
        </w:rPr>
        <w:t xml:space="preserve"> at different domain width taken from a KPFM measurement shown in the inset. </w:t>
      </w:r>
      <w:r>
        <w:rPr>
          <w:rFonts w:ascii="Times" w:hAnsi="Times" w:cs="Times"/>
          <w:b/>
          <w:bCs/>
          <w:sz w:val="24"/>
          <w:szCs w:val="24"/>
        </w:rPr>
        <w:t>b</w:t>
      </w:r>
      <w:r>
        <w:rPr>
          <w:rFonts w:ascii="Times" w:hAnsi="Times" w:cs="Times"/>
          <w:sz w:val="24"/>
          <w:szCs w:val="24"/>
        </w:rPr>
        <w:t xml:space="preserve">, </w:t>
      </w:r>
      <w:r>
        <w:rPr>
          <w:rFonts w:ascii="Times" w:hAnsi="Times" w:cs="Times"/>
          <w:b/>
          <w:bCs/>
          <w:sz w:val="24"/>
          <w:szCs w:val="24"/>
        </w:rPr>
        <w:t>c</w:t>
      </w:r>
      <w:r>
        <w:rPr>
          <w:rFonts w:ascii="Times" w:hAnsi="Times" w:cs="Times"/>
          <w:sz w:val="24"/>
          <w:szCs w:val="24"/>
        </w:rPr>
        <w:t xml:space="preserve"> Tunneling current difference (</w:t>
      </w:r>
      <m:oMath>
        <m:r>
          <m:rPr>
            <m:sty m:val="p"/>
          </m:rPr>
          <w:rPr>
            <w:rFonts w:ascii="Cambria Math" w:hAnsi="Cambria Math" w:cs="Times"/>
            <w:sz w:val="24"/>
            <w:szCs w:val="24"/>
          </w:rPr>
          <m:t>∆</m:t>
        </m:r>
        <m:sSub>
          <m:sSubPr>
            <m:ctrlPr>
              <w:rPr>
                <w:rFonts w:ascii="Cambria Math" w:hAnsi="Cambria Math" w:cs="Times"/>
                <w:sz w:val="24"/>
                <w:szCs w:val="24"/>
              </w:rPr>
            </m:ctrlPr>
          </m:sSubPr>
          <m:e>
            <m:r>
              <m:rPr/>
              <w:rPr>
                <w:rFonts w:ascii="Cambria Math" w:hAnsi="Cambria Math" w:cs="Times"/>
                <w:sz w:val="24"/>
                <w:szCs w:val="24"/>
              </w:rPr>
              <m:t>I</m:t>
            </m:r>
            <m:ctrlPr>
              <w:rPr>
                <w:rFonts w:ascii="Cambria Math" w:hAnsi="Cambria Math" w:cs="Times"/>
                <w:sz w:val="24"/>
                <w:szCs w:val="24"/>
              </w:rPr>
            </m:ctrlPr>
          </m:e>
          <m:sub>
            <m:r>
              <m:rPr>
                <m:sty m:val="p"/>
              </m:rPr>
              <w:rPr>
                <w:rFonts w:ascii="Cambria Math" w:hAnsi="Cambria Math" w:cs="Times"/>
                <w:sz w:val="24"/>
                <w:szCs w:val="24"/>
              </w:rPr>
              <m:t>t</m:t>
            </m:r>
            <m:ctrlPr>
              <w:rPr>
                <w:rFonts w:ascii="Cambria Math" w:hAnsi="Cambria Math" w:cs="Times"/>
                <w:sz w:val="24"/>
                <w:szCs w:val="24"/>
              </w:rPr>
            </m:ctrlPr>
          </m:sub>
        </m:sSub>
      </m:oMath>
      <w:r>
        <w:rPr>
          <w:rFonts w:ascii="Times" w:hAnsi="Times" w:cs="Times"/>
          <w:sz w:val="24"/>
          <w:szCs w:val="24"/>
        </w:rPr>
        <w:t>) at different domain width taken from two CMSTM measurements shown in the insets. Red dashed lines mark the positions where the data in the main panels are taken.</w:t>
      </w:r>
    </w:p>
    <w:p w14:paraId="57084352">
      <w:pPr>
        <w:spacing w:after="200" w:line="480" w:lineRule="auto"/>
        <w:ind w:firstLine="240" w:firstLineChars="100"/>
        <w:jc w:val="both"/>
        <w:rPr>
          <w:rFonts w:hint="eastAsia" w:ascii="Times" w:hAnsi="Times" w:cs="Times"/>
          <w:sz w:val="24"/>
          <w:szCs w:val="24"/>
          <w:lang w:val="en-US" w:eastAsia="zh-CN"/>
        </w:rPr>
      </w:pPr>
      <w:r>
        <w:rPr>
          <w:rFonts w:hint="eastAsia" w:ascii="Times" w:hAnsi="Times" w:cs="Times"/>
          <w:sz w:val="24"/>
          <w:szCs w:val="24"/>
          <w:lang w:val="en-US" w:eastAsia="zh-CN"/>
        </w:rPr>
        <w:t>Due to the multilayer structure, different moir</w:t>
      </w:r>
      <w:r>
        <w:rPr>
          <w:rFonts w:ascii="Times" w:hAnsi="Times" w:cs="Times"/>
          <w:sz w:val="24"/>
          <w:szCs w:val="24"/>
        </w:rPr>
        <w:t>é</w:t>
      </w:r>
      <w:r>
        <w:rPr>
          <w:rFonts w:hint="eastAsia" w:ascii="Times" w:hAnsi="Times" w:cs="Times"/>
          <w:sz w:val="24"/>
          <w:szCs w:val="24"/>
          <w:lang w:val="en-US" w:eastAsia="zh-CN"/>
        </w:rPr>
        <w:t xml:space="preserve"> patterns can be formed which can induce super-moir</w:t>
      </w:r>
      <w:r>
        <w:rPr>
          <w:rFonts w:ascii="Times" w:hAnsi="Times" w:cs="Times"/>
          <w:sz w:val="24"/>
          <w:szCs w:val="24"/>
        </w:rPr>
        <w:t>é</w:t>
      </w:r>
      <w:r>
        <w:rPr>
          <w:rFonts w:hint="eastAsia" w:ascii="Times" w:hAnsi="Times" w:cs="Times"/>
          <w:sz w:val="24"/>
          <w:szCs w:val="24"/>
          <w:lang w:val="en-US" w:eastAsia="zh-CN"/>
        </w:rPr>
        <w:t xml:space="preserve"> patterns and significantly alter the electrostatic potential. To rule out this possibility, the long edges of different flakes were misaligned in the device fabrication process. </w:t>
      </w:r>
    </w:p>
    <w:p w14:paraId="71574FC4">
      <w:pPr>
        <w:spacing w:after="200" w:line="480" w:lineRule="auto"/>
        <w:ind w:firstLine="240" w:firstLineChars="100"/>
        <w:jc w:val="both"/>
        <w:rPr>
          <w:rFonts w:hint="default" w:ascii="Times" w:hAnsi="Times" w:cs="Times"/>
          <w:sz w:val="24"/>
          <w:szCs w:val="24"/>
          <w:lang w:val="en-US" w:eastAsia="zh-CN"/>
        </w:rPr>
      </w:pPr>
      <w:r>
        <w:rPr>
          <w:rFonts w:hint="eastAsia" w:ascii="Times" w:hAnsi="Times" w:cs="Times"/>
          <w:sz w:val="24"/>
          <w:szCs w:val="24"/>
          <w:lang w:val="en-US" w:eastAsia="zh-CN"/>
        </w:rPr>
        <w:t>To quantitatively measure the effect of the potential from the t-hBN on the electronic states in graphene, we carried out CMSTM spectroscopy on different domains of our devices. The results are shown in the Supporting Information.</w:t>
      </w:r>
    </w:p>
    <w:p w14:paraId="2666EB8B">
      <w:pPr>
        <w:tabs>
          <w:tab w:val="left" w:pos="970"/>
        </w:tabs>
        <w:spacing w:after="0" w:line="480" w:lineRule="auto"/>
        <w:jc w:val="both"/>
        <w:rPr>
          <w:rFonts w:ascii="Times" w:hAnsi="Times" w:cs="Times"/>
          <w:b/>
          <w:bCs/>
          <w:sz w:val="24"/>
          <w:szCs w:val="24"/>
        </w:rPr>
      </w:pPr>
      <w:bookmarkStart w:id="2" w:name="_GoBack"/>
      <w:bookmarkEnd w:id="2"/>
    </w:p>
    <w:p w14:paraId="3948DB56">
      <w:pPr>
        <w:spacing w:after="0" w:line="480" w:lineRule="auto"/>
        <w:ind w:firstLine="204"/>
        <w:jc w:val="both"/>
        <w:rPr>
          <w:rFonts w:ascii="Times" w:hAnsi="Times" w:cs="Times"/>
          <w:sz w:val="24"/>
          <w:szCs w:val="24"/>
        </w:rPr>
      </w:pPr>
      <w:r>
        <w:rPr>
          <w:rFonts w:ascii="Times" w:hAnsi="Times" w:cs="Times"/>
          <w:sz w:val="24"/>
          <w:szCs w:val="24"/>
        </w:rPr>
        <w:t>Next we examine the tip averaging effect that could affect the KPFM measurements. KPFM is a scanning potential microscopic technique. It detects the force between the sample and the AFM tip caused by the electrostatic potential variation in the sample. However, due to the long range characteristic of Coulomb interaction, the tip resolution and measurement accuracy largely depend on various experimental parameters, such as the tip geometry, quantity being detected (amplitude, phase, voltage, etc.), tip excitation method (ac, dc, etc.), scanning height, and so on</w:t>
      </w:r>
      <w:r>
        <w:rPr>
          <w:rFonts w:ascii="Times" w:hAnsi="Times" w:cs="Times"/>
          <w:sz w:val="24"/>
          <w:szCs w:val="24"/>
        </w:rPr>
        <w:fldChar w:fldCharType="begin"/>
      </w:r>
      <w:r>
        <w:rPr>
          <w:rFonts w:ascii="Times" w:hAnsi="Times" w:cs="Times"/>
          <w:sz w:val="24"/>
          <w:szCs w:val="24"/>
        </w:rPr>
        <w:instrText xml:space="preserve"> ADDIN ZOTERO_ITEM CSL_CITATION {"citationID":"NEp0wLj6","properties":{"formattedCitation":"\\super 3\\nosupersub{}","plainCitation":"3","noteIndex":0},"citationItems":[{"id":2231,"uris":["http://zotero.org/users/9383478/items/9JSH6LDM"],"itemData":{"id":2231,"type":"article-journal","abstract":"Abstract\n            When two-dimensional crystals are brought into close proximity, their interaction results in reconstruction of electronic spectrum and crystal structure. Such reconstruction strongly depends on the twist angle between the crystals, which has received growing attention due to interesting electronic and optical properties that arise in graphene and transitional metal dichalcogenides. Here we study two insulating crystals of hexagonal boron nitride stacked at small twist angle. Using electrostatic force microscopy, we observe ferroelectric-like domains arranged in triangular superlattices with a large surface potential. The observation is attributed to interfacial elastic deformations that result in out-of-plane dipoles formed by pairs of boron and nitrogen atoms belonging to opposite interfacial surfaces. This creates a bilayer-thick ferroelectric with oppositely polarized (BN and NB) dipoles in neighbouring domains, in agreement with our modeling. These findings open up possibilities for designing van der Waals heterostructures and offer an alternative probe to study moiré-superlattice electrostatic potentials.","container-title":"Nature Communications","DOI":"10.1038/s41467-020-20667-2","ISSN":"2041-1723","issue":"1","journalAbbreviation":"Nat Commun","language":"en","page":"347","source":"DOI.org (Crossref)","title":"Charge-polarized interfacial superlattices in marginally twisted hexagonal boron nitride","volume":"12","author":[{"family":"Woods","given":"C. R."},{"family":"Ares","given":"P."},{"family":"Nevison-Andrews","given":"H."},{"family":"Holwill","given":"M. J."},{"family":"Fabregas","given":"R."},{"family":"Guinea","given":"F."},{"family":"Geim","given":"A. K."},{"family":"Novoselov","given":"K. S."},{"family":"Walet","given":"N. R."},{"family":"Fumagalli","given":"L."}],"issued":{"date-parts":[["2021",1,12]]}}}],"schema":"https://github.com/citation-style-language/schema/raw/master/csl-citation.json"}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3</w:t>
      </w:r>
      <w:r>
        <w:rPr>
          <w:rFonts w:ascii="Times" w:hAnsi="Times" w:cs="Times"/>
          <w:sz w:val="24"/>
          <w:szCs w:val="24"/>
        </w:rPr>
        <w:fldChar w:fldCharType="end"/>
      </w:r>
      <w:r>
        <w:rPr>
          <w:rFonts w:ascii="Times" w:hAnsi="Times" w:cs="Times"/>
          <w:sz w:val="24"/>
          <w:szCs w:val="24"/>
        </w:rPr>
        <w:t>. This long range interaction introduces a spatially averaging effect which could smear the intrinsic potential variation in the sample. We explore the outcome of such averaging effect with the following numerical calculation.</w:t>
      </w:r>
    </w:p>
    <w:p w14:paraId="3B1332FB">
      <w:pPr>
        <w:spacing w:after="0" w:line="480" w:lineRule="auto"/>
        <w:ind w:firstLine="204"/>
        <w:jc w:val="both"/>
        <w:rPr>
          <w:rFonts w:ascii="Times" w:hAnsi="Times" w:cs="Times"/>
          <w:sz w:val="24"/>
          <w:szCs w:val="24"/>
        </w:rPr>
      </w:pPr>
      <w:r>
        <w:rPr>
          <w:rFonts w:ascii="Times" w:hAnsi="Times" w:cs="Times"/>
          <w:sz w:val="24"/>
          <w:szCs w:val="24"/>
        </w:rPr>
        <w:t>It has been demonstrated that</w:t>
      </w:r>
      <w:r>
        <w:rPr>
          <w:rFonts w:ascii="Times" w:hAnsi="Times" w:cs="Times"/>
          <w:color w:val="C00000"/>
          <w:sz w:val="24"/>
          <w:szCs w:val="24"/>
        </w:rPr>
        <w:fldChar w:fldCharType="begin"/>
      </w:r>
      <w:r>
        <w:rPr>
          <w:rFonts w:ascii="Times" w:hAnsi="Times" w:cs="Times"/>
          <w:color w:val="C00000"/>
          <w:sz w:val="24"/>
          <w:szCs w:val="24"/>
        </w:rPr>
        <w:instrText xml:space="preserve"> ADDIN ZOTERO_ITEM CSL_CITATION {"citationID":"K3wJOvD0","properties":{"formattedCitation":"\\super 32\\uc0\\u8211{}34\\nosupersub{}","plainCitation":"32–34","noteIndex":0},"citationItems":[{"id":1904,"uris":["http://zotero.org/users/9383478/items/7THLCVFB"],"itemData":{"id":1904,"type":"article-journal","container-title":"Physical Review B","DOI":"10.1103/PhysRevB.71.125424","ISSN":"1098-0121, 1550-235X","issue":"12","journalAbbreviation":"Phys. Rev. B","language":"en","license":"http://link.aps.org/licenses/aps-default-license","page":"125424","source":"DOI.org (Crossref)","title":"Accuracy and resolution limits of Kelvin probe force microscopy","volume":"71","author":[{"family":"Zerweck","given":"Ulrich"},{"family":"Loppacher","given":"Christian"},{"family":"Otto","given":"Tobias"},{"family":"Grafström","given":"Stefan"},{"family":"Eng","given":"Lukas M."}],"issued":{"date-parts":[["2005",3,25]]}}},{"id":2625,"uris":["http://zotero.org/users/9383478/items/IS3D7PXT"],"itemData":{"id":2625,"type":"article-journal","container-title":"Accounts of Chemical Research","DOI":"10.1021/ar900247p","ISSN":"0001-4842, 1520-4898","issue":"4","journalAbbreviation":"Acc. Chem. Res.","language":"en","page":"541-550","source":"DOI.org (Crossref)","title":"Nanoscale Quantitative Measurement of the Potential of Charged Nanostructures by Electrostatic and Kelvin Probe Force Microscopy: Unraveling Electronic Processes in Complex Materials","title-short":"Nanoscale Quantitative Measurement of the Potential of Charged Nanostructures by Electrostatic and Kelvin Probe Force Microscopy","volume":"43","author":[{"family":"Liscio","given":"Andrea"},{"family":"Palermo","given":"Vincenzo"},{"family":"Samorì","given":"Paolo"}],"issued":{"date-parts":[["2010",4,20]]}}},{"id":2409,"uris":["http://zotero.org/users/9383478/items/8TXZQ5C3"],"itemData":{"id":2409,"type":"article-journal","abstract":"Inverted structure thin-ﬁlm organic solar cells (OSCs) are becoming increasingly important as they deliver higher power conversion eﬃciency and demonstrate better long-term stability than conventional devices. However, the energy band alignment and the built-in ﬁeld across the device, which are crucial in understanding the device operation, is yet to be directly characterized. Here we present a direct visualization of the energy level alignment in operando inverted structure poly(3-hexylthiophene) (P3HT): [6,6]-phenyl-C61-butyric acid methyl ester (PCBM) OSCs using cross-sectional scanning Kelvin probe microscopy. The raw data of measured energy level alignment appear to be inconsistent with each other, and sometimes can even be contradictory to the device polarity observed in current density-voltage measurements. It is identiﬁed to be caused by the tip/cantilever induced convolution eﬀect, which may severely mask abrupt energy level oﬀsets at the thin electrode interlayers. A numerical deconvolution method is devised to quantitatively recover the energy level alignment across the device, and reveals the non-uniform electric ﬁeld distribution in photoactive layer.","container-title":"Nano Energy","DOI":"10.1016/j.nanoen.2017.08.050","ISSN":"22112855","journalAbbreviation":"Nano Energy","language":"en","page":"454-461","source":"DOI.org (Crossref)","title":"Energy band alignment in operando inverted structure P3HT:PCBM organic solar cells","title-short":"Energy band alignment in operando inverted structure P3HT","volume":"40","author":[{"family":"Chen","given":"Qi"},{"family":"Ye","given":"Fengye"},{"family":"Lai","given":"Junqi"},{"family":"Dai","given":"Pan"},{"family":"Lu","given":"Shulong"},{"family":"Ma","given":"Changqi"},{"family":"Zhao","given":"Yanfei"},{"family":"Xie","given":"Yi"},{"family":"Chen","given":"Liwei"}],"issued":{"date-parts":[["2017",10]]}}}],"schema":"https://github.com/citation-style-language/schema/raw/master/csl-citation.json"} </w:instrText>
      </w:r>
      <w:r>
        <w:rPr>
          <w:rFonts w:ascii="Times" w:hAnsi="Times" w:cs="Times"/>
          <w:color w:val="C00000"/>
          <w:sz w:val="24"/>
          <w:szCs w:val="24"/>
        </w:rPr>
        <w:fldChar w:fldCharType="separate"/>
      </w:r>
      <w:r>
        <w:rPr>
          <w:rFonts w:ascii="Times" w:hAnsi="Times" w:cs="Times"/>
          <w:kern w:val="0"/>
          <w:sz w:val="24"/>
          <w:szCs w:val="24"/>
          <w:vertAlign w:val="superscript"/>
        </w:rPr>
        <w:t>32–34</w:t>
      </w:r>
      <w:r>
        <w:rPr>
          <w:rFonts w:ascii="Times" w:hAnsi="Times" w:cs="Times"/>
          <w:color w:val="C00000"/>
          <w:sz w:val="24"/>
          <w:szCs w:val="24"/>
        </w:rPr>
        <w:fldChar w:fldCharType="end"/>
      </w:r>
      <w:r>
        <w:rPr>
          <w:rFonts w:ascii="Times" w:hAnsi="Times" w:cs="Times"/>
          <w:sz w:val="24"/>
          <w:szCs w:val="24"/>
        </w:rPr>
        <w:t xml:space="preserve"> KPFM signal can be modeled as a convolution of the intrinsic potential profile with the tip averaging function, typically in a Gaussian form, </w:t>
      </w:r>
      <m:oMath>
        <m:r>
          <m:rPr/>
          <w:rPr>
            <w:rFonts w:ascii="Cambria Math" w:hAnsi="Cambria Math" w:cs="Times"/>
            <w:sz w:val="24"/>
            <w:szCs w:val="24"/>
          </w:rPr>
          <m:t>f(x)∝</m:t>
        </m:r>
        <m:r>
          <m:rPr>
            <m:sty m:val="p"/>
          </m:rPr>
          <w:rPr>
            <w:rFonts w:ascii="Cambria Math" w:hAnsi="Cambria Math" w:cs="Times"/>
            <w:sz w:val="24"/>
            <w:szCs w:val="24"/>
          </w:rPr>
          <m:t>exp</m:t>
        </m:r>
        <m:r>
          <m:rPr/>
          <w:rPr>
            <w:rFonts w:ascii="Cambria Math" w:hAnsi="Cambria Math" w:cs="Times"/>
            <w:sz w:val="24"/>
            <w:szCs w:val="24"/>
          </w:rPr>
          <m:t>(</m:t>
        </m:r>
        <m:sSup>
          <m:sSupPr>
            <m:ctrlPr>
              <w:rPr>
                <w:rFonts w:ascii="Cambria Math" w:hAnsi="Cambria Math" w:cs="Times"/>
                <w:i/>
                <w:iCs/>
                <w:sz w:val="24"/>
                <w:szCs w:val="24"/>
              </w:rPr>
            </m:ctrlPr>
          </m:sSupPr>
          <m:e>
            <m:r>
              <m:rPr/>
              <w:rPr>
                <w:rFonts w:ascii="Cambria Math" w:hAnsi="Cambria Math" w:cs="Times"/>
                <w:sz w:val="24"/>
                <w:szCs w:val="24"/>
              </w:rPr>
              <m:t>x</m:t>
            </m:r>
            <m:ctrlPr>
              <w:rPr>
                <w:rFonts w:ascii="Cambria Math" w:hAnsi="Cambria Math" w:cs="Times"/>
                <w:i/>
                <w:iCs/>
                <w:sz w:val="24"/>
                <w:szCs w:val="24"/>
              </w:rPr>
            </m:ctrlPr>
          </m:e>
          <m:sup>
            <m:r>
              <m:rPr/>
              <w:rPr>
                <w:rFonts w:ascii="Cambria Math" w:hAnsi="Cambria Math" w:cs="Times"/>
                <w:sz w:val="24"/>
                <w:szCs w:val="24"/>
              </w:rPr>
              <m:t>2</m:t>
            </m:r>
            <m:ctrlPr>
              <w:rPr>
                <w:rFonts w:ascii="Cambria Math" w:hAnsi="Cambria Math" w:cs="Times"/>
                <w:i/>
                <w:iCs/>
                <w:sz w:val="24"/>
                <w:szCs w:val="24"/>
              </w:rPr>
            </m:ctrlPr>
          </m:sup>
        </m:sSup>
        <m:r>
          <m:rPr/>
          <w:rPr>
            <w:rFonts w:ascii="Cambria Math" w:hAnsi="Cambria Math" w:cs="Times"/>
            <w:sz w:val="24"/>
            <w:szCs w:val="24"/>
          </w:rPr>
          <m:t>/2</m:t>
        </m:r>
        <m:sSup>
          <m:sSupPr>
            <m:ctrlPr>
              <w:rPr>
                <w:rFonts w:ascii="Cambria Math" w:hAnsi="Cambria Math" w:cs="Times"/>
                <w:i/>
                <w:iCs/>
                <w:sz w:val="24"/>
                <w:szCs w:val="24"/>
              </w:rPr>
            </m:ctrlPr>
          </m:sSupPr>
          <m:e>
            <m:r>
              <m:rPr/>
              <w:rPr>
                <w:rFonts w:ascii="Cambria Math" w:hAnsi="Cambria Math" w:cs="Times"/>
                <w:sz w:val="24"/>
                <w:szCs w:val="24"/>
              </w:rPr>
              <m:t>σ</m:t>
            </m:r>
            <m:ctrlPr>
              <w:rPr>
                <w:rFonts w:ascii="Cambria Math" w:hAnsi="Cambria Math" w:cs="Times"/>
                <w:i/>
                <w:iCs/>
                <w:sz w:val="24"/>
                <w:szCs w:val="24"/>
              </w:rPr>
            </m:ctrlPr>
          </m:e>
          <m:sup>
            <m:r>
              <m:rPr/>
              <w:rPr>
                <w:rFonts w:ascii="Cambria Math" w:hAnsi="Cambria Math" w:cs="Times"/>
                <w:sz w:val="24"/>
                <w:szCs w:val="24"/>
              </w:rPr>
              <m:t>2</m:t>
            </m:r>
            <m:ctrlPr>
              <w:rPr>
                <w:rFonts w:ascii="Cambria Math" w:hAnsi="Cambria Math" w:cs="Times"/>
                <w:i/>
                <w:iCs/>
                <w:sz w:val="24"/>
                <w:szCs w:val="24"/>
              </w:rPr>
            </m:ctrlPr>
          </m:sup>
        </m:sSup>
        <m:r>
          <m:rPr/>
          <w:rPr>
            <w:rFonts w:ascii="Cambria Math" w:hAnsi="Cambria Math" w:cs="Times"/>
            <w:sz w:val="24"/>
            <w:szCs w:val="24"/>
          </w:rPr>
          <m:t>)</m:t>
        </m:r>
      </m:oMath>
      <w:r>
        <w:rPr>
          <w:rFonts w:ascii="Times" w:hAnsi="Times" w:cs="Times"/>
          <w:sz w:val="24"/>
          <w:szCs w:val="24"/>
        </w:rPr>
        <w:t xml:space="preserve">, with </w:t>
      </w:r>
      <m:oMath>
        <m:r>
          <m:rPr/>
          <w:rPr>
            <w:rFonts w:ascii="Cambria Math" w:hAnsi="Cambria Math" w:cs="Times"/>
            <w:sz w:val="24"/>
            <w:szCs w:val="24"/>
          </w:rPr>
          <m:t>σ</m:t>
        </m:r>
      </m:oMath>
      <w:r>
        <w:rPr>
          <w:rFonts w:ascii="Times" w:hAnsi="Times" w:cs="Times"/>
          <w:sz w:val="24"/>
          <w:szCs w:val="24"/>
        </w:rPr>
        <w:t xml:space="preserve"> determining the averaging extension. With optimization of the experimental parameters mentioned above, the best </w:t>
      </w:r>
      <m:oMath>
        <m:r>
          <m:rPr/>
          <w:rPr>
            <w:rFonts w:ascii="Cambria Math" w:hAnsi="Cambria Math" w:cs="Times"/>
            <w:sz w:val="24"/>
            <w:szCs w:val="24"/>
          </w:rPr>
          <m:t>σ</m:t>
        </m:r>
      </m:oMath>
      <w:r>
        <w:rPr>
          <w:rFonts w:ascii="Times" w:hAnsi="Times" w:cs="Times"/>
          <w:sz w:val="24"/>
          <w:szCs w:val="24"/>
        </w:rPr>
        <w:t xml:space="preserve"> that can be reached is in the range of tens of nanometers</w:t>
      </w:r>
      <w:r>
        <w:rPr>
          <w:rFonts w:ascii="Times" w:hAnsi="Times" w:cs="Times"/>
          <w:sz w:val="24"/>
          <w:szCs w:val="24"/>
        </w:rPr>
        <w:fldChar w:fldCharType="begin"/>
      </w:r>
      <w:r>
        <w:rPr>
          <w:rFonts w:ascii="Times" w:hAnsi="Times" w:cs="Times"/>
          <w:sz w:val="24"/>
          <w:szCs w:val="24"/>
        </w:rPr>
        <w:instrText xml:space="preserve"> ADDIN ZOTERO_ITEM CSL_CITATION {"citationID":"zXhRL0cG","properties":{"formattedCitation":"\\super 32\\uc0\\u8211{}34\\nosupersub{}","plainCitation":"32–34","noteIndex":0},"citationItems":[{"id":1904,"uris":["http://zotero.org/users/9383478/items/7THLCVFB"],"itemData":{"id":1904,"type":"article-journal","container-title":"Physical Review B","DOI":"10.1103/PhysRevB.71.125424","ISSN":"1098-0121, 1550-235X","issue":"12","journalAbbreviation":"Phys. Rev. B","language":"en","license":"http://link.aps.org/licenses/aps-default-license","page":"125424","source":"DOI.org (Crossref)","title":"Accuracy and resolution limits of Kelvin probe force microscopy","volume":"71","author":[{"family":"Zerweck","given":"Ulrich"},{"family":"Loppacher","given":"Christian"},{"family":"Otto","given":"Tobias"},{"family":"Grafström","given":"Stefan"},{"family":"Eng","given":"Lukas M."}],"issued":{"date-parts":[["2005",3,25]]}}},{"id":2625,"uris":["http://zotero.org/users/9383478/items/IS3D7PXT"],"itemData":{"id":2625,"type":"article-journal","container-title":"Accounts of Chemical Research","DOI":"10.1021/ar900247p","ISSN":"0001-4842, 1520-4898","issue":"4","journalAbbreviation":"Acc. Chem. Res.","language":"en","page":"541-550","source":"DOI.org (Crossref)","title":"Nanoscale Quantitative Measurement of the Potential of Charged Nanostructures by Electrostatic and Kelvin Probe Force Microscopy: Unraveling Electronic Processes in Complex Materials","title-short":"Nanoscale Quantitative Measurement of the Potential of Charged Nanostructures by Electrostatic and Kelvin Probe Force Microscopy","volume":"43","author":[{"family":"Liscio","given":"Andrea"},{"family":"Palermo","given":"Vincenzo"},{"family":"Samorì","given":"Paolo"}],"issued":{"date-parts":[["2010",4,20]]}}},{"id":2409,"uris":["http://zotero.org/users/9383478/items/8TXZQ5C3"],"itemData":{"id":2409,"type":"article-journal","abstract":"Inverted structure thin-ﬁlm organic solar cells (OSCs) are becoming increasingly important as they deliver higher power conversion eﬃciency and demonstrate better long-term stability than conventional devices. However, the energy band alignment and the built-in ﬁeld across the device, which are crucial in understanding the device operation, is yet to be directly characterized. Here we present a direct visualization of the energy level alignment in operando inverted structure poly(3-hexylthiophene) (P3HT): [6,6]-phenyl-C61-butyric acid methyl ester (PCBM) OSCs using cross-sectional scanning Kelvin probe microscopy. The raw data of measured energy level alignment appear to be inconsistent with each other, and sometimes can even be contradictory to the device polarity observed in current density-voltage measurements. It is identiﬁed to be caused by the tip/cantilever induced convolution eﬀect, which may severely mask abrupt energy level oﬀsets at the thin electrode interlayers. A numerical deconvolution method is devised to quantitatively recover the energy level alignment across the device, and reveals the non-uniform electric ﬁeld distribution in photoactive layer.","container-title":"Nano Energy","DOI":"10.1016/j.nanoen.2017.08.050","ISSN":"22112855","journalAbbreviation":"Nano Energy","language":"en","page":"454-461","source":"DOI.org (Crossref)","title":"Energy band alignment in operando inverted structure P3HT:PCBM organic solar cells","title-short":"Energy band alignment in operando inverted structure P3HT","volume":"40","author":[{"family":"Chen","given":"Qi"},{"family":"Ye","given":"Fengye"},{"family":"Lai","given":"Junqi"},{"family":"Dai","given":"Pan"},{"family":"Lu","given":"Shulong"},{"family":"Ma","given":"Changqi"},{"family":"Zhao","given":"Yanfei"},{"family":"Xie","given":"Yi"},{"family":"Chen","given":"Liwei"}],"issued":{"date-parts":[["2017",10]]}}}],"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32–34</w:t>
      </w:r>
      <w:r>
        <w:rPr>
          <w:rFonts w:ascii="Times" w:hAnsi="Times" w:cs="Times"/>
          <w:sz w:val="24"/>
          <w:szCs w:val="24"/>
        </w:rPr>
        <w:fldChar w:fldCharType="end"/>
      </w:r>
      <w:r>
        <w:rPr>
          <w:rFonts w:ascii="Times" w:hAnsi="Times" w:cs="Times"/>
          <w:sz w:val="24"/>
          <w:szCs w:val="24"/>
        </w:rPr>
        <w:t xml:space="preserve">. Therefore, the convolution will result in an underestimation of the real potential variation, especially for moiré domains with sizes close to or smaller than </w:t>
      </w:r>
      <m:oMath>
        <m:r>
          <m:rPr/>
          <w:rPr>
            <w:rFonts w:ascii="Cambria Math" w:hAnsi="Cambria Math" w:cs="Times"/>
            <w:sz w:val="24"/>
            <w:szCs w:val="24"/>
          </w:rPr>
          <m:t>σ</m:t>
        </m:r>
      </m:oMath>
      <w:r>
        <w:rPr>
          <w:rFonts w:ascii="Times" w:hAnsi="Times" w:cs="Times"/>
          <w:sz w:val="24"/>
          <w:szCs w:val="24"/>
        </w:rPr>
        <w:t>.</w:t>
      </w:r>
    </w:p>
    <w:p w14:paraId="6A979E9F">
      <w:pPr>
        <w:spacing w:after="0" w:line="480" w:lineRule="auto"/>
        <w:ind w:firstLine="204"/>
        <w:jc w:val="both"/>
        <w:rPr>
          <w:rFonts w:hint="default" w:ascii="Times" w:hAnsi="Times" w:cs="Times" w:eastAsiaTheme="minorEastAsia"/>
          <w:sz w:val="24"/>
          <w:szCs w:val="24"/>
          <w:lang w:val="en-US" w:eastAsia="zh-CN"/>
        </w:rPr>
      </w:pPr>
      <w:r>
        <w:rPr>
          <w:rFonts w:ascii="Times" w:hAnsi="Times" w:cs="Times"/>
          <w:sz w:val="24"/>
          <w:szCs w:val="24"/>
        </w:rPr>
        <w:t xml:space="preserve">This underestimation can be clearly seen in Figs. 4a and b, where two ideal potential profiles (red curves) are numerically convoluted with a Gaussian function </w:t>
      </w:r>
      <m:oMath>
        <m:sSup>
          <m:sSupPr>
            <m:ctrlPr>
              <w:rPr>
                <w:rFonts w:ascii="Cambria Math" w:hAnsi="Cambria Math" w:cs="Times"/>
                <w:i/>
                <w:iCs/>
                <w:sz w:val="24"/>
                <w:szCs w:val="24"/>
              </w:rPr>
            </m:ctrlPr>
          </m:sSupPr>
          <m:e>
            <m:r>
              <m:rPr/>
              <w:rPr>
                <w:rFonts w:ascii="Cambria Math" w:hAnsi="Cambria Math" w:cs="Times"/>
                <w:sz w:val="24"/>
                <w:szCs w:val="24"/>
              </w:rPr>
              <m:t>e</m:t>
            </m:r>
            <m:ctrlPr>
              <w:rPr>
                <w:rFonts w:ascii="Cambria Math" w:hAnsi="Cambria Math" w:cs="Times"/>
                <w:i/>
                <w:iCs/>
                <w:sz w:val="24"/>
                <w:szCs w:val="24"/>
              </w:rPr>
            </m:ctrlPr>
          </m:e>
          <m:sup>
            <m:r>
              <m:rPr/>
              <w:rPr>
                <w:rFonts w:ascii="Cambria Math" w:hAnsi="Cambria Math" w:cs="Times"/>
                <w:sz w:val="24"/>
                <w:szCs w:val="24"/>
              </w:rPr>
              <m:t>−</m:t>
            </m:r>
            <m:sSup>
              <m:sSupPr>
                <m:ctrlPr>
                  <w:rPr>
                    <w:rFonts w:ascii="Cambria Math" w:hAnsi="Cambria Math" w:cs="Times"/>
                    <w:i/>
                    <w:iCs/>
                    <w:sz w:val="24"/>
                    <w:szCs w:val="24"/>
                  </w:rPr>
                </m:ctrlPr>
              </m:sSupPr>
              <m:e>
                <m:r>
                  <m:rPr/>
                  <w:rPr>
                    <w:rFonts w:ascii="Cambria Math" w:hAnsi="Cambria Math" w:cs="Times"/>
                    <w:sz w:val="24"/>
                    <w:szCs w:val="24"/>
                  </w:rPr>
                  <m:t>x</m:t>
                </m:r>
                <m:ctrlPr>
                  <w:rPr>
                    <w:rFonts w:ascii="Cambria Math" w:hAnsi="Cambria Math" w:cs="Times"/>
                    <w:i/>
                    <w:iCs/>
                    <w:sz w:val="24"/>
                    <w:szCs w:val="24"/>
                  </w:rPr>
                </m:ctrlPr>
              </m:e>
              <m:sup>
                <m:r>
                  <m:rPr/>
                  <w:rPr>
                    <w:rFonts w:ascii="Cambria Math" w:hAnsi="Cambria Math" w:cs="Times"/>
                    <w:sz w:val="24"/>
                    <w:szCs w:val="24"/>
                  </w:rPr>
                  <m:t>2</m:t>
                </m:r>
                <m:ctrlPr>
                  <w:rPr>
                    <w:rFonts w:ascii="Cambria Math" w:hAnsi="Cambria Math" w:cs="Times"/>
                    <w:i/>
                    <w:iCs/>
                    <w:sz w:val="24"/>
                    <w:szCs w:val="24"/>
                  </w:rPr>
                </m:ctrlPr>
              </m:sup>
            </m:sSup>
            <m:r>
              <m:rPr/>
              <w:rPr>
                <w:rFonts w:ascii="Cambria Math" w:hAnsi="Cambria Math" w:cs="Times"/>
                <w:sz w:val="24"/>
                <w:szCs w:val="24"/>
              </w:rPr>
              <m:t>/2</m:t>
            </m:r>
            <m:sSup>
              <m:sSupPr>
                <m:ctrlPr>
                  <w:rPr>
                    <w:rFonts w:ascii="Cambria Math" w:hAnsi="Cambria Math" w:cs="Times"/>
                    <w:i/>
                    <w:iCs/>
                    <w:sz w:val="24"/>
                    <w:szCs w:val="24"/>
                  </w:rPr>
                </m:ctrlPr>
              </m:sSupPr>
              <m:e>
                <m:r>
                  <m:rPr/>
                  <w:rPr>
                    <w:rFonts w:ascii="Cambria Math" w:hAnsi="Cambria Math" w:cs="Times"/>
                    <w:sz w:val="24"/>
                    <w:szCs w:val="24"/>
                  </w:rPr>
                  <m:t>σ</m:t>
                </m:r>
                <m:ctrlPr>
                  <w:rPr>
                    <w:rFonts w:ascii="Cambria Math" w:hAnsi="Cambria Math" w:cs="Times"/>
                    <w:i/>
                    <w:iCs/>
                    <w:sz w:val="24"/>
                    <w:szCs w:val="24"/>
                  </w:rPr>
                </m:ctrlPr>
              </m:e>
              <m:sup>
                <m:r>
                  <m:rPr/>
                  <w:rPr>
                    <w:rFonts w:ascii="Cambria Math" w:hAnsi="Cambria Math" w:cs="Times"/>
                    <w:sz w:val="24"/>
                    <w:szCs w:val="24"/>
                  </w:rPr>
                  <m:t>2</m:t>
                </m:r>
                <m:ctrlPr>
                  <w:rPr>
                    <w:rFonts w:ascii="Cambria Math" w:hAnsi="Cambria Math" w:cs="Times"/>
                    <w:i/>
                    <w:iCs/>
                    <w:sz w:val="24"/>
                    <w:szCs w:val="24"/>
                  </w:rPr>
                </m:ctrlPr>
              </m:sup>
            </m:sSup>
            <m:ctrlPr>
              <w:rPr>
                <w:rFonts w:ascii="Cambria Math" w:hAnsi="Cambria Math" w:cs="Times"/>
                <w:i/>
                <w:iCs/>
                <w:sz w:val="24"/>
                <w:szCs w:val="24"/>
              </w:rPr>
            </m:ctrlPr>
          </m:sup>
        </m:sSup>
      </m:oMath>
      <w:r>
        <w:rPr>
          <w:rFonts w:ascii="Times" w:hAnsi="Times" w:cs="Times"/>
          <w:sz w:val="24"/>
          <w:szCs w:val="24"/>
        </w:rPr>
        <w:t xml:space="preserve"> to simulate the </w:t>
      </w:r>
      <w:r>
        <w:rPr>
          <w:rFonts w:hint="eastAsia" w:ascii="Times" w:hAnsi="Times" w:cs="Times"/>
          <w:sz w:val="24"/>
          <w:szCs w:val="24"/>
          <w:lang w:val="en-US" w:eastAsia="zh-CN"/>
        </w:rPr>
        <w:t>KPFM</w:t>
      </w:r>
      <w:r>
        <w:rPr>
          <w:rFonts w:ascii="Times" w:hAnsi="Times" w:cs="Times"/>
          <w:sz w:val="24"/>
          <w:szCs w:val="24"/>
        </w:rPr>
        <w:t xml:space="preserve"> measurement process. The </w:t>
      </w:r>
      <m:oMath>
        <m:r>
          <m:rPr/>
          <w:rPr>
            <w:rFonts w:ascii="Cambria Math" w:hAnsi="Cambria Math" w:cs="Times"/>
            <w:sz w:val="24"/>
            <w:szCs w:val="24"/>
          </w:rPr>
          <m:t>σ</m:t>
        </m:r>
      </m:oMath>
      <w:r>
        <w:rPr>
          <w:rFonts w:ascii="Times" w:hAnsi="Times" w:cs="Times"/>
          <w:sz w:val="24"/>
          <w:szCs w:val="24"/>
        </w:rPr>
        <w:t xml:space="preserve"> was chosen to be</w:t>
      </w:r>
      <m:oMath>
        <m:r>
          <m:rPr/>
          <w:rPr>
            <w:rFonts w:ascii="Cambria Math" w:hAnsi="Cambria Math" w:cs="Times"/>
            <w:sz w:val="24"/>
            <w:szCs w:val="24"/>
          </w:rPr>
          <m:t xml:space="preserve">122.5 </m:t>
        </m:r>
        <m:r>
          <m:rPr>
            <m:sty m:val="p"/>
          </m:rPr>
          <w:rPr>
            <w:rFonts w:ascii="Cambria Math" w:hAnsi="Cambria Math" w:cs="Times"/>
            <w:sz w:val="24"/>
            <w:szCs w:val="24"/>
          </w:rPr>
          <m:t>nm</m:t>
        </m:r>
      </m:oMath>
      <w:r>
        <w:rPr>
          <w:rFonts w:ascii="Times" w:hAnsi="Times" w:cs="Times"/>
          <w:sz w:val="24"/>
          <w:szCs w:val="24"/>
        </w:rPr>
        <w:t xml:space="preserve"> to mach with the experimental observation in Fig. 1c. For the narrower profile (Fig. 4a), the resulted potential profile (blue) is significantly lower than the ideal curve. By changing the width </w:t>
      </w:r>
      <m:oMath>
        <m:r>
          <m:rPr/>
          <w:rPr>
            <w:rFonts w:ascii="Cambria Math" w:hAnsi="Cambria Math" w:cs="Times"/>
            <w:sz w:val="24"/>
            <w:szCs w:val="24"/>
          </w:rPr>
          <m:t>d</m:t>
        </m:r>
      </m:oMath>
      <w:r>
        <w:rPr>
          <w:rFonts w:ascii="Times" w:hAnsi="Times" w:cs="Times"/>
          <w:sz w:val="24"/>
          <w:szCs w:val="24"/>
        </w:rPr>
        <w:t xml:space="preserve"> of the high potential region, the relationship between </w:t>
      </w:r>
      <m:oMath>
        <m:r>
          <m:rPr/>
          <w:rPr>
            <w:rFonts w:ascii="Cambria Math" w:hAnsi="Cambria Math" w:cs="Times"/>
            <w:sz w:val="24"/>
            <w:szCs w:val="24"/>
          </w:rPr>
          <m:t>d</m:t>
        </m:r>
      </m:oMath>
      <w:r>
        <w:rPr>
          <w:rFonts w:ascii="Times" w:hAnsi="Times" w:cs="Times"/>
          <w:sz w:val="24"/>
          <w:szCs w:val="24"/>
        </w:rPr>
        <w:t xml:space="preserve"> and the peak potential value </w:t>
      </w:r>
      <m:oMath>
        <m:r>
          <m:rPr>
            <m:sty m:val="p"/>
          </m:rPr>
          <w:rPr>
            <w:rFonts w:ascii="Cambria Math" w:hAnsi="Cambria Math" w:cs="Times"/>
            <w:sz w:val="24"/>
            <w:szCs w:val="24"/>
          </w:rPr>
          <m:t>Δ</m:t>
        </m:r>
        <m:r>
          <m:rPr/>
          <w:rPr>
            <w:rFonts w:ascii="Cambria Math" w:hAnsi="Cambria Math" w:cs="Times"/>
            <w:sz w:val="24"/>
            <w:szCs w:val="24"/>
          </w:rPr>
          <m:t>V</m:t>
        </m:r>
      </m:oMath>
      <w:r>
        <w:rPr>
          <w:rFonts w:ascii="Times" w:hAnsi="Times" w:cs="Times"/>
          <w:sz w:val="24"/>
          <w:szCs w:val="24"/>
        </w:rPr>
        <w:t xml:space="preserve"> after convolution is obtained (blue dots in Fig. 4c). </w:t>
      </w:r>
      <m:oMath>
        <m:r>
          <m:rPr>
            <m:sty m:val="p"/>
          </m:rPr>
          <w:rPr>
            <w:rFonts w:ascii="Cambria Math" w:hAnsi="Cambria Math" w:cs="Times"/>
            <w:sz w:val="24"/>
            <w:szCs w:val="24"/>
          </w:rPr>
          <m:t>Δ</m:t>
        </m:r>
        <m:r>
          <m:rPr/>
          <w:rPr>
            <w:rFonts w:ascii="Cambria Math" w:hAnsi="Cambria Math" w:cs="Times"/>
            <w:sz w:val="24"/>
            <w:szCs w:val="24"/>
          </w:rPr>
          <m:t>V</m:t>
        </m:r>
      </m:oMath>
      <w:r>
        <w:rPr>
          <w:rFonts w:ascii="Times" w:hAnsi="Times" w:cs="Times"/>
          <w:sz w:val="24"/>
          <w:szCs w:val="24"/>
        </w:rPr>
        <w:t xml:space="preserve"> increases with </w:t>
      </w:r>
      <m:oMath>
        <m:r>
          <m:rPr/>
          <w:rPr>
            <w:rFonts w:ascii="Cambria Math" w:hAnsi="Cambria Math" w:cs="Times"/>
            <w:sz w:val="24"/>
            <w:szCs w:val="24"/>
          </w:rPr>
          <m:t>d</m:t>
        </m:r>
      </m:oMath>
      <w:r>
        <w:rPr>
          <w:rFonts w:ascii="Times" w:hAnsi="Times" w:cs="Times"/>
          <w:sz w:val="24"/>
          <w:szCs w:val="24"/>
        </w:rPr>
        <w:t xml:space="preserve"> and finally reaches an asymptotic value close to the ideal potential height of 200 mV. Interestingly, this trend can also be well fitted by Eq. </w:t>
      </w:r>
      <w:r>
        <w:rPr>
          <w:rFonts w:ascii="Times" w:hAnsi="Times" w:cs="Times"/>
          <w:iCs/>
          <w:sz w:val="24"/>
          <w:szCs w:val="24"/>
        </w:rPr>
        <w:t xml:space="preserve">1 </w:t>
      </w:r>
      <w:r>
        <w:rPr>
          <w:rFonts w:ascii="Times" w:hAnsi="Times" w:cs="Times"/>
          <w:sz w:val="24"/>
          <w:szCs w:val="24"/>
        </w:rPr>
        <w:t>(orange line in Fig. 4c)</w:t>
      </w:r>
      <w:r>
        <w:rPr>
          <w:rFonts w:ascii="Times" w:hAnsi="Times" w:cs="Times"/>
          <w:iCs/>
          <w:sz w:val="24"/>
          <w:szCs w:val="24"/>
        </w:rPr>
        <w:t>. Therefore, KPFM data similar to those in Figs. 1b and c could not be straightforwardly taken as a measure of the intrinsic potential of the t-hBN.</w:t>
      </w:r>
      <w:r>
        <w:rPr>
          <w:rFonts w:hint="eastAsia" w:ascii="Times" w:hAnsi="Times" w:cs="Times"/>
          <w:iCs/>
          <w:sz w:val="24"/>
          <w:szCs w:val="24"/>
          <w:lang w:val="en-US" w:eastAsia="zh-CN"/>
        </w:rPr>
        <w:t xml:space="preserve"> To obtain a more reliable result for the small domains with the scanning potential microscopy technique, many precautions are needed (details can be found in Ref. 3).</w:t>
      </w:r>
    </w:p>
    <w:p w14:paraId="55AD38FD">
      <w:pPr>
        <w:spacing w:before="200" w:after="200" w:line="480" w:lineRule="auto"/>
        <w:jc w:val="both"/>
        <w:rPr>
          <w:rFonts w:ascii="Times New Roman" w:hAnsi="Times New Roman" w:cs="Times New Roman"/>
        </w:rPr>
      </w:pPr>
      <w:r>
        <w:rPr>
          <w:rFonts w:ascii="Times New Roman" w:hAnsi="Times New Roman" w:cs="Times New Roman"/>
        </w:rPr>
        <w:drawing>
          <wp:inline distT="0" distB="0" distL="114300" distR="114300">
            <wp:extent cx="5457190" cy="1587500"/>
            <wp:effectExtent l="0" t="0" r="10160" b="12700"/>
            <wp:docPr id="7" name="图片 7" descr="1572176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572176613"/>
                    <pic:cNvPicPr>
                      <a:picLocks noChangeAspect="1"/>
                    </pic:cNvPicPr>
                  </pic:nvPicPr>
                  <pic:blipFill>
                    <a:blip r:embed="rId9"/>
                    <a:stretch>
                      <a:fillRect/>
                    </a:stretch>
                  </pic:blipFill>
                  <pic:spPr>
                    <a:xfrm>
                      <a:off x="0" y="0"/>
                      <a:ext cx="5457190" cy="1587500"/>
                    </a:xfrm>
                    <a:prstGeom prst="rect">
                      <a:avLst/>
                    </a:prstGeom>
                  </pic:spPr>
                </pic:pic>
              </a:graphicData>
            </a:graphic>
          </wp:inline>
        </w:drawing>
      </w:r>
    </w:p>
    <w:p w14:paraId="71702C15">
      <w:pPr>
        <w:spacing w:after="200" w:line="480" w:lineRule="auto"/>
        <w:jc w:val="both"/>
        <w:rPr>
          <w:rFonts w:ascii="Times" w:hAnsi="Times" w:cs="Times"/>
          <w:sz w:val="24"/>
          <w:szCs w:val="24"/>
        </w:rPr>
      </w:pPr>
      <w:r>
        <w:rPr>
          <w:rFonts w:ascii="Times" w:hAnsi="Times" w:cs="Times"/>
          <w:b/>
          <w:bCs/>
          <w:sz w:val="24"/>
          <w:szCs w:val="24"/>
        </w:rPr>
        <w:t>Figure 4. Numerical calculation to show the effect of convolution.</w:t>
      </w:r>
      <w:r>
        <w:rPr>
          <w:rFonts w:ascii="Times" w:hAnsi="Times" w:cs="Times"/>
          <w:sz w:val="24"/>
          <w:szCs w:val="24"/>
        </w:rPr>
        <w:t xml:space="preserve"> </w:t>
      </w:r>
      <w:r>
        <w:rPr>
          <w:rFonts w:ascii="Times" w:hAnsi="Times" w:cs="Times"/>
          <w:b/>
          <w:bCs/>
          <w:sz w:val="24"/>
          <w:szCs w:val="24"/>
        </w:rPr>
        <w:t>a</w:t>
      </w:r>
      <w:r>
        <w:rPr>
          <w:rFonts w:ascii="Times" w:hAnsi="Times" w:cs="Times"/>
          <w:sz w:val="24"/>
          <w:szCs w:val="24"/>
        </w:rPr>
        <w:t xml:space="preserve">, </w:t>
      </w:r>
      <w:r>
        <w:rPr>
          <w:rFonts w:ascii="Times" w:hAnsi="Times" w:cs="Times"/>
          <w:b/>
          <w:bCs/>
          <w:sz w:val="24"/>
          <w:szCs w:val="24"/>
        </w:rPr>
        <w:t>b</w:t>
      </w:r>
      <w:r>
        <w:rPr>
          <w:rFonts w:ascii="Times" w:hAnsi="Times" w:cs="Times"/>
          <w:sz w:val="24"/>
          <w:szCs w:val="24"/>
        </w:rPr>
        <w:t xml:space="preserve"> Ideal potential profiles (red curves) and those after convolution (blue curves). </w:t>
      </w:r>
      <w:r>
        <w:rPr>
          <w:rFonts w:ascii="Times" w:hAnsi="Times" w:cs="Times"/>
          <w:b/>
          <w:bCs/>
          <w:sz w:val="24"/>
          <w:szCs w:val="24"/>
        </w:rPr>
        <w:t>c</w:t>
      </w:r>
      <w:r>
        <w:rPr>
          <w:rFonts w:ascii="Times" w:hAnsi="Times" w:cs="Times"/>
          <w:sz w:val="24"/>
          <w:szCs w:val="24"/>
        </w:rPr>
        <w:t xml:space="preserve"> Numerically calculated </w:t>
      </w:r>
      <m:oMath>
        <m:r>
          <m:rPr>
            <m:sty m:val="p"/>
          </m:rPr>
          <w:rPr>
            <w:rFonts w:ascii="Cambria Math" w:hAnsi="Cambria Math" w:cs="Times"/>
            <w:sz w:val="24"/>
            <w:szCs w:val="24"/>
          </w:rPr>
          <m:t>Δ</m:t>
        </m:r>
        <m:r>
          <m:rPr/>
          <w:rPr>
            <w:rFonts w:ascii="Cambria Math" w:hAnsi="Cambria Math" w:cs="Times"/>
            <w:sz w:val="24"/>
            <w:szCs w:val="24"/>
          </w:rPr>
          <m:t>V</m:t>
        </m:r>
      </m:oMath>
      <w:r>
        <w:rPr>
          <w:rFonts w:ascii="Times" w:hAnsi="Times" w:cs="Times"/>
          <w:sz w:val="24"/>
          <w:szCs w:val="24"/>
        </w:rPr>
        <w:t xml:space="preserve"> as a function of the width </w:t>
      </w:r>
      <m:oMath>
        <m:r>
          <m:rPr/>
          <w:rPr>
            <w:rFonts w:ascii="Cambria Math" w:hAnsi="Cambria Math" w:cs="Times"/>
            <w:sz w:val="24"/>
            <w:szCs w:val="24"/>
          </w:rPr>
          <m:t>d</m:t>
        </m:r>
      </m:oMath>
      <w:r>
        <w:rPr>
          <w:rFonts w:ascii="Times" w:hAnsi="Times" w:cs="Times"/>
          <w:sz w:val="24"/>
          <w:szCs w:val="24"/>
        </w:rPr>
        <w:t xml:space="preserve"> (blue dots). The orange curve is a fitting with Eq. 1.</w:t>
      </w:r>
    </w:p>
    <w:p w14:paraId="77580A3A">
      <w:pPr>
        <w:spacing w:after="0" w:line="480" w:lineRule="auto"/>
        <w:ind w:firstLine="204"/>
        <w:jc w:val="both"/>
        <w:rPr>
          <w:rFonts w:hint="default" w:ascii="Times" w:hAnsi="Times" w:cs="Times" w:eastAsiaTheme="minorEastAsia"/>
          <w:sz w:val="24"/>
          <w:szCs w:val="24"/>
          <w:lang w:val="en-US" w:eastAsia="zh-CN"/>
        </w:rPr>
      </w:pPr>
      <w:r>
        <w:rPr>
          <w:rFonts w:ascii="Times" w:hAnsi="Times" w:cs="Times"/>
          <w:sz w:val="24"/>
          <w:szCs w:val="24"/>
        </w:rPr>
        <w:t xml:space="preserve">Through the CMSTM study, we have established that the moiré potential is independent of the moiré size in t-hBN. Presumably this behavior also holds for other 2D sliding ferroelectric materials due to the similar origin of polarization. Although KPFM may not be able to accurately measure the moiré potential for domains with sizes comparable to the tip averaging function width, when the moiré size is large enough, KPFM can be a facile and accurate method. From the data in Fig. 1c, </w:t>
      </w:r>
      <m:oMath>
        <m:r>
          <m:rPr>
            <m:sty m:val="p"/>
          </m:rPr>
          <w:rPr>
            <w:rFonts w:ascii="Cambria Math" w:hAnsi="Cambria Math" w:cs="Times"/>
            <w:sz w:val="24"/>
            <w:szCs w:val="24"/>
          </w:rPr>
          <m:t>Δ</m:t>
        </m:r>
        <m:r>
          <m:rPr/>
          <w:rPr>
            <w:rFonts w:ascii="Cambria Math" w:hAnsi="Cambria Math" w:cs="Times"/>
            <w:sz w:val="24"/>
            <w:szCs w:val="24"/>
          </w:rPr>
          <m:t>V</m:t>
        </m:r>
      </m:oMath>
      <w:r>
        <w:rPr>
          <w:rFonts w:ascii="Times" w:hAnsi="Times" w:cs="Times"/>
          <w:sz w:val="24"/>
          <w:szCs w:val="24"/>
        </w:rPr>
        <w:t xml:space="preserve"> in t-hBN can be read as ~200 mV. This value corresponds to a net polarization of ~ 1.8 pC/m, in agreement with the theoretical prediction</w:t>
      </w:r>
      <w:r>
        <w:rPr>
          <w:rFonts w:ascii="Times" w:hAnsi="Times" w:cs="Times"/>
          <w:color w:val="FF0000"/>
          <w:sz w:val="24"/>
          <w:szCs w:val="24"/>
        </w:rPr>
        <w:fldChar w:fldCharType="begin"/>
      </w:r>
      <w:r>
        <w:rPr>
          <w:rFonts w:ascii="Times" w:hAnsi="Times" w:cs="Times"/>
          <w:color w:val="FF0000"/>
          <w:sz w:val="24"/>
          <w:szCs w:val="24"/>
        </w:rPr>
        <w:instrText xml:space="preserve"> ADDIN ZOTERO_ITEM CSL_CITATION {"citationID":"xMEMxBRk","properties":{"formattedCitation":"\\super 1\\nosupersub{}","plainCitation":"1","noteIndex":0},"citationItems":[{"id":47,"uris":["http://zotero.org/users/9383478/items/2WD5X9KW"],"itemData":{"id":47,"type":"article-journal","abstract":"Vertical ferroelectricity in two-dimensional (2D) materials is desirable for high-density data storage without quantum tunneling or high power consumption/dissipation, which still remains elusive due to the surface-depolarizing field. Herein, we report the first-principles evidence of 2D vertical ferroelectricity induced by interlayer translation, which exists extensively in the graphitic bilayer of BN, AlN, ZnO, MoS2, GaSe, etc.; the bilayer of some 2D ferromagnets like MXene, VS2, and MoN2 can be even multiferroics with switchable magnetizations upon ferroelectric switching, rendering efficient reading and writing for high-density data storage. In particular, the electromechanical coupling between interlayer translation and potential can be used to drive the flow of electrons as nanogenerators for harvesting energy from human activities, ocean waves, mechanical vibration, etc. A ferroelectric superlattice with spatial varying potential can be formed in a bilayer Moire pattern upon a small twist or strain, making it possible to generate periodic n/p doped-domains and shape the periodicity of the potential energy landscape. Finally, some of their multilayer counterparts with wurtzite structures like a ZnO multilayer are revealed to exhibit another type of vertical ferroelectricity with greatly enhanced polarizations.","container-title":"ACS Nano","DOI":"10.1021/acsnano.7b02756","ISSN":"1936-0851","issue":"6","journalAbbreviation":"ACS Nano","note":"publisher: American Chemical Society","page":"6382-6388","source":"ACS Publications","title":"Binary Compound Bilayer and Multilayer with Vertical Polarizations: Two-Dimensional Ferroelectrics, Multiferroics, and Nanogenerators","title-short":"Binary Compound Bilayer and Multilayer with Vertical Polarizations","volume":"11","author":[{"family":"Li","given":"Lei"},{"family":"Wu","given":"Menghao"}],"issued":{"date-parts":[["2017",6,27]]}}}],"schema":"https://github.com/citation-style-language/schema/raw/master/csl-citation.json"} </w:instrText>
      </w:r>
      <w:r>
        <w:rPr>
          <w:rFonts w:ascii="Times" w:hAnsi="Times" w:cs="Times"/>
          <w:color w:val="FF0000"/>
          <w:sz w:val="24"/>
          <w:szCs w:val="24"/>
        </w:rPr>
        <w:fldChar w:fldCharType="separate"/>
      </w:r>
      <w:r>
        <w:rPr>
          <w:rFonts w:ascii="Times" w:hAnsi="Times" w:cs="Times"/>
          <w:kern w:val="0"/>
          <w:sz w:val="24"/>
          <w:szCs w:val="24"/>
          <w:vertAlign w:val="superscript"/>
        </w:rPr>
        <w:t>1</w:t>
      </w:r>
      <w:r>
        <w:rPr>
          <w:rFonts w:ascii="Times" w:hAnsi="Times" w:cs="Times"/>
          <w:color w:val="FF0000"/>
          <w:sz w:val="24"/>
          <w:szCs w:val="24"/>
        </w:rPr>
        <w:fldChar w:fldCharType="end"/>
      </w:r>
      <w:r>
        <w:rPr>
          <w:rFonts w:ascii="Times" w:hAnsi="Times" w:cs="Times"/>
          <w:color w:val="FF0000"/>
          <w:sz w:val="24"/>
          <w:szCs w:val="24"/>
        </w:rPr>
        <w:t xml:space="preserve"> </w:t>
      </w:r>
      <w:r>
        <w:rPr>
          <w:rFonts w:ascii="Times" w:hAnsi="Times" w:cs="Times"/>
          <w:sz w:val="24"/>
          <w:szCs w:val="24"/>
        </w:rPr>
        <w:t xml:space="preserve">(see the </w:t>
      </w:r>
      <w:r>
        <w:rPr>
          <w:rFonts w:hint="eastAsia" w:ascii="Times" w:hAnsi="Times" w:cs="Times"/>
          <w:sz w:val="24"/>
          <w:szCs w:val="24"/>
          <w:lang w:eastAsia="zh-CN"/>
        </w:rPr>
        <w:t>Supporting</w:t>
      </w:r>
      <w:r>
        <w:rPr>
          <w:rFonts w:ascii="Times" w:hAnsi="Times" w:cs="Times"/>
          <w:sz w:val="24"/>
          <w:szCs w:val="24"/>
        </w:rPr>
        <w:t xml:space="preserve"> Information for the calculation). Since sliding ferroelectricity in TMDs is also attracting broad interests</w:t>
      </w:r>
      <w:r>
        <w:rPr>
          <w:rFonts w:ascii="Times" w:hAnsi="Times" w:cs="Times"/>
          <w:sz w:val="24"/>
          <w:szCs w:val="24"/>
        </w:rPr>
        <w:fldChar w:fldCharType="begin"/>
      </w:r>
      <w:r>
        <w:rPr>
          <w:rFonts w:ascii="Times" w:hAnsi="Times" w:cs="Times"/>
          <w:sz w:val="24"/>
          <w:szCs w:val="24"/>
        </w:rPr>
        <w:instrText xml:space="preserve"> ADDIN ZOTERO_ITEM CSL_CITATION {"citationID":"lIscuaDC","properties":{"formattedCitation":"\\super 5\\uc0\\u8211{}7,20,21,35\\nosupersub{}","plainCitation":"5–7,20,21,35","noteIndex":0},"citationItems":[{"id":2544,"uris":["http://zotero.org/users/9383478/items/S3HM5TT5"],"itemData":{"id":2544,"type":"article-journal","container-title":"Nature Nanotechnology","DOI":"10.1038/s41565-021-01059-z","ISSN":"1748-3387, 1748-3395","issue":"4","journalAbbreviation":"Nat. Nanotechnol.","language":"en","page":"367-371","source":"DOI.org (Crossref)","title":"Interfacial ferroelectricity in rhombohedral-stacked bilayer transition metal dichalcogenides","volume":"17","author":[{"family":"Wang","given":"Xirui"},{"family":"Yasuda","given":"Kenji"},{"family":"Zhang","given":"Yang"},{"family":"Liu","given":"Song"},{"family":"Watanabe","given":"Kenji"},{"family":"Taniguchi","given":"Takashi"},{"family":"Hone","given":"James"},{"family":"Fu","given":"Liang"},{"family":"Jarillo-Herrero","given":"Pablo"}],"issued":{"date-parts":[["2022",4]]}}},{"id":2547,"uris":["http://zotero.org/users/9383478/items/WD7UI666"],"itemData":{"id":2547,"type":"article-journal","abstract":"Abstract\n            \n              Twisted heterostructures of two-dimensional crystals offer almost unlimited scope for the design of new metamaterials. Here we demonstrate a room temperature ferroelectric semiconductor that is assembled using mono- or few-layer MoS\n              2\n              . These van der Waals heterostructures feature broken inversion symmetry, which, together with the asymmetry of atomic arrangement at the interface of two 2D crystals, enables ferroelectric domains with alternating out-of-plane polarization arranged into a twist-controlled network. The last can be moved by applying out-of-plane electrical fields, as visualized in situ using channelling contrast electron microscopy. The observed interfacial charge transfer, movement of domain walls and their bending rigidity agree well with theoretical calculations. Furthermore, we demonstrate proof-of-principle field-effect transistors, where the channel resistance exhibits a pronounced hysteresis governed by pinning of ferroelectric domain walls. Our results show a potential avenue towards room temperature electronic and optoelectronic semiconductor devices with built-in ferroelectric memory functions.","container-title":"Nature Nanotechnology","DOI":"10.1038/s41565-022-01072-w","ISSN":"1748-3387, 1748-3395","issue":"4","journalAbbreviation":"Nat. Nanotechnol.","language":"en","page":"390-395","source":"DOI.org (Crossref)","title":"Interfacial ferroelectricity in marginally twisted 2D semiconductors","volume":"17","author":[{"family":"Weston","given":"Astrid"},{"family":"Castanon","given":"Eli G."},{"family":"Enaldiev","given":"Vladimir"},{"family":"Ferreira","given":"Fábio"},{"family":"Bhattacharjee","given":"Shubhadeep"},{"family":"Xu","given":"Shuigang"},{"family":"Corte-León","given":"Héctor"},{"family":"Wu","given":"Zefei"},{"family":"Clark","given":"Nicholas"},{"family":"Summerfield","given":"Alex"},{"family":"Hashimoto","given":"Teruo"},{"family":"Gao","given":"Yunze"},{"family":"Wang","given":"Wendong"},{"family":"Hamer","given":"Matthew"},{"family":"Read","given":"Harriet"},{"family":"Fumagalli","given":"Laura"},{"family":"Kretinin","given":"Andrey V."},{"family":"Haigh","given":"Sarah J."},{"family":"Kazakova","given":"Olga"},{"family":"Geim","given":"A. K."},{"family":"Fal’ko","given":"Vladimir I."},{"family":"Gorbachev","given":"Roman"}],"issued":{"date-parts":[["2022",4]]}}},{"id":2541,"uris":["http://zotero.org/users/9383478/items/W3I7H5Q8"],"itemData":{"id":2541,"type":"article-journal","container-title":"Nature Materials","DOI":"10.1038/s41563-023-01595-0","ISSN":"1476-1122, 1476-4660","issue":"8","journalAbbreviation":"Nat. Mater.","language":"en","page":"992-998","source":"DOI.org (Crossref)","title":"Operando electron microscopy investigation of polar domain dynamics in twisted van der Waals homobilayers","volume":"22","author":[{"family":"Ko","given":"Kahyun"},{"family":"Yuk","given":"Ayoung"},{"family":"Engelke","given":"Rebecca"},{"family":"Carr","given":"Stephen"},{"family":"Kim","given":"Junhyung"},{"family":"Park","given":"Daesung"},{"family":"Heo","given":"Hoseok"},{"family":"Kim","given":"Hyun-Mi"},{"family":"Kim","given":"Seul-Gi"},{"family":"Kim","given":"Hyeongkeun"},{"family":"Taniguchi","given":"Takashi"},{"family":"Watanabe","given":"Kenji"},{"family":"Park","given":"Hongkun"},{"family":"Kaxiras","given":"Efthimios"},{"family":"Yang","given":"Sang Mo"},{"family":"Kim","given":"Philip"},{"family":"Yoo","given":"Hyobin"}],"issued":{"date-parts":[["2023",8]]}}},{"id":2585,"uris":["http://zotero.org/users/9383478/items/WTM98KRX"],"itemData":{"id":2585,"type":"article-journal","abstract":"Abstract\n            \n              Ferroelectricity, a spontaneous and reversible electric polarization, is found in certain classes of van der Waals (vdW) materials. The discovery of ferroelectricity in twisted vdW layers provides new opportunities to engineer spatially dependent electric and optical properties associated with the configuration of moiré superlattice domains and the network of domain walls. Here, we employ near-field infrared nano-imaging and nano-photocurrent measurements to study ferroelectricity in minimally twisted WSe\n              2\n              . The ferroelectric domains are visualized through the imaging of the plasmonic response in a graphene monolayer adjacent to the moiré WSe\n              2\n              bilayers. Specifically, we find that the ferroelectric polarization in moiré domains is imprinted on the plasmonic response of the graphene. Complementary nano-photocurrent measurements demonstrate that the optoelectronic properties of graphene are also modulated by the proximal ferroelectric domains. Our approach represents an alternative strategy for studying moiré ferroelectricity at native length scales and opens promising prospects for (opto)electronic devices.","container-title":"Nature Communications","DOI":"10.1038/s41467-023-41773-x","ISSN":"2041-1723","issue":"1","journalAbbreviation":"Nat Commun","language":"en","page":"6200","source":"DOI.org (Crossref)","title":"Visualizing moiré ferroelectricity via plasmons and nano-photocurrent in graphene/twisted-WSe&lt;sub&gt;2&lt;/sub&gt; structures","volume":"14","author":[{"family":"Zhang","given":"Shuai"},{"family":"Liu","given":"Yang"},{"family":"Sun","given":"Zhiyuan"},{"family":"Chen","given":"Xinzhong"},{"family":"Li","given":"Baichang"},{"family":"Moore","given":"S. L."},{"family":"Liu","given":"Song"},{"family":"Wang","given":"Zhiying"},{"family":"Rossi","given":"S. E."},{"family":"Jing","given":"Ran"},{"family":"Fonseca","given":"Jordan"},{"family":"Yang","given":"Birui"},{"family":"Shao","given":"Yinming"},{"family":"Huang","given":"Chun-Ying"},{"family":"Handa","given":"Taketo"},{"family":"Xiong","given":"Lin"},{"family":"Fu","given":"Matthew"},{"family":"Pan","given":"Tsai-Chun"},{"family":"Halbertal","given":"Dorri"},{"family":"Xu","given":"Xinyi"},{"family":"Zheng","given":"Wenjun"},{"family":"Schuck","given":"P. J."},{"family":"Pasupathy","given":"A. N."},{"family":"Dean","given":"C. R."},{"family":"Zhu","given":"Xiaoyang"},{"family":"Cobden","given":"David H."},{"family":"Xu","given":"Xiaodong"},{"family":"Liu","given":"Mengkun"},{"family":"Fogler","given":"M. M."},{"family":"Hone","given":"James C."},{"family":"Basov","given":"D. N."}],"issued":{"date-parts":[["2023",10,4]]}}},{"id":2520,"uris":["http://zotero.org/users/9383478/items/RIDKE7ED"],"itemData":{"id":2520,"type":"article-journal","container-title":"Nature Communications","DOI":"10.1038/s41467-024-53440-w","ISSN":"2041-1723","issue":"1","journalAbbreviation":"Nat Commun","language":"en","page":"9087","source":"DOI.org (Crossref)","title":"Engineering band structures of two-dimensional materials with remote moiré ferroelectricity","volume":"15","author":[{"family":"Ding","given":"Jing"},{"family":"Xiang","given":"Hanxiao"},{"family":"Zhou","given":"Wenqiang"},{"family":"Liu","given":"Naitian"},{"family":"Chen","given":"Qianmei"},{"family":"Fang","given":"Xinjie"},{"family":"Wang","given":"Kangyu"},{"family":"Wu","given":"Linfeng"},{"family":"Watanabe","given":"Kenji"},{"family":"Taniguchi","given":"Takashi"},{"family":"Xin","given":"Na"},{"family":"Xu","given":"Shuigang"}],"issued":{"date-parts":[["2024",10,21]]}}},{"id":2597,"uris":["http://zotero.org/users/9383478/items/AD326RPX"],"itemData":{"id":2597,"type":"article-journal","abstract":"Two-dimensional semiconducting ferroelectrics can enable new technology for low-energy electronic switching. However, conventional ferroelectric materials are usually electrically insulating and suﬀer from severe depolarization eﬀects when downscaled to atomic thickness. Following recent work, we show that robust ferroelectricity can be obtained from nonferroelectric semiconducting 2H-WSe2 by creating R-stacked bilayers with broken inversion symmetry. Here, we identify that the phase transition order of this artiﬁcial ferroelectric heterostructure is ﬁrstorder, with a discontinuous jump in the order parameter across the phase transition temperature. The Curie temperature has been experimentally determined as 353 K. Using the Landau-Devonshire theory, we further determine the Curie−Weiss temperatures to be 351.2 K. We additionally demonstrate the robustness of this artiﬁcial ferroelectric material using consecutive polarization measurements, where no appreciable deterioration was detected.","container-title":"Nano Letters","DOI":"10.1021/acs.nanolett.1c04467","ISSN":"1530-6984, 1530-6992","issue":"3","journalAbbreviation":"Nano Lett.","language":"en","license":"https://doi.org/10.15223/policy-029","page":"1265-1269","source":"DOI.org (Crossref)","title":"Identifying the Transition Order in an Artificial Ferroelectric van der Waals Heterostructure","volume":"22","author":[{"family":"Liu","given":"Yang"},{"family":"Liu","given":"Song"},{"family":"Li","given":"Baichang"},{"family":"Yoo","given":"Won Jong"},{"family":"Hone","given":"James"}],"issued":{"date-parts":[["2022",2,9]]}}}],"schema":"https://github.com/citation-style-language/schema/raw/master/csl-citation.json"}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5–7,20,21,35</w:t>
      </w:r>
      <w:r>
        <w:rPr>
          <w:rFonts w:ascii="Times" w:hAnsi="Times" w:cs="Times"/>
          <w:sz w:val="24"/>
          <w:szCs w:val="24"/>
        </w:rPr>
        <w:fldChar w:fldCharType="end"/>
      </w:r>
      <w:r>
        <w:rPr>
          <w:rFonts w:ascii="Times" w:hAnsi="Times" w:cs="Times"/>
          <w:sz w:val="24"/>
          <w:szCs w:val="24"/>
        </w:rPr>
        <w:t>, it is worthwhile to compare them with the t-hBN. Representative KPFM measurements of twisted MoS</w:t>
      </w:r>
      <w:r>
        <w:rPr>
          <w:rFonts w:ascii="Times" w:hAnsi="Times" w:cs="Times"/>
          <w:sz w:val="24"/>
          <w:szCs w:val="24"/>
          <w:vertAlign w:val="subscript"/>
        </w:rPr>
        <w:t>2</w:t>
      </w:r>
      <w:r>
        <w:rPr>
          <w:rFonts w:ascii="Times" w:hAnsi="Times" w:cs="Times"/>
          <w:sz w:val="24"/>
          <w:szCs w:val="24"/>
        </w:rPr>
        <w:t xml:space="preserve"> bilayer (t-MoS</w:t>
      </w:r>
      <w:r>
        <w:rPr>
          <w:rFonts w:ascii="Times" w:hAnsi="Times" w:cs="Times"/>
          <w:sz w:val="24"/>
          <w:szCs w:val="24"/>
          <w:vertAlign w:val="subscript"/>
        </w:rPr>
        <w:t>2</w:t>
      </w:r>
      <w:r>
        <w:rPr>
          <w:rFonts w:ascii="Times" w:hAnsi="Times" w:cs="Times"/>
          <w:sz w:val="24"/>
          <w:szCs w:val="24"/>
        </w:rPr>
        <w:t>) and MoSe</w:t>
      </w:r>
      <w:r>
        <w:rPr>
          <w:rFonts w:ascii="Times" w:hAnsi="Times" w:cs="Times"/>
          <w:sz w:val="24"/>
          <w:szCs w:val="24"/>
          <w:vertAlign w:val="subscript"/>
        </w:rPr>
        <w:t>2</w:t>
      </w:r>
      <w:r>
        <w:rPr>
          <w:rFonts w:ascii="Times" w:hAnsi="Times" w:cs="Times"/>
          <w:sz w:val="24"/>
          <w:szCs w:val="24"/>
        </w:rPr>
        <w:t xml:space="preserve"> bilayer (t-MoSe</w:t>
      </w:r>
      <w:r>
        <w:rPr>
          <w:rFonts w:ascii="Times" w:hAnsi="Times" w:cs="Times"/>
          <w:sz w:val="24"/>
          <w:szCs w:val="24"/>
          <w:vertAlign w:val="subscript"/>
        </w:rPr>
        <w:t>2</w:t>
      </w:r>
      <w:r>
        <w:rPr>
          <w:rFonts w:ascii="Times" w:hAnsi="Times" w:cs="Times"/>
          <w:sz w:val="24"/>
          <w:szCs w:val="24"/>
        </w:rPr>
        <w:t xml:space="preserve">) are shown in Figs. 5a and b, respectively. Moiré patterns with characteristic lengths ranging from ~50 nm to 2.2 μm have been observed. </w:t>
      </w:r>
      <w:bookmarkStart w:id="0" w:name="_Hlk187399077"/>
      <w:r>
        <w:rPr>
          <w:rFonts w:ascii="Times" w:hAnsi="Times" w:cs="Times"/>
          <w:sz w:val="24"/>
          <w:szCs w:val="24"/>
        </w:rPr>
        <w:t xml:space="preserve">A fitting method similar to the one used to get Fig. 1c (see the </w:t>
      </w:r>
      <w:r>
        <w:rPr>
          <w:rFonts w:hint="eastAsia" w:ascii="Times" w:hAnsi="Times" w:cs="Times"/>
          <w:sz w:val="24"/>
          <w:szCs w:val="24"/>
          <w:lang w:eastAsia="zh-CN"/>
        </w:rPr>
        <w:t>Supporting</w:t>
      </w:r>
      <w:r>
        <w:rPr>
          <w:rFonts w:ascii="Times" w:hAnsi="Times" w:cs="Times"/>
          <w:sz w:val="24"/>
          <w:szCs w:val="24"/>
        </w:rPr>
        <w:t xml:space="preserve"> Information for details) yields the relationship between </w:t>
      </w:r>
      <m:oMath>
        <m:r>
          <m:rPr>
            <m:sty m:val="p"/>
          </m:rPr>
          <w:rPr>
            <w:rFonts w:ascii="Cambria Math" w:hAnsi="Cambria Math" w:cs="Times"/>
            <w:sz w:val="24"/>
            <w:szCs w:val="24"/>
          </w:rPr>
          <m:t>Δ</m:t>
        </m:r>
        <m:r>
          <m:rPr/>
          <w:rPr>
            <w:rFonts w:ascii="Cambria Math" w:hAnsi="Cambria Math" w:cs="Times"/>
            <w:sz w:val="24"/>
            <w:szCs w:val="24"/>
          </w:rPr>
          <m:t>V</m:t>
        </m:r>
      </m:oMath>
      <w:r>
        <w:rPr>
          <w:rFonts w:ascii="Times" w:hAnsi="Times" w:cs="Times"/>
          <w:sz w:val="24"/>
          <w:szCs w:val="24"/>
        </w:rPr>
        <w:t xml:space="preserve"> and </w:t>
      </w:r>
      <m:oMath>
        <m:sSub>
          <m:sSubPr>
            <m:ctrlPr>
              <w:rPr>
                <w:rFonts w:ascii="Cambria Math" w:hAnsi="Cambria Math" w:cs="Times"/>
                <w:i/>
                <w:sz w:val="24"/>
                <w:szCs w:val="24"/>
              </w:rPr>
            </m:ctrlPr>
          </m:sSubPr>
          <m:e>
            <m:r>
              <m:rPr/>
              <w:rPr>
                <w:rFonts w:ascii="Cambria Math" w:hAnsi="Cambria Math" w:cs="Times"/>
                <w:sz w:val="24"/>
                <w:szCs w:val="24"/>
              </w:rPr>
              <m:t>L</m:t>
            </m:r>
            <m:ctrlPr>
              <w:rPr>
                <w:rFonts w:ascii="Cambria Math" w:hAnsi="Cambria Math" w:cs="Times"/>
                <w:i/>
                <w:sz w:val="24"/>
                <w:szCs w:val="24"/>
              </w:rPr>
            </m:ctrlPr>
          </m:e>
          <m:sub>
            <m:r>
              <m:rPr>
                <m:sty m:val="p"/>
              </m:rPr>
              <w:rPr>
                <w:rFonts w:ascii="Cambria Math" w:hAnsi="Cambria Math" w:cs="Times"/>
                <w:sz w:val="24"/>
                <w:szCs w:val="24"/>
              </w:rPr>
              <m:t>c</m:t>
            </m:r>
            <m:ctrlPr>
              <w:rPr>
                <w:rFonts w:ascii="Cambria Math" w:hAnsi="Cambria Math" w:cs="Times"/>
                <w:i/>
                <w:sz w:val="24"/>
                <w:szCs w:val="24"/>
              </w:rPr>
            </m:ctrlPr>
          </m:sub>
        </m:sSub>
      </m:oMath>
      <w:r>
        <w:rPr>
          <w:rFonts w:ascii="Times" w:hAnsi="Times" w:cs="Times"/>
          <w:sz w:val="24"/>
          <w:szCs w:val="24"/>
        </w:rPr>
        <w:t xml:space="preserve"> for t-MoS</w:t>
      </w:r>
      <w:r>
        <w:rPr>
          <w:rFonts w:ascii="Times" w:hAnsi="Times" w:cs="Times"/>
          <w:sz w:val="24"/>
          <w:szCs w:val="24"/>
          <w:vertAlign w:val="subscript"/>
        </w:rPr>
        <w:t>2</w:t>
      </w:r>
      <w:r>
        <w:rPr>
          <w:rFonts w:ascii="Times" w:hAnsi="Times" w:cs="Times"/>
          <w:sz w:val="24"/>
          <w:szCs w:val="24"/>
        </w:rPr>
        <w:t xml:space="preserve"> and t-MoSe</w:t>
      </w:r>
      <w:r>
        <w:rPr>
          <w:rFonts w:ascii="Times" w:hAnsi="Times" w:cs="Times"/>
          <w:sz w:val="24"/>
          <w:szCs w:val="24"/>
          <w:vertAlign w:val="subscript"/>
        </w:rPr>
        <w:t>2</w:t>
      </w:r>
      <w:r>
        <w:rPr>
          <w:rFonts w:ascii="Times" w:hAnsi="Times" w:cs="Times"/>
          <w:sz w:val="24"/>
          <w:szCs w:val="24"/>
        </w:rPr>
        <w:t xml:space="preserve"> as shown in Figs. 5c and d, respectively</w:t>
      </w:r>
      <w:bookmarkEnd w:id="0"/>
      <w:r>
        <w:rPr>
          <w:rFonts w:ascii="Times" w:hAnsi="Times" w:cs="Times"/>
          <w:sz w:val="24"/>
          <w:szCs w:val="24"/>
        </w:rPr>
        <w:t xml:space="preserve">. From the saturation value of </w:t>
      </w:r>
      <m:oMath>
        <m:r>
          <m:rPr>
            <m:sty m:val="p"/>
          </m:rPr>
          <w:rPr>
            <w:rFonts w:ascii="Cambria Math" w:hAnsi="Cambria Math" w:cs="Times"/>
            <w:sz w:val="24"/>
            <w:szCs w:val="24"/>
          </w:rPr>
          <m:t>Δ</m:t>
        </m:r>
        <m:r>
          <m:rPr/>
          <w:rPr>
            <w:rFonts w:ascii="Cambria Math" w:hAnsi="Cambria Math" w:cs="Times"/>
            <w:sz w:val="24"/>
            <w:szCs w:val="24"/>
          </w:rPr>
          <m:t>V</m:t>
        </m:r>
      </m:oMath>
      <w:r>
        <w:rPr>
          <w:rFonts w:ascii="Times" w:hAnsi="Times" w:cs="Times"/>
          <w:sz w:val="24"/>
          <w:szCs w:val="24"/>
        </w:rPr>
        <w:t>, the electrostatic potential variation of the t-MoS</w:t>
      </w:r>
      <w:r>
        <w:rPr>
          <w:rFonts w:ascii="Times" w:hAnsi="Times" w:cs="Times"/>
          <w:sz w:val="24"/>
          <w:szCs w:val="24"/>
          <w:vertAlign w:val="subscript"/>
        </w:rPr>
        <w:t>2</w:t>
      </w:r>
      <w:r>
        <w:rPr>
          <w:rFonts w:ascii="Times" w:hAnsi="Times" w:cs="Times"/>
          <w:sz w:val="24"/>
          <w:szCs w:val="24"/>
        </w:rPr>
        <w:t xml:space="preserve"> and t-MoSe</w:t>
      </w:r>
      <w:r>
        <w:rPr>
          <w:rFonts w:ascii="Times" w:hAnsi="Times" w:cs="Times"/>
          <w:sz w:val="24"/>
          <w:szCs w:val="24"/>
          <w:vertAlign w:val="subscript"/>
        </w:rPr>
        <w:t>2</w:t>
      </w:r>
      <w:r>
        <w:rPr>
          <w:rFonts w:ascii="Times" w:hAnsi="Times" w:cs="Times"/>
          <w:sz w:val="24"/>
          <w:szCs w:val="24"/>
        </w:rPr>
        <w:t xml:space="preserve"> can be found to be ~120 mV and ~93 mV, respectively. Theoretical calculation of the polarization strength in different sliding ferroelectric systems predicted that polarization in t-hBN is twice as strong as that in t-MoS</w:t>
      </w:r>
      <w:r>
        <w:rPr>
          <w:rFonts w:ascii="Times" w:hAnsi="Times" w:cs="Times"/>
          <w:sz w:val="24"/>
          <w:szCs w:val="24"/>
          <w:vertAlign w:val="subscript"/>
        </w:rPr>
        <w:t>2</w:t>
      </w:r>
      <w:r>
        <w:rPr>
          <w:rFonts w:ascii="Times" w:hAnsi="Times" w:cs="Times"/>
          <w:sz w:val="24"/>
          <w:szCs w:val="24"/>
        </w:rPr>
        <w:t>,</w:t>
      </w:r>
      <w:r>
        <w:rPr>
          <w:rFonts w:ascii="Times" w:hAnsi="Times" w:cs="Times"/>
          <w:sz w:val="24"/>
          <w:szCs w:val="24"/>
        </w:rPr>
        <w:fldChar w:fldCharType="begin"/>
      </w:r>
      <w:r>
        <w:rPr>
          <w:rFonts w:ascii="Times" w:hAnsi="Times" w:cs="Times"/>
          <w:sz w:val="24"/>
          <w:szCs w:val="24"/>
        </w:rPr>
        <w:instrText xml:space="preserve"> ADDIN ZOTERO_ITEM CSL_CITATION {"citationID":"iAqdczcd","properties":{"formattedCitation":"\\super 1\\nosupersub{}","plainCitation":"1","noteIndex":0},"citationItems":[{"id":47,"uris":["http://zotero.org/users/9383478/items/2WD5X9KW"],"itemData":{"id":47,"type":"article-journal","abstract":"Vertical ferroelectricity in two-dimensional (2D) materials is desirable for high-density data storage without quantum tunneling or high power consumption/dissipation, which still remains elusive due to the surface-depolarizing field. Herein, we report the first-principles evidence of 2D vertical ferroelectricity induced by interlayer translation, which exists extensively in the graphitic bilayer of BN, AlN, ZnO, MoS2, GaSe, etc.; the bilayer of some 2D ferromagnets like MXene, VS2, and MoN2 can be even multiferroics with switchable magnetizations upon ferroelectric switching, rendering efficient reading and writing for high-density data storage. In particular, the electromechanical coupling between interlayer translation and potential can be used to drive the flow of electrons as nanogenerators for harvesting energy from human activities, ocean waves, mechanical vibration, etc. A ferroelectric superlattice with spatial varying potential can be formed in a bilayer Moire pattern upon a small twist or strain, making it possible to generate periodic n/p doped-domains and shape the periodicity of the potential energy landscape. Finally, some of their multilayer counterparts with wurtzite structures like a ZnO multilayer are revealed to exhibit another type of vertical ferroelectricity with greatly enhanced polarizations.","container-title":"ACS Nano","DOI":"10.1021/acsnano.7b02756","ISSN":"1936-0851","issue":"6","journalAbbreviation":"ACS Nano","note":"publisher: American Chemical Society","page":"6382-6388","source":"ACS Publications","title":"Binary Compound Bilayer and Multilayer with Vertical Polarizations: Two-Dimensional Ferroelectrics, Multiferroics, and Nanogenerators","title-short":"Binary Compound Bilayer and Multilayer with Vertical Polarizations","volume":"11","author":[{"family":"Li","given":"Lei"},{"family":"Wu","given":"Menghao"}],"issued":{"date-parts":[["2017",6,27]]}}}],"schema":"https://github.com/citation-style-language/schema/raw/master/csl-citation.json"} </w:instrText>
      </w:r>
      <w:r>
        <w:rPr>
          <w:rFonts w:ascii="Times" w:hAnsi="Times" w:cs="Times"/>
          <w:sz w:val="24"/>
          <w:szCs w:val="24"/>
        </w:rPr>
        <w:fldChar w:fldCharType="separate"/>
      </w:r>
      <w:r>
        <w:rPr>
          <w:rFonts w:ascii="Times" w:hAnsi="Times" w:cs="Times"/>
          <w:kern w:val="0"/>
          <w:sz w:val="24"/>
          <w:szCs w:val="24"/>
          <w:vertAlign w:val="superscript"/>
        </w:rPr>
        <w:t>1</w:t>
      </w:r>
      <w:r>
        <w:rPr>
          <w:rFonts w:ascii="Times" w:hAnsi="Times" w:cs="Times"/>
          <w:sz w:val="24"/>
          <w:szCs w:val="24"/>
        </w:rPr>
        <w:fldChar w:fldCharType="end"/>
      </w:r>
      <w:r>
        <w:rPr>
          <w:rFonts w:ascii="Times" w:hAnsi="Times" w:cs="Times"/>
          <w:sz w:val="24"/>
          <w:szCs w:val="24"/>
        </w:rPr>
        <w:t xml:space="preserve"> which further corroborates the accuracy of the KPFM results for large domains.</w:t>
      </w:r>
      <w:r>
        <w:rPr>
          <w:rFonts w:hint="eastAsia" w:ascii="Times" w:hAnsi="Times" w:cs="Times"/>
          <w:sz w:val="24"/>
          <w:szCs w:val="24"/>
          <w:lang w:val="en-US" w:eastAsia="zh-CN"/>
        </w:rPr>
        <w:t xml:space="preserve"> These KPFM data are highly reproducible (see the Supporting Information for more data), indicating that KPFM can be used as a quick way to measure the intrinsic potential in twisted sliding ferroelectric materials.  </w:t>
      </w:r>
    </w:p>
    <w:p w14:paraId="078D42CB">
      <w:pPr>
        <w:tabs>
          <w:tab w:val="left" w:pos="970"/>
        </w:tabs>
        <w:spacing w:line="360" w:lineRule="auto"/>
        <w:jc w:val="center"/>
        <w:rPr>
          <w:rFonts w:ascii="Times New Roman" w:hAnsi="Times New Roman" w:cs="Times New Roman"/>
        </w:rPr>
      </w:pPr>
      <w:r>
        <w:rPr>
          <w:rFonts w:hint="eastAsia" w:ascii="Times New Roman" w:hAnsi="Times New Roman" w:cs="Times New Roman"/>
        </w:rPr>
        <w:drawing>
          <wp:inline distT="0" distB="0" distL="114300" distR="114300">
            <wp:extent cx="3853180" cy="3275330"/>
            <wp:effectExtent l="0" t="0" r="13970" b="1270"/>
            <wp:docPr id="3" name="图片 3"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4"/>
                    <pic:cNvPicPr>
                      <a:picLocks noChangeAspect="1"/>
                    </pic:cNvPicPr>
                  </pic:nvPicPr>
                  <pic:blipFill>
                    <a:blip r:embed="rId10"/>
                    <a:stretch>
                      <a:fillRect/>
                    </a:stretch>
                  </pic:blipFill>
                  <pic:spPr>
                    <a:xfrm>
                      <a:off x="0" y="0"/>
                      <a:ext cx="3853180" cy="3275330"/>
                    </a:xfrm>
                    <a:prstGeom prst="rect">
                      <a:avLst/>
                    </a:prstGeom>
                  </pic:spPr>
                </pic:pic>
              </a:graphicData>
            </a:graphic>
          </wp:inline>
        </w:drawing>
      </w:r>
    </w:p>
    <w:p w14:paraId="514812A1">
      <w:pPr>
        <w:tabs>
          <w:tab w:val="left" w:pos="970"/>
        </w:tabs>
        <w:spacing w:after="200" w:line="480" w:lineRule="auto"/>
        <w:jc w:val="both"/>
        <w:rPr>
          <w:rFonts w:ascii="Times" w:hAnsi="Times" w:cs="Times"/>
          <w:sz w:val="24"/>
          <w:szCs w:val="24"/>
        </w:rPr>
      </w:pPr>
      <w:r>
        <w:rPr>
          <w:rFonts w:ascii="Times" w:hAnsi="Times" w:cs="Times"/>
          <w:b/>
          <w:bCs/>
          <w:sz w:val="24"/>
          <w:szCs w:val="24"/>
        </w:rPr>
        <w:t>Figure 5. KPFM results of t-MoS</w:t>
      </w:r>
      <w:r>
        <w:rPr>
          <w:rFonts w:ascii="Times" w:hAnsi="Times" w:cs="Times"/>
          <w:b/>
          <w:bCs/>
          <w:sz w:val="24"/>
          <w:szCs w:val="24"/>
          <w:vertAlign w:val="subscript"/>
        </w:rPr>
        <w:t>2</w:t>
      </w:r>
      <w:r>
        <w:rPr>
          <w:rFonts w:ascii="Times" w:hAnsi="Times" w:cs="Times"/>
          <w:b/>
          <w:bCs/>
          <w:sz w:val="24"/>
          <w:szCs w:val="24"/>
        </w:rPr>
        <w:t xml:space="preserve"> and t-MoSe</w:t>
      </w:r>
      <w:r>
        <w:rPr>
          <w:rFonts w:ascii="Times" w:hAnsi="Times" w:cs="Times"/>
          <w:b/>
          <w:bCs/>
          <w:sz w:val="24"/>
          <w:szCs w:val="24"/>
          <w:vertAlign w:val="subscript"/>
        </w:rPr>
        <w:t>2</w:t>
      </w:r>
      <w:r>
        <w:rPr>
          <w:rFonts w:ascii="Times" w:hAnsi="Times" w:cs="Times"/>
          <w:b/>
          <w:bCs/>
          <w:sz w:val="24"/>
          <w:szCs w:val="24"/>
        </w:rPr>
        <w:t>.</w:t>
      </w:r>
      <w:r>
        <w:rPr>
          <w:rFonts w:ascii="Times" w:hAnsi="Times" w:cs="Times"/>
          <w:color w:val="FF0000"/>
          <w:sz w:val="24"/>
          <w:szCs w:val="24"/>
        </w:rPr>
        <w:t xml:space="preserve"> </w:t>
      </w:r>
      <w:r>
        <w:rPr>
          <w:rFonts w:ascii="Times" w:hAnsi="Times" w:cs="Times"/>
          <w:b/>
          <w:bCs/>
          <w:sz w:val="24"/>
          <w:szCs w:val="24"/>
        </w:rPr>
        <w:t>a</w:t>
      </w:r>
      <w:r>
        <w:rPr>
          <w:rFonts w:ascii="Times" w:hAnsi="Times" w:cs="Times"/>
          <w:sz w:val="24"/>
          <w:szCs w:val="24"/>
        </w:rPr>
        <w:t xml:space="preserve">, </w:t>
      </w:r>
      <w:r>
        <w:rPr>
          <w:rFonts w:ascii="Times" w:hAnsi="Times" w:cs="Times"/>
          <w:b/>
          <w:bCs/>
          <w:sz w:val="24"/>
          <w:szCs w:val="24"/>
        </w:rPr>
        <w:t>b</w:t>
      </w:r>
      <w:r>
        <w:rPr>
          <w:rFonts w:ascii="Times" w:hAnsi="Times" w:cs="Times"/>
          <w:sz w:val="24"/>
          <w:szCs w:val="24"/>
        </w:rPr>
        <w:t xml:space="preserve"> KPFM images of t-MoS</w:t>
      </w:r>
      <w:r>
        <w:rPr>
          <w:rFonts w:ascii="Times" w:hAnsi="Times" w:cs="Times"/>
          <w:sz w:val="24"/>
          <w:szCs w:val="24"/>
          <w:vertAlign w:val="subscript"/>
        </w:rPr>
        <w:t>2</w:t>
      </w:r>
      <w:r>
        <w:rPr>
          <w:rFonts w:ascii="Times" w:hAnsi="Times" w:cs="Times"/>
          <w:sz w:val="24"/>
          <w:szCs w:val="24"/>
        </w:rPr>
        <w:t xml:space="preserve"> and t-MoSe</w:t>
      </w:r>
      <w:r>
        <w:rPr>
          <w:rFonts w:ascii="Times" w:hAnsi="Times" w:cs="Times"/>
          <w:sz w:val="24"/>
          <w:szCs w:val="24"/>
          <w:vertAlign w:val="subscript"/>
        </w:rPr>
        <w:t>2</w:t>
      </w:r>
      <w:r>
        <w:rPr>
          <w:rFonts w:ascii="Times" w:hAnsi="Times" w:cs="Times"/>
          <w:sz w:val="24"/>
          <w:szCs w:val="24"/>
        </w:rPr>
        <w:t xml:space="preserve">. </w:t>
      </w:r>
      <w:r>
        <w:rPr>
          <w:rFonts w:ascii="Times" w:hAnsi="Times" w:cs="Times"/>
          <w:b/>
          <w:bCs/>
          <w:sz w:val="24"/>
          <w:szCs w:val="24"/>
        </w:rPr>
        <w:t>c</w:t>
      </w:r>
      <w:r>
        <w:rPr>
          <w:rFonts w:ascii="Times" w:hAnsi="Times" w:cs="Times"/>
          <w:sz w:val="24"/>
          <w:szCs w:val="24"/>
        </w:rPr>
        <w:t xml:space="preserve">, </w:t>
      </w:r>
      <w:r>
        <w:rPr>
          <w:rFonts w:ascii="Times" w:hAnsi="Times" w:cs="Times"/>
          <w:b/>
          <w:bCs/>
          <w:sz w:val="24"/>
          <w:szCs w:val="24"/>
        </w:rPr>
        <w:t>d</w:t>
      </w:r>
      <w:r>
        <w:rPr>
          <w:rFonts w:ascii="Times" w:hAnsi="Times" w:cs="Times"/>
          <w:sz w:val="24"/>
          <w:szCs w:val="24"/>
        </w:rPr>
        <w:t xml:space="preserve"> Relationship between </w:t>
      </w:r>
      <m:oMath>
        <m:r>
          <m:rPr>
            <m:sty m:val="p"/>
          </m:rPr>
          <w:rPr>
            <w:rFonts w:ascii="Cambria Math" w:hAnsi="Cambria Math" w:cs="Times"/>
            <w:sz w:val="24"/>
            <w:szCs w:val="24"/>
          </w:rPr>
          <m:t>Δ</m:t>
        </m:r>
        <m:r>
          <m:rPr/>
          <w:rPr>
            <w:rFonts w:ascii="Cambria Math" w:hAnsi="Cambria Math" w:cs="Times"/>
            <w:sz w:val="24"/>
            <w:szCs w:val="24"/>
          </w:rPr>
          <m:t>V</m:t>
        </m:r>
      </m:oMath>
      <w:r>
        <w:rPr>
          <w:rFonts w:ascii="Times" w:hAnsi="Times" w:cs="Times"/>
          <w:sz w:val="24"/>
          <w:szCs w:val="24"/>
        </w:rPr>
        <w:t xml:space="preserve"> and </w:t>
      </w:r>
      <m:oMath>
        <m:sSub>
          <m:sSubPr>
            <m:ctrlPr>
              <w:rPr>
                <w:rFonts w:ascii="Cambria Math" w:hAnsi="Cambria Math" w:cs="Times"/>
                <w:i/>
                <w:sz w:val="24"/>
                <w:szCs w:val="24"/>
              </w:rPr>
            </m:ctrlPr>
          </m:sSubPr>
          <m:e>
            <m:r>
              <m:rPr/>
              <w:rPr>
                <w:rFonts w:ascii="Cambria Math" w:hAnsi="Cambria Math" w:cs="Times"/>
                <w:sz w:val="24"/>
                <w:szCs w:val="24"/>
              </w:rPr>
              <m:t>L</m:t>
            </m:r>
            <m:ctrlPr>
              <w:rPr>
                <w:rFonts w:ascii="Cambria Math" w:hAnsi="Cambria Math" w:cs="Times"/>
                <w:i/>
                <w:sz w:val="24"/>
                <w:szCs w:val="24"/>
              </w:rPr>
            </m:ctrlPr>
          </m:e>
          <m:sub>
            <m:r>
              <m:rPr>
                <m:sty m:val="p"/>
              </m:rPr>
              <w:rPr>
                <w:rFonts w:ascii="Cambria Math" w:hAnsi="Cambria Math" w:cs="Times"/>
                <w:sz w:val="24"/>
                <w:szCs w:val="24"/>
              </w:rPr>
              <m:t>c</m:t>
            </m:r>
            <m:ctrlPr>
              <w:rPr>
                <w:rFonts w:ascii="Cambria Math" w:hAnsi="Cambria Math" w:cs="Times"/>
                <w:i/>
                <w:sz w:val="24"/>
                <w:szCs w:val="24"/>
              </w:rPr>
            </m:ctrlPr>
          </m:sub>
        </m:sSub>
      </m:oMath>
      <w:r>
        <w:rPr>
          <w:rFonts w:ascii="Times" w:hAnsi="Times" w:cs="Times"/>
          <w:sz w:val="24"/>
          <w:szCs w:val="24"/>
        </w:rPr>
        <w:t xml:space="preserve"> in t-MoS</w:t>
      </w:r>
      <w:r>
        <w:rPr>
          <w:rFonts w:ascii="Times" w:hAnsi="Times" w:cs="Times"/>
          <w:sz w:val="24"/>
          <w:szCs w:val="24"/>
          <w:vertAlign w:val="subscript"/>
        </w:rPr>
        <w:t>2</w:t>
      </w:r>
      <w:r>
        <w:rPr>
          <w:rFonts w:ascii="Times" w:hAnsi="Times" w:cs="Times"/>
          <w:sz w:val="24"/>
          <w:szCs w:val="24"/>
        </w:rPr>
        <w:t xml:space="preserve"> and t-MoSe</w:t>
      </w:r>
      <w:r>
        <w:rPr>
          <w:rFonts w:ascii="Times" w:hAnsi="Times" w:cs="Times"/>
          <w:sz w:val="24"/>
          <w:szCs w:val="24"/>
          <w:vertAlign w:val="subscript"/>
        </w:rPr>
        <w:t>2</w:t>
      </w:r>
      <w:r>
        <w:rPr>
          <w:rFonts w:ascii="Times" w:hAnsi="Times" w:cs="Times"/>
          <w:sz w:val="24"/>
          <w:szCs w:val="24"/>
        </w:rPr>
        <w:t>.</w:t>
      </w:r>
    </w:p>
    <w:p w14:paraId="54FF7CC2">
      <w:pPr>
        <w:tabs>
          <w:tab w:val="left" w:pos="970"/>
        </w:tabs>
        <w:spacing w:after="0" w:line="480" w:lineRule="auto"/>
        <w:ind w:firstLine="204"/>
        <w:jc w:val="both"/>
        <w:rPr>
          <w:rFonts w:ascii="Times" w:hAnsi="Times" w:cs="Times"/>
          <w:sz w:val="24"/>
          <w:szCs w:val="24"/>
        </w:rPr>
      </w:pPr>
      <w:r>
        <w:rPr>
          <w:rFonts w:ascii="Times" w:hAnsi="Times" w:cs="Times"/>
          <w:sz w:val="24"/>
          <w:szCs w:val="24"/>
        </w:rPr>
        <w:t>In conclusion, we used graphene as a sensing layer and the CMSTM technique to study the moiré electrostatic potential in sliding ferroelectric t-hBN and found that the potential variation between opposite polarization domains is essentially independent of the domain size from a few to hundreds of nanometers. We also demonstrated that KPFM can be used to accurately obtain the potential for large domains. These findings provide useful information for the fast growing field of sliding ferroelectrics.</w:t>
      </w:r>
    </w:p>
    <w:p w14:paraId="52ACCCC3">
      <w:pPr>
        <w:tabs>
          <w:tab w:val="left" w:pos="970"/>
        </w:tabs>
        <w:spacing w:after="0" w:line="480" w:lineRule="auto"/>
        <w:jc w:val="both"/>
        <w:rPr>
          <w:rFonts w:ascii="Times" w:hAnsi="Times" w:cs="Times"/>
          <w:b/>
          <w:bCs/>
          <w:color w:val="000000" w:themeColor="text1"/>
          <w:sz w:val="24"/>
          <w:szCs w:val="24"/>
          <w14:textFill>
            <w14:solidFill>
              <w14:schemeClr w14:val="tx1"/>
            </w14:solidFill>
          </w14:textFill>
        </w:rPr>
      </w:pPr>
      <w:r>
        <w:rPr>
          <w:rFonts w:ascii="Times" w:hAnsi="Times" w:cs="Times"/>
          <w:b/>
          <w:bCs/>
          <w:color w:val="000000" w:themeColor="text1"/>
          <w:sz w:val="24"/>
          <w:szCs w:val="24"/>
          <w14:textFill>
            <w14:solidFill>
              <w14:schemeClr w14:val="tx1"/>
            </w14:solidFill>
          </w14:textFill>
        </w:rPr>
        <w:t>Methods</w:t>
      </w:r>
    </w:p>
    <w:p w14:paraId="4A382B02">
      <w:pPr>
        <w:tabs>
          <w:tab w:val="left" w:pos="970"/>
        </w:tabs>
        <w:spacing w:after="0" w:line="480" w:lineRule="auto"/>
        <w:ind w:firstLine="204"/>
        <w:jc w:val="both"/>
        <w:rPr>
          <w:rFonts w:ascii="Times" w:hAnsi="Times" w:cs="Times"/>
          <w:b/>
          <w:bCs/>
          <w:sz w:val="24"/>
          <w:szCs w:val="24"/>
        </w:rPr>
      </w:pPr>
      <w:r>
        <w:rPr>
          <w:rFonts w:ascii="Times" w:hAnsi="Times" w:cs="Times"/>
          <w:b/>
          <w:bCs/>
          <w:sz w:val="24"/>
          <w:szCs w:val="24"/>
        </w:rPr>
        <w:t>Device fabrication</w:t>
      </w:r>
    </w:p>
    <w:p w14:paraId="67D6C138">
      <w:pPr>
        <w:tabs>
          <w:tab w:val="left" w:pos="970"/>
        </w:tabs>
        <w:spacing w:after="0" w:line="480" w:lineRule="auto"/>
        <w:ind w:firstLine="204"/>
        <w:jc w:val="both"/>
        <w:rPr>
          <w:rFonts w:ascii="Times" w:hAnsi="Times" w:cs="Times"/>
          <w:sz w:val="24"/>
          <w:szCs w:val="24"/>
        </w:rPr>
      </w:pPr>
      <w:r>
        <w:rPr>
          <w:rFonts w:ascii="Times" w:hAnsi="Times" w:cs="Times"/>
          <w:sz w:val="24"/>
          <w:szCs w:val="24"/>
        </w:rPr>
        <w:t>All 2D materials were mechanically exfoliated onto SiO₂/Si substrates. Their thicknesses were determined using optical microscopy and AFM.</w:t>
      </w:r>
    </w:p>
    <w:p w14:paraId="34BF64D9">
      <w:pPr>
        <w:tabs>
          <w:tab w:val="left" w:pos="970"/>
        </w:tabs>
        <w:spacing w:after="0" w:line="480" w:lineRule="auto"/>
        <w:ind w:firstLine="204"/>
        <w:jc w:val="both"/>
        <w:rPr>
          <w:rFonts w:ascii="Times" w:hAnsi="Times" w:cs="Times"/>
          <w:sz w:val="24"/>
          <w:szCs w:val="24"/>
        </w:rPr>
      </w:pPr>
      <w:r>
        <w:rPr>
          <w:rFonts w:ascii="Times" w:hAnsi="Times" w:cs="Times"/>
          <w:sz w:val="24"/>
          <w:szCs w:val="24"/>
        </w:rPr>
        <w:t>For t-X (X = hBN, MoS₂, MoSe₂) bilayer devices: a thin polycarbonate (PC) film, placed on a spherical poly(dimethylsiloxane) (PDMS) stamp, was used to pick up a thick graphite flake at 100 ℃. This graphite was then employed to tear and twist-stack an X monolayer. The desired twist angle (~0.3°) was achieved using a micro-stepping motor. However, due to the inevitable formation of bubbles and wrinkles during the transfer, the actual twist angle varied across different regions of the sample. The precise twist angle was determined by the moiré pattern period. The PC film with the sample was carefully removed from the PDMS stamp and placed onto a SiO₂/Si substrate. The sample was then heated to 150 ℃ to eliminate any bubbles between the PC film and the substrate. The transfer process for t-MoS₂ bilayer devices was performed in a glove box, while other devices were processed under ambient conditions. Metal electrodes (20 nm Ti and 20 nm Au) were deposited using a shadow mask and electron-beam evaporation (Lesker deposition system) at a rate of 0.2 Å/s under vacuum conditions (&lt; 5 × 10⁻⁷ Torr).</w:t>
      </w:r>
    </w:p>
    <w:p w14:paraId="2D8CBB11">
      <w:pPr>
        <w:tabs>
          <w:tab w:val="left" w:pos="970"/>
        </w:tabs>
        <w:spacing w:after="0" w:line="480" w:lineRule="auto"/>
        <w:ind w:firstLine="204"/>
        <w:jc w:val="both"/>
        <w:rPr>
          <w:rFonts w:ascii="Times" w:hAnsi="Times" w:cs="Times"/>
          <w:sz w:val="24"/>
          <w:szCs w:val="24"/>
        </w:rPr>
      </w:pPr>
      <w:r>
        <w:rPr>
          <w:rFonts w:ascii="Times" w:hAnsi="Times" w:cs="Times"/>
          <w:sz w:val="24"/>
          <w:szCs w:val="24"/>
        </w:rPr>
        <w:t>For the tunnel layer/graphene/t-hBN devices: the monolayer hBN was cut into two pieces using an AFM tip. A thin PC film, placed on a spherical PDMS stamp, was used to twist-stack the monolayer hBN at 100 ℃. The t-hBN bilayer were then released onto a thick hBN substrate on SiO₂/Si at 180 ℃, and the PC film was removed using a dichloroethane solution. The sample surface was cleaned with an AFM tip, followed by measurement with KPFM. Subsequently, a thin PC film on a spherical PDMS stamp was used to pick up a 1.1 nm hBN layer as the tunnel layer at 100 ℃. This tunnel layer hBN was then used to pick up a monolayer graphene and placed onto the t-hBN. Finally, the PC film was removed using a dichloroethane solution. The electrode pattern was defined by electron beam lithography, and metal electrodes were deposited.</w:t>
      </w:r>
    </w:p>
    <w:p w14:paraId="0AF133AD">
      <w:pPr>
        <w:tabs>
          <w:tab w:val="left" w:pos="970"/>
        </w:tabs>
        <w:spacing w:line="360" w:lineRule="auto"/>
        <w:rPr>
          <w:rFonts w:ascii="Times" w:hAnsi="Times" w:cs="Times"/>
          <w:sz w:val="24"/>
          <w:szCs w:val="24"/>
        </w:rPr>
      </w:pPr>
    </w:p>
    <w:p w14:paraId="625825AC">
      <w:pPr>
        <w:tabs>
          <w:tab w:val="left" w:pos="970"/>
        </w:tabs>
        <w:spacing w:after="0" w:line="480" w:lineRule="auto"/>
        <w:ind w:firstLine="204"/>
        <w:jc w:val="both"/>
        <w:rPr>
          <w:rFonts w:ascii="Times" w:hAnsi="Times" w:cs="Times"/>
          <w:b/>
          <w:bCs/>
          <w:sz w:val="24"/>
          <w:szCs w:val="24"/>
        </w:rPr>
      </w:pPr>
      <w:r>
        <w:rPr>
          <w:rFonts w:ascii="Times" w:hAnsi="Times" w:cs="Times"/>
          <w:b/>
          <w:bCs/>
          <w:sz w:val="24"/>
          <w:szCs w:val="24"/>
        </w:rPr>
        <w:t>CAFM and KPFM measurements</w:t>
      </w:r>
    </w:p>
    <w:p w14:paraId="6AAA2FAB">
      <w:pPr>
        <w:spacing w:after="0" w:line="480" w:lineRule="auto"/>
        <w:ind w:firstLine="204"/>
        <w:jc w:val="both"/>
        <w:rPr>
          <w:rFonts w:ascii="Times" w:hAnsi="Times" w:cs="Times"/>
          <w:sz w:val="24"/>
          <w:szCs w:val="24"/>
        </w:rPr>
      </w:pPr>
      <w:bookmarkStart w:id="1" w:name="_Hlk187350528"/>
      <w:r>
        <w:rPr>
          <w:rFonts w:ascii="Times" w:hAnsi="Times" w:cs="Times"/>
          <w:sz w:val="24"/>
          <w:szCs w:val="24"/>
        </w:rPr>
        <w:t>CAFM measurements were conducted using an Oxford/Asylum Research Cypher S AFM. The CAFM tips, MikroMasch NSC15/Al, had a nominal resonance frequency of 325 kHz and a spring constant of 40 N/m. These tips were coated with 20 nm of Ti and 30 nm of Au to enhance conductivity. During the measurements, a bias voltage was applied to the sample, with the tip grounded.</w:t>
      </w:r>
    </w:p>
    <w:p w14:paraId="1DF39A73">
      <w:pPr>
        <w:spacing w:after="0" w:line="480" w:lineRule="auto"/>
        <w:ind w:firstLine="204"/>
        <w:jc w:val="both"/>
        <w:rPr>
          <w:rFonts w:ascii="Times" w:hAnsi="Times" w:cs="Times"/>
          <w:sz w:val="24"/>
          <w:szCs w:val="24"/>
        </w:rPr>
      </w:pPr>
      <w:r>
        <w:rPr>
          <w:rFonts w:ascii="Times" w:hAnsi="Times" w:cs="Times"/>
          <w:sz w:val="24"/>
          <w:szCs w:val="24"/>
        </w:rPr>
        <w:t xml:space="preserve">KPFM measurements were performed using a Bruker Dimension Fastscan/Icon AFM in one-pass KPFM mode. Pt-coated conductive cantilever probes with a nominal resonance frequency of 70 kHz and a spring constant of 2 N/m (OPUS 240AC-PP, MikroMasch) were used. In the one-pass KPFM mode, both morphological and potential information were simultaneously acquired. The cantilever oscillated at its resonant frequency, </w:t>
      </w:r>
      <w:r>
        <w:rPr>
          <w:rFonts w:ascii="Times" w:hAnsi="Times" w:cs="Times"/>
          <w:i/>
          <w:iCs/>
          <w:sz w:val="24"/>
          <w:szCs w:val="24"/>
        </w:rPr>
        <w:t>f</w:t>
      </w:r>
      <w:r>
        <w:rPr>
          <w:rFonts w:ascii="Times" w:hAnsi="Times" w:cs="Times"/>
          <w:sz w:val="24"/>
          <w:szCs w:val="24"/>
          <w:vertAlign w:val="subscript"/>
        </w:rPr>
        <w:t>0</w:t>
      </w:r>
      <w:r>
        <w:rPr>
          <w:rFonts w:ascii="Times" w:hAnsi="Times" w:cs="Times"/>
          <w:sz w:val="24"/>
          <w:szCs w:val="24"/>
        </w:rPr>
        <w:t xml:space="preserve"> (~70 kHz), under excitation from the piezoelectric ceramic. A low-frequency (~2 kHz) a.c. bias voltage was applied for phase modulation, while a d.c. bias voltage was used for contact potential difference (CPD) compensation. If the d.c. bias voltage could not fully compensate the CPD, the electrostatic force gradient with respect to the tip-to-sample distance induced a shift in </w:t>
      </w:r>
      <w:r>
        <w:rPr>
          <w:rFonts w:ascii="Times" w:hAnsi="Times" w:cs="Times"/>
          <w:i/>
          <w:iCs/>
          <w:sz w:val="24"/>
          <w:szCs w:val="24"/>
        </w:rPr>
        <w:t>f</w:t>
      </w:r>
      <w:r>
        <w:rPr>
          <w:rFonts w:ascii="Times" w:hAnsi="Times" w:cs="Times"/>
          <w:sz w:val="24"/>
          <w:szCs w:val="24"/>
          <w:vertAlign w:val="subscript"/>
        </w:rPr>
        <w:t>0</w:t>
      </w:r>
      <w:r>
        <w:rPr>
          <w:rFonts w:ascii="Times" w:hAnsi="Times" w:cs="Times"/>
          <w:sz w:val="24"/>
          <w:szCs w:val="24"/>
        </w:rPr>
        <w:t>, which could be detected through phase changes in the cantilever oscillation. The tip-to-sample distance was determined by the amplitude of the cantilever’s mechanical oscillations.</w:t>
      </w:r>
    </w:p>
    <w:p w14:paraId="32676451">
      <w:pPr>
        <w:spacing w:after="0" w:line="480" w:lineRule="auto"/>
        <w:ind w:firstLine="0"/>
        <w:jc w:val="both"/>
        <w:rPr>
          <w:rFonts w:ascii="Times" w:hAnsi="Times" w:cs="Times"/>
          <w:sz w:val="24"/>
          <w:szCs w:val="24"/>
        </w:rPr>
      </w:pPr>
    </w:p>
    <w:p w14:paraId="2EB23F40">
      <w:pPr>
        <w:pStyle w:val="4"/>
        <w:spacing w:after="0" w:line="360" w:lineRule="auto"/>
        <w:ind w:firstLine="0"/>
        <w:jc w:val="both"/>
        <w:rPr>
          <w:rFonts w:hint="default" w:ascii="Times New Roman" w:hAnsi="Times New Roman" w:cs="Times New Roman"/>
          <w:i w:val="0"/>
          <w:iCs w:val="0"/>
          <w:color w:val="000000"/>
          <w:spacing w:val="0"/>
          <w:sz w:val="24"/>
          <w:szCs w:val="24"/>
        </w:rPr>
      </w:pPr>
      <w:r>
        <w:rPr>
          <w:rFonts w:hint="default" w:ascii="Times New Roman" w:hAnsi="Times New Roman" w:cs="Times New Roman"/>
          <w:b/>
          <w:bCs/>
          <w:i w:val="0"/>
          <w:iCs w:val="0"/>
          <w:caps w:val="0"/>
          <w:color w:val="000000"/>
          <w:spacing w:val="0"/>
          <w:sz w:val="24"/>
          <w:szCs w:val="24"/>
        </w:rPr>
        <w:t>SUPPORTING INFORMATION</w:t>
      </w:r>
    </w:p>
    <w:p w14:paraId="575C884F">
      <w:pPr>
        <w:pStyle w:val="4"/>
        <w:spacing w:after="0" w:line="360" w:lineRule="auto"/>
        <w:ind w:firstLine="0"/>
        <w:jc w:val="both"/>
        <w:rPr>
          <w:rFonts w:hint="default" w:ascii="Times New Roman" w:hAnsi="Times New Roman" w:cs="Times New Roman"/>
          <w:sz w:val="24"/>
          <w:szCs w:val="24"/>
        </w:rPr>
      </w:pPr>
      <w:r>
        <w:rPr>
          <w:rFonts w:hint="eastAsia" w:ascii="Times New Roman" w:hAnsi="Times New Roman" w:cs="Times New Roman"/>
          <w:i w:val="0"/>
          <w:iCs w:val="0"/>
          <w:caps w:val="0"/>
          <w:color w:val="000000"/>
          <w:spacing w:val="0"/>
          <w:sz w:val="24"/>
          <w:szCs w:val="24"/>
          <w:lang w:val="en-US" w:eastAsia="zh-CN"/>
        </w:rPr>
        <w:t>Fitting procedure of KPFM and CMSTM data; Calculation of net polarization; CMSTM spectroscopy measurements; More data of KPFM</w:t>
      </w:r>
    </w:p>
    <w:p w14:paraId="7D8A9AE2">
      <w:pPr>
        <w:spacing w:after="0" w:line="480" w:lineRule="auto"/>
        <w:ind w:firstLine="0"/>
        <w:jc w:val="both"/>
        <w:rPr>
          <w:rFonts w:ascii="Times" w:hAnsi="Times" w:cs="Times"/>
          <w:sz w:val="24"/>
          <w:szCs w:val="24"/>
        </w:rPr>
      </w:pPr>
    </w:p>
    <w:p w14:paraId="4DA31524">
      <w:pPr>
        <w:spacing w:after="0" w:line="480" w:lineRule="auto"/>
        <w:ind w:firstLine="0"/>
        <w:jc w:val="both"/>
        <w:rPr>
          <w:rFonts w:hint="eastAsia" w:ascii="Times" w:hAnsi="Times" w:cs="Times"/>
          <w:b/>
          <w:bCs/>
          <w:sz w:val="24"/>
          <w:szCs w:val="24"/>
        </w:rPr>
      </w:pPr>
      <w:r>
        <w:rPr>
          <w:rFonts w:hint="eastAsia" w:ascii="Times" w:hAnsi="Times" w:cs="Times"/>
          <w:b/>
          <w:bCs/>
          <w:sz w:val="24"/>
          <w:szCs w:val="24"/>
        </w:rPr>
        <w:t>ACKNOWLEDGEMENTS</w:t>
      </w:r>
    </w:p>
    <w:p w14:paraId="1BEA97ED">
      <w:pPr>
        <w:spacing w:after="0" w:line="480" w:lineRule="auto"/>
        <w:ind w:firstLine="0"/>
        <w:jc w:val="both"/>
        <w:rPr>
          <w:rFonts w:hint="eastAsia" w:ascii="Times" w:hAnsi="Times" w:cs="Times"/>
          <w:sz w:val="24"/>
          <w:szCs w:val="24"/>
        </w:rPr>
      </w:pPr>
      <w:r>
        <w:rPr>
          <w:rFonts w:hint="eastAsia" w:ascii="Times" w:hAnsi="Times" w:cs="Times"/>
          <w:sz w:val="24"/>
          <w:szCs w:val="24"/>
        </w:rPr>
        <w:t xml:space="preserve">The authors thank the Soft Nano Fabrication Center at ShanghaiTech University for the equipment provided. J.X. </w:t>
      </w:r>
      <w:r>
        <w:rPr>
          <w:rFonts w:hint="eastAsia" w:ascii="Times" w:hAnsi="Times" w:cs="Times"/>
          <w:sz w:val="24"/>
          <w:szCs w:val="24"/>
          <w:lang w:val="en-US" w:eastAsia="zh-CN"/>
        </w:rPr>
        <w:t>was</w:t>
      </w:r>
      <w:r>
        <w:rPr>
          <w:rFonts w:hint="eastAsia" w:ascii="Times" w:hAnsi="Times" w:cs="Times"/>
          <w:sz w:val="24"/>
          <w:szCs w:val="24"/>
        </w:rPr>
        <w:t xml:space="preserve"> supported by the National Natural Science Foundation of China (NSFC, 12374189). K.W. and T.T. acknowledge support from the JSPS KAKENHI (Grant Numbers 21H05233 and 23H02052) , the CREST (JPMJCR24A5), JST and World Premier International Research Center Initiative (WPI), MEXT, Japan.</w:t>
      </w:r>
    </w:p>
    <w:p w14:paraId="2B02092A">
      <w:pPr>
        <w:spacing w:after="0" w:line="480" w:lineRule="auto"/>
        <w:ind w:firstLine="0"/>
        <w:jc w:val="both"/>
        <w:rPr>
          <w:rFonts w:hint="eastAsia" w:ascii="Times" w:hAnsi="Times" w:cs="Times"/>
          <w:sz w:val="24"/>
          <w:szCs w:val="24"/>
        </w:rPr>
      </w:pPr>
    </w:p>
    <w:bookmarkEnd w:id="1"/>
    <w:p w14:paraId="2D59FE5E">
      <w:pPr>
        <w:spacing w:line="360" w:lineRule="auto"/>
        <w:rPr>
          <w:rFonts w:ascii="Times" w:hAnsi="Times" w:cs="Times"/>
          <w:sz w:val="24"/>
          <w:szCs w:val="24"/>
        </w:rPr>
      </w:pPr>
      <w:r>
        <w:rPr>
          <w:rFonts w:ascii="Times" w:hAnsi="Times" w:cs="Times"/>
          <w:sz w:val="24"/>
          <w:szCs w:val="24"/>
        </w:rPr>
        <w:t>REFERENCES</w:t>
      </w:r>
    </w:p>
    <w:p w14:paraId="79491EEE">
      <w:pPr>
        <w:pStyle w:val="18"/>
        <w:spacing w:after="200" w:line="480" w:lineRule="auto"/>
        <w:ind w:left="0" w:firstLine="187"/>
        <w:jc w:val="both"/>
        <w:rPr>
          <w:rFonts w:ascii="Times" w:hAnsi="Times" w:cs="Times"/>
          <w:sz w:val="24"/>
          <w:szCs w:val="24"/>
        </w:rPr>
      </w:pPr>
      <w:r>
        <w:rPr>
          <w:rFonts w:ascii="Times" w:hAnsi="Times" w:cs="Times"/>
          <w:sz w:val="24"/>
          <w:szCs w:val="24"/>
        </w:rPr>
        <w:fldChar w:fldCharType="begin"/>
      </w:r>
      <w:r>
        <w:rPr>
          <w:rFonts w:ascii="Times" w:hAnsi="Times" w:cs="Times"/>
          <w:sz w:val="24"/>
          <w:szCs w:val="24"/>
        </w:rPr>
        <w:instrText xml:space="preserve"> ADDIN ZOTERO_BIBL {"uncited":[],"omitted":[],"custom":[]} CSL_BIBLIOGRAPHY </w:instrText>
      </w:r>
      <w:r>
        <w:rPr>
          <w:rFonts w:ascii="Times" w:hAnsi="Times" w:cs="Times"/>
          <w:sz w:val="24"/>
          <w:szCs w:val="24"/>
        </w:rPr>
        <w:fldChar w:fldCharType="separate"/>
      </w:r>
      <w:r>
        <w:rPr>
          <w:rFonts w:ascii="Times" w:hAnsi="Times" w:cs="Times"/>
          <w:sz w:val="24"/>
          <w:szCs w:val="24"/>
        </w:rPr>
        <w:t>(1)</w:t>
      </w:r>
      <w:r>
        <w:rPr>
          <w:rFonts w:ascii="Times" w:hAnsi="Times" w:cs="Times"/>
          <w:sz w:val="24"/>
          <w:szCs w:val="24"/>
        </w:rPr>
        <w:tab/>
      </w:r>
      <w:r>
        <w:rPr>
          <w:rFonts w:ascii="Times" w:hAnsi="Times" w:cs="Times"/>
          <w:sz w:val="24"/>
          <w:szCs w:val="24"/>
        </w:rPr>
        <w:t xml:space="preserve">Li, L.; Wu, M. Binary Compound Bilayer and Multilayer with Vertical Polarizations: Two-Dimensional Ferroelectrics, Multiferroics, and Nanogenerators. </w:t>
      </w:r>
      <w:r>
        <w:rPr>
          <w:rFonts w:ascii="Times" w:hAnsi="Times" w:cs="Times"/>
          <w:i/>
          <w:iCs/>
          <w:sz w:val="24"/>
          <w:szCs w:val="24"/>
        </w:rPr>
        <w:t>ACS Nano</w:t>
      </w:r>
      <w:r>
        <w:rPr>
          <w:rFonts w:ascii="Times" w:hAnsi="Times" w:cs="Times"/>
          <w:sz w:val="24"/>
          <w:szCs w:val="24"/>
        </w:rPr>
        <w:t xml:space="preserve"> </w:t>
      </w:r>
      <w:r>
        <w:rPr>
          <w:rFonts w:ascii="Times" w:hAnsi="Times" w:cs="Times"/>
          <w:b/>
          <w:bCs/>
          <w:sz w:val="24"/>
          <w:szCs w:val="24"/>
        </w:rPr>
        <w:t>2017</w:t>
      </w:r>
      <w:r>
        <w:rPr>
          <w:rFonts w:ascii="Times" w:hAnsi="Times" w:cs="Times"/>
          <w:sz w:val="24"/>
          <w:szCs w:val="24"/>
        </w:rPr>
        <w:t xml:space="preserve">, </w:t>
      </w:r>
      <w:r>
        <w:rPr>
          <w:rFonts w:ascii="Times" w:hAnsi="Times" w:cs="Times"/>
          <w:i/>
          <w:iCs/>
          <w:sz w:val="24"/>
          <w:szCs w:val="24"/>
        </w:rPr>
        <w:t>11</w:t>
      </w:r>
      <w:r>
        <w:rPr>
          <w:rFonts w:ascii="Times" w:hAnsi="Times" w:cs="Times"/>
          <w:sz w:val="24"/>
          <w:szCs w:val="24"/>
        </w:rPr>
        <w:t xml:space="preserve"> (6), 6382–6388. https://doi.org/10.1021/acsnano.7b02756.</w:t>
      </w:r>
    </w:p>
    <w:p w14:paraId="05347E76">
      <w:pPr>
        <w:pStyle w:val="18"/>
        <w:spacing w:after="200" w:line="480" w:lineRule="auto"/>
        <w:ind w:left="0" w:firstLine="187"/>
        <w:jc w:val="both"/>
        <w:rPr>
          <w:rFonts w:ascii="Times" w:hAnsi="Times" w:cs="Times"/>
          <w:sz w:val="24"/>
          <w:szCs w:val="24"/>
        </w:rPr>
      </w:pPr>
      <w:r>
        <w:rPr>
          <w:rFonts w:ascii="Times" w:hAnsi="Times" w:cs="Times"/>
          <w:sz w:val="24"/>
          <w:szCs w:val="24"/>
        </w:rPr>
        <w:t>(2)</w:t>
      </w:r>
      <w:r>
        <w:rPr>
          <w:rFonts w:ascii="Times" w:hAnsi="Times" w:cs="Times"/>
          <w:sz w:val="24"/>
          <w:szCs w:val="24"/>
        </w:rPr>
        <w:tab/>
      </w:r>
      <w:r>
        <w:rPr>
          <w:rFonts w:ascii="Times" w:hAnsi="Times" w:cs="Times"/>
          <w:sz w:val="24"/>
          <w:szCs w:val="24"/>
        </w:rPr>
        <w:t xml:space="preserve">Vizner Stern, M.; Waschitz, Y.; Cao, W.; Nevo, I.; Watanabe, K.; Taniguchi, T.; Sela, E.; Urbakh, M.; Hod, O.; Ben Shalom, M. Interfacial Ferroelectricity by van Der Waals Sliding. </w:t>
      </w:r>
      <w:r>
        <w:rPr>
          <w:rFonts w:ascii="Times" w:hAnsi="Times" w:cs="Times"/>
          <w:i/>
          <w:iCs/>
          <w:sz w:val="24"/>
          <w:szCs w:val="24"/>
        </w:rPr>
        <w:t>Science</w:t>
      </w:r>
      <w:r>
        <w:rPr>
          <w:rFonts w:ascii="Times" w:hAnsi="Times" w:cs="Times"/>
          <w:sz w:val="24"/>
          <w:szCs w:val="24"/>
        </w:rPr>
        <w:t xml:space="preserve"> </w:t>
      </w:r>
      <w:r>
        <w:rPr>
          <w:rFonts w:ascii="Times" w:hAnsi="Times" w:cs="Times"/>
          <w:b/>
          <w:bCs/>
          <w:sz w:val="24"/>
          <w:szCs w:val="24"/>
        </w:rPr>
        <w:t>2021</w:t>
      </w:r>
      <w:r>
        <w:rPr>
          <w:rFonts w:ascii="Times" w:hAnsi="Times" w:cs="Times"/>
          <w:sz w:val="24"/>
          <w:szCs w:val="24"/>
        </w:rPr>
        <w:t xml:space="preserve">, </w:t>
      </w:r>
      <w:r>
        <w:rPr>
          <w:rFonts w:ascii="Times" w:hAnsi="Times" w:cs="Times"/>
          <w:i/>
          <w:iCs/>
          <w:sz w:val="24"/>
          <w:szCs w:val="24"/>
        </w:rPr>
        <w:t>372</w:t>
      </w:r>
      <w:r>
        <w:rPr>
          <w:rFonts w:ascii="Times" w:hAnsi="Times" w:cs="Times"/>
          <w:sz w:val="24"/>
          <w:szCs w:val="24"/>
        </w:rPr>
        <w:t xml:space="preserve"> (6549), 1462–1466. https://doi.org/10.1126/science.abe8177.</w:t>
      </w:r>
    </w:p>
    <w:p w14:paraId="49E41ADB">
      <w:pPr>
        <w:pStyle w:val="18"/>
        <w:spacing w:after="200" w:line="480" w:lineRule="auto"/>
        <w:ind w:left="0" w:firstLine="187"/>
        <w:jc w:val="both"/>
        <w:rPr>
          <w:rFonts w:ascii="Times" w:hAnsi="Times" w:cs="Times"/>
          <w:sz w:val="24"/>
          <w:szCs w:val="24"/>
        </w:rPr>
      </w:pPr>
      <w:r>
        <w:rPr>
          <w:rFonts w:ascii="Times" w:hAnsi="Times" w:cs="Times"/>
          <w:sz w:val="24"/>
          <w:szCs w:val="24"/>
        </w:rPr>
        <w:t>(3)</w:t>
      </w:r>
      <w:r>
        <w:rPr>
          <w:rFonts w:ascii="Times" w:hAnsi="Times" w:cs="Times"/>
          <w:sz w:val="24"/>
          <w:szCs w:val="24"/>
        </w:rPr>
        <w:tab/>
      </w:r>
      <w:r>
        <w:rPr>
          <w:rFonts w:ascii="Times" w:hAnsi="Times" w:cs="Times"/>
          <w:sz w:val="24"/>
          <w:szCs w:val="24"/>
        </w:rPr>
        <w:t xml:space="preserve">Woods, C. R.; Ares, P.; Nevison-Andrews, H.; Holwill, M. J.; Fabregas, R.; Guinea, F.; Geim, A. K.; Novoselov, K. S.; Walet, N. R.; Fumagalli, L. Charge-Polarized Interfacial Superlattices in Marginally Twisted Hexagonal Boron Nitride. </w:t>
      </w:r>
      <w:r>
        <w:rPr>
          <w:rFonts w:ascii="Times" w:hAnsi="Times" w:cs="Times"/>
          <w:i/>
          <w:iCs/>
          <w:sz w:val="24"/>
          <w:szCs w:val="24"/>
        </w:rPr>
        <w:t>Nat</w:t>
      </w:r>
      <w:r>
        <w:rPr>
          <w:rFonts w:hint="eastAsia" w:ascii="Times" w:hAnsi="Times" w:cs="Times"/>
          <w:i/>
          <w:iCs/>
          <w:sz w:val="24"/>
          <w:szCs w:val="24"/>
          <w:lang w:val="en-US" w:eastAsia="zh-CN"/>
        </w:rPr>
        <w:t>.</w:t>
      </w:r>
      <w:r>
        <w:rPr>
          <w:rFonts w:ascii="Times" w:hAnsi="Times" w:cs="Times"/>
          <w:i/>
          <w:iCs/>
          <w:sz w:val="24"/>
          <w:szCs w:val="24"/>
        </w:rPr>
        <w:t xml:space="preserve"> Commun</w:t>
      </w:r>
      <w:r>
        <w:rPr>
          <w:rFonts w:hint="eastAsia" w:ascii="Times" w:hAnsi="Times" w:cs="Times"/>
          <w:i/>
          <w:iCs/>
          <w:sz w:val="24"/>
          <w:szCs w:val="24"/>
          <w:lang w:val="en-US" w:eastAsia="zh-CN"/>
        </w:rPr>
        <w:t>.</w:t>
      </w:r>
      <w:r>
        <w:rPr>
          <w:rFonts w:ascii="Times" w:hAnsi="Times" w:cs="Times"/>
          <w:sz w:val="24"/>
          <w:szCs w:val="24"/>
        </w:rPr>
        <w:t xml:space="preserve"> </w:t>
      </w:r>
      <w:r>
        <w:rPr>
          <w:rFonts w:ascii="Times" w:hAnsi="Times" w:cs="Times"/>
          <w:b/>
          <w:bCs/>
          <w:sz w:val="24"/>
          <w:szCs w:val="24"/>
        </w:rPr>
        <w:t>2021</w:t>
      </w:r>
      <w:r>
        <w:rPr>
          <w:rFonts w:ascii="Times" w:hAnsi="Times" w:cs="Times"/>
          <w:sz w:val="24"/>
          <w:szCs w:val="24"/>
        </w:rPr>
        <w:t xml:space="preserve">, </w:t>
      </w:r>
      <w:r>
        <w:rPr>
          <w:rFonts w:ascii="Times" w:hAnsi="Times" w:cs="Times"/>
          <w:i/>
          <w:iCs/>
          <w:sz w:val="24"/>
          <w:szCs w:val="24"/>
        </w:rPr>
        <w:t>12</w:t>
      </w:r>
      <w:r>
        <w:rPr>
          <w:rFonts w:ascii="Times" w:hAnsi="Times" w:cs="Times"/>
          <w:sz w:val="24"/>
          <w:szCs w:val="24"/>
        </w:rPr>
        <w:t xml:space="preserve"> (1), 347. https://doi.org/10.1038/s41467-020-20667-2.</w:t>
      </w:r>
    </w:p>
    <w:p w14:paraId="4EE720EB">
      <w:pPr>
        <w:pStyle w:val="18"/>
        <w:spacing w:after="200" w:line="480" w:lineRule="auto"/>
        <w:ind w:left="0" w:firstLine="187"/>
        <w:jc w:val="both"/>
        <w:rPr>
          <w:rFonts w:ascii="Times" w:hAnsi="Times" w:cs="Times"/>
          <w:sz w:val="24"/>
          <w:szCs w:val="24"/>
        </w:rPr>
      </w:pPr>
      <w:r>
        <w:rPr>
          <w:rFonts w:ascii="Times" w:hAnsi="Times" w:cs="Times"/>
          <w:sz w:val="24"/>
          <w:szCs w:val="24"/>
        </w:rPr>
        <w:t>(4)</w:t>
      </w:r>
      <w:r>
        <w:rPr>
          <w:rFonts w:ascii="Times" w:hAnsi="Times" w:cs="Times"/>
          <w:sz w:val="24"/>
          <w:szCs w:val="24"/>
        </w:rPr>
        <w:tab/>
      </w:r>
      <w:r>
        <w:rPr>
          <w:rFonts w:ascii="Times" w:hAnsi="Times" w:cs="Times"/>
          <w:sz w:val="24"/>
          <w:szCs w:val="24"/>
        </w:rPr>
        <w:t xml:space="preserve">Yasuda, K.; Wang, X.; Watanabe, K.; Taniguchi, T.; Jarillo-Herrero, P. Stacking-Engineered Ferroelectricity in Bilayer Boron Nitride. </w:t>
      </w:r>
      <w:r>
        <w:rPr>
          <w:rFonts w:ascii="Times" w:hAnsi="Times" w:cs="Times"/>
          <w:i/>
          <w:iCs/>
          <w:sz w:val="24"/>
          <w:szCs w:val="24"/>
        </w:rPr>
        <w:t>Science</w:t>
      </w:r>
      <w:r>
        <w:rPr>
          <w:rFonts w:ascii="Times" w:hAnsi="Times" w:cs="Times"/>
          <w:sz w:val="24"/>
          <w:szCs w:val="24"/>
        </w:rPr>
        <w:t xml:space="preserve"> </w:t>
      </w:r>
      <w:r>
        <w:rPr>
          <w:rFonts w:ascii="Times" w:hAnsi="Times" w:cs="Times"/>
          <w:b/>
          <w:bCs/>
          <w:sz w:val="24"/>
          <w:szCs w:val="24"/>
        </w:rPr>
        <w:t>2021</w:t>
      </w:r>
      <w:r>
        <w:rPr>
          <w:rFonts w:ascii="Times" w:hAnsi="Times" w:cs="Times"/>
          <w:sz w:val="24"/>
          <w:szCs w:val="24"/>
        </w:rPr>
        <w:t xml:space="preserve">, </w:t>
      </w:r>
      <w:r>
        <w:rPr>
          <w:rFonts w:ascii="Times" w:hAnsi="Times" w:cs="Times"/>
          <w:i/>
          <w:iCs/>
          <w:sz w:val="24"/>
          <w:szCs w:val="24"/>
        </w:rPr>
        <w:t>372</w:t>
      </w:r>
      <w:r>
        <w:rPr>
          <w:rFonts w:ascii="Times" w:hAnsi="Times" w:cs="Times"/>
          <w:sz w:val="24"/>
          <w:szCs w:val="24"/>
        </w:rPr>
        <w:t xml:space="preserve"> (6549), 1458–1462. https://doi.org/10.1126/science.abd3230.</w:t>
      </w:r>
    </w:p>
    <w:p w14:paraId="13E6BDA7">
      <w:pPr>
        <w:pStyle w:val="18"/>
        <w:spacing w:after="200" w:line="480" w:lineRule="auto"/>
        <w:ind w:left="0" w:firstLine="187"/>
        <w:jc w:val="both"/>
        <w:rPr>
          <w:rFonts w:ascii="Times" w:hAnsi="Times" w:cs="Times"/>
          <w:sz w:val="24"/>
          <w:szCs w:val="24"/>
        </w:rPr>
      </w:pPr>
      <w:r>
        <w:rPr>
          <w:rFonts w:ascii="Times" w:hAnsi="Times" w:cs="Times"/>
          <w:sz w:val="24"/>
          <w:szCs w:val="24"/>
        </w:rPr>
        <w:t>(5)</w:t>
      </w:r>
      <w:r>
        <w:rPr>
          <w:rFonts w:ascii="Times" w:hAnsi="Times" w:cs="Times"/>
          <w:sz w:val="24"/>
          <w:szCs w:val="24"/>
        </w:rPr>
        <w:tab/>
      </w:r>
      <w:r>
        <w:rPr>
          <w:rFonts w:ascii="Times" w:hAnsi="Times" w:cs="Times"/>
          <w:sz w:val="24"/>
          <w:szCs w:val="24"/>
        </w:rPr>
        <w:t xml:space="preserve">Wang, X.; Yasuda, K.; Zhang, Y.; Liu, S.; Watanabe, K.; Taniguchi, T.; Hone, J.; Fu, L.; Jarillo-Herrero, P. Interfacial Ferroelectricity in Rhombohedral-Stacked Bilayer Transition Metal Dichalcogenides. </w:t>
      </w:r>
      <w:r>
        <w:rPr>
          <w:rFonts w:ascii="Times" w:hAnsi="Times" w:cs="Times"/>
          <w:i/>
          <w:iCs/>
          <w:sz w:val="24"/>
          <w:szCs w:val="24"/>
        </w:rPr>
        <w:t>Nat. Nanotechnol.</w:t>
      </w:r>
      <w:r>
        <w:rPr>
          <w:rFonts w:ascii="Times" w:hAnsi="Times" w:cs="Times"/>
          <w:sz w:val="24"/>
          <w:szCs w:val="24"/>
        </w:rPr>
        <w:t xml:space="preserve"> </w:t>
      </w:r>
      <w:r>
        <w:rPr>
          <w:rFonts w:ascii="Times" w:hAnsi="Times" w:cs="Times"/>
          <w:b/>
          <w:bCs/>
          <w:sz w:val="24"/>
          <w:szCs w:val="24"/>
        </w:rPr>
        <w:t>2022</w:t>
      </w:r>
      <w:r>
        <w:rPr>
          <w:rFonts w:ascii="Times" w:hAnsi="Times" w:cs="Times"/>
          <w:sz w:val="24"/>
          <w:szCs w:val="24"/>
        </w:rPr>
        <w:t xml:space="preserve">, </w:t>
      </w:r>
      <w:r>
        <w:rPr>
          <w:rFonts w:ascii="Times" w:hAnsi="Times" w:cs="Times"/>
          <w:i/>
          <w:iCs/>
          <w:sz w:val="24"/>
          <w:szCs w:val="24"/>
        </w:rPr>
        <w:t>17</w:t>
      </w:r>
      <w:r>
        <w:rPr>
          <w:rFonts w:ascii="Times" w:hAnsi="Times" w:cs="Times"/>
          <w:sz w:val="24"/>
          <w:szCs w:val="24"/>
        </w:rPr>
        <w:t xml:space="preserve"> (4), 367–371. https://doi.org/10.1038/s41565-021-01059-z.</w:t>
      </w:r>
    </w:p>
    <w:p w14:paraId="160660D3">
      <w:pPr>
        <w:pStyle w:val="18"/>
        <w:spacing w:after="200" w:line="480" w:lineRule="auto"/>
        <w:ind w:left="0" w:firstLine="187"/>
        <w:jc w:val="both"/>
        <w:rPr>
          <w:rFonts w:ascii="Times" w:hAnsi="Times" w:cs="Times"/>
          <w:sz w:val="24"/>
          <w:szCs w:val="24"/>
        </w:rPr>
      </w:pPr>
      <w:r>
        <w:rPr>
          <w:rFonts w:ascii="Times" w:hAnsi="Times" w:cs="Times"/>
          <w:sz w:val="24"/>
          <w:szCs w:val="24"/>
        </w:rPr>
        <w:t>(6)</w:t>
      </w:r>
      <w:r>
        <w:rPr>
          <w:rFonts w:ascii="Times" w:hAnsi="Times" w:cs="Times"/>
          <w:sz w:val="24"/>
          <w:szCs w:val="24"/>
        </w:rPr>
        <w:tab/>
      </w:r>
      <w:r>
        <w:rPr>
          <w:rFonts w:ascii="Times" w:hAnsi="Times" w:cs="Times"/>
          <w:sz w:val="24"/>
          <w:szCs w:val="24"/>
        </w:rPr>
        <w:t xml:space="preserve">Weston, A.; Castanon, E. G.; Enaldiev, V.; Ferreira, F.; Bhattacharjee, S.; Xu, S.; Corte-León, H.; Wu, Z.; Clark, N.; Summerfield, A.; Hashimoto, T.; Gao, Y.; Wang, W.; Hamer, M.; Read, H.; Fumagalli, L.; Kretinin, A. V.; Haigh, S. J.; Kazakova, O.; Geim, A. K.; Fal’ko, V. I.; Gorbachev, R. Interfacial Ferroelectricity in Marginally Twisted 2D Semiconductors. </w:t>
      </w:r>
      <w:r>
        <w:rPr>
          <w:rFonts w:ascii="Times" w:hAnsi="Times" w:cs="Times"/>
          <w:i/>
          <w:iCs/>
          <w:sz w:val="24"/>
          <w:szCs w:val="24"/>
        </w:rPr>
        <w:t>Nat. Nanotechnol.</w:t>
      </w:r>
      <w:r>
        <w:rPr>
          <w:rFonts w:ascii="Times" w:hAnsi="Times" w:cs="Times"/>
          <w:sz w:val="24"/>
          <w:szCs w:val="24"/>
        </w:rPr>
        <w:t xml:space="preserve"> </w:t>
      </w:r>
      <w:r>
        <w:rPr>
          <w:rFonts w:ascii="Times" w:hAnsi="Times" w:cs="Times"/>
          <w:b/>
          <w:bCs/>
          <w:sz w:val="24"/>
          <w:szCs w:val="24"/>
        </w:rPr>
        <w:t>2022</w:t>
      </w:r>
      <w:r>
        <w:rPr>
          <w:rFonts w:ascii="Times" w:hAnsi="Times" w:cs="Times"/>
          <w:sz w:val="24"/>
          <w:szCs w:val="24"/>
        </w:rPr>
        <w:t xml:space="preserve">, </w:t>
      </w:r>
      <w:r>
        <w:rPr>
          <w:rFonts w:ascii="Times" w:hAnsi="Times" w:cs="Times"/>
          <w:i/>
          <w:iCs/>
          <w:sz w:val="24"/>
          <w:szCs w:val="24"/>
        </w:rPr>
        <w:t>17</w:t>
      </w:r>
      <w:r>
        <w:rPr>
          <w:rFonts w:ascii="Times" w:hAnsi="Times" w:cs="Times"/>
          <w:sz w:val="24"/>
          <w:szCs w:val="24"/>
        </w:rPr>
        <w:t xml:space="preserve"> (4), 390–395. https://doi.org/10.1038/s41565-022-01072-w.</w:t>
      </w:r>
    </w:p>
    <w:p w14:paraId="0DBD3820">
      <w:pPr>
        <w:pStyle w:val="18"/>
        <w:spacing w:after="200" w:line="480" w:lineRule="auto"/>
        <w:ind w:left="0" w:firstLine="187"/>
        <w:jc w:val="both"/>
        <w:rPr>
          <w:rFonts w:ascii="Times" w:hAnsi="Times" w:cs="Times"/>
          <w:sz w:val="24"/>
          <w:szCs w:val="24"/>
        </w:rPr>
      </w:pPr>
      <w:r>
        <w:rPr>
          <w:rFonts w:ascii="Times" w:hAnsi="Times" w:cs="Times"/>
          <w:sz w:val="24"/>
          <w:szCs w:val="24"/>
        </w:rPr>
        <w:t>(7)</w:t>
      </w:r>
      <w:r>
        <w:rPr>
          <w:rFonts w:ascii="Times" w:hAnsi="Times" w:cs="Times"/>
          <w:sz w:val="24"/>
          <w:szCs w:val="24"/>
        </w:rPr>
        <w:tab/>
      </w:r>
      <w:r>
        <w:rPr>
          <w:rFonts w:ascii="Times" w:hAnsi="Times" w:cs="Times"/>
          <w:sz w:val="24"/>
          <w:szCs w:val="24"/>
        </w:rPr>
        <w:t xml:space="preserve">Ko, K.; Yuk, A.; Engelke, R.; Carr, S.; Kim, J.; Park, D.; Heo, H.; Kim, H.-M.; Kim, S.-G.; Kim, H.; Taniguchi, T.; Watanabe, K.; Park, H.; Kaxiras, E.; Yang, S. M.; Kim, P.; Yoo, H. Operando Electron Microscopy Investigation of Polar Domain Dynamics in Twisted van Der Waals Homobilayers. </w:t>
      </w:r>
      <w:r>
        <w:rPr>
          <w:rFonts w:ascii="Times" w:hAnsi="Times" w:cs="Times"/>
          <w:i/>
          <w:iCs/>
          <w:sz w:val="24"/>
          <w:szCs w:val="24"/>
        </w:rPr>
        <w:t>Nat. Mater.</w:t>
      </w:r>
      <w:r>
        <w:rPr>
          <w:rFonts w:ascii="Times" w:hAnsi="Times" w:cs="Times"/>
          <w:sz w:val="24"/>
          <w:szCs w:val="24"/>
        </w:rPr>
        <w:t xml:space="preserve"> </w:t>
      </w:r>
      <w:r>
        <w:rPr>
          <w:rFonts w:ascii="Times" w:hAnsi="Times" w:cs="Times"/>
          <w:b/>
          <w:bCs/>
          <w:sz w:val="24"/>
          <w:szCs w:val="24"/>
        </w:rPr>
        <w:t>2023</w:t>
      </w:r>
      <w:r>
        <w:rPr>
          <w:rFonts w:ascii="Times" w:hAnsi="Times" w:cs="Times"/>
          <w:sz w:val="24"/>
          <w:szCs w:val="24"/>
        </w:rPr>
        <w:t xml:space="preserve">, </w:t>
      </w:r>
      <w:r>
        <w:rPr>
          <w:rFonts w:ascii="Times" w:hAnsi="Times" w:cs="Times"/>
          <w:i/>
          <w:iCs/>
          <w:sz w:val="24"/>
          <w:szCs w:val="24"/>
        </w:rPr>
        <w:t>22</w:t>
      </w:r>
      <w:r>
        <w:rPr>
          <w:rFonts w:ascii="Times" w:hAnsi="Times" w:cs="Times"/>
          <w:sz w:val="24"/>
          <w:szCs w:val="24"/>
        </w:rPr>
        <w:t xml:space="preserve"> (8), 992–998. https://doi.org/10.1038/s41563-023-01595-0.</w:t>
      </w:r>
    </w:p>
    <w:p w14:paraId="2F1EE351">
      <w:pPr>
        <w:pStyle w:val="18"/>
        <w:spacing w:after="200" w:line="480" w:lineRule="auto"/>
        <w:ind w:left="0" w:firstLine="187"/>
        <w:jc w:val="both"/>
        <w:rPr>
          <w:rFonts w:ascii="Times" w:hAnsi="Times" w:cs="Times"/>
          <w:sz w:val="24"/>
          <w:szCs w:val="24"/>
        </w:rPr>
      </w:pPr>
      <w:r>
        <w:rPr>
          <w:rFonts w:ascii="Times" w:hAnsi="Times" w:cs="Times"/>
          <w:sz w:val="24"/>
          <w:szCs w:val="24"/>
        </w:rPr>
        <w:t>(8)</w:t>
      </w:r>
      <w:r>
        <w:rPr>
          <w:rFonts w:ascii="Times" w:hAnsi="Times" w:cs="Times"/>
          <w:sz w:val="24"/>
          <w:szCs w:val="24"/>
        </w:rPr>
        <w:tab/>
      </w:r>
      <w:r>
        <w:rPr>
          <w:rFonts w:ascii="Times" w:hAnsi="Times" w:cs="Times"/>
          <w:sz w:val="24"/>
          <w:szCs w:val="24"/>
        </w:rPr>
        <w:t>Yang, D.; Wu, J.; Zhou, B. T.; Liang, J.; Ideue, T.; Siu, T.; Awan, K. M.; Watanabe, K.; Taniguchi, T.; Iwasa, Y.; Franz, M.; Ye, Z. Spontaneous-Polarization-Induced Photovoltaic Effect in Rhombohedrally Stacked MoS</w:t>
      </w:r>
      <w:r>
        <w:rPr>
          <w:rFonts w:ascii="Times" w:hAnsi="Times" w:cs="Times"/>
          <w:sz w:val="24"/>
          <w:szCs w:val="24"/>
          <w:vertAlign w:val="subscript"/>
        </w:rPr>
        <w:t>2</w:t>
      </w:r>
      <w:r>
        <w:rPr>
          <w:rFonts w:ascii="Times" w:hAnsi="Times" w:cs="Times"/>
          <w:sz w:val="24"/>
          <w:szCs w:val="24"/>
        </w:rPr>
        <w:t xml:space="preserve">. </w:t>
      </w:r>
      <w:r>
        <w:rPr>
          <w:rFonts w:ascii="Times" w:hAnsi="Times" w:cs="Times"/>
          <w:i/>
          <w:iCs/>
          <w:sz w:val="24"/>
          <w:szCs w:val="24"/>
        </w:rPr>
        <w:t>Nat. Photon.</w:t>
      </w:r>
      <w:r>
        <w:rPr>
          <w:rFonts w:ascii="Times" w:hAnsi="Times" w:cs="Times"/>
          <w:sz w:val="24"/>
          <w:szCs w:val="24"/>
        </w:rPr>
        <w:t xml:space="preserve"> </w:t>
      </w:r>
      <w:r>
        <w:rPr>
          <w:rFonts w:ascii="Times" w:hAnsi="Times" w:cs="Times"/>
          <w:b/>
          <w:bCs/>
          <w:sz w:val="24"/>
          <w:szCs w:val="24"/>
        </w:rPr>
        <w:t>2022</w:t>
      </w:r>
      <w:r>
        <w:rPr>
          <w:rFonts w:ascii="Times" w:hAnsi="Times" w:cs="Times"/>
          <w:sz w:val="24"/>
          <w:szCs w:val="24"/>
        </w:rPr>
        <w:t xml:space="preserve">, </w:t>
      </w:r>
      <w:r>
        <w:rPr>
          <w:rFonts w:ascii="Times" w:hAnsi="Times" w:cs="Times"/>
          <w:i/>
          <w:iCs/>
          <w:sz w:val="24"/>
          <w:szCs w:val="24"/>
        </w:rPr>
        <w:t>16</w:t>
      </w:r>
      <w:r>
        <w:rPr>
          <w:rFonts w:ascii="Times" w:hAnsi="Times" w:cs="Times"/>
          <w:sz w:val="24"/>
          <w:szCs w:val="24"/>
        </w:rPr>
        <w:t xml:space="preserve"> (6), 469–474. https://doi.org/10.1038/s41566-022-01008-9.</w:t>
      </w:r>
    </w:p>
    <w:p w14:paraId="4F035D09">
      <w:pPr>
        <w:pStyle w:val="18"/>
        <w:spacing w:after="200" w:line="480" w:lineRule="auto"/>
        <w:ind w:left="0" w:firstLine="187"/>
        <w:jc w:val="both"/>
        <w:rPr>
          <w:rFonts w:ascii="Times" w:hAnsi="Times" w:cs="Times"/>
          <w:sz w:val="24"/>
          <w:szCs w:val="24"/>
        </w:rPr>
      </w:pPr>
      <w:r>
        <w:rPr>
          <w:rFonts w:ascii="Times" w:hAnsi="Times" w:cs="Times"/>
          <w:sz w:val="24"/>
          <w:szCs w:val="24"/>
        </w:rPr>
        <w:t>(9)</w:t>
      </w:r>
      <w:r>
        <w:rPr>
          <w:rFonts w:ascii="Times" w:hAnsi="Times" w:cs="Times"/>
          <w:sz w:val="24"/>
          <w:szCs w:val="24"/>
        </w:rPr>
        <w:tab/>
      </w:r>
      <w:r>
        <w:rPr>
          <w:rFonts w:ascii="Times" w:hAnsi="Times" w:cs="Times"/>
          <w:sz w:val="24"/>
          <w:szCs w:val="24"/>
        </w:rPr>
        <w:t xml:space="preserve">Rogée, L.; Wang, L.; Zhang, Y.; Cai, S.; Wang, P.; Chhowalla, M.; Ji, W.; Lau, S. P. Ferroelectricity in Untwisted Heterobilayers of Transition Metal Dichalcogenides. </w:t>
      </w:r>
      <w:r>
        <w:rPr>
          <w:rFonts w:ascii="Times" w:hAnsi="Times" w:cs="Times"/>
          <w:i/>
          <w:iCs/>
          <w:sz w:val="24"/>
          <w:szCs w:val="24"/>
        </w:rPr>
        <w:t>Science</w:t>
      </w:r>
      <w:r>
        <w:rPr>
          <w:rFonts w:ascii="Times" w:hAnsi="Times" w:cs="Times"/>
          <w:sz w:val="24"/>
          <w:szCs w:val="24"/>
        </w:rPr>
        <w:t xml:space="preserve"> </w:t>
      </w:r>
      <w:r>
        <w:rPr>
          <w:rFonts w:ascii="Times" w:hAnsi="Times" w:cs="Times"/>
          <w:b/>
          <w:bCs/>
          <w:sz w:val="24"/>
          <w:szCs w:val="24"/>
        </w:rPr>
        <w:t>2022</w:t>
      </w:r>
      <w:r>
        <w:rPr>
          <w:rFonts w:ascii="Times" w:hAnsi="Times" w:cs="Times"/>
          <w:sz w:val="24"/>
          <w:szCs w:val="24"/>
        </w:rPr>
        <w:t xml:space="preserve">, </w:t>
      </w:r>
      <w:r>
        <w:rPr>
          <w:rFonts w:ascii="Times" w:hAnsi="Times" w:cs="Times"/>
          <w:i/>
          <w:iCs/>
          <w:sz w:val="24"/>
          <w:szCs w:val="24"/>
        </w:rPr>
        <w:t>376</w:t>
      </w:r>
      <w:r>
        <w:rPr>
          <w:rFonts w:ascii="Times" w:hAnsi="Times" w:cs="Times"/>
          <w:sz w:val="24"/>
          <w:szCs w:val="24"/>
        </w:rPr>
        <w:t xml:space="preserve"> (6596), 973–978. https://doi.org/10.1126/science.abm5734.</w:t>
      </w:r>
    </w:p>
    <w:p w14:paraId="4F150E77">
      <w:pPr>
        <w:pStyle w:val="18"/>
        <w:spacing w:after="200" w:line="480" w:lineRule="auto"/>
        <w:ind w:left="0" w:firstLine="187"/>
        <w:jc w:val="both"/>
        <w:rPr>
          <w:rFonts w:ascii="Times" w:hAnsi="Times" w:cs="Times"/>
          <w:sz w:val="24"/>
          <w:szCs w:val="24"/>
        </w:rPr>
      </w:pPr>
      <w:r>
        <w:rPr>
          <w:rFonts w:ascii="Times" w:hAnsi="Times" w:cs="Times"/>
          <w:sz w:val="24"/>
          <w:szCs w:val="24"/>
        </w:rPr>
        <w:t>(10)</w:t>
      </w:r>
      <w:r>
        <w:rPr>
          <w:rFonts w:ascii="Times" w:hAnsi="Times" w:cs="Times"/>
          <w:sz w:val="24"/>
          <w:szCs w:val="24"/>
        </w:rPr>
        <w:tab/>
      </w:r>
      <w:r>
        <w:rPr>
          <w:rFonts w:ascii="Times" w:hAnsi="Times" w:cs="Times"/>
          <w:sz w:val="24"/>
          <w:szCs w:val="24"/>
        </w:rPr>
        <w:t xml:space="preserve">Miao, L.-P.; Ding, N.; Wang, N.; Shi, C.; Ye, H.-Y.; Li, L.; Yao, Y.-F.; Dong, S.; Zhang, Y. Direct Observation of Geometric and Sliding Ferroelectricity in an Amphidynamic Crystal. </w:t>
      </w:r>
      <w:r>
        <w:rPr>
          <w:rFonts w:ascii="Times" w:hAnsi="Times" w:cs="Times"/>
          <w:i/>
          <w:iCs/>
          <w:sz w:val="24"/>
          <w:szCs w:val="24"/>
        </w:rPr>
        <w:t>Nat. Mater.</w:t>
      </w:r>
      <w:r>
        <w:rPr>
          <w:rFonts w:ascii="Times" w:hAnsi="Times" w:cs="Times"/>
          <w:sz w:val="24"/>
          <w:szCs w:val="24"/>
        </w:rPr>
        <w:t xml:space="preserve"> </w:t>
      </w:r>
      <w:r>
        <w:rPr>
          <w:rFonts w:ascii="Times" w:hAnsi="Times" w:cs="Times"/>
          <w:b/>
          <w:bCs/>
          <w:sz w:val="24"/>
          <w:szCs w:val="24"/>
        </w:rPr>
        <w:t>2022</w:t>
      </w:r>
      <w:r>
        <w:rPr>
          <w:rFonts w:ascii="Times" w:hAnsi="Times" w:cs="Times"/>
          <w:sz w:val="24"/>
          <w:szCs w:val="24"/>
        </w:rPr>
        <w:t xml:space="preserve">, </w:t>
      </w:r>
      <w:r>
        <w:rPr>
          <w:rFonts w:ascii="Times" w:hAnsi="Times" w:cs="Times"/>
          <w:i/>
          <w:iCs/>
          <w:sz w:val="24"/>
          <w:szCs w:val="24"/>
        </w:rPr>
        <w:t>21</w:t>
      </w:r>
      <w:r>
        <w:rPr>
          <w:rFonts w:ascii="Times" w:hAnsi="Times" w:cs="Times"/>
          <w:sz w:val="24"/>
          <w:szCs w:val="24"/>
        </w:rPr>
        <w:t xml:space="preserve"> (10), 1158–1164. https://doi.org/10.1038/s41563-022-01322-1.</w:t>
      </w:r>
    </w:p>
    <w:p w14:paraId="75D8D028">
      <w:pPr>
        <w:pStyle w:val="18"/>
        <w:spacing w:after="200" w:line="480" w:lineRule="auto"/>
        <w:ind w:left="0" w:firstLine="187"/>
        <w:jc w:val="both"/>
        <w:rPr>
          <w:rFonts w:ascii="Times" w:hAnsi="Times" w:cs="Times"/>
          <w:sz w:val="24"/>
          <w:szCs w:val="24"/>
        </w:rPr>
      </w:pPr>
      <w:r>
        <w:rPr>
          <w:rFonts w:ascii="Times" w:hAnsi="Times" w:cs="Times"/>
          <w:sz w:val="24"/>
          <w:szCs w:val="24"/>
        </w:rPr>
        <w:t>(11)</w:t>
      </w:r>
      <w:r>
        <w:rPr>
          <w:rFonts w:ascii="Times" w:hAnsi="Times" w:cs="Times"/>
          <w:sz w:val="24"/>
          <w:szCs w:val="24"/>
        </w:rPr>
        <w:tab/>
      </w:r>
      <w:r>
        <w:rPr>
          <w:rFonts w:ascii="Times" w:hAnsi="Times" w:cs="Times"/>
          <w:sz w:val="24"/>
          <w:szCs w:val="24"/>
        </w:rPr>
        <w:t xml:space="preserve">Zhao, P.; Xiao, C.; Yao, W. Universal Superlattice Potential for 2D Materials from Twisted Interface inside H-BN Substrate. </w:t>
      </w:r>
      <w:r>
        <w:rPr>
          <w:rFonts w:ascii="Times" w:hAnsi="Times" w:cs="Times"/>
          <w:i/>
          <w:iCs/>
          <w:sz w:val="24"/>
          <w:szCs w:val="24"/>
        </w:rPr>
        <w:t>npj 2D Mater</w:t>
      </w:r>
      <w:r>
        <w:rPr>
          <w:rFonts w:hint="eastAsia" w:ascii="Times" w:hAnsi="Times" w:cs="Times"/>
          <w:i/>
          <w:iCs/>
          <w:sz w:val="24"/>
          <w:szCs w:val="24"/>
          <w:lang w:val="en-US" w:eastAsia="zh-CN"/>
        </w:rPr>
        <w:t>.</w:t>
      </w:r>
      <w:r>
        <w:rPr>
          <w:rFonts w:ascii="Times" w:hAnsi="Times" w:cs="Times"/>
          <w:i/>
          <w:iCs/>
          <w:sz w:val="24"/>
          <w:szCs w:val="24"/>
        </w:rPr>
        <w:t xml:space="preserve"> Appl</w:t>
      </w:r>
      <w:r>
        <w:rPr>
          <w:rFonts w:hint="eastAsia" w:ascii="Times" w:hAnsi="Times" w:cs="Times"/>
          <w:i/>
          <w:iCs/>
          <w:sz w:val="24"/>
          <w:szCs w:val="24"/>
          <w:lang w:val="en-US" w:eastAsia="zh-CN"/>
        </w:rPr>
        <w:t>.</w:t>
      </w:r>
      <w:r>
        <w:rPr>
          <w:rFonts w:ascii="Times" w:hAnsi="Times" w:cs="Times"/>
          <w:sz w:val="24"/>
          <w:szCs w:val="24"/>
        </w:rPr>
        <w:t xml:space="preserve"> </w:t>
      </w:r>
      <w:r>
        <w:rPr>
          <w:rFonts w:ascii="Times" w:hAnsi="Times" w:cs="Times"/>
          <w:b/>
          <w:bCs/>
          <w:sz w:val="24"/>
          <w:szCs w:val="24"/>
        </w:rPr>
        <w:t>2021</w:t>
      </w:r>
      <w:r>
        <w:rPr>
          <w:rFonts w:ascii="Times" w:hAnsi="Times" w:cs="Times"/>
          <w:sz w:val="24"/>
          <w:szCs w:val="24"/>
        </w:rPr>
        <w:t xml:space="preserve">, </w:t>
      </w:r>
      <w:r>
        <w:rPr>
          <w:rFonts w:ascii="Times" w:hAnsi="Times" w:cs="Times"/>
          <w:i/>
          <w:iCs/>
          <w:sz w:val="24"/>
          <w:szCs w:val="24"/>
        </w:rPr>
        <w:t>5</w:t>
      </w:r>
      <w:r>
        <w:rPr>
          <w:rFonts w:ascii="Times" w:hAnsi="Times" w:cs="Times"/>
          <w:sz w:val="24"/>
          <w:szCs w:val="24"/>
        </w:rPr>
        <w:t xml:space="preserve"> (1), 38. https://doi.org/10.1038/s41699-021-00221-4.</w:t>
      </w:r>
    </w:p>
    <w:p w14:paraId="19B68213">
      <w:pPr>
        <w:pStyle w:val="18"/>
        <w:spacing w:after="200" w:line="480" w:lineRule="auto"/>
        <w:ind w:left="0" w:firstLine="187"/>
        <w:jc w:val="both"/>
        <w:rPr>
          <w:rFonts w:ascii="Times" w:hAnsi="Times" w:cs="Times"/>
          <w:sz w:val="24"/>
          <w:szCs w:val="24"/>
        </w:rPr>
      </w:pPr>
      <w:r>
        <w:rPr>
          <w:rFonts w:ascii="Times" w:hAnsi="Times" w:cs="Times"/>
          <w:sz w:val="24"/>
          <w:szCs w:val="24"/>
        </w:rPr>
        <w:t>(12)</w:t>
      </w:r>
      <w:r>
        <w:rPr>
          <w:rFonts w:ascii="Times" w:hAnsi="Times" w:cs="Times"/>
          <w:sz w:val="24"/>
          <w:szCs w:val="24"/>
        </w:rPr>
        <w:tab/>
      </w:r>
      <w:r>
        <w:rPr>
          <w:rFonts w:ascii="Times" w:hAnsi="Times" w:cs="Times"/>
          <w:sz w:val="24"/>
          <w:szCs w:val="24"/>
        </w:rPr>
        <w:t xml:space="preserve">Tan, T.; Reddy, A. P.; Fu, L.; Devakul, T. Designing Topology and Fractionalization in Narrow Gap Semiconductor Films via Electrostatic Engineering. </w:t>
      </w:r>
      <w:r>
        <w:rPr>
          <w:rFonts w:ascii="Times" w:hAnsi="Times" w:cs="Times"/>
          <w:i/>
          <w:iCs/>
          <w:sz w:val="24"/>
          <w:szCs w:val="24"/>
        </w:rPr>
        <w:t>Phys. Rev. Lett.</w:t>
      </w:r>
      <w:r>
        <w:rPr>
          <w:rFonts w:ascii="Times" w:hAnsi="Times" w:cs="Times"/>
          <w:sz w:val="24"/>
          <w:szCs w:val="24"/>
        </w:rPr>
        <w:t xml:space="preserve"> </w:t>
      </w:r>
      <w:r>
        <w:rPr>
          <w:rFonts w:ascii="Times" w:hAnsi="Times" w:cs="Times"/>
          <w:b/>
          <w:bCs/>
          <w:sz w:val="24"/>
          <w:szCs w:val="24"/>
        </w:rPr>
        <w:t>2024</w:t>
      </w:r>
      <w:r>
        <w:rPr>
          <w:rFonts w:ascii="Times" w:hAnsi="Times" w:cs="Times"/>
          <w:sz w:val="24"/>
          <w:szCs w:val="24"/>
        </w:rPr>
        <w:t xml:space="preserve">, </w:t>
      </w:r>
      <w:r>
        <w:rPr>
          <w:rFonts w:ascii="Times" w:hAnsi="Times" w:cs="Times"/>
          <w:i/>
          <w:iCs/>
          <w:sz w:val="24"/>
          <w:szCs w:val="24"/>
        </w:rPr>
        <w:t>133</w:t>
      </w:r>
      <w:r>
        <w:rPr>
          <w:rFonts w:ascii="Times" w:hAnsi="Times" w:cs="Times"/>
          <w:sz w:val="24"/>
          <w:szCs w:val="24"/>
        </w:rPr>
        <w:t xml:space="preserve"> (20), 206601. https://doi.org/10.1103/PhysRevLett.133.206601.</w:t>
      </w:r>
    </w:p>
    <w:p w14:paraId="09A8C9FA">
      <w:pPr>
        <w:pStyle w:val="18"/>
        <w:spacing w:after="200" w:line="480" w:lineRule="auto"/>
        <w:ind w:left="0" w:firstLine="187"/>
        <w:jc w:val="both"/>
        <w:rPr>
          <w:rFonts w:ascii="Times" w:hAnsi="Times" w:cs="Times"/>
          <w:sz w:val="24"/>
          <w:szCs w:val="24"/>
        </w:rPr>
      </w:pPr>
      <w:r>
        <w:rPr>
          <w:rFonts w:ascii="Times" w:hAnsi="Times" w:cs="Times"/>
          <w:sz w:val="24"/>
          <w:szCs w:val="24"/>
        </w:rPr>
        <w:t>(13)</w:t>
      </w:r>
      <w:r>
        <w:rPr>
          <w:rFonts w:ascii="Times" w:hAnsi="Times" w:cs="Times"/>
          <w:sz w:val="24"/>
          <w:szCs w:val="24"/>
        </w:rPr>
        <w:tab/>
      </w:r>
      <w:r>
        <w:rPr>
          <w:rFonts w:ascii="Times" w:hAnsi="Times" w:cs="Times"/>
          <w:sz w:val="24"/>
          <w:szCs w:val="24"/>
        </w:rPr>
        <w:t xml:space="preserve">Cho, M.; Datta, B.; Han, K.; Chand, S. B.; Adak, P. C.; Yu, S.; Li, F.; Watanabe, K.; Taniguchi, T.; Hone, J.; Jung, J.; Grosso, G.; Kim, Y. D.; Menon, V. M. Moiré Exciton Polaron Engineering via Twisted hBN. </w:t>
      </w:r>
      <w:r>
        <w:rPr>
          <w:rFonts w:ascii="Times" w:hAnsi="Times" w:cs="Times"/>
          <w:i/>
          <w:iCs/>
          <w:sz w:val="24"/>
          <w:szCs w:val="24"/>
        </w:rPr>
        <w:t>Nano Lett.</w:t>
      </w:r>
      <w:r>
        <w:rPr>
          <w:rFonts w:ascii="Times" w:hAnsi="Times" w:cs="Times"/>
          <w:sz w:val="24"/>
          <w:szCs w:val="24"/>
        </w:rPr>
        <w:t xml:space="preserve"> </w:t>
      </w:r>
      <w:r>
        <w:rPr>
          <w:rFonts w:hint="eastAsia" w:ascii="Times" w:hAnsi="Times" w:cs="Times"/>
          <w:b/>
          <w:bCs/>
          <w:sz w:val="24"/>
          <w:szCs w:val="24"/>
        </w:rPr>
        <w:t>2025</w:t>
      </w:r>
      <w:r>
        <w:rPr>
          <w:rFonts w:hint="eastAsia" w:ascii="Times" w:hAnsi="Times" w:cs="Times"/>
          <w:sz w:val="24"/>
          <w:szCs w:val="24"/>
        </w:rPr>
        <w:t xml:space="preserve">, </w:t>
      </w:r>
      <w:r>
        <w:rPr>
          <w:rFonts w:hint="eastAsia" w:ascii="Times" w:hAnsi="Times" w:cs="Times"/>
          <w:i/>
          <w:iCs/>
          <w:sz w:val="24"/>
          <w:szCs w:val="24"/>
        </w:rPr>
        <w:t>25</w:t>
      </w:r>
      <w:r>
        <w:rPr>
          <w:rFonts w:hint="eastAsia" w:ascii="Times" w:hAnsi="Times" w:cs="Times"/>
          <w:sz w:val="24"/>
          <w:szCs w:val="24"/>
          <w:lang w:val="en-US" w:eastAsia="zh-CN"/>
        </w:rPr>
        <w:t xml:space="preserve"> (</w:t>
      </w:r>
      <w:r>
        <w:rPr>
          <w:rFonts w:hint="eastAsia" w:ascii="Times" w:hAnsi="Times" w:cs="Times"/>
          <w:sz w:val="24"/>
          <w:szCs w:val="24"/>
        </w:rPr>
        <w:t>4</w:t>
      </w:r>
      <w:r>
        <w:rPr>
          <w:rFonts w:hint="eastAsia" w:ascii="Times" w:hAnsi="Times" w:cs="Times"/>
          <w:sz w:val="24"/>
          <w:szCs w:val="24"/>
          <w:lang w:val="en-US" w:eastAsia="zh-CN"/>
        </w:rPr>
        <w:t>)</w:t>
      </w:r>
      <w:r>
        <w:rPr>
          <w:rFonts w:hint="eastAsia" w:ascii="Times" w:hAnsi="Times" w:cs="Times"/>
          <w:sz w:val="24"/>
          <w:szCs w:val="24"/>
        </w:rPr>
        <w:t>, 1381</w:t>
      </w:r>
      <w:r>
        <w:rPr>
          <w:rFonts w:ascii="Times" w:hAnsi="Times" w:cs="Times"/>
          <w:sz w:val="24"/>
          <w:szCs w:val="24"/>
        </w:rPr>
        <w:t>. https://doi.org/10.1021/acs.nanolett.4c04996.</w:t>
      </w:r>
    </w:p>
    <w:p w14:paraId="2B5942B4">
      <w:pPr>
        <w:pStyle w:val="18"/>
        <w:spacing w:after="200" w:line="480" w:lineRule="auto"/>
        <w:ind w:left="0" w:firstLine="187"/>
        <w:jc w:val="both"/>
        <w:rPr>
          <w:rFonts w:ascii="Times" w:hAnsi="Times" w:cs="Times"/>
          <w:sz w:val="24"/>
          <w:szCs w:val="24"/>
        </w:rPr>
      </w:pPr>
      <w:r>
        <w:rPr>
          <w:rFonts w:ascii="Times" w:hAnsi="Times" w:cs="Times"/>
          <w:sz w:val="24"/>
          <w:szCs w:val="24"/>
        </w:rPr>
        <w:t>(14)</w:t>
      </w:r>
      <w:r>
        <w:rPr>
          <w:rFonts w:ascii="Times" w:hAnsi="Times" w:cs="Times"/>
          <w:sz w:val="24"/>
          <w:szCs w:val="24"/>
        </w:rPr>
        <w:tab/>
      </w:r>
      <w:r>
        <w:rPr>
          <w:rFonts w:ascii="Times" w:hAnsi="Times" w:cs="Times"/>
          <w:sz w:val="24"/>
          <w:szCs w:val="24"/>
        </w:rPr>
        <w:t>Kim, D. S.; Xiao, C.; Dominguez, R. C.; Liu, Z.; Abudayyeh, H.; Lee, K.; Mayorga-Luna, R.; Kim, H.; Watanabe, K.; Taniguchi, T.; Shih, C.-K.; Miyahara, Y.; Yao, W.; Li, X. Harnessing Moiré Ferroelectricity to Modulate Semiconductor Monolayer Light Emission. arXiv May 17, 2024. http://arxiv.org/abs/2405.11159.</w:t>
      </w:r>
    </w:p>
    <w:p w14:paraId="1A60C6CA">
      <w:pPr>
        <w:pStyle w:val="18"/>
        <w:spacing w:after="200" w:line="480" w:lineRule="auto"/>
        <w:ind w:left="0" w:firstLine="187"/>
        <w:jc w:val="both"/>
        <w:rPr>
          <w:rFonts w:ascii="Times" w:hAnsi="Times" w:cs="Times"/>
          <w:sz w:val="24"/>
          <w:szCs w:val="24"/>
        </w:rPr>
      </w:pPr>
      <w:r>
        <w:rPr>
          <w:rFonts w:ascii="Times" w:hAnsi="Times" w:cs="Times"/>
          <w:sz w:val="24"/>
          <w:szCs w:val="24"/>
        </w:rPr>
        <w:t>(15)</w:t>
      </w:r>
      <w:r>
        <w:rPr>
          <w:rFonts w:ascii="Times" w:hAnsi="Times" w:cs="Times"/>
          <w:sz w:val="24"/>
          <w:szCs w:val="24"/>
        </w:rPr>
        <w:tab/>
      </w:r>
      <w:r>
        <w:rPr>
          <w:rFonts w:ascii="Times" w:hAnsi="Times" w:cs="Times"/>
          <w:sz w:val="24"/>
          <w:szCs w:val="24"/>
        </w:rPr>
        <w:t xml:space="preserve">Kim, D. S.; Dominguez, R. C.; Mayorga-Luna, R.; Ye, D.; Embley, J.; Tan, T.; Ni, Y.; Liu, Z.; Ford, M.; Gao, F. Y.; Arash, S.; Watanabe, K.; Taniguchi, T.; Kim, S.; Shih, C.-K.; Lai, K.; Yao, W.; Yang, L.; Li, X.; Miyahara, Y. Electrostatic Moiré Potential from Twisted Hexagonal Boron Nitride Layers. </w:t>
      </w:r>
      <w:r>
        <w:rPr>
          <w:rFonts w:ascii="Times" w:hAnsi="Times" w:cs="Times"/>
          <w:i/>
          <w:iCs/>
          <w:sz w:val="24"/>
          <w:szCs w:val="24"/>
        </w:rPr>
        <w:t>Nat. Mater.</w:t>
      </w:r>
      <w:r>
        <w:rPr>
          <w:rFonts w:ascii="Times" w:hAnsi="Times" w:cs="Times"/>
          <w:sz w:val="24"/>
          <w:szCs w:val="24"/>
        </w:rPr>
        <w:t xml:space="preserve"> </w:t>
      </w:r>
      <w:r>
        <w:rPr>
          <w:rFonts w:ascii="Times" w:hAnsi="Times" w:cs="Times"/>
          <w:b/>
          <w:bCs/>
          <w:sz w:val="24"/>
          <w:szCs w:val="24"/>
        </w:rPr>
        <w:t>2024</w:t>
      </w:r>
      <w:r>
        <w:rPr>
          <w:rFonts w:ascii="Times" w:hAnsi="Times" w:cs="Times"/>
          <w:sz w:val="24"/>
          <w:szCs w:val="24"/>
        </w:rPr>
        <w:t xml:space="preserve">, </w:t>
      </w:r>
      <w:r>
        <w:rPr>
          <w:rFonts w:ascii="Times" w:hAnsi="Times" w:cs="Times"/>
          <w:i/>
          <w:iCs/>
          <w:sz w:val="24"/>
          <w:szCs w:val="24"/>
        </w:rPr>
        <w:t>23</w:t>
      </w:r>
      <w:r>
        <w:rPr>
          <w:rFonts w:ascii="Times" w:hAnsi="Times" w:cs="Times"/>
          <w:sz w:val="24"/>
          <w:szCs w:val="24"/>
        </w:rPr>
        <w:t xml:space="preserve"> (1), 65–70. https://doi.org/10.1038/s41563-023-01637-7.</w:t>
      </w:r>
    </w:p>
    <w:p w14:paraId="0DB6ED3B">
      <w:pPr>
        <w:pStyle w:val="18"/>
        <w:spacing w:after="200" w:line="480" w:lineRule="auto"/>
        <w:ind w:left="0" w:firstLine="187"/>
        <w:jc w:val="both"/>
        <w:rPr>
          <w:rFonts w:ascii="Times" w:hAnsi="Times" w:cs="Times"/>
          <w:sz w:val="24"/>
          <w:szCs w:val="24"/>
        </w:rPr>
      </w:pPr>
      <w:r>
        <w:rPr>
          <w:rFonts w:ascii="Times" w:hAnsi="Times" w:cs="Times"/>
          <w:sz w:val="24"/>
          <w:szCs w:val="24"/>
        </w:rPr>
        <w:t>(16)</w:t>
      </w:r>
      <w:r>
        <w:rPr>
          <w:rFonts w:ascii="Times" w:hAnsi="Times" w:cs="Times"/>
          <w:sz w:val="24"/>
          <w:szCs w:val="24"/>
        </w:rPr>
        <w:tab/>
      </w:r>
      <w:r>
        <w:rPr>
          <w:rFonts w:ascii="Times" w:hAnsi="Times" w:cs="Times"/>
          <w:sz w:val="24"/>
          <w:szCs w:val="24"/>
        </w:rPr>
        <w:t>Roux, S.; Fraunié, J.; Watanabe, K.; Taniguchi, T.; Lassagne, B.; Robert, C. Optical Detection of Sliding Ferroelectric Switching in hBN with a WSe</w:t>
      </w:r>
      <w:r>
        <w:rPr>
          <w:rFonts w:ascii="Times" w:hAnsi="Times" w:cs="Times"/>
          <w:sz w:val="24"/>
          <w:szCs w:val="24"/>
          <w:vertAlign w:val="subscript"/>
        </w:rPr>
        <w:t>2</w:t>
      </w:r>
      <w:r>
        <w:rPr>
          <w:rFonts w:ascii="Times" w:hAnsi="Times" w:cs="Times"/>
          <w:sz w:val="24"/>
          <w:szCs w:val="24"/>
        </w:rPr>
        <w:t xml:space="preserve"> Monolayer. </w:t>
      </w:r>
      <w:r>
        <w:rPr>
          <w:rFonts w:ascii="Times" w:hAnsi="Times" w:cs="Times"/>
          <w:i/>
          <w:iCs/>
          <w:sz w:val="24"/>
          <w:szCs w:val="24"/>
        </w:rPr>
        <w:t>Nano Lett.</w:t>
      </w:r>
      <w:r>
        <w:rPr>
          <w:rFonts w:ascii="Times" w:hAnsi="Times" w:cs="Times"/>
          <w:sz w:val="24"/>
          <w:szCs w:val="24"/>
        </w:rPr>
        <w:t xml:space="preserve"> </w:t>
      </w:r>
      <w:r>
        <w:rPr>
          <w:rFonts w:ascii="Times" w:hAnsi="Times" w:cs="Times"/>
          <w:b/>
          <w:bCs/>
          <w:sz w:val="24"/>
          <w:szCs w:val="24"/>
        </w:rPr>
        <w:t>202</w:t>
      </w:r>
      <w:r>
        <w:rPr>
          <w:rFonts w:hint="eastAsia" w:ascii="Times" w:hAnsi="Times" w:cs="Times"/>
          <w:b/>
          <w:bCs/>
          <w:sz w:val="24"/>
          <w:szCs w:val="24"/>
          <w:lang w:val="en-US" w:eastAsia="zh-CN"/>
        </w:rPr>
        <w:t>5</w:t>
      </w:r>
      <w:r>
        <w:rPr>
          <w:rFonts w:hint="eastAsia" w:ascii="Times" w:hAnsi="Times" w:cs="Times"/>
          <w:b w:val="0"/>
          <w:bCs w:val="0"/>
          <w:sz w:val="24"/>
          <w:szCs w:val="24"/>
          <w:lang w:val="en-US" w:eastAsia="zh-CN"/>
        </w:rPr>
        <w:t>,</w:t>
      </w:r>
      <w:r>
        <w:rPr>
          <w:rFonts w:hint="eastAsia" w:ascii="Times" w:hAnsi="Times" w:cs="Times"/>
          <w:b/>
          <w:bCs/>
          <w:sz w:val="24"/>
          <w:szCs w:val="24"/>
          <w:lang w:val="en-US" w:eastAsia="zh-CN"/>
        </w:rPr>
        <w:t xml:space="preserve"> </w:t>
      </w:r>
      <w:r>
        <w:rPr>
          <w:rFonts w:hint="eastAsia" w:ascii="Times" w:hAnsi="Times" w:cs="Times"/>
          <w:i/>
          <w:iCs/>
          <w:sz w:val="24"/>
          <w:szCs w:val="24"/>
          <w:lang w:val="en-US" w:eastAsia="zh-CN"/>
        </w:rPr>
        <w:t xml:space="preserve">25 </w:t>
      </w:r>
      <w:r>
        <w:rPr>
          <w:rFonts w:hint="eastAsia" w:ascii="Times" w:hAnsi="Times" w:cs="Times"/>
          <w:i w:val="0"/>
          <w:iCs w:val="0"/>
          <w:sz w:val="24"/>
          <w:szCs w:val="24"/>
          <w:lang w:val="en-US" w:eastAsia="zh-CN"/>
        </w:rPr>
        <w:t>(</w:t>
      </w:r>
      <w:r>
        <w:rPr>
          <w:rFonts w:hint="eastAsia" w:ascii="Times" w:hAnsi="Times" w:cs="Times"/>
          <w:sz w:val="24"/>
          <w:szCs w:val="24"/>
          <w:lang w:val="en-US" w:eastAsia="zh-CN"/>
        </w:rPr>
        <w:t>1), 321</w:t>
      </w:r>
      <w:r>
        <w:rPr>
          <w:rFonts w:ascii="Times" w:hAnsi="Times" w:cs="Times"/>
          <w:sz w:val="24"/>
          <w:szCs w:val="24"/>
        </w:rPr>
        <w:t>. https://doi.org/10.1021/acs.nanolett.4c05062.</w:t>
      </w:r>
    </w:p>
    <w:p w14:paraId="3DB7AC9A">
      <w:pPr>
        <w:pStyle w:val="18"/>
        <w:spacing w:after="200" w:line="480" w:lineRule="auto"/>
        <w:ind w:left="0" w:firstLine="187"/>
        <w:jc w:val="both"/>
        <w:rPr>
          <w:rFonts w:ascii="Times" w:hAnsi="Times" w:cs="Times"/>
          <w:sz w:val="24"/>
          <w:szCs w:val="24"/>
        </w:rPr>
      </w:pPr>
      <w:r>
        <w:rPr>
          <w:rFonts w:ascii="Times" w:hAnsi="Times" w:cs="Times"/>
          <w:sz w:val="24"/>
          <w:szCs w:val="24"/>
        </w:rPr>
        <w:t>(17)</w:t>
      </w:r>
      <w:r>
        <w:rPr>
          <w:rFonts w:ascii="Times" w:hAnsi="Times" w:cs="Times"/>
          <w:sz w:val="24"/>
          <w:szCs w:val="24"/>
        </w:rPr>
        <w:tab/>
      </w:r>
      <w:r>
        <w:rPr>
          <w:rFonts w:ascii="Times" w:hAnsi="Times" w:cs="Times"/>
          <w:sz w:val="24"/>
          <w:szCs w:val="24"/>
        </w:rPr>
        <w:t>Fraunié, J.; Jamil, R.; Kantelberg, R.; Roux, S.; Petit, L.; Lepleux, E.; Pacheco, L.; Watanabe, K.; Taniguchi, T.; Jacques, V.; Lombez, L.; Glazov, M. M.; Lassagne, B.; Marie, X.; Robert, C. Electron and Hole Doping of Monolayer WSe</w:t>
      </w:r>
      <w:r>
        <w:rPr>
          <w:rFonts w:ascii="Times" w:hAnsi="Times" w:cs="Times"/>
          <w:sz w:val="24"/>
          <w:szCs w:val="24"/>
          <w:vertAlign w:val="subscript"/>
        </w:rPr>
        <w:t>2</w:t>
      </w:r>
      <w:r>
        <w:rPr>
          <w:rFonts w:ascii="Times" w:hAnsi="Times" w:cs="Times"/>
          <w:sz w:val="24"/>
          <w:szCs w:val="24"/>
        </w:rPr>
        <w:t xml:space="preserve"> Induced by Twisted Ferroelectric Hexagonal Boron Nitride. </w:t>
      </w:r>
      <w:r>
        <w:rPr>
          <w:rFonts w:ascii="Times" w:hAnsi="Times" w:cs="Times"/>
          <w:i/>
          <w:iCs/>
          <w:sz w:val="24"/>
          <w:szCs w:val="24"/>
        </w:rPr>
        <w:t>Phys. Rev. Mater.</w:t>
      </w:r>
      <w:r>
        <w:rPr>
          <w:rFonts w:ascii="Times" w:hAnsi="Times" w:cs="Times"/>
          <w:sz w:val="24"/>
          <w:szCs w:val="24"/>
        </w:rPr>
        <w:t xml:space="preserve"> </w:t>
      </w:r>
      <w:r>
        <w:rPr>
          <w:rFonts w:ascii="Times" w:hAnsi="Times" w:cs="Times"/>
          <w:b/>
          <w:bCs/>
          <w:sz w:val="24"/>
          <w:szCs w:val="24"/>
        </w:rPr>
        <w:t>2023</w:t>
      </w:r>
      <w:r>
        <w:rPr>
          <w:rFonts w:ascii="Times" w:hAnsi="Times" w:cs="Times"/>
          <w:sz w:val="24"/>
          <w:szCs w:val="24"/>
        </w:rPr>
        <w:t xml:space="preserve">, </w:t>
      </w:r>
      <w:r>
        <w:rPr>
          <w:rFonts w:ascii="Times" w:hAnsi="Times" w:cs="Times"/>
          <w:i/>
          <w:iCs/>
          <w:sz w:val="24"/>
          <w:szCs w:val="24"/>
        </w:rPr>
        <w:t>7</w:t>
      </w:r>
      <w:r>
        <w:rPr>
          <w:rFonts w:ascii="Times" w:hAnsi="Times" w:cs="Times"/>
          <w:sz w:val="24"/>
          <w:szCs w:val="24"/>
        </w:rPr>
        <w:t xml:space="preserve"> (12), L121002. https://doi.org/10.1103/PhysRevMaterials.7.L121002.</w:t>
      </w:r>
    </w:p>
    <w:p w14:paraId="4A656450">
      <w:pPr>
        <w:pStyle w:val="18"/>
        <w:spacing w:after="200" w:line="480" w:lineRule="auto"/>
        <w:ind w:left="0" w:firstLine="187"/>
        <w:jc w:val="both"/>
        <w:rPr>
          <w:rFonts w:ascii="Times" w:hAnsi="Times" w:cs="Times"/>
          <w:sz w:val="24"/>
          <w:szCs w:val="24"/>
        </w:rPr>
      </w:pPr>
      <w:r>
        <w:rPr>
          <w:rFonts w:ascii="Times" w:hAnsi="Times" w:cs="Times"/>
          <w:sz w:val="24"/>
          <w:szCs w:val="24"/>
        </w:rPr>
        <w:t>(18)</w:t>
      </w:r>
      <w:r>
        <w:rPr>
          <w:rFonts w:ascii="Times" w:hAnsi="Times" w:cs="Times"/>
          <w:sz w:val="24"/>
          <w:szCs w:val="24"/>
        </w:rPr>
        <w:tab/>
      </w:r>
      <w:r>
        <w:rPr>
          <w:rFonts w:ascii="Times" w:hAnsi="Times" w:cs="Times"/>
          <w:sz w:val="24"/>
          <w:szCs w:val="24"/>
        </w:rPr>
        <w:t xml:space="preserve">Kiper, N.; Adlong, H. S.; Christianen, A.; Kroner, M.; Watanabe, K.; Taniguchi, T.; Imamoglu, A. Confined Trions and Mott-Wigner States in a Purely Electrostatic Moiré Potential. </w:t>
      </w:r>
      <w:r>
        <w:rPr>
          <w:rFonts w:hint="eastAsia" w:ascii="Times" w:hAnsi="Times" w:cs="Times"/>
          <w:i/>
          <w:iCs/>
          <w:sz w:val="24"/>
          <w:szCs w:val="24"/>
          <w:lang w:val="en-US" w:eastAsia="zh-CN"/>
        </w:rPr>
        <w:t>Phys. Rev. X</w:t>
      </w:r>
      <w:r>
        <w:rPr>
          <w:rFonts w:hint="eastAsia" w:ascii="Times" w:hAnsi="Times" w:cs="Times"/>
          <w:sz w:val="24"/>
          <w:szCs w:val="24"/>
          <w:lang w:val="en-US" w:eastAsia="zh-CN"/>
        </w:rPr>
        <w:t xml:space="preserve"> </w:t>
      </w:r>
      <w:r>
        <w:rPr>
          <w:rFonts w:hint="eastAsia" w:ascii="Times" w:hAnsi="Times" w:cs="Times"/>
          <w:b/>
          <w:bCs/>
          <w:sz w:val="24"/>
          <w:szCs w:val="24"/>
          <w:lang w:val="en-US" w:eastAsia="zh-CN"/>
        </w:rPr>
        <w:t>2025</w:t>
      </w:r>
      <w:r>
        <w:rPr>
          <w:rFonts w:hint="eastAsia" w:ascii="Times" w:hAnsi="Times" w:cs="Times"/>
          <w:sz w:val="24"/>
          <w:szCs w:val="24"/>
          <w:lang w:val="en-US" w:eastAsia="zh-CN"/>
        </w:rPr>
        <w:t xml:space="preserve">, </w:t>
      </w:r>
      <w:r>
        <w:rPr>
          <w:rFonts w:hint="eastAsia" w:ascii="Times" w:hAnsi="Times" w:cs="Times"/>
          <w:i/>
          <w:iCs/>
          <w:sz w:val="24"/>
          <w:szCs w:val="24"/>
          <w:lang w:val="en-US" w:eastAsia="zh-CN"/>
        </w:rPr>
        <w:t>15</w:t>
      </w:r>
      <w:r>
        <w:rPr>
          <w:rFonts w:hint="eastAsia" w:ascii="Times" w:hAnsi="Times" w:cs="Times"/>
          <w:sz w:val="24"/>
          <w:szCs w:val="24"/>
          <w:lang w:val="en-US" w:eastAsia="zh-CN"/>
        </w:rPr>
        <w:t>, 011049</w:t>
      </w:r>
      <w:r>
        <w:rPr>
          <w:rFonts w:ascii="Times" w:hAnsi="Times" w:cs="Times"/>
          <w:sz w:val="24"/>
          <w:szCs w:val="24"/>
        </w:rPr>
        <w:t xml:space="preserve">. </w:t>
      </w:r>
      <w:r>
        <w:rPr>
          <w:rFonts w:hint="eastAsia" w:ascii="Times" w:hAnsi="Times" w:cs="Times"/>
          <w:sz w:val="24"/>
          <w:szCs w:val="24"/>
        </w:rPr>
        <w:t>https://doi.org/10.1103/PhysRevX.15.011049</w:t>
      </w:r>
      <w:r>
        <w:rPr>
          <w:rFonts w:ascii="Times" w:hAnsi="Times" w:cs="Times"/>
          <w:sz w:val="24"/>
          <w:szCs w:val="24"/>
        </w:rPr>
        <w:t>.</w:t>
      </w:r>
    </w:p>
    <w:p w14:paraId="2EC63F22">
      <w:pPr>
        <w:pStyle w:val="18"/>
        <w:spacing w:after="200" w:line="480" w:lineRule="auto"/>
        <w:ind w:left="0" w:firstLine="187"/>
        <w:jc w:val="both"/>
        <w:rPr>
          <w:rFonts w:ascii="Times" w:hAnsi="Times" w:cs="Times"/>
          <w:sz w:val="24"/>
          <w:szCs w:val="24"/>
        </w:rPr>
      </w:pPr>
      <w:r>
        <w:rPr>
          <w:rFonts w:ascii="Times" w:hAnsi="Times" w:cs="Times"/>
          <w:sz w:val="24"/>
          <w:szCs w:val="24"/>
        </w:rPr>
        <w:t>(19)</w:t>
      </w:r>
      <w:r>
        <w:rPr>
          <w:rFonts w:ascii="Times" w:hAnsi="Times" w:cs="Times"/>
          <w:sz w:val="24"/>
          <w:szCs w:val="24"/>
        </w:rPr>
        <w:tab/>
      </w:r>
      <w:r>
        <w:rPr>
          <w:rFonts w:ascii="Times" w:hAnsi="Times" w:cs="Times"/>
          <w:sz w:val="24"/>
          <w:szCs w:val="24"/>
        </w:rPr>
        <w:t xml:space="preserve">Zhang, S.; Fonseca, J.; Bennett, D.; Sun, Z.; Zhang, J.; Jing, R.; Xu, S.; He, L.; Moore, S. L.; Rossi, S. E.; Ovchinnikov, D.; Cobden, D.; Jarillo-Herrero, P.; Fogler, M. M.; Kim, P.; Kaxiras, E.; Xu, X.; Basov, D. N. Plasmonic Polarization Sensing of Electrostatic Superlattice Potentials. Plasmonic Polarization Sensing of Electrostatic Superlattice Potentials. </w:t>
      </w:r>
      <w:r>
        <w:rPr>
          <w:rFonts w:hint="eastAsia" w:ascii="Times" w:hAnsi="Times" w:cs="Times"/>
          <w:i/>
          <w:iCs/>
          <w:sz w:val="24"/>
          <w:szCs w:val="24"/>
          <w:lang w:val="en-US" w:eastAsia="zh-CN"/>
        </w:rPr>
        <w:t>Phys. Rev. X</w:t>
      </w:r>
      <w:r>
        <w:rPr>
          <w:rFonts w:hint="eastAsia" w:ascii="Times" w:hAnsi="Times" w:cs="Times"/>
          <w:sz w:val="24"/>
          <w:szCs w:val="24"/>
          <w:lang w:val="en-US" w:eastAsia="zh-CN"/>
        </w:rPr>
        <w:t xml:space="preserve"> </w:t>
      </w:r>
      <w:r>
        <w:rPr>
          <w:rFonts w:hint="eastAsia" w:ascii="Times" w:hAnsi="Times" w:cs="Times"/>
          <w:b/>
          <w:bCs/>
          <w:sz w:val="24"/>
          <w:szCs w:val="24"/>
          <w:lang w:val="en-US" w:eastAsia="zh-CN"/>
        </w:rPr>
        <w:t>2025</w:t>
      </w:r>
      <w:r>
        <w:rPr>
          <w:rFonts w:hint="eastAsia" w:ascii="Times" w:hAnsi="Times" w:cs="Times"/>
          <w:sz w:val="24"/>
          <w:szCs w:val="24"/>
          <w:lang w:val="en-US" w:eastAsia="zh-CN"/>
        </w:rPr>
        <w:t xml:space="preserve">, </w:t>
      </w:r>
      <w:r>
        <w:rPr>
          <w:rFonts w:hint="eastAsia" w:ascii="Times" w:hAnsi="Times" w:cs="Times"/>
          <w:i/>
          <w:iCs/>
          <w:sz w:val="24"/>
          <w:szCs w:val="24"/>
          <w:lang w:val="en-US" w:eastAsia="zh-CN"/>
        </w:rPr>
        <w:t>15</w:t>
      </w:r>
      <w:r>
        <w:rPr>
          <w:rFonts w:hint="eastAsia" w:ascii="Times" w:hAnsi="Times" w:cs="Times"/>
          <w:sz w:val="24"/>
          <w:szCs w:val="24"/>
          <w:lang w:val="en-US" w:eastAsia="zh-CN"/>
        </w:rPr>
        <w:t>, 011019. https://doi.org/10.1103/PhysRevX.15.011019</w:t>
      </w:r>
      <w:r>
        <w:rPr>
          <w:rFonts w:ascii="Times" w:hAnsi="Times" w:cs="Times"/>
          <w:sz w:val="24"/>
          <w:szCs w:val="24"/>
        </w:rPr>
        <w:t>.</w:t>
      </w:r>
    </w:p>
    <w:p w14:paraId="0670CEAD">
      <w:pPr>
        <w:pStyle w:val="18"/>
        <w:spacing w:after="200" w:line="480" w:lineRule="auto"/>
        <w:ind w:left="0" w:firstLine="187"/>
        <w:jc w:val="both"/>
        <w:rPr>
          <w:rFonts w:ascii="Times" w:hAnsi="Times" w:cs="Times"/>
          <w:sz w:val="24"/>
          <w:szCs w:val="24"/>
        </w:rPr>
      </w:pPr>
      <w:r>
        <w:rPr>
          <w:rFonts w:ascii="Times" w:hAnsi="Times" w:cs="Times"/>
          <w:sz w:val="24"/>
          <w:szCs w:val="24"/>
        </w:rPr>
        <w:t>(20)</w:t>
      </w:r>
      <w:r>
        <w:rPr>
          <w:rFonts w:ascii="Times" w:hAnsi="Times" w:cs="Times"/>
          <w:sz w:val="24"/>
          <w:szCs w:val="24"/>
        </w:rPr>
        <w:tab/>
      </w:r>
      <w:r>
        <w:rPr>
          <w:rFonts w:ascii="Times" w:hAnsi="Times" w:cs="Times"/>
          <w:sz w:val="24"/>
          <w:szCs w:val="24"/>
        </w:rPr>
        <w:t>Zhang, S.; Liu, Y.; Sun, Z.; Chen, X.; Li, B.; Moore, S. L.; Liu, S.; Wang, Z.; Rossi, S. E.; Jing, R.; Fonseca, J.; Yang, B.; Shao, Y.; Huang, C.-Y.; Handa, T.; Xiong, L.; Fu, M.; Pan, T.-C.; Halbertal, D.; Xu, X.; Zheng, W.; Schuck, P. J.; Pasupathy, A. N.; Dean, C. R.; Zhu, X.; Cobden, D. H.; Xu, X.; Liu, M.; Fogler, M. M.; Hone, J. C.; Basov, D. N. Visualizing Moiré Ferroelectricity via Plasmons and Nano-Photocurrent in Graphene/Twisted-WSe</w:t>
      </w:r>
      <w:r>
        <w:rPr>
          <w:rFonts w:ascii="Times" w:hAnsi="Times" w:cs="Times"/>
          <w:sz w:val="24"/>
          <w:szCs w:val="24"/>
          <w:vertAlign w:val="subscript"/>
        </w:rPr>
        <w:t>2</w:t>
      </w:r>
      <w:r>
        <w:rPr>
          <w:rFonts w:ascii="Times" w:hAnsi="Times" w:cs="Times"/>
          <w:sz w:val="24"/>
          <w:szCs w:val="24"/>
        </w:rPr>
        <w:t xml:space="preserve"> Structures. </w:t>
      </w:r>
      <w:r>
        <w:rPr>
          <w:rFonts w:ascii="Times" w:hAnsi="Times" w:cs="Times"/>
          <w:i/>
          <w:iCs/>
          <w:sz w:val="24"/>
          <w:szCs w:val="24"/>
        </w:rPr>
        <w:t>Nat</w:t>
      </w:r>
      <w:r>
        <w:rPr>
          <w:rFonts w:hint="eastAsia" w:ascii="Times" w:hAnsi="Times" w:cs="Times"/>
          <w:i/>
          <w:iCs/>
          <w:sz w:val="24"/>
          <w:szCs w:val="24"/>
          <w:lang w:val="en-US" w:eastAsia="zh-CN"/>
        </w:rPr>
        <w:t>.</w:t>
      </w:r>
      <w:r>
        <w:rPr>
          <w:rFonts w:ascii="Times" w:hAnsi="Times" w:cs="Times"/>
          <w:i/>
          <w:iCs/>
          <w:sz w:val="24"/>
          <w:szCs w:val="24"/>
        </w:rPr>
        <w:t xml:space="preserve"> Commun</w:t>
      </w:r>
      <w:r>
        <w:rPr>
          <w:rFonts w:hint="eastAsia" w:ascii="Times" w:hAnsi="Times" w:cs="Times"/>
          <w:i/>
          <w:iCs/>
          <w:sz w:val="24"/>
          <w:szCs w:val="24"/>
          <w:lang w:val="en-US" w:eastAsia="zh-CN"/>
        </w:rPr>
        <w:t>.</w:t>
      </w:r>
      <w:r>
        <w:rPr>
          <w:rFonts w:ascii="Times" w:hAnsi="Times" w:cs="Times"/>
          <w:sz w:val="24"/>
          <w:szCs w:val="24"/>
        </w:rPr>
        <w:t xml:space="preserve"> </w:t>
      </w:r>
      <w:r>
        <w:rPr>
          <w:rFonts w:ascii="Times" w:hAnsi="Times" w:cs="Times"/>
          <w:b/>
          <w:bCs/>
          <w:sz w:val="24"/>
          <w:szCs w:val="24"/>
        </w:rPr>
        <w:t>2023</w:t>
      </w:r>
      <w:r>
        <w:rPr>
          <w:rFonts w:ascii="Times" w:hAnsi="Times" w:cs="Times"/>
          <w:sz w:val="24"/>
          <w:szCs w:val="24"/>
        </w:rPr>
        <w:t xml:space="preserve">, </w:t>
      </w:r>
      <w:r>
        <w:rPr>
          <w:rFonts w:ascii="Times" w:hAnsi="Times" w:cs="Times"/>
          <w:i/>
          <w:iCs/>
          <w:sz w:val="24"/>
          <w:szCs w:val="24"/>
        </w:rPr>
        <w:t>14</w:t>
      </w:r>
      <w:r>
        <w:rPr>
          <w:rFonts w:ascii="Times" w:hAnsi="Times" w:cs="Times"/>
          <w:sz w:val="24"/>
          <w:szCs w:val="24"/>
        </w:rPr>
        <w:t xml:space="preserve"> (1), 6200. https://doi.org/10.1038/s41467-023-41773-x.</w:t>
      </w:r>
    </w:p>
    <w:p w14:paraId="30B575BA">
      <w:pPr>
        <w:pStyle w:val="18"/>
        <w:spacing w:after="200" w:line="480" w:lineRule="auto"/>
        <w:ind w:left="0" w:firstLine="187"/>
        <w:jc w:val="both"/>
        <w:rPr>
          <w:rFonts w:ascii="Times" w:hAnsi="Times" w:cs="Times"/>
          <w:sz w:val="24"/>
          <w:szCs w:val="24"/>
        </w:rPr>
      </w:pPr>
      <w:r>
        <w:rPr>
          <w:rFonts w:ascii="Times" w:hAnsi="Times" w:cs="Times"/>
          <w:sz w:val="24"/>
          <w:szCs w:val="24"/>
        </w:rPr>
        <w:t>(21)</w:t>
      </w:r>
      <w:r>
        <w:rPr>
          <w:rFonts w:ascii="Times" w:hAnsi="Times" w:cs="Times"/>
          <w:sz w:val="24"/>
          <w:szCs w:val="24"/>
        </w:rPr>
        <w:tab/>
      </w:r>
      <w:r>
        <w:rPr>
          <w:rFonts w:ascii="Times" w:hAnsi="Times" w:cs="Times"/>
          <w:sz w:val="24"/>
          <w:szCs w:val="24"/>
        </w:rPr>
        <w:t xml:space="preserve">Ding, J.; Xiang, H.; Zhou, W.; Liu, N.; Chen, Q.; Fang, X.; Wang, K.; Wu, L.; Watanabe, K.; Taniguchi, T.; Xin, N.; Xu, S. Engineering Band Structures of Two-Dimensional Materials with Remote Moiré Ferroelectricity. </w:t>
      </w:r>
      <w:r>
        <w:rPr>
          <w:rFonts w:ascii="Times" w:hAnsi="Times" w:cs="Times"/>
          <w:i/>
          <w:iCs/>
          <w:sz w:val="24"/>
          <w:szCs w:val="24"/>
        </w:rPr>
        <w:t>Nat</w:t>
      </w:r>
      <w:r>
        <w:rPr>
          <w:rFonts w:hint="eastAsia" w:ascii="Times" w:hAnsi="Times" w:cs="Times"/>
          <w:i/>
          <w:iCs/>
          <w:sz w:val="24"/>
          <w:szCs w:val="24"/>
          <w:lang w:val="en-US" w:eastAsia="zh-CN"/>
        </w:rPr>
        <w:t>.</w:t>
      </w:r>
      <w:r>
        <w:rPr>
          <w:rFonts w:ascii="Times" w:hAnsi="Times" w:cs="Times"/>
          <w:i/>
          <w:iCs/>
          <w:sz w:val="24"/>
          <w:szCs w:val="24"/>
        </w:rPr>
        <w:t xml:space="preserve"> Commun</w:t>
      </w:r>
      <w:r>
        <w:rPr>
          <w:rFonts w:hint="eastAsia" w:ascii="Times" w:hAnsi="Times" w:cs="Times"/>
          <w:i/>
          <w:iCs/>
          <w:sz w:val="24"/>
          <w:szCs w:val="24"/>
          <w:lang w:val="en-US" w:eastAsia="zh-CN"/>
        </w:rPr>
        <w:t>.</w:t>
      </w:r>
      <w:r>
        <w:rPr>
          <w:rFonts w:ascii="Times" w:hAnsi="Times" w:cs="Times"/>
          <w:sz w:val="24"/>
          <w:szCs w:val="24"/>
        </w:rPr>
        <w:t xml:space="preserve"> </w:t>
      </w:r>
      <w:r>
        <w:rPr>
          <w:rFonts w:ascii="Times" w:hAnsi="Times" w:cs="Times"/>
          <w:b/>
          <w:bCs/>
          <w:sz w:val="24"/>
          <w:szCs w:val="24"/>
        </w:rPr>
        <w:t>2024</w:t>
      </w:r>
      <w:r>
        <w:rPr>
          <w:rFonts w:ascii="Times" w:hAnsi="Times" w:cs="Times"/>
          <w:sz w:val="24"/>
          <w:szCs w:val="24"/>
        </w:rPr>
        <w:t xml:space="preserve">, </w:t>
      </w:r>
      <w:r>
        <w:rPr>
          <w:rFonts w:ascii="Times" w:hAnsi="Times" w:cs="Times"/>
          <w:i/>
          <w:iCs/>
          <w:sz w:val="24"/>
          <w:szCs w:val="24"/>
        </w:rPr>
        <w:t>15</w:t>
      </w:r>
      <w:r>
        <w:rPr>
          <w:rFonts w:ascii="Times" w:hAnsi="Times" w:cs="Times"/>
          <w:sz w:val="24"/>
          <w:szCs w:val="24"/>
        </w:rPr>
        <w:t xml:space="preserve"> (1), 9087. https://doi.org/10.1038/s41467-024-53440-w.</w:t>
      </w:r>
    </w:p>
    <w:p w14:paraId="3C7220DC">
      <w:pPr>
        <w:pStyle w:val="18"/>
        <w:spacing w:after="200" w:line="480" w:lineRule="auto"/>
        <w:ind w:left="0" w:firstLine="187"/>
        <w:jc w:val="both"/>
        <w:rPr>
          <w:rFonts w:ascii="Times" w:hAnsi="Times" w:cs="Times"/>
          <w:sz w:val="24"/>
          <w:szCs w:val="24"/>
        </w:rPr>
      </w:pPr>
      <w:r>
        <w:rPr>
          <w:rFonts w:ascii="Times" w:hAnsi="Times" w:cs="Times"/>
          <w:sz w:val="24"/>
          <w:szCs w:val="24"/>
        </w:rPr>
        <w:t>(22)</w:t>
      </w:r>
      <w:r>
        <w:rPr>
          <w:rFonts w:ascii="Times" w:hAnsi="Times" w:cs="Times"/>
          <w:sz w:val="24"/>
          <w:szCs w:val="24"/>
        </w:rPr>
        <w:tab/>
      </w:r>
      <w:r>
        <w:rPr>
          <w:rFonts w:ascii="Times" w:hAnsi="Times" w:cs="Times"/>
          <w:sz w:val="24"/>
          <w:szCs w:val="24"/>
        </w:rPr>
        <w:t xml:space="preserve">Wang, X.; Xu, C.; Aronson, S.; Bennett, D.; Paul, N.; Crowley, P. J. D.; Collignon, C.; Watanabe, K.; Taniguchi, T.; Ashoori, R.; Kaxiras, E.; Zhang, Y.; Jarillo-Herrero, P.; Yasuda, K. Moiré Band Structure Engineering Using a Twisted Boron Nitride Substrate. </w:t>
      </w:r>
      <w:r>
        <w:rPr>
          <w:rFonts w:ascii="Times" w:hAnsi="Times" w:cs="Times"/>
          <w:i/>
          <w:iCs/>
          <w:sz w:val="24"/>
          <w:szCs w:val="24"/>
        </w:rPr>
        <w:t>Nat</w:t>
      </w:r>
      <w:r>
        <w:rPr>
          <w:rFonts w:hint="eastAsia" w:ascii="Times" w:hAnsi="Times" w:cs="Times"/>
          <w:i/>
          <w:iCs/>
          <w:sz w:val="24"/>
          <w:szCs w:val="24"/>
          <w:lang w:val="en-US" w:eastAsia="zh-CN"/>
        </w:rPr>
        <w:t>.</w:t>
      </w:r>
      <w:r>
        <w:rPr>
          <w:rFonts w:ascii="Times" w:hAnsi="Times" w:cs="Times"/>
          <w:i/>
          <w:iCs/>
          <w:sz w:val="24"/>
          <w:szCs w:val="24"/>
        </w:rPr>
        <w:t xml:space="preserve"> Commun</w:t>
      </w:r>
      <w:r>
        <w:rPr>
          <w:rFonts w:hint="eastAsia" w:ascii="Times" w:hAnsi="Times" w:cs="Times"/>
          <w:i/>
          <w:iCs/>
          <w:sz w:val="24"/>
          <w:szCs w:val="24"/>
          <w:lang w:val="en-US" w:eastAsia="zh-CN"/>
        </w:rPr>
        <w:t>.</w:t>
      </w:r>
      <w:r>
        <w:rPr>
          <w:rFonts w:ascii="Times" w:hAnsi="Times" w:cs="Times"/>
          <w:sz w:val="24"/>
          <w:szCs w:val="24"/>
        </w:rPr>
        <w:t xml:space="preserve"> </w:t>
      </w:r>
      <w:r>
        <w:rPr>
          <w:rFonts w:ascii="Times" w:hAnsi="Times" w:cs="Times"/>
          <w:b/>
          <w:bCs/>
          <w:sz w:val="24"/>
          <w:szCs w:val="24"/>
        </w:rPr>
        <w:t>2025</w:t>
      </w:r>
      <w:r>
        <w:rPr>
          <w:rFonts w:ascii="Times" w:hAnsi="Times" w:cs="Times"/>
          <w:sz w:val="24"/>
          <w:szCs w:val="24"/>
        </w:rPr>
        <w:t xml:space="preserve">, </w:t>
      </w:r>
      <w:r>
        <w:rPr>
          <w:rFonts w:ascii="Times" w:hAnsi="Times" w:cs="Times"/>
          <w:i/>
          <w:iCs/>
          <w:sz w:val="24"/>
          <w:szCs w:val="24"/>
        </w:rPr>
        <w:t>16</w:t>
      </w:r>
      <w:r>
        <w:rPr>
          <w:rFonts w:ascii="Times" w:hAnsi="Times" w:cs="Times"/>
          <w:sz w:val="24"/>
          <w:szCs w:val="24"/>
        </w:rPr>
        <w:t xml:space="preserve"> (1), 178. https://doi.org/10.1038/s41467-024-55432-2.</w:t>
      </w:r>
    </w:p>
    <w:p w14:paraId="01636BEC">
      <w:pPr>
        <w:pStyle w:val="18"/>
        <w:spacing w:after="200" w:line="480" w:lineRule="auto"/>
        <w:ind w:left="0" w:firstLine="187"/>
        <w:jc w:val="both"/>
        <w:rPr>
          <w:rFonts w:ascii="Times" w:hAnsi="Times" w:cs="Times"/>
          <w:sz w:val="24"/>
          <w:szCs w:val="24"/>
        </w:rPr>
      </w:pPr>
      <w:r>
        <w:rPr>
          <w:rFonts w:ascii="Times" w:hAnsi="Times" w:cs="Times"/>
          <w:sz w:val="24"/>
          <w:szCs w:val="24"/>
        </w:rPr>
        <w:t>(23)</w:t>
      </w:r>
      <w:r>
        <w:rPr>
          <w:rFonts w:ascii="Times" w:hAnsi="Times" w:cs="Times"/>
          <w:sz w:val="24"/>
          <w:szCs w:val="24"/>
        </w:rPr>
        <w:tab/>
      </w:r>
      <w:r>
        <w:rPr>
          <w:rFonts w:ascii="Times" w:hAnsi="Times" w:cs="Times"/>
          <w:sz w:val="24"/>
          <w:szCs w:val="24"/>
        </w:rPr>
        <w:t xml:space="preserve">Cao, S.; Chen, M.; Zeng, J.; Ma, N.; Zheng, R.; Feng, Y.; Yan, S.; Liu, J.; Watanabe, K.; Taniguchi, T.; Xie, X. C.; Chen, J.-H. Transport Evidence of Superlattice Dirac Cones in Graphene Monolayer on Twisted Boron Nitride Substrate. </w:t>
      </w:r>
      <w:r>
        <w:rPr>
          <w:rFonts w:ascii="Times" w:hAnsi="Times" w:cs="Times"/>
          <w:i/>
          <w:iCs/>
          <w:sz w:val="24"/>
          <w:szCs w:val="24"/>
        </w:rPr>
        <w:t>2D Mater.</w:t>
      </w:r>
      <w:r>
        <w:rPr>
          <w:rFonts w:ascii="Times" w:hAnsi="Times" w:cs="Times"/>
          <w:sz w:val="24"/>
          <w:szCs w:val="24"/>
        </w:rPr>
        <w:t xml:space="preserve"> </w:t>
      </w:r>
      <w:r>
        <w:rPr>
          <w:rFonts w:ascii="Times" w:hAnsi="Times" w:cs="Times"/>
          <w:b/>
          <w:bCs/>
          <w:sz w:val="24"/>
          <w:szCs w:val="24"/>
        </w:rPr>
        <w:t>2023</w:t>
      </w:r>
      <w:r>
        <w:rPr>
          <w:rFonts w:ascii="Times" w:hAnsi="Times" w:cs="Times"/>
          <w:sz w:val="24"/>
          <w:szCs w:val="24"/>
        </w:rPr>
        <w:t xml:space="preserve">, </w:t>
      </w:r>
      <w:r>
        <w:rPr>
          <w:rFonts w:ascii="Times" w:hAnsi="Times" w:cs="Times"/>
          <w:i/>
          <w:iCs/>
          <w:sz w:val="24"/>
          <w:szCs w:val="24"/>
        </w:rPr>
        <w:t>10</w:t>
      </w:r>
      <w:r>
        <w:rPr>
          <w:rFonts w:ascii="Times" w:hAnsi="Times" w:cs="Times"/>
          <w:sz w:val="24"/>
          <w:szCs w:val="24"/>
        </w:rPr>
        <w:t xml:space="preserve"> (2), 025016. https://doi.org/10.1088/2053-1583/acbdaa.</w:t>
      </w:r>
    </w:p>
    <w:p w14:paraId="5E2FE199">
      <w:pPr>
        <w:pStyle w:val="18"/>
        <w:spacing w:after="200" w:line="480" w:lineRule="auto"/>
        <w:ind w:left="0" w:firstLine="187"/>
        <w:jc w:val="both"/>
        <w:rPr>
          <w:rFonts w:ascii="Times" w:hAnsi="Times" w:cs="Times"/>
          <w:sz w:val="24"/>
          <w:szCs w:val="24"/>
        </w:rPr>
      </w:pPr>
      <w:r>
        <w:rPr>
          <w:rFonts w:ascii="Times" w:hAnsi="Times" w:cs="Times"/>
          <w:sz w:val="24"/>
          <w:szCs w:val="24"/>
        </w:rPr>
        <w:t>(24)</w:t>
      </w:r>
      <w:r>
        <w:rPr>
          <w:rFonts w:ascii="Times" w:hAnsi="Times" w:cs="Times"/>
          <w:sz w:val="24"/>
          <w:szCs w:val="24"/>
        </w:rPr>
        <w:tab/>
      </w:r>
      <w:r>
        <w:rPr>
          <w:rFonts w:ascii="Times" w:hAnsi="Times" w:cs="Times"/>
          <w:sz w:val="24"/>
          <w:szCs w:val="24"/>
        </w:rPr>
        <w:t xml:space="preserve">Han, K.; Cho, M.; Kim, T.; Kim, S. T.; Kim, S. H.; Park, S. H.; Yang, S. M.; Watanabe, K.; Taniguchi, T.; Menon, V.; Kim, Y. D. Highly Tunable Moiré Superlattice Potentials in Twisted Hexagonal Boron Nitrides. </w:t>
      </w:r>
      <w:r>
        <w:rPr>
          <w:rFonts w:ascii="Times" w:hAnsi="Times" w:cs="Times"/>
          <w:i/>
          <w:iCs/>
          <w:sz w:val="24"/>
          <w:szCs w:val="24"/>
        </w:rPr>
        <w:t>Advanced Science</w:t>
      </w:r>
      <w:r>
        <w:rPr>
          <w:rFonts w:ascii="Times" w:hAnsi="Times" w:cs="Times"/>
          <w:sz w:val="24"/>
          <w:szCs w:val="24"/>
        </w:rPr>
        <w:t xml:space="preserve"> </w:t>
      </w:r>
      <w:r>
        <w:rPr>
          <w:rFonts w:ascii="Times" w:hAnsi="Times" w:cs="Times"/>
          <w:b/>
          <w:bCs/>
          <w:sz w:val="24"/>
          <w:szCs w:val="24"/>
        </w:rPr>
        <w:t>2024</w:t>
      </w:r>
      <w:r>
        <w:rPr>
          <w:rFonts w:ascii="Times" w:hAnsi="Times" w:cs="Times"/>
          <w:sz w:val="24"/>
          <w:szCs w:val="24"/>
        </w:rPr>
        <w:t>, 2408034. https://doi.org/10.1002/advs.202408034.</w:t>
      </w:r>
    </w:p>
    <w:p w14:paraId="6DEE9282">
      <w:pPr>
        <w:pStyle w:val="18"/>
        <w:spacing w:after="200" w:line="480" w:lineRule="auto"/>
        <w:ind w:left="0" w:firstLine="187"/>
        <w:jc w:val="both"/>
        <w:rPr>
          <w:rFonts w:ascii="Times" w:hAnsi="Times" w:cs="Times"/>
          <w:sz w:val="24"/>
          <w:szCs w:val="24"/>
        </w:rPr>
      </w:pPr>
      <w:r>
        <w:rPr>
          <w:rFonts w:ascii="Times" w:hAnsi="Times" w:cs="Times"/>
          <w:sz w:val="24"/>
          <w:szCs w:val="24"/>
        </w:rPr>
        <w:t>(25)</w:t>
      </w:r>
      <w:r>
        <w:rPr>
          <w:rFonts w:ascii="Times" w:hAnsi="Times" w:cs="Times"/>
          <w:sz w:val="24"/>
          <w:szCs w:val="24"/>
        </w:rPr>
        <w:tab/>
      </w:r>
      <w:r>
        <w:rPr>
          <w:rFonts w:ascii="Times" w:hAnsi="Times" w:cs="Times"/>
          <w:sz w:val="24"/>
          <w:szCs w:val="24"/>
        </w:rPr>
        <w:t xml:space="preserve">Li, R.; Taniguchi, T.; Watanabe, K.; Xue, J. Detecting Band Profiles of Devices with Conductive Atomic Force Microscopy. </w:t>
      </w:r>
      <w:r>
        <w:rPr>
          <w:rFonts w:ascii="Times" w:hAnsi="Times" w:cs="Times"/>
          <w:i/>
          <w:iCs/>
          <w:sz w:val="24"/>
          <w:szCs w:val="24"/>
        </w:rPr>
        <w:t>Review of Scientific Instruments</w:t>
      </w:r>
      <w:r>
        <w:rPr>
          <w:rFonts w:ascii="Times" w:hAnsi="Times" w:cs="Times"/>
          <w:sz w:val="24"/>
          <w:szCs w:val="24"/>
        </w:rPr>
        <w:t xml:space="preserve"> </w:t>
      </w:r>
      <w:r>
        <w:rPr>
          <w:rFonts w:ascii="Times" w:hAnsi="Times" w:cs="Times"/>
          <w:b/>
          <w:bCs/>
          <w:sz w:val="24"/>
          <w:szCs w:val="24"/>
        </w:rPr>
        <w:t>2020</w:t>
      </w:r>
      <w:r>
        <w:rPr>
          <w:rFonts w:ascii="Times" w:hAnsi="Times" w:cs="Times"/>
          <w:sz w:val="24"/>
          <w:szCs w:val="24"/>
        </w:rPr>
        <w:t xml:space="preserve">, </w:t>
      </w:r>
      <w:r>
        <w:rPr>
          <w:rFonts w:ascii="Times" w:hAnsi="Times" w:cs="Times"/>
          <w:i/>
          <w:iCs/>
          <w:sz w:val="24"/>
          <w:szCs w:val="24"/>
        </w:rPr>
        <w:t>91</w:t>
      </w:r>
      <w:r>
        <w:rPr>
          <w:rFonts w:ascii="Times" w:hAnsi="Times" w:cs="Times"/>
          <w:sz w:val="24"/>
          <w:szCs w:val="24"/>
        </w:rPr>
        <w:t xml:space="preserve"> (7), 073702. https://doi.org/10.1063/5.0008412.</w:t>
      </w:r>
    </w:p>
    <w:p w14:paraId="7477680E">
      <w:pPr>
        <w:pStyle w:val="18"/>
        <w:spacing w:after="200" w:line="480" w:lineRule="auto"/>
        <w:ind w:left="0" w:firstLine="187"/>
        <w:jc w:val="both"/>
        <w:rPr>
          <w:rFonts w:ascii="Times" w:hAnsi="Times" w:cs="Times"/>
          <w:sz w:val="24"/>
          <w:szCs w:val="24"/>
        </w:rPr>
      </w:pPr>
      <w:r>
        <w:rPr>
          <w:rFonts w:ascii="Times" w:hAnsi="Times" w:cs="Times"/>
          <w:sz w:val="24"/>
          <w:szCs w:val="24"/>
        </w:rPr>
        <w:t>(26)</w:t>
      </w:r>
      <w:r>
        <w:rPr>
          <w:rFonts w:ascii="Times" w:hAnsi="Times" w:cs="Times"/>
          <w:sz w:val="24"/>
          <w:szCs w:val="24"/>
        </w:rPr>
        <w:tab/>
      </w:r>
      <w:r>
        <w:rPr>
          <w:rFonts w:ascii="Times" w:hAnsi="Times" w:cs="Times"/>
          <w:sz w:val="24"/>
          <w:szCs w:val="24"/>
        </w:rPr>
        <w:t>Sun, X.; Chen, Y.; Li, Z.; Han, Y.; Zhou, Q.; Wang, B.; Taniguchi, T.; Watanabe, K.; Zhao, A.; Wang, J.; Liu, Y.; Xue, J. Visualizing Band Profiles of Gate-Tunable Junctions in MoS</w:t>
      </w:r>
      <w:r>
        <w:rPr>
          <w:rFonts w:ascii="Times" w:hAnsi="Times" w:cs="Times"/>
          <w:sz w:val="24"/>
          <w:szCs w:val="24"/>
          <w:vertAlign w:val="subscript"/>
        </w:rPr>
        <w:t>2</w:t>
      </w:r>
      <w:r>
        <w:rPr>
          <w:rFonts w:ascii="Times" w:hAnsi="Times" w:cs="Times"/>
          <w:sz w:val="24"/>
          <w:szCs w:val="24"/>
        </w:rPr>
        <w:t>/WSe</w:t>
      </w:r>
      <w:r>
        <w:rPr>
          <w:rFonts w:ascii="Times" w:hAnsi="Times" w:cs="Times"/>
          <w:sz w:val="24"/>
          <w:szCs w:val="24"/>
          <w:vertAlign w:val="subscript"/>
        </w:rPr>
        <w:t>2</w:t>
      </w:r>
      <w:r>
        <w:rPr>
          <w:rFonts w:ascii="Times" w:hAnsi="Times" w:cs="Times"/>
          <w:sz w:val="24"/>
          <w:szCs w:val="24"/>
        </w:rPr>
        <w:t xml:space="preserve"> Heterostructure Transistors. </w:t>
      </w:r>
      <w:r>
        <w:rPr>
          <w:rFonts w:ascii="Times" w:hAnsi="Times" w:cs="Times"/>
          <w:i/>
          <w:iCs/>
          <w:sz w:val="24"/>
          <w:szCs w:val="24"/>
        </w:rPr>
        <w:t>ACS Nano</w:t>
      </w:r>
      <w:r>
        <w:rPr>
          <w:rFonts w:ascii="Times" w:hAnsi="Times" w:cs="Times"/>
          <w:sz w:val="24"/>
          <w:szCs w:val="24"/>
        </w:rPr>
        <w:t xml:space="preserve"> </w:t>
      </w:r>
      <w:r>
        <w:rPr>
          <w:rFonts w:ascii="Times" w:hAnsi="Times" w:cs="Times"/>
          <w:b/>
          <w:bCs/>
          <w:sz w:val="24"/>
          <w:szCs w:val="24"/>
        </w:rPr>
        <w:t>2021</w:t>
      </w:r>
      <w:r>
        <w:rPr>
          <w:rFonts w:ascii="Times" w:hAnsi="Times" w:cs="Times"/>
          <w:sz w:val="24"/>
          <w:szCs w:val="24"/>
        </w:rPr>
        <w:t xml:space="preserve">, </w:t>
      </w:r>
      <w:r>
        <w:rPr>
          <w:rFonts w:ascii="Times" w:hAnsi="Times" w:cs="Times"/>
          <w:i/>
          <w:iCs/>
          <w:sz w:val="24"/>
          <w:szCs w:val="24"/>
        </w:rPr>
        <w:t>15</w:t>
      </w:r>
      <w:r>
        <w:rPr>
          <w:rFonts w:ascii="Times" w:hAnsi="Times" w:cs="Times"/>
          <w:sz w:val="24"/>
          <w:szCs w:val="24"/>
        </w:rPr>
        <w:t xml:space="preserve"> (10), 16314–16321. https://doi.org/10.1021/acsnano.1c05491.</w:t>
      </w:r>
    </w:p>
    <w:p w14:paraId="23DFD168">
      <w:pPr>
        <w:pStyle w:val="18"/>
        <w:spacing w:after="200" w:line="480" w:lineRule="auto"/>
        <w:ind w:left="0" w:firstLine="187"/>
        <w:jc w:val="both"/>
        <w:rPr>
          <w:rFonts w:ascii="Times" w:hAnsi="Times" w:cs="Times"/>
          <w:sz w:val="24"/>
          <w:szCs w:val="24"/>
        </w:rPr>
      </w:pPr>
      <w:r>
        <w:rPr>
          <w:rFonts w:ascii="Times" w:hAnsi="Times" w:cs="Times"/>
          <w:sz w:val="24"/>
          <w:szCs w:val="24"/>
        </w:rPr>
        <w:t>(27)</w:t>
      </w:r>
      <w:r>
        <w:rPr>
          <w:rFonts w:ascii="Times" w:hAnsi="Times" w:cs="Times"/>
          <w:sz w:val="24"/>
          <w:szCs w:val="24"/>
        </w:rPr>
        <w:tab/>
      </w:r>
      <w:r>
        <w:rPr>
          <w:rFonts w:ascii="Times" w:hAnsi="Times" w:cs="Times"/>
          <w:sz w:val="24"/>
          <w:szCs w:val="24"/>
        </w:rPr>
        <w:t>Wang, K.; Taniguchi, T.; Watanabe, K.; Xue, J. Natural p–n Junctions at the MoS</w:t>
      </w:r>
      <w:r>
        <w:rPr>
          <w:rFonts w:ascii="Times" w:hAnsi="Times" w:cs="Times"/>
          <w:sz w:val="24"/>
          <w:szCs w:val="24"/>
          <w:vertAlign w:val="subscript"/>
        </w:rPr>
        <w:t>2</w:t>
      </w:r>
      <w:r>
        <w:rPr>
          <w:rFonts w:ascii="Times" w:hAnsi="Times" w:cs="Times"/>
          <w:sz w:val="24"/>
          <w:szCs w:val="24"/>
        </w:rPr>
        <w:t xml:space="preserve"> Flake Edges. </w:t>
      </w:r>
      <w:r>
        <w:rPr>
          <w:rFonts w:ascii="Times" w:hAnsi="Times" w:cs="Times"/>
          <w:i/>
          <w:iCs/>
          <w:sz w:val="24"/>
          <w:szCs w:val="24"/>
        </w:rPr>
        <w:t>ACS Appl. Mater. Interfaces</w:t>
      </w:r>
      <w:r>
        <w:rPr>
          <w:rFonts w:ascii="Times" w:hAnsi="Times" w:cs="Times"/>
          <w:sz w:val="24"/>
          <w:szCs w:val="24"/>
        </w:rPr>
        <w:t xml:space="preserve"> </w:t>
      </w:r>
      <w:r>
        <w:rPr>
          <w:rFonts w:ascii="Times" w:hAnsi="Times" w:cs="Times"/>
          <w:b/>
          <w:bCs/>
          <w:sz w:val="24"/>
          <w:szCs w:val="24"/>
        </w:rPr>
        <w:t>2022</w:t>
      </w:r>
      <w:r>
        <w:rPr>
          <w:rFonts w:ascii="Times" w:hAnsi="Times" w:cs="Times"/>
          <w:sz w:val="24"/>
          <w:szCs w:val="24"/>
        </w:rPr>
        <w:t xml:space="preserve">, </w:t>
      </w:r>
      <w:r>
        <w:rPr>
          <w:rFonts w:ascii="Times" w:hAnsi="Times" w:cs="Times"/>
          <w:i/>
          <w:iCs/>
          <w:sz w:val="24"/>
          <w:szCs w:val="24"/>
        </w:rPr>
        <w:t>14</w:t>
      </w:r>
      <w:r>
        <w:rPr>
          <w:rFonts w:ascii="Times" w:hAnsi="Times" w:cs="Times"/>
          <w:sz w:val="24"/>
          <w:szCs w:val="24"/>
        </w:rPr>
        <w:t xml:space="preserve"> (34), 39039–39045. https://doi.org/10.1021/acsami.2c09457.</w:t>
      </w:r>
    </w:p>
    <w:p w14:paraId="5C71410C">
      <w:pPr>
        <w:pStyle w:val="18"/>
        <w:spacing w:after="200" w:line="480" w:lineRule="auto"/>
        <w:ind w:left="0" w:firstLine="187"/>
        <w:jc w:val="both"/>
        <w:rPr>
          <w:rFonts w:ascii="Times" w:hAnsi="Times" w:cs="Times"/>
          <w:sz w:val="24"/>
          <w:szCs w:val="24"/>
        </w:rPr>
      </w:pPr>
      <w:r>
        <w:rPr>
          <w:rFonts w:ascii="Times" w:hAnsi="Times" w:cs="Times"/>
          <w:sz w:val="24"/>
          <w:szCs w:val="24"/>
        </w:rPr>
        <w:t>(28)</w:t>
      </w:r>
      <w:r>
        <w:rPr>
          <w:rFonts w:ascii="Times" w:hAnsi="Times" w:cs="Times"/>
          <w:sz w:val="24"/>
          <w:szCs w:val="24"/>
        </w:rPr>
        <w:tab/>
      </w:r>
      <w:r>
        <w:rPr>
          <w:rFonts w:ascii="Times" w:hAnsi="Times" w:cs="Times"/>
          <w:sz w:val="24"/>
          <w:szCs w:val="24"/>
        </w:rPr>
        <w:t xml:space="preserve">Yasuda, K.; Zalys-Geller, E.; Wang, X.; Bennett, D.; Cheema, S. S.; Watanabe, K.; Taniguchi, T.; Kaxiras, E.; Jarillo-Herrero, P.; Ashoori, R. Ultrafast High-Endurance Memory Based on Sliding Ferroelectrics. </w:t>
      </w:r>
      <w:r>
        <w:rPr>
          <w:rFonts w:ascii="Times" w:hAnsi="Times" w:cs="Times"/>
          <w:i/>
          <w:iCs/>
          <w:sz w:val="24"/>
          <w:szCs w:val="24"/>
        </w:rPr>
        <w:t>Science</w:t>
      </w:r>
      <w:r>
        <w:rPr>
          <w:rFonts w:ascii="Times" w:hAnsi="Times" w:cs="Times"/>
          <w:sz w:val="24"/>
          <w:szCs w:val="24"/>
        </w:rPr>
        <w:t xml:space="preserve"> </w:t>
      </w:r>
      <w:r>
        <w:rPr>
          <w:rFonts w:ascii="Times" w:hAnsi="Times" w:cs="Times"/>
          <w:b/>
          <w:bCs/>
          <w:sz w:val="24"/>
          <w:szCs w:val="24"/>
        </w:rPr>
        <w:t>2024</w:t>
      </w:r>
      <w:r>
        <w:rPr>
          <w:rFonts w:ascii="Times" w:hAnsi="Times" w:cs="Times"/>
          <w:sz w:val="24"/>
          <w:szCs w:val="24"/>
        </w:rPr>
        <w:t xml:space="preserve">, </w:t>
      </w:r>
      <w:r>
        <w:rPr>
          <w:rFonts w:ascii="Times" w:hAnsi="Times" w:cs="Times"/>
          <w:i/>
          <w:iCs/>
          <w:sz w:val="24"/>
          <w:szCs w:val="24"/>
        </w:rPr>
        <w:t>385</w:t>
      </w:r>
      <w:r>
        <w:rPr>
          <w:rFonts w:ascii="Times" w:hAnsi="Times" w:cs="Times"/>
          <w:sz w:val="24"/>
          <w:szCs w:val="24"/>
        </w:rPr>
        <w:t xml:space="preserve"> (6704), 53–56. https://doi.org/10.1126/science.adp3575.</w:t>
      </w:r>
    </w:p>
    <w:p w14:paraId="7FD94106">
      <w:pPr>
        <w:pStyle w:val="18"/>
        <w:spacing w:after="200" w:line="480" w:lineRule="auto"/>
        <w:ind w:left="0" w:firstLine="187"/>
        <w:jc w:val="both"/>
        <w:rPr>
          <w:rFonts w:ascii="Times" w:hAnsi="Times" w:cs="Times"/>
          <w:sz w:val="24"/>
          <w:szCs w:val="24"/>
        </w:rPr>
      </w:pPr>
      <w:r>
        <w:rPr>
          <w:rFonts w:ascii="Times" w:hAnsi="Times" w:cs="Times"/>
          <w:sz w:val="24"/>
          <w:szCs w:val="24"/>
        </w:rPr>
        <w:t>(29)</w:t>
      </w:r>
      <w:r>
        <w:rPr>
          <w:rFonts w:ascii="Times" w:hAnsi="Times" w:cs="Times"/>
          <w:sz w:val="24"/>
          <w:szCs w:val="24"/>
        </w:rPr>
        <w:tab/>
      </w:r>
      <w:r>
        <w:rPr>
          <w:rFonts w:ascii="Times" w:hAnsi="Times" w:cs="Times"/>
          <w:sz w:val="24"/>
          <w:szCs w:val="24"/>
        </w:rPr>
        <w:t xml:space="preserve">Fei, Z.; Zhao, W.; Palomaki, T. A.; Sun, B.; Miller, M. K.; Zhao, Z.; Yan, J.; Xu, X.; Cobden, D. H. Ferroelectric Switching of a Two-Dimensional Metal. </w:t>
      </w:r>
      <w:r>
        <w:rPr>
          <w:rFonts w:ascii="Times" w:hAnsi="Times" w:cs="Times"/>
          <w:i/>
          <w:iCs/>
          <w:sz w:val="24"/>
          <w:szCs w:val="24"/>
        </w:rPr>
        <w:t>Nature</w:t>
      </w:r>
      <w:r>
        <w:rPr>
          <w:rFonts w:ascii="Times" w:hAnsi="Times" w:cs="Times"/>
          <w:sz w:val="24"/>
          <w:szCs w:val="24"/>
        </w:rPr>
        <w:t xml:space="preserve"> </w:t>
      </w:r>
      <w:r>
        <w:rPr>
          <w:rFonts w:ascii="Times" w:hAnsi="Times" w:cs="Times"/>
          <w:b/>
          <w:bCs/>
          <w:sz w:val="24"/>
          <w:szCs w:val="24"/>
        </w:rPr>
        <w:t>2018</w:t>
      </w:r>
      <w:r>
        <w:rPr>
          <w:rFonts w:ascii="Times" w:hAnsi="Times" w:cs="Times"/>
          <w:sz w:val="24"/>
          <w:szCs w:val="24"/>
        </w:rPr>
        <w:t xml:space="preserve">, </w:t>
      </w:r>
      <w:r>
        <w:rPr>
          <w:rFonts w:ascii="Times" w:hAnsi="Times" w:cs="Times"/>
          <w:i/>
          <w:iCs/>
          <w:sz w:val="24"/>
          <w:szCs w:val="24"/>
        </w:rPr>
        <w:t>560</w:t>
      </w:r>
      <w:r>
        <w:rPr>
          <w:rFonts w:ascii="Times" w:hAnsi="Times" w:cs="Times"/>
          <w:sz w:val="24"/>
          <w:szCs w:val="24"/>
        </w:rPr>
        <w:t xml:space="preserve"> (7718), 336–339. https://doi.org/10.1038/s41586-018-0336-3.</w:t>
      </w:r>
    </w:p>
    <w:p w14:paraId="4CA070F3">
      <w:pPr>
        <w:pStyle w:val="18"/>
        <w:spacing w:after="200" w:line="480" w:lineRule="auto"/>
        <w:ind w:left="0" w:firstLine="187"/>
        <w:jc w:val="both"/>
        <w:rPr>
          <w:rFonts w:ascii="Times" w:hAnsi="Times" w:cs="Times"/>
          <w:sz w:val="24"/>
          <w:szCs w:val="24"/>
        </w:rPr>
      </w:pPr>
      <w:r>
        <w:rPr>
          <w:rFonts w:ascii="Times" w:hAnsi="Times" w:cs="Times"/>
          <w:sz w:val="24"/>
          <w:szCs w:val="24"/>
        </w:rPr>
        <w:t>(30)</w:t>
      </w:r>
      <w:r>
        <w:rPr>
          <w:rFonts w:ascii="Times" w:hAnsi="Times" w:cs="Times"/>
          <w:sz w:val="24"/>
          <w:szCs w:val="24"/>
        </w:rPr>
        <w:tab/>
      </w:r>
      <w:r>
        <w:rPr>
          <w:rFonts w:ascii="Times" w:hAnsi="Times" w:cs="Times"/>
          <w:sz w:val="24"/>
          <w:szCs w:val="24"/>
        </w:rPr>
        <w:t xml:space="preserve">Li, H.; Li, S.; Regan, E. C.; Wang, D.; Zhao, W.; Kahn, S.; Yumigeta, K.; Blei, M.; Taniguchi, T.; Watanabe, K.; Tongay, S.; Zettl, A.; Crommie, M. F.; Wang, F. Imaging Two-Dimensional Generalized Wigner Crystals. </w:t>
      </w:r>
      <w:r>
        <w:rPr>
          <w:rFonts w:ascii="Times" w:hAnsi="Times" w:cs="Times"/>
          <w:i/>
          <w:iCs/>
          <w:sz w:val="24"/>
          <w:szCs w:val="24"/>
        </w:rPr>
        <w:t>Nature</w:t>
      </w:r>
      <w:r>
        <w:rPr>
          <w:rFonts w:ascii="Times" w:hAnsi="Times" w:cs="Times"/>
          <w:sz w:val="24"/>
          <w:szCs w:val="24"/>
        </w:rPr>
        <w:t xml:space="preserve"> </w:t>
      </w:r>
      <w:r>
        <w:rPr>
          <w:rFonts w:ascii="Times" w:hAnsi="Times" w:cs="Times"/>
          <w:b/>
          <w:bCs/>
          <w:sz w:val="24"/>
          <w:szCs w:val="24"/>
        </w:rPr>
        <w:t>2021</w:t>
      </w:r>
      <w:r>
        <w:rPr>
          <w:rFonts w:ascii="Times" w:hAnsi="Times" w:cs="Times"/>
          <w:sz w:val="24"/>
          <w:szCs w:val="24"/>
        </w:rPr>
        <w:t xml:space="preserve">, </w:t>
      </w:r>
      <w:r>
        <w:rPr>
          <w:rFonts w:ascii="Times" w:hAnsi="Times" w:cs="Times"/>
          <w:i/>
          <w:iCs/>
          <w:sz w:val="24"/>
          <w:szCs w:val="24"/>
        </w:rPr>
        <w:t>597</w:t>
      </w:r>
      <w:r>
        <w:rPr>
          <w:rFonts w:ascii="Times" w:hAnsi="Times" w:cs="Times"/>
          <w:sz w:val="24"/>
          <w:szCs w:val="24"/>
        </w:rPr>
        <w:t xml:space="preserve"> (7878), 650–654. https://doi.org/10.1038/s41586-021-03874-9.</w:t>
      </w:r>
    </w:p>
    <w:p w14:paraId="4219F82A">
      <w:pPr>
        <w:pStyle w:val="18"/>
        <w:spacing w:after="200" w:line="480" w:lineRule="auto"/>
        <w:ind w:left="0" w:firstLine="187"/>
        <w:jc w:val="both"/>
        <w:rPr>
          <w:rFonts w:ascii="Times" w:hAnsi="Times" w:cs="Times"/>
          <w:sz w:val="24"/>
          <w:szCs w:val="24"/>
        </w:rPr>
      </w:pPr>
      <w:r>
        <w:rPr>
          <w:rFonts w:ascii="Times" w:hAnsi="Times" w:cs="Times"/>
          <w:sz w:val="24"/>
          <w:szCs w:val="24"/>
        </w:rPr>
        <w:t>(31)</w:t>
      </w:r>
      <w:r>
        <w:rPr>
          <w:rFonts w:ascii="Times" w:hAnsi="Times" w:cs="Times"/>
          <w:sz w:val="24"/>
          <w:szCs w:val="24"/>
        </w:rPr>
        <w:tab/>
      </w:r>
      <w:r>
        <w:rPr>
          <w:rFonts w:ascii="Times" w:hAnsi="Times" w:cs="Times"/>
          <w:sz w:val="24"/>
          <w:szCs w:val="24"/>
        </w:rPr>
        <w:t xml:space="preserve">Nuckolls, K. P.; Yazdani, A. A Microscopic Perspective on Moiré Materials. </w:t>
      </w:r>
      <w:r>
        <w:rPr>
          <w:rFonts w:ascii="Times" w:hAnsi="Times" w:cs="Times"/>
          <w:i/>
          <w:iCs/>
          <w:sz w:val="24"/>
          <w:szCs w:val="24"/>
        </w:rPr>
        <w:t>Nat</w:t>
      </w:r>
      <w:r>
        <w:rPr>
          <w:rFonts w:hint="eastAsia" w:ascii="Times" w:hAnsi="Times" w:cs="Times"/>
          <w:i/>
          <w:iCs/>
          <w:sz w:val="24"/>
          <w:szCs w:val="24"/>
          <w:lang w:val="en-US" w:eastAsia="zh-CN"/>
        </w:rPr>
        <w:t>.</w:t>
      </w:r>
      <w:r>
        <w:rPr>
          <w:rFonts w:ascii="Times" w:hAnsi="Times" w:cs="Times"/>
          <w:i/>
          <w:iCs/>
          <w:sz w:val="24"/>
          <w:szCs w:val="24"/>
        </w:rPr>
        <w:t xml:space="preserve"> Rev</w:t>
      </w:r>
      <w:r>
        <w:rPr>
          <w:rFonts w:hint="eastAsia" w:ascii="Times" w:hAnsi="Times" w:cs="Times"/>
          <w:i/>
          <w:iCs/>
          <w:sz w:val="24"/>
          <w:szCs w:val="24"/>
          <w:lang w:val="en-US" w:eastAsia="zh-CN"/>
        </w:rPr>
        <w:t>.</w:t>
      </w:r>
      <w:r>
        <w:rPr>
          <w:rFonts w:ascii="Times" w:hAnsi="Times" w:cs="Times"/>
          <w:i/>
          <w:iCs/>
          <w:sz w:val="24"/>
          <w:szCs w:val="24"/>
        </w:rPr>
        <w:t xml:space="preserve"> Mater</w:t>
      </w:r>
      <w:r>
        <w:rPr>
          <w:rFonts w:hint="eastAsia" w:ascii="Times" w:hAnsi="Times" w:cs="Times"/>
          <w:i/>
          <w:iCs/>
          <w:sz w:val="24"/>
          <w:szCs w:val="24"/>
          <w:lang w:val="en-US" w:eastAsia="zh-CN"/>
        </w:rPr>
        <w:t>.</w:t>
      </w:r>
      <w:r>
        <w:rPr>
          <w:rFonts w:ascii="Times" w:hAnsi="Times" w:cs="Times"/>
          <w:sz w:val="24"/>
          <w:szCs w:val="24"/>
        </w:rPr>
        <w:t xml:space="preserve"> </w:t>
      </w:r>
      <w:r>
        <w:rPr>
          <w:rFonts w:ascii="Times" w:hAnsi="Times" w:cs="Times"/>
          <w:b/>
          <w:bCs/>
          <w:sz w:val="24"/>
          <w:szCs w:val="24"/>
        </w:rPr>
        <w:t>2024</w:t>
      </w:r>
      <w:r>
        <w:rPr>
          <w:rFonts w:ascii="Times" w:hAnsi="Times" w:cs="Times"/>
          <w:sz w:val="24"/>
          <w:szCs w:val="24"/>
        </w:rPr>
        <w:t xml:space="preserve">, </w:t>
      </w:r>
      <w:r>
        <w:rPr>
          <w:rFonts w:ascii="Times" w:hAnsi="Times" w:cs="Times"/>
          <w:i/>
          <w:iCs/>
          <w:sz w:val="24"/>
          <w:szCs w:val="24"/>
        </w:rPr>
        <w:t>9</w:t>
      </w:r>
      <w:r>
        <w:rPr>
          <w:rFonts w:ascii="Times" w:hAnsi="Times" w:cs="Times"/>
          <w:sz w:val="24"/>
          <w:szCs w:val="24"/>
        </w:rPr>
        <w:t xml:space="preserve"> (7), 460–480. https://doi.org/10.1038/s41578-024-00682-1.</w:t>
      </w:r>
    </w:p>
    <w:p w14:paraId="79522D95">
      <w:pPr>
        <w:pStyle w:val="18"/>
        <w:spacing w:after="200" w:line="480" w:lineRule="auto"/>
        <w:ind w:left="0" w:firstLine="187"/>
        <w:jc w:val="both"/>
        <w:rPr>
          <w:rFonts w:ascii="Times" w:hAnsi="Times" w:cs="Times"/>
          <w:sz w:val="24"/>
          <w:szCs w:val="24"/>
        </w:rPr>
      </w:pPr>
      <w:r>
        <w:rPr>
          <w:rFonts w:ascii="Times" w:hAnsi="Times" w:cs="Times"/>
          <w:sz w:val="24"/>
          <w:szCs w:val="24"/>
        </w:rPr>
        <w:t>(32)</w:t>
      </w:r>
      <w:r>
        <w:rPr>
          <w:rFonts w:ascii="Times" w:hAnsi="Times" w:cs="Times"/>
          <w:sz w:val="24"/>
          <w:szCs w:val="24"/>
        </w:rPr>
        <w:tab/>
      </w:r>
      <w:r>
        <w:rPr>
          <w:rFonts w:ascii="Times" w:hAnsi="Times" w:cs="Times"/>
          <w:sz w:val="24"/>
          <w:szCs w:val="24"/>
        </w:rPr>
        <w:t xml:space="preserve">Zerweck, U.; Loppacher, C.; Otto, T.; Grafström, S.; Eng, L. M. Accuracy and Resolution Limits of Kelvin Probe Force Microscopy. </w:t>
      </w:r>
      <w:r>
        <w:rPr>
          <w:rFonts w:ascii="Times" w:hAnsi="Times" w:cs="Times"/>
          <w:i/>
          <w:iCs/>
          <w:sz w:val="24"/>
          <w:szCs w:val="24"/>
        </w:rPr>
        <w:t>Phys. Rev. B</w:t>
      </w:r>
      <w:r>
        <w:rPr>
          <w:rFonts w:ascii="Times" w:hAnsi="Times" w:cs="Times"/>
          <w:sz w:val="24"/>
          <w:szCs w:val="24"/>
        </w:rPr>
        <w:t xml:space="preserve"> </w:t>
      </w:r>
      <w:r>
        <w:rPr>
          <w:rFonts w:ascii="Times" w:hAnsi="Times" w:cs="Times"/>
          <w:b/>
          <w:bCs/>
          <w:sz w:val="24"/>
          <w:szCs w:val="24"/>
        </w:rPr>
        <w:t>2005</w:t>
      </w:r>
      <w:r>
        <w:rPr>
          <w:rFonts w:ascii="Times" w:hAnsi="Times" w:cs="Times"/>
          <w:sz w:val="24"/>
          <w:szCs w:val="24"/>
        </w:rPr>
        <w:t xml:space="preserve">, </w:t>
      </w:r>
      <w:r>
        <w:rPr>
          <w:rFonts w:ascii="Times" w:hAnsi="Times" w:cs="Times"/>
          <w:i/>
          <w:iCs/>
          <w:sz w:val="24"/>
          <w:szCs w:val="24"/>
        </w:rPr>
        <w:t>71</w:t>
      </w:r>
      <w:r>
        <w:rPr>
          <w:rFonts w:ascii="Times" w:hAnsi="Times" w:cs="Times"/>
          <w:sz w:val="24"/>
          <w:szCs w:val="24"/>
        </w:rPr>
        <w:t xml:space="preserve"> (12), 125424. https://doi.org/10.1103/PhysRevB.71.125424.</w:t>
      </w:r>
    </w:p>
    <w:p w14:paraId="60ABB486">
      <w:pPr>
        <w:pStyle w:val="18"/>
        <w:spacing w:after="200" w:line="480" w:lineRule="auto"/>
        <w:ind w:left="0" w:firstLine="187"/>
        <w:jc w:val="both"/>
        <w:rPr>
          <w:rFonts w:ascii="Times" w:hAnsi="Times" w:cs="Times"/>
          <w:sz w:val="24"/>
          <w:szCs w:val="24"/>
        </w:rPr>
      </w:pPr>
      <w:r>
        <w:rPr>
          <w:rFonts w:ascii="Times" w:hAnsi="Times" w:cs="Times"/>
          <w:sz w:val="24"/>
          <w:szCs w:val="24"/>
        </w:rPr>
        <w:t>(33)</w:t>
      </w:r>
      <w:r>
        <w:rPr>
          <w:rFonts w:ascii="Times" w:hAnsi="Times" w:cs="Times"/>
          <w:sz w:val="24"/>
          <w:szCs w:val="24"/>
        </w:rPr>
        <w:tab/>
      </w:r>
      <w:r>
        <w:rPr>
          <w:rFonts w:ascii="Times" w:hAnsi="Times" w:cs="Times"/>
          <w:sz w:val="24"/>
          <w:szCs w:val="24"/>
        </w:rPr>
        <w:t xml:space="preserve">Liscio, A.; Palermo, V.; Samorì, P. Nanoscale Quantitative Measurement of the Potential of Charged Nanostructures by Electrostatic and Kelvin Probe Force Microscopy: Unraveling Electronic Processes in Complex Materials. </w:t>
      </w:r>
      <w:r>
        <w:rPr>
          <w:rFonts w:ascii="Times" w:hAnsi="Times" w:cs="Times"/>
          <w:i/>
          <w:iCs/>
          <w:sz w:val="24"/>
          <w:szCs w:val="24"/>
        </w:rPr>
        <w:t>Acc. Chem. Res.</w:t>
      </w:r>
      <w:r>
        <w:rPr>
          <w:rFonts w:ascii="Times" w:hAnsi="Times" w:cs="Times"/>
          <w:sz w:val="24"/>
          <w:szCs w:val="24"/>
        </w:rPr>
        <w:t xml:space="preserve"> </w:t>
      </w:r>
      <w:r>
        <w:rPr>
          <w:rFonts w:ascii="Times" w:hAnsi="Times" w:cs="Times"/>
          <w:b/>
          <w:bCs/>
          <w:sz w:val="24"/>
          <w:szCs w:val="24"/>
        </w:rPr>
        <w:t>2010</w:t>
      </w:r>
      <w:r>
        <w:rPr>
          <w:rFonts w:ascii="Times" w:hAnsi="Times" w:cs="Times"/>
          <w:sz w:val="24"/>
          <w:szCs w:val="24"/>
        </w:rPr>
        <w:t xml:space="preserve">, </w:t>
      </w:r>
      <w:r>
        <w:rPr>
          <w:rFonts w:ascii="Times" w:hAnsi="Times" w:cs="Times"/>
          <w:i/>
          <w:iCs/>
          <w:sz w:val="24"/>
          <w:szCs w:val="24"/>
        </w:rPr>
        <w:t>43</w:t>
      </w:r>
      <w:r>
        <w:rPr>
          <w:rFonts w:ascii="Times" w:hAnsi="Times" w:cs="Times"/>
          <w:sz w:val="24"/>
          <w:szCs w:val="24"/>
        </w:rPr>
        <w:t xml:space="preserve"> (4), 541–550. https://doi.org/10.1021/ar900247p.</w:t>
      </w:r>
    </w:p>
    <w:p w14:paraId="36395B36">
      <w:pPr>
        <w:pStyle w:val="18"/>
        <w:spacing w:after="200" w:line="480" w:lineRule="auto"/>
        <w:ind w:left="0" w:firstLine="187"/>
        <w:jc w:val="both"/>
        <w:rPr>
          <w:rFonts w:ascii="Times" w:hAnsi="Times" w:cs="Times"/>
          <w:sz w:val="24"/>
          <w:szCs w:val="24"/>
        </w:rPr>
      </w:pPr>
      <w:r>
        <w:rPr>
          <w:rFonts w:ascii="Times" w:hAnsi="Times" w:cs="Times"/>
          <w:sz w:val="24"/>
          <w:szCs w:val="24"/>
        </w:rPr>
        <w:t>(34)</w:t>
      </w:r>
      <w:r>
        <w:rPr>
          <w:rFonts w:ascii="Times" w:hAnsi="Times" w:cs="Times"/>
          <w:sz w:val="24"/>
          <w:szCs w:val="24"/>
        </w:rPr>
        <w:tab/>
      </w:r>
      <w:r>
        <w:rPr>
          <w:rFonts w:ascii="Times" w:hAnsi="Times" w:cs="Times"/>
          <w:sz w:val="24"/>
          <w:szCs w:val="24"/>
        </w:rPr>
        <w:t xml:space="preserve">Chen, Q.; Ye, F.; Lai, J.; Dai, P.; Lu, S.; Ma, C.; Zhao, Y.; Xie, Y.; Chen, L. Energy Band Alignment in Operando Inverted Structure P3HT:PCBM Organic Solar Cells. </w:t>
      </w:r>
      <w:r>
        <w:rPr>
          <w:rFonts w:ascii="Times" w:hAnsi="Times" w:cs="Times"/>
          <w:i/>
          <w:iCs/>
          <w:sz w:val="24"/>
          <w:szCs w:val="24"/>
        </w:rPr>
        <w:t>Nano Energy</w:t>
      </w:r>
      <w:r>
        <w:rPr>
          <w:rFonts w:ascii="Times" w:hAnsi="Times" w:cs="Times"/>
          <w:sz w:val="24"/>
          <w:szCs w:val="24"/>
        </w:rPr>
        <w:t xml:space="preserve"> </w:t>
      </w:r>
      <w:r>
        <w:rPr>
          <w:rFonts w:ascii="Times" w:hAnsi="Times" w:cs="Times"/>
          <w:b/>
          <w:bCs/>
          <w:sz w:val="24"/>
          <w:szCs w:val="24"/>
        </w:rPr>
        <w:t>2017</w:t>
      </w:r>
      <w:r>
        <w:rPr>
          <w:rFonts w:ascii="Times" w:hAnsi="Times" w:cs="Times"/>
          <w:sz w:val="24"/>
          <w:szCs w:val="24"/>
        </w:rPr>
        <w:t xml:space="preserve">, </w:t>
      </w:r>
      <w:r>
        <w:rPr>
          <w:rFonts w:ascii="Times" w:hAnsi="Times" w:cs="Times"/>
          <w:i/>
          <w:iCs/>
          <w:sz w:val="24"/>
          <w:szCs w:val="24"/>
        </w:rPr>
        <w:t>40</w:t>
      </w:r>
      <w:r>
        <w:rPr>
          <w:rFonts w:ascii="Times" w:hAnsi="Times" w:cs="Times"/>
          <w:sz w:val="24"/>
          <w:szCs w:val="24"/>
        </w:rPr>
        <w:t>, 454–461. https://doi.org/10.1016/j.nanoen.2017.08.050.</w:t>
      </w:r>
    </w:p>
    <w:p w14:paraId="516CFAFC">
      <w:pPr>
        <w:pStyle w:val="18"/>
        <w:spacing w:after="200" w:line="480" w:lineRule="auto"/>
        <w:ind w:left="0" w:firstLine="187"/>
        <w:jc w:val="both"/>
        <w:rPr>
          <w:rFonts w:ascii="Times" w:hAnsi="Times" w:cs="Times"/>
          <w:sz w:val="24"/>
          <w:szCs w:val="24"/>
        </w:rPr>
      </w:pPr>
      <w:r>
        <w:rPr>
          <w:rFonts w:ascii="Times" w:hAnsi="Times" w:cs="Times"/>
          <w:sz w:val="24"/>
          <w:szCs w:val="24"/>
        </w:rPr>
        <w:t>(35)</w:t>
      </w:r>
      <w:r>
        <w:rPr>
          <w:rFonts w:ascii="Times" w:hAnsi="Times" w:cs="Times"/>
          <w:sz w:val="24"/>
          <w:szCs w:val="24"/>
        </w:rPr>
        <w:tab/>
      </w:r>
      <w:r>
        <w:rPr>
          <w:rFonts w:ascii="Times" w:hAnsi="Times" w:cs="Times"/>
          <w:sz w:val="24"/>
          <w:szCs w:val="24"/>
        </w:rPr>
        <w:t xml:space="preserve">Liu, Y.; Liu, S.; Li, B.; Yoo, W. J.; Hone, J. Identifying the Transition Order in an Artificial Ferroelectric van Der Waals Heterostructure. </w:t>
      </w:r>
      <w:r>
        <w:rPr>
          <w:rFonts w:ascii="Times" w:hAnsi="Times" w:cs="Times"/>
          <w:i/>
          <w:iCs/>
          <w:sz w:val="24"/>
          <w:szCs w:val="24"/>
        </w:rPr>
        <w:t>Nano Lett.</w:t>
      </w:r>
      <w:r>
        <w:rPr>
          <w:rFonts w:ascii="Times" w:hAnsi="Times" w:cs="Times"/>
          <w:sz w:val="24"/>
          <w:szCs w:val="24"/>
        </w:rPr>
        <w:t xml:space="preserve"> </w:t>
      </w:r>
      <w:r>
        <w:rPr>
          <w:rFonts w:ascii="Times" w:hAnsi="Times" w:cs="Times"/>
          <w:b/>
          <w:bCs/>
          <w:sz w:val="24"/>
          <w:szCs w:val="24"/>
        </w:rPr>
        <w:t>2022</w:t>
      </w:r>
      <w:r>
        <w:rPr>
          <w:rFonts w:ascii="Times" w:hAnsi="Times" w:cs="Times"/>
          <w:sz w:val="24"/>
          <w:szCs w:val="24"/>
        </w:rPr>
        <w:t xml:space="preserve">, </w:t>
      </w:r>
      <w:r>
        <w:rPr>
          <w:rFonts w:ascii="Times" w:hAnsi="Times" w:cs="Times"/>
          <w:i/>
          <w:iCs/>
          <w:sz w:val="24"/>
          <w:szCs w:val="24"/>
        </w:rPr>
        <w:t>22</w:t>
      </w:r>
      <w:r>
        <w:rPr>
          <w:rFonts w:ascii="Times" w:hAnsi="Times" w:cs="Times"/>
          <w:sz w:val="24"/>
          <w:szCs w:val="24"/>
        </w:rPr>
        <w:t xml:space="preserve"> (3), 1265–1269. https://doi.org/10.1021/acs.nanolett.1c04467.</w:t>
      </w:r>
    </w:p>
    <w:p w14:paraId="2C11F290">
      <w:pPr>
        <w:tabs>
          <w:tab w:val="left" w:pos="970"/>
        </w:tabs>
        <w:spacing w:after="200" w:line="480" w:lineRule="auto"/>
        <w:ind w:firstLine="187"/>
        <w:jc w:val="both"/>
        <w:rPr>
          <w:rFonts w:ascii="Times" w:hAnsi="Times" w:cs="Times"/>
        </w:rPr>
      </w:pPr>
      <w:r>
        <w:rPr>
          <w:rFonts w:ascii="Times" w:hAnsi="Times" w:cs="Times"/>
          <w:sz w:val="24"/>
          <w:szCs w:val="24"/>
        </w:rPr>
        <w:fldChar w:fldCharType="end"/>
      </w:r>
    </w:p>
    <w:p w14:paraId="47934CB0">
      <w:pPr>
        <w:spacing w:line="360" w:lineRule="auto"/>
        <w:rPr>
          <w:rFonts w:ascii="Times New Roman" w:hAnsi="Times New Roman" w:cs="Times New Roman"/>
        </w:rPr>
      </w:pPr>
    </w:p>
    <w:sectPr>
      <w:pgSz w:w="12240" w:h="15840"/>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 w:name="Arno Pro">
    <w:altName w:val="Times New Roman"/>
    <w:panose1 w:val="00000000000000000000"/>
    <w:charset w:val="00"/>
    <w:family w:val="roman"/>
    <w:pitch w:val="default"/>
    <w:sig w:usb0="00000000" w:usb1="00000000" w:usb2="00000000" w:usb3="00000000" w:csb0="0000019F" w:csb1="00000000"/>
  </w:font>
  <w:font w:name="MS Mincho">
    <w:altName w:val="Kozuka Mincho Pro M"/>
    <w:panose1 w:val="02020609040205080304"/>
    <w:charset w:val="80"/>
    <w:family w:val="roman"/>
    <w:pitch w:val="default"/>
    <w:sig w:usb0="00000000" w:usb1="00000000" w:usb2="00000010" w:usb3="00000000" w:csb0="00020000" w:csb1="00000000"/>
  </w:font>
  <w:font w:name="Kozuka Mincho Pro M">
    <w:panose1 w:val="02020600000000000000"/>
    <w:charset w:val="80"/>
    <w:family w:val="auto"/>
    <w:pitch w:val="default"/>
    <w:sig w:usb0="00000083" w:usb1="2AC71C11" w:usb2="00000012" w:usb3="00000000" w:csb0="20020005" w:csb1="00000000"/>
  </w:font>
  <w:font w:name="Cambria Math">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DCF"/>
    <w:rsid w:val="00006A2B"/>
    <w:rsid w:val="00014844"/>
    <w:rsid w:val="00021504"/>
    <w:rsid w:val="00031F65"/>
    <w:rsid w:val="00036113"/>
    <w:rsid w:val="00047C8F"/>
    <w:rsid w:val="00054FCC"/>
    <w:rsid w:val="00065D44"/>
    <w:rsid w:val="00072AFF"/>
    <w:rsid w:val="00094905"/>
    <w:rsid w:val="00097E93"/>
    <w:rsid w:val="000A41E7"/>
    <w:rsid w:val="000B2D4D"/>
    <w:rsid w:val="000B356D"/>
    <w:rsid w:val="000B708A"/>
    <w:rsid w:val="000E0D34"/>
    <w:rsid w:val="000F03C3"/>
    <w:rsid w:val="000F0414"/>
    <w:rsid w:val="000F2BF3"/>
    <w:rsid w:val="00100348"/>
    <w:rsid w:val="0012070F"/>
    <w:rsid w:val="0012458F"/>
    <w:rsid w:val="00131638"/>
    <w:rsid w:val="00131661"/>
    <w:rsid w:val="00135651"/>
    <w:rsid w:val="00136392"/>
    <w:rsid w:val="00150E05"/>
    <w:rsid w:val="001657CF"/>
    <w:rsid w:val="00165AD4"/>
    <w:rsid w:val="00177087"/>
    <w:rsid w:val="00183BA2"/>
    <w:rsid w:val="001A6ACE"/>
    <w:rsid w:val="001B1BFF"/>
    <w:rsid w:val="001D7C34"/>
    <w:rsid w:val="001E6567"/>
    <w:rsid w:val="001F7679"/>
    <w:rsid w:val="00207884"/>
    <w:rsid w:val="002100B5"/>
    <w:rsid w:val="00210B0D"/>
    <w:rsid w:val="00216795"/>
    <w:rsid w:val="002343ED"/>
    <w:rsid w:val="00242F73"/>
    <w:rsid w:val="00245A32"/>
    <w:rsid w:val="00252519"/>
    <w:rsid w:val="00253B7A"/>
    <w:rsid w:val="00263613"/>
    <w:rsid w:val="00291AF7"/>
    <w:rsid w:val="002C0614"/>
    <w:rsid w:val="002C617B"/>
    <w:rsid w:val="002F2B2F"/>
    <w:rsid w:val="00311BF4"/>
    <w:rsid w:val="00331B73"/>
    <w:rsid w:val="0033430A"/>
    <w:rsid w:val="00334819"/>
    <w:rsid w:val="00341A16"/>
    <w:rsid w:val="00350E0B"/>
    <w:rsid w:val="00351871"/>
    <w:rsid w:val="0036427B"/>
    <w:rsid w:val="00366AF1"/>
    <w:rsid w:val="00374884"/>
    <w:rsid w:val="003A67C7"/>
    <w:rsid w:val="003E086E"/>
    <w:rsid w:val="003E42DA"/>
    <w:rsid w:val="003F15F4"/>
    <w:rsid w:val="00427813"/>
    <w:rsid w:val="00432E15"/>
    <w:rsid w:val="004403C9"/>
    <w:rsid w:val="00441C87"/>
    <w:rsid w:val="004658A5"/>
    <w:rsid w:val="00465DE7"/>
    <w:rsid w:val="00472953"/>
    <w:rsid w:val="00472EAD"/>
    <w:rsid w:val="00487908"/>
    <w:rsid w:val="004B5E9D"/>
    <w:rsid w:val="004C4CFB"/>
    <w:rsid w:val="004C5C4D"/>
    <w:rsid w:val="004F27F6"/>
    <w:rsid w:val="004F2E92"/>
    <w:rsid w:val="00502B8C"/>
    <w:rsid w:val="00524F57"/>
    <w:rsid w:val="00536D14"/>
    <w:rsid w:val="00554F6A"/>
    <w:rsid w:val="00563110"/>
    <w:rsid w:val="00566E34"/>
    <w:rsid w:val="005C0FA1"/>
    <w:rsid w:val="005C42CC"/>
    <w:rsid w:val="005C7B12"/>
    <w:rsid w:val="00607538"/>
    <w:rsid w:val="006341BB"/>
    <w:rsid w:val="0065130C"/>
    <w:rsid w:val="00651867"/>
    <w:rsid w:val="006607D7"/>
    <w:rsid w:val="00661A75"/>
    <w:rsid w:val="00677B09"/>
    <w:rsid w:val="006A055B"/>
    <w:rsid w:val="006D3921"/>
    <w:rsid w:val="006E2B1E"/>
    <w:rsid w:val="006F1AB1"/>
    <w:rsid w:val="006F4735"/>
    <w:rsid w:val="007162B6"/>
    <w:rsid w:val="00726E7E"/>
    <w:rsid w:val="007376DC"/>
    <w:rsid w:val="0075724C"/>
    <w:rsid w:val="007608AC"/>
    <w:rsid w:val="00760A14"/>
    <w:rsid w:val="00764D6C"/>
    <w:rsid w:val="00767A47"/>
    <w:rsid w:val="00773B78"/>
    <w:rsid w:val="007928B0"/>
    <w:rsid w:val="007A30AB"/>
    <w:rsid w:val="007B144F"/>
    <w:rsid w:val="007B2DCF"/>
    <w:rsid w:val="007B3923"/>
    <w:rsid w:val="007D7607"/>
    <w:rsid w:val="00815E46"/>
    <w:rsid w:val="00820A70"/>
    <w:rsid w:val="00833D43"/>
    <w:rsid w:val="008655E1"/>
    <w:rsid w:val="00880309"/>
    <w:rsid w:val="00891132"/>
    <w:rsid w:val="00897090"/>
    <w:rsid w:val="008B3B4F"/>
    <w:rsid w:val="008E7FFE"/>
    <w:rsid w:val="0091086E"/>
    <w:rsid w:val="009314EF"/>
    <w:rsid w:val="00936175"/>
    <w:rsid w:val="00954F0E"/>
    <w:rsid w:val="009564BF"/>
    <w:rsid w:val="009611AF"/>
    <w:rsid w:val="00962648"/>
    <w:rsid w:val="00972DD0"/>
    <w:rsid w:val="0098785B"/>
    <w:rsid w:val="009920A0"/>
    <w:rsid w:val="00993E5A"/>
    <w:rsid w:val="009A302A"/>
    <w:rsid w:val="009B5889"/>
    <w:rsid w:val="009B7735"/>
    <w:rsid w:val="009C31EE"/>
    <w:rsid w:val="009C6D00"/>
    <w:rsid w:val="009D0F0E"/>
    <w:rsid w:val="009D1DFB"/>
    <w:rsid w:val="009F032A"/>
    <w:rsid w:val="009F1505"/>
    <w:rsid w:val="00A142F0"/>
    <w:rsid w:val="00A24B62"/>
    <w:rsid w:val="00A31BBE"/>
    <w:rsid w:val="00A35F44"/>
    <w:rsid w:val="00A44E1A"/>
    <w:rsid w:val="00A84AC2"/>
    <w:rsid w:val="00A91277"/>
    <w:rsid w:val="00A961B3"/>
    <w:rsid w:val="00A9661E"/>
    <w:rsid w:val="00AA536B"/>
    <w:rsid w:val="00AD1BCE"/>
    <w:rsid w:val="00AE7113"/>
    <w:rsid w:val="00B12847"/>
    <w:rsid w:val="00B14ADF"/>
    <w:rsid w:val="00B167FC"/>
    <w:rsid w:val="00B30306"/>
    <w:rsid w:val="00B40726"/>
    <w:rsid w:val="00B40D93"/>
    <w:rsid w:val="00B70077"/>
    <w:rsid w:val="00B947E3"/>
    <w:rsid w:val="00B94DA7"/>
    <w:rsid w:val="00BA169D"/>
    <w:rsid w:val="00BA3594"/>
    <w:rsid w:val="00BA7619"/>
    <w:rsid w:val="00BC05D1"/>
    <w:rsid w:val="00BC2AA9"/>
    <w:rsid w:val="00BF0B65"/>
    <w:rsid w:val="00C20AFF"/>
    <w:rsid w:val="00C24721"/>
    <w:rsid w:val="00C257A0"/>
    <w:rsid w:val="00C33116"/>
    <w:rsid w:val="00C4324D"/>
    <w:rsid w:val="00C44FE0"/>
    <w:rsid w:val="00C459EE"/>
    <w:rsid w:val="00C547B2"/>
    <w:rsid w:val="00C60CDF"/>
    <w:rsid w:val="00C61B0B"/>
    <w:rsid w:val="00C63827"/>
    <w:rsid w:val="00C70A2E"/>
    <w:rsid w:val="00C764F1"/>
    <w:rsid w:val="00C86FA3"/>
    <w:rsid w:val="00CA2365"/>
    <w:rsid w:val="00CA5406"/>
    <w:rsid w:val="00CC4928"/>
    <w:rsid w:val="00CD683A"/>
    <w:rsid w:val="00CE414D"/>
    <w:rsid w:val="00CF38E2"/>
    <w:rsid w:val="00CF4208"/>
    <w:rsid w:val="00D03243"/>
    <w:rsid w:val="00D06381"/>
    <w:rsid w:val="00D070BF"/>
    <w:rsid w:val="00D474F0"/>
    <w:rsid w:val="00D753FB"/>
    <w:rsid w:val="00DC4CBD"/>
    <w:rsid w:val="00DD7F83"/>
    <w:rsid w:val="00DE78AE"/>
    <w:rsid w:val="00DF1291"/>
    <w:rsid w:val="00DF4EBB"/>
    <w:rsid w:val="00E00117"/>
    <w:rsid w:val="00E05635"/>
    <w:rsid w:val="00E119D4"/>
    <w:rsid w:val="00E257EC"/>
    <w:rsid w:val="00E31CED"/>
    <w:rsid w:val="00E56980"/>
    <w:rsid w:val="00E578D1"/>
    <w:rsid w:val="00E74849"/>
    <w:rsid w:val="00E966DA"/>
    <w:rsid w:val="00EA129B"/>
    <w:rsid w:val="00EA15F6"/>
    <w:rsid w:val="00EA5B5A"/>
    <w:rsid w:val="00EB0996"/>
    <w:rsid w:val="00EB346D"/>
    <w:rsid w:val="00EB54EF"/>
    <w:rsid w:val="00EC6F87"/>
    <w:rsid w:val="00EE603C"/>
    <w:rsid w:val="00F0170A"/>
    <w:rsid w:val="00F045AD"/>
    <w:rsid w:val="00F1012F"/>
    <w:rsid w:val="00F14221"/>
    <w:rsid w:val="00F163FB"/>
    <w:rsid w:val="00F26F92"/>
    <w:rsid w:val="00F2767E"/>
    <w:rsid w:val="00F326EF"/>
    <w:rsid w:val="00F4770C"/>
    <w:rsid w:val="00F64C71"/>
    <w:rsid w:val="00F835DA"/>
    <w:rsid w:val="00F84FA2"/>
    <w:rsid w:val="00F930BA"/>
    <w:rsid w:val="00FC4CC1"/>
    <w:rsid w:val="00FC6E1E"/>
    <w:rsid w:val="00FD2B04"/>
    <w:rsid w:val="00FD423E"/>
    <w:rsid w:val="00FF6BFF"/>
    <w:rsid w:val="02547407"/>
    <w:rsid w:val="027C01AE"/>
    <w:rsid w:val="02930004"/>
    <w:rsid w:val="02BA4F2E"/>
    <w:rsid w:val="07493F9A"/>
    <w:rsid w:val="0A467490"/>
    <w:rsid w:val="0D6D0D63"/>
    <w:rsid w:val="0D725B91"/>
    <w:rsid w:val="104B4EA2"/>
    <w:rsid w:val="137668AA"/>
    <w:rsid w:val="13996849"/>
    <w:rsid w:val="141C0605"/>
    <w:rsid w:val="15126743"/>
    <w:rsid w:val="18354240"/>
    <w:rsid w:val="18D73984"/>
    <w:rsid w:val="19F72FFC"/>
    <w:rsid w:val="1AF46EEC"/>
    <w:rsid w:val="1BD63156"/>
    <w:rsid w:val="1C161DDD"/>
    <w:rsid w:val="1D900735"/>
    <w:rsid w:val="1DAE3DAF"/>
    <w:rsid w:val="20DD75BA"/>
    <w:rsid w:val="218D294A"/>
    <w:rsid w:val="22F47918"/>
    <w:rsid w:val="25430C7A"/>
    <w:rsid w:val="255A0F8D"/>
    <w:rsid w:val="258F3376"/>
    <w:rsid w:val="26142B7A"/>
    <w:rsid w:val="284A35A6"/>
    <w:rsid w:val="295C2116"/>
    <w:rsid w:val="29664B30"/>
    <w:rsid w:val="2C1856FE"/>
    <w:rsid w:val="2C2E7393"/>
    <w:rsid w:val="2C61215F"/>
    <w:rsid w:val="2FFE1CE8"/>
    <w:rsid w:val="31426D73"/>
    <w:rsid w:val="32592C46"/>
    <w:rsid w:val="32624584"/>
    <w:rsid w:val="3435401E"/>
    <w:rsid w:val="3D872856"/>
    <w:rsid w:val="3DBF077F"/>
    <w:rsid w:val="420A3080"/>
    <w:rsid w:val="42301D88"/>
    <w:rsid w:val="42FE2A7D"/>
    <w:rsid w:val="44AC639B"/>
    <w:rsid w:val="44AD08AA"/>
    <w:rsid w:val="4551384D"/>
    <w:rsid w:val="466E068E"/>
    <w:rsid w:val="4694698C"/>
    <w:rsid w:val="47E851EC"/>
    <w:rsid w:val="48002548"/>
    <w:rsid w:val="498C758B"/>
    <w:rsid w:val="4C3B5E52"/>
    <w:rsid w:val="4C5B0783"/>
    <w:rsid w:val="4FB71594"/>
    <w:rsid w:val="50334CB2"/>
    <w:rsid w:val="50A652F9"/>
    <w:rsid w:val="52262C98"/>
    <w:rsid w:val="524C4E9E"/>
    <w:rsid w:val="539728AE"/>
    <w:rsid w:val="549A6DE7"/>
    <w:rsid w:val="5774562F"/>
    <w:rsid w:val="58D1363D"/>
    <w:rsid w:val="59F11132"/>
    <w:rsid w:val="5C3B6047"/>
    <w:rsid w:val="5C7D1B5B"/>
    <w:rsid w:val="5C7F2ACC"/>
    <w:rsid w:val="5D19793E"/>
    <w:rsid w:val="5E187B25"/>
    <w:rsid w:val="5EB50A07"/>
    <w:rsid w:val="60094389"/>
    <w:rsid w:val="614028BC"/>
    <w:rsid w:val="62344A89"/>
    <w:rsid w:val="627B6AAC"/>
    <w:rsid w:val="63AB716D"/>
    <w:rsid w:val="67512D9F"/>
    <w:rsid w:val="676B2A6D"/>
    <w:rsid w:val="67EF5B8B"/>
    <w:rsid w:val="699344C9"/>
    <w:rsid w:val="6B5A72D7"/>
    <w:rsid w:val="6B9D217F"/>
    <w:rsid w:val="6D04446E"/>
    <w:rsid w:val="6FEA67BD"/>
    <w:rsid w:val="733D412B"/>
    <w:rsid w:val="777F2186"/>
    <w:rsid w:val="79080FDD"/>
    <w:rsid w:val="79B7342D"/>
    <w:rsid w:val="7C4F4599"/>
    <w:rsid w:val="7DBA1D35"/>
    <w:rsid w:val="7E141954"/>
    <w:rsid w:val="7EA622CA"/>
    <w:rsid w:val="7EB15D54"/>
    <w:rsid w:val="7EC4762C"/>
    <w:rsid w:val="7EEB5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kern w:val="2"/>
      <w:sz w:val="22"/>
      <w:szCs w:val="22"/>
      <w:lang w:val="en-US" w:eastAsia="zh-CN" w:bidi="ar-SA"/>
      <w14:ligatures w14:val="standardContextual"/>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320"/>
        <w:tab w:val="right" w:pos="8640"/>
      </w:tabs>
      <w:spacing w:after="0" w:line="240" w:lineRule="auto"/>
    </w:pPr>
  </w:style>
  <w:style w:type="paragraph" w:styleId="3">
    <w:name w:val="header"/>
    <w:basedOn w:val="1"/>
    <w:link w:val="9"/>
    <w:unhideWhenUsed/>
    <w:qFormat/>
    <w:uiPriority w:val="99"/>
    <w:pPr>
      <w:tabs>
        <w:tab w:val="center" w:pos="4320"/>
        <w:tab w:val="right" w:pos="8640"/>
      </w:tabs>
      <w:spacing w:after="0" w:line="240" w:lineRule="auto"/>
    </w:pPr>
  </w:style>
  <w:style w:type="paragraph" w:styleId="4">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7">
    <w:name w:val="Hyperlink"/>
    <w:basedOn w:val="6"/>
    <w:semiHidden/>
    <w:unhideWhenUsed/>
    <w:qFormat/>
    <w:uiPriority w:val="99"/>
    <w:rPr>
      <w:color w:val="0000FF"/>
      <w:u w:val="single"/>
    </w:rPr>
  </w:style>
  <w:style w:type="paragraph" w:customStyle="1" w:styleId="8">
    <w:name w:val="Bibliography1"/>
    <w:basedOn w:val="1"/>
    <w:next w:val="1"/>
    <w:unhideWhenUsed/>
    <w:qFormat/>
    <w:uiPriority w:val="37"/>
    <w:pPr>
      <w:tabs>
        <w:tab w:val="left" w:pos="384"/>
      </w:tabs>
      <w:spacing w:after="0" w:line="240" w:lineRule="auto"/>
      <w:ind w:left="384" w:hanging="384"/>
    </w:pPr>
  </w:style>
  <w:style w:type="character" w:customStyle="1" w:styleId="9">
    <w:name w:val="Header Char"/>
    <w:basedOn w:val="6"/>
    <w:link w:val="3"/>
    <w:qFormat/>
    <w:uiPriority w:val="99"/>
    <w:rPr>
      <w:rFonts w:asciiTheme="minorHAnsi" w:hAnsiTheme="minorHAnsi" w:eastAsiaTheme="minorEastAsia" w:cstheme="minorBidi"/>
      <w:kern w:val="2"/>
      <w:sz w:val="22"/>
      <w:szCs w:val="22"/>
      <w14:ligatures w14:val="standardContextual"/>
    </w:rPr>
  </w:style>
  <w:style w:type="character" w:customStyle="1" w:styleId="10">
    <w:name w:val="Footer Char"/>
    <w:basedOn w:val="6"/>
    <w:link w:val="2"/>
    <w:qFormat/>
    <w:uiPriority w:val="99"/>
    <w:rPr>
      <w:rFonts w:asciiTheme="minorHAnsi" w:hAnsiTheme="minorHAnsi" w:eastAsiaTheme="minorEastAsia" w:cstheme="minorBidi"/>
      <w:kern w:val="2"/>
      <w:sz w:val="22"/>
      <w:szCs w:val="22"/>
      <w14:ligatures w14:val="standardContextual"/>
    </w:rPr>
  </w:style>
  <w:style w:type="paragraph" w:customStyle="1" w:styleId="11">
    <w:name w:val="Bibliography2"/>
    <w:basedOn w:val="1"/>
    <w:next w:val="1"/>
    <w:unhideWhenUsed/>
    <w:qFormat/>
    <w:uiPriority w:val="37"/>
    <w:pPr>
      <w:tabs>
        <w:tab w:val="left" w:pos="384"/>
      </w:tabs>
      <w:spacing w:after="0" w:line="480" w:lineRule="auto"/>
      <w:ind w:left="384" w:hanging="384"/>
    </w:pPr>
  </w:style>
  <w:style w:type="paragraph" w:customStyle="1" w:styleId="12">
    <w:name w:val="TD_Acknowledgments"/>
    <w:basedOn w:val="1"/>
    <w:next w:val="1"/>
    <w:qFormat/>
    <w:uiPriority w:val="0"/>
    <w:pPr>
      <w:spacing w:before="200" w:after="200" w:line="480" w:lineRule="auto"/>
      <w:ind w:firstLine="202"/>
      <w:jc w:val="both"/>
    </w:pPr>
    <w:rPr>
      <w:rFonts w:ascii="Times" w:hAnsi="Times" w:eastAsia="Times New Roman" w:cs="Times New Roman"/>
      <w:kern w:val="0"/>
      <w:sz w:val="24"/>
      <w:szCs w:val="20"/>
      <w:lang w:eastAsia="en-US"/>
      <w14:ligatures w14:val="none"/>
    </w:rPr>
  </w:style>
  <w:style w:type="paragraph" w:customStyle="1" w:styleId="13">
    <w:name w:val="Style FA_Corresponding_Author_Footnote + 7 pt"/>
    <w:basedOn w:val="1"/>
    <w:next w:val="1"/>
    <w:link w:val="14"/>
    <w:autoRedefine/>
    <w:qFormat/>
    <w:uiPriority w:val="0"/>
    <w:pPr>
      <w:spacing w:after="0" w:line="240" w:lineRule="auto"/>
    </w:pPr>
    <w:rPr>
      <w:rFonts w:ascii="Arno Pro" w:hAnsi="Arno Pro" w:eastAsia="Times New Roman" w:cs="Times New Roman"/>
      <w:kern w:val="20"/>
      <w:sz w:val="18"/>
      <w:szCs w:val="20"/>
      <w:lang w:eastAsia="en-US"/>
      <w14:ligatures w14:val="none"/>
    </w:rPr>
  </w:style>
  <w:style w:type="character" w:customStyle="1" w:styleId="14">
    <w:name w:val="Style FA_Corresponding_Author_Footnote + 7 pt Char"/>
    <w:link w:val="13"/>
    <w:qFormat/>
    <w:uiPriority w:val="0"/>
    <w:rPr>
      <w:rFonts w:ascii="Arno Pro" w:hAnsi="Arno Pro" w:eastAsia="Times New Roman"/>
      <w:kern w:val="20"/>
      <w:sz w:val="18"/>
      <w:lang w:eastAsia="en-US"/>
    </w:rPr>
  </w:style>
  <w:style w:type="paragraph" w:customStyle="1" w:styleId="15">
    <w:name w:val="Table of contents"/>
    <w:basedOn w:val="1"/>
    <w:autoRedefine/>
    <w:qFormat/>
    <w:uiPriority w:val="0"/>
  </w:style>
  <w:style w:type="paragraph" w:customStyle="1" w:styleId="16">
    <w:name w:val="书目1"/>
    <w:basedOn w:val="1"/>
    <w:next w:val="1"/>
    <w:unhideWhenUsed/>
    <w:qFormat/>
    <w:uiPriority w:val="37"/>
  </w:style>
  <w:style w:type="paragraph" w:customStyle="1" w:styleId="17">
    <w:name w:val="Revision1"/>
    <w:hidden/>
    <w:unhideWhenUsed/>
    <w:qFormat/>
    <w:uiPriority w:val="99"/>
    <w:rPr>
      <w:rFonts w:asciiTheme="minorHAnsi" w:hAnsiTheme="minorHAnsi" w:eastAsiaTheme="minorEastAsia" w:cstheme="minorBidi"/>
      <w:kern w:val="2"/>
      <w:sz w:val="22"/>
      <w:szCs w:val="22"/>
      <w:lang w:val="en-US" w:eastAsia="zh-CN" w:bidi="ar-SA"/>
      <w14:ligatures w14:val="standardContextual"/>
    </w:rPr>
  </w:style>
  <w:style w:type="paragraph" w:customStyle="1" w:styleId="18">
    <w:name w:val="Bibliography"/>
    <w:basedOn w:val="1"/>
    <w:next w:val="1"/>
    <w:unhideWhenUsed/>
    <w:qFormat/>
    <w:uiPriority w:val="37"/>
    <w:pPr>
      <w:tabs>
        <w:tab w:val="left" w:pos="504"/>
      </w:tabs>
      <w:spacing w:after="0" w:line="240" w:lineRule="auto"/>
      <w:ind w:left="504" w:hanging="504"/>
    </w:pPr>
  </w:style>
  <w:style w:type="paragraph" w:customStyle="1" w:styleId="19">
    <w:name w:val="BC_Author_Address"/>
    <w:basedOn w:val="1"/>
    <w:next w:val="1"/>
    <w:qFormat/>
    <w:uiPriority w:val="0"/>
    <w:pPr>
      <w:spacing w:after="240" w:line="480" w:lineRule="auto"/>
      <w:jc w:val="center"/>
    </w:pPr>
    <w:rPr>
      <w:rFonts w:ascii="Times" w:hAnsi="Times" w:eastAsia="Times New Roman" w:cs="Times New Roman"/>
      <w:kern w:val="0"/>
      <w:sz w:val="24"/>
      <w:szCs w:val="20"/>
      <w:lang w:eastAsia="en-US"/>
      <w14:ligatures w14:val="none"/>
    </w:rPr>
  </w:style>
  <w:style w:type="paragraph" w:customStyle="1" w:styleId="20">
    <w:name w:val="FA_Corresponding_Author_Footnote"/>
    <w:basedOn w:val="1"/>
    <w:next w:val="21"/>
    <w:qFormat/>
    <w:uiPriority w:val="0"/>
    <w:pPr>
      <w:spacing w:line="480" w:lineRule="auto"/>
    </w:pPr>
  </w:style>
  <w:style w:type="paragraph" w:customStyle="1" w:styleId="21">
    <w:name w:val="TA_Main_Text"/>
    <w:basedOn w:val="1"/>
    <w:qFormat/>
    <w:uiPriority w:val="0"/>
    <w:pPr>
      <w:spacing w:after="0" w:line="480" w:lineRule="auto"/>
      <w:ind w:firstLine="202"/>
    </w:pPr>
  </w:style>
  <w:style w:type="paragraph" w:customStyle="1" w:styleId="22">
    <w:name w:val="Head 1"/>
    <w:basedOn w:val="1"/>
    <w:autoRedefine/>
    <w:qFormat/>
    <w:uiPriority w:val="0"/>
    <w:pPr>
      <w:spacing w:after="0" w:line="360" w:lineRule="auto"/>
      <w:jc w:val="left"/>
    </w:pPr>
    <w:rPr>
      <w:rFonts w:ascii="Times New Roman" w:hAnsi="Times New Roman" w:eastAsia="MS Mincho"/>
      <w:b/>
      <w:bCs/>
      <w:szCs w:val="24"/>
      <w:lang w:val="de-DE" w:eastAsia="ja-JP"/>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518</Words>
  <Characters>3270</Characters>
  <Lines>1149</Lines>
  <Paragraphs>323</Paragraphs>
  <TotalTime>12</TotalTime>
  <ScaleCrop>false</ScaleCrop>
  <LinksUpToDate>false</LinksUpToDate>
  <CharactersWithSpaces>3777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2025-01-30T06:08:00Z</dcterms:created>
  <dc:creator>liaojian</dc:creator>
  <cp:lastModifiedBy>薛加民</cp:lastModifiedBy>
  <dcterms:modified xsi:type="dcterms:W3CDTF">2025-04-07T00:50:52Z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f5603df7-0ae0-4e71-b40b-47bf860bee58</vt:lpwstr>
  </property>
  <property fmtid="{D5CDD505-2E9C-101B-9397-08002B2CF9AE}" pid="3" name="ZOTERO_PREF_1">
    <vt:lpwstr>&lt;data data-version="3" zotero-version="6.0.36"&gt;&lt;session id="1IndSfNl"/&gt;&lt;style id="http://www.zotero.org/styles/nano-letters" hasBibliography="1" bibliographyStyleHasBeenSet="1"/&gt;&lt;prefs&gt;&lt;pref name="fieldType" value="Field"/&gt;&lt;/prefs&gt;&lt;/data&gt;</vt:lpwstr>
  </property>
  <property fmtid="{D5CDD505-2E9C-101B-9397-08002B2CF9AE}" pid="4" name="KSOTemplateDocerSaveRecord">
    <vt:lpwstr>eyJoZGlkIjoiZGQ3YjQ1MzNjMzA5NmZkNzQzMzM4ZjJjZjUzMDBiZTQiLCJ1c2VySWQiOiIzMjI1NjUzNjgifQ==</vt:lpwstr>
  </property>
  <property fmtid="{D5CDD505-2E9C-101B-9397-08002B2CF9AE}" pid="5" name="KSOProductBuildVer">
    <vt:lpwstr>2052-12.1.0.20305</vt:lpwstr>
  </property>
  <property fmtid="{D5CDD505-2E9C-101B-9397-08002B2CF9AE}" pid="6" name="ICV">
    <vt:lpwstr>F81E4C69B5134907B98B91B2A28D361B_12</vt:lpwstr>
  </property>
</Properties>
</file>