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417D4" w14:textId="77777777" w:rsidR="00F62C8B" w:rsidRPr="00270DD5" w:rsidRDefault="000F3A41" w:rsidP="004C531E">
      <w:pPr>
        <w:pStyle w:val="RSCM01ReceivedAccepted"/>
      </w:pPr>
      <w:r w:rsidRPr="00270DD5">
        <mc:AlternateContent>
          <mc:Choice Requires="wps">
            <w:drawing>
              <wp:anchor distT="180340" distB="0" distL="114300" distR="114300" simplePos="0" relativeHeight="251612160" behindDoc="1" locked="1" layoutInCell="0" allowOverlap="0" wp14:anchorId="5B54B28E" wp14:editId="6A560391">
                <wp:simplePos x="0" y="0"/>
                <wp:positionH relativeFrom="column">
                  <wp:posOffset>-58</wp:posOffset>
                </wp:positionH>
                <wp:positionV relativeFrom="margin">
                  <wp:align>bottom</wp:align>
                </wp:positionV>
                <wp:extent cx="3158837" cy="1627909"/>
                <wp:effectExtent l="0" t="0" r="3810" b="0"/>
                <wp:wrapTopAndBottom/>
                <wp:docPr id="7"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8837" cy="1627909"/>
                        </a:xfrm>
                        <a:prstGeom prst="rect">
                          <a:avLst/>
                        </a:prstGeom>
                        <a:solidFill>
                          <a:srgbClr val="FFFFFF"/>
                        </a:solidFill>
                        <a:ln w="9525">
                          <a:noFill/>
                          <a:miter lim="800000"/>
                          <a:headEnd/>
                          <a:tailEnd/>
                        </a:ln>
                      </wps:spPr>
                      <wps:txbx>
                        <w:txbxContent>
                          <w:p w14:paraId="38C41621" w14:textId="721B4BC8" w:rsidR="00126027" w:rsidRPr="00C405FD" w:rsidRDefault="009E586D" w:rsidP="00C405FD">
                            <w:pPr>
                              <w:pStyle w:val="RSCF01FootnoteAuthorAddress"/>
                            </w:pPr>
                            <w:r w:rsidRPr="009E586D">
                              <w:rPr>
                                <w:iCs/>
                                <w:lang w:val="en-US"/>
                              </w:rPr>
                              <w:t xml:space="preserve">Research Center for Structural Materials, National Institute for Materials Science, 1-2-1 </w:t>
                            </w:r>
                            <w:proofErr w:type="spellStart"/>
                            <w:r w:rsidRPr="009E586D">
                              <w:rPr>
                                <w:iCs/>
                                <w:lang w:val="en-US"/>
                              </w:rPr>
                              <w:t>Sengen</w:t>
                            </w:r>
                            <w:proofErr w:type="spellEnd"/>
                            <w:r w:rsidRPr="009E586D">
                              <w:rPr>
                                <w:iCs/>
                                <w:lang w:val="en-US"/>
                              </w:rPr>
                              <w:t>, Tsukuba, Japan 305-0047</w:t>
                            </w:r>
                            <w:r w:rsidR="008C682F" w:rsidRPr="00C405FD">
                              <w:t>.</w:t>
                            </w:r>
                          </w:p>
                          <w:p w14:paraId="5591C28F" w14:textId="6D12C478" w:rsidR="00126027" w:rsidRPr="00C405FD" w:rsidRDefault="009E586D" w:rsidP="00C405FD">
                            <w:pPr>
                              <w:pStyle w:val="RSCF01FootnoteAuthorAddress"/>
                            </w:pPr>
                            <w:r w:rsidRPr="009E586D">
                              <w:rPr>
                                <w:iCs/>
                                <w:lang w:val="en-US"/>
                              </w:rPr>
                              <w:t>Research Center for Electronic and Optical Materials, National Institute for Materials Science, Tsukuba, Japan 305-0044</w:t>
                            </w:r>
                            <w:r w:rsidR="00126027" w:rsidRPr="00C405FD">
                              <w:t>.</w:t>
                            </w:r>
                          </w:p>
                          <w:p w14:paraId="53E1C83B" w14:textId="62058953" w:rsidR="000D6963" w:rsidRDefault="009E586D" w:rsidP="00C405FD">
                            <w:pPr>
                              <w:pStyle w:val="RSCF01FootnoteAuthorAddress"/>
                            </w:pPr>
                            <w:r w:rsidRPr="009E586D">
                              <w:rPr>
                                <w:iCs/>
                                <w:lang w:val="en-US"/>
                              </w:rPr>
                              <w:t>Department of Aerospace Engineering, Tohoku University, Sendai, Japan 980-8579</w:t>
                            </w:r>
                            <w:r w:rsidR="000D6963" w:rsidRPr="00C405FD">
                              <w:t>.</w:t>
                            </w:r>
                          </w:p>
                          <w:p w14:paraId="09720F5F" w14:textId="1A91D618" w:rsidR="009E586D" w:rsidRPr="00C405FD" w:rsidRDefault="009E586D" w:rsidP="00C405FD">
                            <w:pPr>
                              <w:pStyle w:val="RSCF01FootnoteAuthorAddress"/>
                            </w:pPr>
                            <w:r w:rsidRPr="009E586D">
                              <w:rPr>
                                <w:iCs/>
                                <w:lang w:val="en-US"/>
                              </w:rPr>
                              <w:t>Center for Advanced Materials, Forestry and Forest Products Research Institute, Tsukuba, Japan 305-8687</w:t>
                            </w:r>
                            <w:r>
                              <w:rPr>
                                <w:iCs/>
                                <w:lang w:val="en-US"/>
                              </w:rPr>
                              <w:t>.</w:t>
                            </w:r>
                          </w:p>
                          <w:p w14:paraId="17CB68EF" w14:textId="77777777" w:rsidR="008C682F" w:rsidRPr="00241ACD" w:rsidRDefault="00126027" w:rsidP="00241ACD">
                            <w:pPr>
                              <w:pStyle w:val="RSCF02FootnotestoTitleAuthors"/>
                            </w:pPr>
                            <w:r w:rsidRPr="00241ACD">
                              <w:t xml:space="preserve">† </w:t>
                            </w:r>
                            <w:r w:rsidR="008C682F" w:rsidRPr="00241ACD">
                              <w:t xml:space="preserve">Footnotes </w:t>
                            </w:r>
                            <w:r w:rsidR="00AD5483" w:rsidRPr="00241ACD">
                              <w:t>relating to the title and/or authors should appear here.</w:t>
                            </w:r>
                            <w:r w:rsidR="008C682F" w:rsidRPr="00241ACD">
                              <w:t xml:space="preserve"> </w:t>
                            </w:r>
                          </w:p>
                          <w:p w14:paraId="71856912" w14:textId="77777777" w:rsidR="00C405FD" w:rsidRPr="00241ACD" w:rsidRDefault="008C682F" w:rsidP="00241ACD">
                            <w:pPr>
                              <w:pStyle w:val="RSCF02FootnotestoTitleAuthors"/>
                            </w:pPr>
                            <w:r w:rsidRPr="00241ACD">
                              <w:t>Electronic Supplementary Information (ESI) available: [details of any supplementary information available should be included here]. See DOI: 10.1039/x0xx00000x</w:t>
                            </w:r>
                          </w:p>
                        </w:txbxContent>
                      </wps:txbx>
                      <wps:bodyPr rot="0" vert="horz" wrap="square" lIns="0" tIns="36000" rIns="0" bIns="36000" anchor="b" anchorCtr="0">
                        <a:spAutoFit/>
                      </wps:bodyPr>
                    </wps:wsp>
                  </a:graphicData>
                </a:graphic>
                <wp14:sizeRelH relativeFrom="margin">
                  <wp14:pctWidth>0</wp14:pctWidth>
                </wp14:sizeRelH>
                <wp14:sizeRelV relativeFrom="margin">
                  <wp14:pctHeight>20000</wp14:pctHeight>
                </wp14:sizeRelV>
              </wp:anchor>
            </w:drawing>
          </mc:Choice>
          <mc:Fallback>
            <w:pict>
              <v:shapetype w14:anchorId="5B54B28E" id="_x0000_t202" coordsize="21600,21600" o:spt="202" path="m,l,21600r21600,l21600,xe">
                <v:stroke joinstyle="miter"/>
                <v:path gradientshapeok="t" o:connecttype="rect"/>
              </v:shapetype>
              <v:shape id="Text Box 2" o:spid="_x0000_s1026" type="#_x0000_t202" style="position:absolute;margin-left:0;margin-top:0;width:248.75pt;height:128.2pt;z-index:-251704320;visibility:visible;mso-wrap-style:square;mso-width-percent:0;mso-height-percent:200;mso-wrap-distance-left:9pt;mso-wrap-distance-top:14.2pt;mso-wrap-distance-right:9pt;mso-wrap-distance-bottom:0;mso-position-horizontal:absolute;mso-position-horizontal-relative:text;mso-position-vertical:bottom;mso-position-vertical-relative:margin;mso-width-percent:0;mso-height-percent:20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" o:allowincell="f" o:allowoverlap="f" stroked="f">
                <o:lock v:ext="edit" aspectratio="t"/>
                <v:textbox style="mso-fit-shape-to-text:t" inset="0,1mm,0,1mm">
                  <w:txbxContent>
                    <w:p w14:paraId="38C41621" w14:textId="721B4BC8" w:rsidR="00126027" w:rsidRPr="00C405FD" w:rsidRDefault="009E586D" w:rsidP="00C405FD">
                      <w:pPr>
                        <w:pStyle w:val="RSCF01FootnoteAuthorAddress"/>
                      </w:pPr>
                      <w:r w:rsidRPr="009E586D">
                        <w:rPr>
                          <w:iCs/>
                          <w:lang w:val="en-US"/>
                        </w:rPr>
                        <w:t xml:space="preserve">Research Center for Structural Materials, National Institute for Materials Science, 1-2-1 </w:t>
                      </w:r>
                      <w:proofErr w:type="spellStart"/>
                      <w:r w:rsidRPr="009E586D">
                        <w:rPr>
                          <w:iCs/>
                          <w:lang w:val="en-US"/>
                        </w:rPr>
                        <w:t>Sengen</w:t>
                      </w:r>
                      <w:proofErr w:type="spellEnd"/>
                      <w:r w:rsidRPr="009E586D">
                        <w:rPr>
                          <w:iCs/>
                          <w:lang w:val="en-US"/>
                        </w:rPr>
                        <w:t>, Tsukuba, Japan 305-0047</w:t>
                      </w:r>
                      <w:r w:rsidR="008C682F" w:rsidRPr="00C405FD">
                        <w:t>.</w:t>
                      </w:r>
                    </w:p>
                    <w:p w14:paraId="5591C28F" w14:textId="6D12C478" w:rsidR="00126027" w:rsidRPr="00C405FD" w:rsidRDefault="009E586D" w:rsidP="00C405FD">
                      <w:pPr>
                        <w:pStyle w:val="RSCF01FootnoteAuthorAddress"/>
                      </w:pPr>
                      <w:r w:rsidRPr="009E586D">
                        <w:rPr>
                          <w:iCs/>
                          <w:lang w:val="en-US"/>
                        </w:rPr>
                        <w:t>Research Center for Electronic and Optical Materials, National Institute for Materials Science, Tsukuba, Japan 305-0044</w:t>
                      </w:r>
                      <w:r w:rsidR="00126027" w:rsidRPr="00C405FD">
                        <w:t>.</w:t>
                      </w:r>
                    </w:p>
                    <w:p w14:paraId="53E1C83B" w14:textId="62058953" w:rsidR="000D6963" w:rsidRDefault="009E586D" w:rsidP="00C405FD">
                      <w:pPr>
                        <w:pStyle w:val="RSCF01FootnoteAuthorAddress"/>
                      </w:pPr>
                      <w:r w:rsidRPr="009E586D">
                        <w:rPr>
                          <w:iCs/>
                          <w:lang w:val="en-US"/>
                        </w:rPr>
                        <w:t>Department of Aerospace Engineering, Tohoku University, Sendai, Japan 980-8579</w:t>
                      </w:r>
                      <w:r w:rsidR="000D6963" w:rsidRPr="00C405FD">
                        <w:t>.</w:t>
                      </w:r>
                    </w:p>
                    <w:p w14:paraId="09720F5F" w14:textId="1A91D618" w:rsidR="009E586D" w:rsidRPr="00C405FD" w:rsidRDefault="009E586D" w:rsidP="00C405FD">
                      <w:pPr>
                        <w:pStyle w:val="RSCF01FootnoteAuthorAddress"/>
                      </w:pPr>
                      <w:r w:rsidRPr="009E586D">
                        <w:rPr>
                          <w:iCs/>
                          <w:lang w:val="en-US"/>
                        </w:rPr>
                        <w:t>Center for Advanced Materials, Forestry and Forest Products Research Institute, Tsukuba, Japan 305-8687</w:t>
                      </w:r>
                      <w:r>
                        <w:rPr>
                          <w:iCs/>
                          <w:lang w:val="en-US"/>
                        </w:rPr>
                        <w:t>.</w:t>
                      </w:r>
                    </w:p>
                    <w:p w14:paraId="17CB68EF" w14:textId="77777777" w:rsidR="008C682F" w:rsidRPr="00241ACD" w:rsidRDefault="00126027" w:rsidP="00241ACD">
                      <w:pPr>
                        <w:pStyle w:val="RSCF02FootnotestoTitleAuthors"/>
                      </w:pPr>
                      <w:r w:rsidRPr="00241ACD">
                        <w:t xml:space="preserve">† </w:t>
                      </w:r>
                      <w:r w:rsidR="008C682F" w:rsidRPr="00241ACD">
                        <w:t xml:space="preserve">Footnotes </w:t>
                      </w:r>
                      <w:r w:rsidR="00AD5483" w:rsidRPr="00241ACD">
                        <w:t>relating to the title and/or authors should appear here.</w:t>
                      </w:r>
                      <w:r w:rsidR="008C682F" w:rsidRPr="00241ACD">
                        <w:t xml:space="preserve"> </w:t>
                      </w:r>
                    </w:p>
                    <w:p w14:paraId="71856912" w14:textId="77777777" w:rsidR="00C405FD" w:rsidRPr="00241ACD" w:rsidRDefault="008C682F" w:rsidP="00241ACD">
                      <w:pPr>
                        <w:pStyle w:val="RSCF02FootnotestoTitleAuthors"/>
                      </w:pPr>
                      <w:r w:rsidRPr="00241ACD">
                        <w:t>Electronic Supplementary Information (ESI) available: [details of any supplementary information available should be included here]. See DOI: 10.1039/x0xx00000x</w:t>
                      </w:r>
                    </w:p>
                  </w:txbxContent>
                </v:textbox>
                <w10:wrap type="topAndBottom" anchory="margin"/>
                <w10:anchorlock/>
              </v:shape>
            </w:pict>
          </mc:Fallback>
        </mc:AlternateContent>
      </w:r>
      <w:r w:rsidR="00F62C8B" w:rsidRPr="00270DD5">
        <w:t>Received 00th January 20</w:t>
      </w:r>
      <w:r w:rsidR="00F15F90" w:rsidRPr="00270DD5">
        <w:t>xx</w:t>
      </w:r>
      <w:r w:rsidR="00F62C8B" w:rsidRPr="00270DD5">
        <w:t>,</w:t>
      </w:r>
    </w:p>
    <w:p w14:paraId="5E930491" w14:textId="77777777" w:rsidR="00F62C8B" w:rsidRPr="00270DD5" w:rsidRDefault="00F62C8B" w:rsidP="004C531E">
      <w:pPr>
        <w:pStyle w:val="RSCM01ReceivedAccepted"/>
      </w:pPr>
      <w:r w:rsidRPr="00270DD5">
        <w:t>Accepted 00th January 20</w:t>
      </w:r>
      <w:r w:rsidR="00F15F90" w:rsidRPr="00270DD5">
        <w:t>xx</w:t>
      </w:r>
    </w:p>
    <w:p w14:paraId="492325BD" w14:textId="77777777" w:rsidR="00F62C8B" w:rsidRPr="00794787" w:rsidRDefault="00F62C8B" w:rsidP="004C531E">
      <w:pPr>
        <w:pStyle w:val="RSCM02DOI"/>
      </w:pPr>
      <w:r w:rsidRPr="00794787">
        <w:t>DOI: 10.1039/x0xx00000x</w:t>
      </w:r>
    </w:p>
    <w:p w14:paraId="646B8F30" w14:textId="6358663E" w:rsidR="00A9649E" w:rsidRDefault="00A9649E" w:rsidP="004C531E">
      <w:pPr>
        <w:pStyle w:val="RSCM03Website"/>
      </w:pPr>
    </w:p>
    <w:p w14:paraId="51574338" w14:textId="77777777" w:rsidR="002B62B5" w:rsidRPr="00794787" w:rsidRDefault="002B62B5" w:rsidP="004C531E">
      <w:pPr>
        <w:pStyle w:val="RSCM03Website"/>
      </w:pPr>
    </w:p>
    <w:p w14:paraId="0D6101E0" w14:textId="53DC6E04" w:rsidR="004414A5" w:rsidRPr="00C32EDF" w:rsidRDefault="00F62C8B" w:rsidP="00C32EDF">
      <w:pPr>
        <w:pStyle w:val="RSCH01PaperTitle"/>
      </w:pPr>
      <w:r w:rsidRPr="004414A5">
        <w:br w:type="column"/>
      </w:r>
      <w:r w:rsidR="006A2588">
        <w:rPr>
          <w:bCs/>
          <w:lang w:val="en-US"/>
        </w:rPr>
        <w:t>D</w:t>
      </w:r>
      <w:r w:rsidR="006A2588" w:rsidRPr="006A2588">
        <w:rPr>
          <w:bCs/>
          <w:lang w:val="en-US"/>
        </w:rPr>
        <w:t>urable and recyclable biomimetic glycol lignin/polyolefin compounds for a circular economy</w:t>
      </w:r>
      <w:r w:rsidR="004414A5" w:rsidRPr="00C32EDF">
        <w:t xml:space="preserve"> </w:t>
      </w:r>
    </w:p>
    <w:p w14:paraId="5D91B541" w14:textId="6927BF49" w:rsidR="008125A0" w:rsidRPr="008125A0" w:rsidRDefault="006A2588" w:rsidP="008125A0">
      <w:pPr>
        <w:pStyle w:val="RSCB01ARTAbstract"/>
        <w:rPr>
          <w:rFonts w:cs="Times New Roman"/>
          <w:sz w:val="20"/>
          <w:vertAlign w:val="superscript"/>
        </w:rPr>
      </w:pPr>
      <w:r>
        <w:rPr>
          <w:rFonts w:cs="Times New Roman"/>
          <w:sz w:val="20"/>
        </w:rPr>
        <w:t>Jonathon Tanks</w:t>
      </w:r>
      <w:r w:rsidR="008125A0" w:rsidRPr="008125A0">
        <w:rPr>
          <w:rFonts w:cs="Times New Roman"/>
          <w:sz w:val="20"/>
        </w:rPr>
        <w:t>,*</w:t>
      </w:r>
      <w:r w:rsidR="008125A0" w:rsidRPr="008125A0">
        <w:rPr>
          <w:rFonts w:cs="Times New Roman"/>
          <w:sz w:val="20"/>
          <w:vertAlign w:val="superscript"/>
        </w:rPr>
        <w:t>a</w:t>
      </w:r>
      <w:r w:rsidR="008125A0" w:rsidRPr="008125A0">
        <w:rPr>
          <w:rFonts w:cs="Times New Roman"/>
          <w:sz w:val="20"/>
        </w:rPr>
        <w:t xml:space="preserve"> </w:t>
      </w:r>
      <w:r>
        <w:rPr>
          <w:rFonts w:cs="Times New Roman"/>
          <w:sz w:val="20"/>
        </w:rPr>
        <w:t>Kenji Tamura,</w:t>
      </w:r>
      <w:r w:rsidR="008125A0" w:rsidRPr="008125A0">
        <w:rPr>
          <w:rFonts w:cs="Times New Roman"/>
          <w:sz w:val="20"/>
          <w:vertAlign w:val="superscript"/>
        </w:rPr>
        <w:t xml:space="preserve"> b</w:t>
      </w:r>
      <w:r w:rsidR="008125A0" w:rsidRPr="008125A0">
        <w:rPr>
          <w:rFonts w:cs="Times New Roman"/>
          <w:sz w:val="20"/>
        </w:rPr>
        <w:t xml:space="preserve"> </w:t>
      </w:r>
      <w:r>
        <w:rPr>
          <w:rFonts w:cs="Times New Roman"/>
          <w:sz w:val="20"/>
        </w:rPr>
        <w:t>Kimiyoshi Naito,</w:t>
      </w:r>
      <w:r w:rsidRPr="006A2588">
        <w:rPr>
          <w:rFonts w:cs="Times New Roman"/>
          <w:sz w:val="20"/>
          <w:vertAlign w:val="superscript"/>
        </w:rPr>
        <w:t xml:space="preserve"> </w:t>
      </w:r>
      <w:r>
        <w:rPr>
          <w:rFonts w:cs="Times New Roman"/>
          <w:sz w:val="20"/>
          <w:vertAlign w:val="superscript"/>
        </w:rPr>
        <w:t>a,c</w:t>
      </w:r>
      <w:r>
        <w:rPr>
          <w:rFonts w:cs="Times New Roman"/>
          <w:sz w:val="20"/>
        </w:rPr>
        <w:t xml:space="preserve"> Thi Thi Nge</w:t>
      </w:r>
      <w:r w:rsidRPr="006A2588">
        <w:rPr>
          <w:rFonts w:cs="Times New Roman"/>
          <w:sz w:val="20"/>
          <w:vertAlign w:val="superscript"/>
        </w:rPr>
        <w:t xml:space="preserve"> </w:t>
      </w:r>
      <w:r>
        <w:rPr>
          <w:rFonts w:cs="Times New Roman"/>
          <w:sz w:val="20"/>
          <w:vertAlign w:val="superscript"/>
        </w:rPr>
        <w:t>d</w:t>
      </w:r>
      <w:r>
        <w:rPr>
          <w:rFonts w:cs="Times New Roman"/>
          <w:sz w:val="20"/>
        </w:rPr>
        <w:t xml:space="preserve"> </w:t>
      </w:r>
      <w:r w:rsidR="008125A0" w:rsidRPr="008125A0">
        <w:rPr>
          <w:rFonts w:cs="Times New Roman"/>
          <w:sz w:val="20"/>
        </w:rPr>
        <w:t xml:space="preserve">and </w:t>
      </w:r>
      <w:r>
        <w:rPr>
          <w:rFonts w:cs="Times New Roman"/>
          <w:sz w:val="20"/>
        </w:rPr>
        <w:t>Tatsuhiko Yamada</w:t>
      </w:r>
      <w:r w:rsidR="008125A0" w:rsidRPr="008125A0">
        <w:rPr>
          <w:rFonts w:cs="Times New Roman"/>
          <w:sz w:val="20"/>
          <w:vertAlign w:val="superscript"/>
        </w:rPr>
        <w:t xml:space="preserve"> </w:t>
      </w:r>
      <w:r>
        <w:rPr>
          <w:rFonts w:cs="Times New Roman"/>
          <w:sz w:val="20"/>
          <w:vertAlign w:val="superscript"/>
        </w:rPr>
        <w:t>d</w:t>
      </w:r>
    </w:p>
    <w:p w14:paraId="39E3785F" w14:textId="36361AB4" w:rsidR="00FA2DA2" w:rsidRPr="006A2588" w:rsidRDefault="006A2588" w:rsidP="00FA2DA2">
      <w:pPr>
        <w:pStyle w:val="RSCB01ARTAbstract"/>
        <w:rPr>
          <w:lang w:val="en-US"/>
        </w:rPr>
        <w:sectPr w:rsidR="00FA2DA2" w:rsidRPr="006A2588" w:rsidSect="00514CBA">
          <w:headerReference w:type="even" r:id="rId8"/>
          <w:headerReference w:type="default" r:id="rId9"/>
          <w:footerReference w:type="even" r:id="rId10"/>
          <w:footerReference w:type="default" r:id="rId11"/>
          <w:headerReference w:type="first" r:id="rId12"/>
          <w:footerReference w:type="first" r:id="rId13"/>
          <w:pgSz w:w="11907" w:h="16840" w:code="9"/>
          <w:pgMar w:top="1009" w:right="851" w:bottom="1758" w:left="851" w:header="851" w:footer="1049" w:gutter="0"/>
          <w:cols w:num="2" w:space="227" w:equalWidth="0">
            <w:col w:w="1985" w:space="227"/>
            <w:col w:w="7993"/>
          </w:cols>
          <w:titlePg/>
          <w:docGrid w:linePitch="360"/>
        </w:sectPr>
      </w:pPr>
      <w:r w:rsidRPr="006A2588">
        <w:rPr>
          <w:lang w:val="en-US"/>
        </w:rPr>
        <w:t xml:space="preserve">Polyolefins are some of the most widely used plastics in the world due to being lightweight, low cost, and resistant to water and most chemicals. However, they are highly susceptible to photo-oxidative degradation under ultraviolet radiation, leading to environmental problems such as microplastic pollution, and furthermore making it difficult to recycle. In this paper, glycol-modified lignin (GL) is blended with polypropylene to form a bio-mimetic structure similar to human skin, in which melanin absorbs UV light and sunburned tissue is removed to reveal fresh skin. We show that GL acts as a simultaneous UV absorbent, antioxidant, and reinforcement, resulting in high retention of mechanical properties even after severe UV exposure, and nearly full recovery of the original properties after </w:t>
      </w:r>
      <w:r w:rsidR="00CE3932">
        <w:rPr>
          <w:lang w:val="en-US"/>
        </w:rPr>
        <w:t xml:space="preserve">mechanical </w:t>
      </w:r>
      <w:r w:rsidRPr="006A2588">
        <w:rPr>
          <w:lang w:val="en-US"/>
        </w:rPr>
        <w:t>recycling. This performance is attributed to the compatibility of GL with maleic anhydride-grafted PP, which is greater than other types of lignin/polyolefin blends reported in the literature. This improves the durability and in-service performance of polyolefin-based composites and makes their end-of-life recycling possible. These results demonstrate the potential for more sustainable usage of polyolefins and biomass in various applications such as automobiles, containers, household items, and building components.</w:t>
      </w:r>
    </w:p>
    <w:p w14:paraId="5A47BEC5" w14:textId="379912F6" w:rsidR="00A6721F" w:rsidRDefault="00A6721F" w:rsidP="00A6721F">
      <w:pPr>
        <w:pStyle w:val="RSCB04AHeadingSection"/>
      </w:pPr>
      <w:r>
        <w:t>Introduction</w:t>
      </w:r>
    </w:p>
    <w:p w14:paraId="63D99010" w14:textId="77777777" w:rsidR="00A6721F" w:rsidRPr="00A6721F" w:rsidRDefault="00A6721F" w:rsidP="0068412A">
      <w:pPr>
        <w:pStyle w:val="RSCB02ArticleText"/>
        <w:ind w:firstLine="113"/>
        <w:rPr>
          <w:lang w:val="en-US"/>
        </w:rPr>
      </w:pPr>
      <w:r w:rsidRPr="00A6721F">
        <w:rPr>
          <w:lang w:val="en-US"/>
        </w:rPr>
        <w:t>Polyolefins—a class of hydrocarbon-based plastics including polyethylene (PE) and polypropylene (PP)—have replaced metals, glass and ceramics in numerous applications such as containers, packaging, automotive and aircraft components, construction materials, household goods and appliances, and piping due to their good processability and low cost. They have become a fundamental part of modern society, representing 56% of all plastics produced annually, releasing an estimated 1.2-2.7 kg of CO</w:t>
      </w:r>
      <w:r w:rsidRPr="00A6721F">
        <w:rPr>
          <w:vertAlign w:val="subscript"/>
          <w:lang w:val="en-US"/>
        </w:rPr>
        <w:t>2</w:t>
      </w:r>
      <w:r w:rsidRPr="00A6721F">
        <w:rPr>
          <w:lang w:val="en-US"/>
        </w:rPr>
        <w:t xml:space="preserve"> per kg of polyolefin in the process (depending on the country).</w:t>
      </w:r>
      <w:r w:rsidRPr="00A6721F">
        <w:rPr>
          <w:vertAlign w:val="superscript"/>
          <w:lang w:val="en-US"/>
        </w:rPr>
        <w:t>1,2</w:t>
      </w:r>
      <w:r w:rsidRPr="00A6721F">
        <w:rPr>
          <w:lang w:val="en-US"/>
        </w:rPr>
        <w:t xml:space="preserve"> Additionally, their prevalent treatment as “single-use” materials sees them constitute half of all plastic waste at 152 million tons, of which over 60% is discarded or incinerated, while less than 20% is recycled.</w:t>
      </w:r>
      <w:r w:rsidRPr="00A6721F">
        <w:rPr>
          <w:vertAlign w:val="superscript"/>
          <w:lang w:val="en-US"/>
        </w:rPr>
        <w:t>1</w:t>
      </w:r>
      <w:r w:rsidRPr="00A6721F">
        <w:rPr>
          <w:lang w:val="en-US"/>
        </w:rPr>
        <w:t xml:space="preserve"> Not only does this increase pollution in oceans and forests in the form of microplastics, which refers to polymer fragments created by ultraviolet (UV) exposure</w:t>
      </w:r>
      <w:r w:rsidRPr="00A6721F">
        <w:rPr>
          <w:vertAlign w:val="superscript"/>
          <w:lang w:val="en-US"/>
        </w:rPr>
        <w:t>3-5</w:t>
      </w:r>
      <w:r w:rsidRPr="00A6721F">
        <w:rPr>
          <w:lang w:val="en-US"/>
        </w:rPr>
        <w:t>, but it also represents poor resource management in a world with increasingly depleting resources. In response, various coordinated efforts among governments and industry are in development to reduce plastics waste in accordance with sustainable development goals (SDGs).</w:t>
      </w:r>
    </w:p>
    <w:p w14:paraId="2C789845" w14:textId="77777777" w:rsidR="00A6721F" w:rsidRPr="00A6721F" w:rsidRDefault="00A6721F" w:rsidP="0068412A">
      <w:pPr>
        <w:pStyle w:val="RSCB02ArticleText"/>
        <w:ind w:firstLine="113"/>
        <w:rPr>
          <w:lang w:val="en-US"/>
        </w:rPr>
      </w:pPr>
      <w:r w:rsidRPr="00A6721F">
        <w:rPr>
          <w:lang w:val="en-US"/>
        </w:rPr>
        <w:t>Although cost-effective and high-performance “renewable” polymers (i.e., bio-based or bio-degradable) are ideal and recent progress in their development is encouraging, an immediate strategy is needed for improving the sustainability of polyolefins currently in circulation—i.e., upcycling and recycling.</w:t>
      </w:r>
      <w:r w:rsidRPr="00A6721F">
        <w:rPr>
          <w:vertAlign w:val="superscript"/>
          <w:lang w:val="en-US"/>
        </w:rPr>
        <w:t>6,7</w:t>
      </w:r>
      <w:r w:rsidRPr="00A6721F">
        <w:rPr>
          <w:lang w:val="en-US"/>
        </w:rPr>
        <w:t xml:space="preserve"> Owing to their continuous hydrocarbon backbone structure, polyolefins are chemically stable against a wide variety of organic solvents and reagents and thus cannot be chemically recycled—i.e., returned to monomers/oligomers—without changing the chemical structure.</w:t>
      </w:r>
      <w:r w:rsidRPr="00A6721F">
        <w:rPr>
          <w:vertAlign w:val="superscript"/>
          <w:lang w:val="en-US"/>
        </w:rPr>
        <w:t>8,9</w:t>
      </w:r>
      <w:r w:rsidRPr="00A6721F">
        <w:rPr>
          <w:lang w:val="en-US"/>
        </w:rPr>
        <w:t xml:space="preserve"> A common disposal route for polyolefins in the EU and USA consists of incineration (termed “thermal recovery”) for the purpose of utilizing the released thermal energy, consequently releasing additional CO</w:t>
      </w:r>
      <w:r w:rsidRPr="00A6721F">
        <w:rPr>
          <w:vertAlign w:val="subscript"/>
          <w:lang w:val="en-US"/>
        </w:rPr>
        <w:t>2</w:t>
      </w:r>
      <w:r w:rsidRPr="00A6721F">
        <w:rPr>
          <w:lang w:val="en-US"/>
        </w:rPr>
        <w:t xml:space="preserve"> as well.</w:t>
      </w:r>
      <w:r w:rsidRPr="00A6721F">
        <w:rPr>
          <w:vertAlign w:val="superscript"/>
          <w:lang w:val="en-US"/>
        </w:rPr>
        <w:t>1,8</w:t>
      </w:r>
      <w:r w:rsidRPr="00A6721F">
        <w:rPr>
          <w:lang w:val="en-US"/>
        </w:rPr>
        <w:t xml:space="preserve"> Another common strategy is to reprocess the end-of-life polyolefin into products with lesser performance due to their deteriorated material properties; this sub-optimal mechanical recycling approach is considered downcycling, or so-called open-loop recycling.</w:t>
      </w:r>
      <w:r w:rsidRPr="00A6721F">
        <w:rPr>
          <w:vertAlign w:val="superscript"/>
          <w:lang w:val="en-US"/>
        </w:rPr>
        <w:t>1,8,9</w:t>
      </w:r>
      <w:r w:rsidRPr="00A6721F">
        <w:rPr>
          <w:lang w:val="en-US"/>
        </w:rPr>
        <w:t xml:space="preserve"> Thus, a closed-loop mechanical recycling strategy that achieves nearly 100% retention of material performance upon reprocessing at end-of-life is vital for realizing a circular economy, but it has yet to be achieved.</w:t>
      </w:r>
    </w:p>
    <w:p w14:paraId="29765C78" w14:textId="62F58C63" w:rsidR="00A6721F" w:rsidRPr="00A6721F" w:rsidRDefault="00A6721F" w:rsidP="0068412A">
      <w:pPr>
        <w:pStyle w:val="RSCB02ArticleText"/>
        <w:ind w:firstLine="113"/>
        <w:rPr>
          <w:lang w:val="en-US"/>
        </w:rPr>
      </w:pPr>
      <w:r w:rsidRPr="00A6721F">
        <w:rPr>
          <w:lang w:val="en-US"/>
        </w:rPr>
        <w:t>Two of the toughest hurdles to the effective recycling of polyolefins, particularly PP, is (1) the suppression of UV degradation during use and (2) restoration of the material structure at end-of-life after degradation has occurred.</w:t>
      </w:r>
      <w:r w:rsidRPr="00A6721F">
        <w:rPr>
          <w:vertAlign w:val="superscript"/>
          <w:lang w:val="en-US"/>
        </w:rPr>
        <w:t>8,9</w:t>
      </w:r>
      <w:r w:rsidRPr="00A6721F">
        <w:rPr>
          <w:lang w:val="en-US"/>
        </w:rPr>
        <w:t xml:space="preserve"> UV-induced degradation is primarily a process called photooxidation (</w:t>
      </w:r>
      <w:r w:rsidR="00AD1663">
        <w:rPr>
          <w:lang w:val="en-US"/>
        </w:rPr>
        <w:t>Fig.</w:t>
      </w:r>
      <w:r w:rsidRPr="00A6721F">
        <w:rPr>
          <w:lang w:val="en-US"/>
        </w:rPr>
        <w:t xml:space="preserve"> 1(a)), in which UV radiation initiates radicals in the material through hydrogen abstraction, often caused by trace impurities such as residual catalysts, and this leads to the diffusion of highly reactive oxygen radicals throughout the polymer.</w:t>
      </w:r>
      <w:r w:rsidRPr="00A6721F">
        <w:rPr>
          <w:vertAlign w:val="superscript"/>
          <w:lang w:val="en-US"/>
        </w:rPr>
        <w:t>10</w:t>
      </w:r>
      <w:r w:rsidRPr="00A6721F">
        <w:rPr>
          <w:lang w:val="en-US"/>
        </w:rPr>
        <w:t xml:space="preserve"> The body of literature devoted to the </w:t>
      </w:r>
      <w:r w:rsidRPr="00A6721F">
        <w:rPr>
          <w:lang w:val="en-US"/>
        </w:rPr>
        <w:lastRenderedPageBreak/>
        <w:t>photooxidation of polyolefins is vast, and the mechanisms and kinetics are well understood.</w:t>
      </w:r>
      <w:r w:rsidRPr="00A6721F">
        <w:rPr>
          <w:vertAlign w:val="superscript"/>
          <w:lang w:val="en-US"/>
        </w:rPr>
        <w:t>10-18</w:t>
      </w:r>
      <w:r w:rsidRPr="00A6721F">
        <w:rPr>
          <w:lang w:val="en-US"/>
        </w:rPr>
        <w:t xml:space="preserve"> Various carbonyl groups—carboxylic acids, esters, ketones, lactones—are formed by oxidation of the hydrocarbon backbone and—given sufficient oxygen and irradiation energy—eventually extensive chain scission occurs. Termination occurs when peroxide or polymer radicals mutually couple, quenching the radical and leaving an inactive product. Drastic reductions in molecular weight (over 70% loss) and surface cracking can be observed as early as two months of sunlight exposure (equivalent to a UV irradiation dose of roughly 45 MJ/m</w:t>
      </w:r>
      <w:r w:rsidRPr="00A6721F">
        <w:rPr>
          <w:vertAlign w:val="superscript"/>
          <w:lang w:val="en-US"/>
        </w:rPr>
        <w:t>2</w:t>
      </w:r>
      <w:r w:rsidRPr="00A6721F">
        <w:rPr>
          <w:lang w:val="en-US"/>
        </w:rPr>
        <w:t>), leading to severely reduced mechanical behavior (over 60% and 95% loss in strength and failure strain, respectively</w:t>
      </w:r>
      <w:r w:rsidRPr="00A6721F">
        <w:rPr>
          <w:vertAlign w:val="superscript"/>
          <w:lang w:val="en-US"/>
        </w:rPr>
        <w:t>13</w:t>
      </w:r>
      <w:r w:rsidRPr="00A6721F">
        <w:rPr>
          <w:lang w:val="en-US"/>
        </w:rPr>
        <w:t>).</w:t>
      </w:r>
    </w:p>
    <w:p w14:paraId="3CC6336C" w14:textId="65E53A82" w:rsidR="00A6721F" w:rsidRPr="00A6721F" w:rsidRDefault="00A6721F" w:rsidP="0068412A">
      <w:pPr>
        <w:pStyle w:val="RSCB02ArticleText"/>
        <w:ind w:firstLine="113"/>
        <w:rPr>
          <w:lang w:val="en-US"/>
        </w:rPr>
      </w:pPr>
      <w:r w:rsidRPr="00A6721F">
        <w:rPr>
          <w:lang w:val="en-US"/>
        </w:rPr>
        <w:t xml:space="preserve">Hindered phenol- and hindered amine-based UV absorbent and antioxidant additives are commonly used in polyolefins to prevent photooxidation, such as commercial products known as the </w:t>
      </w:r>
      <w:proofErr w:type="spellStart"/>
      <w:r w:rsidRPr="00A6721F">
        <w:rPr>
          <w:lang w:val="en-US"/>
        </w:rPr>
        <w:t>Irganox</w:t>
      </w:r>
      <w:proofErr w:type="spellEnd"/>
      <w:r w:rsidRPr="00A6721F">
        <w:rPr>
          <w:lang w:val="en-US"/>
        </w:rPr>
        <w:t xml:space="preserve"> series, </w:t>
      </w:r>
      <w:proofErr w:type="spellStart"/>
      <w:r w:rsidRPr="00A6721F">
        <w:rPr>
          <w:lang w:val="en-US"/>
        </w:rPr>
        <w:t>Tinuvin</w:t>
      </w:r>
      <w:proofErr w:type="spellEnd"/>
      <w:r w:rsidRPr="00A6721F">
        <w:rPr>
          <w:lang w:val="en-US"/>
        </w:rPr>
        <w:t xml:space="preserve"> series, UV series, and others. While these stabilizer additives provide a certain amount of protection against photooxidation, they inevitably leach out of plastics during or after the service life and many have been labeled toxic to wildlife and even humans.</w:t>
      </w:r>
      <w:r w:rsidRPr="00A6721F">
        <w:rPr>
          <w:vertAlign w:val="superscript"/>
          <w:lang w:val="en-US"/>
        </w:rPr>
        <w:t>19</w:t>
      </w:r>
      <w:r w:rsidR="00BA7300">
        <w:rPr>
          <w:vertAlign w:val="superscript"/>
          <w:lang w:val="en-US"/>
        </w:rPr>
        <w:t>,</w:t>
      </w:r>
      <w:r w:rsidRPr="00A6721F">
        <w:rPr>
          <w:vertAlign w:val="superscript"/>
          <w:lang w:val="en-US"/>
        </w:rPr>
        <w:t>2</w:t>
      </w:r>
      <w:r w:rsidR="00BA7300">
        <w:rPr>
          <w:vertAlign w:val="superscript"/>
          <w:lang w:val="en-US"/>
        </w:rPr>
        <w:t>0</w:t>
      </w:r>
      <w:r w:rsidRPr="00A6721F">
        <w:rPr>
          <w:lang w:val="en-US"/>
        </w:rPr>
        <w:t xml:space="preserve"> In an attempt to reduce microplastics pollution, a different form of pollution is created. Thus, a more </w:t>
      </w:r>
      <w:proofErr w:type="gramStart"/>
      <w:r w:rsidRPr="00A6721F">
        <w:rPr>
          <w:lang w:val="en-US"/>
        </w:rPr>
        <w:t>environmentally-friendly</w:t>
      </w:r>
      <w:proofErr w:type="gramEnd"/>
      <w:r w:rsidRPr="00A6721F">
        <w:rPr>
          <w:lang w:val="en-US"/>
        </w:rPr>
        <w:t xml:space="preserve"> alternative is needed in order to increase the sustainability of polyolefins, primarily by reducing pollution and improving mechanical recyclability.</w:t>
      </w:r>
      <w:r w:rsidRPr="00A6721F">
        <w:rPr>
          <w:vertAlign w:val="superscript"/>
          <w:lang w:val="en-US"/>
        </w:rPr>
        <w:t>6</w:t>
      </w:r>
      <w:r w:rsidR="00BA7300">
        <w:rPr>
          <w:vertAlign w:val="superscript"/>
          <w:lang w:val="en-US"/>
        </w:rPr>
        <w:t>,21</w:t>
      </w:r>
    </w:p>
    <w:p w14:paraId="1AAF892F" w14:textId="4462FDB1" w:rsidR="00A6721F" w:rsidRPr="00A6721F" w:rsidRDefault="00A6721F" w:rsidP="00A6721F">
      <w:pPr>
        <w:pStyle w:val="RSCB02ArticleText"/>
        <w:rPr>
          <w:lang w:val="en-US"/>
        </w:rPr>
      </w:pPr>
      <w:r w:rsidRPr="00A6721F">
        <w:rPr>
          <w:lang w:val="en-US"/>
        </w:rPr>
        <w:t xml:space="preserve">Lignin, an aromatic macromolecule that forms a sheath around cellulose in plant tissue, constitutes roughly 20% of all </w:t>
      </w:r>
      <w:proofErr w:type="gramStart"/>
      <w:r w:rsidRPr="00A6721F">
        <w:rPr>
          <w:lang w:val="en-US"/>
        </w:rPr>
        <w:t>biomass</w:t>
      </w:r>
      <w:proofErr w:type="gramEnd"/>
      <w:r w:rsidRPr="00A6721F">
        <w:rPr>
          <w:lang w:val="en-US"/>
        </w:rPr>
        <w:t xml:space="preserve"> and has long been regarded as a waste byproduct in the production of paper.</w:t>
      </w:r>
      <w:r w:rsidRPr="00A6721F">
        <w:rPr>
          <w:vertAlign w:val="superscript"/>
          <w:lang w:val="en-US"/>
        </w:rPr>
        <w:t>22</w:t>
      </w:r>
      <w:r w:rsidRPr="00A6721F">
        <w:rPr>
          <w:lang w:val="en-US"/>
        </w:rPr>
        <w:t xml:space="preserve"> Research focused on integrating lignin with conventional polymers has made great progress in recent years, with the aim of reducing plastic use, reducing biomass waste, and improving polymer performance. Lignin does not leach out of the polymer due to its size, but it poses no harm to humans or wildlife even in the case leaching does occur. Studies have shown that the addition of lignin can enhance the thermal- and UV-stability of polyolefins, citing its radical scavenging ability.</w:t>
      </w:r>
      <w:r w:rsidRPr="00A6721F">
        <w:rPr>
          <w:vertAlign w:val="superscript"/>
          <w:lang w:val="en-US"/>
        </w:rPr>
        <w:t>23-28</w:t>
      </w:r>
      <w:r w:rsidRPr="00A6721F">
        <w:rPr>
          <w:lang w:val="en-US"/>
        </w:rPr>
        <w:t xml:space="preserve"> In particular, the </w:t>
      </w:r>
      <w:proofErr w:type="spellStart"/>
      <w:r w:rsidRPr="00A6721F">
        <w:rPr>
          <w:lang w:val="en-US"/>
        </w:rPr>
        <w:t>syringyl</w:t>
      </w:r>
      <w:proofErr w:type="spellEnd"/>
      <w:r w:rsidRPr="00A6721F">
        <w:rPr>
          <w:lang w:val="en-US"/>
        </w:rPr>
        <w:t xml:space="preserve"> and </w:t>
      </w:r>
      <w:proofErr w:type="spellStart"/>
      <w:r w:rsidRPr="00A6721F">
        <w:rPr>
          <w:lang w:val="en-US"/>
        </w:rPr>
        <w:t>guaiacyl</w:t>
      </w:r>
      <w:proofErr w:type="spellEnd"/>
      <w:r w:rsidRPr="00A6721F">
        <w:rPr>
          <w:lang w:val="en-US"/>
        </w:rPr>
        <w:t xml:space="preserve"> units of lignin are similar to hindered phenols typically found in synthetic stabilizers and are capable of hydrogen atom transfer within the aromatic structure that prevents radical </w:t>
      </w:r>
      <w:r w:rsidR="009A50F1" w:rsidRPr="009A50F1">
        <w:rPr>
          <w:lang w:val="en-US"/>
        </w:rPr>
        <w:t>propagation;</w:t>
      </w:r>
      <w:r w:rsidR="009A50F1" w:rsidRPr="009A50F1">
        <w:rPr>
          <w:vertAlign w:val="superscript"/>
          <w:lang w:val="en-US"/>
        </w:rPr>
        <w:t>29</w:t>
      </w:r>
      <w:r w:rsidR="009A50F1" w:rsidRPr="009A50F1">
        <w:rPr>
          <w:lang w:val="en-US"/>
        </w:rPr>
        <w:t xml:space="preserve"> softwood lignin contains mostly </w:t>
      </w:r>
      <w:proofErr w:type="spellStart"/>
      <w:r w:rsidR="009A50F1" w:rsidRPr="009A50F1">
        <w:rPr>
          <w:lang w:val="en-US"/>
        </w:rPr>
        <w:t>guaiacyl</w:t>
      </w:r>
      <w:proofErr w:type="spellEnd"/>
      <w:r w:rsidR="009A50F1" w:rsidRPr="009A50F1">
        <w:rPr>
          <w:lang w:val="en-US"/>
        </w:rPr>
        <w:t xml:space="preserve"> units </w:t>
      </w:r>
      <w:r w:rsidR="00BA7300">
        <w:rPr>
          <w:lang w:val="en-US"/>
        </w:rPr>
        <w:t>(</w:t>
      </w:r>
      <w:r w:rsidR="009A50F1" w:rsidRPr="009A50F1">
        <w:rPr>
          <w:lang w:val="en-US"/>
        </w:rPr>
        <w:t>Fig. 1(b)</w:t>
      </w:r>
      <w:r w:rsidR="00BA7300">
        <w:rPr>
          <w:lang w:val="en-US"/>
        </w:rPr>
        <w:t>)</w:t>
      </w:r>
      <w:r w:rsidR="009A50F1" w:rsidRPr="009A50F1">
        <w:rPr>
          <w:lang w:val="en-US"/>
        </w:rPr>
        <w:t>.</w:t>
      </w:r>
    </w:p>
    <w:p w14:paraId="5B2E8679" w14:textId="74D5CC21" w:rsidR="00A6721F" w:rsidRPr="00A6721F" w:rsidRDefault="00A6721F" w:rsidP="0068412A">
      <w:pPr>
        <w:pStyle w:val="RSCB02ArticleText"/>
        <w:ind w:firstLine="113"/>
        <w:rPr>
          <w:lang w:val="en-US"/>
        </w:rPr>
      </w:pPr>
      <w:r w:rsidRPr="00A6721F">
        <w:rPr>
          <w:lang w:val="en-US"/>
        </w:rPr>
        <w:t>Despite the clear potential for lignin to be utilized as a UV absorbent/antioxidant, there are still several challenges left to be addressed and considerable room for improvement. Successful incorporation of higher lignin content (10-50</w:t>
      </w:r>
      <w:r w:rsidR="00A05992">
        <w:rPr>
          <w:lang w:val="en-US"/>
        </w:rPr>
        <w:t>wt%</w:t>
      </w:r>
      <w:r w:rsidRPr="00A6721F">
        <w:rPr>
          <w:lang w:val="en-US"/>
        </w:rPr>
        <w:t>) with both excellent UV resistance and mechanical properties has yet to be reported; nearly all past attempts to reach these higher loadings involve compounding the lignin into polyolefins at conventional temperatures (160-190 °C), and either employ alkyl modification of the lignin or no modification, resulting in poor dispersion and no improvement in mechanical properties.</w:t>
      </w:r>
      <w:r w:rsidRPr="00A6721F">
        <w:rPr>
          <w:vertAlign w:val="superscript"/>
          <w:lang w:val="en-US"/>
        </w:rPr>
        <w:t>30-35</w:t>
      </w:r>
      <w:r w:rsidRPr="00A6721F">
        <w:rPr>
          <w:lang w:val="en-US"/>
        </w:rPr>
        <w:t xml:space="preserve"> While the UV stabilization performance of lignin has been studied in films, its behavior in bulk (thick) structures like those found in automotive and aircraft components or building materials have not been investigated. Furthermore, to the authors’ knowledge, there are no studies that demonstrate recyclability of lignin-based polyolefin blends; in some </w:t>
      </w:r>
      <w:proofErr w:type="gramStart"/>
      <w:r w:rsidRPr="00A6721F">
        <w:rPr>
          <w:lang w:val="en-US"/>
        </w:rPr>
        <w:t>cases</w:t>
      </w:r>
      <w:proofErr w:type="gramEnd"/>
      <w:r w:rsidRPr="00A6721F">
        <w:rPr>
          <w:lang w:val="en-US"/>
        </w:rPr>
        <w:t xml:space="preserve"> </w:t>
      </w:r>
      <w:r w:rsidRPr="00A6721F">
        <w:rPr>
          <w:lang w:val="en-US"/>
        </w:rPr>
        <w:t>“recycling” is used to refer to simple re-processing without any kind of degradation protocol,</w:t>
      </w:r>
      <w:r w:rsidRPr="00A6721F">
        <w:rPr>
          <w:vertAlign w:val="superscript"/>
          <w:lang w:val="en-US"/>
        </w:rPr>
        <w:t>36-38</w:t>
      </w:r>
      <w:r w:rsidRPr="00A6721F">
        <w:rPr>
          <w:lang w:val="en-US"/>
        </w:rPr>
        <w:t xml:space="preserve"> which is not realistic in the context of establishing a framework for end-of-life processing and reuse.</w:t>
      </w:r>
    </w:p>
    <w:p w14:paraId="78661150" w14:textId="088DE34E" w:rsidR="00A6721F" w:rsidRPr="00A6721F" w:rsidRDefault="00A6721F" w:rsidP="0068412A">
      <w:pPr>
        <w:pStyle w:val="RSCB02ArticleText"/>
        <w:ind w:firstLine="113"/>
        <w:rPr>
          <w:lang w:val="en-US"/>
        </w:rPr>
      </w:pPr>
      <w:r w:rsidRPr="00A6721F">
        <w:rPr>
          <w:lang w:val="en-US"/>
        </w:rPr>
        <w:t>Recently, a glycol-modified lignin (GL) was developed from softwood biomass via acid-catalyzed PEG solvolysis.</w:t>
      </w:r>
      <w:r w:rsidRPr="00A6721F">
        <w:rPr>
          <w:vertAlign w:val="superscript"/>
          <w:lang w:val="en-US"/>
        </w:rPr>
        <w:t>39,40</w:t>
      </w:r>
      <w:r w:rsidRPr="00A6721F">
        <w:rPr>
          <w:lang w:val="en-US"/>
        </w:rPr>
        <w:t xml:space="preserve"> In our previous work, we showed that a combination of using GL and higher extrusion temperatures was the key to effectively integrating lignin with PP, producing biomass-containing compounds with unprecedented mechanical properties and processability.</w:t>
      </w:r>
      <w:r w:rsidRPr="00A6721F">
        <w:rPr>
          <w:vertAlign w:val="superscript"/>
          <w:lang w:val="en-US"/>
        </w:rPr>
        <w:t>41</w:t>
      </w:r>
      <w:r w:rsidRPr="00A6721F">
        <w:rPr>
          <w:lang w:val="en-US"/>
        </w:rPr>
        <w:t xml:space="preserve"> In the current study, we propose a GL/PP compound that exhibits excellent UV resistance by mimicking the melanin/tissue structure of human skin, which simultaneously acts as a UV absorbent and antioxidant to protect tissue from harmful irradiation through its phenolic structure.</w:t>
      </w:r>
      <w:r w:rsidRPr="00A6721F">
        <w:rPr>
          <w:vertAlign w:val="superscript"/>
          <w:lang w:val="en-US"/>
        </w:rPr>
        <w:t>42</w:t>
      </w:r>
      <w:r w:rsidRPr="00A6721F">
        <w:rPr>
          <w:lang w:val="en-US"/>
        </w:rPr>
        <w:t xml:space="preserve"> If the skin is exposed to excessive irradiation, a thin surface layer of dead tissue is created which can be peeled off to reveal fresh regenerated tissue beneath; </w:t>
      </w:r>
      <w:r w:rsidR="006236D2" w:rsidRPr="006236D2">
        <w:rPr>
          <w:lang w:val="en-US"/>
        </w:rPr>
        <w:t xml:space="preserve">as shown in Fig. 1(c), </w:t>
      </w:r>
      <w:r w:rsidRPr="00A6721F">
        <w:rPr>
          <w:lang w:val="en-US"/>
        </w:rPr>
        <w:t xml:space="preserve">we applied this concept to design a material that is durable and also fully recyclable using a simple </w:t>
      </w:r>
      <w:r w:rsidR="009A429A">
        <w:rPr>
          <w:lang w:val="en-US"/>
        </w:rPr>
        <w:t>mechanical</w:t>
      </w:r>
      <w:r w:rsidRPr="00A6721F">
        <w:rPr>
          <w:lang w:val="en-US"/>
        </w:rPr>
        <w:t xml:space="preserve"> process to remove the sun-damaged layer (similar to “peeling”). Chemical and physical changes in neat PP and GL blends after accelerated UV irradiation are compared and discussed, particularly focusing on the behavior of thick specimens rather than films, and we show that GL makes closed-loop recycling possible—even after UV irradiation equivalent to 1 </w:t>
      </w:r>
      <w:proofErr w:type="spellStart"/>
      <w:r w:rsidRPr="00A6721F">
        <w:rPr>
          <w:lang w:val="en-US"/>
        </w:rPr>
        <w:t>yr</w:t>
      </w:r>
      <w:proofErr w:type="spellEnd"/>
      <w:r w:rsidRPr="00A6721F">
        <w:rPr>
          <w:lang w:val="en-US"/>
        </w:rPr>
        <w:t xml:space="preserve"> of sunlight.</w:t>
      </w:r>
    </w:p>
    <w:p w14:paraId="7EB32D42" w14:textId="77777777" w:rsidR="00A6721F" w:rsidRPr="00A6721F" w:rsidRDefault="00A6721F" w:rsidP="00A6721F">
      <w:pPr>
        <w:pStyle w:val="RSCB04AHeadingSection"/>
        <w:rPr>
          <w:w w:val="108"/>
          <w:lang w:val="en-US"/>
        </w:rPr>
      </w:pPr>
      <w:r w:rsidRPr="00A6721F">
        <w:rPr>
          <w:w w:val="108"/>
          <w:lang w:val="en-US"/>
        </w:rPr>
        <w:t>Experimental Methods</w:t>
      </w:r>
    </w:p>
    <w:p w14:paraId="3ADC3F47" w14:textId="77777777" w:rsidR="00A6721F" w:rsidRPr="00A6721F" w:rsidRDefault="00A6721F" w:rsidP="00A6721F">
      <w:pPr>
        <w:pStyle w:val="RSCB06BHeadingSub-Section"/>
        <w:rPr>
          <w:w w:val="108"/>
          <w:lang w:val="en-US"/>
        </w:rPr>
      </w:pPr>
      <w:r w:rsidRPr="00A6721F">
        <w:rPr>
          <w:w w:val="108"/>
          <w:lang w:val="en-US"/>
        </w:rPr>
        <w:t>Materials</w:t>
      </w:r>
    </w:p>
    <w:p w14:paraId="2E745BD7" w14:textId="1237E0EB" w:rsidR="00A6721F" w:rsidRPr="00834267" w:rsidRDefault="00A6721F" w:rsidP="0068412A">
      <w:pPr>
        <w:pStyle w:val="RSCB02ArticleText"/>
        <w:ind w:firstLine="113"/>
        <w:rPr>
          <w:color w:val="000000" w:themeColor="text1"/>
          <w:lang w:val="en-US"/>
        </w:rPr>
      </w:pPr>
      <w:r w:rsidRPr="00A6721F">
        <w:rPr>
          <w:lang w:val="en-US"/>
        </w:rPr>
        <w:t>The GL used in this study was obtained from glycol solvolysis of softwood biomass, where about 26</w:t>
      </w:r>
      <w:r w:rsidR="00A05992">
        <w:rPr>
          <w:lang w:val="en-US"/>
        </w:rPr>
        <w:t>wt%</w:t>
      </w:r>
      <w:r w:rsidRPr="00A6721F">
        <w:rPr>
          <w:lang w:val="en-US"/>
        </w:rPr>
        <w:t xml:space="preserve"> PEG400 was grafted onto li</w:t>
      </w:r>
      <w:r w:rsidRPr="00834267">
        <w:rPr>
          <w:color w:val="000000" w:themeColor="text1"/>
          <w:lang w:val="en-US"/>
        </w:rPr>
        <w:t>gnin macromolecules;</w:t>
      </w:r>
      <w:r w:rsidRPr="00834267">
        <w:rPr>
          <w:color w:val="000000" w:themeColor="text1"/>
          <w:vertAlign w:val="superscript"/>
          <w:lang w:val="en-US"/>
        </w:rPr>
        <w:t>40</w:t>
      </w:r>
      <w:r w:rsidRPr="00834267">
        <w:rPr>
          <w:color w:val="000000" w:themeColor="text1"/>
          <w:lang w:val="en-US"/>
        </w:rPr>
        <w:t xml:space="preserve"> this translates to roughly 0.65 mmol/g and 2.5 mmol/g of glycol-OH and phenolic-OH per unit mass of lignin, respectively. A commercial maleic-grafted PP known as ADMER™ QE800E (MFI = 9.7 g/10 min, density = 0.91 g/cm</w:t>
      </w:r>
      <w:r w:rsidRPr="00834267">
        <w:rPr>
          <w:color w:val="000000" w:themeColor="text1"/>
          <w:vertAlign w:val="superscript"/>
          <w:lang w:val="en-US"/>
        </w:rPr>
        <w:t>3</w:t>
      </w:r>
      <w:r w:rsidRPr="00834267">
        <w:rPr>
          <w:color w:val="000000" w:themeColor="text1"/>
          <w:lang w:val="en-US"/>
        </w:rPr>
        <w:t>, maleic anhydride content = 0.04</w:t>
      </w:r>
      <w:r w:rsidR="00A05992" w:rsidRPr="00834267">
        <w:rPr>
          <w:color w:val="000000" w:themeColor="text1"/>
          <w:lang w:val="en-US"/>
        </w:rPr>
        <w:t>wt%</w:t>
      </w:r>
      <w:r w:rsidRPr="00834267">
        <w:rPr>
          <w:color w:val="000000" w:themeColor="text1"/>
          <w:vertAlign w:val="superscript"/>
          <w:lang w:val="en-US"/>
        </w:rPr>
        <w:t>43</w:t>
      </w:r>
      <w:r w:rsidRPr="00834267">
        <w:rPr>
          <w:color w:val="000000" w:themeColor="text1"/>
          <w:lang w:val="en-US"/>
        </w:rPr>
        <w:t>) was received from Mitsui Chemicals.</w:t>
      </w:r>
      <w:r w:rsidR="0056316A" w:rsidRPr="00834267">
        <w:rPr>
          <w:color w:val="000000" w:themeColor="text1"/>
          <w:lang w:val="en-US"/>
        </w:rPr>
        <w:t xml:space="preserve"> </w:t>
      </w:r>
      <w:r w:rsidR="0033531F" w:rsidRPr="00834267">
        <w:rPr>
          <w:color w:val="000000" w:themeColor="text1"/>
          <w:lang w:val="en-US"/>
        </w:rPr>
        <w:t>A</w:t>
      </w:r>
      <w:r w:rsidR="0056316A" w:rsidRPr="00834267">
        <w:rPr>
          <w:color w:val="000000" w:themeColor="text1"/>
          <w:lang w:val="en-US"/>
        </w:rPr>
        <w:t xml:space="preserve"> hydroxyphenyl benzotriazole-type commercial stabilizer (</w:t>
      </w:r>
      <w:proofErr w:type="spellStart"/>
      <w:r w:rsidR="0056316A" w:rsidRPr="00834267">
        <w:rPr>
          <w:color w:val="000000" w:themeColor="text1"/>
          <w:lang w:val="en-US"/>
        </w:rPr>
        <w:t>Tinuvin</w:t>
      </w:r>
      <w:proofErr w:type="spellEnd"/>
      <w:r w:rsidR="0056316A" w:rsidRPr="00834267">
        <w:rPr>
          <w:color w:val="000000" w:themeColor="text1"/>
          <w:lang w:val="en-US"/>
        </w:rPr>
        <w:t xml:space="preserve"> 1130, BASF) and acetylated solvent lignin (</w:t>
      </w:r>
      <w:proofErr w:type="spellStart"/>
      <w:r w:rsidR="0056316A" w:rsidRPr="00834267">
        <w:rPr>
          <w:color w:val="000000" w:themeColor="text1"/>
          <w:lang w:val="en-US"/>
        </w:rPr>
        <w:t>Guanzhou</w:t>
      </w:r>
      <w:proofErr w:type="spellEnd"/>
      <w:r w:rsidR="0056316A" w:rsidRPr="00834267">
        <w:rPr>
          <w:color w:val="000000" w:themeColor="text1"/>
          <w:lang w:val="en-US"/>
        </w:rPr>
        <w:t xml:space="preserve"> </w:t>
      </w:r>
      <w:proofErr w:type="spellStart"/>
      <w:r w:rsidR="0056316A" w:rsidRPr="00834267">
        <w:rPr>
          <w:color w:val="000000" w:themeColor="text1"/>
          <w:lang w:val="en-US"/>
        </w:rPr>
        <w:t>Yinnovator</w:t>
      </w:r>
      <w:proofErr w:type="spellEnd"/>
      <w:r w:rsidR="0056316A" w:rsidRPr="00834267">
        <w:rPr>
          <w:color w:val="000000" w:themeColor="text1"/>
          <w:lang w:val="en-US"/>
        </w:rPr>
        <w:t xml:space="preserve"> Biotech) were also </w:t>
      </w:r>
      <w:r w:rsidR="0033531F" w:rsidRPr="00834267">
        <w:rPr>
          <w:color w:val="000000" w:themeColor="text1"/>
          <w:lang w:val="en-US"/>
        </w:rPr>
        <w:t>included for comparison</w:t>
      </w:r>
      <w:r w:rsidR="0056316A" w:rsidRPr="00834267">
        <w:rPr>
          <w:color w:val="000000" w:themeColor="text1"/>
          <w:lang w:val="en-US"/>
        </w:rPr>
        <w:t>.</w:t>
      </w:r>
    </w:p>
    <w:p w14:paraId="40F400CD" w14:textId="77777777" w:rsidR="00A6721F" w:rsidRPr="00834267" w:rsidRDefault="00A6721F" w:rsidP="00D8139C">
      <w:pPr>
        <w:pStyle w:val="RSCB07BHeadingSub-Section-standalone"/>
        <w:rPr>
          <w:color w:val="000000" w:themeColor="text1"/>
          <w:w w:val="108"/>
          <w:lang w:val="en-US"/>
        </w:rPr>
      </w:pPr>
      <w:r w:rsidRPr="00834267">
        <w:rPr>
          <w:color w:val="000000" w:themeColor="text1"/>
          <w:w w:val="108"/>
          <w:lang w:val="en-US"/>
        </w:rPr>
        <w:t>Compounding of GL/PP blends</w:t>
      </w:r>
    </w:p>
    <w:p w14:paraId="6BCF8D10" w14:textId="1AA5A98C" w:rsidR="00A6721F" w:rsidRPr="00834267" w:rsidRDefault="00A6721F" w:rsidP="0068412A">
      <w:pPr>
        <w:pStyle w:val="RSCB02ArticleText"/>
        <w:ind w:firstLine="113"/>
        <w:rPr>
          <w:color w:val="000000" w:themeColor="text1"/>
          <w:lang w:val="en-US"/>
        </w:rPr>
      </w:pPr>
      <w:r w:rsidRPr="00834267">
        <w:rPr>
          <w:color w:val="000000" w:themeColor="text1"/>
          <w:lang w:val="en-US"/>
        </w:rPr>
        <w:t>Biomass/polyolefin blends were prepared using the method described in our previous report.</w:t>
      </w:r>
      <w:r w:rsidRPr="00834267">
        <w:rPr>
          <w:color w:val="000000" w:themeColor="text1"/>
          <w:vertAlign w:val="superscript"/>
          <w:lang w:val="en-US"/>
        </w:rPr>
        <w:t>41</w:t>
      </w:r>
      <w:r w:rsidRPr="00834267">
        <w:rPr>
          <w:color w:val="000000" w:themeColor="text1"/>
          <w:lang w:val="en-US"/>
        </w:rPr>
        <w:t xml:space="preserve"> Briefly, raw materials were melt-mixed at 240-250 °C using a twin-screw extruder, after which the collected pellets were dried at 80 °C overnight and injection molded into ISO 527-2 dumbbell specimens (nominal cross-section 5</w:t>
      </w:r>
      <w:r w:rsidRPr="00834267">
        <w:rPr>
          <w:color w:val="000000" w:themeColor="text1"/>
          <w:lang w:val="en-US"/>
        </w:rPr>
        <w:sym w:font="Symbol" w:char="F0B4"/>
      </w:r>
      <w:r w:rsidRPr="00834267">
        <w:rPr>
          <w:color w:val="000000" w:themeColor="text1"/>
          <w:lang w:val="en-US"/>
        </w:rPr>
        <w:t>2 mm</w:t>
      </w:r>
      <w:r w:rsidRPr="00834267">
        <w:rPr>
          <w:color w:val="000000" w:themeColor="text1"/>
          <w:vertAlign w:val="superscript"/>
          <w:lang w:val="en-US"/>
        </w:rPr>
        <w:t>2</w:t>
      </w:r>
      <w:r w:rsidRPr="00834267">
        <w:rPr>
          <w:color w:val="000000" w:themeColor="text1"/>
          <w:lang w:val="en-US"/>
        </w:rPr>
        <w:t>). The compositions were varied from 0 to 30</w:t>
      </w:r>
      <w:r w:rsidR="00A05992" w:rsidRPr="00834267">
        <w:rPr>
          <w:color w:val="000000" w:themeColor="text1"/>
          <w:lang w:val="en-US"/>
        </w:rPr>
        <w:t>wt%</w:t>
      </w:r>
      <w:r w:rsidRPr="00834267">
        <w:rPr>
          <w:color w:val="000000" w:themeColor="text1"/>
          <w:lang w:val="en-US"/>
        </w:rPr>
        <w:t xml:space="preserve"> of GL, all of which exhibited good processability.</w:t>
      </w:r>
      <w:r w:rsidR="00991D47" w:rsidRPr="00834267">
        <w:rPr>
          <w:color w:val="000000" w:themeColor="text1"/>
          <w:lang w:val="en-US"/>
        </w:rPr>
        <w:t xml:space="preserve"> The commercial UV absorber (UVA, </w:t>
      </w:r>
      <w:proofErr w:type="spellStart"/>
      <w:r w:rsidR="00991D47" w:rsidRPr="00834267">
        <w:rPr>
          <w:color w:val="000000" w:themeColor="text1"/>
          <w:lang w:val="en-US"/>
        </w:rPr>
        <w:t>Tinvin</w:t>
      </w:r>
      <w:proofErr w:type="spellEnd"/>
      <w:r w:rsidR="00991D47" w:rsidRPr="00834267">
        <w:rPr>
          <w:color w:val="000000" w:themeColor="text1"/>
          <w:lang w:val="en-US"/>
        </w:rPr>
        <w:t xml:space="preserve"> 1130) was compounded with PP at 0.1, 0.5 and 1wt%, while a 20wt% acetyl lignin (</w:t>
      </w:r>
      <w:proofErr w:type="spellStart"/>
      <w:r w:rsidR="00991D47" w:rsidRPr="00834267">
        <w:rPr>
          <w:color w:val="000000" w:themeColor="text1"/>
          <w:lang w:val="en-US"/>
        </w:rPr>
        <w:t>AcL</w:t>
      </w:r>
      <w:proofErr w:type="spellEnd"/>
      <w:r w:rsidR="00991D47" w:rsidRPr="00834267">
        <w:rPr>
          <w:color w:val="000000" w:themeColor="text1"/>
          <w:lang w:val="en-US"/>
        </w:rPr>
        <w:t>) compound was also prepared.</w:t>
      </w:r>
    </w:p>
    <w:p w14:paraId="1463A1CA" w14:textId="77777777" w:rsidR="00A6721F" w:rsidRPr="00834267" w:rsidRDefault="00A6721F" w:rsidP="00D8139C">
      <w:pPr>
        <w:pStyle w:val="RSCB07BHeadingSub-Section-standalone"/>
        <w:rPr>
          <w:color w:val="000000" w:themeColor="text1"/>
          <w:w w:val="108"/>
          <w:lang w:val="en-US"/>
        </w:rPr>
      </w:pPr>
      <w:r w:rsidRPr="00834267">
        <w:rPr>
          <w:color w:val="000000" w:themeColor="text1"/>
          <w:w w:val="108"/>
          <w:lang w:val="en-US"/>
        </w:rPr>
        <w:t>UV irradiation conditions</w:t>
      </w:r>
    </w:p>
    <w:p w14:paraId="4D428957" w14:textId="6550863C" w:rsidR="00A6721F" w:rsidRPr="00834267" w:rsidRDefault="00A6721F" w:rsidP="0068412A">
      <w:pPr>
        <w:pStyle w:val="RSCB02ArticleText"/>
        <w:ind w:firstLine="113"/>
        <w:rPr>
          <w:color w:val="000000" w:themeColor="text1"/>
          <w:lang w:val="en-US"/>
        </w:rPr>
      </w:pPr>
      <w:r w:rsidRPr="00834267">
        <w:rPr>
          <w:color w:val="000000" w:themeColor="text1"/>
          <w:lang w:val="en-US"/>
        </w:rPr>
        <w:lastRenderedPageBreak/>
        <w:t>Dumbbell specimens were attached to vertical holder plates around a metal halide lamp (MV3000</w:t>
      </w:r>
      <w:r w:rsidR="00B757B8" w:rsidRPr="00834267">
        <w:rPr>
          <w:color w:val="000000" w:themeColor="text1"/>
          <w:lang w:val="en-US"/>
        </w:rPr>
        <w:t>, Suga</w:t>
      </w:r>
      <w:r w:rsidRPr="00834267">
        <w:rPr>
          <w:color w:val="000000" w:themeColor="text1"/>
          <w:lang w:val="en-US"/>
        </w:rPr>
        <w:t xml:space="preserve">) with a </w:t>
      </w:r>
      <w:proofErr w:type="spellStart"/>
      <w:r w:rsidRPr="00834267">
        <w:rPr>
          <w:color w:val="000000" w:themeColor="text1"/>
          <w:lang w:val="en-US"/>
        </w:rPr>
        <w:t>longpass</w:t>
      </w:r>
      <w:proofErr w:type="spellEnd"/>
      <w:r w:rsidRPr="00834267">
        <w:rPr>
          <w:color w:val="000000" w:themeColor="text1"/>
          <w:lang w:val="en-US"/>
        </w:rPr>
        <w:t xml:space="preserve"> filter </w:t>
      </w:r>
      <w:proofErr w:type="gramStart"/>
      <w:r w:rsidRPr="00834267">
        <w:rPr>
          <w:color w:val="000000" w:themeColor="text1"/>
          <w:lang w:val="en-US"/>
        </w:rPr>
        <w:t>that cuts wavelengths</w:t>
      </w:r>
      <w:proofErr w:type="gramEnd"/>
      <w:r w:rsidRPr="00834267">
        <w:rPr>
          <w:color w:val="000000" w:themeColor="text1"/>
          <w:lang w:val="en-US"/>
        </w:rPr>
        <w:t xml:space="preserve"> below 295 nm, corresponding to a maximum irradiance of 530 W/m</w:t>
      </w:r>
      <w:r w:rsidRPr="00834267">
        <w:rPr>
          <w:color w:val="000000" w:themeColor="text1"/>
          <w:vertAlign w:val="superscript"/>
          <w:lang w:val="en-US"/>
        </w:rPr>
        <w:t>2</w:t>
      </w:r>
      <w:r w:rsidRPr="00834267">
        <w:rPr>
          <w:color w:val="000000" w:themeColor="text1"/>
          <w:lang w:val="en-US"/>
        </w:rPr>
        <w:t xml:space="preserve"> (monitored over 300-400 nm, </w:t>
      </w:r>
      <w:r w:rsidR="00AD1663" w:rsidRPr="00834267">
        <w:rPr>
          <w:color w:val="000000" w:themeColor="text1"/>
          <w:lang w:val="en-US"/>
        </w:rPr>
        <w:t>Fig.</w:t>
      </w:r>
      <w:r w:rsidRPr="00834267">
        <w:rPr>
          <w:color w:val="000000" w:themeColor="text1"/>
          <w:lang w:val="en-US"/>
        </w:rPr>
        <w:t xml:space="preserve"> S1). To avoid complications that may arise when moisture and heat combine with UV light, we set the relative humidity and chamber temperature at 10% and 37 </w:t>
      </w:r>
      <w:r w:rsidRPr="00834267">
        <w:rPr>
          <w:color w:val="000000" w:themeColor="text1"/>
          <w:lang w:val="en-US"/>
        </w:rPr>
        <w:sym w:font="Symbol" w:char="F0B0"/>
      </w:r>
      <w:r w:rsidRPr="00834267">
        <w:rPr>
          <w:color w:val="000000" w:themeColor="text1"/>
          <w:lang w:val="en-US"/>
        </w:rPr>
        <w:t>C, respectively. Since photooxidation is accelerated by the irradiation energy and the irradiance and spectrum varies for different lamps, we selected the exposure durations by cumulative irradiation energy rather than time: 100, 300, and 1000 MJ/m</w:t>
      </w:r>
      <w:r w:rsidRPr="00834267">
        <w:rPr>
          <w:color w:val="000000" w:themeColor="text1"/>
          <w:vertAlign w:val="superscript"/>
          <w:lang w:val="en-US"/>
        </w:rPr>
        <w:t>2</w:t>
      </w:r>
      <w:r w:rsidRPr="00834267">
        <w:rPr>
          <w:color w:val="000000" w:themeColor="text1"/>
          <w:lang w:val="en-US"/>
        </w:rPr>
        <w:t xml:space="preserve"> (equivalent to roughly 4, 12, and 40 months of sunlight exposure, respectively). Only one side of the specimens were exposed for the entire duration in order to simulate an actual in-service structure.</w:t>
      </w:r>
    </w:p>
    <w:p w14:paraId="0C9BA8F9" w14:textId="77777777" w:rsidR="00A6721F" w:rsidRPr="00834267" w:rsidRDefault="00A6721F" w:rsidP="00D8139C">
      <w:pPr>
        <w:pStyle w:val="RSCB07BHeadingSub-Section-standalone"/>
        <w:rPr>
          <w:color w:val="000000" w:themeColor="text1"/>
          <w:w w:val="108"/>
          <w:lang w:val="en-US"/>
        </w:rPr>
      </w:pPr>
      <w:r w:rsidRPr="00834267">
        <w:rPr>
          <w:color w:val="000000" w:themeColor="text1"/>
          <w:w w:val="108"/>
          <w:lang w:val="en-US"/>
        </w:rPr>
        <w:t>Recycling protocol</w:t>
      </w:r>
    </w:p>
    <w:p w14:paraId="4AAE0E2E" w14:textId="041F0574" w:rsidR="00A6721F" w:rsidRPr="00834267" w:rsidRDefault="00A6721F" w:rsidP="0068412A">
      <w:pPr>
        <w:pStyle w:val="RSCB02ArticleText"/>
        <w:ind w:firstLine="113"/>
        <w:rPr>
          <w:color w:val="000000" w:themeColor="text1"/>
          <w:lang w:val="en-US"/>
        </w:rPr>
      </w:pPr>
      <w:r w:rsidRPr="00834267">
        <w:rPr>
          <w:color w:val="000000" w:themeColor="text1"/>
          <w:lang w:val="en-US"/>
        </w:rPr>
        <w:t>Neat PP and GL-10wt% were selected to demonstrate the recyclability of GL-containing compounds</w:t>
      </w:r>
      <w:r w:rsidR="003A2401" w:rsidRPr="00834267">
        <w:rPr>
          <w:color w:val="000000" w:themeColor="text1"/>
          <w:lang w:val="en-US"/>
        </w:rPr>
        <w:t xml:space="preserve"> (Fig. S</w:t>
      </w:r>
      <w:r w:rsidR="00D97BD4" w:rsidRPr="00834267">
        <w:rPr>
          <w:color w:val="000000" w:themeColor="text1"/>
          <w:lang w:val="en-US"/>
        </w:rPr>
        <w:t>2</w:t>
      </w:r>
      <w:r w:rsidR="003A2401" w:rsidRPr="00834267">
        <w:rPr>
          <w:color w:val="000000" w:themeColor="text1"/>
          <w:lang w:val="en-US"/>
        </w:rPr>
        <w:t>)</w:t>
      </w:r>
      <w:r w:rsidRPr="00834267">
        <w:rPr>
          <w:color w:val="000000" w:themeColor="text1"/>
          <w:lang w:val="en-US"/>
        </w:rPr>
        <w:t>. The extruded pellets were exposed to 300 MJ/m</w:t>
      </w:r>
      <w:r w:rsidRPr="00834267">
        <w:rPr>
          <w:color w:val="000000" w:themeColor="text1"/>
          <w:vertAlign w:val="superscript"/>
          <w:lang w:val="en-US"/>
        </w:rPr>
        <w:t>2</w:t>
      </w:r>
      <w:r w:rsidRPr="00834267">
        <w:rPr>
          <w:color w:val="000000" w:themeColor="text1"/>
          <w:lang w:val="en-US"/>
        </w:rPr>
        <w:t xml:space="preserve"> of UV irradiation before being </w:t>
      </w:r>
      <w:r w:rsidR="009A429A" w:rsidRPr="00834267">
        <w:rPr>
          <w:color w:val="000000" w:themeColor="text1"/>
          <w:lang w:val="en-US"/>
        </w:rPr>
        <w:t>mechanically</w:t>
      </w:r>
      <w:r w:rsidRPr="00834267">
        <w:rPr>
          <w:color w:val="000000" w:themeColor="text1"/>
          <w:lang w:val="en-US"/>
        </w:rPr>
        <w:t xml:space="preserve"> recycled via one of the following procedures: (</w:t>
      </w:r>
      <w:proofErr w:type="spellStart"/>
      <w:r w:rsidRPr="00834267">
        <w:rPr>
          <w:color w:val="000000" w:themeColor="text1"/>
          <w:lang w:val="en-US"/>
        </w:rPr>
        <w:t>i</w:t>
      </w:r>
      <w:proofErr w:type="spellEnd"/>
      <w:r w:rsidRPr="00834267">
        <w:rPr>
          <w:color w:val="000000" w:themeColor="text1"/>
          <w:lang w:val="en-US"/>
        </w:rPr>
        <w:t>) remolding via injection molding without any other treatment (</w:t>
      </w:r>
      <w:r w:rsidRPr="00834267">
        <w:rPr>
          <w:i/>
          <w:iCs/>
          <w:color w:val="000000" w:themeColor="text1"/>
          <w:lang w:val="en-US"/>
        </w:rPr>
        <w:t>Remolding</w:t>
      </w:r>
      <w:r w:rsidRPr="00834267">
        <w:rPr>
          <w:color w:val="000000" w:themeColor="text1"/>
          <w:lang w:val="en-US"/>
        </w:rPr>
        <w:t>); (ii) mechanically removing the degraded portion of the pellets using a household rice grinder (RCI-B5) for 4 min, washing with water/ethanol, then remolding (</w:t>
      </w:r>
      <w:proofErr w:type="spellStart"/>
      <w:r w:rsidRPr="00834267">
        <w:rPr>
          <w:i/>
          <w:iCs/>
          <w:color w:val="000000" w:themeColor="text1"/>
          <w:lang w:val="en-US"/>
        </w:rPr>
        <w:t>Grinding+Remolding</w:t>
      </w:r>
      <w:proofErr w:type="spellEnd"/>
      <w:r w:rsidRPr="00834267">
        <w:rPr>
          <w:color w:val="000000" w:themeColor="text1"/>
          <w:lang w:val="en-US"/>
        </w:rPr>
        <w:t xml:space="preserve">); (iii) treating the pellets with alkali solution (NaOH, 1M) at 90 </w:t>
      </w:r>
      <w:r w:rsidRPr="00834267">
        <w:rPr>
          <w:color w:val="000000" w:themeColor="text1"/>
          <w:lang w:val="en-US"/>
        </w:rPr>
        <w:sym w:font="Symbol" w:char="F0B0"/>
      </w:r>
      <w:r w:rsidRPr="00834267">
        <w:rPr>
          <w:color w:val="000000" w:themeColor="text1"/>
          <w:lang w:val="en-US"/>
        </w:rPr>
        <w:t>C for 24 h, washing, then remolding (</w:t>
      </w:r>
      <w:proofErr w:type="spellStart"/>
      <w:r w:rsidRPr="00834267">
        <w:rPr>
          <w:i/>
          <w:iCs/>
          <w:color w:val="000000" w:themeColor="text1"/>
          <w:lang w:val="en-US"/>
        </w:rPr>
        <w:t>Alkali+Remolding</w:t>
      </w:r>
      <w:proofErr w:type="spellEnd"/>
      <w:r w:rsidRPr="00834267">
        <w:rPr>
          <w:color w:val="000000" w:themeColor="text1"/>
          <w:lang w:val="en-US"/>
        </w:rPr>
        <w:t>); (iv) treating the pellets with alkali solution as above, followed by grinding for 4 min, washing</w:t>
      </w:r>
      <w:r w:rsidR="009A429A" w:rsidRPr="00834267">
        <w:rPr>
          <w:color w:val="000000" w:themeColor="text1"/>
          <w:lang w:val="en-US"/>
        </w:rPr>
        <w:t>, then</w:t>
      </w:r>
      <w:r w:rsidRPr="00834267">
        <w:rPr>
          <w:color w:val="000000" w:themeColor="text1"/>
          <w:lang w:val="en-US"/>
        </w:rPr>
        <w:t xml:space="preserve"> remolding (</w:t>
      </w:r>
      <w:proofErr w:type="spellStart"/>
      <w:r w:rsidRPr="00834267">
        <w:rPr>
          <w:i/>
          <w:iCs/>
          <w:color w:val="000000" w:themeColor="text1"/>
          <w:lang w:val="en-US"/>
        </w:rPr>
        <w:t>Alkali+Grinding+Remolding</w:t>
      </w:r>
      <w:proofErr w:type="spellEnd"/>
      <w:r w:rsidRPr="00834267">
        <w:rPr>
          <w:color w:val="000000" w:themeColor="text1"/>
          <w:lang w:val="en-US"/>
        </w:rPr>
        <w:t xml:space="preserve">). </w:t>
      </w:r>
      <w:r w:rsidR="00F4434C" w:rsidRPr="00834267">
        <w:rPr>
          <w:color w:val="000000" w:themeColor="text1"/>
          <w:lang w:val="en-US"/>
        </w:rPr>
        <w:t>Morphology, c</w:t>
      </w:r>
      <w:r w:rsidR="00D8139C" w:rsidRPr="00834267">
        <w:rPr>
          <w:color w:val="000000" w:themeColor="text1"/>
          <w:lang w:val="en-US"/>
        </w:rPr>
        <w:t>hemical structure, and t</w:t>
      </w:r>
      <w:r w:rsidRPr="00834267">
        <w:rPr>
          <w:color w:val="000000" w:themeColor="text1"/>
          <w:lang w:val="en-US"/>
        </w:rPr>
        <w:t>ensile properties were assessed.</w:t>
      </w:r>
    </w:p>
    <w:p w14:paraId="1262DD9F" w14:textId="77777777" w:rsidR="00A6721F" w:rsidRPr="00834267" w:rsidRDefault="00A6721F" w:rsidP="00D8139C">
      <w:pPr>
        <w:pStyle w:val="RSCB07BHeadingSub-Section-standalone"/>
        <w:rPr>
          <w:color w:val="000000" w:themeColor="text1"/>
          <w:w w:val="108"/>
          <w:lang w:val="en-US"/>
        </w:rPr>
      </w:pPr>
      <w:r w:rsidRPr="00834267">
        <w:rPr>
          <w:color w:val="000000" w:themeColor="text1"/>
          <w:w w:val="108"/>
          <w:lang w:val="en-US"/>
        </w:rPr>
        <w:t>Characterization</w:t>
      </w:r>
    </w:p>
    <w:p w14:paraId="12DA4EBA" w14:textId="24169093" w:rsidR="00A145C8" w:rsidRPr="00834267" w:rsidRDefault="00A6721F" w:rsidP="0068412A">
      <w:pPr>
        <w:pStyle w:val="RSCB02ArticleText"/>
        <w:ind w:firstLine="113"/>
        <w:rPr>
          <w:color w:val="000000" w:themeColor="text1"/>
          <w:lang w:val="en-US"/>
        </w:rPr>
      </w:pPr>
      <w:r w:rsidRPr="00834267">
        <w:rPr>
          <w:color w:val="000000" w:themeColor="text1"/>
          <w:lang w:val="en-US"/>
        </w:rPr>
        <w:t xml:space="preserve">Fourier transform infrared (FTIR) spectra </w:t>
      </w:r>
      <w:r w:rsidR="00067128" w:rsidRPr="00834267">
        <w:rPr>
          <w:color w:val="000000" w:themeColor="text1"/>
          <w:lang w:val="en-US"/>
        </w:rPr>
        <w:t xml:space="preserve">of films </w:t>
      </w:r>
      <w:r w:rsidRPr="00834267">
        <w:rPr>
          <w:color w:val="000000" w:themeColor="text1"/>
          <w:lang w:val="en-US"/>
        </w:rPr>
        <w:t>were recorded over the range 400</w:t>
      </w:r>
      <w:r w:rsidR="00067128" w:rsidRPr="00834267">
        <w:rPr>
          <w:color w:val="000000" w:themeColor="text1"/>
          <w:lang w:val="en-US"/>
        </w:rPr>
        <w:t>-</w:t>
      </w:r>
      <w:r w:rsidRPr="00834267">
        <w:rPr>
          <w:color w:val="000000" w:themeColor="text1"/>
          <w:lang w:val="en-US"/>
        </w:rPr>
        <w:t>4000 cm</w:t>
      </w:r>
      <w:r w:rsidRPr="00834267">
        <w:rPr>
          <w:color w:val="000000" w:themeColor="text1"/>
          <w:vertAlign w:val="superscript"/>
          <w:lang w:val="en-US"/>
        </w:rPr>
        <w:t>-1</w:t>
      </w:r>
      <w:r w:rsidRPr="00834267">
        <w:rPr>
          <w:color w:val="000000" w:themeColor="text1"/>
          <w:lang w:val="en-US"/>
        </w:rPr>
        <w:t xml:space="preserve"> in ATR mode (IR Affinity, Shimadzu), and UV-vis spectra were recorded in transmission mode (V-770, Jasco) between 200-800 nm.</w:t>
      </w:r>
      <w:r w:rsidR="00067128" w:rsidRPr="00834267">
        <w:rPr>
          <w:color w:val="000000" w:themeColor="text1"/>
          <w:lang w:val="en-US"/>
        </w:rPr>
        <w:t xml:space="preserve"> Dumbbell specimens exposed to 1000 MJ/m</w:t>
      </w:r>
      <w:r w:rsidR="00067128" w:rsidRPr="00834267">
        <w:rPr>
          <w:color w:val="000000" w:themeColor="text1"/>
          <w:vertAlign w:val="superscript"/>
          <w:lang w:val="en-US"/>
        </w:rPr>
        <w:t>2</w:t>
      </w:r>
      <w:r w:rsidR="00067128" w:rsidRPr="00834267">
        <w:rPr>
          <w:color w:val="000000" w:themeColor="text1"/>
          <w:lang w:val="en-US"/>
        </w:rPr>
        <w:t xml:space="preserve"> of UV radiation were </w:t>
      </w:r>
      <w:proofErr w:type="spellStart"/>
      <w:r w:rsidR="00067128" w:rsidRPr="00834267">
        <w:rPr>
          <w:color w:val="000000" w:themeColor="text1"/>
          <w:lang w:val="en-US"/>
        </w:rPr>
        <w:t>microtomed</w:t>
      </w:r>
      <w:proofErr w:type="spellEnd"/>
      <w:r w:rsidR="00067128" w:rsidRPr="00834267">
        <w:rPr>
          <w:color w:val="000000" w:themeColor="text1"/>
          <w:lang w:val="en-US"/>
        </w:rPr>
        <w:t xml:space="preserve"> to create a smooth cross-section, from which through-thickness FTIR spectra were recorded over the range 650-4000 cm</w:t>
      </w:r>
      <w:r w:rsidR="00067128" w:rsidRPr="00834267">
        <w:rPr>
          <w:color w:val="000000" w:themeColor="text1"/>
          <w:vertAlign w:val="superscript"/>
          <w:lang w:val="en-US"/>
        </w:rPr>
        <w:t>-1</w:t>
      </w:r>
      <w:r w:rsidR="00067128" w:rsidRPr="00834267">
        <w:rPr>
          <w:color w:val="000000" w:themeColor="text1"/>
          <w:lang w:val="en-US"/>
        </w:rPr>
        <w:t xml:space="preserve"> using an IR microscope in ATR mode (</w:t>
      </w:r>
      <w:proofErr w:type="spellStart"/>
      <w:r w:rsidR="00067128" w:rsidRPr="00834267">
        <w:rPr>
          <w:color w:val="000000" w:themeColor="text1"/>
          <w:lang w:val="en-US"/>
        </w:rPr>
        <w:t>AIMsight</w:t>
      </w:r>
      <w:proofErr w:type="spellEnd"/>
      <w:r w:rsidR="00067128" w:rsidRPr="00834267">
        <w:rPr>
          <w:color w:val="000000" w:themeColor="text1"/>
          <w:lang w:val="en-US"/>
        </w:rPr>
        <w:t>, Shimadzu). A measurement area of 50</w:t>
      </w:r>
      <w:r w:rsidR="00067128" w:rsidRPr="00834267">
        <w:rPr>
          <w:color w:val="000000" w:themeColor="text1"/>
          <w:lang w:val="en-US"/>
        </w:rPr>
        <w:sym w:font="Symbol" w:char="F0B4"/>
      </w:r>
      <w:r w:rsidR="00067128" w:rsidRPr="00834267">
        <w:rPr>
          <w:color w:val="000000" w:themeColor="text1"/>
          <w:lang w:val="en-US"/>
        </w:rPr>
        <w:t xml:space="preserve">50 </w:t>
      </w:r>
      <w:r w:rsidR="00067128" w:rsidRPr="00834267">
        <w:rPr>
          <w:color w:val="000000" w:themeColor="text1"/>
          <w:lang w:val="en-US"/>
        </w:rPr>
        <w:sym w:font="Symbol" w:char="F06D"/>
      </w:r>
      <w:r w:rsidR="00067128" w:rsidRPr="00834267">
        <w:rPr>
          <w:color w:val="000000" w:themeColor="text1"/>
          <w:lang w:val="en-US"/>
        </w:rPr>
        <w:t>m</w:t>
      </w:r>
      <w:r w:rsidR="00067128" w:rsidRPr="00834267">
        <w:rPr>
          <w:color w:val="000000" w:themeColor="text1"/>
          <w:vertAlign w:val="superscript"/>
          <w:lang w:val="en-US"/>
        </w:rPr>
        <w:t>2</w:t>
      </w:r>
      <w:r w:rsidR="00067128" w:rsidRPr="00834267">
        <w:rPr>
          <w:color w:val="000000" w:themeColor="text1"/>
          <w:lang w:val="en-US"/>
        </w:rPr>
        <w:t xml:space="preserve"> was averaged over 100 </w:t>
      </w:r>
      <w:r w:rsidR="00067128" w:rsidRPr="00834267">
        <w:rPr>
          <w:color w:val="000000" w:themeColor="text1"/>
          <w:lang w:val="en-US"/>
        </w:rPr>
        <w:sym w:font="Symbol" w:char="F06D"/>
      </w:r>
      <w:r w:rsidR="00067128" w:rsidRPr="00834267">
        <w:rPr>
          <w:color w:val="000000" w:themeColor="text1"/>
          <w:lang w:val="en-US"/>
        </w:rPr>
        <w:t xml:space="preserve">m increments from the surface to the center of the cross-section. </w:t>
      </w:r>
      <w:r w:rsidR="00A145C8" w:rsidRPr="00834267">
        <w:rPr>
          <w:color w:val="000000" w:themeColor="text1"/>
          <w:lang w:val="en-US"/>
        </w:rPr>
        <w:t xml:space="preserve"> The change in the carbonyl index (</w:t>
      </w:r>
      <w:r w:rsidR="00A145C8" w:rsidRPr="00834267">
        <w:rPr>
          <w:color w:val="000000" w:themeColor="text1"/>
          <w:lang w:val="en-US"/>
        </w:rPr>
        <w:sym w:font="Symbol" w:char="F044"/>
      </w:r>
      <w:r w:rsidR="00A145C8" w:rsidRPr="00834267">
        <w:rPr>
          <w:color w:val="000000" w:themeColor="text1"/>
          <w:lang w:val="en-US"/>
        </w:rPr>
        <w:t>CI) was used as a qualitative measure of photo-oxidation according to the following:</w:t>
      </w:r>
    </w:p>
    <w:p w14:paraId="2C5E6338" w14:textId="054100A7" w:rsidR="00A145C8" w:rsidRPr="00834267" w:rsidRDefault="00A145C8" w:rsidP="00A145C8">
      <w:pPr>
        <w:pStyle w:val="RSCB02ArticleText"/>
        <w:spacing w:line="240" w:lineRule="auto"/>
        <w:rPr>
          <w:color w:val="000000" w:themeColor="text1"/>
          <w:lang w:val="en-US"/>
        </w:rPr>
      </w:pPr>
      <m:oMathPara>
        <m:oMath>
          <m:r>
            <w:rPr>
              <w:rFonts w:ascii="Cambria Math" w:hAnsi="Cambria Math"/>
              <w:color w:val="000000" w:themeColor="text1"/>
              <w:lang w:val="en-US"/>
            </w:rPr>
            <m:t>∆CI=</m:t>
          </m:r>
          <m:f>
            <m:fPr>
              <m:ctrlPr>
                <w:rPr>
                  <w:rFonts w:ascii="Cambria Math" w:hAnsi="Cambria Math"/>
                  <w:i/>
                  <w:color w:val="000000" w:themeColor="text1"/>
                  <w:lang w:val="en-US"/>
                </w:rPr>
              </m:ctrlPr>
            </m:fPr>
            <m:num>
              <m:sSub>
                <m:sSubPr>
                  <m:ctrlPr>
                    <w:rPr>
                      <w:rFonts w:ascii="Cambria Math" w:hAnsi="Cambria Math"/>
                      <w:i/>
                      <w:color w:val="000000" w:themeColor="text1"/>
                      <w:lang w:val="en-US"/>
                    </w:rPr>
                  </m:ctrlPr>
                </m:sSubPr>
                <m:e>
                  <m:d>
                    <m:dPr>
                      <m:ctrlPr>
                        <w:rPr>
                          <w:rFonts w:ascii="Cambria Math" w:hAnsi="Cambria Math"/>
                          <w:i/>
                          <w:color w:val="000000" w:themeColor="text1"/>
                          <w:lang w:val="en-US"/>
                        </w:rPr>
                      </m:ctrlPr>
                    </m:dPr>
                    <m:e>
                      <m:sSub>
                        <m:sSubPr>
                          <m:ctrlPr>
                            <w:rPr>
                              <w:rFonts w:ascii="Cambria Math" w:hAnsi="Cambria Math"/>
                              <w:i/>
                              <w:color w:val="000000" w:themeColor="text1"/>
                              <w:lang w:val="en-US"/>
                            </w:rPr>
                          </m:ctrlPr>
                        </m:sSubPr>
                        <m:e>
                          <m:r>
                            <w:rPr>
                              <w:rFonts w:ascii="Cambria Math" w:hAnsi="Cambria Math"/>
                              <w:color w:val="000000" w:themeColor="text1"/>
                              <w:lang w:val="en-US"/>
                            </w:rPr>
                            <m:t>A</m:t>
                          </m:r>
                        </m:e>
                        <m:sub>
                          <m:r>
                            <w:rPr>
                              <w:rFonts w:ascii="Cambria Math" w:hAnsi="Cambria Math"/>
                              <w:color w:val="000000" w:themeColor="text1"/>
                              <w:lang w:val="en-US"/>
                            </w:rPr>
                            <m:t>C=O</m:t>
                          </m:r>
                        </m:sub>
                      </m:sSub>
                    </m:e>
                  </m:d>
                </m:e>
                <m:sub>
                  <m:r>
                    <w:rPr>
                      <w:rFonts w:ascii="Cambria Math" w:hAnsi="Cambria Math"/>
                      <w:color w:val="000000" w:themeColor="text1"/>
                      <w:lang w:val="en-US"/>
                    </w:rPr>
                    <m:t>t</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d>
                    <m:dPr>
                      <m:ctrlPr>
                        <w:rPr>
                          <w:rFonts w:ascii="Cambria Math" w:hAnsi="Cambria Math"/>
                          <w:i/>
                          <w:color w:val="000000" w:themeColor="text1"/>
                          <w:lang w:val="en-US"/>
                        </w:rPr>
                      </m:ctrlPr>
                    </m:dPr>
                    <m:e>
                      <m:sSub>
                        <m:sSubPr>
                          <m:ctrlPr>
                            <w:rPr>
                              <w:rFonts w:ascii="Cambria Math" w:hAnsi="Cambria Math"/>
                              <w:i/>
                              <w:color w:val="000000" w:themeColor="text1"/>
                              <w:lang w:val="en-US"/>
                            </w:rPr>
                          </m:ctrlPr>
                        </m:sSubPr>
                        <m:e>
                          <m:r>
                            <w:rPr>
                              <w:rFonts w:ascii="Cambria Math" w:hAnsi="Cambria Math"/>
                              <w:color w:val="000000" w:themeColor="text1"/>
                              <w:lang w:val="en-US"/>
                            </w:rPr>
                            <m:t>A</m:t>
                          </m:r>
                        </m:e>
                        <m:sub>
                          <m:r>
                            <w:rPr>
                              <w:rFonts w:ascii="Cambria Math" w:hAnsi="Cambria Math"/>
                              <w:color w:val="000000" w:themeColor="text1"/>
                              <w:lang w:val="en-US"/>
                            </w:rPr>
                            <m:t>C=O</m:t>
                          </m:r>
                        </m:sub>
                      </m:sSub>
                    </m:e>
                  </m:d>
                </m:e>
                <m:sub>
                  <m:r>
                    <w:rPr>
                      <w:rFonts w:ascii="Cambria Math" w:hAnsi="Cambria Math"/>
                      <w:color w:val="000000" w:themeColor="text1"/>
                      <w:lang w:val="en-US"/>
                    </w:rPr>
                    <m:t>0</m:t>
                  </m:r>
                </m:sub>
              </m:sSub>
            </m:num>
            <m:den>
              <m:sSub>
                <m:sSubPr>
                  <m:ctrlPr>
                    <w:rPr>
                      <w:rFonts w:ascii="Cambria Math" w:hAnsi="Cambria Math"/>
                      <w:i/>
                      <w:color w:val="000000" w:themeColor="text1"/>
                      <w:lang w:val="en-US"/>
                    </w:rPr>
                  </m:ctrlPr>
                </m:sSubPr>
                <m:e>
                  <m:r>
                    <w:rPr>
                      <w:rFonts w:ascii="Cambria Math" w:hAnsi="Cambria Math"/>
                      <w:color w:val="000000" w:themeColor="text1"/>
                      <w:lang w:val="en-US"/>
                    </w:rPr>
                    <m:t>A</m:t>
                  </m:r>
                </m:e>
                <m:sub>
                  <m:sSub>
                    <m:sSubPr>
                      <m:ctrlPr>
                        <w:rPr>
                          <w:rFonts w:ascii="Cambria Math" w:hAnsi="Cambria Math"/>
                          <w:i/>
                          <w:color w:val="000000" w:themeColor="text1"/>
                          <w:lang w:val="en-US"/>
                        </w:rPr>
                      </m:ctrlPr>
                    </m:sSubPr>
                    <m:e>
                      <m:r>
                        <w:rPr>
                          <w:rFonts w:ascii="Cambria Math" w:hAnsi="Cambria Math"/>
                          <w:color w:val="000000" w:themeColor="text1"/>
                          <w:lang w:val="en-US"/>
                        </w:rPr>
                        <m:t>CH</m:t>
                      </m:r>
                    </m:e>
                    <m:sub>
                      <m:r>
                        <w:rPr>
                          <w:rFonts w:ascii="Cambria Math" w:hAnsi="Cambria Math"/>
                          <w:color w:val="000000" w:themeColor="text1"/>
                          <w:lang w:val="en-US"/>
                        </w:rPr>
                        <m:t>3</m:t>
                      </m:r>
                    </m:sub>
                  </m:sSub>
                </m:sub>
              </m:sSub>
            </m:den>
          </m:f>
        </m:oMath>
      </m:oMathPara>
    </w:p>
    <w:p w14:paraId="4F0F5A44" w14:textId="1F2E0043" w:rsidR="00A145C8" w:rsidRPr="00834267" w:rsidRDefault="00A145C8" w:rsidP="00A145C8">
      <w:pPr>
        <w:pStyle w:val="RSCB02ArticleText"/>
        <w:rPr>
          <w:color w:val="000000" w:themeColor="text1"/>
          <w:lang w:val="en-US"/>
        </w:rPr>
      </w:pPr>
      <w:r w:rsidRPr="00834267">
        <w:rPr>
          <w:color w:val="000000" w:themeColor="text1"/>
          <w:lang w:val="en-US"/>
        </w:rPr>
        <w:t xml:space="preserve">where </w:t>
      </w:r>
      <w:r w:rsidRPr="00834267">
        <w:rPr>
          <w:i/>
          <w:iCs/>
          <w:color w:val="000000" w:themeColor="text1"/>
          <w:lang w:val="en-US"/>
        </w:rPr>
        <w:t>A</w:t>
      </w:r>
      <w:r w:rsidRPr="00834267">
        <w:rPr>
          <w:i/>
          <w:iCs/>
          <w:color w:val="000000" w:themeColor="text1"/>
          <w:vertAlign w:val="subscript"/>
          <w:lang w:val="en-US"/>
        </w:rPr>
        <w:t>x</w:t>
      </w:r>
      <w:r w:rsidRPr="00834267">
        <w:rPr>
          <w:color w:val="000000" w:themeColor="text1"/>
          <w:lang w:val="en-US"/>
        </w:rPr>
        <w:t xml:space="preserve"> is the integrated area of the peaks for carbonyls (</w:t>
      </w:r>
      <w:r w:rsidRPr="00834267">
        <w:rPr>
          <w:i/>
          <w:iCs/>
          <w:color w:val="000000" w:themeColor="text1"/>
          <w:lang w:val="en-US"/>
        </w:rPr>
        <w:t>x</w:t>
      </w:r>
      <w:r w:rsidR="00004082" w:rsidRPr="00834267">
        <w:rPr>
          <w:color w:val="000000" w:themeColor="text1"/>
          <w:lang w:val="en-US"/>
        </w:rPr>
        <w:t xml:space="preserve">: C=O) between </w:t>
      </w:r>
      <w:r w:rsidRPr="00834267">
        <w:rPr>
          <w:color w:val="000000" w:themeColor="text1"/>
          <w:lang w:val="en-US"/>
        </w:rPr>
        <w:t>1710-1770 cm</w:t>
      </w:r>
      <w:r w:rsidRPr="00834267">
        <w:rPr>
          <w:color w:val="000000" w:themeColor="text1"/>
          <w:vertAlign w:val="superscript"/>
          <w:lang w:val="en-US"/>
        </w:rPr>
        <w:t>-1</w:t>
      </w:r>
      <w:r w:rsidRPr="00834267">
        <w:rPr>
          <w:color w:val="000000" w:themeColor="text1"/>
          <w:lang w:val="en-US"/>
        </w:rPr>
        <w:t xml:space="preserve"> </w:t>
      </w:r>
      <w:r w:rsidR="00C85FEC" w:rsidRPr="00834267">
        <w:rPr>
          <w:color w:val="000000" w:themeColor="text1"/>
          <w:lang w:val="en-US"/>
        </w:rPr>
        <w:t>or</w:t>
      </w:r>
      <w:r w:rsidRPr="00834267">
        <w:rPr>
          <w:color w:val="000000" w:themeColor="text1"/>
          <w:lang w:val="en-US"/>
        </w:rPr>
        <w:t xml:space="preserve"> methylene</w:t>
      </w:r>
      <w:r w:rsidR="00004082" w:rsidRPr="00834267">
        <w:rPr>
          <w:color w:val="000000" w:themeColor="text1"/>
          <w:lang w:val="en-US"/>
        </w:rPr>
        <w:t xml:space="preserve"> (</w:t>
      </w:r>
      <w:r w:rsidR="00004082" w:rsidRPr="00834267">
        <w:rPr>
          <w:i/>
          <w:iCs/>
          <w:color w:val="000000" w:themeColor="text1"/>
          <w:lang w:val="en-US"/>
        </w:rPr>
        <w:t>x</w:t>
      </w:r>
      <w:r w:rsidR="00004082" w:rsidRPr="00834267">
        <w:rPr>
          <w:color w:val="000000" w:themeColor="text1"/>
          <w:lang w:val="en-US"/>
        </w:rPr>
        <w:t>: CH</w:t>
      </w:r>
      <w:r w:rsidR="00004082" w:rsidRPr="00834267">
        <w:rPr>
          <w:color w:val="000000" w:themeColor="text1"/>
          <w:vertAlign w:val="subscript"/>
          <w:lang w:val="en-US"/>
        </w:rPr>
        <w:t>3</w:t>
      </w:r>
      <w:r w:rsidR="00004082" w:rsidRPr="00834267">
        <w:rPr>
          <w:color w:val="000000" w:themeColor="text1"/>
          <w:lang w:val="en-US"/>
        </w:rPr>
        <w:t xml:space="preserve">) at </w:t>
      </w:r>
      <w:r w:rsidRPr="00834267">
        <w:rPr>
          <w:color w:val="000000" w:themeColor="text1"/>
          <w:lang w:val="en-US"/>
        </w:rPr>
        <w:t>1458 cm</w:t>
      </w:r>
      <w:r w:rsidRPr="00834267">
        <w:rPr>
          <w:color w:val="000000" w:themeColor="text1"/>
          <w:vertAlign w:val="superscript"/>
          <w:lang w:val="en-US"/>
        </w:rPr>
        <w:t>-1</w:t>
      </w:r>
      <w:r w:rsidR="00992A90" w:rsidRPr="00834267">
        <w:rPr>
          <w:color w:val="000000" w:themeColor="text1"/>
          <w:lang w:val="en-US"/>
        </w:rPr>
        <w:t>.</w:t>
      </w:r>
      <w:r w:rsidR="00374ECE" w:rsidRPr="00834267">
        <w:rPr>
          <w:color w:val="000000" w:themeColor="text1"/>
          <w:lang w:val="en-US"/>
        </w:rPr>
        <w:t xml:space="preserve"> </w:t>
      </w:r>
      <w:r w:rsidR="00992A90" w:rsidRPr="00834267">
        <w:rPr>
          <w:color w:val="000000" w:themeColor="text1"/>
          <w:lang w:val="en-US"/>
        </w:rPr>
        <w:t>T</w:t>
      </w:r>
      <w:r w:rsidR="00374ECE" w:rsidRPr="00834267">
        <w:rPr>
          <w:color w:val="000000" w:themeColor="text1"/>
          <w:lang w:val="en-US"/>
        </w:rPr>
        <w:t>he contributions of the carbonyls native to maleic-grafted PP and lignin in the initial state</w:t>
      </w:r>
      <w:r w:rsidR="00992A90" w:rsidRPr="00834267">
        <w:rPr>
          <w:color w:val="000000" w:themeColor="text1"/>
          <w:lang w:val="en-US"/>
        </w:rPr>
        <w:t xml:space="preserve"> were subtracted to isolate new carbonyl formation during irradiation</w:t>
      </w:r>
      <w:r w:rsidR="00374ECE" w:rsidRPr="00834267">
        <w:rPr>
          <w:color w:val="000000" w:themeColor="text1"/>
          <w:lang w:val="en-US"/>
        </w:rPr>
        <w:t>.</w:t>
      </w:r>
    </w:p>
    <w:p w14:paraId="75DCC73E" w14:textId="73BDD789" w:rsidR="00A6721F" w:rsidRPr="00834267" w:rsidRDefault="00A6721F" w:rsidP="00A145C8">
      <w:pPr>
        <w:pStyle w:val="RSCB02ArticleText"/>
        <w:rPr>
          <w:color w:val="000000" w:themeColor="text1"/>
          <w:lang w:val="en-US"/>
        </w:rPr>
      </w:pPr>
      <w:r w:rsidRPr="00834267">
        <w:rPr>
          <w:color w:val="000000" w:themeColor="text1"/>
          <w:lang w:val="en-US"/>
        </w:rPr>
        <w:t>Differential scanning calorimetry (DSC7020, Hitachi Hi Tech) was performed on roughly 1.5-2 mg of sample under N</w:t>
      </w:r>
      <w:r w:rsidRPr="00834267">
        <w:rPr>
          <w:color w:val="000000" w:themeColor="text1"/>
          <w:vertAlign w:val="subscript"/>
          <w:lang w:val="en-US"/>
        </w:rPr>
        <w:t>2</w:t>
      </w:r>
      <w:r w:rsidRPr="00834267">
        <w:rPr>
          <w:color w:val="000000" w:themeColor="text1"/>
          <w:lang w:val="en-US"/>
        </w:rPr>
        <w:t xml:space="preserve"> flow over the range 0-200 </w:t>
      </w:r>
      <w:r w:rsidRPr="00834267">
        <w:rPr>
          <w:color w:val="000000" w:themeColor="text1"/>
          <w:lang w:val="en-US"/>
        </w:rPr>
        <w:sym w:font="Symbol" w:char="F0B0"/>
      </w:r>
      <w:r w:rsidRPr="00834267">
        <w:rPr>
          <w:color w:val="000000" w:themeColor="text1"/>
          <w:lang w:val="en-US"/>
        </w:rPr>
        <w:t xml:space="preserve">C at a heating and cooling rate of 10 </w:t>
      </w:r>
      <w:r w:rsidRPr="00834267">
        <w:rPr>
          <w:color w:val="000000" w:themeColor="text1"/>
          <w:lang w:val="en-US"/>
        </w:rPr>
        <w:sym w:font="Symbol" w:char="F0B0"/>
      </w:r>
      <w:r w:rsidRPr="00834267">
        <w:rPr>
          <w:color w:val="000000" w:themeColor="text1"/>
          <w:lang w:val="en-US"/>
        </w:rPr>
        <w:t xml:space="preserve">C/min, and the degree of crystallinity </w:t>
      </w:r>
      <m:oMath>
        <m:sSub>
          <m:sSubPr>
            <m:ctrlPr>
              <w:rPr>
                <w:rFonts w:ascii="Cambria Math" w:hAnsi="Cambria Math"/>
                <w:i/>
                <w:color w:val="000000" w:themeColor="text1"/>
                <w:lang w:val="en-US"/>
              </w:rPr>
            </m:ctrlPr>
          </m:sSubPr>
          <m:e>
            <m:r>
              <w:rPr>
                <w:rFonts w:ascii="Cambria Math" w:hAnsi="Cambria Math"/>
                <w:i/>
                <w:color w:val="000000" w:themeColor="text1"/>
                <w:lang w:val="en-US"/>
              </w:rPr>
              <w:sym w:font="Symbol" w:char="F063"/>
            </m:r>
          </m:e>
          <m:sub>
            <m:r>
              <w:rPr>
                <w:rFonts w:ascii="Cambria Math" w:hAnsi="Cambria Math"/>
                <w:color w:val="000000" w:themeColor="text1"/>
                <w:lang w:val="en-US"/>
              </w:rPr>
              <m:t>c</m:t>
            </m:r>
          </m:sub>
        </m:sSub>
      </m:oMath>
      <w:r w:rsidRPr="00834267">
        <w:rPr>
          <w:color w:val="000000" w:themeColor="text1"/>
          <w:lang w:val="en-US"/>
        </w:rPr>
        <w:t xml:space="preserve"> was approximated with the enthalpy of fusion </w:t>
      </w:r>
      <m:oMath>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H</m:t>
            </m:r>
          </m:e>
          <m:sub>
            <m:r>
              <w:rPr>
                <w:rFonts w:ascii="Cambria Math" w:hAnsi="Cambria Math"/>
                <w:color w:val="000000" w:themeColor="text1"/>
                <w:lang w:val="en-US"/>
              </w:rPr>
              <m:t>m</m:t>
            </m:r>
          </m:sub>
        </m:sSub>
      </m:oMath>
      <w:r w:rsidRPr="00834267">
        <w:rPr>
          <w:color w:val="000000" w:themeColor="text1"/>
          <w:lang w:val="en-US"/>
        </w:rPr>
        <w:t xml:space="preserve"> taken from the melting peak on the first heating scan:</w:t>
      </w:r>
    </w:p>
    <w:p w14:paraId="72B16970" w14:textId="2B16CC4A" w:rsidR="00271A81" w:rsidRPr="00834267" w:rsidRDefault="00000000" w:rsidP="00271A81">
      <w:pPr>
        <w:pStyle w:val="RSCB02ArticleText"/>
        <w:spacing w:line="240" w:lineRule="auto"/>
        <w:rPr>
          <w:color w:val="000000" w:themeColor="text1"/>
          <w:lang w:val="en-US"/>
        </w:rPr>
      </w:pPr>
      <m:oMathPara>
        <m:oMath>
          <m:sSub>
            <m:sSubPr>
              <m:ctrlPr>
                <w:rPr>
                  <w:rFonts w:ascii="Cambria Math" w:hAnsi="Cambria Math"/>
                  <w:i/>
                  <w:color w:val="000000" w:themeColor="text1"/>
                  <w:lang w:val="en-US"/>
                </w:rPr>
              </m:ctrlPr>
            </m:sSubPr>
            <m:e>
              <m:r>
                <w:rPr>
                  <w:rFonts w:ascii="Cambria Math" w:hAnsi="Cambria Math"/>
                  <w:i/>
                  <w:color w:val="000000" w:themeColor="text1"/>
                  <w:lang w:val="en-US"/>
                </w:rPr>
                <w:sym w:font="Symbol" w:char="F063"/>
              </m:r>
            </m:e>
            <m:sub>
              <m:r>
                <w:rPr>
                  <w:rFonts w:ascii="Cambria Math" w:hAnsi="Cambria Math"/>
                  <w:color w:val="000000" w:themeColor="text1"/>
                  <w:lang w:val="en-US"/>
                </w:rPr>
                <m:t>c</m:t>
              </m:r>
            </m:sub>
          </m:sSub>
          <m:r>
            <w:rPr>
              <w:rFonts w:ascii="Cambria Math" w:hAnsi="Cambria Math"/>
              <w:color w:val="000000" w:themeColor="text1"/>
              <w:lang w:val="en-US"/>
            </w:rPr>
            <m:t>=</m:t>
          </m:r>
          <m:f>
            <m:fPr>
              <m:ctrlPr>
                <w:rPr>
                  <w:rFonts w:ascii="Cambria Math" w:hAnsi="Cambria Math"/>
                  <w:i/>
                  <w:color w:val="000000" w:themeColor="text1"/>
                  <w:lang w:val="en-US"/>
                </w:rPr>
              </m:ctrlPr>
            </m:fPr>
            <m:num>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H</m:t>
                  </m:r>
                </m:e>
                <m:sub>
                  <m:r>
                    <w:rPr>
                      <w:rFonts w:ascii="Cambria Math" w:hAnsi="Cambria Math"/>
                      <w:color w:val="000000" w:themeColor="text1"/>
                      <w:lang w:val="en-US"/>
                    </w:rPr>
                    <m:t>m</m:t>
                  </m:r>
                </m:sub>
              </m:sSub>
            </m:num>
            <m:den>
              <m:r>
                <w:rPr>
                  <w:rFonts w:ascii="Cambria Math" w:hAnsi="Cambria Math"/>
                  <w:color w:val="000000" w:themeColor="text1"/>
                  <w:lang w:val="en-US"/>
                </w:rPr>
                <m:t>(1-α)∆</m:t>
              </m:r>
              <m:sSubSup>
                <m:sSubSupPr>
                  <m:ctrlPr>
                    <w:rPr>
                      <w:rFonts w:ascii="Cambria Math" w:hAnsi="Cambria Math"/>
                      <w:i/>
                      <w:color w:val="000000" w:themeColor="text1"/>
                      <w:lang w:val="en-US"/>
                    </w:rPr>
                  </m:ctrlPr>
                </m:sSubSupPr>
                <m:e>
                  <m:r>
                    <w:rPr>
                      <w:rFonts w:ascii="Cambria Math" w:hAnsi="Cambria Math"/>
                      <w:color w:val="000000" w:themeColor="text1"/>
                      <w:lang w:val="en-US"/>
                    </w:rPr>
                    <m:t>H</m:t>
                  </m:r>
                </m:e>
                <m:sub>
                  <m:r>
                    <w:rPr>
                      <w:rFonts w:ascii="Cambria Math" w:hAnsi="Cambria Math"/>
                      <w:color w:val="000000" w:themeColor="text1"/>
                      <w:lang w:val="en-US"/>
                    </w:rPr>
                    <m:t>m</m:t>
                  </m:r>
                </m:sub>
                <m:sup>
                  <m:r>
                    <w:rPr>
                      <w:rFonts w:ascii="Cambria Math" w:hAnsi="Cambria Math"/>
                      <w:color w:val="000000" w:themeColor="text1"/>
                      <w:lang w:val="en-US"/>
                    </w:rPr>
                    <m:t>0</m:t>
                  </m:r>
                </m:sup>
              </m:sSubSup>
            </m:den>
          </m:f>
        </m:oMath>
      </m:oMathPara>
    </w:p>
    <w:p w14:paraId="40D4CD1C" w14:textId="26BFC1E6" w:rsidR="00A6721F" w:rsidRPr="00834267" w:rsidRDefault="00A6721F" w:rsidP="00A6721F">
      <w:pPr>
        <w:pStyle w:val="RSCB02ArticleText"/>
        <w:rPr>
          <w:color w:val="000000" w:themeColor="text1"/>
          <w:lang w:val="en-US"/>
        </w:rPr>
      </w:pPr>
      <w:r w:rsidRPr="00834267">
        <w:rPr>
          <w:color w:val="000000" w:themeColor="text1"/>
          <w:lang w:val="en-US"/>
        </w:rPr>
        <w:t xml:space="preserve">where </w:t>
      </w:r>
      <m:oMath>
        <m:r>
          <w:rPr>
            <w:rFonts w:ascii="Cambria Math" w:hAnsi="Cambria Math"/>
            <w:color w:val="000000" w:themeColor="text1"/>
            <w:lang w:val="en-US"/>
          </w:rPr>
          <m:t>∆</m:t>
        </m:r>
        <m:sSubSup>
          <m:sSubSupPr>
            <m:ctrlPr>
              <w:rPr>
                <w:rFonts w:ascii="Cambria Math" w:hAnsi="Cambria Math"/>
                <w:i/>
                <w:color w:val="000000" w:themeColor="text1"/>
                <w:lang w:val="en-US"/>
              </w:rPr>
            </m:ctrlPr>
          </m:sSubSupPr>
          <m:e>
            <m:r>
              <w:rPr>
                <w:rFonts w:ascii="Cambria Math" w:hAnsi="Cambria Math"/>
                <w:color w:val="000000" w:themeColor="text1"/>
                <w:lang w:val="en-US"/>
              </w:rPr>
              <m:t>H</m:t>
            </m:r>
          </m:e>
          <m:sub>
            <m:r>
              <w:rPr>
                <w:rFonts w:ascii="Cambria Math" w:hAnsi="Cambria Math"/>
                <w:color w:val="000000" w:themeColor="text1"/>
                <w:lang w:val="en-US"/>
              </w:rPr>
              <m:t>m</m:t>
            </m:r>
          </m:sub>
          <m:sup>
            <m:r>
              <w:rPr>
                <w:rFonts w:ascii="Cambria Math" w:hAnsi="Cambria Math"/>
                <w:color w:val="000000" w:themeColor="text1"/>
                <w:lang w:val="en-US"/>
              </w:rPr>
              <m:t>0</m:t>
            </m:r>
          </m:sup>
        </m:sSubSup>
      </m:oMath>
      <w:r w:rsidRPr="00834267">
        <w:rPr>
          <w:color w:val="000000" w:themeColor="text1"/>
          <w:lang w:val="en-US"/>
        </w:rPr>
        <w:t xml:space="preserve"> is the enthalpy of fusion of perfectly crystalline polypropylene (taken as 207 J/g</w:t>
      </w:r>
      <w:r w:rsidRPr="00834267">
        <w:rPr>
          <w:color w:val="000000" w:themeColor="text1"/>
          <w:vertAlign w:val="superscript"/>
          <w:lang w:val="en-US"/>
        </w:rPr>
        <w:t>31</w:t>
      </w:r>
      <w:r w:rsidRPr="00834267">
        <w:rPr>
          <w:color w:val="000000" w:themeColor="text1"/>
          <w:lang w:val="en-US"/>
        </w:rPr>
        <w:t xml:space="preserve">), and </w:t>
      </w:r>
      <m:oMath>
        <m:r>
          <w:rPr>
            <w:rFonts w:ascii="Cambria Math" w:hAnsi="Cambria Math"/>
            <w:color w:val="000000" w:themeColor="text1"/>
            <w:lang w:val="en-US"/>
          </w:rPr>
          <m:t>α</m:t>
        </m:r>
      </m:oMath>
      <w:r w:rsidRPr="00834267">
        <w:rPr>
          <w:color w:val="000000" w:themeColor="text1"/>
          <w:lang w:val="en-US"/>
        </w:rPr>
        <w:t xml:space="preserve"> is the mass fraction of GL. Initial testing showed that some thermal decomposition of the low molecular weight portions of the sample occurs above the melting point and interferes with the enthalpy measurements when using the second heating scan, so we decided to use the first heating scan to represent the state of the material during irradiation. Oxidation induction time (OIT) tests were conducted by heating at 20 </w:t>
      </w:r>
      <w:r w:rsidRPr="00834267">
        <w:rPr>
          <w:color w:val="000000" w:themeColor="text1"/>
          <w:lang w:val="en-US"/>
        </w:rPr>
        <w:sym w:font="Symbol" w:char="F0B0"/>
      </w:r>
      <w:r w:rsidRPr="00834267">
        <w:rPr>
          <w:color w:val="000000" w:themeColor="text1"/>
          <w:lang w:val="en-US"/>
        </w:rPr>
        <w:t>C/min under N</w:t>
      </w:r>
      <w:r w:rsidRPr="00834267">
        <w:rPr>
          <w:color w:val="000000" w:themeColor="text1"/>
          <w:vertAlign w:val="subscript"/>
          <w:lang w:val="en-US"/>
        </w:rPr>
        <w:t>2</w:t>
      </w:r>
      <w:r w:rsidRPr="00834267">
        <w:rPr>
          <w:color w:val="000000" w:themeColor="text1"/>
          <w:lang w:val="en-US"/>
        </w:rPr>
        <w:t xml:space="preserve"> flow and holding at 180 </w:t>
      </w:r>
      <w:r w:rsidRPr="00834267">
        <w:rPr>
          <w:color w:val="000000" w:themeColor="text1"/>
          <w:lang w:val="en-US"/>
        </w:rPr>
        <w:sym w:font="Symbol" w:char="F0B0"/>
      </w:r>
      <w:r w:rsidRPr="00834267">
        <w:rPr>
          <w:color w:val="000000" w:themeColor="text1"/>
          <w:lang w:val="en-US"/>
        </w:rPr>
        <w:t>C for 5 min before switching to O</w:t>
      </w:r>
      <w:r w:rsidRPr="00834267">
        <w:rPr>
          <w:color w:val="000000" w:themeColor="text1"/>
          <w:vertAlign w:val="subscript"/>
          <w:lang w:val="en-US"/>
        </w:rPr>
        <w:t>2</w:t>
      </w:r>
      <w:r w:rsidRPr="00834267">
        <w:rPr>
          <w:color w:val="000000" w:themeColor="text1"/>
          <w:lang w:val="en-US"/>
        </w:rPr>
        <w:t>-rich air flow. X-ray diffraction (XRD, Ultima IV) was performed on pressed films at a scanning rate of 1</w:t>
      </w:r>
      <w:r w:rsidRPr="00834267">
        <w:rPr>
          <w:color w:val="000000" w:themeColor="text1"/>
          <w:lang w:val="en-US"/>
        </w:rPr>
        <w:sym w:font="Symbol" w:char="F0B0"/>
      </w:r>
      <w:r w:rsidRPr="00834267">
        <w:rPr>
          <w:color w:val="000000" w:themeColor="text1"/>
          <w:lang w:val="en-US"/>
        </w:rPr>
        <w:t xml:space="preserve">/min. Tensile properties of the polymer compounds were evaluated using an electromechanical testing machine (EZ-LX, Shimadzu) fitted with a 5 </w:t>
      </w:r>
      <w:proofErr w:type="spellStart"/>
      <w:r w:rsidRPr="00834267">
        <w:rPr>
          <w:color w:val="000000" w:themeColor="text1"/>
          <w:lang w:val="en-US"/>
        </w:rPr>
        <w:t>kN</w:t>
      </w:r>
      <w:proofErr w:type="spellEnd"/>
      <w:r w:rsidRPr="00834267">
        <w:rPr>
          <w:color w:val="000000" w:themeColor="text1"/>
          <w:lang w:val="en-US"/>
        </w:rPr>
        <w:t xml:space="preserve"> load cell and video strain sensor, moving at a crosshead speed of 5 mm/min (as per ASTM D638). Fracture surfaces of the dumbbell specimens were analyzed by scanning electron microscopy (Quanta 600 SEM, FEI). The surface condition after irradiation was assessed by laser scanning microscopy (LSM, OLS4500).</w:t>
      </w:r>
    </w:p>
    <w:p w14:paraId="3ECD8A68" w14:textId="084C86D0" w:rsidR="00A6721F" w:rsidRPr="00834267" w:rsidRDefault="00A6721F" w:rsidP="00A6721F">
      <w:pPr>
        <w:pStyle w:val="RSCB04AHeadingSection"/>
        <w:rPr>
          <w:color w:val="000000" w:themeColor="text1"/>
          <w:w w:val="108"/>
          <w:lang w:val="en-US"/>
        </w:rPr>
      </w:pPr>
      <w:r w:rsidRPr="00834267">
        <w:rPr>
          <w:color w:val="000000" w:themeColor="text1"/>
          <w:w w:val="108"/>
          <w:lang w:val="en-US"/>
        </w:rPr>
        <w:t>Results and Discussion</w:t>
      </w:r>
    </w:p>
    <w:p w14:paraId="6E438C73" w14:textId="34681C12" w:rsidR="00A6721F" w:rsidRPr="00834267" w:rsidRDefault="00A6721F" w:rsidP="00027A18">
      <w:pPr>
        <w:pStyle w:val="RSCB06BHeadingSub-Section"/>
        <w:rPr>
          <w:color w:val="000000" w:themeColor="text1"/>
          <w:w w:val="108"/>
          <w:lang w:val="en-US"/>
        </w:rPr>
      </w:pPr>
      <w:r w:rsidRPr="00834267">
        <w:rPr>
          <w:color w:val="000000" w:themeColor="text1"/>
          <w:w w:val="108"/>
          <w:lang w:val="en-US"/>
        </w:rPr>
        <w:t>Processing and structure of GL/PP blends</w:t>
      </w:r>
    </w:p>
    <w:p w14:paraId="530ABB55" w14:textId="4B41A14D" w:rsidR="00A6721F" w:rsidRPr="00834267" w:rsidRDefault="00A6721F" w:rsidP="0068412A">
      <w:pPr>
        <w:pStyle w:val="RSCB02ArticleText"/>
        <w:ind w:firstLine="113"/>
        <w:rPr>
          <w:color w:val="000000" w:themeColor="text1"/>
          <w:lang w:val="en-US"/>
        </w:rPr>
      </w:pPr>
      <w:r w:rsidRPr="00834267">
        <w:rPr>
          <w:color w:val="000000" w:themeColor="text1"/>
          <w:lang w:val="en-US"/>
        </w:rPr>
        <w:t>The extrusion conditions used in this work resulted in uniformly blended compounds that show good moldability even at 3</w:t>
      </w:r>
      <w:r w:rsidR="00AD1663" w:rsidRPr="00834267">
        <w:rPr>
          <w:color w:val="000000" w:themeColor="text1"/>
          <w:lang w:val="en-US"/>
        </w:rPr>
        <w:t>0</w:t>
      </w:r>
      <w:r w:rsidR="00A05992" w:rsidRPr="00834267">
        <w:rPr>
          <w:color w:val="000000" w:themeColor="text1"/>
          <w:lang w:val="en-US"/>
        </w:rPr>
        <w:t>wt%</w:t>
      </w:r>
      <w:r w:rsidRPr="00834267">
        <w:rPr>
          <w:color w:val="000000" w:themeColor="text1"/>
          <w:lang w:val="en-US"/>
        </w:rPr>
        <w:t xml:space="preserve"> loading. The expected structure is depicted in </w:t>
      </w:r>
      <w:r w:rsidR="00AD1663" w:rsidRPr="00834267">
        <w:rPr>
          <w:color w:val="000000" w:themeColor="text1"/>
          <w:lang w:val="en-US"/>
        </w:rPr>
        <w:t>Fig.</w:t>
      </w:r>
      <w:r w:rsidRPr="00834267">
        <w:rPr>
          <w:color w:val="000000" w:themeColor="text1"/>
          <w:lang w:val="en-US"/>
        </w:rPr>
        <w:t xml:space="preserve"> 1(c), where </w:t>
      </w:r>
      <w:r w:rsidR="00075880" w:rsidRPr="00834267">
        <w:rPr>
          <w:color w:val="000000" w:themeColor="text1"/>
          <w:lang w:val="en-US"/>
        </w:rPr>
        <w:t xml:space="preserve">sub-micron </w:t>
      </w:r>
      <w:r w:rsidRPr="00834267">
        <w:rPr>
          <w:color w:val="000000" w:themeColor="text1"/>
          <w:lang w:val="en-US"/>
        </w:rPr>
        <w:t>lignin particles</w:t>
      </w:r>
      <w:r w:rsidR="00075880" w:rsidRPr="00834267">
        <w:rPr>
          <w:color w:val="000000" w:themeColor="text1"/>
          <w:vertAlign w:val="superscript"/>
          <w:lang w:val="en-US"/>
        </w:rPr>
        <w:t>41</w:t>
      </w:r>
      <w:r w:rsidRPr="00834267">
        <w:rPr>
          <w:color w:val="000000" w:themeColor="text1"/>
          <w:lang w:val="en-US"/>
        </w:rPr>
        <w:t xml:space="preserve"> </w:t>
      </w:r>
      <w:r w:rsidR="0085453F" w:rsidRPr="00834267">
        <w:rPr>
          <w:color w:val="000000" w:themeColor="text1"/>
          <w:lang w:val="en-US"/>
        </w:rPr>
        <w:t>are grafted to the matrix</w:t>
      </w:r>
      <w:r w:rsidRPr="00834267">
        <w:rPr>
          <w:color w:val="000000" w:themeColor="text1"/>
          <w:lang w:val="en-US"/>
        </w:rPr>
        <w:t xml:space="preserve"> </w:t>
      </w:r>
      <w:r w:rsidR="0085453F" w:rsidRPr="00834267">
        <w:rPr>
          <w:color w:val="000000" w:themeColor="text1"/>
          <w:lang w:val="en-US"/>
        </w:rPr>
        <w:t>by</w:t>
      </w:r>
      <w:r w:rsidRPr="00834267">
        <w:rPr>
          <w:color w:val="000000" w:themeColor="text1"/>
          <w:lang w:val="en-US"/>
        </w:rPr>
        <w:t xml:space="preserve"> ester bonds formed between the PEG and maleic anhydride groups in GL and PP, respectively. This was confirmed by FTIR (</w:t>
      </w:r>
      <w:r w:rsidR="00AD1663" w:rsidRPr="00834267">
        <w:rPr>
          <w:color w:val="000000" w:themeColor="text1"/>
          <w:lang w:val="en-US"/>
        </w:rPr>
        <w:t>Fig.</w:t>
      </w:r>
      <w:r w:rsidRPr="00834267">
        <w:rPr>
          <w:color w:val="000000" w:themeColor="text1"/>
          <w:lang w:val="en-US"/>
        </w:rPr>
        <w:t xml:space="preserve"> S</w:t>
      </w:r>
      <w:r w:rsidR="00D97BD4" w:rsidRPr="00834267">
        <w:rPr>
          <w:color w:val="000000" w:themeColor="text1"/>
          <w:lang w:val="en-US"/>
        </w:rPr>
        <w:t>3</w:t>
      </w:r>
      <w:r w:rsidRPr="00834267">
        <w:rPr>
          <w:color w:val="000000" w:themeColor="text1"/>
          <w:lang w:val="en-US"/>
        </w:rPr>
        <w:t>), where the carbonyl peaks associated with maleic anhydride change to those of ester bonds,</w:t>
      </w:r>
      <w:r w:rsidRPr="00834267">
        <w:rPr>
          <w:color w:val="000000" w:themeColor="text1"/>
          <w:vertAlign w:val="superscript"/>
          <w:lang w:val="en-US"/>
        </w:rPr>
        <w:t>41,43</w:t>
      </w:r>
      <w:r w:rsidRPr="00834267">
        <w:rPr>
          <w:color w:val="000000" w:themeColor="text1"/>
          <w:lang w:val="en-US"/>
        </w:rPr>
        <w:t xml:space="preserve"> and the intensities of the characteristic GL peaks change depending on the loading. Thermal analyses confirmed that the blends exhibit similar melting/crystallization behavior as neat PP, meaning that they remain thermoplastic on the macroscale. Dynamic mechanical analysis revealed that lignin affects the segmental dynamics of polypropylene by </w:t>
      </w:r>
      <w:r w:rsidR="0085453F" w:rsidRPr="00834267">
        <w:rPr>
          <w:color w:val="000000" w:themeColor="text1"/>
          <w:lang w:val="en-US"/>
        </w:rPr>
        <w:t xml:space="preserve">introducing </w:t>
      </w:r>
      <w:r w:rsidRPr="00834267">
        <w:rPr>
          <w:color w:val="000000" w:themeColor="text1"/>
          <w:lang w:val="en-US"/>
        </w:rPr>
        <w:t>structural heterogeneity, which is only possible if the lignin is chemically integrated into the polymer nanostructure</w:t>
      </w:r>
      <w:r w:rsidR="006A5C16" w:rsidRPr="00834267">
        <w:rPr>
          <w:color w:val="000000" w:themeColor="text1"/>
          <w:lang w:val="en-US"/>
        </w:rPr>
        <w:t xml:space="preserve"> through covalent bonding</w:t>
      </w:r>
      <w:r w:rsidRPr="00834267">
        <w:rPr>
          <w:color w:val="000000" w:themeColor="text1"/>
          <w:lang w:val="en-US"/>
        </w:rPr>
        <w:t>. The resulting material imitates the melanin-containing epidermis layer of human tissue, with well-dispersed particles acting as UV absorbent and antioxidant. This brief description of the fabricated materials is included to aid in understanding the following sections, but readers interested in further details should refer to our previous report.</w:t>
      </w:r>
      <w:r w:rsidRPr="00834267">
        <w:rPr>
          <w:color w:val="000000" w:themeColor="text1"/>
          <w:vertAlign w:val="superscript"/>
          <w:lang w:val="en-US"/>
        </w:rPr>
        <w:t>41</w:t>
      </w:r>
    </w:p>
    <w:p w14:paraId="5DC18D95" w14:textId="06D84C86" w:rsidR="00A6721F" w:rsidRPr="00834267" w:rsidRDefault="00A6721F" w:rsidP="00027A18">
      <w:pPr>
        <w:pStyle w:val="RSCB07BHeadingSub-Section-standalone"/>
        <w:rPr>
          <w:color w:val="000000" w:themeColor="text1"/>
          <w:w w:val="108"/>
          <w:lang w:val="en-US"/>
        </w:rPr>
      </w:pPr>
      <w:r w:rsidRPr="00834267">
        <w:rPr>
          <w:color w:val="000000" w:themeColor="text1"/>
          <w:w w:val="108"/>
          <w:lang w:val="en-US"/>
        </w:rPr>
        <w:t>UV-induced changes in structure and mechanical behavior</w:t>
      </w:r>
    </w:p>
    <w:p w14:paraId="656187EF" w14:textId="1A6D0026" w:rsidR="00A6721F" w:rsidRPr="00834267" w:rsidRDefault="00A6721F" w:rsidP="0068412A">
      <w:pPr>
        <w:pStyle w:val="RSCB02ArticleText"/>
        <w:ind w:firstLine="113"/>
        <w:rPr>
          <w:color w:val="000000" w:themeColor="text1"/>
          <w:lang w:val="en-US"/>
        </w:rPr>
      </w:pPr>
      <w:r w:rsidRPr="00834267">
        <w:rPr>
          <w:color w:val="000000" w:themeColor="text1"/>
          <w:lang w:val="en-US"/>
        </w:rPr>
        <w:t>Thermal transitions (e.g., melting/crystallization) are affected by UV irradiation through the decrease in polymer molecular weight (</w:t>
      </w:r>
      <w:r w:rsidRPr="00834267">
        <w:rPr>
          <w:i/>
          <w:iCs/>
          <w:color w:val="000000" w:themeColor="text1"/>
          <w:lang w:val="en-US"/>
        </w:rPr>
        <w:t>M</w:t>
      </w:r>
      <w:r w:rsidRPr="00834267">
        <w:rPr>
          <w:color w:val="000000" w:themeColor="text1"/>
          <w:vertAlign w:val="subscript"/>
          <w:lang w:val="en-US"/>
        </w:rPr>
        <w:t>w</w:t>
      </w:r>
      <w:r w:rsidRPr="00834267">
        <w:rPr>
          <w:color w:val="000000" w:themeColor="text1"/>
          <w:lang w:val="en-US"/>
        </w:rPr>
        <w:t xml:space="preserve">) caused by chain scission, while the amorphous regions undergo </w:t>
      </w:r>
      <w:proofErr w:type="spellStart"/>
      <w:r w:rsidRPr="00834267">
        <w:rPr>
          <w:color w:val="000000" w:themeColor="text1"/>
          <w:lang w:val="en-US"/>
        </w:rPr>
        <w:t>chemi</w:t>
      </w:r>
      <w:proofErr w:type="spellEnd"/>
      <w:r w:rsidRPr="00834267">
        <w:rPr>
          <w:color w:val="000000" w:themeColor="text1"/>
          <w:lang w:val="en-US"/>
        </w:rPr>
        <w:t>-crystallization due to increased mobility after chain scission.</w:t>
      </w:r>
      <w:r w:rsidRPr="00834267">
        <w:rPr>
          <w:color w:val="000000" w:themeColor="text1"/>
          <w:vertAlign w:val="superscript"/>
          <w:lang w:val="en-US"/>
        </w:rPr>
        <w:t>16,17</w:t>
      </w:r>
      <w:r w:rsidRPr="00834267">
        <w:rPr>
          <w:color w:val="000000" w:themeColor="text1"/>
          <w:lang w:val="en-US"/>
        </w:rPr>
        <w:t xml:space="preserve"> </w:t>
      </w:r>
      <w:r w:rsidR="00AD1663" w:rsidRPr="00834267">
        <w:rPr>
          <w:color w:val="000000" w:themeColor="text1"/>
          <w:lang w:val="en-US"/>
        </w:rPr>
        <w:t>Fig.</w:t>
      </w:r>
      <w:r w:rsidRPr="00834267">
        <w:rPr>
          <w:color w:val="000000" w:themeColor="text1"/>
          <w:lang w:val="en-US"/>
        </w:rPr>
        <w:t xml:space="preserve"> 2(a) shows the change in melting temperature </w:t>
      </w:r>
      <w:r w:rsidRPr="00834267">
        <w:rPr>
          <w:i/>
          <w:iCs/>
          <w:color w:val="000000" w:themeColor="text1"/>
          <w:lang w:val="en-US"/>
        </w:rPr>
        <w:t>T</w:t>
      </w:r>
      <w:r w:rsidRPr="00834267">
        <w:rPr>
          <w:color w:val="000000" w:themeColor="text1"/>
          <w:vertAlign w:val="subscript"/>
          <w:lang w:val="en-US"/>
        </w:rPr>
        <w:t>m</w:t>
      </w:r>
      <w:r w:rsidRPr="00834267">
        <w:rPr>
          <w:color w:val="000000" w:themeColor="text1"/>
          <w:lang w:val="en-US"/>
        </w:rPr>
        <w:t xml:space="preserve"> through the thickness at different irradiation </w:t>
      </w:r>
      <w:r w:rsidRPr="00834267">
        <w:rPr>
          <w:color w:val="000000" w:themeColor="text1"/>
          <w:lang w:val="en-US"/>
        </w:rPr>
        <w:lastRenderedPageBreak/>
        <w:t xml:space="preserve">energies for each blend. While neat PP shows </w:t>
      </w:r>
      <w:proofErr w:type="gramStart"/>
      <w:r w:rsidRPr="00834267">
        <w:rPr>
          <w:color w:val="000000" w:themeColor="text1"/>
          <w:lang w:val="en-US"/>
        </w:rPr>
        <w:t xml:space="preserve">extensive </w:t>
      </w:r>
      <w:r w:rsidR="009A429A" w:rsidRPr="00834267">
        <w:rPr>
          <w:color w:val="000000" w:themeColor="text1"/>
          <w:lang w:val="en-US"/>
        </w:rPr>
        <w:t xml:space="preserve"> </w:t>
      </w:r>
      <w:r w:rsidRPr="00834267">
        <w:rPr>
          <w:color w:val="000000" w:themeColor="text1"/>
          <w:lang w:val="en-US"/>
        </w:rPr>
        <w:t>reduction</w:t>
      </w:r>
      <w:proofErr w:type="gramEnd"/>
      <w:r w:rsidRPr="00834267">
        <w:rPr>
          <w:color w:val="000000" w:themeColor="text1"/>
          <w:lang w:val="en-US"/>
        </w:rPr>
        <w:t xml:space="preserve"> in </w:t>
      </w:r>
      <w:r w:rsidRPr="00834267">
        <w:rPr>
          <w:i/>
          <w:iCs/>
          <w:color w:val="000000" w:themeColor="text1"/>
          <w:lang w:val="en-US"/>
        </w:rPr>
        <w:t>M</w:t>
      </w:r>
      <w:r w:rsidRPr="00834267">
        <w:rPr>
          <w:color w:val="000000" w:themeColor="text1"/>
          <w:vertAlign w:val="subscript"/>
          <w:lang w:val="en-US"/>
        </w:rPr>
        <w:t>w</w:t>
      </w:r>
      <w:r w:rsidRPr="00834267">
        <w:rPr>
          <w:color w:val="000000" w:themeColor="text1"/>
          <w:lang w:val="en-US"/>
        </w:rPr>
        <w:t xml:space="preserve"> near the surface at lower energies, prolonged radiation leads to drastic reduction through the entire thickness.</w:t>
      </w:r>
      <w:r w:rsidRPr="00834267">
        <w:rPr>
          <w:color w:val="000000" w:themeColor="text1"/>
          <w:vertAlign w:val="superscript"/>
          <w:lang w:val="en-US"/>
        </w:rPr>
        <w:t>18</w:t>
      </w:r>
      <w:r w:rsidRPr="00834267">
        <w:rPr>
          <w:color w:val="000000" w:themeColor="text1"/>
          <w:lang w:val="en-US"/>
        </w:rPr>
        <w:t xml:space="preserve"> In contrast, GL suppresses the degradation process such that the </w:t>
      </w:r>
      <w:r w:rsidRPr="00834267">
        <w:rPr>
          <w:i/>
          <w:iCs/>
          <w:color w:val="000000" w:themeColor="text1"/>
          <w:lang w:val="en-US"/>
        </w:rPr>
        <w:t>M</w:t>
      </w:r>
      <w:r w:rsidRPr="00834267">
        <w:rPr>
          <w:color w:val="000000" w:themeColor="text1"/>
          <w:vertAlign w:val="subscript"/>
          <w:lang w:val="en-US"/>
        </w:rPr>
        <w:t>w</w:t>
      </w:r>
      <w:r w:rsidRPr="00834267">
        <w:rPr>
          <w:color w:val="000000" w:themeColor="text1"/>
          <w:lang w:val="en-US"/>
        </w:rPr>
        <w:t xml:space="preserve"> reduction is contained within the surface layer. The effect is more pronounced at higher loadings, with a degradation layer of only </w:t>
      </w:r>
      <w:r w:rsidR="002D06D8" w:rsidRPr="00834267">
        <w:rPr>
          <w:color w:val="000000" w:themeColor="text1"/>
          <w:lang w:val="en-US"/>
        </w:rPr>
        <w:sym w:font="Symbol" w:char="F07E"/>
      </w:r>
      <w:r w:rsidRPr="00834267">
        <w:rPr>
          <w:color w:val="000000" w:themeColor="text1"/>
          <w:lang w:val="en-US"/>
        </w:rPr>
        <w:t xml:space="preserve">100 </w:t>
      </w:r>
      <w:r w:rsidRPr="00834267">
        <w:rPr>
          <w:color w:val="000000" w:themeColor="text1"/>
          <w:lang w:val="en-US"/>
        </w:rPr>
        <w:sym w:font="Symbol" w:char="F06D"/>
      </w:r>
      <w:r w:rsidRPr="00834267">
        <w:rPr>
          <w:color w:val="000000" w:themeColor="text1"/>
          <w:lang w:val="en-US"/>
        </w:rPr>
        <w:t>m for 3</w:t>
      </w:r>
      <w:r w:rsidR="00AD1663" w:rsidRPr="00834267">
        <w:rPr>
          <w:color w:val="000000" w:themeColor="text1"/>
          <w:lang w:val="en-US"/>
        </w:rPr>
        <w:t>0</w:t>
      </w:r>
      <w:r w:rsidR="00A05992" w:rsidRPr="00834267">
        <w:rPr>
          <w:color w:val="000000" w:themeColor="text1"/>
          <w:lang w:val="en-US"/>
        </w:rPr>
        <w:t>wt%</w:t>
      </w:r>
      <w:r w:rsidRPr="00834267">
        <w:rPr>
          <w:color w:val="000000" w:themeColor="text1"/>
          <w:lang w:val="en-US"/>
        </w:rPr>
        <w:t xml:space="preserve"> GL even after 1000 MJ/m</w:t>
      </w:r>
      <w:r w:rsidRPr="00834267">
        <w:rPr>
          <w:color w:val="000000" w:themeColor="text1"/>
          <w:vertAlign w:val="superscript"/>
          <w:lang w:val="en-US"/>
        </w:rPr>
        <w:t>2</w:t>
      </w:r>
      <w:r w:rsidRPr="00834267">
        <w:rPr>
          <w:color w:val="000000" w:themeColor="text1"/>
          <w:lang w:val="en-US"/>
        </w:rPr>
        <w:t xml:space="preserve"> of irradiation (equivalent to </w:t>
      </w:r>
      <w:r w:rsidR="002D06D8" w:rsidRPr="00834267">
        <w:rPr>
          <w:color w:val="000000" w:themeColor="text1"/>
          <w:lang w:val="en-US"/>
        </w:rPr>
        <w:sym w:font="Symbol" w:char="F07E"/>
      </w:r>
      <w:r w:rsidRPr="00834267">
        <w:rPr>
          <w:color w:val="000000" w:themeColor="text1"/>
          <w:lang w:val="en-US"/>
        </w:rPr>
        <w:t xml:space="preserve">3 years of natural sunlight). </w:t>
      </w:r>
      <w:r w:rsidRPr="00834267">
        <w:rPr>
          <w:i/>
          <w:iCs/>
          <w:color w:val="000000" w:themeColor="text1"/>
          <w:lang w:val="en-US"/>
        </w:rPr>
        <w:t>T</w:t>
      </w:r>
      <w:r w:rsidRPr="00834267">
        <w:rPr>
          <w:color w:val="000000" w:themeColor="text1"/>
          <w:vertAlign w:val="subscript"/>
          <w:lang w:val="en-US"/>
        </w:rPr>
        <w:t>c</w:t>
      </w:r>
      <w:r w:rsidRPr="00834267">
        <w:rPr>
          <w:color w:val="000000" w:themeColor="text1"/>
          <w:lang w:val="en-US"/>
        </w:rPr>
        <w:t xml:space="preserve"> of the neat PP steadily decreases in the same manner as </w:t>
      </w:r>
      <w:r w:rsidRPr="00834267">
        <w:rPr>
          <w:i/>
          <w:iCs/>
          <w:color w:val="000000" w:themeColor="text1"/>
          <w:lang w:val="en-US"/>
        </w:rPr>
        <w:t>T</w:t>
      </w:r>
      <w:r w:rsidRPr="00834267">
        <w:rPr>
          <w:color w:val="000000" w:themeColor="text1"/>
          <w:vertAlign w:val="subscript"/>
          <w:lang w:val="en-US"/>
        </w:rPr>
        <w:t>m</w:t>
      </w:r>
      <w:r w:rsidRPr="00834267">
        <w:rPr>
          <w:color w:val="000000" w:themeColor="text1"/>
          <w:lang w:val="en-US"/>
        </w:rPr>
        <w:t>, which is attributed to the significant degree of chain scission and carbonyl formation (</w:t>
      </w:r>
      <w:r w:rsidR="00AD1663" w:rsidRPr="00834267">
        <w:rPr>
          <w:color w:val="000000" w:themeColor="text1"/>
          <w:lang w:val="en-US"/>
        </w:rPr>
        <w:t>Fig.</w:t>
      </w:r>
      <w:r w:rsidR="006134E7" w:rsidRPr="00834267">
        <w:rPr>
          <w:color w:val="000000" w:themeColor="text1"/>
          <w:lang w:val="en-US"/>
        </w:rPr>
        <w:t xml:space="preserve"> S</w:t>
      </w:r>
      <w:r w:rsidR="00D97BD4" w:rsidRPr="00834267">
        <w:rPr>
          <w:color w:val="000000" w:themeColor="text1"/>
          <w:lang w:val="en-US"/>
        </w:rPr>
        <w:t>4</w:t>
      </w:r>
      <w:r w:rsidRPr="00834267">
        <w:rPr>
          <w:color w:val="000000" w:themeColor="text1"/>
          <w:lang w:val="en-US"/>
        </w:rPr>
        <w:t xml:space="preserve">). However, while changes in </w:t>
      </w:r>
      <w:r w:rsidRPr="00834267">
        <w:rPr>
          <w:i/>
          <w:iCs/>
          <w:color w:val="000000" w:themeColor="text1"/>
          <w:lang w:val="en-US"/>
        </w:rPr>
        <w:t>T</w:t>
      </w:r>
      <w:r w:rsidRPr="00834267">
        <w:rPr>
          <w:color w:val="000000" w:themeColor="text1"/>
          <w:vertAlign w:val="subscript"/>
          <w:lang w:val="en-US"/>
        </w:rPr>
        <w:t>m</w:t>
      </w:r>
      <w:r w:rsidRPr="00834267">
        <w:rPr>
          <w:color w:val="000000" w:themeColor="text1"/>
          <w:lang w:val="en-US"/>
        </w:rPr>
        <w:t xml:space="preserve"> are directly related to </w:t>
      </w:r>
      <w:r w:rsidRPr="00834267">
        <w:rPr>
          <w:i/>
          <w:iCs/>
          <w:color w:val="000000" w:themeColor="text1"/>
          <w:lang w:val="en-US"/>
        </w:rPr>
        <w:t>M</w:t>
      </w:r>
      <w:r w:rsidRPr="00834267">
        <w:rPr>
          <w:color w:val="000000" w:themeColor="text1"/>
          <w:vertAlign w:val="subscript"/>
          <w:lang w:val="en-US"/>
        </w:rPr>
        <w:t>w</w:t>
      </w:r>
      <w:r w:rsidRPr="00834267">
        <w:rPr>
          <w:color w:val="000000" w:themeColor="text1"/>
          <w:lang w:val="en-US"/>
        </w:rPr>
        <w:t xml:space="preserve">, changes in crystallization temperature </w:t>
      </w:r>
      <w:r w:rsidRPr="00834267">
        <w:rPr>
          <w:i/>
          <w:iCs/>
          <w:color w:val="000000" w:themeColor="text1"/>
          <w:lang w:val="en-US"/>
        </w:rPr>
        <w:t>T</w:t>
      </w:r>
      <w:r w:rsidRPr="00834267">
        <w:rPr>
          <w:color w:val="000000" w:themeColor="text1"/>
          <w:vertAlign w:val="subscript"/>
          <w:lang w:val="en-US"/>
        </w:rPr>
        <w:t>c</w:t>
      </w:r>
      <w:r w:rsidRPr="00834267">
        <w:rPr>
          <w:color w:val="000000" w:themeColor="text1"/>
          <w:lang w:val="en-US"/>
        </w:rPr>
        <w:t xml:space="preserve"> may be influenced by various factors such as cooling rate, nucleation agents and interfaces.</w:t>
      </w:r>
      <w:r w:rsidRPr="00834267">
        <w:rPr>
          <w:color w:val="000000" w:themeColor="text1"/>
          <w:vertAlign w:val="superscript"/>
          <w:lang w:val="en-US"/>
        </w:rPr>
        <w:t>7</w:t>
      </w:r>
      <w:r w:rsidRPr="00834267">
        <w:rPr>
          <w:color w:val="000000" w:themeColor="text1"/>
          <w:lang w:val="en-US"/>
        </w:rPr>
        <w:t xml:space="preserve"> The presence of GL retards the crystallization process in unexposed specimens, while it appears to facilitate crystallization upon irradiation. Heterogeneous microdomains can act as nucleation sites in PP,</w:t>
      </w:r>
      <w:r w:rsidRPr="00834267">
        <w:rPr>
          <w:color w:val="000000" w:themeColor="text1"/>
          <w:vertAlign w:val="superscript"/>
          <w:lang w:val="en-US"/>
        </w:rPr>
        <w:t>45</w:t>
      </w:r>
      <w:r w:rsidRPr="00834267">
        <w:rPr>
          <w:color w:val="000000" w:themeColor="text1"/>
          <w:lang w:val="en-US"/>
        </w:rPr>
        <w:t xml:space="preserve"> but the influence of UV irradiation on this process in lignin compounds remains unclear based on our current data and thus requires further study. Meanwhile, the crystallinity </w:t>
      </w:r>
      <w:r w:rsidRPr="00834267">
        <w:rPr>
          <w:color w:val="000000" w:themeColor="text1"/>
          <w:lang w:val="en-US"/>
        </w:rPr>
        <w:sym w:font="Symbol" w:char="F063"/>
      </w:r>
      <w:r w:rsidRPr="00834267">
        <w:rPr>
          <w:color w:val="000000" w:themeColor="text1"/>
          <w:vertAlign w:val="subscript"/>
          <w:lang w:val="en-US"/>
        </w:rPr>
        <w:t>c</w:t>
      </w:r>
      <w:r w:rsidRPr="00834267">
        <w:rPr>
          <w:color w:val="000000" w:themeColor="text1"/>
          <w:lang w:val="en-US"/>
        </w:rPr>
        <w:t xml:space="preserve"> (i.e., crystalline fraction) of the PP matrix exhibits changes attributed with </w:t>
      </w:r>
      <w:proofErr w:type="spellStart"/>
      <w:r w:rsidRPr="00834267">
        <w:rPr>
          <w:color w:val="000000" w:themeColor="text1"/>
          <w:lang w:val="en-US"/>
        </w:rPr>
        <w:t>chemi</w:t>
      </w:r>
      <w:proofErr w:type="spellEnd"/>
      <w:r w:rsidRPr="00834267">
        <w:rPr>
          <w:color w:val="000000" w:themeColor="text1"/>
          <w:lang w:val="en-US"/>
        </w:rPr>
        <w:t>-crystallization starting at the outer surface and progressing inward as irradiation energy increases (</w:t>
      </w:r>
      <w:r w:rsidR="00AD1663" w:rsidRPr="00834267">
        <w:rPr>
          <w:color w:val="000000" w:themeColor="text1"/>
          <w:lang w:val="en-US"/>
        </w:rPr>
        <w:t>Fig.</w:t>
      </w:r>
      <w:r w:rsidR="00497117" w:rsidRPr="00834267">
        <w:rPr>
          <w:color w:val="000000" w:themeColor="text1"/>
          <w:lang w:val="en-US"/>
        </w:rPr>
        <w:t xml:space="preserve"> 2(a))</w:t>
      </w:r>
      <w:r w:rsidRPr="00834267">
        <w:rPr>
          <w:color w:val="000000" w:themeColor="text1"/>
          <w:lang w:val="en-US"/>
        </w:rPr>
        <w:t xml:space="preserve">. Severe degradation of the chemical structure in the surface layer at longer exposure times leads to an apparent decrease in </w:t>
      </w:r>
      <w:r w:rsidRPr="00834267">
        <w:rPr>
          <w:color w:val="000000" w:themeColor="text1"/>
          <w:lang w:val="en-US"/>
        </w:rPr>
        <w:sym w:font="Symbol" w:char="F063"/>
      </w:r>
      <w:r w:rsidRPr="00834267">
        <w:rPr>
          <w:color w:val="000000" w:themeColor="text1"/>
          <w:vertAlign w:val="subscript"/>
          <w:lang w:val="en-US"/>
        </w:rPr>
        <w:t>c</w:t>
      </w:r>
      <w:r w:rsidRPr="00834267">
        <w:rPr>
          <w:color w:val="000000" w:themeColor="text1"/>
          <w:lang w:val="en-US"/>
        </w:rPr>
        <w:t xml:space="preserve"> due to the </w:t>
      </w:r>
      <w:proofErr w:type="gramStart"/>
      <w:r w:rsidRPr="00834267">
        <w:rPr>
          <w:color w:val="000000" w:themeColor="text1"/>
          <w:lang w:val="en-US"/>
        </w:rPr>
        <w:t xml:space="preserve">drastically </w:t>
      </w:r>
      <w:r w:rsidR="009A429A" w:rsidRPr="00834267">
        <w:rPr>
          <w:noProof/>
          <w:color w:val="000000" w:themeColor="text1"/>
          <w:w w:val="100"/>
          <w:lang w:val="en-US"/>
        </w:rPr>
        <w:t xml:space="preserve"> </w:t>
      </w:r>
      <w:r w:rsidRPr="00834267">
        <w:rPr>
          <w:color w:val="000000" w:themeColor="text1"/>
          <w:lang w:val="en-US"/>
        </w:rPr>
        <w:t>reduced</w:t>
      </w:r>
      <w:proofErr w:type="gramEnd"/>
      <w:r w:rsidRPr="00834267">
        <w:rPr>
          <w:color w:val="000000" w:themeColor="text1"/>
          <w:lang w:val="en-US"/>
        </w:rPr>
        <w:t xml:space="preserve"> </w:t>
      </w:r>
      <w:r w:rsidRPr="00834267">
        <w:rPr>
          <w:i/>
          <w:iCs/>
          <w:color w:val="000000" w:themeColor="text1"/>
          <w:lang w:val="en-US"/>
        </w:rPr>
        <w:t>M</w:t>
      </w:r>
      <w:r w:rsidRPr="00834267">
        <w:rPr>
          <w:color w:val="000000" w:themeColor="text1"/>
          <w:vertAlign w:val="subscript"/>
          <w:lang w:val="en-US"/>
        </w:rPr>
        <w:t>w</w:t>
      </w:r>
      <w:r w:rsidRPr="00834267">
        <w:rPr>
          <w:color w:val="000000" w:themeColor="text1"/>
          <w:lang w:val="en-US"/>
        </w:rPr>
        <w:t xml:space="preserve"> and abundant carbonyl groups. This evolution is suppressed in GL blends because the </w:t>
      </w:r>
      <w:proofErr w:type="spellStart"/>
      <w:r w:rsidRPr="00834267">
        <w:rPr>
          <w:color w:val="000000" w:themeColor="text1"/>
          <w:lang w:val="en-US"/>
        </w:rPr>
        <w:t>chemi</w:t>
      </w:r>
      <w:proofErr w:type="spellEnd"/>
      <w:r w:rsidRPr="00834267">
        <w:rPr>
          <w:color w:val="000000" w:themeColor="text1"/>
          <w:lang w:val="en-US"/>
        </w:rPr>
        <w:t xml:space="preserve">-crystallization phenomenon becomes increasingly more limited to the surface layer as GL content increases, with no significant changes in </w:t>
      </w:r>
      <w:r w:rsidRPr="00834267">
        <w:rPr>
          <w:color w:val="000000" w:themeColor="text1"/>
          <w:lang w:val="en-US"/>
        </w:rPr>
        <w:sym w:font="Symbol" w:char="F063"/>
      </w:r>
      <w:r w:rsidRPr="00834267">
        <w:rPr>
          <w:color w:val="000000" w:themeColor="text1"/>
          <w:vertAlign w:val="subscript"/>
          <w:lang w:val="en-US"/>
        </w:rPr>
        <w:t>c</w:t>
      </w:r>
      <w:r w:rsidRPr="00834267">
        <w:rPr>
          <w:color w:val="000000" w:themeColor="text1"/>
          <w:lang w:val="en-US"/>
        </w:rPr>
        <w:t xml:space="preserve"> at depths greater than </w:t>
      </w:r>
      <w:r w:rsidR="002D06D8" w:rsidRPr="00834267">
        <w:rPr>
          <w:color w:val="000000" w:themeColor="text1"/>
          <w:lang w:val="en-US"/>
        </w:rPr>
        <w:sym w:font="Symbol" w:char="F07E"/>
      </w:r>
      <w:r w:rsidRPr="00834267">
        <w:rPr>
          <w:color w:val="000000" w:themeColor="text1"/>
          <w:lang w:val="en-US"/>
        </w:rPr>
        <w:t xml:space="preserve">250 </w:t>
      </w:r>
      <w:r w:rsidRPr="00834267">
        <w:rPr>
          <w:color w:val="000000" w:themeColor="text1"/>
          <w:lang w:val="en-US"/>
        </w:rPr>
        <w:sym w:font="Symbol" w:char="F06D"/>
      </w:r>
      <w:r w:rsidRPr="00834267">
        <w:rPr>
          <w:color w:val="000000" w:themeColor="text1"/>
          <w:lang w:val="en-US"/>
        </w:rPr>
        <w:t>m.</w:t>
      </w:r>
    </w:p>
    <w:p w14:paraId="69A8D0DC" w14:textId="76093AA1" w:rsidR="00A6721F" w:rsidRPr="00834267" w:rsidRDefault="00AD1663" w:rsidP="0068412A">
      <w:pPr>
        <w:pStyle w:val="RSCB02ArticleText"/>
        <w:ind w:firstLine="113"/>
        <w:rPr>
          <w:color w:val="000000" w:themeColor="text1"/>
          <w:lang w:val="en-US"/>
        </w:rPr>
      </w:pPr>
      <w:r w:rsidRPr="00834267">
        <w:rPr>
          <w:color w:val="000000" w:themeColor="text1"/>
          <w:lang w:val="en-US"/>
        </w:rPr>
        <w:t>Fig.</w:t>
      </w:r>
      <w:r w:rsidR="00A6721F" w:rsidRPr="00834267">
        <w:rPr>
          <w:color w:val="000000" w:themeColor="text1"/>
          <w:lang w:val="en-US"/>
        </w:rPr>
        <w:t xml:space="preserve"> </w:t>
      </w:r>
      <w:r w:rsidR="00A47CB4" w:rsidRPr="00834267">
        <w:rPr>
          <w:color w:val="000000" w:themeColor="text1"/>
          <w:lang w:val="en-US"/>
        </w:rPr>
        <w:t>2</w:t>
      </w:r>
      <w:r w:rsidR="00A6721F" w:rsidRPr="00834267">
        <w:rPr>
          <w:color w:val="000000" w:themeColor="text1"/>
          <w:lang w:val="en-US"/>
        </w:rPr>
        <w:t>(</w:t>
      </w:r>
      <w:proofErr w:type="spellStart"/>
      <w:proofErr w:type="gramStart"/>
      <w:r w:rsidR="00A145C8" w:rsidRPr="00834267">
        <w:rPr>
          <w:color w:val="000000" w:themeColor="text1"/>
          <w:lang w:val="en-US"/>
        </w:rPr>
        <w:t>b</w:t>
      </w:r>
      <w:r w:rsidR="00A6721F" w:rsidRPr="00834267">
        <w:rPr>
          <w:color w:val="000000" w:themeColor="text1"/>
          <w:lang w:val="en-US"/>
        </w:rPr>
        <w:t>,</w:t>
      </w:r>
      <w:r w:rsidR="00A145C8" w:rsidRPr="00834267">
        <w:rPr>
          <w:color w:val="000000" w:themeColor="text1"/>
          <w:lang w:val="en-US"/>
        </w:rPr>
        <w:t>c</w:t>
      </w:r>
      <w:proofErr w:type="spellEnd"/>
      <w:proofErr w:type="gramEnd"/>
      <w:r w:rsidR="00A6721F" w:rsidRPr="00834267">
        <w:rPr>
          <w:color w:val="000000" w:themeColor="text1"/>
          <w:lang w:val="en-US"/>
        </w:rPr>
        <w:t>) show the through-thickness FTIR spectra for neat PP and GL-20wt% exposed to 1000 MJ/m</w:t>
      </w:r>
      <w:r w:rsidR="00A6721F" w:rsidRPr="00834267">
        <w:rPr>
          <w:color w:val="000000" w:themeColor="text1"/>
          <w:vertAlign w:val="superscript"/>
          <w:lang w:val="en-US"/>
        </w:rPr>
        <w:t>2</w:t>
      </w:r>
      <w:r w:rsidR="00A6721F" w:rsidRPr="00834267">
        <w:rPr>
          <w:color w:val="000000" w:themeColor="text1"/>
          <w:lang w:val="en-US"/>
        </w:rPr>
        <w:t xml:space="preserve"> of irradiation, with carbonyl peaks</w:t>
      </w:r>
      <w:r w:rsidR="00AA1369" w:rsidRPr="00834267">
        <w:rPr>
          <w:color w:val="000000" w:themeColor="text1"/>
          <w:lang w:val="en-US"/>
        </w:rPr>
        <w:t xml:space="preserve"> </w:t>
      </w:r>
      <w:r w:rsidR="002556B8" w:rsidRPr="00834267">
        <w:rPr>
          <w:color w:val="000000" w:themeColor="text1"/>
          <w:lang w:val="en-US"/>
        </w:rPr>
        <w:t>(</w:t>
      </w:r>
      <w:r w:rsidR="00A6721F" w:rsidRPr="00834267">
        <w:rPr>
          <w:color w:val="000000" w:themeColor="text1"/>
          <w:lang w:val="en-US"/>
        </w:rPr>
        <w:t>between 1710-1750 cm</w:t>
      </w:r>
      <w:r w:rsidR="00A6721F" w:rsidRPr="00834267">
        <w:rPr>
          <w:color w:val="000000" w:themeColor="text1"/>
          <w:vertAlign w:val="superscript"/>
          <w:lang w:val="en-US"/>
        </w:rPr>
        <w:t>-1</w:t>
      </w:r>
      <w:r w:rsidR="002556B8" w:rsidRPr="00834267">
        <w:rPr>
          <w:color w:val="000000" w:themeColor="text1"/>
          <w:lang w:val="en-US"/>
        </w:rPr>
        <w:t xml:space="preserve">) </w:t>
      </w:r>
      <w:r w:rsidR="00A6721F" w:rsidRPr="00834267">
        <w:rPr>
          <w:color w:val="000000" w:themeColor="text1"/>
          <w:lang w:val="en-US"/>
        </w:rPr>
        <w:t>grow</w:t>
      </w:r>
      <w:r w:rsidR="002556B8" w:rsidRPr="00834267">
        <w:rPr>
          <w:color w:val="000000" w:themeColor="text1"/>
          <w:lang w:val="en-US"/>
        </w:rPr>
        <w:t>ing</w:t>
      </w:r>
      <w:r w:rsidR="00A6721F" w:rsidRPr="00834267">
        <w:rPr>
          <w:color w:val="000000" w:themeColor="text1"/>
          <w:lang w:val="en-US"/>
        </w:rPr>
        <w:t xml:space="preserve"> larger </w:t>
      </w:r>
      <w:r w:rsidR="002556B8" w:rsidRPr="00834267">
        <w:rPr>
          <w:color w:val="000000" w:themeColor="text1"/>
          <w:lang w:val="en-US"/>
        </w:rPr>
        <w:t>near</w:t>
      </w:r>
      <w:r w:rsidR="00A6721F" w:rsidRPr="00834267">
        <w:rPr>
          <w:color w:val="000000" w:themeColor="text1"/>
          <w:lang w:val="en-US"/>
        </w:rPr>
        <w:t xml:space="preserve"> the surface. The formation of these carbonyl groups represents the early stage of chain scission and can be quantified by the carbonyl index (CI), shown in </w:t>
      </w:r>
      <w:r w:rsidRPr="00834267">
        <w:rPr>
          <w:color w:val="000000" w:themeColor="text1"/>
          <w:lang w:val="en-US"/>
        </w:rPr>
        <w:t>Fig.</w:t>
      </w:r>
      <w:r w:rsidR="00A6721F" w:rsidRPr="00834267">
        <w:rPr>
          <w:color w:val="000000" w:themeColor="text1"/>
          <w:lang w:val="en-US"/>
        </w:rPr>
        <w:t xml:space="preserve"> 2(</w:t>
      </w:r>
      <w:r w:rsidR="00A10138" w:rsidRPr="00834267">
        <w:rPr>
          <w:color w:val="000000" w:themeColor="text1"/>
          <w:lang w:val="en-US"/>
        </w:rPr>
        <w:t>d</w:t>
      </w:r>
      <w:r w:rsidR="00A6721F" w:rsidRPr="00834267">
        <w:rPr>
          <w:color w:val="000000" w:themeColor="text1"/>
          <w:lang w:val="en-US"/>
        </w:rPr>
        <w:t>). Although the validity of the CI as a quantitative measure of chemical degradation is under debate,</w:t>
      </w:r>
      <w:r w:rsidR="00A6721F" w:rsidRPr="00834267">
        <w:rPr>
          <w:color w:val="000000" w:themeColor="text1"/>
          <w:vertAlign w:val="superscript"/>
          <w:lang w:val="en-US"/>
        </w:rPr>
        <w:t>4,15,16</w:t>
      </w:r>
      <w:r w:rsidR="00A6721F" w:rsidRPr="00834267">
        <w:rPr>
          <w:color w:val="000000" w:themeColor="text1"/>
          <w:lang w:val="en-US"/>
        </w:rPr>
        <w:t xml:space="preserve"> it does serve to identity the difference in photooxidation behavior between materials under the same conditions. Not only is the CI significantly lower throughout the bulk of the GL compound compared to neat PP, but the depth at which carbonyl groups are no longer detected is also smaller, meaning that the GL restricts photooxidation to the surface region. This is consistent with the </w:t>
      </w:r>
      <w:r w:rsidR="00A6721F" w:rsidRPr="00834267">
        <w:rPr>
          <w:i/>
          <w:iCs/>
          <w:color w:val="000000" w:themeColor="text1"/>
          <w:lang w:val="en-US"/>
        </w:rPr>
        <w:t>T</w:t>
      </w:r>
      <w:r w:rsidR="00A6721F" w:rsidRPr="00834267">
        <w:rPr>
          <w:color w:val="000000" w:themeColor="text1"/>
          <w:vertAlign w:val="subscript"/>
          <w:lang w:val="en-US"/>
        </w:rPr>
        <w:t>m</w:t>
      </w:r>
      <w:r w:rsidR="00A6721F" w:rsidRPr="00834267">
        <w:rPr>
          <w:color w:val="000000" w:themeColor="text1"/>
          <w:lang w:val="en-US"/>
        </w:rPr>
        <w:t xml:space="preserve"> profiles in </w:t>
      </w:r>
      <w:r w:rsidRPr="00834267">
        <w:rPr>
          <w:color w:val="000000" w:themeColor="text1"/>
          <w:lang w:val="en-US"/>
        </w:rPr>
        <w:t>Fig.</w:t>
      </w:r>
      <w:r w:rsidR="00A6721F" w:rsidRPr="00834267">
        <w:rPr>
          <w:color w:val="000000" w:themeColor="text1"/>
          <w:lang w:val="en-US"/>
        </w:rPr>
        <w:t xml:space="preserve"> 2(a), which show a transition depth of around </w:t>
      </w:r>
      <w:r w:rsidR="002D06D8" w:rsidRPr="00834267">
        <w:rPr>
          <w:color w:val="000000" w:themeColor="text1"/>
          <w:lang w:val="en-US"/>
        </w:rPr>
        <w:sym w:font="Symbol" w:char="F07E"/>
      </w:r>
      <w:r w:rsidR="00A6721F" w:rsidRPr="00834267">
        <w:rPr>
          <w:color w:val="000000" w:themeColor="text1"/>
          <w:lang w:val="en-US"/>
        </w:rPr>
        <w:t xml:space="preserve">150 </w:t>
      </w:r>
      <w:r w:rsidR="00A6721F" w:rsidRPr="00834267">
        <w:rPr>
          <w:color w:val="000000" w:themeColor="text1"/>
          <w:lang w:val="en-US"/>
        </w:rPr>
        <w:sym w:font="Symbol" w:char="F06D"/>
      </w:r>
      <w:r w:rsidR="00A6721F" w:rsidRPr="00834267">
        <w:rPr>
          <w:color w:val="000000" w:themeColor="text1"/>
          <w:lang w:val="en-US"/>
        </w:rPr>
        <w:t>m (</w:t>
      </w:r>
      <w:r w:rsidR="00A6721F" w:rsidRPr="00834267">
        <w:rPr>
          <w:i/>
          <w:iCs/>
          <w:color w:val="000000" w:themeColor="text1"/>
          <w:lang w:val="en-US"/>
        </w:rPr>
        <w:t>T</w:t>
      </w:r>
      <w:r w:rsidR="00A6721F" w:rsidRPr="00834267">
        <w:rPr>
          <w:color w:val="000000" w:themeColor="text1"/>
          <w:vertAlign w:val="subscript"/>
          <w:lang w:val="en-US"/>
        </w:rPr>
        <w:t>m</w:t>
      </w:r>
      <w:r w:rsidR="00A6721F" w:rsidRPr="00834267">
        <w:rPr>
          <w:color w:val="000000" w:themeColor="text1"/>
          <w:lang w:val="en-US"/>
        </w:rPr>
        <w:t xml:space="preserve">) vs </w:t>
      </w:r>
      <w:r w:rsidR="002D06D8" w:rsidRPr="00834267">
        <w:rPr>
          <w:color w:val="000000" w:themeColor="text1"/>
          <w:lang w:val="en-US"/>
        </w:rPr>
        <w:sym w:font="Symbol" w:char="F07E"/>
      </w:r>
      <w:r w:rsidR="00A6721F" w:rsidRPr="00834267">
        <w:rPr>
          <w:color w:val="000000" w:themeColor="text1"/>
          <w:lang w:val="en-US"/>
        </w:rPr>
        <w:t xml:space="preserve">250 </w:t>
      </w:r>
      <w:r w:rsidR="00A6721F" w:rsidRPr="00834267">
        <w:rPr>
          <w:color w:val="000000" w:themeColor="text1"/>
          <w:lang w:val="en-US"/>
        </w:rPr>
        <w:sym w:font="Symbol" w:char="F06D"/>
      </w:r>
      <w:r w:rsidR="00A6721F" w:rsidRPr="00834267">
        <w:rPr>
          <w:color w:val="000000" w:themeColor="text1"/>
          <w:lang w:val="en-US"/>
        </w:rPr>
        <w:t xml:space="preserve">m (CI) for GL-20wt%, and &gt;1000 </w:t>
      </w:r>
      <w:r w:rsidR="00A6721F" w:rsidRPr="00834267">
        <w:rPr>
          <w:color w:val="000000" w:themeColor="text1"/>
          <w:lang w:val="en-US"/>
        </w:rPr>
        <w:sym w:font="Symbol" w:char="F06D"/>
      </w:r>
      <w:r w:rsidR="00A6721F" w:rsidRPr="00834267">
        <w:rPr>
          <w:color w:val="000000" w:themeColor="text1"/>
          <w:lang w:val="en-US"/>
        </w:rPr>
        <w:t>m (</w:t>
      </w:r>
      <w:r w:rsidR="00A6721F" w:rsidRPr="00834267">
        <w:rPr>
          <w:i/>
          <w:iCs/>
          <w:color w:val="000000" w:themeColor="text1"/>
          <w:lang w:val="en-US"/>
        </w:rPr>
        <w:t>T</w:t>
      </w:r>
      <w:r w:rsidR="00A6721F" w:rsidRPr="00834267">
        <w:rPr>
          <w:color w:val="000000" w:themeColor="text1"/>
          <w:vertAlign w:val="subscript"/>
          <w:lang w:val="en-US"/>
        </w:rPr>
        <w:t>m</w:t>
      </w:r>
      <w:r w:rsidR="00A6721F" w:rsidRPr="00834267">
        <w:rPr>
          <w:color w:val="000000" w:themeColor="text1"/>
          <w:lang w:val="en-US"/>
        </w:rPr>
        <w:t xml:space="preserve">) vs &gt;1000 </w:t>
      </w:r>
      <w:r w:rsidR="00A6721F" w:rsidRPr="00834267">
        <w:rPr>
          <w:color w:val="000000" w:themeColor="text1"/>
          <w:lang w:val="en-US"/>
        </w:rPr>
        <w:sym w:font="Symbol" w:char="F06D"/>
      </w:r>
      <w:r w:rsidR="00A6721F" w:rsidRPr="00834267">
        <w:rPr>
          <w:color w:val="000000" w:themeColor="text1"/>
          <w:lang w:val="en-US"/>
        </w:rPr>
        <w:t xml:space="preserve">m (CI) for neat PP. Note that lignin may also have barrier properties that would limit oxygen diffusion into the polymer, but these effects are ignored in the current analysis while keeping irradiation conditions equal for all materials. Since the carbonyl formation stage of photooxidation precedes chain scission, it is reasonable that the transition depth for CI is greater than </w:t>
      </w:r>
      <w:r w:rsidR="00A6721F" w:rsidRPr="00834267">
        <w:rPr>
          <w:i/>
          <w:iCs/>
          <w:color w:val="000000" w:themeColor="text1"/>
          <w:lang w:val="en-US"/>
        </w:rPr>
        <w:t>T</w:t>
      </w:r>
      <w:r w:rsidR="00A6721F" w:rsidRPr="00834267">
        <w:rPr>
          <w:color w:val="000000" w:themeColor="text1"/>
          <w:vertAlign w:val="subscript"/>
          <w:lang w:val="en-US"/>
        </w:rPr>
        <w:t>m</w:t>
      </w:r>
      <w:r w:rsidR="00A6721F" w:rsidRPr="00834267">
        <w:rPr>
          <w:color w:val="000000" w:themeColor="text1"/>
          <w:lang w:val="en-US"/>
        </w:rPr>
        <w:t xml:space="preserve"> (i.e., </w:t>
      </w:r>
      <w:r w:rsidR="00A6721F" w:rsidRPr="00834267">
        <w:rPr>
          <w:i/>
          <w:iCs/>
          <w:color w:val="000000" w:themeColor="text1"/>
          <w:lang w:val="en-US"/>
        </w:rPr>
        <w:t>M</w:t>
      </w:r>
      <w:r w:rsidR="00A6721F" w:rsidRPr="00834267">
        <w:rPr>
          <w:color w:val="000000" w:themeColor="text1"/>
          <w:vertAlign w:val="subscript"/>
          <w:lang w:val="en-US"/>
        </w:rPr>
        <w:t>w</w:t>
      </w:r>
      <w:r w:rsidR="00A6721F" w:rsidRPr="00834267">
        <w:rPr>
          <w:color w:val="000000" w:themeColor="text1"/>
          <w:lang w:val="en-US"/>
        </w:rPr>
        <w:t xml:space="preserve">). </w:t>
      </w:r>
      <w:proofErr w:type="spellStart"/>
      <w:r w:rsidR="00A6721F" w:rsidRPr="00834267">
        <w:rPr>
          <w:color w:val="000000" w:themeColor="text1"/>
          <w:lang w:val="en-US"/>
        </w:rPr>
        <w:t>Chemi</w:t>
      </w:r>
      <w:proofErr w:type="spellEnd"/>
      <w:r w:rsidR="00A6721F" w:rsidRPr="00834267">
        <w:rPr>
          <w:color w:val="000000" w:themeColor="text1"/>
          <w:lang w:val="en-US"/>
        </w:rPr>
        <w:t xml:space="preserve">-crystallization also depends on chain scission and thus on carbonyl formation; no studies to-date have reported on the effects of carbonyl groups on </w:t>
      </w:r>
      <w:proofErr w:type="spellStart"/>
      <w:r w:rsidR="00A6721F" w:rsidRPr="00834267">
        <w:rPr>
          <w:color w:val="000000" w:themeColor="text1"/>
          <w:lang w:val="en-US"/>
        </w:rPr>
        <w:t>chemi</w:t>
      </w:r>
      <w:proofErr w:type="spellEnd"/>
      <w:r w:rsidR="00A6721F" w:rsidRPr="00834267">
        <w:rPr>
          <w:color w:val="000000" w:themeColor="text1"/>
          <w:lang w:val="en-US"/>
        </w:rPr>
        <w:t>-crystallization nor its associated crystal phase.</w:t>
      </w:r>
      <w:r w:rsidR="00A6721F" w:rsidRPr="00834267">
        <w:rPr>
          <w:color w:val="000000" w:themeColor="text1"/>
          <w:vertAlign w:val="superscript"/>
          <w:lang w:val="en-US"/>
        </w:rPr>
        <w:t>17</w:t>
      </w:r>
    </w:p>
    <w:p w14:paraId="0C617D7D" w14:textId="4199BAD7" w:rsidR="00A6721F" w:rsidRPr="00834267" w:rsidRDefault="00A6721F" w:rsidP="0068412A">
      <w:pPr>
        <w:pStyle w:val="RSCB02ArticleText"/>
        <w:ind w:firstLine="113"/>
        <w:rPr>
          <w:color w:val="000000" w:themeColor="text1"/>
          <w:lang w:val="en-US"/>
        </w:rPr>
      </w:pPr>
      <w:r w:rsidRPr="00834267">
        <w:rPr>
          <w:color w:val="000000" w:themeColor="text1"/>
          <w:lang w:val="en-US"/>
        </w:rPr>
        <w:t xml:space="preserve">The formation of a gradient in </w:t>
      </w:r>
      <w:r w:rsidRPr="00834267">
        <w:rPr>
          <w:color w:val="000000" w:themeColor="text1"/>
          <w:lang w:val="en-US"/>
        </w:rPr>
        <w:sym w:font="Symbol" w:char="F063"/>
      </w:r>
      <w:r w:rsidRPr="00834267">
        <w:rPr>
          <w:color w:val="000000" w:themeColor="text1"/>
          <w:vertAlign w:val="subscript"/>
          <w:lang w:val="en-US"/>
        </w:rPr>
        <w:t>c</w:t>
      </w:r>
      <w:r w:rsidRPr="00834267">
        <w:rPr>
          <w:color w:val="000000" w:themeColor="text1"/>
          <w:lang w:val="en-US"/>
        </w:rPr>
        <w:t xml:space="preserve"> over the depth corresponds to a density gradient as well, which causes differential stresses near the surface. In combination with decreased strength and toughness caused by chain scission itself, this stress can lead to microcracking.</w:t>
      </w:r>
      <w:r w:rsidRPr="00834267">
        <w:rPr>
          <w:color w:val="000000" w:themeColor="text1"/>
          <w:vertAlign w:val="superscript"/>
          <w:lang w:val="en-US"/>
        </w:rPr>
        <w:t>18</w:t>
      </w:r>
      <w:r w:rsidRPr="00834267">
        <w:rPr>
          <w:color w:val="000000" w:themeColor="text1"/>
          <w:lang w:val="en-US"/>
        </w:rPr>
        <w:t xml:space="preserve"> LSM images of the specimen surfaces are shown in </w:t>
      </w:r>
      <w:r w:rsidR="00AD1663" w:rsidRPr="00834267">
        <w:rPr>
          <w:color w:val="000000" w:themeColor="text1"/>
          <w:lang w:val="en-US"/>
        </w:rPr>
        <w:t>Fig.</w:t>
      </w:r>
      <w:r w:rsidRPr="00834267">
        <w:rPr>
          <w:color w:val="000000" w:themeColor="text1"/>
          <w:lang w:val="en-US"/>
        </w:rPr>
        <w:t xml:space="preserve"> 3(a)</w:t>
      </w:r>
      <w:r w:rsidR="00705C74" w:rsidRPr="00834267">
        <w:rPr>
          <w:color w:val="000000" w:themeColor="text1"/>
          <w:lang w:val="en-US"/>
        </w:rPr>
        <w:t xml:space="preserve"> and Fig.</w:t>
      </w:r>
      <w:r w:rsidR="006134E7" w:rsidRPr="00834267">
        <w:rPr>
          <w:color w:val="000000" w:themeColor="text1"/>
          <w:lang w:val="en-US"/>
        </w:rPr>
        <w:t xml:space="preserve"> S</w:t>
      </w:r>
      <w:r w:rsidR="00D97BD4" w:rsidRPr="00834267">
        <w:rPr>
          <w:color w:val="000000" w:themeColor="text1"/>
          <w:lang w:val="en-US"/>
        </w:rPr>
        <w:t>8</w:t>
      </w:r>
      <w:r w:rsidR="006134E7" w:rsidRPr="00834267">
        <w:rPr>
          <w:color w:val="000000" w:themeColor="text1"/>
          <w:lang w:val="en-US"/>
        </w:rPr>
        <w:t xml:space="preserve">, </w:t>
      </w:r>
      <w:r w:rsidRPr="00834267">
        <w:rPr>
          <w:color w:val="000000" w:themeColor="text1"/>
          <w:lang w:val="en-US"/>
        </w:rPr>
        <w:t>where surface microcracks grow in size and density with irradiation energy for all blends. However, it is clear from the images that GL modifies this behavior so that the cracks become smaller, more closely spaced, and more unidirectional as the GL content increases.</w:t>
      </w:r>
      <w:r w:rsidR="009B599F" w:rsidRPr="00834267">
        <w:rPr>
          <w:color w:val="000000" w:themeColor="text1"/>
          <w:lang w:val="en-US"/>
        </w:rPr>
        <w:t xml:space="preserve"> The relationship between surface crack depth </w:t>
      </w:r>
      <w:r w:rsidR="009B599F" w:rsidRPr="00834267">
        <w:rPr>
          <w:i/>
          <w:iCs/>
          <w:color w:val="000000" w:themeColor="text1"/>
          <w:lang w:val="en-US"/>
        </w:rPr>
        <w:t>d</w:t>
      </w:r>
      <w:r w:rsidR="009B599F" w:rsidRPr="00834267">
        <w:rPr>
          <w:i/>
          <w:iCs/>
          <w:color w:val="000000" w:themeColor="text1"/>
          <w:vertAlign w:val="subscript"/>
          <w:lang w:val="en-US"/>
        </w:rPr>
        <w:t>c</w:t>
      </w:r>
      <w:r w:rsidR="009B599F" w:rsidRPr="00834267">
        <w:rPr>
          <w:color w:val="000000" w:themeColor="text1"/>
          <w:lang w:val="en-US"/>
        </w:rPr>
        <w:t xml:space="preserve"> and crack spacing </w:t>
      </w:r>
      <w:proofErr w:type="spellStart"/>
      <w:r w:rsidR="009B599F" w:rsidRPr="00834267">
        <w:rPr>
          <w:i/>
          <w:iCs/>
          <w:color w:val="000000" w:themeColor="text1"/>
          <w:lang w:val="en-US"/>
        </w:rPr>
        <w:t>h</w:t>
      </w:r>
      <w:r w:rsidR="009B599F" w:rsidRPr="00834267">
        <w:rPr>
          <w:i/>
          <w:iCs/>
          <w:color w:val="000000" w:themeColor="text1"/>
          <w:vertAlign w:val="subscript"/>
          <w:lang w:val="en-US"/>
        </w:rPr>
        <w:t>c</w:t>
      </w:r>
      <w:proofErr w:type="spellEnd"/>
      <w:r w:rsidR="009B599F" w:rsidRPr="00834267">
        <w:rPr>
          <w:color w:val="000000" w:themeColor="text1"/>
          <w:lang w:val="en-US"/>
        </w:rPr>
        <w:t xml:space="preserve"> appears linear on a log-log plot (Fig. 3(b)), </w:t>
      </w:r>
      <w:r w:rsidR="000D41D5" w:rsidRPr="00834267">
        <w:rPr>
          <w:color w:val="000000" w:themeColor="text1"/>
          <w:lang w:val="en-US"/>
        </w:rPr>
        <w:t xml:space="preserve">indicating a decreasing trend where </w:t>
      </w:r>
      <w:r w:rsidR="000D41D5" w:rsidRPr="00834267">
        <w:rPr>
          <w:i/>
          <w:iCs/>
          <w:color w:val="000000" w:themeColor="text1"/>
          <w:lang w:val="en-US"/>
        </w:rPr>
        <w:t>d</w:t>
      </w:r>
      <w:r w:rsidR="000D41D5" w:rsidRPr="00834267">
        <w:rPr>
          <w:i/>
          <w:iCs/>
          <w:color w:val="000000" w:themeColor="text1"/>
          <w:vertAlign w:val="subscript"/>
          <w:lang w:val="en-US"/>
        </w:rPr>
        <w:t>c</w:t>
      </w:r>
      <w:r w:rsidR="000D41D5" w:rsidRPr="00834267">
        <w:rPr>
          <w:color w:val="000000" w:themeColor="text1"/>
          <w:lang w:val="en-US"/>
        </w:rPr>
        <w:t xml:space="preserve"> reaches zero when </w:t>
      </w:r>
      <w:proofErr w:type="spellStart"/>
      <w:r w:rsidR="000D41D5" w:rsidRPr="00834267">
        <w:rPr>
          <w:i/>
          <w:iCs/>
          <w:color w:val="000000" w:themeColor="text1"/>
          <w:lang w:val="en-US"/>
        </w:rPr>
        <w:t>h</w:t>
      </w:r>
      <w:r w:rsidR="000D41D5" w:rsidRPr="00834267">
        <w:rPr>
          <w:i/>
          <w:iCs/>
          <w:color w:val="000000" w:themeColor="text1"/>
          <w:vertAlign w:val="subscript"/>
          <w:lang w:val="en-US"/>
        </w:rPr>
        <w:t>c</w:t>
      </w:r>
      <w:proofErr w:type="spellEnd"/>
      <w:r w:rsidR="000D41D5" w:rsidRPr="00834267">
        <w:rPr>
          <w:color w:val="000000" w:themeColor="text1"/>
          <w:lang w:val="en-US"/>
        </w:rPr>
        <w:t xml:space="preserve"> is very large (i.e., undamaged material)</w:t>
      </w:r>
      <w:r w:rsidR="009B599F" w:rsidRPr="00834267">
        <w:rPr>
          <w:color w:val="000000" w:themeColor="text1"/>
          <w:lang w:val="en-US"/>
        </w:rPr>
        <w:t>.</w:t>
      </w:r>
      <w:r w:rsidR="000D41D5" w:rsidRPr="00834267">
        <w:rPr>
          <w:color w:val="000000" w:themeColor="text1"/>
          <w:lang w:val="en-US"/>
        </w:rPr>
        <w:t xml:space="preserve"> </w:t>
      </w:r>
      <w:r w:rsidR="00AF4C53" w:rsidRPr="00834267">
        <w:rPr>
          <w:color w:val="000000" w:themeColor="text1"/>
          <w:lang w:val="en-US"/>
        </w:rPr>
        <w:t>Thus, it is clear that GL prevents crack growth, diverting the UV-induced damage toward the formation of new surface cracks.</w:t>
      </w:r>
      <w:r w:rsidR="009B599F" w:rsidRPr="00834267">
        <w:rPr>
          <w:color w:val="000000" w:themeColor="text1"/>
          <w:lang w:val="en-US"/>
        </w:rPr>
        <w:t xml:space="preserve"> </w:t>
      </w:r>
      <w:r w:rsidRPr="00834267">
        <w:rPr>
          <w:color w:val="000000" w:themeColor="text1"/>
          <w:lang w:val="en-US"/>
        </w:rPr>
        <w:t xml:space="preserve">Inferring the changes in </w:t>
      </w:r>
      <w:r w:rsidRPr="00834267">
        <w:rPr>
          <w:i/>
          <w:iCs/>
          <w:color w:val="000000" w:themeColor="text1"/>
          <w:lang w:val="en-US"/>
        </w:rPr>
        <w:t>M</w:t>
      </w:r>
      <w:r w:rsidRPr="00834267">
        <w:rPr>
          <w:color w:val="000000" w:themeColor="text1"/>
          <w:vertAlign w:val="subscript"/>
          <w:lang w:val="en-US"/>
        </w:rPr>
        <w:t>w</w:t>
      </w:r>
      <w:r w:rsidRPr="00834267">
        <w:rPr>
          <w:color w:val="000000" w:themeColor="text1"/>
          <w:lang w:val="en-US"/>
        </w:rPr>
        <w:t xml:space="preserve"> from </w:t>
      </w:r>
      <w:r w:rsidRPr="00834267">
        <w:rPr>
          <w:i/>
          <w:iCs/>
          <w:color w:val="000000" w:themeColor="text1"/>
          <w:lang w:val="en-US"/>
        </w:rPr>
        <w:t>T</w:t>
      </w:r>
      <w:r w:rsidRPr="00834267">
        <w:rPr>
          <w:color w:val="000000" w:themeColor="text1"/>
          <w:vertAlign w:val="subscript"/>
          <w:lang w:val="en-US"/>
        </w:rPr>
        <w:t>m</w:t>
      </w:r>
      <w:r w:rsidRPr="00834267">
        <w:rPr>
          <w:color w:val="000000" w:themeColor="text1"/>
          <w:lang w:val="en-US"/>
        </w:rPr>
        <w:t xml:space="preserve">, this is because significant chain scission and </w:t>
      </w:r>
      <w:proofErr w:type="spellStart"/>
      <w:r w:rsidRPr="00834267">
        <w:rPr>
          <w:color w:val="000000" w:themeColor="text1"/>
          <w:lang w:val="en-US"/>
        </w:rPr>
        <w:t>chemi</w:t>
      </w:r>
      <w:proofErr w:type="spellEnd"/>
      <w:r w:rsidRPr="00834267">
        <w:rPr>
          <w:color w:val="000000" w:themeColor="text1"/>
          <w:lang w:val="en-US"/>
        </w:rPr>
        <w:t xml:space="preserve">-crystallization occurs only in the surface layer of GL blends, which should suppress through-thickness crack growth. This phenomenon is illustrated in </w:t>
      </w:r>
      <w:r w:rsidR="00AD1663" w:rsidRPr="00834267">
        <w:rPr>
          <w:color w:val="000000" w:themeColor="text1"/>
          <w:lang w:val="en-US"/>
        </w:rPr>
        <w:t>Fig.</w:t>
      </w:r>
      <w:r w:rsidRPr="00834267">
        <w:rPr>
          <w:color w:val="000000" w:themeColor="text1"/>
          <w:lang w:val="en-US"/>
        </w:rPr>
        <w:t xml:space="preserve"> 3(b), where lignin acts as a shield against structural and morphological changes during UV irradiation via the formation of a distinct “sunburned” surface layer.</w:t>
      </w:r>
    </w:p>
    <w:p w14:paraId="1317D7AA" w14:textId="74886F15" w:rsidR="00A6721F" w:rsidRPr="00834267" w:rsidRDefault="00A6721F" w:rsidP="000F7ABF">
      <w:pPr>
        <w:pStyle w:val="RSCB02ArticleText"/>
        <w:ind w:firstLine="113"/>
        <w:rPr>
          <w:color w:val="000000" w:themeColor="text1"/>
          <w:lang w:val="en-US"/>
        </w:rPr>
      </w:pPr>
      <w:r w:rsidRPr="00834267">
        <w:rPr>
          <w:color w:val="000000" w:themeColor="text1"/>
          <w:lang w:val="en-US"/>
        </w:rPr>
        <w:t xml:space="preserve">This brings us to examine the tensile behavior of GL blends, summarized in </w:t>
      </w:r>
      <w:r w:rsidR="00AD1663" w:rsidRPr="00834267">
        <w:rPr>
          <w:color w:val="000000" w:themeColor="text1"/>
          <w:lang w:val="en-US"/>
        </w:rPr>
        <w:t>Fig.</w:t>
      </w:r>
      <w:r w:rsidRPr="00834267">
        <w:rPr>
          <w:color w:val="000000" w:themeColor="text1"/>
          <w:lang w:val="en-US"/>
        </w:rPr>
        <w:t xml:space="preserve"> 4 and </w:t>
      </w:r>
      <w:r w:rsidR="00AD1663" w:rsidRPr="00834267">
        <w:rPr>
          <w:color w:val="000000" w:themeColor="text1"/>
          <w:lang w:val="en-US"/>
        </w:rPr>
        <w:t>Fig.</w:t>
      </w:r>
      <w:r w:rsidR="006134E7" w:rsidRPr="00834267">
        <w:rPr>
          <w:color w:val="000000" w:themeColor="text1"/>
          <w:lang w:val="en-US"/>
        </w:rPr>
        <w:t xml:space="preserve"> S</w:t>
      </w:r>
      <w:r w:rsidR="00D97BD4" w:rsidRPr="00834267">
        <w:rPr>
          <w:color w:val="000000" w:themeColor="text1"/>
          <w:lang w:val="en-US"/>
        </w:rPr>
        <w:t>5</w:t>
      </w:r>
      <w:r w:rsidR="006134E7" w:rsidRPr="00834267">
        <w:rPr>
          <w:color w:val="000000" w:themeColor="text1"/>
          <w:lang w:val="en-US"/>
        </w:rPr>
        <w:t>.</w:t>
      </w:r>
      <w:r w:rsidRPr="00834267">
        <w:rPr>
          <w:color w:val="000000" w:themeColor="text1"/>
          <w:lang w:val="en-US"/>
        </w:rPr>
        <w:t xml:space="preserve"> In accord with the literature, neat PP exhibits typical ductile behavior before irradiation, having a strength of 38 MPa and failure strain exceeding </w:t>
      </w:r>
      <w:r w:rsidR="007F13AE" w:rsidRPr="00834267">
        <w:rPr>
          <w:color w:val="000000" w:themeColor="text1"/>
          <w:lang w:val="en-US"/>
        </w:rPr>
        <w:t>6</w:t>
      </w:r>
      <w:r w:rsidRPr="00834267">
        <w:rPr>
          <w:color w:val="000000" w:themeColor="text1"/>
          <w:lang w:val="en-US"/>
        </w:rPr>
        <w:t>00%, but chemical degradation and microcracking cause significant decreases in strength</w:t>
      </w:r>
      <w:r w:rsidR="006759F0" w:rsidRPr="00834267">
        <w:rPr>
          <w:color w:val="000000" w:themeColor="text1"/>
          <w:lang w:val="en-US"/>
        </w:rPr>
        <w:t xml:space="preserve"> (Fig. 4(c)),</w:t>
      </w:r>
      <w:r w:rsidRPr="00834267">
        <w:rPr>
          <w:color w:val="000000" w:themeColor="text1"/>
          <w:lang w:val="en-US"/>
        </w:rPr>
        <w:t xml:space="preserve"> modulus</w:t>
      </w:r>
      <w:r w:rsidR="006759F0" w:rsidRPr="00834267">
        <w:rPr>
          <w:color w:val="000000" w:themeColor="text1"/>
          <w:lang w:val="en-US"/>
        </w:rPr>
        <w:t xml:space="preserve"> (Fig. 4(d))</w:t>
      </w:r>
      <w:r w:rsidRPr="00834267">
        <w:rPr>
          <w:color w:val="000000" w:themeColor="text1"/>
          <w:lang w:val="en-US"/>
        </w:rPr>
        <w:t>, and failure strain</w:t>
      </w:r>
      <w:r w:rsidR="006759F0" w:rsidRPr="00834267">
        <w:rPr>
          <w:color w:val="000000" w:themeColor="text1"/>
          <w:lang w:val="en-US"/>
        </w:rPr>
        <w:t xml:space="preserve"> (Fig. 4(e))</w:t>
      </w:r>
      <w:r w:rsidRPr="00834267">
        <w:rPr>
          <w:color w:val="000000" w:themeColor="text1"/>
          <w:lang w:val="en-US"/>
        </w:rPr>
        <w:t xml:space="preserve"> after only 100 MJ/m</w:t>
      </w:r>
      <w:r w:rsidRPr="00834267">
        <w:rPr>
          <w:color w:val="000000" w:themeColor="text1"/>
          <w:vertAlign w:val="superscript"/>
          <w:lang w:val="en-US"/>
        </w:rPr>
        <w:t>2</w:t>
      </w:r>
      <w:r w:rsidRPr="00834267">
        <w:rPr>
          <w:color w:val="000000" w:themeColor="text1"/>
          <w:lang w:val="en-US"/>
        </w:rPr>
        <w:t xml:space="preserve"> of irradiation.</w:t>
      </w:r>
      <w:r w:rsidRPr="00834267">
        <w:rPr>
          <w:color w:val="000000" w:themeColor="text1"/>
          <w:vertAlign w:val="superscript"/>
          <w:lang w:val="en-US"/>
        </w:rPr>
        <w:t>13,18,25</w:t>
      </w:r>
      <w:r w:rsidRPr="00834267">
        <w:rPr>
          <w:color w:val="000000" w:themeColor="text1"/>
          <w:lang w:val="en-US"/>
        </w:rPr>
        <w:t xml:space="preserve"> A uniform state of degradation throughout the polymer is only possible for thin films (&lt;100 </w:t>
      </w:r>
      <w:r w:rsidRPr="00834267">
        <w:rPr>
          <w:color w:val="000000" w:themeColor="text1"/>
          <w:lang w:val="en-US"/>
        </w:rPr>
        <w:sym w:font="Symbol" w:char="F06D"/>
      </w:r>
      <w:r w:rsidRPr="00834267">
        <w:rPr>
          <w:color w:val="000000" w:themeColor="text1"/>
          <w:lang w:val="en-US"/>
        </w:rPr>
        <w:t xml:space="preserve">m) due to oxygen diffusion limited reactions, so differentiating the individual effects of chemical degradation (i.e., </w:t>
      </w:r>
      <w:r w:rsidRPr="00834267">
        <w:rPr>
          <w:i/>
          <w:iCs/>
          <w:color w:val="000000" w:themeColor="text1"/>
          <w:lang w:val="en-US"/>
        </w:rPr>
        <w:t>M</w:t>
      </w:r>
      <w:r w:rsidRPr="00834267">
        <w:rPr>
          <w:color w:val="000000" w:themeColor="text1"/>
          <w:vertAlign w:val="subscript"/>
          <w:lang w:val="en-US"/>
        </w:rPr>
        <w:t>w</w:t>
      </w:r>
      <w:r w:rsidRPr="00834267">
        <w:rPr>
          <w:color w:val="000000" w:themeColor="text1"/>
          <w:lang w:val="en-US"/>
        </w:rPr>
        <w:t xml:space="preserve"> reduction) and surface crack formation on the bulk material properties of molded specimens remains difficult. As discussed in the previous section, photooxidation of PP results in volatile products such as acetone which diffuse out of the material, as well as the formation of carbonyl and alkene groups in the main chain; some of these groups may recombine to form crosslink points which—combined with increased crystallinity—temporarily increase the apparent elastic modulus at short irradiation times, as seen for neat PP in </w:t>
      </w:r>
      <w:r w:rsidR="00AD1663" w:rsidRPr="00834267">
        <w:rPr>
          <w:color w:val="000000" w:themeColor="text1"/>
          <w:lang w:val="en-US"/>
        </w:rPr>
        <w:t>Fig.</w:t>
      </w:r>
      <w:r w:rsidRPr="00834267">
        <w:rPr>
          <w:color w:val="000000" w:themeColor="text1"/>
          <w:lang w:val="en-US"/>
        </w:rPr>
        <w:t xml:space="preserve"> 4(d). Ultimately, with sufficient irradiation energy the chain scission leads to reduced </w:t>
      </w:r>
      <w:r w:rsidRPr="00834267">
        <w:rPr>
          <w:i/>
          <w:iCs/>
          <w:color w:val="000000" w:themeColor="text1"/>
          <w:lang w:val="en-US"/>
        </w:rPr>
        <w:t>M</w:t>
      </w:r>
      <w:r w:rsidRPr="00834267">
        <w:rPr>
          <w:color w:val="000000" w:themeColor="text1"/>
          <w:vertAlign w:val="subscript"/>
          <w:lang w:val="en-US"/>
        </w:rPr>
        <w:t>w</w:t>
      </w:r>
      <w:r w:rsidRPr="00834267">
        <w:rPr>
          <w:color w:val="000000" w:themeColor="text1"/>
          <w:lang w:val="en-US"/>
        </w:rPr>
        <w:t xml:space="preserve"> and surface cracking, which contributes to a crack growth-dominated failure mode denoted by a brittle fracture surface</w:t>
      </w:r>
      <w:r w:rsidR="00C90D22" w:rsidRPr="00834267">
        <w:rPr>
          <w:color w:val="000000" w:themeColor="text1"/>
          <w:lang w:val="en-US"/>
        </w:rPr>
        <w:t xml:space="preserve"> (Fig. 4(b)</w:t>
      </w:r>
      <w:r w:rsidR="006134E7" w:rsidRPr="00834267">
        <w:rPr>
          <w:color w:val="000000" w:themeColor="text1"/>
          <w:lang w:val="en-US"/>
        </w:rPr>
        <w:t xml:space="preserve"> and Fig. S</w:t>
      </w:r>
      <w:r w:rsidR="00D97BD4" w:rsidRPr="00834267">
        <w:rPr>
          <w:color w:val="000000" w:themeColor="text1"/>
          <w:lang w:val="en-US"/>
        </w:rPr>
        <w:t>6</w:t>
      </w:r>
      <w:r w:rsidR="00C90D22" w:rsidRPr="00834267">
        <w:rPr>
          <w:color w:val="000000" w:themeColor="text1"/>
          <w:lang w:val="en-US"/>
        </w:rPr>
        <w:t>)</w:t>
      </w:r>
      <w:r w:rsidRPr="00834267">
        <w:rPr>
          <w:color w:val="000000" w:themeColor="text1"/>
          <w:lang w:val="en-US"/>
        </w:rPr>
        <w:t>, and nearly constant failure strain accompanied by reduced strength and modulus.</w:t>
      </w:r>
    </w:p>
    <w:p w14:paraId="2479676F" w14:textId="2D084BC5" w:rsidR="00A6721F" w:rsidRPr="00834267" w:rsidRDefault="00A6721F" w:rsidP="0068412A">
      <w:pPr>
        <w:pStyle w:val="RSCB02ArticleText"/>
        <w:ind w:firstLine="113"/>
        <w:rPr>
          <w:color w:val="000000" w:themeColor="text1"/>
          <w:lang w:val="en-US"/>
        </w:rPr>
      </w:pPr>
      <w:r w:rsidRPr="00834267">
        <w:rPr>
          <w:color w:val="000000" w:themeColor="text1"/>
          <w:lang w:val="en-US"/>
        </w:rPr>
        <w:t>Conversely, tensile properties of the blends change as GL content increases, with 1</w:t>
      </w:r>
      <w:r w:rsidR="00AD1663" w:rsidRPr="00834267">
        <w:rPr>
          <w:color w:val="000000" w:themeColor="text1"/>
          <w:lang w:val="en-US"/>
        </w:rPr>
        <w:t>0</w:t>
      </w:r>
      <w:r w:rsidR="00A05992" w:rsidRPr="00834267">
        <w:rPr>
          <w:color w:val="000000" w:themeColor="text1"/>
          <w:lang w:val="en-US"/>
        </w:rPr>
        <w:t>wt%</w:t>
      </w:r>
      <w:r w:rsidRPr="00834267">
        <w:rPr>
          <w:color w:val="000000" w:themeColor="text1"/>
          <w:lang w:val="en-US"/>
        </w:rPr>
        <w:t xml:space="preserve"> showing improvement over neat PP while 20 and 30</w:t>
      </w:r>
      <w:r w:rsidR="00A05992" w:rsidRPr="00834267">
        <w:rPr>
          <w:color w:val="000000" w:themeColor="text1"/>
          <w:lang w:val="en-US"/>
        </w:rPr>
        <w:t>wt%</w:t>
      </w:r>
      <w:r w:rsidRPr="00834267">
        <w:rPr>
          <w:color w:val="000000" w:themeColor="text1"/>
          <w:lang w:val="en-US"/>
        </w:rPr>
        <w:t xml:space="preserve"> appear to reach a saturated level of property retention. It is important to note that the pre-exposure failure strains were substantially lower at higher GL loadings due to the large amount of rigid aromatic molecules and possible agglomeration. However, the tensile properties were negligibly affected at higher GL loadings even after 1000 MJ/m</w:t>
      </w:r>
      <w:r w:rsidRPr="00834267">
        <w:rPr>
          <w:color w:val="000000" w:themeColor="text1"/>
          <w:vertAlign w:val="superscript"/>
          <w:lang w:val="en-US"/>
        </w:rPr>
        <w:t>2</w:t>
      </w:r>
      <w:r w:rsidRPr="00834267">
        <w:rPr>
          <w:color w:val="000000" w:themeColor="text1"/>
          <w:lang w:val="en-US"/>
        </w:rPr>
        <w:t xml:space="preserve"> of irradiation</w:t>
      </w:r>
      <w:r w:rsidR="00725FF1" w:rsidRPr="00834267">
        <w:rPr>
          <w:color w:val="000000" w:themeColor="text1"/>
          <w:lang w:val="en-US"/>
        </w:rPr>
        <w:t xml:space="preserve">, and local yielding was still visible away </w:t>
      </w:r>
      <w:r w:rsidR="00725FF1" w:rsidRPr="00834267">
        <w:rPr>
          <w:color w:val="000000" w:themeColor="text1"/>
          <w:lang w:val="en-US"/>
        </w:rPr>
        <w:lastRenderedPageBreak/>
        <w:t>from the crack tip (Fig. 4(b))</w:t>
      </w:r>
      <w:r w:rsidRPr="00834267">
        <w:rPr>
          <w:color w:val="000000" w:themeColor="text1"/>
          <w:lang w:val="en-US"/>
        </w:rPr>
        <w:t xml:space="preserve">. Recalling that surface cracking occurs under these conditions, the high retention of mechanical properties in these blends indicates that GL mechanically reinforces the polymer so that surface crack growth does not determine bulk behavior; this is discussed further </w:t>
      </w:r>
      <w:r w:rsidR="00C07F2A" w:rsidRPr="00834267">
        <w:rPr>
          <w:color w:val="000000" w:themeColor="text1"/>
          <w:lang w:val="en-US"/>
        </w:rPr>
        <w:t>below</w:t>
      </w:r>
      <w:r w:rsidRPr="00834267">
        <w:rPr>
          <w:color w:val="000000" w:themeColor="text1"/>
          <w:lang w:val="en-US"/>
        </w:rPr>
        <w:t>.</w:t>
      </w:r>
    </w:p>
    <w:p w14:paraId="6081DA6C" w14:textId="03A09FEA" w:rsidR="00A6721F" w:rsidRPr="00834267" w:rsidRDefault="006D2B45" w:rsidP="00027A18">
      <w:pPr>
        <w:pStyle w:val="RSCB07BHeadingSub-Section-standalone"/>
        <w:rPr>
          <w:color w:val="000000" w:themeColor="text1"/>
          <w:w w:val="108"/>
          <w:lang w:val="en-US"/>
        </w:rPr>
      </w:pPr>
      <w:r w:rsidRPr="00834267">
        <w:rPr>
          <w:color w:val="000000" w:themeColor="text1"/>
          <w:w w:val="108"/>
          <w:lang w:val="en-US"/>
        </w:rPr>
        <w:t xml:space="preserve"> </w:t>
      </w:r>
      <w:r w:rsidR="00A6721F" w:rsidRPr="00834267">
        <w:rPr>
          <w:color w:val="000000" w:themeColor="text1"/>
          <w:w w:val="108"/>
          <w:lang w:val="en-US"/>
        </w:rPr>
        <w:t>Role of GL in improving UV resistance</w:t>
      </w:r>
    </w:p>
    <w:p w14:paraId="70A55DEA" w14:textId="51349F7A" w:rsidR="00A6721F" w:rsidRPr="00834267" w:rsidRDefault="00A6721F" w:rsidP="0068412A">
      <w:pPr>
        <w:pStyle w:val="RSCB02ArticleText"/>
        <w:ind w:firstLine="113"/>
        <w:rPr>
          <w:color w:val="000000" w:themeColor="text1"/>
          <w:lang w:val="en-US"/>
        </w:rPr>
      </w:pPr>
      <w:r w:rsidRPr="00834267">
        <w:rPr>
          <w:color w:val="000000" w:themeColor="text1"/>
          <w:lang w:val="en-US"/>
        </w:rPr>
        <w:t>We assert that GL, like melanin in skin, plays three major roles in improving the durability of polyolefin blends: (</w:t>
      </w:r>
      <w:proofErr w:type="spellStart"/>
      <w:r w:rsidRPr="00834267">
        <w:rPr>
          <w:color w:val="000000" w:themeColor="text1"/>
          <w:lang w:val="en-US"/>
        </w:rPr>
        <w:t>i</w:t>
      </w:r>
      <w:proofErr w:type="spellEnd"/>
      <w:r w:rsidRPr="00834267">
        <w:rPr>
          <w:color w:val="000000" w:themeColor="text1"/>
          <w:lang w:val="en-US"/>
        </w:rPr>
        <w:t xml:space="preserve">) </w:t>
      </w:r>
      <w:proofErr w:type="gramStart"/>
      <w:r w:rsidRPr="00834267">
        <w:rPr>
          <w:color w:val="000000" w:themeColor="text1"/>
          <w:lang w:val="en-US"/>
        </w:rPr>
        <w:t xml:space="preserve">UV </w:t>
      </w:r>
      <w:r w:rsidR="006D2B45" w:rsidRPr="00834267">
        <w:rPr>
          <w:color w:val="000000" w:themeColor="text1"/>
          <w:lang w:val="en-US"/>
        </w:rPr>
        <w:t xml:space="preserve"> </w:t>
      </w:r>
      <w:r w:rsidRPr="00834267">
        <w:rPr>
          <w:color w:val="000000" w:themeColor="text1"/>
          <w:lang w:val="en-US"/>
        </w:rPr>
        <w:t>absorption</w:t>
      </w:r>
      <w:proofErr w:type="gramEnd"/>
      <w:r w:rsidRPr="00834267">
        <w:rPr>
          <w:color w:val="000000" w:themeColor="text1"/>
          <w:lang w:val="en-US"/>
        </w:rPr>
        <w:t>, (ii) oxygen radical scavenging, and (iii) mechanical reinforcing. As pure PP homopolymer exhibits negligible UV absorption, impurities from manufacturing are often responsible for initiating the photo-oxidation process. Molecules with relatively stronger UV absorption than the host polymer can serve to divert photonic energy from polymer chains.</w:t>
      </w:r>
      <w:r w:rsidRPr="00834267">
        <w:rPr>
          <w:color w:val="000000" w:themeColor="text1"/>
          <w:vertAlign w:val="superscript"/>
          <w:lang w:val="en-US"/>
        </w:rPr>
        <w:t>46,47</w:t>
      </w:r>
      <w:r w:rsidRPr="00834267">
        <w:rPr>
          <w:color w:val="000000" w:themeColor="text1"/>
          <w:lang w:val="en-US"/>
        </w:rPr>
        <w:t xml:space="preserve"> </w:t>
      </w:r>
      <w:r w:rsidR="00AD1663" w:rsidRPr="00834267">
        <w:rPr>
          <w:color w:val="000000" w:themeColor="text1"/>
          <w:lang w:val="en-US"/>
        </w:rPr>
        <w:t>Fig.</w:t>
      </w:r>
      <w:r w:rsidRPr="00834267">
        <w:rPr>
          <w:color w:val="000000" w:themeColor="text1"/>
          <w:lang w:val="en-US"/>
        </w:rPr>
        <w:t xml:space="preserve"> 5(a) shows the UV-vis spectra of GL and its blends, where a strong absorbance is observed between 200-400 nm for GL powder, compared to the low absorbance in neat PP above 275 nm. This absorption behavior is due to the highly aromatic structure of lignin, particularly</w:t>
      </w:r>
      <w:r w:rsidR="00B37458" w:rsidRPr="00834267">
        <w:rPr>
          <w:color w:val="000000" w:themeColor="text1"/>
          <w:lang w:val="en-US"/>
        </w:rPr>
        <w:t xml:space="preserve"> the methoxyphenol-based</w:t>
      </w:r>
      <w:r w:rsidRPr="00834267">
        <w:rPr>
          <w:color w:val="000000" w:themeColor="text1"/>
          <w:lang w:val="en-US"/>
        </w:rPr>
        <w:t xml:space="preserve"> </w:t>
      </w:r>
      <w:proofErr w:type="spellStart"/>
      <w:r w:rsidR="00B37458" w:rsidRPr="00834267">
        <w:rPr>
          <w:color w:val="000000" w:themeColor="text1"/>
          <w:lang w:val="en-US"/>
        </w:rPr>
        <w:t>guaiacyl</w:t>
      </w:r>
      <w:proofErr w:type="spellEnd"/>
      <w:r w:rsidR="00B37458" w:rsidRPr="00834267">
        <w:rPr>
          <w:color w:val="000000" w:themeColor="text1"/>
          <w:lang w:val="en-US"/>
        </w:rPr>
        <w:t xml:space="preserve"> </w:t>
      </w:r>
      <w:r w:rsidR="0070581E" w:rsidRPr="00834267">
        <w:rPr>
          <w:color w:val="000000" w:themeColor="text1"/>
          <w:lang w:val="en-US"/>
        </w:rPr>
        <w:t xml:space="preserve">unit </w:t>
      </w:r>
      <w:r w:rsidR="00B37458" w:rsidRPr="00834267">
        <w:rPr>
          <w:color w:val="000000" w:themeColor="text1"/>
          <w:lang w:val="en-US"/>
        </w:rPr>
        <w:t xml:space="preserve">absorbing in the 240-280 nm region, as well as the </w:t>
      </w:r>
      <w:r w:rsidR="00B37458" w:rsidRPr="00834267">
        <w:rPr>
          <w:i/>
          <w:iCs/>
          <w:color w:val="000000" w:themeColor="text1"/>
          <w:lang w:val="en-US"/>
        </w:rPr>
        <w:sym w:font="Symbol" w:char="F070"/>
      </w:r>
      <w:r w:rsidR="00B37458" w:rsidRPr="00834267">
        <w:rPr>
          <w:color w:val="000000" w:themeColor="text1"/>
          <w:lang w:val="en-US"/>
        </w:rPr>
        <w:sym w:font="Symbol" w:char="F0AE"/>
      </w:r>
      <w:r w:rsidR="00B37458" w:rsidRPr="00834267">
        <w:rPr>
          <w:i/>
          <w:iCs/>
          <w:color w:val="000000" w:themeColor="text1"/>
          <w:lang w:val="en-US"/>
        </w:rPr>
        <w:sym w:font="Symbol" w:char="F070"/>
      </w:r>
      <w:r w:rsidR="00B37458" w:rsidRPr="00834267">
        <w:rPr>
          <w:color w:val="000000" w:themeColor="text1"/>
          <w:lang w:val="en-US"/>
        </w:rPr>
        <w:t xml:space="preserve">* and </w:t>
      </w:r>
      <w:r w:rsidR="00B37458" w:rsidRPr="00834267">
        <w:rPr>
          <w:i/>
          <w:iCs/>
          <w:color w:val="000000" w:themeColor="text1"/>
          <w:lang w:val="en-US"/>
        </w:rPr>
        <w:t>n</w:t>
      </w:r>
      <w:r w:rsidR="00B37458" w:rsidRPr="00834267">
        <w:rPr>
          <w:color w:val="000000" w:themeColor="text1"/>
          <w:lang w:val="en-US"/>
        </w:rPr>
        <w:sym w:font="Symbol" w:char="F0AE"/>
      </w:r>
      <w:r w:rsidR="00B37458" w:rsidRPr="00834267">
        <w:rPr>
          <w:i/>
          <w:iCs/>
          <w:color w:val="000000" w:themeColor="text1"/>
          <w:lang w:val="en-US"/>
        </w:rPr>
        <w:sym w:font="Symbol" w:char="F070"/>
      </w:r>
      <w:r w:rsidR="00B37458" w:rsidRPr="00834267">
        <w:rPr>
          <w:color w:val="000000" w:themeColor="text1"/>
          <w:lang w:val="en-US"/>
        </w:rPr>
        <w:t>* transition</w:t>
      </w:r>
      <w:r w:rsidR="00E577B8" w:rsidRPr="00834267">
        <w:rPr>
          <w:color w:val="000000" w:themeColor="text1"/>
          <w:lang w:val="en-US"/>
        </w:rPr>
        <w:t>s associated with conjugated molecules in the 250-350 nm region</w:t>
      </w:r>
      <w:r w:rsidRPr="00834267">
        <w:rPr>
          <w:color w:val="000000" w:themeColor="text1"/>
          <w:lang w:val="en-US"/>
        </w:rPr>
        <w:t>.</w:t>
      </w:r>
      <w:r w:rsidRPr="00834267">
        <w:rPr>
          <w:color w:val="000000" w:themeColor="text1"/>
          <w:vertAlign w:val="superscript"/>
          <w:lang w:val="en-US"/>
        </w:rPr>
        <w:t>46</w:t>
      </w:r>
      <w:r w:rsidRPr="00834267">
        <w:rPr>
          <w:color w:val="000000" w:themeColor="text1"/>
          <w:lang w:val="en-US"/>
        </w:rPr>
        <w:t xml:space="preserve"> Corresponding to the pure GL spectrum, the GL blends show stronger absorbance with increasing lignin content. While 20 and 3</w:t>
      </w:r>
      <w:r w:rsidR="00AD1663" w:rsidRPr="00834267">
        <w:rPr>
          <w:color w:val="000000" w:themeColor="text1"/>
          <w:lang w:val="en-US"/>
        </w:rPr>
        <w:t>0</w:t>
      </w:r>
      <w:r w:rsidR="00A05992" w:rsidRPr="00834267">
        <w:rPr>
          <w:color w:val="000000" w:themeColor="text1"/>
          <w:lang w:val="en-US"/>
        </w:rPr>
        <w:t>wt%</w:t>
      </w:r>
      <w:r w:rsidRPr="00834267">
        <w:rPr>
          <w:color w:val="000000" w:themeColor="text1"/>
          <w:lang w:val="en-US"/>
        </w:rPr>
        <w:t xml:space="preserve"> show maximum UV absorbance over the experimental irradiation range, 1</w:t>
      </w:r>
      <w:r w:rsidR="00AD1663" w:rsidRPr="00834267">
        <w:rPr>
          <w:color w:val="000000" w:themeColor="text1"/>
          <w:lang w:val="en-US"/>
        </w:rPr>
        <w:t>0</w:t>
      </w:r>
      <w:r w:rsidR="00A05992" w:rsidRPr="00834267">
        <w:rPr>
          <w:color w:val="000000" w:themeColor="text1"/>
          <w:lang w:val="en-US"/>
        </w:rPr>
        <w:t>wt%</w:t>
      </w:r>
      <w:r w:rsidRPr="00834267">
        <w:rPr>
          <w:color w:val="000000" w:themeColor="text1"/>
          <w:lang w:val="en-US"/>
        </w:rPr>
        <w:t xml:space="preserve"> is sub-maximum and suggests minor susceptibility to photo-induced radical formation.</w:t>
      </w:r>
    </w:p>
    <w:p w14:paraId="1310BD71" w14:textId="161D322F" w:rsidR="00A6721F" w:rsidRPr="00834267" w:rsidRDefault="00CD243D" w:rsidP="00296631">
      <w:pPr>
        <w:pStyle w:val="RSCB02ArticleText"/>
        <w:rPr>
          <w:color w:val="000000" w:themeColor="text1"/>
          <w:lang w:val="en-US"/>
        </w:rPr>
      </w:pPr>
      <w:r w:rsidRPr="00834267">
        <w:rPr>
          <w:color w:val="000000" w:themeColor="text1"/>
          <w:lang w:val="en-US"/>
        </w:rPr>
        <w:t xml:space="preserve"> </w:t>
      </w:r>
      <w:r w:rsidR="00A6721F" w:rsidRPr="00834267">
        <w:rPr>
          <w:color w:val="000000" w:themeColor="text1"/>
          <w:lang w:val="en-US"/>
        </w:rPr>
        <w:t xml:space="preserve">We selected the oxidation induction time (OIT) test as a simple way to demonstrate the radical scavenging ability of GL in polyolefin blends, with results summarized in </w:t>
      </w:r>
      <w:r w:rsidR="00AD1663" w:rsidRPr="00834267">
        <w:rPr>
          <w:color w:val="000000" w:themeColor="text1"/>
          <w:lang w:val="en-US"/>
        </w:rPr>
        <w:t>Fig.</w:t>
      </w:r>
      <w:r w:rsidR="00A6721F" w:rsidRPr="00834267">
        <w:rPr>
          <w:color w:val="000000" w:themeColor="text1"/>
          <w:lang w:val="en-US"/>
        </w:rPr>
        <w:t xml:space="preserve"> 5(b). The results clearly indicate that GL protects the polymer matrix from oxidation—through radical scavenging and possibly impedance of oxygen diffusion—with growing efficacy as GL content increases, reaching an unprecedented 1000% improvement for 2</w:t>
      </w:r>
      <w:r w:rsidR="00AD1663" w:rsidRPr="00834267">
        <w:rPr>
          <w:color w:val="000000" w:themeColor="text1"/>
          <w:lang w:val="en-US"/>
        </w:rPr>
        <w:t>0</w:t>
      </w:r>
      <w:r w:rsidR="00A05992" w:rsidRPr="00834267">
        <w:rPr>
          <w:color w:val="000000" w:themeColor="text1"/>
          <w:lang w:val="en-US"/>
        </w:rPr>
        <w:t>wt%</w:t>
      </w:r>
      <w:r w:rsidR="00A6721F" w:rsidRPr="00834267">
        <w:rPr>
          <w:color w:val="000000" w:themeColor="text1"/>
          <w:lang w:val="en-US"/>
        </w:rPr>
        <w:t xml:space="preserve"> loading. Despite having a lower phenolic -OH content than some unmodified </w:t>
      </w:r>
      <w:proofErr w:type="spellStart"/>
      <w:r w:rsidR="00A6721F" w:rsidRPr="00834267">
        <w:rPr>
          <w:color w:val="000000" w:themeColor="text1"/>
          <w:lang w:val="en-US"/>
        </w:rPr>
        <w:t>lignins</w:t>
      </w:r>
      <w:proofErr w:type="spellEnd"/>
      <w:r w:rsidR="00A6721F" w:rsidRPr="00834267">
        <w:rPr>
          <w:color w:val="000000" w:themeColor="text1"/>
          <w:lang w:val="en-US"/>
        </w:rPr>
        <w:t xml:space="preserve"> (</w:t>
      </w:r>
      <w:r w:rsidR="00C046E0" w:rsidRPr="00834267">
        <w:rPr>
          <w:color w:val="000000" w:themeColor="text1"/>
          <w:lang w:val="en-US"/>
        </w:rPr>
        <w:sym w:font="Symbol" w:char="F07E"/>
      </w:r>
      <w:r w:rsidR="00A6721F" w:rsidRPr="00834267">
        <w:rPr>
          <w:color w:val="000000" w:themeColor="text1"/>
          <w:lang w:val="en-US"/>
        </w:rPr>
        <w:t xml:space="preserve">2.5 mmol/g vs </w:t>
      </w:r>
      <w:r w:rsidR="00C046E0" w:rsidRPr="00834267">
        <w:rPr>
          <w:color w:val="000000" w:themeColor="text1"/>
          <w:lang w:val="en-US"/>
        </w:rPr>
        <w:sym w:font="Symbol" w:char="F07E"/>
      </w:r>
      <w:r w:rsidR="00A6721F" w:rsidRPr="00834267">
        <w:rPr>
          <w:color w:val="000000" w:themeColor="text1"/>
          <w:lang w:val="en-US"/>
        </w:rPr>
        <w:t>4.</w:t>
      </w:r>
      <w:proofErr w:type="gramStart"/>
      <w:r w:rsidR="00A6721F" w:rsidRPr="00834267">
        <w:rPr>
          <w:color w:val="000000" w:themeColor="text1"/>
          <w:lang w:val="en-US"/>
        </w:rPr>
        <w:t xml:space="preserve">5 </w:t>
      </w:r>
      <w:r w:rsidR="009C378A" w:rsidRPr="00834267">
        <w:rPr>
          <w:color w:val="000000" w:themeColor="text1"/>
          <w:lang w:val="en-US"/>
        </w:rPr>
        <w:t xml:space="preserve"> </w:t>
      </w:r>
      <w:r w:rsidR="00A6721F" w:rsidRPr="00834267">
        <w:rPr>
          <w:color w:val="000000" w:themeColor="text1"/>
          <w:lang w:val="en-US"/>
        </w:rPr>
        <w:t>mmol</w:t>
      </w:r>
      <w:proofErr w:type="gramEnd"/>
      <w:r w:rsidR="00A6721F" w:rsidRPr="00834267">
        <w:rPr>
          <w:color w:val="000000" w:themeColor="text1"/>
          <w:lang w:val="en-US"/>
        </w:rPr>
        <w:t>/g</w:t>
      </w:r>
      <w:r w:rsidR="00A6721F" w:rsidRPr="00834267">
        <w:rPr>
          <w:color w:val="000000" w:themeColor="text1"/>
          <w:vertAlign w:val="superscript"/>
          <w:lang w:val="en-US"/>
        </w:rPr>
        <w:t>23,29</w:t>
      </w:r>
      <w:r w:rsidR="00A6721F" w:rsidRPr="00834267">
        <w:rPr>
          <w:color w:val="000000" w:themeColor="text1"/>
          <w:lang w:val="en-US"/>
        </w:rPr>
        <w:t>), GL shows superior compatibility with maleic-grafted PP and the uniform dispersion leads to lower surface energy and more effective radical scavenging ability.</w:t>
      </w:r>
      <w:r w:rsidR="00A6721F" w:rsidRPr="00834267">
        <w:rPr>
          <w:color w:val="000000" w:themeColor="text1"/>
          <w:vertAlign w:val="superscript"/>
          <w:lang w:val="en-US"/>
        </w:rPr>
        <w:t>23,24</w:t>
      </w:r>
      <w:r w:rsidR="00A6721F" w:rsidRPr="00834267">
        <w:rPr>
          <w:color w:val="000000" w:themeColor="text1"/>
          <w:lang w:val="en-US"/>
        </w:rPr>
        <w:t xml:space="preserve"> This reinforces the notion that effective compatibilization and dispersion of biomass in the host polymer is crucial for improving overall performance.</w:t>
      </w:r>
      <w:r w:rsidR="000F7ABF" w:rsidRPr="00834267">
        <w:rPr>
          <w:color w:val="000000" w:themeColor="text1"/>
          <w:lang w:val="en-US"/>
        </w:rPr>
        <w:t xml:space="preserve"> These </w:t>
      </w:r>
      <w:r w:rsidR="00537C00" w:rsidRPr="00834267">
        <w:rPr>
          <w:color w:val="000000" w:themeColor="text1"/>
          <w:lang w:val="en-US"/>
        </w:rPr>
        <w:t>dual melanin-like UV absorbent/antioxidant</w:t>
      </w:r>
      <w:r w:rsidR="000F7ABF" w:rsidRPr="00834267">
        <w:rPr>
          <w:color w:val="000000" w:themeColor="text1"/>
          <w:lang w:val="en-US"/>
        </w:rPr>
        <w:t xml:space="preserve"> functions are illustrated in Fig. 5(c).</w:t>
      </w:r>
    </w:p>
    <w:p w14:paraId="04404D07" w14:textId="24D93454" w:rsidR="00A6721F" w:rsidRPr="00834267" w:rsidRDefault="00A6721F" w:rsidP="00296631">
      <w:pPr>
        <w:pStyle w:val="RSCB02ArticleText"/>
        <w:rPr>
          <w:color w:val="000000" w:themeColor="text1"/>
          <w:lang w:val="en-US"/>
        </w:rPr>
      </w:pPr>
      <w:r w:rsidRPr="00834267">
        <w:rPr>
          <w:color w:val="000000" w:themeColor="text1"/>
          <w:lang w:val="en-US"/>
        </w:rPr>
        <w:t xml:space="preserve">Finally, GL acts as mechanical reinforcement at the micron and sub-micron scale via composite action between the </w:t>
      </w:r>
      <w:proofErr w:type="gramStart"/>
      <w:r w:rsidRPr="00834267">
        <w:rPr>
          <w:color w:val="000000" w:themeColor="text1"/>
          <w:lang w:val="en-US"/>
        </w:rPr>
        <w:t xml:space="preserve">polymer </w:t>
      </w:r>
      <w:r w:rsidR="008E38AF" w:rsidRPr="00834267">
        <w:rPr>
          <w:color w:val="000000" w:themeColor="text1"/>
          <w:lang w:val="en-US"/>
        </w:rPr>
        <w:t xml:space="preserve"> </w:t>
      </w:r>
      <w:r w:rsidRPr="00834267">
        <w:rPr>
          <w:color w:val="000000" w:themeColor="text1"/>
          <w:lang w:val="en-US"/>
        </w:rPr>
        <w:t>matrix</w:t>
      </w:r>
      <w:proofErr w:type="gramEnd"/>
      <w:r w:rsidRPr="00834267">
        <w:rPr>
          <w:color w:val="000000" w:themeColor="text1"/>
          <w:lang w:val="en-US"/>
        </w:rPr>
        <w:t xml:space="preserve"> and well-dispersed particles of rigid aromatic biomolecules that increase the bulk tensile strength and modulus.</w:t>
      </w:r>
      <w:r w:rsidRPr="00834267">
        <w:rPr>
          <w:color w:val="000000" w:themeColor="text1"/>
          <w:vertAlign w:val="superscript"/>
          <w:lang w:val="en-US"/>
        </w:rPr>
        <w:t>25,35,41</w:t>
      </w:r>
      <w:r w:rsidRPr="00834267">
        <w:rPr>
          <w:color w:val="000000" w:themeColor="text1"/>
          <w:lang w:val="en-US"/>
        </w:rPr>
        <w:t xml:space="preserve"> This is a key feature of GL that differentiates it from other reported lignin blends and is vital for creating durable and recyclable composites. Here we use a simple stress analysis based on linear elastic fracture mechanics (LEFM) to show that GL is responsible for limiting the effect of surface cracks on the apparent strength after UV irradiation; see ESI for details. The nominal strength </w:t>
      </w:r>
      <w:r w:rsidRPr="00834267">
        <w:rPr>
          <w:i/>
          <w:iCs/>
          <w:color w:val="000000" w:themeColor="text1"/>
          <w:lang w:val="en-US"/>
        </w:rPr>
        <w:sym w:font="Symbol" w:char="F073"/>
      </w:r>
      <w:r w:rsidRPr="00834267">
        <w:rPr>
          <w:i/>
          <w:iCs/>
          <w:color w:val="000000" w:themeColor="text1"/>
          <w:vertAlign w:val="subscript"/>
          <w:lang w:val="en-US"/>
        </w:rPr>
        <w:t>N</w:t>
      </w:r>
      <w:r w:rsidRPr="00834267">
        <w:rPr>
          <w:color w:val="000000" w:themeColor="text1"/>
          <w:lang w:val="en-US"/>
        </w:rPr>
        <w:t xml:space="preserve">—i.e., the applied load averaged over the nominal specimen cross sectional area—is equal to the bulk tensile strength when surface crack depths </w:t>
      </w:r>
      <w:r w:rsidRPr="00834267">
        <w:rPr>
          <w:i/>
          <w:iCs/>
          <w:color w:val="000000" w:themeColor="text1"/>
          <w:lang w:val="en-US"/>
        </w:rPr>
        <w:t>d</w:t>
      </w:r>
      <w:r w:rsidRPr="00834267">
        <w:rPr>
          <w:i/>
          <w:iCs/>
          <w:color w:val="000000" w:themeColor="text1"/>
          <w:vertAlign w:val="subscript"/>
          <w:lang w:val="en-US"/>
        </w:rPr>
        <w:t>c</w:t>
      </w:r>
      <w:r w:rsidRPr="00834267">
        <w:rPr>
          <w:color w:val="000000" w:themeColor="text1"/>
          <w:lang w:val="en-US"/>
        </w:rPr>
        <w:t xml:space="preserve"> </w:t>
      </w:r>
      <w:proofErr w:type="gramStart"/>
      <w:r w:rsidRPr="00834267">
        <w:rPr>
          <w:color w:val="000000" w:themeColor="text1"/>
          <w:lang w:val="en-US"/>
        </w:rPr>
        <w:t>are</w:t>
      </w:r>
      <w:proofErr w:type="gramEnd"/>
      <w:r w:rsidRPr="00834267">
        <w:rPr>
          <w:color w:val="000000" w:themeColor="text1"/>
          <w:lang w:val="en-US"/>
        </w:rPr>
        <w:t xml:space="preserve"> very small but decreases when the cracks become larger. This is because the applied load required to propagate a surface crack of a certain length </w:t>
      </w:r>
      <w:r w:rsidRPr="00834267">
        <w:rPr>
          <w:color w:val="000000" w:themeColor="text1"/>
        </w:rPr>
        <w:t>exceeds</w:t>
      </w:r>
      <w:r w:rsidRPr="00834267">
        <w:rPr>
          <w:color w:val="000000" w:themeColor="text1"/>
          <w:lang w:val="en-US"/>
        </w:rPr>
        <w:t xml:space="preserve"> the critical value corresponding to the fracture toughness (</w:t>
      </w:r>
      <w:r w:rsidRPr="00834267">
        <w:rPr>
          <w:i/>
          <w:iCs/>
          <w:color w:val="000000" w:themeColor="text1"/>
          <w:lang w:val="en-US"/>
        </w:rPr>
        <w:t>K</w:t>
      </w:r>
      <w:r w:rsidRPr="00834267">
        <w:rPr>
          <w:color w:val="000000" w:themeColor="text1"/>
          <w:vertAlign w:val="subscript"/>
          <w:lang w:val="en-US"/>
        </w:rPr>
        <w:t>IC</w:t>
      </w:r>
      <w:r w:rsidRPr="00834267">
        <w:rPr>
          <w:color w:val="000000" w:themeColor="text1"/>
          <w:lang w:val="en-US"/>
        </w:rPr>
        <w:t>) of the material before yielding can occur.</w:t>
      </w:r>
    </w:p>
    <w:p w14:paraId="3E4BCAAF" w14:textId="466CEF3B" w:rsidR="00A6721F" w:rsidRPr="00834267" w:rsidRDefault="009C378A" w:rsidP="00296631">
      <w:pPr>
        <w:pStyle w:val="RSCB02ArticleText"/>
        <w:rPr>
          <w:color w:val="000000" w:themeColor="text1"/>
          <w:lang w:val="en-US"/>
        </w:rPr>
      </w:pPr>
      <w:r w:rsidRPr="00834267">
        <w:rPr>
          <w:color w:val="000000" w:themeColor="text1"/>
          <w:lang w:val="en-US"/>
        </w:rPr>
        <w:t xml:space="preserve"> </w:t>
      </w:r>
      <w:r w:rsidR="00A6721F" w:rsidRPr="00834267">
        <w:rPr>
          <w:color w:val="000000" w:themeColor="text1"/>
          <w:lang w:val="en-US"/>
        </w:rPr>
        <w:t xml:space="preserve">The predictions of nominal strength using LEFM are shown in </w:t>
      </w:r>
      <w:r w:rsidR="00AD1663" w:rsidRPr="00834267">
        <w:rPr>
          <w:color w:val="000000" w:themeColor="text1"/>
          <w:lang w:val="en-US"/>
        </w:rPr>
        <w:t>Fig.</w:t>
      </w:r>
      <w:r w:rsidR="00A6721F" w:rsidRPr="00834267">
        <w:rPr>
          <w:color w:val="000000" w:themeColor="text1"/>
          <w:lang w:val="en-US"/>
        </w:rPr>
        <w:t xml:space="preserve"> </w:t>
      </w:r>
      <w:r w:rsidR="00C668F1" w:rsidRPr="00834267">
        <w:rPr>
          <w:color w:val="000000" w:themeColor="text1"/>
          <w:lang w:val="en-US"/>
        </w:rPr>
        <w:t>5</w:t>
      </w:r>
      <w:r w:rsidR="00A6721F" w:rsidRPr="00834267">
        <w:rPr>
          <w:color w:val="000000" w:themeColor="text1"/>
          <w:lang w:val="en-US"/>
        </w:rPr>
        <w:t>(</w:t>
      </w:r>
      <w:r w:rsidR="00C668F1" w:rsidRPr="00834267">
        <w:rPr>
          <w:color w:val="000000" w:themeColor="text1"/>
          <w:lang w:val="en-US"/>
        </w:rPr>
        <w:t>d</w:t>
      </w:r>
      <w:r w:rsidR="00A6721F" w:rsidRPr="00834267">
        <w:rPr>
          <w:color w:val="000000" w:themeColor="text1"/>
          <w:lang w:val="en-US"/>
        </w:rPr>
        <w:t xml:space="preserve">), assuming a typical value of </w:t>
      </w:r>
      <w:r w:rsidR="00A6721F" w:rsidRPr="00834267">
        <w:rPr>
          <w:i/>
          <w:iCs/>
          <w:color w:val="000000" w:themeColor="text1"/>
          <w:lang w:val="en-US"/>
        </w:rPr>
        <w:t>K</w:t>
      </w:r>
      <w:r w:rsidR="00A6721F" w:rsidRPr="00834267">
        <w:rPr>
          <w:color w:val="000000" w:themeColor="text1"/>
          <w:vertAlign w:val="subscript"/>
          <w:lang w:val="en-US"/>
        </w:rPr>
        <w:t>IC</w:t>
      </w:r>
      <w:r w:rsidR="006236D2" w:rsidRPr="00834267">
        <w:rPr>
          <w:color w:val="000000" w:themeColor="text1"/>
          <w:vertAlign w:val="subscript"/>
          <w:lang w:val="en-US"/>
        </w:rPr>
        <w:t xml:space="preserve"> </w:t>
      </w:r>
      <w:r w:rsidR="00C046E0" w:rsidRPr="00834267">
        <w:rPr>
          <w:color w:val="000000" w:themeColor="text1"/>
          <w:lang w:val="en-US"/>
        </w:rPr>
        <w:sym w:font="Symbol" w:char="F07E"/>
      </w:r>
      <w:r w:rsidR="006236D2" w:rsidRPr="00834267">
        <w:rPr>
          <w:color w:val="000000" w:themeColor="text1"/>
          <w:lang w:val="en-US"/>
        </w:rPr>
        <w:t xml:space="preserve"> </w:t>
      </w:r>
      <w:r w:rsidR="00A6721F" w:rsidRPr="00834267">
        <w:rPr>
          <w:color w:val="000000" w:themeColor="text1"/>
          <w:lang w:val="en-US"/>
        </w:rPr>
        <w:t>3.5 MPa</w:t>
      </w:r>
      <w:r w:rsidR="00A6721F" w:rsidRPr="00834267">
        <w:rPr>
          <w:color w:val="000000" w:themeColor="text1"/>
          <w:lang w:val="en-US"/>
        </w:rPr>
        <w:sym w:font="Symbol" w:char="F0D6"/>
      </w:r>
      <w:r w:rsidR="00A6721F" w:rsidRPr="00834267">
        <w:rPr>
          <w:color w:val="000000" w:themeColor="text1"/>
          <w:lang w:val="en-US"/>
        </w:rPr>
        <w:t>m;</w:t>
      </w:r>
      <w:r w:rsidR="00A6721F" w:rsidRPr="00834267">
        <w:rPr>
          <w:color w:val="000000" w:themeColor="text1"/>
          <w:vertAlign w:val="superscript"/>
          <w:lang w:val="en-US"/>
        </w:rPr>
        <w:t>48</w:t>
      </w:r>
      <w:r w:rsidR="00A6721F" w:rsidRPr="00834267">
        <w:rPr>
          <w:color w:val="000000" w:themeColor="text1"/>
          <w:lang w:val="en-US"/>
        </w:rPr>
        <w:t xml:space="preserve"> calculations using a wider range of values are </w:t>
      </w:r>
      <w:r w:rsidR="00705C74" w:rsidRPr="00834267">
        <w:rPr>
          <w:color w:val="000000" w:themeColor="text1"/>
          <w:lang w:val="en-US"/>
        </w:rPr>
        <w:t>compared in Fig.</w:t>
      </w:r>
      <w:r w:rsidR="00D97BD4" w:rsidRPr="00834267">
        <w:rPr>
          <w:color w:val="000000" w:themeColor="text1"/>
          <w:lang w:val="en-US"/>
        </w:rPr>
        <w:t xml:space="preserve"> S9</w:t>
      </w:r>
      <w:r w:rsidR="00A6721F" w:rsidRPr="00834267">
        <w:rPr>
          <w:color w:val="000000" w:themeColor="text1"/>
          <w:lang w:val="en-US"/>
        </w:rPr>
        <w:t>. A detailed analysis using elastic-plastic fracture mechanics (EPFM) is required for accurate predictions in ductile polymers; however, we only intend this analysis to demonstrate whether the fracture behavior is brittle (i.e., controlled by UV-induced surface cracks) or ductile (i.e., unchanged from initial behavior). Overestimation of experimental values by LEFM may be due to reduction of the bulk material properties by chemical degradation, which is expected for neat PP but not for GL blends. More notably, the drastic underestimation seen for GL blends strongly indicates that crack size alone does not dominate bulk tensile properties. In addition to the suppression of crack formation during irradiation via UV absorption and radical scavenging</w:t>
      </w:r>
      <w:r w:rsidR="002810FA" w:rsidRPr="00834267">
        <w:rPr>
          <w:color w:val="000000" w:themeColor="text1"/>
          <w:lang w:val="en-US"/>
        </w:rPr>
        <w:t xml:space="preserve"> (Fig.</w:t>
      </w:r>
      <w:r w:rsidR="00D97BD4" w:rsidRPr="00834267">
        <w:rPr>
          <w:color w:val="000000" w:themeColor="text1"/>
          <w:lang w:val="en-US"/>
        </w:rPr>
        <w:t xml:space="preserve"> S8</w:t>
      </w:r>
      <w:r w:rsidR="002810FA" w:rsidRPr="00834267">
        <w:rPr>
          <w:color w:val="000000" w:themeColor="text1"/>
          <w:lang w:val="en-US"/>
        </w:rPr>
        <w:t>)</w:t>
      </w:r>
      <w:r w:rsidR="00A6721F" w:rsidRPr="00834267">
        <w:rPr>
          <w:color w:val="000000" w:themeColor="text1"/>
          <w:lang w:val="en-US"/>
        </w:rPr>
        <w:t>, GL also reinforces the polymer such that surface cracks formed by chemical degradation are hindered from growing before bulk yielding occurs (</w:t>
      </w:r>
      <w:r w:rsidR="00AD1663" w:rsidRPr="00834267">
        <w:rPr>
          <w:color w:val="000000" w:themeColor="text1"/>
          <w:lang w:val="en-US"/>
        </w:rPr>
        <w:t>Fig.</w:t>
      </w:r>
      <w:r w:rsidR="00A6721F" w:rsidRPr="00834267">
        <w:rPr>
          <w:color w:val="000000" w:themeColor="text1"/>
          <w:lang w:val="en-US"/>
        </w:rPr>
        <w:t xml:space="preserve"> </w:t>
      </w:r>
      <w:r w:rsidR="00C668F1" w:rsidRPr="00834267">
        <w:rPr>
          <w:color w:val="000000" w:themeColor="text1"/>
          <w:lang w:val="en-US"/>
        </w:rPr>
        <w:t>5</w:t>
      </w:r>
      <w:r w:rsidR="00A6721F" w:rsidRPr="00834267">
        <w:rPr>
          <w:color w:val="000000" w:themeColor="text1"/>
          <w:lang w:val="en-US"/>
        </w:rPr>
        <w:t>(</w:t>
      </w:r>
      <w:r w:rsidR="00C668F1" w:rsidRPr="00834267">
        <w:rPr>
          <w:color w:val="000000" w:themeColor="text1"/>
          <w:lang w:val="en-US"/>
        </w:rPr>
        <w:t>e</w:t>
      </w:r>
      <w:r w:rsidR="00A6721F" w:rsidRPr="00834267">
        <w:rPr>
          <w:color w:val="000000" w:themeColor="text1"/>
          <w:lang w:val="en-US"/>
        </w:rPr>
        <w:t>)). This novel toughening behavior has not been reported in lignin-based blends to date.</w:t>
      </w:r>
    </w:p>
    <w:p w14:paraId="7B3701D0" w14:textId="55F73552" w:rsidR="003C2BB6" w:rsidRPr="00834267" w:rsidRDefault="003C2BB6" w:rsidP="0068412A">
      <w:pPr>
        <w:pStyle w:val="RSCB02ArticleText"/>
        <w:ind w:firstLine="113"/>
        <w:rPr>
          <w:color w:val="000000" w:themeColor="text1"/>
          <w:lang w:val="en-US"/>
        </w:rPr>
      </w:pPr>
      <w:r w:rsidRPr="00834267">
        <w:rPr>
          <w:color w:val="000000" w:themeColor="text1"/>
          <w:lang w:val="en-US"/>
        </w:rPr>
        <w:t xml:space="preserve">Other commercially available UV stabilizers, </w:t>
      </w:r>
      <w:r w:rsidR="00D97BD4" w:rsidRPr="00834267">
        <w:rPr>
          <w:color w:val="000000" w:themeColor="text1"/>
          <w:lang w:val="en-US"/>
        </w:rPr>
        <w:t xml:space="preserve">a </w:t>
      </w:r>
      <w:r w:rsidRPr="00834267">
        <w:rPr>
          <w:color w:val="000000" w:themeColor="text1"/>
          <w:lang w:val="en-US"/>
        </w:rPr>
        <w:t>hydroxyphenyl benzotriazole-type</w:t>
      </w:r>
      <w:r w:rsidR="00D97BD4" w:rsidRPr="00834267">
        <w:rPr>
          <w:color w:val="000000" w:themeColor="text1"/>
          <w:lang w:val="en-US"/>
        </w:rPr>
        <w:t xml:space="preserve"> </w:t>
      </w:r>
      <w:proofErr w:type="spellStart"/>
      <w:r w:rsidR="00D97BD4" w:rsidRPr="00834267">
        <w:rPr>
          <w:color w:val="000000" w:themeColor="text1"/>
          <w:lang w:val="en-US"/>
        </w:rPr>
        <w:t>Tinuvin</w:t>
      </w:r>
      <w:proofErr w:type="spellEnd"/>
      <w:r w:rsidR="00D97BD4" w:rsidRPr="00834267">
        <w:rPr>
          <w:color w:val="000000" w:themeColor="text1"/>
          <w:lang w:val="en-US"/>
        </w:rPr>
        <w:t xml:space="preserve"> 1130 (UVA)</w:t>
      </w:r>
      <w:r w:rsidRPr="00834267">
        <w:rPr>
          <w:color w:val="000000" w:themeColor="text1"/>
          <w:lang w:val="en-US"/>
        </w:rPr>
        <w:t xml:space="preserve"> and acetyl lignin (</w:t>
      </w:r>
      <w:proofErr w:type="spellStart"/>
      <w:r w:rsidRPr="00834267">
        <w:rPr>
          <w:color w:val="000000" w:themeColor="text1"/>
          <w:lang w:val="en-US"/>
        </w:rPr>
        <w:t>AcL</w:t>
      </w:r>
      <w:proofErr w:type="spellEnd"/>
      <w:r w:rsidRPr="00834267">
        <w:rPr>
          <w:color w:val="000000" w:themeColor="text1"/>
          <w:lang w:val="en-US"/>
        </w:rPr>
        <w:t xml:space="preserve">), provide varying degrees of UV resistance, but neither can compare to GL’s performance. A relatively high loading of 1wt% of UVA only </w:t>
      </w:r>
      <w:r w:rsidR="00E213CC" w:rsidRPr="00834267">
        <w:rPr>
          <w:color w:val="000000" w:themeColor="text1"/>
          <w:lang w:val="en-US"/>
        </w:rPr>
        <w:t xml:space="preserve">has a marginal effect on </w:t>
      </w:r>
      <w:r w:rsidR="00031554" w:rsidRPr="00834267">
        <w:rPr>
          <w:i/>
          <w:iCs/>
          <w:color w:val="000000" w:themeColor="text1"/>
          <w:lang w:val="en-US"/>
        </w:rPr>
        <w:t>M</w:t>
      </w:r>
      <w:r w:rsidR="00031554" w:rsidRPr="00834267">
        <w:rPr>
          <w:color w:val="000000" w:themeColor="text1"/>
          <w:vertAlign w:val="subscript"/>
          <w:lang w:val="en-US"/>
        </w:rPr>
        <w:t>w</w:t>
      </w:r>
      <w:r w:rsidR="00E213CC" w:rsidRPr="00834267">
        <w:rPr>
          <w:color w:val="000000" w:themeColor="text1"/>
          <w:lang w:val="en-US"/>
        </w:rPr>
        <w:t xml:space="preserve"> reduction (Fig. 6(a)) after 300 MJ/m</w:t>
      </w:r>
      <w:r w:rsidR="00E213CC" w:rsidRPr="00834267">
        <w:rPr>
          <w:color w:val="000000" w:themeColor="text1"/>
          <w:vertAlign w:val="superscript"/>
          <w:lang w:val="en-US"/>
        </w:rPr>
        <w:t>2</w:t>
      </w:r>
      <w:r w:rsidR="00E213CC" w:rsidRPr="00834267">
        <w:rPr>
          <w:color w:val="000000" w:themeColor="text1"/>
          <w:lang w:val="en-US"/>
        </w:rPr>
        <w:t xml:space="preserve"> of UV exposure, with no discernable effect at practical loadings of 0.1-0.5wt% (Fig.</w:t>
      </w:r>
      <w:r w:rsidR="00B91608" w:rsidRPr="00834267">
        <w:rPr>
          <w:color w:val="000000" w:themeColor="text1"/>
          <w:lang w:val="en-US"/>
        </w:rPr>
        <w:t xml:space="preserve"> S10</w:t>
      </w:r>
      <w:r w:rsidR="00E213CC" w:rsidRPr="00834267">
        <w:rPr>
          <w:color w:val="000000" w:themeColor="text1"/>
          <w:lang w:val="en-US"/>
        </w:rPr>
        <w:t>).</w:t>
      </w:r>
      <w:r w:rsidR="002517ED" w:rsidRPr="00834267">
        <w:rPr>
          <w:color w:val="000000" w:themeColor="text1"/>
          <w:lang w:val="en-US"/>
        </w:rPr>
        <w:t xml:space="preserve"> </w:t>
      </w:r>
      <w:r w:rsidR="00B80B3B" w:rsidRPr="00834267">
        <w:rPr>
          <w:color w:val="000000" w:themeColor="text1"/>
          <w:lang w:val="en-US"/>
        </w:rPr>
        <w:t>Despite this</w:t>
      </w:r>
      <w:r w:rsidR="002517ED" w:rsidRPr="00834267">
        <w:rPr>
          <w:color w:val="000000" w:themeColor="text1"/>
          <w:lang w:val="en-US"/>
        </w:rPr>
        <w:t xml:space="preserve">, </w:t>
      </w:r>
      <w:r w:rsidR="00B80B3B" w:rsidRPr="00834267">
        <w:rPr>
          <w:color w:val="000000" w:themeColor="text1"/>
          <w:lang w:val="en-US"/>
        </w:rPr>
        <w:t xml:space="preserve">while not providing any reinforcement, </w:t>
      </w:r>
      <w:r w:rsidR="002517ED" w:rsidRPr="00834267">
        <w:rPr>
          <w:color w:val="000000" w:themeColor="text1"/>
          <w:lang w:val="en-US"/>
        </w:rPr>
        <w:t xml:space="preserve">it </w:t>
      </w:r>
      <w:r w:rsidR="00B80B3B" w:rsidRPr="00834267">
        <w:rPr>
          <w:color w:val="000000" w:themeColor="text1"/>
          <w:lang w:val="en-US"/>
        </w:rPr>
        <w:t xml:space="preserve">does </w:t>
      </w:r>
      <w:r w:rsidR="002517ED" w:rsidRPr="00834267">
        <w:rPr>
          <w:color w:val="000000" w:themeColor="text1"/>
          <w:lang w:val="en-US"/>
        </w:rPr>
        <w:t>show higher retention of tensile strength than neat PP (65% vs 45%), as seen in Fig. 6(b)</w:t>
      </w:r>
      <w:r w:rsidR="00B91608" w:rsidRPr="00834267">
        <w:rPr>
          <w:color w:val="000000" w:themeColor="text1"/>
          <w:lang w:val="en-US"/>
        </w:rPr>
        <w:t xml:space="preserve"> and Fig. S11</w:t>
      </w:r>
      <w:r w:rsidR="002517ED" w:rsidRPr="00834267">
        <w:rPr>
          <w:color w:val="000000" w:themeColor="text1"/>
          <w:lang w:val="en-US"/>
        </w:rPr>
        <w:t xml:space="preserve">. In contrast, AcL-20wt% seems to be just as effective at suppressing </w:t>
      </w:r>
      <w:r w:rsidR="002517ED" w:rsidRPr="00834267">
        <w:rPr>
          <w:i/>
          <w:iCs/>
          <w:color w:val="000000" w:themeColor="text1"/>
          <w:lang w:val="en-US"/>
        </w:rPr>
        <w:t>M</w:t>
      </w:r>
      <w:r w:rsidR="002517ED" w:rsidRPr="00834267">
        <w:rPr>
          <w:color w:val="000000" w:themeColor="text1"/>
          <w:vertAlign w:val="subscript"/>
          <w:lang w:val="en-US"/>
        </w:rPr>
        <w:t>w</w:t>
      </w:r>
      <w:r w:rsidR="002517ED" w:rsidRPr="00834267">
        <w:rPr>
          <w:color w:val="000000" w:themeColor="text1"/>
          <w:lang w:val="en-US"/>
        </w:rPr>
        <w:t xml:space="preserve"> reduction as GL-20wt% through absorbent/antioxidant action (Fig. 6(a)).</w:t>
      </w:r>
      <w:r w:rsidR="00B80B3B" w:rsidRPr="00834267">
        <w:rPr>
          <w:color w:val="000000" w:themeColor="text1"/>
          <w:lang w:val="en-US"/>
        </w:rPr>
        <w:t xml:space="preserve"> However, the lack of covalent bonding with maleic-grafted PP and inadequate dispersibility result in negligible reinforcing capability and only moderate retention of mechanical properties (Fig. 6(b)). </w:t>
      </w:r>
      <w:r w:rsidR="00E82F16" w:rsidRPr="00834267">
        <w:rPr>
          <w:color w:val="000000" w:themeColor="text1"/>
          <w:lang w:val="en-US"/>
        </w:rPr>
        <w:t>The chemical structures of all three additives in this study are shown in Fig. 6(c), along with qualitative comparison of their overall performance. These results support our assertion that GL blends possess superior mechanical and durability performance due to GL’s simultaneous roles as absorbent, antioxidant, and reinforcement, which is essential for creating a class of durable and recyclable polyolefins.</w:t>
      </w:r>
    </w:p>
    <w:p w14:paraId="7CAB714A" w14:textId="5965AFE5" w:rsidR="00A6721F" w:rsidRPr="00834267" w:rsidRDefault="009C378A" w:rsidP="00F86269">
      <w:pPr>
        <w:pStyle w:val="RSCB07BHeadingSub-Section-standalone"/>
        <w:rPr>
          <w:color w:val="000000" w:themeColor="text1"/>
          <w:w w:val="108"/>
          <w:lang w:val="en-US"/>
        </w:rPr>
      </w:pPr>
      <w:r w:rsidRPr="00834267">
        <w:rPr>
          <w:color w:val="000000" w:themeColor="text1"/>
          <w:w w:val="108"/>
          <w:lang w:val="en-US"/>
        </w:rPr>
        <w:t xml:space="preserve"> </w:t>
      </w:r>
      <w:r w:rsidR="00A6721F" w:rsidRPr="00834267">
        <w:rPr>
          <w:color w:val="000000" w:themeColor="text1"/>
          <w:w w:val="108"/>
          <w:lang w:val="en-US"/>
        </w:rPr>
        <w:t>Closed-loop recyclability of GL blends</w:t>
      </w:r>
    </w:p>
    <w:p w14:paraId="58261C4B" w14:textId="35A11076" w:rsidR="00A6721F" w:rsidRPr="00834267" w:rsidRDefault="00A6721F" w:rsidP="0068412A">
      <w:pPr>
        <w:pStyle w:val="RSCB02ArticleText"/>
        <w:ind w:firstLine="113"/>
        <w:rPr>
          <w:color w:val="000000" w:themeColor="text1"/>
          <w:lang w:val="en-US"/>
        </w:rPr>
      </w:pPr>
      <w:r w:rsidRPr="00834267">
        <w:rPr>
          <w:color w:val="000000" w:themeColor="text1"/>
          <w:lang w:val="en-US"/>
        </w:rPr>
        <w:t>Although thermoplastic polymers such as polyolefins are “</w:t>
      </w:r>
      <w:proofErr w:type="spellStart"/>
      <w:r w:rsidRPr="00834267">
        <w:rPr>
          <w:color w:val="000000" w:themeColor="text1"/>
          <w:lang w:val="en-US"/>
        </w:rPr>
        <w:t>remoldable</w:t>
      </w:r>
      <w:proofErr w:type="spellEnd"/>
      <w:r w:rsidRPr="00834267">
        <w:rPr>
          <w:color w:val="000000" w:themeColor="text1"/>
          <w:lang w:val="en-US"/>
        </w:rPr>
        <w:t>” in terms of processability, this does not mean that they can be successfully recycled by simple mechanical/physical approaches (i.e., re-granulation and remolding) due to chemical degradation that occurs over time in the service environment.</w:t>
      </w:r>
      <w:r w:rsidRPr="00834267">
        <w:rPr>
          <w:color w:val="000000" w:themeColor="text1"/>
          <w:vertAlign w:val="superscript"/>
          <w:lang w:val="en-US"/>
        </w:rPr>
        <w:t>36-38</w:t>
      </w:r>
      <w:r w:rsidRPr="00834267">
        <w:rPr>
          <w:color w:val="000000" w:themeColor="text1"/>
          <w:lang w:val="en-US"/>
        </w:rPr>
        <w:t xml:space="preserve"> This problem can be addressed by the GL-based compounds in this study owing to their drastically improved UV resistance and mechanical properties over the neat polyolefin. The </w:t>
      </w:r>
      <w:r w:rsidRPr="00834267">
        <w:rPr>
          <w:color w:val="000000" w:themeColor="text1"/>
          <w:lang w:val="en-US"/>
        </w:rPr>
        <w:lastRenderedPageBreak/>
        <w:t xml:space="preserve">formation of a distinct “sunburned” surface layer after prolonged UV irradiation not only improves the in-service performance, but also facilitates recycling by suppressing changes to the chemical structure throughout the bulk and creating an </w:t>
      </w:r>
      <w:proofErr w:type="gramStart"/>
      <w:r w:rsidRPr="00834267">
        <w:rPr>
          <w:color w:val="000000" w:themeColor="text1"/>
          <w:lang w:val="en-US"/>
        </w:rPr>
        <w:t>easily-removed</w:t>
      </w:r>
      <w:proofErr w:type="gramEnd"/>
      <w:r w:rsidRPr="00834267">
        <w:rPr>
          <w:color w:val="000000" w:themeColor="text1"/>
          <w:lang w:val="en-US"/>
        </w:rPr>
        <w:t xml:space="preserve"> surface layer. This is a commonly observed phenomenon in nature, such as epidermis (</w:t>
      </w:r>
      <w:proofErr w:type="gramStart"/>
      <w:r w:rsidRPr="00834267">
        <w:rPr>
          <w:color w:val="000000" w:themeColor="text1"/>
          <w:lang w:val="en-US"/>
        </w:rPr>
        <w:t xml:space="preserve">human </w:t>
      </w:r>
      <w:r w:rsidR="0013313E" w:rsidRPr="00834267">
        <w:rPr>
          <w:color w:val="000000" w:themeColor="text1"/>
          <w:lang w:val="en-US"/>
        </w:rPr>
        <w:t xml:space="preserve"> </w:t>
      </w:r>
      <w:r w:rsidRPr="00834267">
        <w:rPr>
          <w:color w:val="000000" w:themeColor="text1"/>
          <w:lang w:val="en-US"/>
        </w:rPr>
        <w:t>skin</w:t>
      </w:r>
      <w:proofErr w:type="gramEnd"/>
      <w:r w:rsidRPr="00834267">
        <w:rPr>
          <w:color w:val="000000" w:themeColor="text1"/>
          <w:lang w:val="en-US"/>
        </w:rPr>
        <w:t>) and periderm (tree bark), which regenerate by peeling the outer damaged layer to expose the fresh tissue beneath;</w:t>
      </w:r>
      <w:r w:rsidRPr="00834267">
        <w:rPr>
          <w:color w:val="000000" w:themeColor="text1"/>
          <w:vertAlign w:val="superscript"/>
          <w:lang w:val="en-US"/>
        </w:rPr>
        <w:t>42</w:t>
      </w:r>
      <w:r w:rsidRPr="00834267">
        <w:rPr>
          <w:color w:val="000000" w:themeColor="text1"/>
          <w:lang w:val="en-US"/>
        </w:rPr>
        <w:t xml:space="preserve"> similarly, metals such as aluminum rapidly form a thin oxidize layer on the surface while the bulk is protected from further corrosion. Thus, as depicted in </w:t>
      </w:r>
      <w:r w:rsidR="00AD1663" w:rsidRPr="00834267">
        <w:rPr>
          <w:color w:val="000000" w:themeColor="text1"/>
          <w:lang w:val="en-US"/>
        </w:rPr>
        <w:t>Fig.</w:t>
      </w:r>
      <w:r w:rsidRPr="00834267">
        <w:rPr>
          <w:color w:val="000000" w:themeColor="text1"/>
          <w:lang w:val="en-US"/>
        </w:rPr>
        <w:t xml:space="preserve"> 7(a), our compounds aim to mimic biological structures by utilizing the UV absorption and antioxidant properties of lignin.</w:t>
      </w:r>
    </w:p>
    <w:p w14:paraId="58E423BC" w14:textId="215EBFC6" w:rsidR="009C378A" w:rsidRPr="00834267" w:rsidRDefault="009C378A" w:rsidP="0068412A">
      <w:pPr>
        <w:pStyle w:val="RSCB02ArticleText"/>
        <w:ind w:firstLine="113"/>
        <w:rPr>
          <w:color w:val="000000" w:themeColor="text1"/>
          <w:lang w:val="en-US"/>
        </w:rPr>
      </w:pPr>
      <w:r w:rsidRPr="00834267">
        <w:rPr>
          <w:color w:val="000000" w:themeColor="text1"/>
          <w:lang w:val="en-US"/>
        </w:rPr>
        <w:t xml:space="preserve"> </w:t>
      </w:r>
      <w:r w:rsidR="00A6721F" w:rsidRPr="00834267">
        <w:rPr>
          <w:color w:val="000000" w:themeColor="text1"/>
          <w:lang w:val="en-US"/>
        </w:rPr>
        <w:t xml:space="preserve">To demonstrate recyclability, we chose the GL-10wt% compound because it shows considerably improved durability over neat PP with relatively low lignin </w:t>
      </w:r>
      <w:proofErr w:type="gramStart"/>
      <w:r w:rsidR="00A6721F" w:rsidRPr="00834267">
        <w:rPr>
          <w:color w:val="000000" w:themeColor="text1"/>
          <w:lang w:val="en-US"/>
        </w:rPr>
        <w:t>content, and</w:t>
      </w:r>
      <w:proofErr w:type="gramEnd"/>
      <w:r w:rsidR="00A6721F" w:rsidRPr="00834267">
        <w:rPr>
          <w:color w:val="000000" w:themeColor="text1"/>
          <w:lang w:val="en-US"/>
        </w:rPr>
        <w:t xml:space="preserve"> selected an irradiation energy of 300 MJ/m</w:t>
      </w:r>
      <w:r w:rsidR="00A6721F" w:rsidRPr="00834267">
        <w:rPr>
          <w:color w:val="000000" w:themeColor="text1"/>
          <w:vertAlign w:val="superscript"/>
          <w:lang w:val="en-US"/>
        </w:rPr>
        <w:t>2</w:t>
      </w:r>
      <w:r w:rsidR="00A6721F" w:rsidRPr="00834267">
        <w:rPr>
          <w:color w:val="000000" w:themeColor="text1"/>
          <w:lang w:val="en-US"/>
        </w:rPr>
        <w:t xml:space="preserve"> in order to sufficiently degrade the material (equivalent to 12</w:t>
      </w:r>
      <w:r w:rsidR="00C046E0" w:rsidRPr="00834267">
        <w:rPr>
          <w:color w:val="000000" w:themeColor="text1"/>
          <w:lang w:val="en-US"/>
        </w:rPr>
        <w:t>-</w:t>
      </w:r>
      <w:r w:rsidR="00A6721F" w:rsidRPr="00834267">
        <w:rPr>
          <w:color w:val="000000" w:themeColor="text1"/>
          <w:lang w:val="en-US"/>
        </w:rPr>
        <w:t xml:space="preserve">14 months of sunlight exposure) for a valid assessment. Two </w:t>
      </w:r>
      <w:r w:rsidR="009A429A" w:rsidRPr="00834267">
        <w:rPr>
          <w:color w:val="000000" w:themeColor="text1"/>
          <w:lang w:val="en-US"/>
        </w:rPr>
        <w:t>mechanical</w:t>
      </w:r>
      <w:r w:rsidR="00A6721F" w:rsidRPr="00834267">
        <w:rPr>
          <w:color w:val="000000" w:themeColor="text1"/>
          <w:lang w:val="en-US"/>
        </w:rPr>
        <w:t xml:space="preserve"> recycling approaches were compared: (</w:t>
      </w:r>
      <w:proofErr w:type="spellStart"/>
      <w:r w:rsidR="00A6721F" w:rsidRPr="00834267">
        <w:rPr>
          <w:color w:val="000000" w:themeColor="text1"/>
          <w:lang w:val="en-US"/>
        </w:rPr>
        <w:t>i</w:t>
      </w:r>
      <w:proofErr w:type="spellEnd"/>
      <w:r w:rsidR="00A6721F" w:rsidRPr="00834267">
        <w:rPr>
          <w:color w:val="000000" w:themeColor="text1"/>
          <w:lang w:val="en-US"/>
        </w:rPr>
        <w:t>) remolding the irradiated pellets without any further processing (</w:t>
      </w:r>
      <w:r w:rsidR="00A6721F" w:rsidRPr="00834267">
        <w:rPr>
          <w:i/>
          <w:iCs/>
          <w:color w:val="000000" w:themeColor="text1"/>
          <w:lang w:val="en-US"/>
        </w:rPr>
        <w:t>Remolding</w:t>
      </w:r>
      <w:r w:rsidR="00A6721F" w:rsidRPr="00834267">
        <w:rPr>
          <w:color w:val="000000" w:themeColor="text1"/>
          <w:lang w:val="en-US"/>
        </w:rPr>
        <w:t>), and (ii) mechanical processing of the irradiated pellets to remove the surface degradation layer before remolding (</w:t>
      </w:r>
      <w:proofErr w:type="spellStart"/>
      <w:r w:rsidR="00A6721F" w:rsidRPr="00834267">
        <w:rPr>
          <w:i/>
          <w:iCs/>
          <w:color w:val="000000" w:themeColor="text1"/>
          <w:lang w:val="en-US"/>
        </w:rPr>
        <w:t>Grinding+Remolding</w:t>
      </w:r>
      <w:proofErr w:type="spellEnd"/>
      <w:r w:rsidR="00A6721F" w:rsidRPr="00834267">
        <w:rPr>
          <w:color w:val="000000" w:themeColor="text1"/>
          <w:lang w:val="en-US"/>
        </w:rPr>
        <w:t xml:space="preserve">). The surface removal was accomplished by grinding the pellets in a commercial rice polishing machine for roughly 4 min, then washing with water and ethanol and drying. </w:t>
      </w:r>
      <w:r w:rsidR="00630D29" w:rsidRPr="00834267">
        <w:rPr>
          <w:color w:val="000000" w:themeColor="text1"/>
          <w:lang w:val="en-US"/>
        </w:rPr>
        <w:t xml:space="preserve">The amount of surface material removed was 7.2% and 2.5% (by mass) for neat PP and GL-10wt%, respectively </w:t>
      </w:r>
      <w:r w:rsidR="009F5694" w:rsidRPr="00834267">
        <w:rPr>
          <w:color w:val="000000" w:themeColor="text1"/>
          <w:lang w:val="en-US"/>
        </w:rPr>
        <w:t>(Fig. S</w:t>
      </w:r>
      <w:r w:rsidR="00B91608" w:rsidRPr="00834267">
        <w:rPr>
          <w:color w:val="000000" w:themeColor="text1"/>
          <w:lang w:val="en-US"/>
        </w:rPr>
        <w:t>12</w:t>
      </w:r>
      <w:r w:rsidR="009F5694" w:rsidRPr="00834267">
        <w:rPr>
          <w:color w:val="000000" w:themeColor="text1"/>
          <w:lang w:val="en-US"/>
        </w:rPr>
        <w:t>(a))</w:t>
      </w:r>
      <w:r w:rsidR="00A6721F" w:rsidRPr="00834267">
        <w:rPr>
          <w:color w:val="000000" w:themeColor="text1"/>
          <w:lang w:val="en-US"/>
        </w:rPr>
        <w:t xml:space="preserve">. Further optimization of the recycling conditions should be considered, including a comparison of different techniques depending on the part size and geometry (e.g., grinding, </w:t>
      </w:r>
      <w:proofErr w:type="gramStart"/>
      <w:r w:rsidR="00A6721F" w:rsidRPr="00834267">
        <w:rPr>
          <w:color w:val="000000" w:themeColor="text1"/>
          <w:lang w:val="en-US"/>
        </w:rPr>
        <w:t>sand-blasting</w:t>
      </w:r>
      <w:proofErr w:type="gramEnd"/>
      <w:r w:rsidR="00A6721F" w:rsidRPr="00834267">
        <w:rPr>
          <w:color w:val="000000" w:themeColor="text1"/>
          <w:lang w:val="en-US"/>
        </w:rPr>
        <w:t xml:space="preserve">, milling). Unexposed pellets subjected to the same treatment did not exhibit any surface removal. Additionally, we included an alkali pre-treatment before grinding to assess the efficacy of chemically extracting the carbonyl-containing irradiated polymer phase, but this appeared to promote lignin agglomeration during remolding and thus ductility was not achieved: furthermore, the grinding treatment was repeated for five cycles to check the removal efficiency, but no significant difference in </w:t>
      </w:r>
      <w:r w:rsidR="00B91608" w:rsidRPr="00834267">
        <w:rPr>
          <w:color w:val="000000" w:themeColor="text1"/>
          <w:lang w:val="en-US"/>
        </w:rPr>
        <w:t>material</w:t>
      </w:r>
      <w:r w:rsidR="00A6721F" w:rsidRPr="00834267">
        <w:rPr>
          <w:color w:val="000000" w:themeColor="text1"/>
          <w:lang w:val="en-US"/>
        </w:rPr>
        <w:t xml:space="preserve"> properties w</w:t>
      </w:r>
      <w:r w:rsidR="00B91608" w:rsidRPr="00834267">
        <w:rPr>
          <w:color w:val="000000" w:themeColor="text1"/>
          <w:lang w:val="en-US"/>
        </w:rPr>
        <w:t>as</w:t>
      </w:r>
      <w:r w:rsidR="00A6721F" w:rsidRPr="00834267">
        <w:rPr>
          <w:color w:val="000000" w:themeColor="text1"/>
          <w:lang w:val="en-US"/>
        </w:rPr>
        <w:t xml:space="preserve"> observed (</w:t>
      </w:r>
      <w:r w:rsidR="00AD1663" w:rsidRPr="00834267">
        <w:rPr>
          <w:color w:val="000000" w:themeColor="text1"/>
          <w:lang w:val="en-US"/>
        </w:rPr>
        <w:t>Fig.</w:t>
      </w:r>
      <w:r w:rsidR="00A6721F" w:rsidRPr="00834267">
        <w:rPr>
          <w:color w:val="000000" w:themeColor="text1"/>
          <w:lang w:val="en-US"/>
        </w:rPr>
        <w:t xml:space="preserve"> S</w:t>
      </w:r>
      <w:r w:rsidR="00B91608" w:rsidRPr="00834267">
        <w:rPr>
          <w:color w:val="000000" w:themeColor="text1"/>
          <w:lang w:val="en-US"/>
        </w:rPr>
        <w:t>12</w:t>
      </w:r>
      <w:r w:rsidR="009F5694" w:rsidRPr="00834267">
        <w:rPr>
          <w:color w:val="000000" w:themeColor="text1"/>
          <w:lang w:val="en-US"/>
        </w:rPr>
        <w:t>(a)</w:t>
      </w:r>
      <w:r w:rsidR="00A6721F" w:rsidRPr="00834267">
        <w:rPr>
          <w:color w:val="000000" w:themeColor="text1"/>
          <w:lang w:val="en-US"/>
        </w:rPr>
        <w:t>).</w:t>
      </w:r>
    </w:p>
    <w:p w14:paraId="423CFB64" w14:textId="4ADF32D8" w:rsidR="00A6721F" w:rsidRPr="00834267" w:rsidRDefault="009C378A" w:rsidP="0068412A">
      <w:pPr>
        <w:pStyle w:val="RSCB02ArticleText"/>
        <w:ind w:firstLine="113"/>
        <w:rPr>
          <w:color w:val="000000" w:themeColor="text1"/>
          <w:lang w:val="en-US"/>
        </w:rPr>
      </w:pPr>
      <w:r w:rsidRPr="00834267">
        <w:rPr>
          <w:noProof/>
          <w:color w:val="000000" w:themeColor="text1"/>
          <w:w w:val="100"/>
          <w:lang w:val="en-US"/>
        </w:rPr>
        <w:t xml:space="preserve"> </w:t>
      </w:r>
      <w:r w:rsidR="00A6721F" w:rsidRPr="00834267">
        <w:rPr>
          <w:color w:val="000000" w:themeColor="text1"/>
          <w:lang w:val="en-US"/>
        </w:rPr>
        <w:t>As discussed in previous sections, the tensile behavior of neat PP drastically changes after UV exposure (residual strength and modulus of 68% and 73%, respectively</w:t>
      </w:r>
      <w:r w:rsidR="000F7ABF" w:rsidRPr="00834267">
        <w:rPr>
          <w:color w:val="000000" w:themeColor="text1"/>
          <w:lang w:val="en-US"/>
        </w:rPr>
        <w:t>; Fig. 4</w:t>
      </w:r>
      <w:r w:rsidR="00A6721F" w:rsidRPr="00834267">
        <w:rPr>
          <w:color w:val="000000" w:themeColor="text1"/>
          <w:lang w:val="en-US"/>
        </w:rPr>
        <w:t xml:space="preserve">). When the irradiated PP is remolded without any other processing, the low </w:t>
      </w:r>
      <w:r w:rsidR="00A6721F" w:rsidRPr="00834267">
        <w:rPr>
          <w:i/>
          <w:iCs/>
          <w:color w:val="000000" w:themeColor="text1"/>
          <w:lang w:val="en-US"/>
        </w:rPr>
        <w:t>M</w:t>
      </w:r>
      <w:r w:rsidR="00A6721F" w:rsidRPr="00834267">
        <w:rPr>
          <w:i/>
          <w:iCs/>
          <w:color w:val="000000" w:themeColor="text1"/>
          <w:vertAlign w:val="subscript"/>
          <w:lang w:val="en-US"/>
        </w:rPr>
        <w:t>w</w:t>
      </w:r>
      <w:r w:rsidR="00A6721F" w:rsidRPr="00834267">
        <w:rPr>
          <w:color w:val="000000" w:themeColor="text1"/>
          <w:lang w:val="en-US"/>
        </w:rPr>
        <w:t xml:space="preserve"> surface layer is incorporated into the bulk and results in reduced average </w:t>
      </w:r>
      <w:r w:rsidR="00A6721F" w:rsidRPr="00834267">
        <w:rPr>
          <w:i/>
          <w:iCs/>
          <w:color w:val="000000" w:themeColor="text1"/>
          <w:lang w:val="en-US"/>
        </w:rPr>
        <w:t>M</w:t>
      </w:r>
      <w:r w:rsidR="00A6721F" w:rsidRPr="00834267">
        <w:rPr>
          <w:i/>
          <w:iCs/>
          <w:color w:val="000000" w:themeColor="text1"/>
          <w:vertAlign w:val="subscript"/>
          <w:lang w:val="en-US"/>
        </w:rPr>
        <w:t>w</w:t>
      </w:r>
      <w:r w:rsidR="00A6721F" w:rsidRPr="00834267">
        <w:rPr>
          <w:color w:val="000000" w:themeColor="text1"/>
          <w:lang w:val="en-US"/>
        </w:rPr>
        <w:t xml:space="preserve"> and altered chain structure, which explains why the tensile modulus does not recover to its pre-exposure value (</w:t>
      </w:r>
      <w:r w:rsidR="00AD1663" w:rsidRPr="00834267">
        <w:rPr>
          <w:color w:val="000000" w:themeColor="text1"/>
          <w:lang w:val="en-US"/>
        </w:rPr>
        <w:t>Fig.</w:t>
      </w:r>
      <w:r w:rsidR="00A6721F" w:rsidRPr="00834267">
        <w:rPr>
          <w:color w:val="000000" w:themeColor="text1"/>
          <w:lang w:val="en-US"/>
        </w:rPr>
        <w:t xml:space="preserve"> 7(b)). This is supported by the FTIR spectrum (</w:t>
      </w:r>
      <w:r w:rsidR="00AD1663" w:rsidRPr="00834267">
        <w:rPr>
          <w:color w:val="000000" w:themeColor="text1"/>
          <w:lang w:val="en-US"/>
        </w:rPr>
        <w:t>Fig.</w:t>
      </w:r>
      <w:r w:rsidR="00A6721F" w:rsidRPr="00834267">
        <w:rPr>
          <w:color w:val="000000" w:themeColor="text1"/>
          <w:lang w:val="en-US"/>
        </w:rPr>
        <w:t xml:space="preserve"> 7(d)) in which carbonyl peaks around 1710-1750 cm</w:t>
      </w:r>
      <w:r w:rsidR="00A6721F" w:rsidRPr="00834267">
        <w:rPr>
          <w:color w:val="000000" w:themeColor="text1"/>
          <w:vertAlign w:val="superscript"/>
          <w:lang w:val="en-US"/>
        </w:rPr>
        <w:t>-1</w:t>
      </w:r>
      <w:r w:rsidR="00A6721F" w:rsidRPr="00834267">
        <w:rPr>
          <w:color w:val="000000" w:themeColor="text1"/>
          <w:lang w:val="en-US"/>
        </w:rPr>
        <w:t xml:space="preserve"> seen in the as-irradiated specimen are still visible at lower intensity for the remolded PP specimen. In addition, XRD revealed that the irradiated specimens contain newly formed </w:t>
      </w:r>
      <w:r w:rsidR="00A6721F" w:rsidRPr="00834267">
        <w:rPr>
          <w:i/>
          <w:iCs/>
          <w:color w:val="000000" w:themeColor="text1"/>
          <w:lang w:val="en-US"/>
        </w:rPr>
        <w:sym w:font="Symbol" w:char="F062"/>
      </w:r>
      <w:r w:rsidR="00A6721F" w:rsidRPr="00834267">
        <w:rPr>
          <w:color w:val="000000" w:themeColor="text1"/>
          <w:lang w:val="en-US"/>
        </w:rPr>
        <w:t>-phase crystals (</w:t>
      </w:r>
      <w:r w:rsidR="00AD1663" w:rsidRPr="00834267">
        <w:rPr>
          <w:color w:val="000000" w:themeColor="text1"/>
          <w:lang w:val="en-US"/>
        </w:rPr>
        <w:t>Fig.</w:t>
      </w:r>
      <w:r w:rsidR="00A6721F" w:rsidRPr="00834267">
        <w:rPr>
          <w:color w:val="000000" w:themeColor="text1"/>
          <w:lang w:val="en-US"/>
        </w:rPr>
        <w:t xml:space="preserve"> 7(f)) which are nucleated by the carboxyl groups populating the surface layer.</w:t>
      </w:r>
      <w:r w:rsidR="00A6721F" w:rsidRPr="00834267">
        <w:rPr>
          <w:color w:val="000000" w:themeColor="text1"/>
          <w:vertAlign w:val="superscript"/>
          <w:lang w:val="en-US"/>
        </w:rPr>
        <w:t>49</w:t>
      </w:r>
      <w:r w:rsidR="00A6721F" w:rsidRPr="00834267">
        <w:rPr>
          <w:color w:val="000000" w:themeColor="text1"/>
          <w:lang w:val="en-US"/>
        </w:rPr>
        <w:t xml:space="preserve"> A weak </w:t>
      </w:r>
      <w:r w:rsidR="00A6721F" w:rsidRPr="00834267">
        <w:rPr>
          <w:i/>
          <w:iCs/>
          <w:color w:val="000000" w:themeColor="text1"/>
          <w:lang w:val="en-US"/>
        </w:rPr>
        <w:sym w:font="Symbol" w:char="F062"/>
      </w:r>
      <w:r w:rsidR="00A6721F" w:rsidRPr="00834267">
        <w:rPr>
          <w:color w:val="000000" w:themeColor="text1"/>
          <w:lang w:val="en-US"/>
        </w:rPr>
        <w:t xml:space="preserve">-phase peak remains in the remolded specimen as well, corresponding to the carbonyl groups from the surface layer that are mixed into the bulk during remolding. However, remolding does remove the </w:t>
      </w:r>
      <w:r w:rsidR="00A6721F" w:rsidRPr="00834267">
        <w:rPr>
          <w:color w:val="000000" w:themeColor="text1"/>
          <w:lang w:val="en-US"/>
        </w:rPr>
        <w:t xml:space="preserve">surface cracks and other morphological heterogeneities that develop during irradiation, which partially increases the </w:t>
      </w:r>
      <w:proofErr w:type="gramStart"/>
      <w:r w:rsidR="00A6721F" w:rsidRPr="00834267">
        <w:rPr>
          <w:color w:val="000000" w:themeColor="text1"/>
          <w:lang w:val="en-US"/>
        </w:rPr>
        <w:t xml:space="preserve">tensile </w:t>
      </w:r>
      <w:r w:rsidRPr="00834267">
        <w:rPr>
          <w:color w:val="000000" w:themeColor="text1"/>
          <w:lang w:val="en-US"/>
        </w:rPr>
        <w:t xml:space="preserve"> </w:t>
      </w:r>
      <w:r w:rsidR="00A6721F" w:rsidRPr="00834267">
        <w:rPr>
          <w:color w:val="000000" w:themeColor="text1"/>
          <w:lang w:val="en-US"/>
        </w:rPr>
        <w:t>strength</w:t>
      </w:r>
      <w:proofErr w:type="gramEnd"/>
      <w:r w:rsidR="00A6721F" w:rsidRPr="00834267">
        <w:rPr>
          <w:color w:val="000000" w:themeColor="text1"/>
          <w:lang w:val="en-US"/>
        </w:rPr>
        <w:t xml:space="preserve"> of neat PP until the degraded chemical structure causes premature failure (</w:t>
      </w:r>
      <w:r w:rsidR="00AD1663" w:rsidRPr="00834267">
        <w:rPr>
          <w:color w:val="000000" w:themeColor="text1"/>
          <w:lang w:val="en-US"/>
        </w:rPr>
        <w:t>Fig.</w:t>
      </w:r>
      <w:r w:rsidR="00A6721F" w:rsidRPr="00834267">
        <w:rPr>
          <w:color w:val="000000" w:themeColor="text1"/>
          <w:lang w:val="en-US"/>
        </w:rPr>
        <w:t xml:space="preserve"> 7(b)). This occurs at a critical strain value equal to the failure strain of the as-irradiated material before remolding (</w:t>
      </w:r>
      <w:r w:rsidR="009F5694" w:rsidRPr="00834267">
        <w:rPr>
          <w:color w:val="000000" w:themeColor="text1"/>
          <w:lang w:val="en-US"/>
        </w:rPr>
        <w:t xml:space="preserve">around </w:t>
      </w:r>
      <w:r w:rsidR="00A6721F" w:rsidRPr="00834267">
        <w:rPr>
          <w:color w:val="000000" w:themeColor="text1"/>
          <w:lang w:val="en-US"/>
        </w:rPr>
        <w:t xml:space="preserve">5%). When the degraded surface layer of neat PP is removed by grinding before remolding, the strength fully recovers but the failure strain remains unchanged, indicating that the chemical structure cannot be fully regenerated to the pristine state using the processing conditions of this study. The carbonyl peaks in the FTIR spectrum decreased but are still visible, while the </w:t>
      </w:r>
      <w:r w:rsidR="00A6721F" w:rsidRPr="00834267">
        <w:rPr>
          <w:i/>
          <w:iCs/>
          <w:color w:val="000000" w:themeColor="text1"/>
          <w:lang w:val="en-US"/>
        </w:rPr>
        <w:sym w:font="Symbol" w:char="F062"/>
      </w:r>
      <w:r w:rsidR="00A6721F" w:rsidRPr="00834267">
        <w:rPr>
          <w:color w:val="000000" w:themeColor="text1"/>
          <w:lang w:val="en-US"/>
        </w:rPr>
        <w:t xml:space="preserve">-phase disappears from the XRD pattern. It may be possible to completely remove all degraded PP with extensive mechanical processing if the irradiation energy is low enough, but </w:t>
      </w:r>
      <w:r w:rsidR="00AD1663" w:rsidRPr="00834267">
        <w:rPr>
          <w:color w:val="000000" w:themeColor="text1"/>
          <w:lang w:val="en-US"/>
        </w:rPr>
        <w:t>Fig.</w:t>
      </w:r>
      <w:r w:rsidR="00A6721F" w:rsidRPr="00834267">
        <w:rPr>
          <w:color w:val="000000" w:themeColor="text1"/>
          <w:lang w:val="en-US"/>
        </w:rPr>
        <w:t xml:space="preserve"> 2 shows that irradiation energies greater than 300 MJ/m</w:t>
      </w:r>
      <w:r w:rsidR="00A6721F" w:rsidRPr="00834267">
        <w:rPr>
          <w:color w:val="000000" w:themeColor="text1"/>
          <w:vertAlign w:val="superscript"/>
          <w:lang w:val="en-US"/>
        </w:rPr>
        <w:t>2</w:t>
      </w:r>
      <w:r w:rsidR="00A6721F" w:rsidRPr="00834267">
        <w:rPr>
          <w:color w:val="000000" w:themeColor="text1"/>
          <w:lang w:val="en-US"/>
        </w:rPr>
        <w:t xml:space="preserve"> result in irreversible degradation throughout the entire bulk of the neat PP specimens and thus makes recycling unfeasible.</w:t>
      </w:r>
    </w:p>
    <w:p w14:paraId="6200D840" w14:textId="126E3305" w:rsidR="00A6721F" w:rsidRPr="00A6721F" w:rsidRDefault="00A6721F" w:rsidP="0068412A">
      <w:pPr>
        <w:pStyle w:val="RSCB02ArticleText"/>
        <w:ind w:firstLine="113"/>
        <w:rPr>
          <w:rStyle w:val="06CHeading"/>
          <w:rFonts w:asciiTheme="minorHAnsi" w:hAnsiTheme="minorHAnsi"/>
          <w:b w:val="0"/>
          <w:smallCaps w:val="0"/>
          <w:lang w:val="en-US"/>
        </w:rPr>
      </w:pPr>
      <w:r w:rsidRPr="00834267">
        <w:rPr>
          <w:color w:val="000000" w:themeColor="text1"/>
          <w:lang w:val="en-US"/>
        </w:rPr>
        <w:t xml:space="preserve">Conversely, GL-10wt% shows higher retention than neat PP after UV irradiation (residual strength and modulus of 87% and 83%, respectively), which makes the starting point more advantageous for recycling. As mentioned above, remolding removes the surface cracks and homogenizes the morphology which brings the tensile strength nearly to the pre-exposure value, while the incorporation of low </w:t>
      </w:r>
      <w:r w:rsidRPr="00834267">
        <w:rPr>
          <w:i/>
          <w:iCs/>
          <w:color w:val="000000" w:themeColor="text1"/>
          <w:lang w:val="en-US"/>
        </w:rPr>
        <w:t>M</w:t>
      </w:r>
      <w:r w:rsidRPr="00834267">
        <w:rPr>
          <w:i/>
          <w:iCs/>
          <w:color w:val="000000" w:themeColor="text1"/>
          <w:vertAlign w:val="subscript"/>
          <w:lang w:val="en-US"/>
        </w:rPr>
        <w:t>w</w:t>
      </w:r>
      <w:r w:rsidRPr="00834267">
        <w:rPr>
          <w:color w:val="000000" w:themeColor="text1"/>
          <w:lang w:val="en-US"/>
        </w:rPr>
        <w:t xml:space="preserve"> polymer from the surface layer into the bulk prevents significant change in the modulus from the as-irradiated state (</w:t>
      </w:r>
      <w:r w:rsidR="00AD1663" w:rsidRPr="00834267">
        <w:rPr>
          <w:color w:val="000000" w:themeColor="text1"/>
          <w:lang w:val="en-US"/>
        </w:rPr>
        <w:t>Fig.</w:t>
      </w:r>
      <w:r w:rsidRPr="00834267">
        <w:rPr>
          <w:color w:val="000000" w:themeColor="text1"/>
          <w:lang w:val="en-US"/>
        </w:rPr>
        <w:t xml:space="preserve"> 7(c)). The most remarkable difference compared to neat PP is that the failure strain of remolded GL-10wt% nearly reaches the pre-exposure value, an unprecedented recovery of ductility. Coincidentally, the relatively small carbonyl peaks found in the irradiated GL-10wt% specimens were no longer visible after remolding (</w:t>
      </w:r>
      <w:r w:rsidR="00AD1663" w:rsidRPr="00834267">
        <w:rPr>
          <w:color w:val="000000" w:themeColor="text1"/>
          <w:lang w:val="en-US"/>
        </w:rPr>
        <w:t>Fig.</w:t>
      </w:r>
      <w:r w:rsidRPr="00834267">
        <w:rPr>
          <w:color w:val="000000" w:themeColor="text1"/>
          <w:lang w:val="en-US"/>
        </w:rPr>
        <w:t xml:space="preserve"> 7(e)), and no </w:t>
      </w:r>
      <w:r w:rsidRPr="00834267">
        <w:rPr>
          <w:i/>
          <w:iCs/>
          <w:color w:val="000000" w:themeColor="text1"/>
          <w:lang w:val="en-US"/>
        </w:rPr>
        <w:sym w:font="Symbol" w:char="F062"/>
      </w:r>
      <w:r w:rsidRPr="00834267">
        <w:rPr>
          <w:color w:val="000000" w:themeColor="text1"/>
          <w:lang w:val="en-US"/>
        </w:rPr>
        <w:t>-phase was detected before nor after irradiation and remolding (</w:t>
      </w:r>
      <w:r w:rsidR="00AD1663" w:rsidRPr="00834267">
        <w:rPr>
          <w:color w:val="000000" w:themeColor="text1"/>
          <w:lang w:val="en-US"/>
        </w:rPr>
        <w:t>Fig.</w:t>
      </w:r>
      <w:r w:rsidRPr="00834267">
        <w:rPr>
          <w:color w:val="000000" w:themeColor="text1"/>
          <w:lang w:val="en-US"/>
        </w:rPr>
        <w:t xml:space="preserve"> 7(g)). This suggests that GL blends may be successfully recycled without surface treatment for low levels of UV degradation, which could reduce waste and simplify the process for large scale implementation. Similar to the restoration of epidermis by exfoliating sunburned tissue, removing the degraded surface layer before remolding restores the pristine material structure of the lignin/polymer blend, and the tensile modulus, strength, and failure strain all return to their pre-exposure values. These results demonstrate that a fully closed-loop recyclable biomass/polymer compound can be easily attained even at relatively low GL content, while higher contents can guarantee high performance even after extensive UV irradiation. We used commercially available pristine PP pellets in </w:t>
      </w:r>
      <w:r w:rsidRPr="00A6721F">
        <w:rPr>
          <w:lang w:val="en-US"/>
        </w:rPr>
        <w:t>this study, but we assert that the same material design and compounding approach can be applied to other polyolefins including waste plastics, which would open the door to a dual upcycling/recycling framework for a circular economy (</w:t>
      </w:r>
      <w:r w:rsidR="00AD1663">
        <w:rPr>
          <w:lang w:val="en-US"/>
        </w:rPr>
        <w:t>Fig.</w:t>
      </w:r>
      <w:r w:rsidRPr="00A6721F">
        <w:rPr>
          <w:lang w:val="en-US"/>
        </w:rPr>
        <w:t xml:space="preserve"> 8).</w:t>
      </w:r>
      <w:r w:rsidR="005D3F66">
        <w:rPr>
          <w:lang w:val="en-US"/>
        </w:rPr>
        <w:t xml:space="preserve"> Especially in the case of maleic-grafted polyolefins, the ester linkages formed with GL provide a means for transesterification or ester thesis during melt processing, allowing the material to </w:t>
      </w:r>
      <w:r w:rsidR="007F0129">
        <w:rPr>
          <w:lang w:val="en-US"/>
        </w:rPr>
        <w:t>behave</w:t>
      </w:r>
      <w:r w:rsidR="005D3F66">
        <w:rPr>
          <w:lang w:val="en-US"/>
        </w:rPr>
        <w:t xml:space="preserve"> </w:t>
      </w:r>
      <w:r w:rsidR="007F0129">
        <w:rPr>
          <w:lang w:val="en-US"/>
        </w:rPr>
        <w:t xml:space="preserve">macroscopically </w:t>
      </w:r>
      <w:r w:rsidR="005D3F66">
        <w:rPr>
          <w:lang w:val="en-US"/>
        </w:rPr>
        <w:t xml:space="preserve">as a thermoplastic </w:t>
      </w:r>
      <w:r w:rsidR="00C476DF">
        <w:rPr>
          <w:lang w:val="en-US"/>
        </w:rPr>
        <w:t>despite</w:t>
      </w:r>
      <w:r w:rsidR="005D3F66">
        <w:rPr>
          <w:lang w:val="en-US"/>
        </w:rPr>
        <w:t xml:space="preserve"> </w:t>
      </w:r>
      <w:r w:rsidR="00C476DF">
        <w:rPr>
          <w:lang w:val="en-US"/>
        </w:rPr>
        <w:t>forming</w:t>
      </w:r>
      <w:r w:rsidR="005D3F66">
        <w:rPr>
          <w:lang w:val="en-US"/>
        </w:rPr>
        <w:t xml:space="preserve"> covalent bonds between the particles and matrix.</w:t>
      </w:r>
      <w:r w:rsidR="005D3F66" w:rsidRPr="005D3F66">
        <w:rPr>
          <w:vertAlign w:val="superscript"/>
          <w:lang w:val="en-US"/>
        </w:rPr>
        <w:t>6,50</w:t>
      </w:r>
    </w:p>
    <w:p w14:paraId="7F948B1F" w14:textId="6EE43695" w:rsidR="00E61949" w:rsidRPr="00A61D3E" w:rsidRDefault="00180ABE" w:rsidP="00AF4737">
      <w:pPr>
        <w:pStyle w:val="RSCB04AHeadingSection"/>
      </w:pPr>
      <w:r w:rsidRPr="00A61D3E">
        <w:lastRenderedPageBreak/>
        <w:t>Conclusions</w:t>
      </w:r>
    </w:p>
    <w:p w14:paraId="7F26A5F4" w14:textId="71C9BEED" w:rsidR="00A6721F" w:rsidRDefault="00A6721F" w:rsidP="0068412A">
      <w:pPr>
        <w:pStyle w:val="RSCB02ArticleText"/>
        <w:ind w:firstLine="113"/>
        <w:rPr>
          <w:lang w:val="en-US"/>
        </w:rPr>
      </w:pPr>
      <w:r w:rsidRPr="00A6721F">
        <w:rPr>
          <w:lang w:val="en-US"/>
        </w:rPr>
        <w:t>We have presented a scalable, sustainable strategy for integrating polyolefins with renewable biomass to produce cost-effective and fully recyclable compounds. By mimicking the exfoliation of thin degraded surface layers found in biological structures such as human skin and tree bark, in which melanin and polyphenol compounds are primarily responsible for UV absorption and radical scavenging, GL successfully acts as a simultaneous UV absorbent, antioxidant, and mechanical reinforcement. This is achieved by utilizing a glycol modification that allows the lignin particles to be effectively dispersed and covalently bonded to the maleic-grafted polyolefin—a key feature of the material’s design. Not only does this enhance the mechanical properties of the host polymer in the pristine state, but it drastically improves the performance during UV irradiation with less than 10% reduction in tensile strength and modulus after 1000 MJ/m</w:t>
      </w:r>
      <w:r w:rsidRPr="00A6721F">
        <w:rPr>
          <w:vertAlign w:val="superscript"/>
          <w:lang w:val="en-US"/>
        </w:rPr>
        <w:t>2</w:t>
      </w:r>
      <w:r w:rsidRPr="00A6721F">
        <w:rPr>
          <w:lang w:val="en-US"/>
        </w:rPr>
        <w:t xml:space="preserve"> (equivalent to </w:t>
      </w:r>
      <w:r w:rsidR="00C046E0">
        <w:rPr>
          <w:lang w:val="en-US"/>
        </w:rPr>
        <w:sym w:font="Symbol" w:char="F07E"/>
      </w:r>
      <w:r w:rsidRPr="00A6721F">
        <w:rPr>
          <w:lang w:val="en-US"/>
        </w:rPr>
        <w:t xml:space="preserve">3 </w:t>
      </w:r>
      <w:proofErr w:type="spellStart"/>
      <w:r w:rsidRPr="00A6721F">
        <w:rPr>
          <w:lang w:val="en-US"/>
        </w:rPr>
        <w:t>yr</w:t>
      </w:r>
      <w:proofErr w:type="spellEnd"/>
      <w:r w:rsidRPr="00A6721F">
        <w:rPr>
          <w:lang w:val="en-US"/>
        </w:rPr>
        <w:t xml:space="preserve"> of sunlight exposure). We show that changes </w:t>
      </w:r>
      <w:r w:rsidR="006A3341">
        <w:rPr>
          <w:lang w:val="en-US"/>
        </w:rPr>
        <w:t>in chemical structure and morphology</w:t>
      </w:r>
      <w:r w:rsidRPr="00A6721F">
        <w:rPr>
          <w:lang w:val="en-US"/>
        </w:rPr>
        <w:t xml:space="preserve"> are limited to the surface layer, ranging from depths of </w:t>
      </w:r>
      <w:r w:rsidR="00C046E0">
        <w:rPr>
          <w:lang w:val="en-US"/>
        </w:rPr>
        <w:sym w:font="Symbol" w:char="F07E"/>
      </w:r>
      <w:r w:rsidRPr="00A6721F">
        <w:rPr>
          <w:lang w:val="en-US"/>
        </w:rPr>
        <w:t xml:space="preserve">80 </w:t>
      </w:r>
      <w:r w:rsidRPr="00A6721F">
        <w:rPr>
          <w:lang w:val="en-US"/>
        </w:rPr>
        <w:sym w:font="Symbol" w:char="F06D"/>
      </w:r>
      <w:r w:rsidRPr="00A6721F">
        <w:rPr>
          <w:lang w:val="en-US"/>
        </w:rPr>
        <w:t xml:space="preserve">m (GL-30wt%) to </w:t>
      </w:r>
      <w:r w:rsidR="00C046E0">
        <w:rPr>
          <w:lang w:val="en-US"/>
        </w:rPr>
        <w:sym w:font="Symbol" w:char="F07E"/>
      </w:r>
      <w:r w:rsidRPr="00A6721F">
        <w:rPr>
          <w:lang w:val="en-US"/>
        </w:rPr>
        <w:t xml:space="preserve">400 </w:t>
      </w:r>
      <w:r w:rsidRPr="00A6721F">
        <w:rPr>
          <w:lang w:val="en-US"/>
        </w:rPr>
        <w:sym w:font="Symbol" w:char="F06D"/>
      </w:r>
      <w:r w:rsidRPr="00A6721F">
        <w:rPr>
          <w:lang w:val="en-US"/>
        </w:rPr>
        <w:t xml:space="preserve">m (GL-10wt%) after extensive irradiation. This coincides with </w:t>
      </w:r>
      <w:r w:rsidR="006A3341">
        <w:rPr>
          <w:lang w:val="en-US"/>
        </w:rPr>
        <w:t xml:space="preserve">smaller </w:t>
      </w:r>
      <w:r w:rsidRPr="00A6721F">
        <w:rPr>
          <w:lang w:val="en-US"/>
        </w:rPr>
        <w:t xml:space="preserve">surface crack depths with </w:t>
      </w:r>
      <w:r w:rsidR="006A3341">
        <w:rPr>
          <w:lang w:val="en-US"/>
        </w:rPr>
        <w:t>higher</w:t>
      </w:r>
      <w:r w:rsidRPr="00A6721F">
        <w:rPr>
          <w:lang w:val="en-US"/>
        </w:rPr>
        <w:t xml:space="preserve"> GL content, supporting our assertion that GL also suppresses chain scission via its chemical structure and not just mechanically. The mechanical reinforcing ability of GL in polyolefins was elucidated by showing that irradiated blends do not </w:t>
      </w:r>
      <w:r w:rsidR="00FE6847">
        <w:rPr>
          <w:lang w:val="en-US"/>
        </w:rPr>
        <w:t>follow</w:t>
      </w:r>
      <w:r w:rsidRPr="00A6721F">
        <w:rPr>
          <w:lang w:val="en-US"/>
        </w:rPr>
        <w:t xml:space="preserve"> </w:t>
      </w:r>
      <w:r w:rsidR="001F32FA">
        <w:rPr>
          <w:lang w:val="en-US"/>
        </w:rPr>
        <w:t xml:space="preserve">surface </w:t>
      </w:r>
      <w:r w:rsidRPr="00A6721F">
        <w:rPr>
          <w:lang w:val="en-US"/>
        </w:rPr>
        <w:t>crack</w:t>
      </w:r>
      <w:r w:rsidR="00FE6847">
        <w:rPr>
          <w:lang w:val="en-US"/>
        </w:rPr>
        <w:t>-dominated brittle failure</w:t>
      </w:r>
      <w:r w:rsidRPr="00A6721F">
        <w:rPr>
          <w:lang w:val="en-US"/>
        </w:rPr>
        <w:t>.</w:t>
      </w:r>
    </w:p>
    <w:p w14:paraId="00AA11E3" w14:textId="1BCA3624" w:rsidR="00FA2DA2" w:rsidRPr="00A6721F" w:rsidRDefault="00A6721F" w:rsidP="0068412A">
      <w:pPr>
        <w:pStyle w:val="RSCB02ArticleText"/>
        <w:ind w:firstLine="113"/>
        <w:rPr>
          <w:lang w:val="en-US"/>
        </w:rPr>
      </w:pPr>
      <w:r w:rsidRPr="00A6721F">
        <w:rPr>
          <w:lang w:val="en-US"/>
        </w:rPr>
        <w:t>Finally, closed-loop recyclability was demonstrated by remolding the irradiated materials, either with or without a mechanical processing step that involves removing the degraded surface layer. Unlike neat PP, which could not be successfully returned to its pristine state, compounds containing only 10</w:t>
      </w:r>
      <w:r w:rsidR="00A05992">
        <w:rPr>
          <w:lang w:val="en-US"/>
        </w:rPr>
        <w:t>wt%</w:t>
      </w:r>
      <w:r w:rsidRPr="00A6721F">
        <w:rPr>
          <w:lang w:val="en-US"/>
        </w:rPr>
        <w:t xml:space="preserve"> GL exhibited nearly identical behavior to the pristine material even after 300 MJ/m</w:t>
      </w:r>
      <w:r w:rsidRPr="00A6721F">
        <w:rPr>
          <w:vertAlign w:val="superscript"/>
          <w:lang w:val="en-US"/>
        </w:rPr>
        <w:t>2</w:t>
      </w:r>
      <w:r w:rsidRPr="00A6721F">
        <w:rPr>
          <w:lang w:val="en-US"/>
        </w:rPr>
        <w:t xml:space="preserve"> of irradiation. Furthermore, this biomimetic polyolefin/biomass compounding strategy is not limited to polypropylene nor pristine starting </w:t>
      </w:r>
      <w:proofErr w:type="gramStart"/>
      <w:r w:rsidRPr="00A6721F">
        <w:rPr>
          <w:lang w:val="en-US"/>
        </w:rPr>
        <w:t>materials,</w:t>
      </w:r>
      <w:r w:rsidR="006A3341">
        <w:rPr>
          <w:lang w:val="en-US"/>
        </w:rPr>
        <w:t xml:space="preserve"> </w:t>
      </w:r>
      <w:r w:rsidRPr="00A6721F">
        <w:rPr>
          <w:lang w:val="en-US"/>
        </w:rPr>
        <w:t>but</w:t>
      </w:r>
      <w:proofErr w:type="gramEnd"/>
      <w:r w:rsidRPr="00A6721F">
        <w:rPr>
          <w:lang w:val="en-US"/>
        </w:rPr>
        <w:t xml:space="preserve"> can also be extended to</w:t>
      </w:r>
      <w:r w:rsidR="006A3341">
        <w:rPr>
          <w:lang w:val="en-US"/>
        </w:rPr>
        <w:t xml:space="preserve"> the upcycling of</w:t>
      </w:r>
      <w:r w:rsidRPr="00A6721F">
        <w:rPr>
          <w:lang w:val="en-US"/>
        </w:rPr>
        <w:t xml:space="preserve"> waste plastics </w:t>
      </w:r>
      <w:r w:rsidR="006A3341">
        <w:rPr>
          <w:lang w:val="en-US"/>
        </w:rPr>
        <w:t>to</w:t>
      </w:r>
      <w:r w:rsidRPr="00A6721F">
        <w:rPr>
          <w:lang w:val="en-US"/>
        </w:rPr>
        <w:t xml:space="preserve"> reduce waste and pollution while producing value-added materials. We assert that these closed-loop recyclable materials will have a significant impact on in-service performance and end-of-life reprocessing in various applications </w:t>
      </w:r>
      <w:r w:rsidR="006A3341">
        <w:rPr>
          <w:lang w:val="en-US"/>
        </w:rPr>
        <w:t>from</w:t>
      </w:r>
      <w:r w:rsidRPr="00A6721F">
        <w:rPr>
          <w:lang w:val="en-US"/>
        </w:rPr>
        <w:t xml:space="preserve"> automobiles</w:t>
      </w:r>
      <w:r w:rsidR="006A3341">
        <w:rPr>
          <w:lang w:val="en-US"/>
        </w:rPr>
        <w:t xml:space="preserve"> to</w:t>
      </w:r>
      <w:r w:rsidRPr="00A6721F">
        <w:rPr>
          <w:lang w:val="en-US"/>
        </w:rPr>
        <w:t xml:space="preserve"> household goods and more.</w:t>
      </w:r>
    </w:p>
    <w:p w14:paraId="466E01EF" w14:textId="48B5B797" w:rsidR="001925B0" w:rsidRDefault="001925B0" w:rsidP="001925B0">
      <w:pPr>
        <w:pStyle w:val="RSCB04AHeadingSection"/>
      </w:pPr>
      <w:r>
        <w:t>Author Contributions</w:t>
      </w:r>
    </w:p>
    <w:p w14:paraId="054D045F" w14:textId="3915606B" w:rsidR="001925B0" w:rsidRDefault="00B45055" w:rsidP="001925B0">
      <w:pPr>
        <w:spacing w:line="240" w:lineRule="exact"/>
        <w:rPr>
          <w:sz w:val="18"/>
          <w:szCs w:val="18"/>
        </w:rPr>
      </w:pPr>
      <w:r w:rsidRPr="00D84808">
        <w:rPr>
          <w:b/>
          <w:bCs/>
          <w:sz w:val="18"/>
          <w:szCs w:val="18"/>
        </w:rPr>
        <w:t>J.T.</w:t>
      </w:r>
      <w:r>
        <w:rPr>
          <w:sz w:val="18"/>
          <w:szCs w:val="18"/>
        </w:rPr>
        <w:t xml:space="preserve">: Investigation, Methodology, Writing – original draft. </w:t>
      </w:r>
      <w:r w:rsidRPr="00D84808">
        <w:rPr>
          <w:b/>
          <w:bCs/>
          <w:sz w:val="18"/>
          <w:szCs w:val="18"/>
        </w:rPr>
        <w:t>K.T.</w:t>
      </w:r>
      <w:r>
        <w:rPr>
          <w:sz w:val="18"/>
          <w:szCs w:val="18"/>
        </w:rPr>
        <w:t xml:space="preserve">: Conceptualization, Funding Acquisition, Supervision, Methodology, Writing – original draft. </w:t>
      </w:r>
      <w:r w:rsidRPr="00D84808">
        <w:rPr>
          <w:b/>
          <w:bCs/>
          <w:sz w:val="18"/>
          <w:szCs w:val="18"/>
        </w:rPr>
        <w:t>K.N.</w:t>
      </w:r>
      <w:r>
        <w:rPr>
          <w:sz w:val="18"/>
          <w:szCs w:val="18"/>
        </w:rPr>
        <w:t xml:space="preserve">: </w:t>
      </w:r>
      <w:r w:rsidR="00F042F6">
        <w:rPr>
          <w:sz w:val="18"/>
          <w:szCs w:val="18"/>
        </w:rPr>
        <w:t>Resources</w:t>
      </w:r>
      <w:r>
        <w:rPr>
          <w:sz w:val="18"/>
          <w:szCs w:val="18"/>
        </w:rPr>
        <w:t xml:space="preserve">, Writing – review &amp; editing. </w:t>
      </w:r>
      <w:r w:rsidRPr="00D84808">
        <w:rPr>
          <w:b/>
          <w:bCs/>
          <w:sz w:val="18"/>
          <w:szCs w:val="18"/>
        </w:rPr>
        <w:t>T.T.N.</w:t>
      </w:r>
      <w:r>
        <w:rPr>
          <w:sz w:val="18"/>
          <w:szCs w:val="18"/>
        </w:rPr>
        <w:t xml:space="preserve">: </w:t>
      </w:r>
      <w:r w:rsidR="00F042F6">
        <w:rPr>
          <w:sz w:val="18"/>
          <w:szCs w:val="18"/>
        </w:rPr>
        <w:t>Resources</w:t>
      </w:r>
      <w:r>
        <w:rPr>
          <w:sz w:val="18"/>
          <w:szCs w:val="18"/>
        </w:rPr>
        <w:t xml:space="preserve">, Writing – review &amp; editing. </w:t>
      </w:r>
      <w:r w:rsidRPr="00D84808">
        <w:rPr>
          <w:b/>
          <w:bCs/>
          <w:sz w:val="18"/>
          <w:szCs w:val="18"/>
        </w:rPr>
        <w:t>T.Y.</w:t>
      </w:r>
      <w:r>
        <w:rPr>
          <w:sz w:val="18"/>
          <w:szCs w:val="18"/>
        </w:rPr>
        <w:t xml:space="preserve">: Project Administration, </w:t>
      </w:r>
      <w:r w:rsidR="006544D1">
        <w:rPr>
          <w:sz w:val="18"/>
          <w:szCs w:val="18"/>
        </w:rPr>
        <w:t xml:space="preserve">Funding Acquisition, </w:t>
      </w:r>
      <w:r>
        <w:rPr>
          <w:sz w:val="18"/>
          <w:szCs w:val="18"/>
        </w:rPr>
        <w:t>Writing – review &amp; editing</w:t>
      </w:r>
      <w:r w:rsidR="001925B0" w:rsidRPr="00240353">
        <w:rPr>
          <w:sz w:val="18"/>
          <w:szCs w:val="18"/>
        </w:rPr>
        <w:t>.</w:t>
      </w:r>
    </w:p>
    <w:p w14:paraId="177CDB0E" w14:textId="3BB49A92" w:rsidR="00C9557D" w:rsidRDefault="00C9557D" w:rsidP="00C9557D">
      <w:pPr>
        <w:pStyle w:val="RSCB04AHeadingSection"/>
      </w:pPr>
      <w:r>
        <w:t>Conflict</w:t>
      </w:r>
      <w:r w:rsidR="00F05C18">
        <w:t>s</w:t>
      </w:r>
      <w:r>
        <w:t xml:space="preserve"> of interest</w:t>
      </w:r>
    </w:p>
    <w:p w14:paraId="246AAD08" w14:textId="70F3A5A6" w:rsidR="00A05364" w:rsidRPr="00A05364" w:rsidRDefault="00A05364" w:rsidP="00A05364">
      <w:pPr>
        <w:rPr>
          <w:rFonts w:cs="Times New Roman"/>
          <w:w w:val="108"/>
          <w:sz w:val="18"/>
          <w:szCs w:val="18"/>
        </w:rPr>
      </w:pPr>
      <w:r w:rsidRPr="00A05364">
        <w:rPr>
          <w:rFonts w:cs="Times New Roman"/>
          <w:w w:val="108"/>
          <w:sz w:val="18"/>
          <w:szCs w:val="18"/>
        </w:rPr>
        <w:t>There are no conflicts to declare.</w:t>
      </w:r>
    </w:p>
    <w:p w14:paraId="2B7CDDB1" w14:textId="015083E6" w:rsidR="00FA2DA2" w:rsidRDefault="00FA2DA2" w:rsidP="00FA2DA2">
      <w:pPr>
        <w:pStyle w:val="RSCB04AHeadingSection"/>
      </w:pPr>
      <w:r>
        <w:t>Acknowledgements</w:t>
      </w:r>
    </w:p>
    <w:p w14:paraId="70519FF5" w14:textId="34B49875" w:rsidR="00FA2DA2" w:rsidRDefault="00D167E4" w:rsidP="00FA2DA2">
      <w:pPr>
        <w:pStyle w:val="RSCB02ArticleText"/>
      </w:pPr>
      <w:r w:rsidRPr="00D167E4">
        <w:rPr>
          <w:lang w:val="en-US"/>
        </w:rPr>
        <w:t xml:space="preserve">This work was supported by MAFF (Ministry of Agriculture, Forestry and Fisheries), Japan commissioned project “Development of Glycol Lignin–Based High-Value-Added Materials”, Grant Number J008722. The authors thank T. </w:t>
      </w:r>
      <w:proofErr w:type="spellStart"/>
      <w:r w:rsidRPr="00D167E4">
        <w:rPr>
          <w:lang w:val="en-US"/>
        </w:rPr>
        <w:t>Akagawa</w:t>
      </w:r>
      <w:proofErr w:type="spellEnd"/>
      <w:r w:rsidRPr="00D167E4">
        <w:rPr>
          <w:lang w:val="en-US"/>
        </w:rPr>
        <w:t xml:space="preserve"> and M. </w:t>
      </w:r>
      <w:proofErr w:type="spellStart"/>
      <w:r w:rsidRPr="00D167E4">
        <w:rPr>
          <w:lang w:val="en-US"/>
        </w:rPr>
        <w:t>Kamon</w:t>
      </w:r>
      <w:proofErr w:type="spellEnd"/>
      <w:r w:rsidRPr="00D167E4">
        <w:rPr>
          <w:lang w:val="en-US"/>
        </w:rPr>
        <w:t xml:space="preserve"> (NIMS) for assistance with sample preparation and tensile testing.</w:t>
      </w:r>
      <w:r w:rsidR="00FA2DA2" w:rsidRPr="00702742">
        <w:t xml:space="preserve"> </w:t>
      </w:r>
    </w:p>
    <w:p w14:paraId="1892B867" w14:textId="1919676A" w:rsidR="00D010E8" w:rsidRPr="0047645B" w:rsidRDefault="008877D7" w:rsidP="0047645B">
      <w:pPr>
        <w:spacing w:before="400" w:after="80" w:line="240" w:lineRule="auto"/>
        <w:rPr>
          <w:sz w:val="18"/>
          <w:szCs w:val="18"/>
        </w:rPr>
      </w:pPr>
      <w:r>
        <w:rPr>
          <w:b/>
          <w:sz w:val="24"/>
        </w:rPr>
        <w:t>R</w:t>
      </w:r>
      <w:r w:rsidR="00E61949" w:rsidRPr="00240353">
        <w:rPr>
          <w:b/>
          <w:sz w:val="24"/>
        </w:rPr>
        <w:t>eferences</w:t>
      </w:r>
    </w:p>
    <w:p w14:paraId="62B4A3D5" w14:textId="77777777" w:rsidR="00832766" w:rsidRPr="00241ACD" w:rsidRDefault="00832766" w:rsidP="00241ACD">
      <w:pPr>
        <w:pStyle w:val="RSCF02FootnotestoTitleAuthors"/>
        <w:spacing w:line="200" w:lineRule="exact"/>
        <w:rPr>
          <w:sz w:val="18"/>
          <w:szCs w:val="18"/>
        </w:rPr>
      </w:pPr>
    </w:p>
    <w:p w14:paraId="579C4FBB" w14:textId="77777777" w:rsidR="00094080" w:rsidRPr="00094080" w:rsidRDefault="00094080" w:rsidP="009250AC">
      <w:pPr>
        <w:pStyle w:val="RSCR02References"/>
        <w:jc w:val="left"/>
      </w:pPr>
      <w:r w:rsidRPr="00094080">
        <w:rPr>
          <w:lang w:val="en-US"/>
        </w:rPr>
        <w:t xml:space="preserve">R. Geyer, J.R. </w:t>
      </w:r>
      <w:proofErr w:type="spellStart"/>
      <w:r w:rsidRPr="00094080">
        <w:rPr>
          <w:lang w:val="en-US"/>
        </w:rPr>
        <w:t>Jambeck</w:t>
      </w:r>
      <w:proofErr w:type="spellEnd"/>
      <w:r w:rsidRPr="00094080">
        <w:rPr>
          <w:lang w:val="en-US"/>
        </w:rPr>
        <w:t xml:space="preserve">, K.L., </w:t>
      </w:r>
      <w:r w:rsidRPr="00094080">
        <w:rPr>
          <w:i/>
          <w:iCs/>
          <w:lang w:val="en-US"/>
        </w:rPr>
        <w:t>Sci. Adv</w:t>
      </w:r>
      <w:r w:rsidRPr="00094080">
        <w:rPr>
          <w:lang w:val="en-US"/>
        </w:rPr>
        <w:t xml:space="preserve">., 2017, </w:t>
      </w:r>
      <w:r w:rsidRPr="00094080">
        <w:rPr>
          <w:b/>
          <w:bCs/>
          <w:lang w:val="en-US"/>
        </w:rPr>
        <w:t>3</w:t>
      </w:r>
      <w:r w:rsidRPr="00094080">
        <w:rPr>
          <w:lang w:val="en-US"/>
        </w:rPr>
        <w:t>, 1700782</w:t>
      </w:r>
    </w:p>
    <w:p w14:paraId="15A67AEB" w14:textId="77777777" w:rsidR="00094080" w:rsidRPr="00094080" w:rsidRDefault="00094080" w:rsidP="009250AC">
      <w:pPr>
        <w:pStyle w:val="RSCR02References"/>
        <w:jc w:val="left"/>
      </w:pPr>
      <w:r w:rsidRPr="00094080">
        <w:rPr>
          <w:lang w:val="en-US"/>
        </w:rPr>
        <w:t xml:space="preserve">S.R. Nicholson, N.A. </w:t>
      </w:r>
      <w:proofErr w:type="spellStart"/>
      <w:r w:rsidRPr="00094080">
        <w:rPr>
          <w:lang w:val="en-US"/>
        </w:rPr>
        <w:t>Rorrer</w:t>
      </w:r>
      <w:proofErr w:type="spellEnd"/>
      <w:r w:rsidRPr="00094080">
        <w:rPr>
          <w:lang w:val="en-US"/>
        </w:rPr>
        <w:t xml:space="preserve">, A.C. Carpenter, G.T. Beckham, </w:t>
      </w:r>
      <w:r w:rsidRPr="00094080">
        <w:rPr>
          <w:i/>
          <w:iCs/>
          <w:lang w:val="en-US"/>
        </w:rPr>
        <w:t>Joule</w:t>
      </w:r>
      <w:r w:rsidRPr="00094080">
        <w:rPr>
          <w:lang w:val="en-US"/>
        </w:rPr>
        <w:t xml:space="preserve">, 2021, </w:t>
      </w:r>
      <w:r w:rsidRPr="00094080">
        <w:rPr>
          <w:b/>
          <w:bCs/>
          <w:lang w:val="en-US"/>
        </w:rPr>
        <w:t>5</w:t>
      </w:r>
      <w:r w:rsidRPr="00094080">
        <w:rPr>
          <w:lang w:val="en-US"/>
        </w:rPr>
        <w:t>, 673-686</w:t>
      </w:r>
      <w:r>
        <w:rPr>
          <w:lang w:val="en-US"/>
        </w:rPr>
        <w:t>.</w:t>
      </w:r>
    </w:p>
    <w:p w14:paraId="2B2806A2" w14:textId="6A05C54B" w:rsidR="00094080" w:rsidRPr="00094080" w:rsidRDefault="00094080" w:rsidP="009250AC">
      <w:pPr>
        <w:pStyle w:val="RSCR02References"/>
        <w:jc w:val="left"/>
      </w:pPr>
      <w:r w:rsidRPr="00094080">
        <w:rPr>
          <w:lang w:val="en-US"/>
        </w:rPr>
        <w:t xml:space="preserve">W. Li, W. Zhao, H. Zhu, Z-J. Li, W. Wang, </w:t>
      </w:r>
      <w:r w:rsidRPr="00094080">
        <w:rPr>
          <w:i/>
          <w:iCs/>
          <w:lang w:val="en-US"/>
        </w:rPr>
        <w:t>J. Mater. Chem. A</w:t>
      </w:r>
      <w:r w:rsidRPr="00094080">
        <w:rPr>
          <w:lang w:val="en-US"/>
        </w:rPr>
        <w:t xml:space="preserve">, 2023, </w:t>
      </w:r>
      <w:r w:rsidRPr="00094080">
        <w:rPr>
          <w:b/>
          <w:bCs/>
          <w:lang w:val="en-US"/>
        </w:rPr>
        <w:t>11</w:t>
      </w:r>
      <w:r w:rsidRPr="00094080">
        <w:rPr>
          <w:lang w:val="en-US"/>
        </w:rPr>
        <w:t>, 2503-2527.</w:t>
      </w:r>
    </w:p>
    <w:p w14:paraId="2959DB15" w14:textId="77777777" w:rsidR="00094080" w:rsidRPr="00094080" w:rsidRDefault="00094080" w:rsidP="009250AC">
      <w:pPr>
        <w:pStyle w:val="RSCR02References"/>
        <w:jc w:val="left"/>
      </w:pPr>
      <w:r w:rsidRPr="00094080">
        <w:rPr>
          <w:lang w:val="en-US"/>
        </w:rPr>
        <w:t xml:space="preserve">E. </w:t>
      </w:r>
      <w:proofErr w:type="spellStart"/>
      <w:r w:rsidRPr="00094080">
        <w:rPr>
          <w:lang w:val="en-US"/>
        </w:rPr>
        <w:t>Syranidou</w:t>
      </w:r>
      <w:proofErr w:type="spellEnd"/>
      <w:r w:rsidRPr="00094080">
        <w:rPr>
          <w:lang w:val="en-US"/>
        </w:rPr>
        <w:t xml:space="preserve">, K. </w:t>
      </w:r>
      <w:proofErr w:type="spellStart"/>
      <w:r w:rsidRPr="00094080">
        <w:rPr>
          <w:lang w:val="en-US"/>
        </w:rPr>
        <w:t>Karkanorachaki</w:t>
      </w:r>
      <w:proofErr w:type="spellEnd"/>
      <w:r w:rsidRPr="00094080">
        <w:rPr>
          <w:lang w:val="en-US"/>
        </w:rPr>
        <w:t xml:space="preserve">, D. </w:t>
      </w:r>
      <w:proofErr w:type="spellStart"/>
      <w:r w:rsidRPr="00094080">
        <w:rPr>
          <w:lang w:val="en-US"/>
        </w:rPr>
        <w:t>Barouta</w:t>
      </w:r>
      <w:proofErr w:type="spellEnd"/>
      <w:r w:rsidRPr="00094080">
        <w:rPr>
          <w:lang w:val="en-US"/>
        </w:rPr>
        <w:t xml:space="preserve">, E. </w:t>
      </w:r>
      <w:proofErr w:type="spellStart"/>
      <w:r w:rsidRPr="00094080">
        <w:rPr>
          <w:lang w:val="en-US"/>
        </w:rPr>
        <w:t>Papadaki</w:t>
      </w:r>
      <w:proofErr w:type="spellEnd"/>
      <w:r w:rsidRPr="00094080">
        <w:rPr>
          <w:lang w:val="en-US"/>
        </w:rPr>
        <w:t xml:space="preserve">, D. </w:t>
      </w:r>
      <w:proofErr w:type="spellStart"/>
      <w:r w:rsidRPr="00094080">
        <w:rPr>
          <w:lang w:val="en-US"/>
        </w:rPr>
        <w:t>Moschovas</w:t>
      </w:r>
      <w:proofErr w:type="spellEnd"/>
      <w:r w:rsidRPr="00094080">
        <w:rPr>
          <w:lang w:val="en-US"/>
        </w:rPr>
        <w:t xml:space="preserve">, A. </w:t>
      </w:r>
      <w:proofErr w:type="spellStart"/>
      <w:r w:rsidRPr="00094080">
        <w:rPr>
          <w:lang w:val="en-US"/>
        </w:rPr>
        <w:t>Avgeropoulos</w:t>
      </w:r>
      <w:proofErr w:type="spellEnd"/>
      <w:r w:rsidRPr="00094080">
        <w:rPr>
          <w:lang w:val="en-US"/>
        </w:rPr>
        <w:t xml:space="preserve">, N. </w:t>
      </w:r>
      <w:proofErr w:type="spellStart"/>
      <w:r w:rsidRPr="00094080">
        <w:rPr>
          <w:lang w:val="en-US"/>
        </w:rPr>
        <w:t>Kalogerakis</w:t>
      </w:r>
      <w:proofErr w:type="spellEnd"/>
      <w:r w:rsidRPr="00094080">
        <w:rPr>
          <w:lang w:val="en-US"/>
        </w:rPr>
        <w:t xml:space="preserve">, </w:t>
      </w:r>
      <w:r w:rsidRPr="00094080">
        <w:rPr>
          <w:i/>
          <w:iCs/>
          <w:lang w:val="en-US"/>
        </w:rPr>
        <w:t>Environ. Sci. Technol</w:t>
      </w:r>
      <w:r w:rsidRPr="00094080">
        <w:rPr>
          <w:lang w:val="en-US"/>
        </w:rPr>
        <w:t xml:space="preserve">., 2023, </w:t>
      </w:r>
      <w:r w:rsidRPr="00094080">
        <w:rPr>
          <w:b/>
          <w:bCs/>
          <w:lang w:val="en-US"/>
        </w:rPr>
        <w:t>57</w:t>
      </w:r>
      <w:r w:rsidRPr="00094080">
        <w:rPr>
          <w:lang w:val="en-US"/>
        </w:rPr>
        <w:t>, 8130-8138.</w:t>
      </w:r>
    </w:p>
    <w:p w14:paraId="7CB8CC27" w14:textId="77777777" w:rsidR="00094080" w:rsidRPr="00094080" w:rsidRDefault="00094080" w:rsidP="009250AC">
      <w:pPr>
        <w:pStyle w:val="RSCR02References"/>
        <w:jc w:val="left"/>
      </w:pPr>
      <w:r w:rsidRPr="00094080">
        <w:rPr>
          <w:lang w:val="en-US"/>
        </w:rPr>
        <w:t xml:space="preserve">F. Julienne, F. Lagarde, N. Delorme, </w:t>
      </w:r>
      <w:proofErr w:type="spellStart"/>
      <w:r w:rsidRPr="00094080">
        <w:rPr>
          <w:i/>
          <w:iCs/>
          <w:lang w:val="en-US"/>
        </w:rPr>
        <w:t>Polym</w:t>
      </w:r>
      <w:proofErr w:type="spellEnd"/>
      <w:r w:rsidRPr="00094080">
        <w:rPr>
          <w:i/>
          <w:iCs/>
          <w:lang w:val="en-US"/>
        </w:rPr>
        <w:t xml:space="preserve">. </w:t>
      </w:r>
      <w:proofErr w:type="spellStart"/>
      <w:r w:rsidRPr="00094080">
        <w:rPr>
          <w:i/>
          <w:iCs/>
          <w:lang w:val="en-US"/>
        </w:rPr>
        <w:t>Degrad</w:t>
      </w:r>
      <w:proofErr w:type="spellEnd"/>
      <w:r w:rsidRPr="00094080">
        <w:rPr>
          <w:i/>
          <w:iCs/>
          <w:lang w:val="en-US"/>
        </w:rPr>
        <w:t>. Stabil</w:t>
      </w:r>
      <w:r w:rsidRPr="00094080">
        <w:rPr>
          <w:lang w:val="en-US"/>
        </w:rPr>
        <w:t xml:space="preserve">., 2019, </w:t>
      </w:r>
      <w:r w:rsidRPr="00094080">
        <w:rPr>
          <w:b/>
          <w:bCs/>
          <w:lang w:val="en-US"/>
        </w:rPr>
        <w:t>170</w:t>
      </w:r>
      <w:r w:rsidRPr="00094080">
        <w:rPr>
          <w:lang w:val="en-US"/>
        </w:rPr>
        <w:t>, 109012.</w:t>
      </w:r>
    </w:p>
    <w:p w14:paraId="2F4E1DCE" w14:textId="77777777" w:rsidR="00094080" w:rsidRPr="00094080" w:rsidRDefault="00094080" w:rsidP="009250AC">
      <w:pPr>
        <w:pStyle w:val="RSCR02References"/>
        <w:jc w:val="left"/>
      </w:pPr>
      <w:r w:rsidRPr="00094080">
        <w:rPr>
          <w:lang w:val="en-US"/>
        </w:rPr>
        <w:t xml:space="preserve">G.P. Kar, M.O. </w:t>
      </w:r>
      <w:proofErr w:type="spellStart"/>
      <w:r w:rsidRPr="00094080">
        <w:rPr>
          <w:lang w:val="en-US"/>
        </w:rPr>
        <w:t>Saed</w:t>
      </w:r>
      <w:proofErr w:type="spellEnd"/>
      <w:r w:rsidRPr="00094080">
        <w:rPr>
          <w:lang w:val="en-US"/>
        </w:rPr>
        <w:t xml:space="preserve">, E.M. </w:t>
      </w:r>
      <w:proofErr w:type="spellStart"/>
      <w:r w:rsidRPr="00094080">
        <w:rPr>
          <w:lang w:val="en-US"/>
        </w:rPr>
        <w:t>Terentjev</w:t>
      </w:r>
      <w:proofErr w:type="spellEnd"/>
      <w:r w:rsidRPr="00094080">
        <w:rPr>
          <w:lang w:val="en-US"/>
        </w:rPr>
        <w:t xml:space="preserve">, </w:t>
      </w:r>
      <w:r w:rsidRPr="00094080">
        <w:rPr>
          <w:i/>
          <w:iCs/>
          <w:lang w:val="en-US"/>
        </w:rPr>
        <w:t>J. Mater. Chem. A</w:t>
      </w:r>
      <w:r w:rsidRPr="00094080">
        <w:rPr>
          <w:lang w:val="en-US"/>
        </w:rPr>
        <w:t xml:space="preserve">, 2020, </w:t>
      </w:r>
      <w:r w:rsidRPr="00094080">
        <w:rPr>
          <w:b/>
          <w:bCs/>
          <w:lang w:val="en-US"/>
        </w:rPr>
        <w:t>8</w:t>
      </w:r>
      <w:r w:rsidRPr="00094080">
        <w:rPr>
          <w:lang w:val="en-US"/>
        </w:rPr>
        <w:t>, 24137-24147.</w:t>
      </w:r>
    </w:p>
    <w:p w14:paraId="45E010F4" w14:textId="77777777" w:rsidR="00094080" w:rsidRPr="00094080" w:rsidRDefault="00094080" w:rsidP="009250AC">
      <w:pPr>
        <w:pStyle w:val="RSCR02References"/>
        <w:jc w:val="left"/>
      </w:pPr>
      <w:r w:rsidRPr="00094080">
        <w:rPr>
          <w:lang w:val="en-US"/>
        </w:rPr>
        <w:t xml:space="preserve">Q. Wu, X. Wang, M. </w:t>
      </w:r>
      <w:proofErr w:type="spellStart"/>
      <w:r w:rsidRPr="00094080">
        <w:rPr>
          <w:lang w:val="en-US"/>
        </w:rPr>
        <w:t>Nie</w:t>
      </w:r>
      <w:proofErr w:type="spellEnd"/>
      <w:r w:rsidRPr="00094080">
        <w:rPr>
          <w:lang w:val="en-US"/>
        </w:rPr>
        <w:t xml:space="preserve">, Q. Wang, </w:t>
      </w:r>
      <w:r w:rsidRPr="00094080">
        <w:rPr>
          <w:i/>
          <w:iCs/>
          <w:lang w:val="en-US"/>
        </w:rPr>
        <w:t>ACS Sustain. Sci. Eng</w:t>
      </w:r>
      <w:r w:rsidRPr="00094080">
        <w:rPr>
          <w:lang w:val="en-US"/>
        </w:rPr>
        <w:t xml:space="preserve">., 2022, </w:t>
      </w:r>
      <w:r w:rsidRPr="00094080">
        <w:rPr>
          <w:b/>
          <w:bCs/>
          <w:lang w:val="en-US"/>
        </w:rPr>
        <w:t>10</w:t>
      </w:r>
      <w:r w:rsidRPr="00094080">
        <w:rPr>
          <w:lang w:val="en-US"/>
        </w:rPr>
        <w:t>, 860-867.</w:t>
      </w:r>
    </w:p>
    <w:p w14:paraId="6AAA2D27" w14:textId="77777777" w:rsidR="00094080" w:rsidRPr="00094080" w:rsidRDefault="00094080" w:rsidP="009250AC">
      <w:pPr>
        <w:pStyle w:val="RSCR02References"/>
        <w:jc w:val="left"/>
      </w:pPr>
      <w:r w:rsidRPr="00094080">
        <w:rPr>
          <w:lang w:val="en-US"/>
        </w:rPr>
        <w:t xml:space="preserve">Vollmer, M.J.F. Jenks, M.C.P. </w:t>
      </w:r>
      <w:proofErr w:type="spellStart"/>
      <w:r w:rsidRPr="00094080">
        <w:rPr>
          <w:lang w:val="en-US"/>
        </w:rPr>
        <w:t>Roelands</w:t>
      </w:r>
      <w:proofErr w:type="spellEnd"/>
      <w:r w:rsidRPr="00094080">
        <w:rPr>
          <w:lang w:val="en-US"/>
        </w:rPr>
        <w:t xml:space="preserve">, R.J. White, T. van </w:t>
      </w:r>
      <w:proofErr w:type="spellStart"/>
      <w:r w:rsidRPr="00094080">
        <w:rPr>
          <w:lang w:val="en-US"/>
        </w:rPr>
        <w:t>Harmelen</w:t>
      </w:r>
      <w:proofErr w:type="spellEnd"/>
      <w:r w:rsidRPr="00094080">
        <w:rPr>
          <w:lang w:val="en-US"/>
        </w:rPr>
        <w:t xml:space="preserve">, P. de Wild, G.P. van der </w:t>
      </w:r>
      <w:proofErr w:type="spellStart"/>
      <w:r w:rsidRPr="00094080">
        <w:rPr>
          <w:lang w:val="en-US"/>
        </w:rPr>
        <w:t>Laan</w:t>
      </w:r>
      <w:proofErr w:type="spellEnd"/>
      <w:r w:rsidRPr="00094080">
        <w:rPr>
          <w:lang w:val="en-US"/>
        </w:rPr>
        <w:t xml:space="preserve">, F. </w:t>
      </w:r>
      <w:proofErr w:type="spellStart"/>
      <w:r w:rsidRPr="00094080">
        <w:rPr>
          <w:lang w:val="en-US"/>
        </w:rPr>
        <w:t>Meirer</w:t>
      </w:r>
      <w:proofErr w:type="spellEnd"/>
      <w:r w:rsidRPr="00094080">
        <w:rPr>
          <w:lang w:val="en-US"/>
        </w:rPr>
        <w:t xml:space="preserve">, J.T.F. </w:t>
      </w:r>
      <w:proofErr w:type="spellStart"/>
      <w:r w:rsidRPr="00094080">
        <w:rPr>
          <w:lang w:val="en-US"/>
        </w:rPr>
        <w:t>Keurentjes</w:t>
      </w:r>
      <w:proofErr w:type="spellEnd"/>
      <w:r w:rsidRPr="00094080">
        <w:rPr>
          <w:lang w:val="en-US"/>
        </w:rPr>
        <w:t xml:space="preserve">, B.M. </w:t>
      </w:r>
      <w:proofErr w:type="spellStart"/>
      <w:r w:rsidRPr="00094080">
        <w:rPr>
          <w:lang w:val="en-US"/>
        </w:rPr>
        <w:t>Weckhuysen</w:t>
      </w:r>
      <w:proofErr w:type="spellEnd"/>
      <w:r w:rsidRPr="00094080">
        <w:rPr>
          <w:lang w:val="en-US"/>
        </w:rPr>
        <w:t xml:space="preserve">, </w:t>
      </w:r>
      <w:proofErr w:type="spellStart"/>
      <w:r w:rsidRPr="00094080">
        <w:rPr>
          <w:i/>
          <w:iCs/>
          <w:lang w:val="en-US"/>
        </w:rPr>
        <w:t>Angew</w:t>
      </w:r>
      <w:proofErr w:type="spellEnd"/>
      <w:r w:rsidRPr="00094080">
        <w:rPr>
          <w:i/>
          <w:iCs/>
          <w:lang w:val="en-US"/>
        </w:rPr>
        <w:t>. Chem. Int. Ed</w:t>
      </w:r>
      <w:r w:rsidRPr="00094080">
        <w:rPr>
          <w:lang w:val="en-US"/>
        </w:rPr>
        <w:t xml:space="preserve">., 2020, </w:t>
      </w:r>
      <w:r w:rsidRPr="00094080">
        <w:rPr>
          <w:b/>
          <w:bCs/>
          <w:lang w:val="en-US"/>
        </w:rPr>
        <w:t>59</w:t>
      </w:r>
      <w:r w:rsidRPr="00094080">
        <w:rPr>
          <w:lang w:val="en-US"/>
        </w:rPr>
        <w:t>, 15402-15423.</w:t>
      </w:r>
    </w:p>
    <w:p w14:paraId="55270226" w14:textId="77777777" w:rsidR="00094080" w:rsidRPr="00094080" w:rsidRDefault="00094080" w:rsidP="009250AC">
      <w:pPr>
        <w:pStyle w:val="RSCR02References"/>
        <w:jc w:val="left"/>
      </w:pPr>
      <w:r w:rsidRPr="00094080">
        <w:rPr>
          <w:lang w:val="en-JP"/>
        </w:rPr>
        <w:t xml:space="preserve">C.W.S. Yeung, J.Y.Q. Teo, X.J. Loh, J.Y.C. Lim, </w:t>
      </w:r>
      <w:r w:rsidRPr="00094080">
        <w:rPr>
          <w:i/>
          <w:iCs/>
          <w:lang w:val="en-US"/>
        </w:rPr>
        <w:t>ACS Mater. Lett</w:t>
      </w:r>
      <w:r w:rsidRPr="00094080">
        <w:rPr>
          <w:lang w:val="en-US"/>
        </w:rPr>
        <w:t xml:space="preserve">., 2021, </w:t>
      </w:r>
      <w:r w:rsidRPr="00094080">
        <w:rPr>
          <w:b/>
          <w:bCs/>
          <w:lang w:val="en-US"/>
        </w:rPr>
        <w:t>3</w:t>
      </w:r>
      <w:r w:rsidRPr="00094080">
        <w:rPr>
          <w:lang w:val="en-US"/>
        </w:rPr>
        <w:t>, 1660-1676.</w:t>
      </w:r>
    </w:p>
    <w:p w14:paraId="6CE2C596" w14:textId="77777777" w:rsidR="00094080" w:rsidRPr="00094080" w:rsidRDefault="00094080" w:rsidP="009250AC">
      <w:pPr>
        <w:pStyle w:val="RSCR02References"/>
        <w:jc w:val="left"/>
      </w:pPr>
      <w:r w:rsidRPr="00094080">
        <w:rPr>
          <w:lang w:val="en-US"/>
        </w:rPr>
        <w:t xml:space="preserve">A. Chamas, H. Moon, J. Zheng, Y. </w:t>
      </w:r>
      <w:proofErr w:type="spellStart"/>
      <w:r w:rsidRPr="00094080">
        <w:rPr>
          <w:lang w:val="en-US"/>
        </w:rPr>
        <w:t>Qiu</w:t>
      </w:r>
      <w:proofErr w:type="spellEnd"/>
      <w:r w:rsidRPr="00094080">
        <w:rPr>
          <w:lang w:val="en-US"/>
        </w:rPr>
        <w:t xml:space="preserve">, T. Tabassum, J.H. Jang, M. Abu-Omar, S.L. Scott, S. Suh, </w:t>
      </w:r>
      <w:r w:rsidRPr="00094080">
        <w:rPr>
          <w:i/>
          <w:iCs/>
          <w:lang w:val="en-US"/>
        </w:rPr>
        <w:t>ACS Sustain. Chem. Eng.</w:t>
      </w:r>
      <w:r w:rsidRPr="00094080">
        <w:rPr>
          <w:lang w:val="en-US"/>
        </w:rPr>
        <w:t xml:space="preserve">, 2020, </w:t>
      </w:r>
      <w:r w:rsidRPr="00094080">
        <w:rPr>
          <w:b/>
          <w:bCs/>
          <w:lang w:val="en-US"/>
        </w:rPr>
        <w:t>8</w:t>
      </w:r>
      <w:r w:rsidRPr="00094080">
        <w:rPr>
          <w:lang w:val="en-US"/>
        </w:rPr>
        <w:t>, 3494-3511.</w:t>
      </w:r>
    </w:p>
    <w:p w14:paraId="5613A26F" w14:textId="77777777" w:rsidR="00094080" w:rsidRPr="00094080" w:rsidRDefault="00094080" w:rsidP="009250AC">
      <w:pPr>
        <w:pStyle w:val="RSCR02References"/>
        <w:jc w:val="left"/>
      </w:pPr>
      <w:r w:rsidRPr="00094080">
        <w:rPr>
          <w:lang w:val="en-US"/>
        </w:rPr>
        <w:t>Francois-</w:t>
      </w:r>
      <w:proofErr w:type="spellStart"/>
      <w:r w:rsidRPr="00094080">
        <w:rPr>
          <w:lang w:val="en-US"/>
        </w:rPr>
        <w:t>Heude</w:t>
      </w:r>
      <w:proofErr w:type="spellEnd"/>
      <w:r w:rsidRPr="00094080">
        <w:rPr>
          <w:lang w:val="en-US"/>
        </w:rPr>
        <w:t xml:space="preserve">, E. </w:t>
      </w:r>
      <w:proofErr w:type="spellStart"/>
      <w:r w:rsidRPr="00094080">
        <w:rPr>
          <w:lang w:val="en-US"/>
        </w:rPr>
        <w:t>Richaud</w:t>
      </w:r>
      <w:proofErr w:type="spellEnd"/>
      <w:r w:rsidRPr="00094080">
        <w:rPr>
          <w:lang w:val="en-US"/>
        </w:rPr>
        <w:t xml:space="preserve">, E. </w:t>
      </w:r>
      <w:proofErr w:type="spellStart"/>
      <w:r w:rsidRPr="00094080">
        <w:rPr>
          <w:lang w:val="en-US"/>
        </w:rPr>
        <w:t>Desnoux</w:t>
      </w:r>
      <w:proofErr w:type="spellEnd"/>
      <w:r w:rsidRPr="00094080">
        <w:rPr>
          <w:lang w:val="en-US"/>
        </w:rPr>
        <w:t xml:space="preserve">, X. Colin, </w:t>
      </w:r>
      <w:r w:rsidRPr="00094080">
        <w:rPr>
          <w:i/>
          <w:iCs/>
          <w:lang w:val="en-US"/>
        </w:rPr>
        <w:t xml:space="preserve">J. </w:t>
      </w:r>
      <w:proofErr w:type="spellStart"/>
      <w:r w:rsidRPr="00094080">
        <w:rPr>
          <w:i/>
          <w:iCs/>
          <w:lang w:val="en-US"/>
        </w:rPr>
        <w:t>Photochem</w:t>
      </w:r>
      <w:proofErr w:type="spellEnd"/>
      <w:r w:rsidRPr="00094080">
        <w:rPr>
          <w:i/>
          <w:iCs/>
          <w:lang w:val="en-US"/>
        </w:rPr>
        <w:t xml:space="preserve">. </w:t>
      </w:r>
      <w:proofErr w:type="spellStart"/>
      <w:r w:rsidRPr="00094080">
        <w:rPr>
          <w:i/>
          <w:iCs/>
          <w:lang w:val="en-US"/>
        </w:rPr>
        <w:t>Photobio</w:t>
      </w:r>
      <w:proofErr w:type="spellEnd"/>
      <w:r w:rsidRPr="00094080">
        <w:rPr>
          <w:i/>
          <w:iCs/>
          <w:lang w:val="en-US"/>
        </w:rPr>
        <w:t>. A</w:t>
      </w:r>
      <w:r w:rsidRPr="00094080">
        <w:rPr>
          <w:lang w:val="en-US"/>
        </w:rPr>
        <w:t xml:space="preserve">, 2015, </w:t>
      </w:r>
      <w:r w:rsidRPr="00094080">
        <w:rPr>
          <w:b/>
          <w:bCs/>
          <w:lang w:val="en-US"/>
        </w:rPr>
        <w:t>296</w:t>
      </w:r>
      <w:r w:rsidRPr="00094080">
        <w:rPr>
          <w:lang w:val="en-US"/>
        </w:rPr>
        <w:t>, 48-65.</w:t>
      </w:r>
    </w:p>
    <w:p w14:paraId="0463D577" w14:textId="77777777" w:rsidR="00094080" w:rsidRPr="00094080" w:rsidRDefault="00094080" w:rsidP="009250AC">
      <w:pPr>
        <w:pStyle w:val="RSCR02References"/>
        <w:jc w:val="left"/>
      </w:pPr>
      <w:r w:rsidRPr="00094080">
        <w:rPr>
          <w:lang w:val="en-US"/>
        </w:rPr>
        <w:t xml:space="preserve">B. </w:t>
      </w:r>
      <w:proofErr w:type="spellStart"/>
      <w:r w:rsidRPr="00094080">
        <w:rPr>
          <w:lang w:val="en-US"/>
        </w:rPr>
        <w:t>Gewert</w:t>
      </w:r>
      <w:proofErr w:type="spellEnd"/>
      <w:r w:rsidRPr="00094080">
        <w:rPr>
          <w:lang w:val="en-US"/>
        </w:rPr>
        <w:t xml:space="preserve">, M.M. </w:t>
      </w:r>
      <w:proofErr w:type="spellStart"/>
      <w:r w:rsidRPr="00094080">
        <w:rPr>
          <w:lang w:val="en-US"/>
        </w:rPr>
        <w:t>Plassmann</w:t>
      </w:r>
      <w:proofErr w:type="spellEnd"/>
      <w:r w:rsidRPr="00094080">
        <w:rPr>
          <w:lang w:val="en-US"/>
        </w:rPr>
        <w:t xml:space="preserve">, M. MacLeod, </w:t>
      </w:r>
      <w:r w:rsidRPr="00094080">
        <w:rPr>
          <w:i/>
          <w:iCs/>
          <w:lang w:val="en-US"/>
        </w:rPr>
        <w:t>Environ. Sci.: Process. Impacts</w:t>
      </w:r>
      <w:r w:rsidRPr="00094080">
        <w:rPr>
          <w:lang w:val="en-US"/>
        </w:rPr>
        <w:t xml:space="preserve">, 2015, </w:t>
      </w:r>
      <w:r w:rsidRPr="00094080">
        <w:rPr>
          <w:b/>
          <w:bCs/>
          <w:lang w:val="en-US"/>
        </w:rPr>
        <w:t>17</w:t>
      </w:r>
      <w:r w:rsidRPr="00094080">
        <w:rPr>
          <w:lang w:val="en-US"/>
        </w:rPr>
        <w:t>, 1513-1521.</w:t>
      </w:r>
    </w:p>
    <w:p w14:paraId="28D58809" w14:textId="77777777" w:rsidR="00094080" w:rsidRPr="00094080" w:rsidRDefault="00094080" w:rsidP="009250AC">
      <w:pPr>
        <w:pStyle w:val="RSCR02References"/>
        <w:jc w:val="left"/>
      </w:pPr>
      <w:r w:rsidRPr="00094080">
        <w:rPr>
          <w:lang w:val="en-US"/>
        </w:rPr>
        <w:t xml:space="preserve">A.K. Rodriguez, B. Mansoor, G. Ayoub, X. Colin, A.A. </w:t>
      </w:r>
      <w:proofErr w:type="spellStart"/>
      <w:r w:rsidRPr="00094080">
        <w:rPr>
          <w:lang w:val="en-US"/>
        </w:rPr>
        <w:t>Benzerga</w:t>
      </w:r>
      <w:proofErr w:type="spellEnd"/>
      <w:r w:rsidRPr="00094080">
        <w:rPr>
          <w:lang w:val="en-US"/>
        </w:rPr>
        <w:t xml:space="preserve">, </w:t>
      </w:r>
      <w:proofErr w:type="spellStart"/>
      <w:r w:rsidRPr="00094080">
        <w:rPr>
          <w:i/>
          <w:iCs/>
          <w:lang w:val="en-US"/>
        </w:rPr>
        <w:t>Polym</w:t>
      </w:r>
      <w:proofErr w:type="spellEnd"/>
      <w:r w:rsidRPr="00094080">
        <w:rPr>
          <w:i/>
          <w:iCs/>
          <w:lang w:val="en-US"/>
        </w:rPr>
        <w:t xml:space="preserve">. </w:t>
      </w:r>
      <w:proofErr w:type="spellStart"/>
      <w:r w:rsidRPr="00094080">
        <w:rPr>
          <w:i/>
          <w:iCs/>
          <w:lang w:val="en-US"/>
        </w:rPr>
        <w:t>Degrad</w:t>
      </w:r>
      <w:proofErr w:type="spellEnd"/>
      <w:r w:rsidRPr="00094080">
        <w:rPr>
          <w:i/>
          <w:iCs/>
          <w:lang w:val="en-US"/>
        </w:rPr>
        <w:t>. Stabil</w:t>
      </w:r>
      <w:r w:rsidRPr="00094080">
        <w:rPr>
          <w:lang w:val="en-US"/>
        </w:rPr>
        <w:t xml:space="preserve">., 2020, </w:t>
      </w:r>
      <w:r w:rsidRPr="00094080">
        <w:rPr>
          <w:b/>
          <w:bCs/>
          <w:lang w:val="en-US"/>
        </w:rPr>
        <w:t>180</w:t>
      </w:r>
      <w:r w:rsidRPr="00094080">
        <w:rPr>
          <w:lang w:val="en-US"/>
        </w:rPr>
        <w:t>, 109185.</w:t>
      </w:r>
    </w:p>
    <w:p w14:paraId="3CF47858" w14:textId="77777777" w:rsidR="00094080" w:rsidRPr="00094080" w:rsidRDefault="00094080" w:rsidP="009250AC">
      <w:pPr>
        <w:pStyle w:val="RSCR02References"/>
        <w:jc w:val="left"/>
      </w:pPr>
      <w:r w:rsidRPr="00094080">
        <w:rPr>
          <w:lang w:val="en-US"/>
        </w:rPr>
        <w:t xml:space="preserve">S. </w:t>
      </w:r>
      <w:proofErr w:type="spellStart"/>
      <w:r w:rsidRPr="00094080">
        <w:rPr>
          <w:lang w:val="en-US"/>
        </w:rPr>
        <w:t>Morlat</w:t>
      </w:r>
      <w:proofErr w:type="spellEnd"/>
      <w:r w:rsidRPr="00094080">
        <w:rPr>
          <w:lang w:val="en-US"/>
        </w:rPr>
        <w:t xml:space="preserve">, B. </w:t>
      </w:r>
      <w:proofErr w:type="spellStart"/>
      <w:r w:rsidRPr="00094080">
        <w:rPr>
          <w:lang w:val="en-US"/>
        </w:rPr>
        <w:t>Mailhot</w:t>
      </w:r>
      <w:proofErr w:type="spellEnd"/>
      <w:r w:rsidRPr="00094080">
        <w:rPr>
          <w:lang w:val="en-US"/>
        </w:rPr>
        <w:t xml:space="preserve">, D. Gonzalez, J-L. </w:t>
      </w:r>
      <w:proofErr w:type="spellStart"/>
      <w:r w:rsidRPr="00094080">
        <w:rPr>
          <w:lang w:val="en-US"/>
        </w:rPr>
        <w:t>Gardette</w:t>
      </w:r>
      <w:proofErr w:type="spellEnd"/>
      <w:r w:rsidRPr="00094080">
        <w:rPr>
          <w:lang w:val="en-US"/>
        </w:rPr>
        <w:t xml:space="preserve">, </w:t>
      </w:r>
      <w:r w:rsidRPr="00094080">
        <w:rPr>
          <w:i/>
          <w:iCs/>
          <w:lang w:val="en-US"/>
        </w:rPr>
        <w:t>Chem. Mater</w:t>
      </w:r>
      <w:r w:rsidRPr="00094080">
        <w:rPr>
          <w:lang w:val="en-US"/>
        </w:rPr>
        <w:t xml:space="preserve">., 2004, </w:t>
      </w:r>
      <w:r w:rsidRPr="00094080">
        <w:rPr>
          <w:b/>
          <w:bCs/>
          <w:lang w:val="en-US"/>
        </w:rPr>
        <w:t>16</w:t>
      </w:r>
      <w:r w:rsidRPr="00094080">
        <w:rPr>
          <w:lang w:val="en-US"/>
        </w:rPr>
        <w:t>, 377-383.</w:t>
      </w:r>
    </w:p>
    <w:p w14:paraId="0AA878E0" w14:textId="77777777" w:rsidR="00094080" w:rsidRPr="00094080" w:rsidRDefault="00094080" w:rsidP="009250AC">
      <w:pPr>
        <w:pStyle w:val="RSCR02References"/>
        <w:jc w:val="left"/>
      </w:pPr>
      <w:r w:rsidRPr="00094080">
        <w:rPr>
          <w:lang w:val="en-US"/>
        </w:rPr>
        <w:t xml:space="preserve">S. </w:t>
      </w:r>
      <w:proofErr w:type="spellStart"/>
      <w:r w:rsidRPr="00094080">
        <w:rPr>
          <w:lang w:val="en-US"/>
        </w:rPr>
        <w:t>Therias</w:t>
      </w:r>
      <w:proofErr w:type="spellEnd"/>
      <w:r w:rsidRPr="00094080">
        <w:rPr>
          <w:lang w:val="en-US"/>
        </w:rPr>
        <w:t xml:space="preserve">, G. Rapp, C. Masson, J-L. </w:t>
      </w:r>
      <w:proofErr w:type="spellStart"/>
      <w:r w:rsidRPr="00094080">
        <w:rPr>
          <w:lang w:val="en-US"/>
        </w:rPr>
        <w:t>Gardette</w:t>
      </w:r>
      <w:proofErr w:type="spellEnd"/>
      <w:r w:rsidRPr="00094080">
        <w:rPr>
          <w:lang w:val="en-US"/>
        </w:rPr>
        <w:t xml:space="preserve">, </w:t>
      </w:r>
      <w:proofErr w:type="spellStart"/>
      <w:r w:rsidRPr="00094080">
        <w:rPr>
          <w:i/>
          <w:iCs/>
          <w:lang w:val="en-US"/>
        </w:rPr>
        <w:t>Polym</w:t>
      </w:r>
      <w:proofErr w:type="spellEnd"/>
      <w:r w:rsidRPr="00094080">
        <w:rPr>
          <w:i/>
          <w:iCs/>
          <w:lang w:val="en-US"/>
        </w:rPr>
        <w:t xml:space="preserve">. </w:t>
      </w:r>
      <w:proofErr w:type="spellStart"/>
      <w:r w:rsidRPr="00094080">
        <w:rPr>
          <w:i/>
          <w:iCs/>
          <w:lang w:val="en-US"/>
        </w:rPr>
        <w:t>Degrad</w:t>
      </w:r>
      <w:proofErr w:type="spellEnd"/>
      <w:r w:rsidRPr="00094080">
        <w:rPr>
          <w:i/>
          <w:iCs/>
          <w:lang w:val="en-US"/>
        </w:rPr>
        <w:t>. Stabil</w:t>
      </w:r>
      <w:r w:rsidRPr="00094080">
        <w:rPr>
          <w:lang w:val="en-US"/>
        </w:rPr>
        <w:t xml:space="preserve">., 2021, </w:t>
      </w:r>
      <w:r w:rsidRPr="00094080">
        <w:rPr>
          <w:b/>
          <w:bCs/>
          <w:lang w:val="en-US"/>
        </w:rPr>
        <w:t>183</w:t>
      </w:r>
      <w:r w:rsidRPr="00094080">
        <w:rPr>
          <w:lang w:val="en-US"/>
        </w:rPr>
        <w:t>, 109443.</w:t>
      </w:r>
    </w:p>
    <w:p w14:paraId="59BB39CD" w14:textId="32D9260D" w:rsidR="00094080" w:rsidRPr="00094080" w:rsidRDefault="00094080" w:rsidP="009250AC">
      <w:pPr>
        <w:pStyle w:val="RSCR02References"/>
        <w:jc w:val="left"/>
      </w:pPr>
      <w:r w:rsidRPr="00094080">
        <w:rPr>
          <w:lang w:val="en-US"/>
        </w:rPr>
        <w:t xml:space="preserve">C. </w:t>
      </w:r>
      <w:proofErr w:type="spellStart"/>
      <w:r w:rsidRPr="00094080">
        <w:rPr>
          <w:lang w:val="en-US"/>
        </w:rPr>
        <w:t>Rouillon</w:t>
      </w:r>
      <w:proofErr w:type="spellEnd"/>
      <w:r w:rsidRPr="00094080">
        <w:rPr>
          <w:lang w:val="en-US"/>
        </w:rPr>
        <w:t xml:space="preserve">, P-O. </w:t>
      </w:r>
      <w:proofErr w:type="spellStart"/>
      <w:r w:rsidRPr="00094080">
        <w:rPr>
          <w:lang w:val="en-US"/>
        </w:rPr>
        <w:t>Bussiere</w:t>
      </w:r>
      <w:proofErr w:type="spellEnd"/>
      <w:r w:rsidRPr="00094080">
        <w:rPr>
          <w:lang w:val="en-US"/>
        </w:rPr>
        <w:t xml:space="preserve">, E. </w:t>
      </w:r>
      <w:proofErr w:type="spellStart"/>
      <w:r w:rsidRPr="00094080">
        <w:rPr>
          <w:lang w:val="en-US"/>
        </w:rPr>
        <w:t>Desnoux</w:t>
      </w:r>
      <w:proofErr w:type="spellEnd"/>
      <w:r w:rsidRPr="00094080">
        <w:rPr>
          <w:lang w:val="en-US"/>
        </w:rPr>
        <w:t xml:space="preserve">, S. Collin, C. Vial, S. </w:t>
      </w:r>
      <w:proofErr w:type="spellStart"/>
      <w:r w:rsidRPr="00094080">
        <w:rPr>
          <w:lang w:val="en-US"/>
        </w:rPr>
        <w:t>Therias</w:t>
      </w:r>
      <w:proofErr w:type="spellEnd"/>
      <w:r w:rsidRPr="00094080">
        <w:rPr>
          <w:lang w:val="en-US"/>
        </w:rPr>
        <w:t xml:space="preserve">, J-L. </w:t>
      </w:r>
      <w:proofErr w:type="spellStart"/>
      <w:r w:rsidRPr="00094080">
        <w:rPr>
          <w:lang w:val="en-US"/>
        </w:rPr>
        <w:t>Gardette</w:t>
      </w:r>
      <w:proofErr w:type="spellEnd"/>
      <w:r w:rsidRPr="00094080">
        <w:rPr>
          <w:lang w:val="en-US"/>
        </w:rPr>
        <w:t xml:space="preserve">, </w:t>
      </w:r>
      <w:proofErr w:type="spellStart"/>
      <w:r w:rsidRPr="00094080">
        <w:rPr>
          <w:i/>
          <w:iCs/>
          <w:lang w:val="en-US"/>
        </w:rPr>
        <w:t>Polym</w:t>
      </w:r>
      <w:proofErr w:type="spellEnd"/>
      <w:r w:rsidRPr="00094080">
        <w:rPr>
          <w:i/>
          <w:iCs/>
          <w:lang w:val="en-US"/>
        </w:rPr>
        <w:t xml:space="preserve">. </w:t>
      </w:r>
      <w:proofErr w:type="spellStart"/>
      <w:r w:rsidRPr="00094080">
        <w:rPr>
          <w:i/>
          <w:iCs/>
          <w:lang w:val="en-US"/>
        </w:rPr>
        <w:t>Degrad</w:t>
      </w:r>
      <w:proofErr w:type="spellEnd"/>
      <w:r w:rsidRPr="00094080">
        <w:rPr>
          <w:i/>
          <w:iCs/>
          <w:lang w:val="en-US"/>
        </w:rPr>
        <w:t>. Stabil</w:t>
      </w:r>
      <w:r w:rsidRPr="00094080">
        <w:rPr>
          <w:lang w:val="en-US"/>
        </w:rPr>
        <w:t xml:space="preserve">., 2016, </w:t>
      </w:r>
      <w:r w:rsidRPr="00094080">
        <w:rPr>
          <w:b/>
          <w:bCs/>
          <w:lang w:val="en-US"/>
        </w:rPr>
        <w:t>128</w:t>
      </w:r>
      <w:r w:rsidRPr="00094080">
        <w:rPr>
          <w:lang w:val="en-US"/>
        </w:rPr>
        <w:t>, 200-208.</w:t>
      </w:r>
    </w:p>
    <w:p w14:paraId="6FB9AE31" w14:textId="77777777" w:rsidR="00094080" w:rsidRPr="00094080" w:rsidRDefault="00094080" w:rsidP="009250AC">
      <w:pPr>
        <w:pStyle w:val="RSCR02References"/>
        <w:jc w:val="left"/>
      </w:pPr>
      <w:r w:rsidRPr="00094080">
        <w:rPr>
          <w:lang w:val="en-US"/>
        </w:rPr>
        <w:t xml:space="preserve">M.S. </w:t>
      </w:r>
      <w:proofErr w:type="spellStart"/>
      <w:r w:rsidRPr="00094080">
        <w:rPr>
          <w:lang w:val="en-US"/>
        </w:rPr>
        <w:t>Rabello</w:t>
      </w:r>
      <w:proofErr w:type="spellEnd"/>
      <w:r w:rsidRPr="00094080">
        <w:rPr>
          <w:lang w:val="en-US"/>
        </w:rPr>
        <w:t xml:space="preserve">, J.R. White, </w:t>
      </w:r>
      <w:r w:rsidRPr="00094080">
        <w:rPr>
          <w:i/>
          <w:iCs/>
          <w:lang w:val="en-US"/>
        </w:rPr>
        <w:t>Polymer</w:t>
      </w:r>
      <w:r w:rsidRPr="00094080">
        <w:rPr>
          <w:lang w:val="en-US"/>
        </w:rPr>
        <w:t xml:space="preserve">, 1997, </w:t>
      </w:r>
      <w:r w:rsidRPr="00094080">
        <w:rPr>
          <w:b/>
          <w:bCs/>
          <w:lang w:val="en-US"/>
        </w:rPr>
        <w:t>38</w:t>
      </w:r>
      <w:r w:rsidRPr="00094080">
        <w:rPr>
          <w:lang w:val="en-US"/>
        </w:rPr>
        <w:t>, 6379-6387.</w:t>
      </w:r>
    </w:p>
    <w:p w14:paraId="2C6A4140" w14:textId="77777777" w:rsidR="00094080" w:rsidRPr="00094080" w:rsidRDefault="00094080" w:rsidP="009250AC">
      <w:pPr>
        <w:pStyle w:val="RSCR02References"/>
        <w:jc w:val="left"/>
      </w:pPr>
      <w:r w:rsidRPr="00094080">
        <w:rPr>
          <w:lang w:val="en-US"/>
        </w:rPr>
        <w:t xml:space="preserve">I. </w:t>
      </w:r>
      <w:proofErr w:type="spellStart"/>
      <w:r w:rsidRPr="00094080">
        <w:rPr>
          <w:lang w:val="en-US"/>
        </w:rPr>
        <w:t>Yakimets</w:t>
      </w:r>
      <w:proofErr w:type="spellEnd"/>
      <w:r w:rsidRPr="00094080">
        <w:rPr>
          <w:lang w:val="en-US"/>
        </w:rPr>
        <w:t xml:space="preserve">, D. Lai, M. </w:t>
      </w:r>
      <w:proofErr w:type="spellStart"/>
      <w:r w:rsidRPr="00094080">
        <w:rPr>
          <w:lang w:val="en-US"/>
        </w:rPr>
        <w:t>Guigon</w:t>
      </w:r>
      <w:proofErr w:type="spellEnd"/>
      <w:r w:rsidRPr="00094080">
        <w:rPr>
          <w:lang w:val="en-US"/>
        </w:rPr>
        <w:t xml:space="preserve">, </w:t>
      </w:r>
      <w:proofErr w:type="spellStart"/>
      <w:r w:rsidRPr="00094080">
        <w:rPr>
          <w:i/>
          <w:iCs/>
          <w:lang w:val="en-US"/>
        </w:rPr>
        <w:t>Polym</w:t>
      </w:r>
      <w:proofErr w:type="spellEnd"/>
      <w:r w:rsidRPr="00094080">
        <w:rPr>
          <w:i/>
          <w:iCs/>
          <w:lang w:val="en-US"/>
        </w:rPr>
        <w:t xml:space="preserve">. </w:t>
      </w:r>
      <w:proofErr w:type="spellStart"/>
      <w:r w:rsidRPr="00094080">
        <w:rPr>
          <w:i/>
          <w:iCs/>
          <w:lang w:val="en-US"/>
        </w:rPr>
        <w:t>Degrad</w:t>
      </w:r>
      <w:proofErr w:type="spellEnd"/>
      <w:r w:rsidRPr="00094080">
        <w:rPr>
          <w:i/>
          <w:iCs/>
          <w:lang w:val="en-US"/>
        </w:rPr>
        <w:t>. Stabil</w:t>
      </w:r>
      <w:r w:rsidRPr="00094080">
        <w:rPr>
          <w:lang w:val="en-US"/>
        </w:rPr>
        <w:t xml:space="preserve">., 2004, </w:t>
      </w:r>
      <w:r w:rsidRPr="00094080">
        <w:rPr>
          <w:b/>
          <w:bCs/>
          <w:lang w:val="en-US"/>
        </w:rPr>
        <w:t>86</w:t>
      </w:r>
      <w:r w:rsidRPr="00094080">
        <w:rPr>
          <w:lang w:val="en-US"/>
        </w:rPr>
        <w:t>, 59-67.</w:t>
      </w:r>
    </w:p>
    <w:p w14:paraId="1ED296BF" w14:textId="7D7CD19B" w:rsidR="00094080" w:rsidRPr="00094080" w:rsidRDefault="00094080" w:rsidP="00BA7300">
      <w:pPr>
        <w:pStyle w:val="RSCR02References"/>
        <w:jc w:val="left"/>
      </w:pPr>
      <w:r w:rsidRPr="00094080">
        <w:rPr>
          <w:lang w:val="en-US"/>
        </w:rPr>
        <w:t xml:space="preserve">C.M. </w:t>
      </w:r>
      <w:proofErr w:type="spellStart"/>
      <w:r w:rsidRPr="00094080">
        <w:rPr>
          <w:lang w:val="en-US"/>
        </w:rPr>
        <w:t>Rochman</w:t>
      </w:r>
      <w:proofErr w:type="spellEnd"/>
      <w:r w:rsidRPr="00094080">
        <w:rPr>
          <w:lang w:val="en-US"/>
        </w:rPr>
        <w:t xml:space="preserve">, M.A. Browne, B.S. Halpern, B.T. </w:t>
      </w:r>
      <w:proofErr w:type="spellStart"/>
      <w:r w:rsidRPr="00094080">
        <w:rPr>
          <w:lang w:val="en-US"/>
        </w:rPr>
        <w:t>Hentschel</w:t>
      </w:r>
      <w:proofErr w:type="spellEnd"/>
      <w:r w:rsidRPr="00094080">
        <w:rPr>
          <w:lang w:val="en-US"/>
        </w:rPr>
        <w:t xml:space="preserve">, E. Hoh, H.K. </w:t>
      </w:r>
      <w:proofErr w:type="spellStart"/>
      <w:r w:rsidRPr="00094080">
        <w:rPr>
          <w:lang w:val="en-US"/>
        </w:rPr>
        <w:t>Karapanagioti</w:t>
      </w:r>
      <w:proofErr w:type="spellEnd"/>
      <w:r w:rsidRPr="00094080">
        <w:rPr>
          <w:lang w:val="en-US"/>
        </w:rPr>
        <w:t xml:space="preserve">, L.M. Rios-Mendoza, H. Takada, S. The, R.C. Thompson, </w:t>
      </w:r>
      <w:r w:rsidRPr="00094080">
        <w:rPr>
          <w:i/>
          <w:iCs/>
          <w:lang w:val="en-US"/>
        </w:rPr>
        <w:t>Nature</w:t>
      </w:r>
      <w:r w:rsidRPr="00094080">
        <w:rPr>
          <w:lang w:val="en-US"/>
        </w:rPr>
        <w:t xml:space="preserve">, 2012, </w:t>
      </w:r>
      <w:r w:rsidRPr="00094080">
        <w:rPr>
          <w:b/>
          <w:bCs/>
          <w:lang w:val="en-US"/>
        </w:rPr>
        <w:t>494</w:t>
      </w:r>
      <w:r w:rsidRPr="00094080">
        <w:rPr>
          <w:lang w:val="en-US"/>
        </w:rPr>
        <w:t>, 179-170.</w:t>
      </w:r>
    </w:p>
    <w:p w14:paraId="355599B9" w14:textId="589E7A08" w:rsidR="00094080" w:rsidRPr="00BA7300" w:rsidRDefault="00094080" w:rsidP="009250AC">
      <w:pPr>
        <w:pStyle w:val="RSCR02References"/>
        <w:jc w:val="left"/>
      </w:pPr>
      <w:r w:rsidRPr="00094080">
        <w:rPr>
          <w:lang w:val="en-US"/>
        </w:rPr>
        <w:t xml:space="preserve">J.H. </w:t>
      </w:r>
      <w:proofErr w:type="spellStart"/>
      <w:r w:rsidRPr="00094080">
        <w:rPr>
          <w:lang w:val="en-US"/>
        </w:rPr>
        <w:t>Bridson</w:t>
      </w:r>
      <w:proofErr w:type="spellEnd"/>
      <w:r w:rsidRPr="00094080">
        <w:rPr>
          <w:lang w:val="en-US"/>
        </w:rPr>
        <w:t xml:space="preserve">, R. </w:t>
      </w:r>
      <w:proofErr w:type="spellStart"/>
      <w:r w:rsidRPr="00094080">
        <w:rPr>
          <w:lang w:val="en-US"/>
        </w:rPr>
        <w:t>Abbel</w:t>
      </w:r>
      <w:proofErr w:type="spellEnd"/>
      <w:r w:rsidRPr="00094080">
        <w:rPr>
          <w:lang w:val="en-US"/>
        </w:rPr>
        <w:t xml:space="preserve">, D.A. Smith, G.L. Northcott, S. </w:t>
      </w:r>
      <w:proofErr w:type="spellStart"/>
      <w:r w:rsidRPr="00094080">
        <w:rPr>
          <w:lang w:val="en-US"/>
        </w:rPr>
        <w:t>Gaw</w:t>
      </w:r>
      <w:proofErr w:type="spellEnd"/>
      <w:r w:rsidRPr="00094080">
        <w:rPr>
          <w:lang w:val="en-US"/>
        </w:rPr>
        <w:t xml:space="preserve">, </w:t>
      </w:r>
      <w:r w:rsidRPr="00094080">
        <w:rPr>
          <w:i/>
          <w:iCs/>
          <w:lang w:val="en-US"/>
        </w:rPr>
        <w:t>J. Hazard. Mater</w:t>
      </w:r>
      <w:r w:rsidRPr="00094080">
        <w:rPr>
          <w:lang w:val="en-US"/>
        </w:rPr>
        <w:t xml:space="preserve">., 2023, </w:t>
      </w:r>
      <w:r w:rsidRPr="00094080">
        <w:rPr>
          <w:b/>
          <w:bCs/>
          <w:lang w:val="en-US"/>
        </w:rPr>
        <w:t>459</w:t>
      </w:r>
      <w:r w:rsidRPr="00094080">
        <w:rPr>
          <w:lang w:val="en-US"/>
        </w:rPr>
        <w:t>, 132303.</w:t>
      </w:r>
    </w:p>
    <w:p w14:paraId="74078033" w14:textId="27455E12" w:rsidR="00BA7300" w:rsidRPr="00094080" w:rsidRDefault="00BA7300" w:rsidP="009250AC">
      <w:pPr>
        <w:pStyle w:val="RSCR02References"/>
        <w:jc w:val="left"/>
      </w:pPr>
      <w:r>
        <w:rPr>
          <w:lang w:val="en-US"/>
        </w:rPr>
        <w:t xml:space="preserve">M.K. Singh, A.K. Mohanty, M. </w:t>
      </w:r>
      <w:proofErr w:type="spellStart"/>
      <w:r>
        <w:rPr>
          <w:lang w:val="en-US"/>
        </w:rPr>
        <w:t>Misra</w:t>
      </w:r>
      <w:proofErr w:type="spellEnd"/>
      <w:r>
        <w:rPr>
          <w:lang w:val="en-US"/>
        </w:rPr>
        <w:t xml:space="preserve">, </w:t>
      </w:r>
      <w:r w:rsidRPr="00BA7300">
        <w:rPr>
          <w:i/>
          <w:iCs/>
          <w:lang w:val="en-US"/>
        </w:rPr>
        <w:t>Compos. B</w:t>
      </w:r>
      <w:r>
        <w:rPr>
          <w:i/>
          <w:iCs/>
          <w:lang w:val="en-US"/>
        </w:rPr>
        <w:t xml:space="preserve"> Eng.</w:t>
      </w:r>
      <w:r>
        <w:rPr>
          <w:lang w:val="en-US"/>
        </w:rPr>
        <w:t xml:space="preserve">, 2023, </w:t>
      </w:r>
      <w:r w:rsidRPr="00BA7300">
        <w:rPr>
          <w:b/>
          <w:bCs/>
          <w:lang w:val="en-US"/>
        </w:rPr>
        <w:t>263</w:t>
      </w:r>
      <w:r>
        <w:rPr>
          <w:lang w:val="en-US"/>
        </w:rPr>
        <w:t>, 110852.</w:t>
      </w:r>
    </w:p>
    <w:p w14:paraId="683A7D13" w14:textId="33721672" w:rsidR="00094080" w:rsidRPr="00094080" w:rsidRDefault="00094080" w:rsidP="009250AC">
      <w:pPr>
        <w:pStyle w:val="RSCR02References"/>
        <w:jc w:val="left"/>
      </w:pPr>
      <w:r w:rsidRPr="00094080">
        <w:rPr>
          <w:lang w:val="en-US"/>
        </w:rPr>
        <w:t xml:space="preserve">A.K. Mohanty, S. </w:t>
      </w:r>
      <w:proofErr w:type="spellStart"/>
      <w:r w:rsidRPr="00094080">
        <w:rPr>
          <w:lang w:val="en-US"/>
        </w:rPr>
        <w:t>Vivekanandhan</w:t>
      </w:r>
      <w:proofErr w:type="spellEnd"/>
      <w:r w:rsidRPr="00094080">
        <w:rPr>
          <w:lang w:val="en-US"/>
        </w:rPr>
        <w:t xml:space="preserve">, J.-M. Pin, M. </w:t>
      </w:r>
      <w:proofErr w:type="spellStart"/>
      <w:r w:rsidRPr="00094080">
        <w:rPr>
          <w:lang w:val="en-US"/>
        </w:rPr>
        <w:t>Misra</w:t>
      </w:r>
      <w:proofErr w:type="spellEnd"/>
      <w:r w:rsidRPr="00094080">
        <w:rPr>
          <w:lang w:val="en-US"/>
        </w:rPr>
        <w:t xml:space="preserve">, </w:t>
      </w:r>
      <w:r w:rsidRPr="00094080">
        <w:rPr>
          <w:i/>
          <w:iCs/>
          <w:lang w:val="en-US"/>
        </w:rPr>
        <w:t>Science</w:t>
      </w:r>
      <w:r w:rsidRPr="00094080">
        <w:rPr>
          <w:lang w:val="en-US"/>
        </w:rPr>
        <w:t xml:space="preserve">, 2018, </w:t>
      </w:r>
      <w:r w:rsidRPr="00094080">
        <w:rPr>
          <w:b/>
          <w:bCs/>
          <w:lang w:val="en-US"/>
        </w:rPr>
        <w:t>362</w:t>
      </w:r>
      <w:r w:rsidRPr="00094080">
        <w:rPr>
          <w:lang w:val="en-US"/>
        </w:rPr>
        <w:t>, 536-542.</w:t>
      </w:r>
    </w:p>
    <w:p w14:paraId="34D47D76" w14:textId="77777777" w:rsidR="00094080" w:rsidRPr="00094080" w:rsidRDefault="00094080" w:rsidP="009250AC">
      <w:pPr>
        <w:pStyle w:val="RSCR02References"/>
        <w:jc w:val="left"/>
      </w:pPr>
      <w:r w:rsidRPr="00094080">
        <w:rPr>
          <w:lang w:val="en-US"/>
        </w:rPr>
        <w:t xml:space="preserve">D. Ye, S. Li, X. Lu, X. Zhang, O.J. Rojas, </w:t>
      </w:r>
      <w:r w:rsidRPr="00094080">
        <w:rPr>
          <w:i/>
          <w:iCs/>
          <w:lang w:val="en-US"/>
        </w:rPr>
        <w:t>ACS Sustain. Chem. Eng.</w:t>
      </w:r>
      <w:r w:rsidRPr="00094080">
        <w:rPr>
          <w:lang w:val="en-US"/>
        </w:rPr>
        <w:t xml:space="preserve"> 2016, </w:t>
      </w:r>
      <w:r w:rsidRPr="00094080">
        <w:rPr>
          <w:b/>
          <w:bCs/>
          <w:lang w:val="en-US"/>
        </w:rPr>
        <w:t>4</w:t>
      </w:r>
      <w:r w:rsidRPr="00094080">
        <w:rPr>
          <w:lang w:val="en-US"/>
        </w:rPr>
        <w:t>, 5248-5257.</w:t>
      </w:r>
    </w:p>
    <w:p w14:paraId="57B03145" w14:textId="77777777" w:rsidR="00094080" w:rsidRPr="00094080" w:rsidRDefault="00094080" w:rsidP="009250AC">
      <w:pPr>
        <w:pStyle w:val="RSCR02References"/>
        <w:jc w:val="left"/>
      </w:pPr>
      <w:r w:rsidRPr="00094080">
        <w:rPr>
          <w:lang w:val="en-US"/>
        </w:rPr>
        <w:t xml:space="preserve">R. </w:t>
      </w:r>
      <w:proofErr w:type="spellStart"/>
      <w:r w:rsidRPr="00094080">
        <w:rPr>
          <w:lang w:val="en-US"/>
        </w:rPr>
        <w:t>Gadioli</w:t>
      </w:r>
      <w:proofErr w:type="spellEnd"/>
      <w:r w:rsidRPr="00094080">
        <w:rPr>
          <w:lang w:val="en-US"/>
        </w:rPr>
        <w:t xml:space="preserve">, W.R. Waldman, M.A. De Paoli, </w:t>
      </w:r>
      <w:r w:rsidRPr="00094080">
        <w:rPr>
          <w:i/>
          <w:iCs/>
          <w:lang w:val="en-US"/>
        </w:rPr>
        <w:t xml:space="preserve">J. Appl. </w:t>
      </w:r>
      <w:proofErr w:type="spellStart"/>
      <w:r w:rsidRPr="00094080">
        <w:rPr>
          <w:i/>
          <w:iCs/>
          <w:lang w:val="en-US"/>
        </w:rPr>
        <w:t>Polym</w:t>
      </w:r>
      <w:proofErr w:type="spellEnd"/>
      <w:r w:rsidRPr="00094080">
        <w:rPr>
          <w:i/>
          <w:iCs/>
          <w:lang w:val="en-US"/>
        </w:rPr>
        <w:t>. Sci</w:t>
      </w:r>
      <w:r w:rsidRPr="00094080">
        <w:rPr>
          <w:lang w:val="en-US"/>
        </w:rPr>
        <w:t xml:space="preserve">., 2016, </w:t>
      </w:r>
      <w:r w:rsidRPr="00094080">
        <w:rPr>
          <w:b/>
          <w:bCs/>
          <w:lang w:val="en-US"/>
        </w:rPr>
        <w:t>133</w:t>
      </w:r>
      <w:r w:rsidRPr="00094080">
        <w:rPr>
          <w:lang w:val="en-US"/>
        </w:rPr>
        <w:t>, 43558.</w:t>
      </w:r>
    </w:p>
    <w:p w14:paraId="21CD7315" w14:textId="77777777" w:rsidR="00094080" w:rsidRPr="00094080" w:rsidRDefault="00094080" w:rsidP="009250AC">
      <w:pPr>
        <w:pStyle w:val="RSCR02References"/>
        <w:jc w:val="left"/>
      </w:pPr>
      <w:r w:rsidRPr="00094080">
        <w:rPr>
          <w:lang w:val="en-US"/>
        </w:rPr>
        <w:t xml:space="preserve">F. Chen, W. Liu, S.I.S. </w:t>
      </w:r>
      <w:proofErr w:type="spellStart"/>
      <w:r w:rsidRPr="00094080">
        <w:rPr>
          <w:lang w:val="en-US"/>
        </w:rPr>
        <w:t>Shahabadi</w:t>
      </w:r>
      <w:proofErr w:type="spellEnd"/>
      <w:r w:rsidRPr="00094080">
        <w:rPr>
          <w:lang w:val="en-US"/>
        </w:rPr>
        <w:t xml:space="preserve">, J. Xu, X. Lu, </w:t>
      </w:r>
      <w:r w:rsidRPr="00094080">
        <w:rPr>
          <w:i/>
          <w:iCs/>
          <w:lang w:val="en-US"/>
        </w:rPr>
        <w:t>ACS Sustain. Chem. Eng</w:t>
      </w:r>
      <w:r w:rsidRPr="00094080">
        <w:rPr>
          <w:lang w:val="en-US"/>
        </w:rPr>
        <w:t xml:space="preserve">., 2016, </w:t>
      </w:r>
      <w:r w:rsidRPr="00094080">
        <w:rPr>
          <w:b/>
          <w:bCs/>
          <w:lang w:val="en-US"/>
        </w:rPr>
        <w:t>4</w:t>
      </w:r>
      <w:r w:rsidRPr="00094080">
        <w:rPr>
          <w:lang w:val="en-US"/>
        </w:rPr>
        <w:t>, 4997-5004.</w:t>
      </w:r>
    </w:p>
    <w:p w14:paraId="4647175F" w14:textId="77777777" w:rsidR="00094080" w:rsidRPr="00094080" w:rsidRDefault="00094080" w:rsidP="009250AC">
      <w:pPr>
        <w:pStyle w:val="RSCR02References"/>
        <w:jc w:val="left"/>
      </w:pPr>
      <w:r w:rsidRPr="00094080">
        <w:rPr>
          <w:lang w:val="en-US"/>
        </w:rPr>
        <w:t xml:space="preserve">J.A. </w:t>
      </w:r>
      <w:proofErr w:type="spellStart"/>
      <w:r w:rsidRPr="00094080">
        <w:rPr>
          <w:lang w:val="en-US"/>
        </w:rPr>
        <w:t>Sirviö</w:t>
      </w:r>
      <w:proofErr w:type="spellEnd"/>
      <w:r w:rsidRPr="00094080">
        <w:rPr>
          <w:lang w:val="en-US"/>
        </w:rPr>
        <w:t xml:space="preserve">, M.Y. Ismail, K. Zhang, M.V. </w:t>
      </w:r>
      <w:proofErr w:type="spellStart"/>
      <w:r w:rsidRPr="00094080">
        <w:rPr>
          <w:lang w:val="en-US"/>
        </w:rPr>
        <w:t>Tejesvi</w:t>
      </w:r>
      <w:proofErr w:type="spellEnd"/>
      <w:r w:rsidRPr="00094080">
        <w:rPr>
          <w:lang w:val="en-US"/>
        </w:rPr>
        <w:t xml:space="preserve">, A. </w:t>
      </w:r>
      <w:proofErr w:type="spellStart"/>
      <w:r w:rsidRPr="00094080">
        <w:rPr>
          <w:lang w:val="en-US"/>
        </w:rPr>
        <w:t>Ämmälä</w:t>
      </w:r>
      <w:proofErr w:type="spellEnd"/>
      <w:r w:rsidRPr="00094080">
        <w:rPr>
          <w:lang w:val="en-US"/>
        </w:rPr>
        <w:t xml:space="preserve">, </w:t>
      </w:r>
      <w:r w:rsidRPr="00094080">
        <w:rPr>
          <w:i/>
          <w:iCs/>
          <w:lang w:val="en-US"/>
        </w:rPr>
        <w:t>J. Mater. Chem. A</w:t>
      </w:r>
      <w:r w:rsidRPr="00094080">
        <w:rPr>
          <w:lang w:val="en-US"/>
        </w:rPr>
        <w:t xml:space="preserve">, 2020, </w:t>
      </w:r>
      <w:r w:rsidRPr="00094080">
        <w:rPr>
          <w:b/>
          <w:bCs/>
          <w:lang w:val="en-US"/>
        </w:rPr>
        <w:t>8</w:t>
      </w:r>
      <w:r w:rsidRPr="00094080">
        <w:rPr>
          <w:lang w:val="en-US"/>
        </w:rPr>
        <w:t>, 7935-7946.</w:t>
      </w:r>
    </w:p>
    <w:p w14:paraId="528F7F8D" w14:textId="77777777" w:rsidR="00094080" w:rsidRPr="00094080" w:rsidRDefault="00094080" w:rsidP="009250AC">
      <w:pPr>
        <w:pStyle w:val="RSCR02References"/>
        <w:jc w:val="left"/>
      </w:pPr>
      <w:r w:rsidRPr="00094080">
        <w:rPr>
          <w:lang w:val="en-US"/>
        </w:rPr>
        <w:lastRenderedPageBreak/>
        <w:t xml:space="preserve">A. </w:t>
      </w:r>
      <w:proofErr w:type="spellStart"/>
      <w:r w:rsidRPr="00094080">
        <w:rPr>
          <w:lang w:val="en-US"/>
        </w:rPr>
        <w:t>Guilhen</w:t>
      </w:r>
      <w:proofErr w:type="spellEnd"/>
      <w:r w:rsidRPr="00094080">
        <w:rPr>
          <w:lang w:val="en-US"/>
        </w:rPr>
        <w:t xml:space="preserve">, R. </w:t>
      </w:r>
      <w:proofErr w:type="spellStart"/>
      <w:r w:rsidRPr="00094080">
        <w:rPr>
          <w:lang w:val="en-US"/>
        </w:rPr>
        <w:t>Gadioli</w:t>
      </w:r>
      <w:proofErr w:type="spellEnd"/>
      <w:r w:rsidRPr="00094080">
        <w:rPr>
          <w:lang w:val="en-US"/>
        </w:rPr>
        <w:t xml:space="preserve">, F.C. Fernandes, W.R. Waldman, M.A. De Paoli, </w:t>
      </w:r>
      <w:r w:rsidRPr="00094080">
        <w:rPr>
          <w:i/>
          <w:iCs/>
          <w:lang w:val="en-US"/>
        </w:rPr>
        <w:t xml:space="preserve">J. Appl. </w:t>
      </w:r>
      <w:proofErr w:type="spellStart"/>
      <w:r w:rsidRPr="00094080">
        <w:rPr>
          <w:i/>
          <w:iCs/>
          <w:lang w:val="en-US"/>
        </w:rPr>
        <w:t>Polym</w:t>
      </w:r>
      <w:proofErr w:type="spellEnd"/>
      <w:r w:rsidRPr="00094080">
        <w:rPr>
          <w:i/>
          <w:iCs/>
          <w:lang w:val="en-US"/>
        </w:rPr>
        <w:t>. Sci</w:t>
      </w:r>
      <w:r w:rsidRPr="00094080">
        <w:rPr>
          <w:lang w:val="en-US"/>
        </w:rPr>
        <w:t xml:space="preserve">., 2017, </w:t>
      </w:r>
      <w:r w:rsidRPr="00094080">
        <w:rPr>
          <w:b/>
          <w:bCs/>
          <w:lang w:val="en-US"/>
        </w:rPr>
        <w:t>134</w:t>
      </w:r>
      <w:r w:rsidRPr="00094080">
        <w:rPr>
          <w:lang w:val="en-US"/>
        </w:rPr>
        <w:t>, 45219.</w:t>
      </w:r>
    </w:p>
    <w:p w14:paraId="699764AE" w14:textId="77777777" w:rsidR="00094080" w:rsidRPr="00094080" w:rsidRDefault="00094080" w:rsidP="009250AC">
      <w:pPr>
        <w:pStyle w:val="RSCR02References"/>
        <w:jc w:val="left"/>
      </w:pPr>
      <w:r w:rsidRPr="00094080">
        <w:rPr>
          <w:lang w:val="en-US"/>
        </w:rPr>
        <w:t xml:space="preserve">D. Ye, J. Kong, S. Gu, Y. Zhou, C. Huang, W. Xu, X. Zhang, </w:t>
      </w:r>
      <w:r w:rsidRPr="00094080">
        <w:rPr>
          <w:i/>
          <w:iCs/>
          <w:lang w:val="en-US"/>
        </w:rPr>
        <w:t xml:space="preserve">Int. J. Biol. </w:t>
      </w:r>
      <w:proofErr w:type="spellStart"/>
      <w:r w:rsidRPr="00094080">
        <w:rPr>
          <w:i/>
          <w:iCs/>
          <w:lang w:val="en-US"/>
        </w:rPr>
        <w:t>Macromol</w:t>
      </w:r>
      <w:proofErr w:type="spellEnd"/>
      <w:r w:rsidRPr="00094080">
        <w:rPr>
          <w:lang w:val="en-US"/>
        </w:rPr>
        <w:t xml:space="preserve">., 2018, </w:t>
      </w:r>
      <w:r w:rsidRPr="00094080">
        <w:rPr>
          <w:b/>
          <w:bCs/>
          <w:lang w:val="en-US"/>
        </w:rPr>
        <w:t>108</w:t>
      </w:r>
      <w:r w:rsidRPr="00094080">
        <w:rPr>
          <w:lang w:val="en-US"/>
        </w:rPr>
        <w:t>, 775-781.</w:t>
      </w:r>
    </w:p>
    <w:p w14:paraId="4FD0465C" w14:textId="77777777" w:rsidR="00094080" w:rsidRPr="00094080" w:rsidRDefault="00094080" w:rsidP="009250AC">
      <w:pPr>
        <w:pStyle w:val="RSCR02References"/>
        <w:jc w:val="left"/>
      </w:pPr>
      <w:r w:rsidRPr="00094080">
        <w:rPr>
          <w:lang w:val="en-JP"/>
        </w:rPr>
        <w:t>P.C. Eklund, O.K. L</w:t>
      </w:r>
      <w:r w:rsidRPr="00094080">
        <w:rPr>
          <w:lang w:val="en-US"/>
        </w:rPr>
        <w:t>å</w:t>
      </w:r>
      <w:r w:rsidRPr="00094080">
        <w:rPr>
          <w:lang w:val="en-JP"/>
        </w:rPr>
        <w:t>ngvik, J.P. W</w:t>
      </w:r>
      <w:r w:rsidRPr="00094080">
        <w:rPr>
          <w:lang w:val="en-US"/>
        </w:rPr>
        <w:t>ä</w:t>
      </w:r>
      <w:r w:rsidRPr="00094080">
        <w:rPr>
          <w:lang w:val="en-JP"/>
        </w:rPr>
        <w:t>rn</w:t>
      </w:r>
      <w:r w:rsidRPr="00094080">
        <w:rPr>
          <w:lang w:val="en-US"/>
        </w:rPr>
        <w:t>å</w:t>
      </w:r>
      <w:r w:rsidRPr="00094080">
        <w:rPr>
          <w:lang w:val="en-JP"/>
        </w:rPr>
        <w:t>, T.O. Salmi, S.M. Willf</w:t>
      </w:r>
      <w:r w:rsidRPr="00094080">
        <w:rPr>
          <w:lang w:val="en-US"/>
        </w:rPr>
        <w:t>ö</w:t>
      </w:r>
      <w:r w:rsidRPr="00094080">
        <w:rPr>
          <w:lang w:val="en-JP"/>
        </w:rPr>
        <w:t>r, R.E. S</w:t>
      </w:r>
      <w:proofErr w:type="spellStart"/>
      <w:r w:rsidRPr="00094080">
        <w:rPr>
          <w:lang w:val="en-US"/>
        </w:rPr>
        <w:t>jö</w:t>
      </w:r>
      <w:proofErr w:type="spellEnd"/>
      <w:r w:rsidRPr="00094080">
        <w:rPr>
          <w:lang w:val="en-JP"/>
        </w:rPr>
        <w:t>holm</w:t>
      </w:r>
      <w:r w:rsidRPr="00094080">
        <w:rPr>
          <w:lang w:val="en-US"/>
        </w:rPr>
        <w:t xml:space="preserve">, </w:t>
      </w:r>
      <w:r w:rsidRPr="00094080">
        <w:rPr>
          <w:i/>
          <w:iCs/>
          <w:lang w:val="en-US"/>
        </w:rPr>
        <w:t xml:space="preserve">Org. </w:t>
      </w:r>
      <w:proofErr w:type="spellStart"/>
      <w:r w:rsidRPr="00094080">
        <w:rPr>
          <w:i/>
          <w:iCs/>
          <w:lang w:val="en-US"/>
        </w:rPr>
        <w:t>Biomol</w:t>
      </w:r>
      <w:proofErr w:type="spellEnd"/>
      <w:r w:rsidRPr="00094080">
        <w:rPr>
          <w:i/>
          <w:iCs/>
          <w:lang w:val="en-US"/>
        </w:rPr>
        <w:t>. Chem.</w:t>
      </w:r>
      <w:r w:rsidRPr="00094080">
        <w:rPr>
          <w:lang w:val="en-US"/>
        </w:rPr>
        <w:t xml:space="preserve">, 2005, </w:t>
      </w:r>
      <w:r w:rsidRPr="00094080">
        <w:rPr>
          <w:b/>
          <w:bCs/>
          <w:lang w:val="en-US"/>
        </w:rPr>
        <w:t>3</w:t>
      </w:r>
      <w:r w:rsidRPr="00094080">
        <w:rPr>
          <w:lang w:val="en-US"/>
        </w:rPr>
        <w:t>, 3336-3347.</w:t>
      </w:r>
    </w:p>
    <w:p w14:paraId="525ACD8E" w14:textId="77777777" w:rsidR="00094080" w:rsidRPr="00094080" w:rsidRDefault="00094080" w:rsidP="009250AC">
      <w:pPr>
        <w:pStyle w:val="RSCR02References"/>
        <w:jc w:val="left"/>
      </w:pPr>
      <w:r w:rsidRPr="00094080">
        <w:rPr>
          <w:lang w:val="en-US"/>
        </w:rPr>
        <w:t xml:space="preserve">P. </w:t>
      </w:r>
      <w:proofErr w:type="spellStart"/>
      <w:r w:rsidRPr="00094080">
        <w:rPr>
          <w:lang w:val="en-US"/>
        </w:rPr>
        <w:t>Buono</w:t>
      </w:r>
      <w:proofErr w:type="spellEnd"/>
      <w:r w:rsidRPr="00094080">
        <w:rPr>
          <w:lang w:val="en-US"/>
        </w:rPr>
        <w:t xml:space="preserve">, A. Duval, P. Verge, L. </w:t>
      </w:r>
      <w:proofErr w:type="spellStart"/>
      <w:r w:rsidRPr="00094080">
        <w:rPr>
          <w:lang w:val="en-US"/>
        </w:rPr>
        <w:t>Averous</w:t>
      </w:r>
      <w:proofErr w:type="spellEnd"/>
      <w:r w:rsidRPr="00094080">
        <w:rPr>
          <w:lang w:val="en-US"/>
        </w:rPr>
        <w:t xml:space="preserve">, Y. Habibi, </w:t>
      </w:r>
      <w:r w:rsidRPr="00094080">
        <w:rPr>
          <w:i/>
          <w:iCs/>
          <w:lang w:val="en-US"/>
        </w:rPr>
        <w:t>ACS Sustain. Chem. Eng</w:t>
      </w:r>
      <w:r w:rsidRPr="00094080">
        <w:rPr>
          <w:lang w:val="en-US"/>
        </w:rPr>
        <w:t xml:space="preserve">., 2016, </w:t>
      </w:r>
      <w:r w:rsidRPr="00094080">
        <w:rPr>
          <w:b/>
          <w:bCs/>
          <w:lang w:val="en-US"/>
        </w:rPr>
        <w:t>4</w:t>
      </w:r>
      <w:r w:rsidRPr="00094080">
        <w:rPr>
          <w:lang w:val="en-US"/>
        </w:rPr>
        <w:t>, 5212-5222.</w:t>
      </w:r>
    </w:p>
    <w:p w14:paraId="76FFB825" w14:textId="77777777" w:rsidR="00094080" w:rsidRPr="00094080" w:rsidRDefault="00094080" w:rsidP="009250AC">
      <w:pPr>
        <w:pStyle w:val="RSCR02References"/>
        <w:jc w:val="left"/>
      </w:pPr>
      <w:r w:rsidRPr="00094080">
        <w:rPr>
          <w:lang w:val="en-US"/>
        </w:rPr>
        <w:t xml:space="preserve">F. Chen, H. Dai, X. Dong, J. Yang, M. Zhong, </w:t>
      </w:r>
      <w:proofErr w:type="spellStart"/>
      <w:r w:rsidRPr="00094080">
        <w:rPr>
          <w:i/>
          <w:iCs/>
          <w:lang w:val="en-US"/>
        </w:rPr>
        <w:t>Polym</w:t>
      </w:r>
      <w:proofErr w:type="spellEnd"/>
      <w:r w:rsidRPr="00094080">
        <w:rPr>
          <w:i/>
          <w:iCs/>
          <w:lang w:val="en-US"/>
        </w:rPr>
        <w:t>. Compos</w:t>
      </w:r>
      <w:r w:rsidRPr="00094080">
        <w:rPr>
          <w:lang w:val="en-US"/>
        </w:rPr>
        <w:t xml:space="preserve">., 2011, </w:t>
      </w:r>
      <w:r w:rsidRPr="00094080">
        <w:rPr>
          <w:b/>
          <w:bCs/>
          <w:lang w:val="en-US"/>
        </w:rPr>
        <w:t>32</w:t>
      </w:r>
      <w:r w:rsidRPr="00094080">
        <w:rPr>
          <w:lang w:val="en-US"/>
        </w:rPr>
        <w:t>, 1019-1025.</w:t>
      </w:r>
    </w:p>
    <w:p w14:paraId="4D0AD2A4" w14:textId="0AAF1F4C" w:rsidR="00094080" w:rsidRPr="00094080" w:rsidRDefault="00094080" w:rsidP="009250AC">
      <w:pPr>
        <w:pStyle w:val="RSCR02References"/>
        <w:jc w:val="left"/>
      </w:pPr>
      <w:r w:rsidRPr="00094080">
        <w:rPr>
          <w:lang w:val="en-US"/>
        </w:rPr>
        <w:t xml:space="preserve">J.-S. Yeo, D.-W. </w:t>
      </w:r>
      <w:proofErr w:type="spellStart"/>
      <w:r w:rsidRPr="00094080">
        <w:rPr>
          <w:lang w:val="en-US"/>
        </w:rPr>
        <w:t>Seong</w:t>
      </w:r>
      <w:proofErr w:type="spellEnd"/>
      <w:r w:rsidRPr="00094080">
        <w:rPr>
          <w:lang w:val="en-US"/>
        </w:rPr>
        <w:t xml:space="preserve">, S.-H. Hwang, </w:t>
      </w:r>
      <w:r w:rsidRPr="00094080">
        <w:rPr>
          <w:i/>
          <w:iCs/>
          <w:lang w:val="en-US"/>
        </w:rPr>
        <w:t>J. Ind. Eng. Chem</w:t>
      </w:r>
      <w:r w:rsidRPr="00094080">
        <w:rPr>
          <w:lang w:val="en-US"/>
        </w:rPr>
        <w:t xml:space="preserve">., 2015, </w:t>
      </w:r>
      <w:r w:rsidRPr="00094080">
        <w:rPr>
          <w:b/>
          <w:bCs/>
          <w:lang w:val="en-US"/>
        </w:rPr>
        <w:t>31</w:t>
      </w:r>
      <w:r w:rsidRPr="00094080">
        <w:rPr>
          <w:lang w:val="en-US"/>
        </w:rPr>
        <w:t>, 80-85.</w:t>
      </w:r>
    </w:p>
    <w:p w14:paraId="0D19D989" w14:textId="77777777" w:rsidR="00094080" w:rsidRPr="00094080" w:rsidRDefault="00094080" w:rsidP="009250AC">
      <w:pPr>
        <w:pStyle w:val="RSCR02References"/>
        <w:jc w:val="left"/>
      </w:pPr>
      <w:r w:rsidRPr="00094080">
        <w:rPr>
          <w:lang w:val="en-US"/>
        </w:rPr>
        <w:t xml:space="preserve">Dias, M. </w:t>
      </w:r>
      <w:proofErr w:type="spellStart"/>
      <w:r w:rsidRPr="00094080">
        <w:rPr>
          <w:lang w:val="en-US"/>
        </w:rPr>
        <w:t>Sain</w:t>
      </w:r>
      <w:proofErr w:type="spellEnd"/>
      <w:r w:rsidRPr="00094080">
        <w:rPr>
          <w:lang w:val="en-US"/>
        </w:rPr>
        <w:t xml:space="preserve">, I. </w:t>
      </w:r>
      <w:proofErr w:type="spellStart"/>
      <w:r w:rsidRPr="00094080">
        <w:rPr>
          <w:lang w:val="en-US"/>
        </w:rPr>
        <w:t>Cesarino</w:t>
      </w:r>
      <w:proofErr w:type="spellEnd"/>
      <w:r w:rsidRPr="00094080">
        <w:rPr>
          <w:lang w:val="en-US"/>
        </w:rPr>
        <w:t xml:space="preserve">, A.L. </w:t>
      </w:r>
      <w:proofErr w:type="spellStart"/>
      <w:r w:rsidRPr="00094080">
        <w:rPr>
          <w:lang w:val="en-US"/>
        </w:rPr>
        <w:t>Leão</w:t>
      </w:r>
      <w:proofErr w:type="spellEnd"/>
      <w:r w:rsidRPr="00094080">
        <w:rPr>
          <w:lang w:val="en-US"/>
        </w:rPr>
        <w:t xml:space="preserve">, </w:t>
      </w:r>
      <w:proofErr w:type="spellStart"/>
      <w:r w:rsidRPr="00094080">
        <w:rPr>
          <w:i/>
          <w:iCs/>
          <w:lang w:val="en-US"/>
        </w:rPr>
        <w:t>Polym</w:t>
      </w:r>
      <w:proofErr w:type="spellEnd"/>
      <w:r w:rsidRPr="00094080">
        <w:rPr>
          <w:i/>
          <w:iCs/>
          <w:lang w:val="en-US"/>
        </w:rPr>
        <w:t>. Adv. Technol</w:t>
      </w:r>
      <w:r w:rsidRPr="00094080">
        <w:rPr>
          <w:lang w:val="en-US"/>
        </w:rPr>
        <w:t xml:space="preserve">., 2019, </w:t>
      </w:r>
      <w:r w:rsidRPr="00094080">
        <w:rPr>
          <w:b/>
          <w:bCs/>
          <w:lang w:val="en-US"/>
        </w:rPr>
        <w:t>30</w:t>
      </w:r>
      <w:r w:rsidRPr="00094080">
        <w:rPr>
          <w:lang w:val="en-US"/>
        </w:rPr>
        <w:t>, 70-78.</w:t>
      </w:r>
    </w:p>
    <w:p w14:paraId="507AD278" w14:textId="77777777" w:rsidR="00094080" w:rsidRPr="00094080" w:rsidRDefault="00094080" w:rsidP="009250AC">
      <w:pPr>
        <w:pStyle w:val="RSCR02References"/>
        <w:jc w:val="left"/>
      </w:pPr>
      <w:r w:rsidRPr="00094080">
        <w:rPr>
          <w:lang w:val="en-US"/>
        </w:rPr>
        <w:t xml:space="preserve">X. Xu, Z. He, S. Lu, D. Guo, J. Yu, </w:t>
      </w:r>
      <w:proofErr w:type="spellStart"/>
      <w:r w:rsidRPr="00094080">
        <w:rPr>
          <w:i/>
          <w:iCs/>
          <w:lang w:val="en-US"/>
        </w:rPr>
        <w:t>Macromol</w:t>
      </w:r>
      <w:proofErr w:type="spellEnd"/>
      <w:r w:rsidRPr="00094080">
        <w:rPr>
          <w:i/>
          <w:iCs/>
          <w:lang w:val="en-US"/>
        </w:rPr>
        <w:t>. Res</w:t>
      </w:r>
      <w:r w:rsidRPr="00094080">
        <w:rPr>
          <w:lang w:val="en-US"/>
        </w:rPr>
        <w:t xml:space="preserve">., 2014, </w:t>
      </w:r>
      <w:r w:rsidRPr="00094080">
        <w:rPr>
          <w:b/>
          <w:bCs/>
          <w:lang w:val="en-US"/>
        </w:rPr>
        <w:t>22</w:t>
      </w:r>
      <w:r w:rsidRPr="00094080">
        <w:rPr>
          <w:lang w:val="en-US"/>
        </w:rPr>
        <w:t>, 1084-1089.</w:t>
      </w:r>
    </w:p>
    <w:p w14:paraId="74D9823C" w14:textId="77777777" w:rsidR="00094080" w:rsidRPr="00094080" w:rsidRDefault="00094080" w:rsidP="009250AC">
      <w:pPr>
        <w:pStyle w:val="RSCR02References"/>
        <w:jc w:val="left"/>
      </w:pPr>
      <w:r w:rsidRPr="00094080">
        <w:rPr>
          <w:lang w:val="en-US"/>
        </w:rPr>
        <w:t xml:space="preserve">C. Miao, W.Y. Hamad, </w:t>
      </w:r>
      <w:r w:rsidRPr="00094080">
        <w:rPr>
          <w:i/>
          <w:iCs/>
          <w:lang w:val="en-US"/>
        </w:rPr>
        <w:t xml:space="preserve">J. Appl. </w:t>
      </w:r>
      <w:proofErr w:type="spellStart"/>
      <w:r w:rsidRPr="00094080">
        <w:rPr>
          <w:i/>
          <w:iCs/>
          <w:lang w:val="en-US"/>
        </w:rPr>
        <w:t>Polym</w:t>
      </w:r>
      <w:proofErr w:type="spellEnd"/>
      <w:r w:rsidRPr="00094080">
        <w:rPr>
          <w:i/>
          <w:iCs/>
          <w:lang w:val="en-US"/>
        </w:rPr>
        <w:t>. Sci</w:t>
      </w:r>
      <w:r w:rsidRPr="00094080">
        <w:rPr>
          <w:lang w:val="en-US"/>
        </w:rPr>
        <w:t xml:space="preserve">., 2017, </w:t>
      </w:r>
      <w:r w:rsidRPr="00094080">
        <w:rPr>
          <w:b/>
          <w:bCs/>
          <w:lang w:val="en-US"/>
        </w:rPr>
        <w:t>134</w:t>
      </w:r>
      <w:r w:rsidRPr="00094080">
        <w:rPr>
          <w:lang w:val="en-US"/>
        </w:rPr>
        <w:t>, 44669.</w:t>
      </w:r>
    </w:p>
    <w:p w14:paraId="0B86A0E2" w14:textId="77777777" w:rsidR="00094080" w:rsidRPr="00094080" w:rsidRDefault="00094080" w:rsidP="009250AC">
      <w:pPr>
        <w:pStyle w:val="RSCR02References"/>
        <w:jc w:val="left"/>
      </w:pPr>
      <w:r w:rsidRPr="00094080">
        <w:rPr>
          <w:lang w:val="en-US"/>
        </w:rPr>
        <w:t xml:space="preserve">Y. Tang, M. Jean, S. </w:t>
      </w:r>
      <w:proofErr w:type="spellStart"/>
      <w:r w:rsidRPr="00094080">
        <w:rPr>
          <w:lang w:val="en-US"/>
        </w:rPr>
        <w:t>Pourebrahimi</w:t>
      </w:r>
      <w:proofErr w:type="spellEnd"/>
      <w:r w:rsidRPr="00094080">
        <w:rPr>
          <w:lang w:val="en-US"/>
        </w:rPr>
        <w:t xml:space="preserve">, D. Rodrigue, Z. Ye, </w:t>
      </w:r>
      <w:r w:rsidRPr="00094080">
        <w:rPr>
          <w:i/>
          <w:iCs/>
          <w:lang w:val="en-US"/>
        </w:rPr>
        <w:t>Can. J. Chem. Eng</w:t>
      </w:r>
      <w:r w:rsidRPr="00094080">
        <w:rPr>
          <w:lang w:val="en-US"/>
        </w:rPr>
        <w:t xml:space="preserve">., 2021, </w:t>
      </w:r>
      <w:r w:rsidRPr="00094080">
        <w:rPr>
          <w:b/>
          <w:bCs/>
          <w:lang w:val="en-US"/>
        </w:rPr>
        <w:t>99</w:t>
      </w:r>
      <w:r w:rsidRPr="00094080">
        <w:rPr>
          <w:lang w:val="en-US"/>
        </w:rPr>
        <w:t>, 27-38.</w:t>
      </w:r>
    </w:p>
    <w:p w14:paraId="21C62502" w14:textId="77777777" w:rsidR="00094080" w:rsidRPr="00094080" w:rsidRDefault="00094080" w:rsidP="009250AC">
      <w:pPr>
        <w:pStyle w:val="RSCR02References"/>
        <w:jc w:val="left"/>
      </w:pPr>
      <w:r w:rsidRPr="00094080">
        <w:rPr>
          <w:lang w:val="en-US"/>
        </w:rPr>
        <w:t xml:space="preserve">A.S. </w:t>
      </w:r>
      <w:proofErr w:type="spellStart"/>
      <w:r w:rsidRPr="00094080">
        <w:rPr>
          <w:lang w:val="en-US"/>
        </w:rPr>
        <w:t>Babetto</w:t>
      </w:r>
      <w:proofErr w:type="spellEnd"/>
      <w:r w:rsidRPr="00094080">
        <w:rPr>
          <w:lang w:val="en-US"/>
        </w:rPr>
        <w:t xml:space="preserve">, M.C. Antunes, S.H.P. Bettini, B.C. </w:t>
      </w:r>
      <w:proofErr w:type="spellStart"/>
      <w:r w:rsidRPr="00094080">
        <w:rPr>
          <w:lang w:val="en-US"/>
        </w:rPr>
        <w:t>Bonse</w:t>
      </w:r>
      <w:proofErr w:type="spellEnd"/>
      <w:r w:rsidRPr="00094080">
        <w:rPr>
          <w:lang w:val="en-US"/>
        </w:rPr>
        <w:t xml:space="preserve">, </w:t>
      </w:r>
      <w:r w:rsidRPr="00094080">
        <w:rPr>
          <w:i/>
          <w:iCs/>
          <w:lang w:val="en-US"/>
        </w:rPr>
        <w:t xml:space="preserve">J. </w:t>
      </w:r>
      <w:proofErr w:type="spellStart"/>
      <w:r w:rsidRPr="00094080">
        <w:rPr>
          <w:i/>
          <w:iCs/>
          <w:lang w:val="en-US"/>
        </w:rPr>
        <w:t>Polym</w:t>
      </w:r>
      <w:proofErr w:type="spellEnd"/>
      <w:r w:rsidRPr="00094080">
        <w:rPr>
          <w:i/>
          <w:iCs/>
          <w:lang w:val="en-US"/>
        </w:rPr>
        <w:t>. Environ.</w:t>
      </w:r>
      <w:r w:rsidRPr="00094080">
        <w:rPr>
          <w:lang w:val="en-US"/>
        </w:rPr>
        <w:t xml:space="preserve">, 2020, </w:t>
      </w:r>
      <w:r w:rsidRPr="00094080">
        <w:rPr>
          <w:b/>
          <w:bCs/>
          <w:lang w:val="en-US"/>
        </w:rPr>
        <w:t>28</w:t>
      </w:r>
      <w:r w:rsidRPr="00094080">
        <w:rPr>
          <w:lang w:val="en-US"/>
        </w:rPr>
        <w:t>, 699-712.</w:t>
      </w:r>
    </w:p>
    <w:p w14:paraId="7920C9CB" w14:textId="6B6050D7" w:rsidR="00094080" w:rsidRPr="00094080" w:rsidRDefault="00094080" w:rsidP="009250AC">
      <w:pPr>
        <w:pStyle w:val="RSCR02References"/>
        <w:jc w:val="left"/>
      </w:pPr>
      <w:r w:rsidRPr="00094080">
        <w:rPr>
          <w:lang w:val="en-US"/>
        </w:rPr>
        <w:t xml:space="preserve">M. </w:t>
      </w:r>
      <w:proofErr w:type="spellStart"/>
      <w:r w:rsidRPr="00094080">
        <w:rPr>
          <w:lang w:val="en-US"/>
        </w:rPr>
        <w:t>Aldas</w:t>
      </w:r>
      <w:proofErr w:type="spellEnd"/>
      <w:r w:rsidRPr="00094080">
        <w:rPr>
          <w:lang w:val="en-US"/>
        </w:rPr>
        <w:t xml:space="preserve">, A. </w:t>
      </w:r>
      <w:proofErr w:type="spellStart"/>
      <w:r w:rsidRPr="00094080">
        <w:rPr>
          <w:lang w:val="en-US"/>
        </w:rPr>
        <w:t>Paladines</w:t>
      </w:r>
      <w:proofErr w:type="spellEnd"/>
      <w:r w:rsidRPr="00094080">
        <w:rPr>
          <w:lang w:val="en-US"/>
        </w:rPr>
        <w:t xml:space="preserve">, V. Valle, M. </w:t>
      </w:r>
      <w:proofErr w:type="spellStart"/>
      <w:r w:rsidRPr="00094080">
        <w:rPr>
          <w:lang w:val="en-US"/>
        </w:rPr>
        <w:t>Pazmiño</w:t>
      </w:r>
      <w:proofErr w:type="spellEnd"/>
      <w:r w:rsidRPr="00094080">
        <w:rPr>
          <w:lang w:val="en-US"/>
        </w:rPr>
        <w:t xml:space="preserve">, F. Quiroz, </w:t>
      </w:r>
      <w:r w:rsidRPr="00094080">
        <w:rPr>
          <w:i/>
          <w:iCs/>
          <w:lang w:val="en-US"/>
        </w:rPr>
        <w:t xml:space="preserve">Int. J. </w:t>
      </w:r>
      <w:proofErr w:type="spellStart"/>
      <w:r w:rsidRPr="00094080">
        <w:rPr>
          <w:i/>
          <w:iCs/>
          <w:lang w:val="en-US"/>
        </w:rPr>
        <w:t>Polym</w:t>
      </w:r>
      <w:proofErr w:type="spellEnd"/>
      <w:r w:rsidRPr="00094080">
        <w:rPr>
          <w:i/>
          <w:iCs/>
          <w:lang w:val="en-US"/>
        </w:rPr>
        <w:t>. Sci</w:t>
      </w:r>
      <w:r w:rsidRPr="00094080">
        <w:rPr>
          <w:lang w:val="en-US"/>
        </w:rPr>
        <w:t xml:space="preserve">., 2018, </w:t>
      </w:r>
      <w:r w:rsidRPr="00094080">
        <w:rPr>
          <w:b/>
          <w:bCs/>
          <w:lang w:val="en-US"/>
        </w:rPr>
        <w:t>10</w:t>
      </w:r>
      <w:r w:rsidRPr="00094080">
        <w:rPr>
          <w:lang w:val="en-US"/>
        </w:rPr>
        <w:t>, 2474176.</w:t>
      </w:r>
    </w:p>
    <w:p w14:paraId="5233CFED" w14:textId="5472D0AB" w:rsidR="00094080" w:rsidRPr="00094080" w:rsidRDefault="00094080" w:rsidP="009250AC">
      <w:pPr>
        <w:pStyle w:val="RSCR02References"/>
        <w:jc w:val="left"/>
      </w:pPr>
      <w:r w:rsidRPr="00094080">
        <w:rPr>
          <w:lang w:val="en-US"/>
        </w:rPr>
        <w:t xml:space="preserve">T.T. </w:t>
      </w:r>
      <w:proofErr w:type="spellStart"/>
      <w:r w:rsidRPr="00094080">
        <w:rPr>
          <w:lang w:val="en-US"/>
        </w:rPr>
        <w:t>Nge</w:t>
      </w:r>
      <w:proofErr w:type="spellEnd"/>
      <w:r w:rsidRPr="00094080">
        <w:rPr>
          <w:lang w:val="en-US"/>
        </w:rPr>
        <w:t xml:space="preserve">, T. Yamada, Y. </w:t>
      </w:r>
      <w:proofErr w:type="spellStart"/>
      <w:r w:rsidRPr="00094080">
        <w:rPr>
          <w:lang w:val="en-US"/>
        </w:rPr>
        <w:t>Tobimatsu</w:t>
      </w:r>
      <w:proofErr w:type="spellEnd"/>
      <w:r w:rsidRPr="00094080">
        <w:rPr>
          <w:lang w:val="en-US"/>
        </w:rPr>
        <w:t xml:space="preserve">, M. Yamamura, R. Ishii, O. </w:t>
      </w:r>
      <w:proofErr w:type="spellStart"/>
      <w:r w:rsidRPr="00094080">
        <w:rPr>
          <w:lang w:val="en-US"/>
        </w:rPr>
        <w:t>Tanaike</w:t>
      </w:r>
      <w:proofErr w:type="spellEnd"/>
      <w:r w:rsidRPr="00094080">
        <w:rPr>
          <w:lang w:val="en-US"/>
        </w:rPr>
        <w:t xml:space="preserve">, T. </w:t>
      </w:r>
      <w:proofErr w:type="spellStart"/>
      <w:r w:rsidRPr="00094080">
        <w:rPr>
          <w:lang w:val="en-US"/>
        </w:rPr>
        <w:t>Ebina</w:t>
      </w:r>
      <w:proofErr w:type="spellEnd"/>
      <w:r w:rsidRPr="00094080">
        <w:rPr>
          <w:lang w:val="en-US"/>
        </w:rPr>
        <w:t xml:space="preserve">, </w:t>
      </w:r>
      <w:r w:rsidRPr="00094080">
        <w:rPr>
          <w:i/>
          <w:iCs/>
          <w:lang w:val="en-US"/>
        </w:rPr>
        <w:t>ACS Sustain. Chem. Eng</w:t>
      </w:r>
      <w:r w:rsidRPr="00094080">
        <w:rPr>
          <w:lang w:val="en-US"/>
        </w:rPr>
        <w:t xml:space="preserve">., 2021, </w:t>
      </w:r>
      <w:r w:rsidRPr="00094080">
        <w:rPr>
          <w:b/>
          <w:bCs/>
          <w:lang w:val="en-US"/>
        </w:rPr>
        <w:t>9</w:t>
      </w:r>
      <w:r w:rsidRPr="00094080">
        <w:rPr>
          <w:lang w:val="en-US"/>
        </w:rPr>
        <w:t>, 756-764.</w:t>
      </w:r>
    </w:p>
    <w:p w14:paraId="475A85A5" w14:textId="16656D1A" w:rsidR="00094080" w:rsidRPr="00094080" w:rsidRDefault="00094080" w:rsidP="009250AC">
      <w:pPr>
        <w:pStyle w:val="RSCR02References"/>
        <w:jc w:val="left"/>
      </w:pPr>
      <w:r w:rsidRPr="00094080">
        <w:rPr>
          <w:lang w:val="en-US"/>
        </w:rPr>
        <w:t xml:space="preserve">T.T. </w:t>
      </w:r>
      <w:proofErr w:type="spellStart"/>
      <w:r w:rsidRPr="00094080">
        <w:rPr>
          <w:lang w:val="en-US"/>
        </w:rPr>
        <w:t>Nge</w:t>
      </w:r>
      <w:proofErr w:type="spellEnd"/>
      <w:r w:rsidRPr="00094080">
        <w:rPr>
          <w:lang w:val="en-US"/>
        </w:rPr>
        <w:t xml:space="preserve">, Y. </w:t>
      </w:r>
      <w:proofErr w:type="spellStart"/>
      <w:r w:rsidRPr="00094080">
        <w:rPr>
          <w:lang w:val="en-US"/>
        </w:rPr>
        <w:t>Tobimatsu</w:t>
      </w:r>
      <w:proofErr w:type="spellEnd"/>
      <w:r w:rsidRPr="00094080">
        <w:rPr>
          <w:lang w:val="en-US"/>
        </w:rPr>
        <w:t xml:space="preserve">, S. Takahashi, E. Takata, M. Yamamura, Y. Miyagawa, T. Ikeda, T. </w:t>
      </w:r>
      <w:proofErr w:type="spellStart"/>
      <w:r w:rsidRPr="00094080">
        <w:rPr>
          <w:lang w:val="en-US"/>
        </w:rPr>
        <w:t>Umezawa</w:t>
      </w:r>
      <w:proofErr w:type="spellEnd"/>
      <w:r w:rsidRPr="00094080">
        <w:rPr>
          <w:lang w:val="en-US"/>
        </w:rPr>
        <w:t xml:space="preserve">, T. Yamada, </w:t>
      </w:r>
      <w:r w:rsidRPr="00094080">
        <w:rPr>
          <w:i/>
          <w:iCs/>
          <w:lang w:val="en-US"/>
        </w:rPr>
        <w:t>ACS Sustain. Chem. Eng</w:t>
      </w:r>
      <w:r w:rsidRPr="00094080">
        <w:rPr>
          <w:lang w:val="en-US"/>
        </w:rPr>
        <w:t xml:space="preserve">., 2018, </w:t>
      </w:r>
      <w:r w:rsidRPr="00094080">
        <w:rPr>
          <w:b/>
          <w:bCs/>
          <w:lang w:val="en-US"/>
        </w:rPr>
        <w:t>6</w:t>
      </w:r>
      <w:r w:rsidRPr="00094080">
        <w:rPr>
          <w:lang w:val="en-US"/>
        </w:rPr>
        <w:t>, 7841-7848.</w:t>
      </w:r>
    </w:p>
    <w:p w14:paraId="3F596C01" w14:textId="54194987" w:rsidR="00094080" w:rsidRPr="00094080" w:rsidRDefault="00094080" w:rsidP="009250AC">
      <w:pPr>
        <w:pStyle w:val="RSCR02References"/>
        <w:jc w:val="left"/>
      </w:pPr>
      <w:r w:rsidRPr="00094080">
        <w:rPr>
          <w:lang w:val="en-US"/>
        </w:rPr>
        <w:t xml:space="preserve">Tanks, K. Tamura, K. Naito, T.T. </w:t>
      </w:r>
      <w:proofErr w:type="spellStart"/>
      <w:r w:rsidRPr="00094080">
        <w:rPr>
          <w:lang w:val="en-US"/>
        </w:rPr>
        <w:t>Nge</w:t>
      </w:r>
      <w:proofErr w:type="spellEnd"/>
      <w:r w:rsidRPr="00094080">
        <w:rPr>
          <w:lang w:val="en-US"/>
        </w:rPr>
        <w:t xml:space="preserve">, T. Yamada, </w:t>
      </w:r>
      <w:r w:rsidRPr="00094080">
        <w:rPr>
          <w:i/>
          <w:iCs/>
          <w:lang w:val="en-US"/>
        </w:rPr>
        <w:t>Compos. Sci. Technol</w:t>
      </w:r>
      <w:r w:rsidRPr="00094080">
        <w:rPr>
          <w:lang w:val="en-US"/>
        </w:rPr>
        <w:t xml:space="preserve">., 2023, </w:t>
      </w:r>
      <w:r w:rsidRPr="00094080">
        <w:rPr>
          <w:b/>
          <w:bCs/>
          <w:lang w:val="en-US"/>
        </w:rPr>
        <w:t>238</w:t>
      </w:r>
      <w:r w:rsidRPr="00094080">
        <w:rPr>
          <w:lang w:val="en-US"/>
        </w:rPr>
        <w:t>, 110030.</w:t>
      </w:r>
    </w:p>
    <w:p w14:paraId="34C99F99" w14:textId="1115D140" w:rsidR="00094080" w:rsidRPr="00094080" w:rsidRDefault="00094080" w:rsidP="009250AC">
      <w:pPr>
        <w:pStyle w:val="RSCR02References"/>
        <w:jc w:val="left"/>
      </w:pPr>
      <w:r w:rsidRPr="00094080">
        <w:rPr>
          <w:lang w:val="en-US"/>
        </w:rPr>
        <w:t xml:space="preserve">W. Song, H. Yang, S. Liu, H. Yu, D. Li, P. Li, R. Xing, </w:t>
      </w:r>
      <w:r w:rsidRPr="00094080">
        <w:rPr>
          <w:i/>
          <w:iCs/>
          <w:lang w:val="en-US"/>
        </w:rPr>
        <w:t>J. Mater. Chem. B</w:t>
      </w:r>
      <w:r w:rsidRPr="00094080">
        <w:rPr>
          <w:lang w:val="en-US"/>
        </w:rPr>
        <w:t xml:space="preserve">, 2023, </w:t>
      </w:r>
      <w:r w:rsidRPr="00094080">
        <w:rPr>
          <w:b/>
          <w:bCs/>
          <w:lang w:val="en-US"/>
        </w:rPr>
        <w:t>11</w:t>
      </w:r>
      <w:r w:rsidRPr="00094080">
        <w:rPr>
          <w:lang w:val="en-US"/>
        </w:rPr>
        <w:t>, 7528-7543.</w:t>
      </w:r>
    </w:p>
    <w:p w14:paraId="48B86F26" w14:textId="21D2AC00" w:rsidR="00094080" w:rsidRPr="00094080" w:rsidRDefault="00094080" w:rsidP="009250AC">
      <w:pPr>
        <w:pStyle w:val="RSCR02References"/>
        <w:jc w:val="left"/>
      </w:pPr>
      <w:r w:rsidRPr="00094080">
        <w:rPr>
          <w:lang w:val="en-US"/>
        </w:rPr>
        <w:t xml:space="preserve">Kawamura, T.; Miyamoto, M. Composition of a Polyolefin Resin and its Application as Gas Barrier Material </w:t>
      </w:r>
      <w:r w:rsidRPr="00094080">
        <w:rPr>
          <w:i/>
          <w:iCs/>
          <w:lang w:val="en-US"/>
        </w:rPr>
        <w:t>(in Japanese)</w:t>
      </w:r>
      <w:r w:rsidRPr="00094080">
        <w:rPr>
          <w:lang w:val="en-US"/>
        </w:rPr>
        <w:t xml:space="preserve">. </w:t>
      </w:r>
      <w:r>
        <w:rPr>
          <w:lang w:val="en-US"/>
        </w:rPr>
        <w:t>Japanese Patent J</w:t>
      </w:r>
      <w:r w:rsidRPr="00094080">
        <w:rPr>
          <w:lang w:val="en-US"/>
        </w:rPr>
        <w:t>P 2016-141793 A.</w:t>
      </w:r>
    </w:p>
    <w:p w14:paraId="4E25C240" w14:textId="5EF86913" w:rsidR="002B62B5" w:rsidRDefault="00094080" w:rsidP="009250AC">
      <w:pPr>
        <w:pStyle w:val="RSCR02References"/>
        <w:jc w:val="left"/>
      </w:pPr>
      <w:r w:rsidRPr="00094080">
        <w:rPr>
          <w:lang w:val="en-US"/>
        </w:rPr>
        <w:t xml:space="preserve">X. Shi, P. Chen, K. Han, C. Li, R. Zhang, J. Luo, Z.L. Wang, </w:t>
      </w:r>
      <w:r w:rsidRPr="00094080">
        <w:rPr>
          <w:i/>
          <w:iCs/>
          <w:lang w:val="en-US"/>
        </w:rPr>
        <w:t>J. Mater. Chem. A</w:t>
      </w:r>
      <w:r w:rsidRPr="00094080">
        <w:rPr>
          <w:lang w:val="en-US"/>
        </w:rPr>
        <w:t xml:space="preserve">, 2023, </w:t>
      </w:r>
      <w:r w:rsidRPr="00094080">
        <w:rPr>
          <w:b/>
          <w:bCs/>
          <w:lang w:val="en-US"/>
        </w:rPr>
        <w:t>11</w:t>
      </w:r>
      <w:r w:rsidRPr="00094080">
        <w:rPr>
          <w:lang w:val="en-US"/>
        </w:rPr>
        <w:t>, 11730-11739.</w:t>
      </w:r>
      <w:r w:rsidR="009250AC">
        <w:t xml:space="preserve"> </w:t>
      </w:r>
    </w:p>
    <w:p w14:paraId="0D6521DE" w14:textId="64EA35FA" w:rsidR="00094080" w:rsidRPr="00094080" w:rsidRDefault="00094080" w:rsidP="009250AC">
      <w:pPr>
        <w:pStyle w:val="RSCR02References"/>
        <w:jc w:val="left"/>
      </w:pPr>
      <w:r w:rsidRPr="00094080">
        <w:rPr>
          <w:lang w:val="en-US"/>
        </w:rPr>
        <w:t xml:space="preserve">S. Wang, J. Zhang, </w:t>
      </w:r>
      <w:r w:rsidRPr="00094080">
        <w:rPr>
          <w:i/>
          <w:iCs/>
          <w:lang w:val="en-US"/>
        </w:rPr>
        <w:t>Sol. Energy Mater. Sol. Cells</w:t>
      </w:r>
      <w:r w:rsidRPr="00094080">
        <w:rPr>
          <w:lang w:val="en-US"/>
        </w:rPr>
        <w:t xml:space="preserve">, 2013, </w:t>
      </w:r>
      <w:r w:rsidRPr="00094080">
        <w:rPr>
          <w:b/>
          <w:bCs/>
          <w:lang w:val="en-US"/>
        </w:rPr>
        <w:t>117</w:t>
      </w:r>
      <w:r w:rsidRPr="00094080">
        <w:rPr>
          <w:lang w:val="en-US"/>
        </w:rPr>
        <w:t>, 577-584.</w:t>
      </w:r>
    </w:p>
    <w:p w14:paraId="48D60EBD" w14:textId="17AA7AA2" w:rsidR="00094080" w:rsidRPr="00094080" w:rsidRDefault="00094080" w:rsidP="009250AC">
      <w:pPr>
        <w:pStyle w:val="RSCR02References"/>
        <w:jc w:val="left"/>
      </w:pPr>
      <w:r w:rsidRPr="00094080">
        <w:rPr>
          <w:lang w:val="en-US"/>
        </w:rPr>
        <w:t xml:space="preserve">Y. Zhang, M. </w:t>
      </w:r>
      <w:proofErr w:type="spellStart"/>
      <w:r w:rsidRPr="00094080">
        <w:rPr>
          <w:lang w:val="en-US"/>
        </w:rPr>
        <w:t>Naebe</w:t>
      </w:r>
      <w:proofErr w:type="spellEnd"/>
      <w:r w:rsidRPr="00094080">
        <w:rPr>
          <w:lang w:val="en-US"/>
        </w:rPr>
        <w:t xml:space="preserve">, </w:t>
      </w:r>
      <w:r w:rsidRPr="00094080">
        <w:rPr>
          <w:i/>
          <w:iCs/>
          <w:lang w:val="en-US"/>
        </w:rPr>
        <w:t>ACS Sustain. Chem. Eng</w:t>
      </w:r>
      <w:r w:rsidRPr="00094080">
        <w:rPr>
          <w:lang w:val="en-US"/>
        </w:rPr>
        <w:t xml:space="preserve">., 2021, </w:t>
      </w:r>
      <w:r w:rsidRPr="00094080">
        <w:rPr>
          <w:b/>
          <w:bCs/>
          <w:lang w:val="en-US"/>
        </w:rPr>
        <w:t>9</w:t>
      </w:r>
      <w:r w:rsidRPr="00094080">
        <w:rPr>
          <w:lang w:val="en-US"/>
        </w:rPr>
        <w:t>, 1427-1442.</w:t>
      </w:r>
    </w:p>
    <w:p w14:paraId="52226B72" w14:textId="40B5C0F0" w:rsidR="00094080" w:rsidRPr="00094080" w:rsidRDefault="00094080" w:rsidP="009250AC">
      <w:pPr>
        <w:pStyle w:val="RSCR02References"/>
        <w:jc w:val="left"/>
      </w:pPr>
      <w:r w:rsidRPr="00094080">
        <w:rPr>
          <w:lang w:val="en-US"/>
        </w:rPr>
        <w:t xml:space="preserve">Y. Qian, X. </w:t>
      </w:r>
      <w:proofErr w:type="spellStart"/>
      <w:r w:rsidRPr="00094080">
        <w:rPr>
          <w:lang w:val="en-US"/>
        </w:rPr>
        <w:t>Qiu</w:t>
      </w:r>
      <w:proofErr w:type="spellEnd"/>
      <w:r w:rsidRPr="00094080">
        <w:rPr>
          <w:lang w:val="en-US"/>
        </w:rPr>
        <w:t xml:space="preserve">, X. Zhong, D. Zhang, Y. Deng, D. Yang, S. Zhu, </w:t>
      </w:r>
      <w:r w:rsidRPr="00094080">
        <w:rPr>
          <w:i/>
          <w:iCs/>
          <w:lang w:val="en-US"/>
        </w:rPr>
        <w:t>Ind. Eng. Chem. Res.</w:t>
      </w:r>
      <w:r w:rsidRPr="00094080">
        <w:rPr>
          <w:lang w:val="en-US"/>
        </w:rPr>
        <w:t xml:space="preserve">, 2015, </w:t>
      </w:r>
      <w:r w:rsidRPr="00094080">
        <w:rPr>
          <w:b/>
          <w:bCs/>
          <w:lang w:val="en-US"/>
        </w:rPr>
        <w:t>54</w:t>
      </w:r>
      <w:r w:rsidRPr="00094080">
        <w:rPr>
          <w:lang w:val="en-US"/>
        </w:rPr>
        <w:t>, 12025-12030.</w:t>
      </w:r>
    </w:p>
    <w:p w14:paraId="5E86A29D" w14:textId="7F70A144" w:rsidR="00094080" w:rsidRPr="00094080" w:rsidRDefault="00094080" w:rsidP="009250AC">
      <w:pPr>
        <w:pStyle w:val="RSCR02References"/>
        <w:jc w:val="left"/>
      </w:pPr>
      <w:r w:rsidRPr="00094080">
        <w:rPr>
          <w:lang w:val="en-US"/>
        </w:rPr>
        <w:t xml:space="preserve">A. Salazar, P.M. </w:t>
      </w:r>
      <w:proofErr w:type="spellStart"/>
      <w:r w:rsidRPr="00094080">
        <w:rPr>
          <w:lang w:val="en-US"/>
        </w:rPr>
        <w:t>Fontini</w:t>
      </w:r>
      <w:proofErr w:type="spellEnd"/>
      <w:r w:rsidRPr="00094080">
        <w:rPr>
          <w:lang w:val="en-US"/>
        </w:rPr>
        <w:t xml:space="preserve">, J. Rodriguez, </w:t>
      </w:r>
      <w:r w:rsidRPr="00094080">
        <w:rPr>
          <w:i/>
          <w:iCs/>
          <w:lang w:val="en-US"/>
        </w:rPr>
        <w:t xml:space="preserve">Eng. </w:t>
      </w:r>
      <w:proofErr w:type="spellStart"/>
      <w:r w:rsidRPr="00094080">
        <w:rPr>
          <w:i/>
          <w:iCs/>
          <w:lang w:val="en-US"/>
        </w:rPr>
        <w:t>Fract</w:t>
      </w:r>
      <w:proofErr w:type="spellEnd"/>
      <w:r w:rsidRPr="00094080">
        <w:rPr>
          <w:i/>
          <w:iCs/>
          <w:lang w:val="en-US"/>
        </w:rPr>
        <w:t>. Mech.</w:t>
      </w:r>
      <w:r w:rsidRPr="00094080">
        <w:rPr>
          <w:lang w:val="en-US"/>
        </w:rPr>
        <w:t xml:space="preserve">, 2014, </w:t>
      </w:r>
      <w:r w:rsidRPr="00094080">
        <w:rPr>
          <w:b/>
          <w:bCs/>
          <w:lang w:val="en-US"/>
        </w:rPr>
        <w:t>126</w:t>
      </w:r>
      <w:r w:rsidRPr="00094080">
        <w:rPr>
          <w:lang w:val="en-US"/>
        </w:rPr>
        <w:t>, 87-107.</w:t>
      </w:r>
    </w:p>
    <w:p w14:paraId="339E4F4B" w14:textId="364E0A07" w:rsidR="00F157DD" w:rsidRPr="007F0129" w:rsidRDefault="00094080" w:rsidP="00094080">
      <w:pPr>
        <w:pStyle w:val="RSCR02References"/>
        <w:jc w:val="left"/>
      </w:pPr>
      <w:r w:rsidRPr="00094080">
        <w:rPr>
          <w:lang w:val="en-US"/>
        </w:rPr>
        <w:t xml:space="preserve">S. Zhao, K. Liu, S. Zhou, Y. Shi, Z. Xin, </w:t>
      </w:r>
      <w:r w:rsidRPr="00094080">
        <w:rPr>
          <w:i/>
          <w:iCs/>
          <w:lang w:val="en-US"/>
        </w:rPr>
        <w:t>Polymer</w:t>
      </w:r>
      <w:r w:rsidRPr="00094080">
        <w:rPr>
          <w:lang w:val="en-US"/>
        </w:rPr>
        <w:t xml:space="preserve">, 2017, </w:t>
      </w:r>
      <w:r w:rsidRPr="00094080">
        <w:rPr>
          <w:b/>
          <w:bCs/>
          <w:lang w:val="en-US"/>
        </w:rPr>
        <w:t>132</w:t>
      </w:r>
      <w:r w:rsidRPr="00094080">
        <w:rPr>
          <w:lang w:val="en-US"/>
        </w:rPr>
        <w:t>, 69-78.</w:t>
      </w:r>
    </w:p>
    <w:p w14:paraId="7D2320F1" w14:textId="5238864A" w:rsidR="00B50DA2" w:rsidRPr="00442542" w:rsidRDefault="007F0129" w:rsidP="00442542">
      <w:pPr>
        <w:pStyle w:val="RSCR02References"/>
        <w:jc w:val="left"/>
      </w:pPr>
      <w:r>
        <w:rPr>
          <w:lang w:val="en-US"/>
        </w:rPr>
        <w:t xml:space="preserve">S. Yang, W. Liu, J. Guo, Z. Yang, Z. </w:t>
      </w:r>
      <w:proofErr w:type="spellStart"/>
      <w:r>
        <w:rPr>
          <w:lang w:val="en-US"/>
        </w:rPr>
        <w:t>Qiao</w:t>
      </w:r>
      <w:proofErr w:type="spellEnd"/>
      <w:r>
        <w:rPr>
          <w:lang w:val="en-US"/>
        </w:rPr>
        <w:t xml:space="preserve">, C. Zhang, J. Li, J. Xu, N. Zhao, </w:t>
      </w:r>
      <w:r w:rsidRPr="007F0129">
        <w:rPr>
          <w:i/>
          <w:iCs/>
          <w:lang w:val="en-US"/>
        </w:rPr>
        <w:t>J. Am. Chem. Soc</w:t>
      </w:r>
      <w:r>
        <w:rPr>
          <w:lang w:val="en-US"/>
        </w:rPr>
        <w:t xml:space="preserve">., 2023, </w:t>
      </w:r>
      <w:r w:rsidRPr="007F0129">
        <w:rPr>
          <w:b/>
          <w:bCs/>
          <w:lang w:val="en-US"/>
        </w:rPr>
        <w:t>145</w:t>
      </w:r>
      <w:r>
        <w:rPr>
          <w:lang w:val="en-US"/>
        </w:rPr>
        <w:t>, 20927-20935.</w:t>
      </w:r>
    </w:p>
    <w:p w14:paraId="54CB6F23" w14:textId="6AAB1F58" w:rsidR="00B50DA2" w:rsidRDefault="00B50DA2" w:rsidP="00B50DA2">
      <w:pPr>
        <w:pStyle w:val="RSCR02References"/>
        <w:numPr>
          <w:ilvl w:val="0"/>
          <w:numId w:val="0"/>
        </w:numPr>
        <w:ind w:left="284"/>
        <w:jc w:val="left"/>
        <w:rPr>
          <w:lang w:val="en-US"/>
        </w:rPr>
      </w:pPr>
    </w:p>
    <w:p w14:paraId="36341549" w14:textId="605B81F2" w:rsidR="00B50DA2" w:rsidRDefault="00B50DA2" w:rsidP="00B50DA2">
      <w:pPr>
        <w:pStyle w:val="RSCR02References"/>
        <w:numPr>
          <w:ilvl w:val="0"/>
          <w:numId w:val="0"/>
        </w:numPr>
        <w:ind w:left="284"/>
        <w:jc w:val="left"/>
        <w:rPr>
          <w:lang w:val="en-US"/>
        </w:rPr>
      </w:pPr>
    </w:p>
    <w:p w14:paraId="255A7A0A" w14:textId="67369C91" w:rsidR="00B50DA2" w:rsidRDefault="00B50DA2" w:rsidP="00B50DA2">
      <w:pPr>
        <w:pStyle w:val="RSCR02References"/>
        <w:numPr>
          <w:ilvl w:val="0"/>
          <w:numId w:val="0"/>
        </w:numPr>
        <w:ind w:left="284"/>
        <w:jc w:val="left"/>
        <w:rPr>
          <w:lang w:val="en-US"/>
        </w:rPr>
      </w:pPr>
    </w:p>
    <w:p w14:paraId="33E6D251" w14:textId="2A8BD4BC" w:rsidR="00B50DA2" w:rsidRDefault="00B50DA2" w:rsidP="00B50DA2">
      <w:pPr>
        <w:pStyle w:val="RSCR02References"/>
        <w:numPr>
          <w:ilvl w:val="0"/>
          <w:numId w:val="0"/>
        </w:numPr>
        <w:ind w:left="284"/>
        <w:jc w:val="left"/>
        <w:rPr>
          <w:lang w:val="en-US"/>
        </w:rPr>
      </w:pPr>
    </w:p>
    <w:p w14:paraId="7C015B48" w14:textId="05224AFC" w:rsidR="00B50DA2" w:rsidRPr="00241ACD" w:rsidRDefault="00B50DA2" w:rsidP="00B50DA2">
      <w:pPr>
        <w:pStyle w:val="RSCR02References"/>
        <w:numPr>
          <w:ilvl w:val="0"/>
          <w:numId w:val="0"/>
        </w:numPr>
        <w:ind w:left="284"/>
        <w:jc w:val="left"/>
      </w:pPr>
    </w:p>
    <w:sectPr w:rsidR="00B50DA2" w:rsidRPr="00241ACD" w:rsidSect="00514CBA">
      <w:type w:val="continuous"/>
      <w:pgSz w:w="11907" w:h="16840" w:code="9"/>
      <w:pgMar w:top="1009" w:right="851" w:bottom="1758" w:left="851" w:header="851" w:footer="1049" w:gutter="0"/>
      <w:cols w:num="2"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33D29" w14:textId="77777777" w:rsidR="00A6213B" w:rsidRDefault="00A6213B" w:rsidP="00E547DB">
      <w:pPr>
        <w:spacing w:after="0" w:line="240" w:lineRule="auto"/>
      </w:pPr>
      <w:r>
        <w:separator/>
      </w:r>
    </w:p>
    <w:p w14:paraId="624E3512" w14:textId="77777777" w:rsidR="00A6213B" w:rsidRDefault="00A6213B"/>
    <w:p w14:paraId="6D56D1F2" w14:textId="77777777" w:rsidR="00A6213B" w:rsidRDefault="00A6213B"/>
    <w:p w14:paraId="36C12C06" w14:textId="77777777" w:rsidR="00A6213B" w:rsidRDefault="00A6213B"/>
    <w:p w14:paraId="2BC2A671" w14:textId="77777777" w:rsidR="00A6213B" w:rsidRDefault="00A6213B"/>
    <w:p w14:paraId="657802BB" w14:textId="77777777" w:rsidR="00A6213B" w:rsidRDefault="00A6213B"/>
  </w:endnote>
  <w:endnote w:type="continuationSeparator" w:id="0">
    <w:p w14:paraId="5223954D" w14:textId="77777777" w:rsidR="00A6213B" w:rsidRDefault="00A6213B" w:rsidP="00E547DB">
      <w:pPr>
        <w:spacing w:after="0" w:line="240" w:lineRule="auto"/>
      </w:pPr>
      <w:r>
        <w:continuationSeparator/>
      </w:r>
    </w:p>
    <w:p w14:paraId="3A238783" w14:textId="77777777" w:rsidR="00A6213B" w:rsidRDefault="00A6213B"/>
    <w:p w14:paraId="00126C95" w14:textId="77777777" w:rsidR="00A6213B" w:rsidRDefault="00A6213B"/>
    <w:p w14:paraId="5DDC4840" w14:textId="77777777" w:rsidR="00A6213B" w:rsidRDefault="00A6213B"/>
    <w:p w14:paraId="66CC9AF6" w14:textId="77777777" w:rsidR="00A6213B" w:rsidRDefault="00A6213B"/>
    <w:p w14:paraId="5261C36E" w14:textId="77777777" w:rsidR="00A6213B" w:rsidRDefault="00A621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2CECB68E-5CF2-F942-A0B2-1ABD3E3B83EF}"/>
    <w:embedBold r:id="rId2" w:fontKey="{9AE0148A-F105-DD46-ACB9-3CEFADC9FA47}"/>
    <w:embedItalic r:id="rId3" w:fontKey="{C19C1261-EA12-7C43-A6FA-CFAD373E5DAF}"/>
  </w:font>
  <w:font w:name="Calibri">
    <w:panose1 w:val="020F0502020204030204"/>
    <w:charset w:val="00"/>
    <w:family w:val="swiss"/>
    <w:pitch w:val="variable"/>
    <w:sig w:usb0="E0002AFF" w:usb1="C000247B" w:usb2="00000009" w:usb3="00000000" w:csb0="000001FF" w:csb1="00000000"/>
    <w:embedRegular r:id="rId4" w:fontKey="{41E50577-4CF2-034B-8D5A-19C546899C99}"/>
    <w:embedBold r:id="rId5" w:fontKey="{779E1F26-976E-6345-81B6-677B52C52AB0}"/>
    <w:embedItalic r:id="rId6" w:fontKey="{42F1C8CB-B7E8-D343-96C9-E06BA869EC04}"/>
  </w:font>
  <w:font w:name="Courier New">
    <w:panose1 w:val="02070309020205020404"/>
    <w:charset w:val="00"/>
    <w:family w:val="modern"/>
    <w:pitch w:val="fixed"/>
    <w:sig w:usb0="E0002AFF" w:usb1="C0007843" w:usb2="00000009" w:usb3="00000000" w:csb0="000001FF" w:csb1="00000000"/>
    <w:embedRegular r:id="rId7" w:fontKey="{F6BC03DE-DD7C-714C-80E8-DAEA20D114F6}"/>
  </w:font>
  <w:font w:name="Wingdings">
    <w:panose1 w:val="05000000000000000000"/>
    <w:charset w:val="4D"/>
    <w:family w:val="decorative"/>
    <w:pitch w:val="variable"/>
    <w:sig w:usb0="00000003" w:usb1="00000000" w:usb2="00000000" w:usb3="00000000" w:csb0="80000001" w:csb1="00000000"/>
    <w:embedRegular r:id="rId8" w:fontKey="{D41A7B17-ACD9-F940-9262-8A7837ACA170}"/>
  </w:font>
  <w:font w:name="Symbol">
    <w:panose1 w:val="05050102010706020507"/>
    <w:charset w:val="02"/>
    <w:family w:val="decorative"/>
    <w:pitch w:val="variable"/>
    <w:sig w:usb0="00000003" w:usb1="10000000" w:usb2="00000000" w:usb3="00000000" w:csb0="80000001" w:csb1="00000000"/>
    <w:embedRegular r:id="rId9" w:fontKey="{509383D5-A600-8B40-BA2B-662C38111EED}"/>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10" w:fontKey="{4854C2B6-7177-2044-BE4D-6E5CCAAD4ADE}"/>
  </w:font>
  <w:font w:name="Cambria Math">
    <w:panose1 w:val="02040503050406030204"/>
    <w:charset w:val="00"/>
    <w:family w:val="roman"/>
    <w:pitch w:val="variable"/>
    <w:sig w:usb0="E00006FF" w:usb1="420024FF" w:usb2="02000000" w:usb3="00000000" w:csb0="0000019F" w:csb1="00000000"/>
    <w:embedItalic r:id="rId11" w:fontKey="{C2C9D52C-A8F6-D545-BA6D-282959BA1009}"/>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embedRegular r:id="rId12" w:fontKey="{F9CBC60A-CB9F-0D4C-9946-D4D8AD90DB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7C395" w14:textId="53E734BB" w:rsidR="00E70DCE" w:rsidRPr="006602F1" w:rsidRDefault="00E70DCE" w:rsidP="00D45ADF">
    <w:pPr>
      <w:pStyle w:val="Footer"/>
      <w:tabs>
        <w:tab w:val="clear" w:pos="4513"/>
        <w:tab w:val="clear" w:pos="9026"/>
        <w:tab w:val="right" w:pos="10206"/>
      </w:tabs>
      <w:spacing w:before="480"/>
      <w:rPr>
        <w:spacing w:val="10"/>
        <w:sz w:val="16"/>
        <w:szCs w:val="16"/>
      </w:rPr>
    </w:pPr>
    <w:r w:rsidRPr="006602F1">
      <w:rPr>
        <w:b/>
        <w:spacing w:val="10"/>
        <w:sz w:val="16"/>
        <w:szCs w:val="16"/>
      </w:rPr>
      <w:fldChar w:fldCharType="begin"/>
    </w:r>
    <w:r w:rsidRPr="006602F1">
      <w:rPr>
        <w:b/>
        <w:spacing w:val="10"/>
        <w:sz w:val="16"/>
        <w:szCs w:val="16"/>
      </w:rPr>
      <w:instrText xml:space="preserve"> PAGE   \* MERGEFORMAT </w:instrText>
    </w:r>
    <w:r w:rsidRPr="006602F1">
      <w:rPr>
        <w:b/>
        <w:spacing w:val="10"/>
        <w:sz w:val="16"/>
        <w:szCs w:val="16"/>
      </w:rPr>
      <w:fldChar w:fldCharType="separate"/>
    </w:r>
    <w:r w:rsidR="00832766">
      <w:rPr>
        <w:b/>
        <w:noProof/>
        <w:spacing w:val="10"/>
        <w:sz w:val="16"/>
        <w:szCs w:val="16"/>
      </w:rPr>
      <w:t>2</w:t>
    </w:r>
    <w:r w:rsidRPr="006602F1">
      <w:rPr>
        <w:b/>
        <w:noProof/>
        <w:spacing w:val="10"/>
        <w:sz w:val="16"/>
        <w:szCs w:val="16"/>
      </w:rPr>
      <w:fldChar w:fldCharType="end"/>
    </w:r>
    <w:r w:rsidRPr="006602F1">
      <w:rPr>
        <w:noProof/>
        <w:spacing w:val="10"/>
        <w:sz w:val="16"/>
        <w:szCs w:val="16"/>
      </w:rPr>
      <w:t xml:space="preserve"> | </w:t>
    </w:r>
    <w:r w:rsidR="00672928">
      <w:rPr>
        <w:i/>
        <w:noProof/>
        <w:spacing w:val="10"/>
        <w:sz w:val="16"/>
        <w:szCs w:val="16"/>
      </w:rPr>
      <w:t>J</w:t>
    </w:r>
    <w:r w:rsidRPr="006602F1">
      <w:rPr>
        <w:i/>
        <w:noProof/>
        <w:spacing w:val="10"/>
        <w:sz w:val="16"/>
        <w:szCs w:val="16"/>
      </w:rPr>
      <w:t xml:space="preserve">. </w:t>
    </w:r>
    <w:r w:rsidR="00672928">
      <w:rPr>
        <w:i/>
        <w:noProof/>
        <w:spacing w:val="10"/>
        <w:sz w:val="16"/>
        <w:szCs w:val="16"/>
      </w:rPr>
      <w:t>Name</w:t>
    </w:r>
    <w:r w:rsidRPr="006602F1">
      <w:rPr>
        <w:noProof/>
        <w:spacing w:val="10"/>
        <w:sz w:val="16"/>
        <w:szCs w:val="16"/>
      </w:rPr>
      <w:t xml:space="preserve">., 2012, </w:t>
    </w:r>
    <w:r w:rsidRPr="006602F1">
      <w:rPr>
        <w:b/>
        <w:noProof/>
        <w:spacing w:val="10"/>
        <w:sz w:val="16"/>
        <w:szCs w:val="16"/>
      </w:rPr>
      <w:t>00</w:t>
    </w:r>
    <w:r w:rsidRPr="006602F1">
      <w:rPr>
        <w:noProof/>
        <w:spacing w:val="10"/>
        <w:sz w:val="16"/>
        <w:szCs w:val="16"/>
      </w:rPr>
      <w:t>, 1-3</w:t>
    </w:r>
    <w:r w:rsidR="004877C8" w:rsidRPr="006602F1">
      <w:rPr>
        <w:noProof/>
        <w:spacing w:val="10"/>
        <w:sz w:val="16"/>
        <w:szCs w:val="16"/>
      </w:rPr>
      <w:tab/>
    </w:r>
    <w:r w:rsidR="004877C8" w:rsidRPr="00AC3BF2">
      <w:rPr>
        <w:noProof/>
        <w:spacing w:val="2"/>
        <w:sz w:val="16"/>
        <w:szCs w:val="16"/>
      </w:rPr>
      <w:t xml:space="preserve">This journal is </w:t>
    </w:r>
    <w:r w:rsidR="004877C8" w:rsidRPr="00AC3BF2">
      <w:rPr>
        <w:rFonts w:cstheme="minorHAnsi"/>
        <w:noProof/>
        <w:spacing w:val="2"/>
        <w:sz w:val="16"/>
        <w:szCs w:val="16"/>
      </w:rPr>
      <w:t>©</w:t>
    </w:r>
    <w:r w:rsidR="004877C8" w:rsidRPr="00AC3BF2">
      <w:rPr>
        <w:noProof/>
        <w:spacing w:val="2"/>
        <w:sz w:val="16"/>
        <w:szCs w:val="16"/>
      </w:rPr>
      <w:t xml:space="preserve"> The Royal Society of Chemistry 20</w:t>
    </w:r>
    <w:r w:rsidR="00180ABE">
      <w:rPr>
        <w:noProof/>
        <w:spacing w:val="2"/>
        <w:sz w:val="16"/>
        <w:szCs w:val="16"/>
      </w:rPr>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C148E" w14:textId="77777777" w:rsidR="004877C8" w:rsidRPr="006602F1" w:rsidRDefault="00180ABE" w:rsidP="00D45ADF">
    <w:pPr>
      <w:pStyle w:val="Footer"/>
      <w:tabs>
        <w:tab w:val="clear" w:pos="4513"/>
        <w:tab w:val="clear" w:pos="9026"/>
        <w:tab w:val="right" w:pos="10205"/>
      </w:tabs>
      <w:spacing w:before="480"/>
      <w:rPr>
        <w:sz w:val="16"/>
        <w:szCs w:val="16"/>
      </w:rPr>
    </w:pPr>
    <w:r w:rsidRPr="00AC3BF2">
      <w:rPr>
        <w:noProof/>
        <w:spacing w:val="2"/>
        <w:sz w:val="16"/>
        <w:szCs w:val="16"/>
      </w:rPr>
      <w:t xml:space="preserve">This journal is </w:t>
    </w:r>
    <w:r w:rsidRPr="00AC3BF2">
      <w:rPr>
        <w:rFonts w:cstheme="minorHAnsi"/>
        <w:noProof/>
        <w:spacing w:val="2"/>
        <w:sz w:val="16"/>
        <w:szCs w:val="16"/>
      </w:rPr>
      <w:t>©</w:t>
    </w:r>
    <w:r w:rsidRPr="00AC3BF2">
      <w:rPr>
        <w:noProof/>
        <w:spacing w:val="2"/>
        <w:sz w:val="16"/>
        <w:szCs w:val="16"/>
      </w:rPr>
      <w:t xml:space="preserve"> The</w:t>
    </w:r>
    <w:r>
      <w:rPr>
        <w:noProof/>
        <w:spacing w:val="2"/>
        <w:sz w:val="16"/>
        <w:szCs w:val="16"/>
      </w:rPr>
      <w:t xml:space="preserve"> Royal Society of Chemistry 20xx</w:t>
    </w:r>
    <w:r>
      <w:rPr>
        <w:i/>
        <w:noProof/>
        <w:spacing w:val="10"/>
        <w:sz w:val="16"/>
        <w:szCs w:val="16"/>
      </w:rPr>
      <w:tab/>
      <w:t>J</w:t>
    </w:r>
    <w:r w:rsidRPr="002C0803">
      <w:rPr>
        <w:i/>
        <w:noProof/>
        <w:spacing w:val="10"/>
        <w:sz w:val="16"/>
        <w:szCs w:val="16"/>
      </w:rPr>
      <w:t xml:space="preserve">. </w:t>
    </w:r>
    <w:r>
      <w:rPr>
        <w:i/>
        <w:noProof/>
        <w:spacing w:val="10"/>
        <w:sz w:val="16"/>
        <w:szCs w:val="16"/>
      </w:rPr>
      <w:t>Name</w:t>
    </w:r>
    <w:r w:rsidRPr="002C0803">
      <w:rPr>
        <w:noProof/>
        <w:spacing w:val="10"/>
        <w:sz w:val="16"/>
        <w:szCs w:val="16"/>
      </w:rPr>
      <w:t>., 201</w:t>
    </w:r>
    <w:r>
      <w:rPr>
        <w:noProof/>
        <w:spacing w:val="10"/>
        <w:sz w:val="16"/>
        <w:szCs w:val="16"/>
      </w:rPr>
      <w:t>3</w:t>
    </w:r>
    <w:r w:rsidRPr="002C0803">
      <w:rPr>
        <w:noProof/>
        <w:spacing w:val="10"/>
        <w:sz w:val="16"/>
        <w:szCs w:val="16"/>
      </w:rPr>
      <w:t xml:space="preserve">, </w:t>
    </w:r>
    <w:r w:rsidRPr="002C0803">
      <w:rPr>
        <w:b/>
        <w:noProof/>
        <w:spacing w:val="10"/>
        <w:sz w:val="16"/>
        <w:szCs w:val="16"/>
      </w:rPr>
      <w:t>00</w:t>
    </w:r>
    <w:r w:rsidRPr="002C0803">
      <w:rPr>
        <w:noProof/>
        <w:spacing w:val="10"/>
        <w:sz w:val="16"/>
        <w:szCs w:val="16"/>
      </w:rPr>
      <w:t>, 1-3</w:t>
    </w:r>
    <w:r w:rsidRPr="002C0803">
      <w:rPr>
        <w:spacing w:val="10"/>
        <w:sz w:val="16"/>
        <w:szCs w:val="16"/>
      </w:rPr>
      <w:t xml:space="preserve"> | </w:t>
    </w:r>
    <w:r w:rsidRPr="008C1387">
      <w:rPr>
        <w:b/>
        <w:spacing w:val="10"/>
        <w:sz w:val="16"/>
        <w:szCs w:val="16"/>
      </w:rPr>
      <w:fldChar w:fldCharType="begin"/>
    </w:r>
    <w:r w:rsidRPr="008C1387">
      <w:rPr>
        <w:b/>
        <w:spacing w:val="10"/>
        <w:sz w:val="16"/>
        <w:szCs w:val="16"/>
      </w:rPr>
      <w:instrText xml:space="preserve"> PAGE   \* MERGEFORMAT </w:instrText>
    </w:r>
    <w:r w:rsidRPr="008C1387">
      <w:rPr>
        <w:b/>
        <w:spacing w:val="10"/>
        <w:sz w:val="16"/>
        <w:szCs w:val="16"/>
      </w:rPr>
      <w:fldChar w:fldCharType="separate"/>
    </w:r>
    <w:r w:rsidR="00F157DD">
      <w:rPr>
        <w:b/>
        <w:noProof/>
        <w:spacing w:val="10"/>
        <w:sz w:val="16"/>
        <w:szCs w:val="16"/>
      </w:rPr>
      <w:t>3</w:t>
    </w:r>
    <w:r w:rsidRPr="008C1387">
      <w:rPr>
        <w:b/>
        <w:noProof/>
        <w:spacing w:val="1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C4DD8" w14:textId="77777777" w:rsidR="00E70DCE" w:rsidRPr="006602F1" w:rsidRDefault="00514CBA" w:rsidP="00D45ADF">
    <w:pPr>
      <w:pStyle w:val="Footer"/>
      <w:tabs>
        <w:tab w:val="clear" w:pos="4513"/>
        <w:tab w:val="clear" w:pos="9026"/>
        <w:tab w:val="right" w:pos="10206"/>
      </w:tabs>
      <w:spacing w:before="480"/>
      <w:rPr>
        <w:sz w:val="16"/>
        <w:szCs w:val="16"/>
      </w:rPr>
    </w:pPr>
    <w:r>
      <w:rPr>
        <w:noProof/>
        <w:lang w:eastAsia="en-GB"/>
      </w:rPr>
      <mc:AlternateContent>
        <mc:Choice Requires="wps">
          <w:drawing>
            <wp:anchor distT="0" distB="0" distL="114300" distR="114300" simplePos="0" relativeHeight="251664384" behindDoc="0" locked="0" layoutInCell="1" allowOverlap="1" wp14:anchorId="70BDE793" wp14:editId="4069E006">
              <wp:simplePos x="0" y="0"/>
              <wp:positionH relativeFrom="column">
                <wp:align>center</wp:align>
              </wp:positionH>
              <wp:positionV relativeFrom="page">
                <wp:align>bottom</wp:align>
              </wp:positionV>
              <wp:extent cx="7700400" cy="396000"/>
              <wp:effectExtent l="0" t="0" r="0" b="444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2BD3FB71" w14:textId="77777777" w:rsidR="00514CBA" w:rsidRPr="00F20A7C" w:rsidRDefault="00514CBA"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0BDE793" id="_x0000_t202" coordsize="21600,21600" o:spt="202" path="m,l,21600r21600,l21600,xe">
              <v:stroke joinstyle="miter"/>
              <v:path gradientshapeok="t" o:connecttype="rect"/>
            </v:shapetype>
            <v:shape id="_x0000_s1056" type="#_x0000_t202" style="position:absolute;margin-left:0;margin-top:0;width:606.35pt;height:31.2pt;z-index:251664384;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" fillcolor="#a5a5a5 [2092]" stroked="f">
              <v:textbox>
                <w:txbxContent>
                  <w:p w14:paraId="2BD3FB71" w14:textId="77777777" w:rsidR="00514CBA" w:rsidRPr="00F20A7C" w:rsidRDefault="00514CBA"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margins</w:t>
                    </w:r>
                  </w:p>
                </w:txbxContent>
              </v:textbox>
              <w10:wrap anchory="page"/>
            </v:shape>
          </w:pict>
        </mc:Fallback>
      </mc:AlternateContent>
    </w:r>
    <w:r w:rsidR="00E70DCE" w:rsidRPr="006602F1">
      <w:rPr>
        <w:i/>
        <w:noProo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1781D" w14:textId="77777777" w:rsidR="00A6213B" w:rsidRDefault="00A6213B" w:rsidP="00E547DB">
      <w:pPr>
        <w:spacing w:after="0" w:line="240" w:lineRule="auto"/>
      </w:pPr>
      <w:r>
        <w:separator/>
      </w:r>
    </w:p>
    <w:p w14:paraId="70C9FD79" w14:textId="77777777" w:rsidR="00A6213B" w:rsidRDefault="00A6213B"/>
    <w:p w14:paraId="100DFE6D" w14:textId="77777777" w:rsidR="00A6213B" w:rsidRDefault="00A6213B"/>
    <w:p w14:paraId="03E64BA1" w14:textId="77777777" w:rsidR="00A6213B" w:rsidRDefault="00A6213B"/>
    <w:p w14:paraId="34F02386" w14:textId="77777777" w:rsidR="00A6213B" w:rsidRDefault="00A6213B"/>
    <w:p w14:paraId="7B8FA2D1" w14:textId="77777777" w:rsidR="00A6213B" w:rsidRDefault="00A6213B"/>
  </w:footnote>
  <w:footnote w:type="continuationSeparator" w:id="0">
    <w:p w14:paraId="7C24CF62" w14:textId="77777777" w:rsidR="00A6213B" w:rsidRDefault="00A6213B" w:rsidP="00E547DB">
      <w:pPr>
        <w:spacing w:after="0" w:line="240" w:lineRule="auto"/>
      </w:pPr>
      <w:r>
        <w:continuationSeparator/>
      </w:r>
    </w:p>
    <w:p w14:paraId="2B34D7A4" w14:textId="77777777" w:rsidR="00A6213B" w:rsidRDefault="00A6213B"/>
    <w:p w14:paraId="25417DEE" w14:textId="77777777" w:rsidR="00A6213B" w:rsidRDefault="00A6213B"/>
    <w:p w14:paraId="5C88D4A6" w14:textId="77777777" w:rsidR="00A6213B" w:rsidRDefault="00A6213B"/>
    <w:p w14:paraId="0852BF32" w14:textId="77777777" w:rsidR="00A6213B" w:rsidRDefault="00A6213B"/>
    <w:p w14:paraId="697DA14D" w14:textId="77777777" w:rsidR="00A6213B" w:rsidRDefault="00A621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5D6BB" w14:textId="77777777" w:rsidR="009316A6" w:rsidRPr="00E70DCE" w:rsidRDefault="00514CBA" w:rsidP="00D45ADF">
    <w:pPr>
      <w:pStyle w:val="Header"/>
      <w:tabs>
        <w:tab w:val="clear" w:pos="4513"/>
        <w:tab w:val="clear" w:pos="9026"/>
        <w:tab w:val="right" w:pos="10206"/>
      </w:tabs>
      <w:spacing w:after="240"/>
      <w:rPr>
        <w:rFonts w:cstheme="minorHAnsi"/>
        <w:color w:val="999999"/>
        <w:sz w:val="20"/>
        <w:szCs w:val="20"/>
      </w:rPr>
    </w:pPr>
    <w:r>
      <w:rPr>
        <w:noProof/>
        <w:lang w:eastAsia="en-GB"/>
      </w:rPr>
      <mc:AlternateContent>
        <mc:Choice Requires="wps">
          <w:drawing>
            <wp:anchor distT="0" distB="0" distL="114300" distR="114300" simplePos="0" relativeHeight="251668480" behindDoc="0" locked="0" layoutInCell="1" allowOverlap="1" wp14:anchorId="13524EC0" wp14:editId="57A3D1D9">
              <wp:simplePos x="0" y="0"/>
              <wp:positionH relativeFrom="column">
                <wp:align>center</wp:align>
              </wp:positionH>
              <wp:positionV relativeFrom="page">
                <wp:align>bottom</wp:align>
              </wp:positionV>
              <wp:extent cx="7700400" cy="396000"/>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3C389A26"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3524EC0" id="_x0000_t202" coordsize="21600,21600" o:spt="202" path="m,l,21600r21600,l21600,xe">
              <v:stroke joinstyle="miter"/>
              <v:path gradientshapeok="t" o:connecttype="rect"/>
            </v:shapetype>
            <v:shape id="_x0000_s1051" type="#_x0000_t202" style="position:absolute;margin-left:0;margin-top:0;width:606.35pt;height:31.2pt;z-index:251668480;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" fillcolor="#a5a5a5 [2092]" stroked="f">
              <v:textbox>
                <w:txbxContent>
                  <w:p w14:paraId="3C389A26"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Pr>
        <w:noProof/>
        <w:lang w:eastAsia="en-GB"/>
      </w:rPr>
      <mc:AlternateContent>
        <mc:Choice Requires="wps">
          <w:drawing>
            <wp:anchor distT="0" distB="0" distL="114300" distR="114300" simplePos="0" relativeHeight="251666432" behindDoc="0" locked="0" layoutInCell="1" allowOverlap="1" wp14:anchorId="42B65137" wp14:editId="67568D96">
              <wp:simplePos x="0" y="0"/>
              <wp:positionH relativeFrom="column">
                <wp:align>center</wp:align>
              </wp:positionH>
              <wp:positionV relativeFrom="page">
                <wp:align>top</wp:align>
              </wp:positionV>
              <wp:extent cx="7700400" cy="396000"/>
              <wp:effectExtent l="0" t="0" r="0" b="444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2A3F4DC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B65137" id="_x0000_s1052" type="#_x0000_t202" style="position:absolute;margin-left:0;margin-top:0;width:606.35pt;height:31.2pt;z-index:251666432;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" fillcolor="#a5a5a5 [2092]" stroked="f">
              <v:textbox>
                <w:txbxContent>
                  <w:p w14:paraId="2A3F4DC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F157DD">
      <w:rPr>
        <w:rFonts w:cstheme="minorHAnsi"/>
        <w:b/>
        <w:color w:val="999999"/>
        <w:sz w:val="20"/>
        <w:szCs w:val="20"/>
      </w:rPr>
      <w:t>ARTICLE</w:t>
    </w:r>
    <w:r w:rsidR="0052630A" w:rsidRPr="00E70DCE">
      <w:rPr>
        <w:rFonts w:cstheme="minorHAnsi"/>
        <w:color w:val="999999"/>
        <w:sz w:val="20"/>
        <w:szCs w:val="20"/>
      </w:rPr>
      <w:tab/>
    </w:r>
    <w:r w:rsidR="00672928">
      <w:rPr>
        <w:rFonts w:cstheme="minorHAnsi"/>
        <w:b/>
        <w:color w:val="999999"/>
        <w:sz w:val="20"/>
        <w:szCs w:val="20"/>
      </w:rPr>
      <w:t>Journal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8EC0D" w14:textId="77777777" w:rsidR="009316A6" w:rsidRPr="009316A6" w:rsidRDefault="00514CBA" w:rsidP="00D45ADF">
    <w:pPr>
      <w:pStyle w:val="Header"/>
      <w:tabs>
        <w:tab w:val="clear" w:pos="4513"/>
        <w:tab w:val="clear" w:pos="9026"/>
        <w:tab w:val="right" w:pos="10206"/>
      </w:tabs>
      <w:spacing w:after="240"/>
      <w:rPr>
        <w:rFonts w:cstheme="minorHAnsi"/>
        <w:b/>
        <w:color w:val="999999"/>
        <w:sz w:val="20"/>
        <w:szCs w:val="20"/>
      </w:rPr>
    </w:pPr>
    <w:r>
      <w:rPr>
        <w:noProof/>
        <w:lang w:eastAsia="en-GB"/>
      </w:rPr>
      <mc:AlternateContent>
        <mc:Choice Requires="wps">
          <w:drawing>
            <wp:anchor distT="0" distB="0" distL="114300" distR="114300" simplePos="0" relativeHeight="251672576" behindDoc="0" locked="0" layoutInCell="1" allowOverlap="1" wp14:anchorId="7E828ED4" wp14:editId="71AE44F6">
              <wp:simplePos x="0" y="0"/>
              <wp:positionH relativeFrom="column">
                <wp:align>center</wp:align>
              </wp:positionH>
              <wp:positionV relativeFrom="page">
                <wp:align>bottom</wp:align>
              </wp:positionV>
              <wp:extent cx="7700400" cy="399600"/>
              <wp:effectExtent l="0" t="0" r="0" b="63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0E9A329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E828ED4" id="_x0000_t202" coordsize="21600,21600" o:spt="202" path="m,l,21600r21600,l21600,xe">
              <v:stroke joinstyle="miter"/>
              <v:path gradientshapeok="t" o:connecttype="rect"/>
            </v:shapetype>
            <v:shape id="_x0000_s1053" type="#_x0000_t202" style="position:absolute;margin-left:0;margin-top:0;width:606.35pt;height:31.45pt;z-index:251672576;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" fillcolor="#a5a5a5 [2092]" stroked="f">
              <v:textbox>
                <w:txbxContent>
                  <w:p w14:paraId="0E9A329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E46BDF">
      <w:rPr>
        <w:rFonts w:cstheme="minorHAnsi"/>
        <w:b/>
        <w:color w:val="999999"/>
        <w:sz w:val="20"/>
        <w:szCs w:val="20"/>
      </w:rPr>
      <w:t>Journal Name</w:t>
    </w:r>
    <w:r>
      <w:rPr>
        <w:noProof/>
        <w:lang w:eastAsia="en-GB"/>
      </w:rPr>
      <mc:AlternateContent>
        <mc:Choice Requires="wps">
          <w:drawing>
            <wp:anchor distT="0" distB="0" distL="114300" distR="114300" simplePos="0" relativeHeight="251670528" behindDoc="0" locked="0" layoutInCell="1" allowOverlap="1" wp14:anchorId="45988B93" wp14:editId="082F6A23">
              <wp:simplePos x="0" y="0"/>
              <wp:positionH relativeFrom="column">
                <wp:align>center</wp:align>
              </wp:positionH>
              <wp:positionV relativeFrom="page">
                <wp:align>top</wp:align>
              </wp:positionV>
              <wp:extent cx="7700400" cy="42480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424800"/>
                      </a:xfrm>
                      <a:prstGeom prst="rect">
                        <a:avLst/>
                      </a:prstGeom>
                      <a:solidFill>
                        <a:schemeClr val="bg1">
                          <a:lumMod val="65000"/>
                        </a:schemeClr>
                      </a:solidFill>
                      <a:ln w="9525">
                        <a:noFill/>
                        <a:miter lim="800000"/>
                        <a:headEnd/>
                        <a:tailEnd/>
                      </a:ln>
                    </wps:spPr>
                    <wps:txbx>
                      <w:txbxContent>
                        <w:p w14:paraId="390D4CCD"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988B93" id="_x0000_s1054" type="#_x0000_t202" style="position:absolute;margin-left:0;margin-top:0;width:606.35pt;height:33.45pt;z-index:251670528;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" fillcolor="#a5a5a5 [2092]" stroked="f">
              <v:textbox>
                <w:txbxContent>
                  <w:p w14:paraId="390D4CCD"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E46BDF">
      <w:rPr>
        <w:rFonts w:cstheme="minorHAnsi"/>
        <w:b/>
        <w:color w:val="999999"/>
        <w:sz w:val="20"/>
        <w:szCs w:val="20"/>
      </w:rPr>
      <w:ptab w:relativeTo="margin" w:alignment="right" w:leader="none"/>
    </w:r>
    <w:r w:rsidR="00E46BDF" w:rsidRPr="00E46BDF">
      <w:rPr>
        <w:rFonts w:cstheme="minorHAnsi"/>
        <w:b/>
        <w:color w:val="999999"/>
        <w:sz w:val="20"/>
        <w:szCs w:val="20"/>
      </w:rPr>
      <w:t xml:space="preserve"> </w:t>
    </w:r>
    <w:r w:rsidR="00F157DD">
      <w:rPr>
        <w:rFonts w:cstheme="minorHAnsi"/>
        <w:b/>
        <w:color w:val="999999"/>
        <w:sz w:val="20"/>
        <w:szCs w:val="20"/>
      </w:rPr>
      <w:t>ARTICLE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27CF2" w14:textId="77777777" w:rsidR="00180ABE" w:rsidRDefault="00514CBA" w:rsidP="00180ABE">
    <w:pPr>
      <w:pStyle w:val="Header"/>
      <w:shd w:val="clear" w:color="auto" w:fill="FFFFFF" w:themeFill="background1"/>
      <w:tabs>
        <w:tab w:val="clear" w:pos="4513"/>
        <w:tab w:val="clear" w:pos="9026"/>
        <w:tab w:val="right" w:pos="10205"/>
      </w:tabs>
      <w:spacing w:after="240"/>
      <w:rPr>
        <w:b/>
        <w:noProof/>
        <w:sz w:val="32"/>
        <w:szCs w:val="32"/>
        <w:lang w:eastAsia="en-GB"/>
      </w:rPr>
    </w:pPr>
    <w:r>
      <w:rPr>
        <w:noProof/>
        <w:lang w:eastAsia="en-GB"/>
      </w:rPr>
      <mc:AlternateContent>
        <mc:Choice Requires="wps">
          <w:drawing>
            <wp:anchor distT="0" distB="0" distL="114300" distR="114300" simplePos="0" relativeHeight="251662336" behindDoc="0" locked="0" layoutInCell="1" allowOverlap="1" wp14:anchorId="1E076B20" wp14:editId="1DA57D20">
              <wp:simplePos x="0" y="0"/>
              <wp:positionH relativeFrom="column">
                <wp:align>center</wp:align>
              </wp:positionH>
              <wp:positionV relativeFrom="page">
                <wp:align>top</wp:align>
              </wp:positionV>
              <wp:extent cx="7700400" cy="399600"/>
              <wp:effectExtent l="0" t="0" r="0" b="6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40D533DE"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E076B20" id="_x0000_t202" coordsize="21600,21600" o:spt="202" path="m,l,21600r21600,l21600,xe">
              <v:stroke joinstyle="miter"/>
              <v:path gradientshapeok="t" o:connecttype="rect"/>
            </v:shapetype>
            <v:shape id="_x0000_s1055" type="#_x0000_t202" style="position:absolute;margin-left:0;margin-top:0;width:606.35pt;height:31.45pt;z-index:25166233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" fillcolor="#a5a5a5 [2092]" stroked="f">
              <v:textbox>
                <w:txbxContent>
                  <w:p w14:paraId="40D533DE"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180ABE">
      <w:rPr>
        <w:b/>
        <w:sz w:val="32"/>
        <w:szCs w:val="32"/>
      </w:rPr>
      <w:tab/>
    </w:r>
  </w:p>
  <w:p w14:paraId="25301B85" w14:textId="77777777" w:rsidR="00BA42DD" w:rsidRDefault="00BA42DD" w:rsidP="00180ABE">
    <w:pPr>
      <w:pStyle w:val="Header"/>
      <w:shd w:val="clear" w:color="auto" w:fill="FFFFFF" w:themeFill="background1"/>
      <w:tabs>
        <w:tab w:val="clear" w:pos="4513"/>
        <w:tab w:val="clear" w:pos="9026"/>
        <w:tab w:val="right" w:pos="10205"/>
      </w:tabs>
      <w:spacing w:after="240"/>
      <w:rPr>
        <w:b/>
        <w:sz w:val="32"/>
        <w:szCs w:val="32"/>
      </w:rPr>
    </w:pPr>
  </w:p>
  <w:p w14:paraId="419C7B5B" w14:textId="77777777" w:rsidR="00180ABE" w:rsidRPr="00180ABE" w:rsidRDefault="00B70B18" w:rsidP="00180ABE">
    <w:pPr>
      <w:pStyle w:val="Header"/>
      <w:pBdr>
        <w:top w:val="single" w:sz="4" w:space="9" w:color="9CB8C7"/>
        <w:left w:val="single" w:sz="4" w:space="6" w:color="9CB8C7"/>
        <w:bottom w:val="single" w:sz="4" w:space="9" w:color="9CB8C7"/>
        <w:right w:val="single" w:sz="4" w:space="6" w:color="9CB8C7"/>
      </w:pBdr>
      <w:shd w:val="clear" w:color="auto" w:fill="9CB8C7"/>
      <w:spacing w:after="240"/>
      <w:ind w:left="170" w:right="170"/>
      <w:rPr>
        <w:rFonts w:cstheme="minorHAnsi"/>
        <w:color w:val="FFFFFF" w:themeColor="background1"/>
        <w:sz w:val="32"/>
        <w:szCs w:val="32"/>
      </w:rPr>
    </w:pPr>
    <w:r>
      <w:rPr>
        <w:rFonts w:cstheme="minorHAnsi"/>
        <w:color w:val="FFFFFF" w:themeColor="background1"/>
        <w:sz w:val="32"/>
        <w:szCs w:val="32"/>
      </w:rPr>
      <w:t>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A02B7"/>
    <w:multiLevelType w:val="hybridMultilevel"/>
    <w:tmpl w:val="1A9AFC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F15A1D"/>
    <w:multiLevelType w:val="hybridMultilevel"/>
    <w:tmpl w:val="F1DE7148"/>
    <w:lvl w:ilvl="0" w:tplc="F350F36A">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F16241"/>
    <w:multiLevelType w:val="hybridMultilevel"/>
    <w:tmpl w:val="3F620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966B26"/>
    <w:multiLevelType w:val="multilevel"/>
    <w:tmpl w:val="69788B4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3BBA19DE"/>
    <w:multiLevelType w:val="hybridMultilevel"/>
    <w:tmpl w:val="29A8A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E4064A"/>
    <w:multiLevelType w:val="hybridMultilevel"/>
    <w:tmpl w:val="CFE8A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BCD4D4E"/>
    <w:multiLevelType w:val="hybridMultilevel"/>
    <w:tmpl w:val="C8C00290"/>
    <w:lvl w:ilvl="0" w:tplc="C40CAD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DD5E67"/>
    <w:multiLevelType w:val="hybridMultilevel"/>
    <w:tmpl w:val="918C1248"/>
    <w:lvl w:ilvl="0" w:tplc="F11A06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F05025"/>
    <w:multiLevelType w:val="multilevel"/>
    <w:tmpl w:val="5A3AFD76"/>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7A2E7F39"/>
    <w:multiLevelType w:val="hybridMultilevel"/>
    <w:tmpl w:val="14BA6562"/>
    <w:lvl w:ilvl="0" w:tplc="98B861D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4995875">
    <w:abstractNumId w:val="0"/>
  </w:num>
  <w:num w:numId="2" w16cid:durableId="2030256982">
    <w:abstractNumId w:val="7"/>
  </w:num>
  <w:num w:numId="3" w16cid:durableId="1972978534">
    <w:abstractNumId w:val="6"/>
  </w:num>
  <w:num w:numId="4" w16cid:durableId="462625418">
    <w:abstractNumId w:val="12"/>
  </w:num>
  <w:num w:numId="5" w16cid:durableId="597908150">
    <w:abstractNumId w:val="10"/>
  </w:num>
  <w:num w:numId="6" w16cid:durableId="653878996">
    <w:abstractNumId w:val="2"/>
  </w:num>
  <w:num w:numId="7" w16cid:durableId="2131850867">
    <w:abstractNumId w:val="8"/>
  </w:num>
  <w:num w:numId="8" w16cid:durableId="1734086306">
    <w:abstractNumId w:val="3"/>
  </w:num>
  <w:num w:numId="9" w16cid:durableId="1882593828">
    <w:abstractNumId w:val="1"/>
  </w:num>
  <w:num w:numId="10" w16cid:durableId="979304938">
    <w:abstractNumId w:val="5"/>
  </w:num>
  <w:num w:numId="11" w16cid:durableId="516306893">
    <w:abstractNumId w:val="9"/>
  </w:num>
  <w:num w:numId="12" w16cid:durableId="1471943722">
    <w:abstractNumId w:val="11"/>
  </w:num>
  <w:num w:numId="13" w16cid:durableId="10617521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A0"/>
    <w:rsid w:val="00004082"/>
    <w:rsid w:val="00005B8A"/>
    <w:rsid w:val="00022D8A"/>
    <w:rsid w:val="00027A18"/>
    <w:rsid w:val="00031554"/>
    <w:rsid w:val="00035CA1"/>
    <w:rsid w:val="0003744F"/>
    <w:rsid w:val="000622D1"/>
    <w:rsid w:val="00067128"/>
    <w:rsid w:val="00071E41"/>
    <w:rsid w:val="00073639"/>
    <w:rsid w:val="00075880"/>
    <w:rsid w:val="00094080"/>
    <w:rsid w:val="00095777"/>
    <w:rsid w:val="00097413"/>
    <w:rsid w:val="000A2670"/>
    <w:rsid w:val="000C0A9D"/>
    <w:rsid w:val="000D2FAC"/>
    <w:rsid w:val="000D41D5"/>
    <w:rsid w:val="000D5891"/>
    <w:rsid w:val="000D6963"/>
    <w:rsid w:val="000E7A32"/>
    <w:rsid w:val="000F0959"/>
    <w:rsid w:val="000F3A41"/>
    <w:rsid w:val="000F7ABF"/>
    <w:rsid w:val="00114C44"/>
    <w:rsid w:val="00117033"/>
    <w:rsid w:val="00120227"/>
    <w:rsid w:val="00126027"/>
    <w:rsid w:val="0013313E"/>
    <w:rsid w:val="00137E24"/>
    <w:rsid w:val="001508E9"/>
    <w:rsid w:val="001633D9"/>
    <w:rsid w:val="001668F1"/>
    <w:rsid w:val="00174523"/>
    <w:rsid w:val="00180645"/>
    <w:rsid w:val="00180ABE"/>
    <w:rsid w:val="0019003A"/>
    <w:rsid w:val="001923AB"/>
    <w:rsid w:val="001925B0"/>
    <w:rsid w:val="001A3D04"/>
    <w:rsid w:val="001C1EB8"/>
    <w:rsid w:val="001F266B"/>
    <w:rsid w:val="001F32FA"/>
    <w:rsid w:val="00206A82"/>
    <w:rsid w:val="00214BEC"/>
    <w:rsid w:val="00237C8A"/>
    <w:rsid w:val="0024022C"/>
    <w:rsid w:val="00240353"/>
    <w:rsid w:val="00241ACD"/>
    <w:rsid w:val="002517ED"/>
    <w:rsid w:val="00253551"/>
    <w:rsid w:val="002556B8"/>
    <w:rsid w:val="00270DD5"/>
    <w:rsid w:val="00271235"/>
    <w:rsid w:val="00271A81"/>
    <w:rsid w:val="00272D6F"/>
    <w:rsid w:val="002810FA"/>
    <w:rsid w:val="00296631"/>
    <w:rsid w:val="002A024F"/>
    <w:rsid w:val="002A5421"/>
    <w:rsid w:val="002B62B5"/>
    <w:rsid w:val="002C0803"/>
    <w:rsid w:val="002C251C"/>
    <w:rsid w:val="002C3D7C"/>
    <w:rsid w:val="002D06D8"/>
    <w:rsid w:val="002E5B1D"/>
    <w:rsid w:val="002F52C3"/>
    <w:rsid w:val="003030BE"/>
    <w:rsid w:val="00306A92"/>
    <w:rsid w:val="0030784C"/>
    <w:rsid w:val="00310A10"/>
    <w:rsid w:val="00324C68"/>
    <w:rsid w:val="0033531F"/>
    <w:rsid w:val="0034370D"/>
    <w:rsid w:val="00352029"/>
    <w:rsid w:val="00352AA4"/>
    <w:rsid w:val="00354579"/>
    <w:rsid w:val="00356F00"/>
    <w:rsid w:val="00374D42"/>
    <w:rsid w:val="00374ECE"/>
    <w:rsid w:val="00377481"/>
    <w:rsid w:val="00377E01"/>
    <w:rsid w:val="003813D1"/>
    <w:rsid w:val="00385965"/>
    <w:rsid w:val="003A2401"/>
    <w:rsid w:val="003A7E95"/>
    <w:rsid w:val="003B3616"/>
    <w:rsid w:val="003B739C"/>
    <w:rsid w:val="003C2BB6"/>
    <w:rsid w:val="003C6313"/>
    <w:rsid w:val="003D3B29"/>
    <w:rsid w:val="003D4ECA"/>
    <w:rsid w:val="003D6715"/>
    <w:rsid w:val="003E55B2"/>
    <w:rsid w:val="003F6E02"/>
    <w:rsid w:val="00426C8A"/>
    <w:rsid w:val="0043180D"/>
    <w:rsid w:val="004414A5"/>
    <w:rsid w:val="00442542"/>
    <w:rsid w:val="00442B26"/>
    <w:rsid w:val="0044700B"/>
    <w:rsid w:val="004653E4"/>
    <w:rsid w:val="00467171"/>
    <w:rsid w:val="00467C80"/>
    <w:rsid w:val="00474052"/>
    <w:rsid w:val="0047645B"/>
    <w:rsid w:val="00477F59"/>
    <w:rsid w:val="00480266"/>
    <w:rsid w:val="004877C8"/>
    <w:rsid w:val="004901D3"/>
    <w:rsid w:val="00497117"/>
    <w:rsid w:val="004B5EA4"/>
    <w:rsid w:val="004C531E"/>
    <w:rsid w:val="004C6C90"/>
    <w:rsid w:val="005037CD"/>
    <w:rsid w:val="00504795"/>
    <w:rsid w:val="00511E14"/>
    <w:rsid w:val="00514CBA"/>
    <w:rsid w:val="0052630A"/>
    <w:rsid w:val="0053177A"/>
    <w:rsid w:val="00533EA1"/>
    <w:rsid w:val="0053552D"/>
    <w:rsid w:val="00537C00"/>
    <w:rsid w:val="005425AB"/>
    <w:rsid w:val="005624F1"/>
    <w:rsid w:val="0056316A"/>
    <w:rsid w:val="005771C3"/>
    <w:rsid w:val="00577B54"/>
    <w:rsid w:val="00590F6D"/>
    <w:rsid w:val="005A5A6D"/>
    <w:rsid w:val="005A5ED7"/>
    <w:rsid w:val="005C1A41"/>
    <w:rsid w:val="005C4565"/>
    <w:rsid w:val="005D3F66"/>
    <w:rsid w:val="005E05CD"/>
    <w:rsid w:val="0060627E"/>
    <w:rsid w:val="006106C5"/>
    <w:rsid w:val="00613411"/>
    <w:rsid w:val="006134E7"/>
    <w:rsid w:val="0061572F"/>
    <w:rsid w:val="00616D34"/>
    <w:rsid w:val="006236D2"/>
    <w:rsid w:val="00630D29"/>
    <w:rsid w:val="00631441"/>
    <w:rsid w:val="00641030"/>
    <w:rsid w:val="00645D52"/>
    <w:rsid w:val="0065133B"/>
    <w:rsid w:val="006544D1"/>
    <w:rsid w:val="006556AC"/>
    <w:rsid w:val="006602F1"/>
    <w:rsid w:val="00670ED4"/>
    <w:rsid w:val="00672928"/>
    <w:rsid w:val="00674A86"/>
    <w:rsid w:val="006759F0"/>
    <w:rsid w:val="00681987"/>
    <w:rsid w:val="0068412A"/>
    <w:rsid w:val="00691E65"/>
    <w:rsid w:val="006A2588"/>
    <w:rsid w:val="006A3341"/>
    <w:rsid w:val="006A4530"/>
    <w:rsid w:val="006A5C16"/>
    <w:rsid w:val="006A69C8"/>
    <w:rsid w:val="006B218D"/>
    <w:rsid w:val="006D2B45"/>
    <w:rsid w:val="006D6163"/>
    <w:rsid w:val="006E58B1"/>
    <w:rsid w:val="006F01C4"/>
    <w:rsid w:val="006F487B"/>
    <w:rsid w:val="006F740B"/>
    <w:rsid w:val="0070581E"/>
    <w:rsid w:val="00705C74"/>
    <w:rsid w:val="00725FF1"/>
    <w:rsid w:val="00744A41"/>
    <w:rsid w:val="00780A41"/>
    <w:rsid w:val="00780D65"/>
    <w:rsid w:val="00794787"/>
    <w:rsid w:val="007A37D8"/>
    <w:rsid w:val="007C3D03"/>
    <w:rsid w:val="007D1EFA"/>
    <w:rsid w:val="007D403F"/>
    <w:rsid w:val="007D5FE4"/>
    <w:rsid w:val="007F0129"/>
    <w:rsid w:val="007F13AE"/>
    <w:rsid w:val="007F5B49"/>
    <w:rsid w:val="00803923"/>
    <w:rsid w:val="00810129"/>
    <w:rsid w:val="008125A0"/>
    <w:rsid w:val="00832766"/>
    <w:rsid w:val="00834267"/>
    <w:rsid w:val="00844961"/>
    <w:rsid w:val="0085453F"/>
    <w:rsid w:val="008560DE"/>
    <w:rsid w:val="00861E9B"/>
    <w:rsid w:val="0087364C"/>
    <w:rsid w:val="00882974"/>
    <w:rsid w:val="0088525A"/>
    <w:rsid w:val="008877D7"/>
    <w:rsid w:val="008A0D60"/>
    <w:rsid w:val="008A2EE5"/>
    <w:rsid w:val="008C1387"/>
    <w:rsid w:val="008C21F5"/>
    <w:rsid w:val="008C682F"/>
    <w:rsid w:val="008E38AF"/>
    <w:rsid w:val="008E509B"/>
    <w:rsid w:val="008F4811"/>
    <w:rsid w:val="008F525A"/>
    <w:rsid w:val="009026D4"/>
    <w:rsid w:val="00917482"/>
    <w:rsid w:val="009250AC"/>
    <w:rsid w:val="0092763E"/>
    <w:rsid w:val="009308C5"/>
    <w:rsid w:val="009316A6"/>
    <w:rsid w:val="00936114"/>
    <w:rsid w:val="009400E9"/>
    <w:rsid w:val="00946830"/>
    <w:rsid w:val="00962779"/>
    <w:rsid w:val="009654EC"/>
    <w:rsid w:val="009918D9"/>
    <w:rsid w:val="00991D47"/>
    <w:rsid w:val="00992A90"/>
    <w:rsid w:val="009A392D"/>
    <w:rsid w:val="009A429A"/>
    <w:rsid w:val="009A50F1"/>
    <w:rsid w:val="009B599F"/>
    <w:rsid w:val="009C378A"/>
    <w:rsid w:val="009D17C3"/>
    <w:rsid w:val="009D47C2"/>
    <w:rsid w:val="009E2096"/>
    <w:rsid w:val="009E51F8"/>
    <w:rsid w:val="009E586D"/>
    <w:rsid w:val="009F2649"/>
    <w:rsid w:val="009F5694"/>
    <w:rsid w:val="00A05364"/>
    <w:rsid w:val="00A05992"/>
    <w:rsid w:val="00A074D7"/>
    <w:rsid w:val="00A10138"/>
    <w:rsid w:val="00A145C8"/>
    <w:rsid w:val="00A17D23"/>
    <w:rsid w:val="00A2045E"/>
    <w:rsid w:val="00A208E1"/>
    <w:rsid w:val="00A445BB"/>
    <w:rsid w:val="00A47CB4"/>
    <w:rsid w:val="00A521AB"/>
    <w:rsid w:val="00A544F0"/>
    <w:rsid w:val="00A56CD0"/>
    <w:rsid w:val="00A61D3E"/>
    <w:rsid w:val="00A6213B"/>
    <w:rsid w:val="00A6721F"/>
    <w:rsid w:val="00A73E54"/>
    <w:rsid w:val="00A7643E"/>
    <w:rsid w:val="00A9649E"/>
    <w:rsid w:val="00AA1341"/>
    <w:rsid w:val="00AA1369"/>
    <w:rsid w:val="00AA22FD"/>
    <w:rsid w:val="00AB16D0"/>
    <w:rsid w:val="00AB2C1B"/>
    <w:rsid w:val="00AC3BF2"/>
    <w:rsid w:val="00AD1663"/>
    <w:rsid w:val="00AD5483"/>
    <w:rsid w:val="00AE3FC4"/>
    <w:rsid w:val="00AF0249"/>
    <w:rsid w:val="00AF150F"/>
    <w:rsid w:val="00AF3250"/>
    <w:rsid w:val="00AF358C"/>
    <w:rsid w:val="00AF4737"/>
    <w:rsid w:val="00AF4C53"/>
    <w:rsid w:val="00B0470A"/>
    <w:rsid w:val="00B13238"/>
    <w:rsid w:val="00B2364D"/>
    <w:rsid w:val="00B37458"/>
    <w:rsid w:val="00B45055"/>
    <w:rsid w:val="00B50DA2"/>
    <w:rsid w:val="00B513BA"/>
    <w:rsid w:val="00B53582"/>
    <w:rsid w:val="00B6239D"/>
    <w:rsid w:val="00B67630"/>
    <w:rsid w:val="00B70B18"/>
    <w:rsid w:val="00B7198D"/>
    <w:rsid w:val="00B722DE"/>
    <w:rsid w:val="00B757B8"/>
    <w:rsid w:val="00B80B3B"/>
    <w:rsid w:val="00B80DDB"/>
    <w:rsid w:val="00B81EE1"/>
    <w:rsid w:val="00B91608"/>
    <w:rsid w:val="00B9392D"/>
    <w:rsid w:val="00B960FE"/>
    <w:rsid w:val="00BA42DD"/>
    <w:rsid w:val="00BA7300"/>
    <w:rsid w:val="00BA761E"/>
    <w:rsid w:val="00BB0A99"/>
    <w:rsid w:val="00BB3FBE"/>
    <w:rsid w:val="00BB5597"/>
    <w:rsid w:val="00BC2B1C"/>
    <w:rsid w:val="00BC603D"/>
    <w:rsid w:val="00C03CE1"/>
    <w:rsid w:val="00C046E0"/>
    <w:rsid w:val="00C07F2A"/>
    <w:rsid w:val="00C3016F"/>
    <w:rsid w:val="00C31922"/>
    <w:rsid w:val="00C32EDF"/>
    <w:rsid w:val="00C405FD"/>
    <w:rsid w:val="00C42573"/>
    <w:rsid w:val="00C476DF"/>
    <w:rsid w:val="00C5024A"/>
    <w:rsid w:val="00C57107"/>
    <w:rsid w:val="00C60E21"/>
    <w:rsid w:val="00C62C2D"/>
    <w:rsid w:val="00C668F1"/>
    <w:rsid w:val="00C85FEC"/>
    <w:rsid w:val="00C90D22"/>
    <w:rsid w:val="00C9227C"/>
    <w:rsid w:val="00C9557D"/>
    <w:rsid w:val="00CA2740"/>
    <w:rsid w:val="00CC12E6"/>
    <w:rsid w:val="00CC2E25"/>
    <w:rsid w:val="00CC7C64"/>
    <w:rsid w:val="00CD0B47"/>
    <w:rsid w:val="00CD243D"/>
    <w:rsid w:val="00CE3932"/>
    <w:rsid w:val="00CF5615"/>
    <w:rsid w:val="00CF5F1A"/>
    <w:rsid w:val="00D010E8"/>
    <w:rsid w:val="00D02C04"/>
    <w:rsid w:val="00D138E8"/>
    <w:rsid w:val="00D167E4"/>
    <w:rsid w:val="00D20259"/>
    <w:rsid w:val="00D208BA"/>
    <w:rsid w:val="00D21668"/>
    <w:rsid w:val="00D216BC"/>
    <w:rsid w:val="00D31F5F"/>
    <w:rsid w:val="00D332EF"/>
    <w:rsid w:val="00D357AA"/>
    <w:rsid w:val="00D42F8F"/>
    <w:rsid w:val="00D45ADF"/>
    <w:rsid w:val="00D66DF5"/>
    <w:rsid w:val="00D81295"/>
    <w:rsid w:val="00D8139C"/>
    <w:rsid w:val="00D84808"/>
    <w:rsid w:val="00D97BD4"/>
    <w:rsid w:val="00DA07F1"/>
    <w:rsid w:val="00DD06F4"/>
    <w:rsid w:val="00DD500F"/>
    <w:rsid w:val="00DF2D2C"/>
    <w:rsid w:val="00DF3F80"/>
    <w:rsid w:val="00DF53E4"/>
    <w:rsid w:val="00E2136E"/>
    <w:rsid w:val="00E213CC"/>
    <w:rsid w:val="00E25AF8"/>
    <w:rsid w:val="00E31A6A"/>
    <w:rsid w:val="00E37FE2"/>
    <w:rsid w:val="00E46BDF"/>
    <w:rsid w:val="00E547DB"/>
    <w:rsid w:val="00E555BF"/>
    <w:rsid w:val="00E577B8"/>
    <w:rsid w:val="00E61949"/>
    <w:rsid w:val="00E70DCE"/>
    <w:rsid w:val="00E82F16"/>
    <w:rsid w:val="00E87276"/>
    <w:rsid w:val="00EA446A"/>
    <w:rsid w:val="00EA7DC1"/>
    <w:rsid w:val="00EB5BA2"/>
    <w:rsid w:val="00EB5C28"/>
    <w:rsid w:val="00EC6884"/>
    <w:rsid w:val="00EE3AFB"/>
    <w:rsid w:val="00EF0D19"/>
    <w:rsid w:val="00EF1577"/>
    <w:rsid w:val="00EF5132"/>
    <w:rsid w:val="00EF6BD4"/>
    <w:rsid w:val="00EF77BB"/>
    <w:rsid w:val="00F02A47"/>
    <w:rsid w:val="00F042F6"/>
    <w:rsid w:val="00F05C18"/>
    <w:rsid w:val="00F075AE"/>
    <w:rsid w:val="00F157DD"/>
    <w:rsid w:val="00F15F90"/>
    <w:rsid w:val="00F21465"/>
    <w:rsid w:val="00F31C24"/>
    <w:rsid w:val="00F4434C"/>
    <w:rsid w:val="00F45D93"/>
    <w:rsid w:val="00F6065C"/>
    <w:rsid w:val="00F61EB1"/>
    <w:rsid w:val="00F62C8B"/>
    <w:rsid w:val="00F802D4"/>
    <w:rsid w:val="00F86269"/>
    <w:rsid w:val="00F91982"/>
    <w:rsid w:val="00FA2A89"/>
    <w:rsid w:val="00FA2DA2"/>
    <w:rsid w:val="00FA311A"/>
    <w:rsid w:val="00FB16A8"/>
    <w:rsid w:val="00FC1AAD"/>
    <w:rsid w:val="00FE0FE8"/>
    <w:rsid w:val="00FE6847"/>
    <w:rsid w:val="00FF443B"/>
    <w:rsid w:val="00FF56A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F81D6"/>
  <w15:docId w15:val="{832BB04B-C88E-45BB-9BE4-22D412A4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F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47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7DB"/>
  </w:style>
  <w:style w:type="paragraph" w:styleId="Footer">
    <w:name w:val="footer"/>
    <w:basedOn w:val="Normal"/>
    <w:link w:val="FooterChar"/>
    <w:uiPriority w:val="99"/>
    <w:unhideWhenUsed/>
    <w:rsid w:val="00E547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7DB"/>
  </w:style>
  <w:style w:type="paragraph" w:styleId="BalloonText">
    <w:name w:val="Balloon Text"/>
    <w:basedOn w:val="Normal"/>
    <w:link w:val="BalloonTextChar"/>
    <w:uiPriority w:val="99"/>
    <w:semiHidden/>
    <w:unhideWhenUsed/>
    <w:rsid w:val="00E54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7DB"/>
    <w:rPr>
      <w:rFonts w:ascii="Tahoma" w:hAnsi="Tahoma" w:cs="Tahoma"/>
      <w:sz w:val="16"/>
      <w:szCs w:val="16"/>
    </w:rPr>
  </w:style>
  <w:style w:type="paragraph" w:customStyle="1" w:styleId="RSCH01PaperTitle">
    <w:name w:val="RSC H01 Paper Title"/>
    <w:basedOn w:val="Normal"/>
    <w:next w:val="Normal"/>
    <w:link w:val="RSCH01PaperTitleChar"/>
    <w:qFormat/>
    <w:rsid w:val="00C32EDF"/>
    <w:pPr>
      <w:tabs>
        <w:tab w:val="left" w:pos="284"/>
      </w:tabs>
      <w:spacing w:before="400" w:after="160" w:line="240" w:lineRule="auto"/>
    </w:pPr>
    <w:rPr>
      <w:rFonts w:cs="Times New Roman"/>
      <w:b/>
      <w:sz w:val="29"/>
      <w:szCs w:val="32"/>
    </w:rPr>
  </w:style>
  <w:style w:type="paragraph" w:customStyle="1" w:styleId="RSCH02PaperAuthorsandByline">
    <w:name w:val="RSC H02 Paper Authors and Byline"/>
    <w:basedOn w:val="Normal"/>
    <w:link w:val="RSCH02PaperAuthorsandBylineChar"/>
    <w:qFormat/>
    <w:rsid w:val="001633D9"/>
    <w:pPr>
      <w:spacing w:after="120" w:line="240" w:lineRule="exact"/>
    </w:pPr>
    <w:rPr>
      <w:rFonts w:cs="Times New Roman"/>
      <w:sz w:val="20"/>
    </w:rPr>
  </w:style>
  <w:style w:type="paragraph" w:customStyle="1" w:styleId="RSCB01ARTAbstract">
    <w:name w:val="RSC B01 ART Abstract"/>
    <w:basedOn w:val="Normal"/>
    <w:link w:val="RSCB01ARTAbstractChar"/>
    <w:qFormat/>
    <w:rsid w:val="00FA2DA2"/>
    <w:pPr>
      <w:spacing w:line="240" w:lineRule="exact"/>
      <w:jc w:val="both"/>
    </w:pPr>
    <w:rPr>
      <w:noProof/>
      <w:sz w:val="16"/>
      <w:lang w:eastAsia="en-GB"/>
    </w:rPr>
  </w:style>
  <w:style w:type="table" w:styleId="TableGrid">
    <w:name w:val="Table Grid"/>
    <w:basedOn w:val="TableNormal"/>
    <w:uiPriority w:val="59"/>
    <w:rsid w:val="0057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BHeading">
    <w:name w:val="05 B Heading"/>
    <w:basedOn w:val="RSCB04AHeadingSection"/>
    <w:link w:val="05BHeadingChar"/>
    <w:rsid w:val="00AB16D0"/>
    <w:pPr>
      <w:spacing w:before="160" w:line="240" w:lineRule="exact"/>
    </w:pPr>
    <w:rPr>
      <w:rFonts w:ascii="Times New Roman" w:hAnsi="Times New Roman" w:cs="Times New Roman"/>
      <w:sz w:val="18"/>
      <w:szCs w:val="18"/>
    </w:rPr>
  </w:style>
  <w:style w:type="paragraph" w:customStyle="1" w:styleId="RSCB02ArticleText">
    <w:name w:val="RSC B02 Article Text"/>
    <w:basedOn w:val="Normal"/>
    <w:link w:val="RSCB02ArticleTextChar"/>
    <w:qFormat/>
    <w:rsid w:val="00EE3AFB"/>
    <w:pPr>
      <w:spacing w:after="0" w:line="240" w:lineRule="exact"/>
      <w:jc w:val="both"/>
    </w:pPr>
    <w:rPr>
      <w:rFonts w:cs="Times New Roman"/>
      <w:w w:val="108"/>
      <w:sz w:val="18"/>
      <w:szCs w:val="18"/>
    </w:rPr>
  </w:style>
  <w:style w:type="character" w:customStyle="1" w:styleId="06CHeading">
    <w:name w:val="06 C Heading"/>
    <w:basedOn w:val="RSCB02ArticleTextChar"/>
    <w:uiPriority w:val="1"/>
    <w:rsid w:val="00EF1577"/>
    <w:rPr>
      <w:rFonts w:ascii="Times New Roman" w:hAnsi="Times New Roman" w:cs="Times New Roman"/>
      <w:b/>
      <w:smallCaps/>
      <w:w w:val="108"/>
      <w:sz w:val="18"/>
      <w:szCs w:val="18"/>
    </w:rPr>
  </w:style>
  <w:style w:type="character" w:customStyle="1" w:styleId="RSCB02ArticleTextChar">
    <w:name w:val="RSC B02 Article Text Char"/>
    <w:basedOn w:val="DefaultParagraphFont"/>
    <w:link w:val="RSCB02ArticleText"/>
    <w:rsid w:val="00EE3AFB"/>
    <w:rPr>
      <w:rFonts w:cs="Times New Roman"/>
      <w:w w:val="108"/>
      <w:sz w:val="18"/>
      <w:szCs w:val="18"/>
    </w:rPr>
  </w:style>
  <w:style w:type="paragraph" w:customStyle="1" w:styleId="09ListText">
    <w:name w:val="09 List Text"/>
    <w:basedOn w:val="RSCB02ArticleText"/>
    <w:link w:val="09ListTextChar"/>
    <w:rsid w:val="00EF1577"/>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6556AC"/>
    <w:pPr>
      <w:numPr>
        <w:numId w:val="3"/>
      </w:numPr>
      <w:pBdr>
        <w:top w:val="single" w:sz="12" w:space="1" w:color="A6A6A6" w:themeColor="background1" w:themeShade="A6"/>
      </w:pBdr>
      <w:spacing w:after="0" w:line="240" w:lineRule="auto"/>
      <w:ind w:left="85" w:hanging="85"/>
      <w:suppressOverlap/>
    </w:pPr>
    <w:rPr>
      <w:rFonts w:cs="Times New Roman"/>
      <w:i/>
      <w:w w:val="105"/>
      <w:sz w:val="14"/>
      <w:szCs w:val="14"/>
    </w:rPr>
  </w:style>
  <w:style w:type="paragraph" w:customStyle="1" w:styleId="RSCI02FigureSchemeChartwithtopbar">
    <w:name w:val="RSC I02 Figure/Scheme/Chart with top bar"/>
    <w:basedOn w:val="Normal"/>
    <w:link w:val="RSCI02FigureSchemeChartwithtopbarChar"/>
    <w:qFormat/>
    <w:rsid w:val="006556AC"/>
    <w:pPr>
      <w:pBdr>
        <w:top w:val="single" w:sz="12" w:space="5" w:color="999999"/>
      </w:pBdr>
      <w:spacing w:before="120" w:after="40" w:line="240" w:lineRule="auto"/>
      <w:jc w:val="both"/>
    </w:pPr>
    <w:rPr>
      <w:rFonts w:cs="Times New Roman"/>
      <w:w w:val="108"/>
      <w:sz w:val="14"/>
      <w:szCs w:val="18"/>
    </w:rPr>
  </w:style>
  <w:style w:type="paragraph" w:customStyle="1" w:styleId="RSCI01FigureSchemeChartwithbottombar">
    <w:name w:val="RSC I01 Figure/Scheme/Chart with bottom bar"/>
    <w:basedOn w:val="Normal"/>
    <w:link w:val="RSCI01FigureSchemeChartwithbottombarChar"/>
    <w:qFormat/>
    <w:rsid w:val="006556AC"/>
    <w:pPr>
      <w:pBdr>
        <w:bottom w:val="single" w:sz="12" w:space="5" w:color="999999"/>
      </w:pBdr>
      <w:spacing w:before="40" w:after="120" w:line="120" w:lineRule="exact"/>
      <w:jc w:val="both"/>
    </w:pPr>
    <w:rPr>
      <w:rFonts w:cstheme="minorHAnsi"/>
      <w:w w:val="108"/>
      <w:sz w:val="14"/>
      <w:szCs w:val="14"/>
    </w:rPr>
  </w:style>
  <w:style w:type="paragraph" w:customStyle="1" w:styleId="RSCI03FigureSchemeChartUncaptioned">
    <w:name w:val="RSC I03 Figure/Scheme/Chart Uncaptioned"/>
    <w:basedOn w:val="Normal"/>
    <w:link w:val="RSCI03FigureSchemeChartUncaptionedChar"/>
    <w:qFormat/>
    <w:rsid w:val="006556AC"/>
    <w:pPr>
      <w:spacing w:before="160" w:after="160" w:line="240" w:lineRule="auto"/>
      <w:jc w:val="center"/>
    </w:pPr>
    <w:rPr>
      <w:rFonts w:cs="Times New Roman"/>
      <w:sz w:val="16"/>
      <w:szCs w:val="16"/>
    </w:rPr>
  </w:style>
  <w:style w:type="paragraph" w:customStyle="1" w:styleId="RSCB03MathematicsGreeketc">
    <w:name w:val="RSC B03 Mathematics/Greek etc"/>
    <w:basedOn w:val="Normal"/>
    <w:link w:val="RSCB03MathematicsGreeketcChar"/>
    <w:qFormat/>
    <w:rsid w:val="007A37D8"/>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rsid w:val="002E5B1D"/>
    <w:pPr>
      <w:pBdr>
        <w:top w:val="single" w:sz="6" w:space="1" w:color="auto"/>
      </w:pBdr>
    </w:pPr>
    <w:rPr>
      <w:i/>
    </w:rPr>
  </w:style>
  <w:style w:type="character" w:customStyle="1" w:styleId="RSCB09BiographyChar">
    <w:name w:val="RSC B09 Biography Char"/>
    <w:basedOn w:val="RSCB02ArticleTextChar"/>
    <w:link w:val="RSCB09Biography"/>
    <w:rsid w:val="002E5B1D"/>
    <w:rPr>
      <w:rFonts w:cs="Times New Roman"/>
      <w:i/>
      <w:w w:val="108"/>
      <w:sz w:val="18"/>
      <w:szCs w:val="18"/>
    </w:rPr>
  </w:style>
  <w:style w:type="paragraph" w:customStyle="1" w:styleId="RSCF02FootnotestoTitleAuthors">
    <w:name w:val="RSC F02 Footnotes to Title/Authors"/>
    <w:basedOn w:val="Normal"/>
    <w:link w:val="RSCF02FootnotestoTitleAuthorsChar"/>
    <w:qFormat/>
    <w:rsid w:val="006556AC"/>
    <w:pPr>
      <w:tabs>
        <w:tab w:val="left" w:pos="284"/>
      </w:tabs>
      <w:spacing w:after="0" w:line="240" w:lineRule="auto"/>
      <w:suppressOverlap/>
      <w:jc w:val="both"/>
    </w:pPr>
    <w:rPr>
      <w:rFonts w:cs="Times New Roman"/>
      <w:w w:val="105"/>
      <w:sz w:val="14"/>
      <w:szCs w:val="14"/>
    </w:rPr>
  </w:style>
  <w:style w:type="character" w:customStyle="1" w:styleId="RSCF01FootnoteAuthorAddressChar">
    <w:name w:val="RSC F01 Footnote Author Address Char"/>
    <w:basedOn w:val="DefaultParagraphFont"/>
    <w:link w:val="RSCF01FootnoteAuthorAddress"/>
    <w:rsid w:val="006556AC"/>
    <w:rPr>
      <w:rFonts w:cs="Times New Roman"/>
      <w:i/>
      <w:w w:val="105"/>
      <w:sz w:val="14"/>
      <w:szCs w:val="14"/>
    </w:rPr>
  </w:style>
  <w:style w:type="paragraph" w:customStyle="1" w:styleId="RSCR02References">
    <w:name w:val="RSC R02 References"/>
    <w:basedOn w:val="RSCB02ArticleText"/>
    <w:link w:val="RSCR02ReferencesChar"/>
    <w:qFormat/>
    <w:rsid w:val="00CF5F1A"/>
    <w:pPr>
      <w:numPr>
        <w:numId w:val="2"/>
      </w:numPr>
      <w:spacing w:line="200" w:lineRule="exact"/>
      <w:ind w:left="284" w:hanging="284"/>
    </w:pPr>
    <w:rPr>
      <w:w w:val="105"/>
    </w:rPr>
  </w:style>
  <w:style w:type="character" w:customStyle="1" w:styleId="RSCF02FootnotestoTitleAuthorsChar">
    <w:name w:val="RSC F02 Footnotes to Title/Authors Char"/>
    <w:basedOn w:val="DefaultParagraphFont"/>
    <w:link w:val="RSCF02FootnotestoTitleAuthors"/>
    <w:rsid w:val="006556AC"/>
    <w:rPr>
      <w:rFonts w:cs="Times New Roman"/>
      <w:w w:val="105"/>
      <w:sz w:val="14"/>
      <w:szCs w:val="14"/>
    </w:rPr>
  </w:style>
  <w:style w:type="paragraph" w:styleId="NoSpacing">
    <w:name w:val="No Spacing"/>
    <w:uiPriority w:val="1"/>
    <w:rsid w:val="00272D6F"/>
    <w:pPr>
      <w:spacing w:after="0" w:line="240" w:lineRule="auto"/>
    </w:pPr>
  </w:style>
  <w:style w:type="character" w:customStyle="1" w:styleId="RSCR02ReferencesChar">
    <w:name w:val="RSC R02 References Char"/>
    <w:basedOn w:val="DefaultParagraphFont"/>
    <w:link w:val="RSCR02References"/>
    <w:rsid w:val="00CF5F1A"/>
    <w:rPr>
      <w:rFonts w:cs="Times New Roman"/>
      <w:w w:val="105"/>
      <w:sz w:val="18"/>
      <w:szCs w:val="18"/>
    </w:rPr>
  </w:style>
  <w:style w:type="paragraph" w:customStyle="1" w:styleId="RSCB04AHeadingSection">
    <w:name w:val="RSC B04 A Heading (Section)"/>
    <w:basedOn w:val="Normal"/>
    <w:link w:val="RSCB04AHeadingSectionChar"/>
    <w:qFormat/>
    <w:rsid w:val="00EF6BD4"/>
    <w:pPr>
      <w:spacing w:before="400" w:after="80" w:line="240" w:lineRule="auto"/>
    </w:pPr>
    <w:rPr>
      <w:b/>
      <w:sz w:val="24"/>
    </w:rPr>
  </w:style>
  <w:style w:type="character" w:customStyle="1" w:styleId="RSCH01PaperTitleChar">
    <w:name w:val="RSC H01 Paper Title Char"/>
    <w:basedOn w:val="DefaultParagraphFont"/>
    <w:link w:val="RSCH01PaperTitle"/>
    <w:rsid w:val="00C32EDF"/>
    <w:rPr>
      <w:rFonts w:cs="Times New Roman"/>
      <w:b/>
      <w:sz w:val="29"/>
      <w:szCs w:val="32"/>
    </w:rPr>
  </w:style>
  <w:style w:type="character" w:customStyle="1" w:styleId="RSCH02PaperAuthorsandBylineChar">
    <w:name w:val="RSC H02 Paper Authors and Byline Char"/>
    <w:basedOn w:val="DefaultParagraphFont"/>
    <w:link w:val="RSCH02PaperAuthorsandByline"/>
    <w:rsid w:val="001633D9"/>
    <w:rPr>
      <w:rFonts w:cs="Times New Roman"/>
      <w:sz w:val="20"/>
    </w:rPr>
  </w:style>
  <w:style w:type="character" w:customStyle="1" w:styleId="RSCB01ARTAbstractChar">
    <w:name w:val="RSC B01 ART Abstract Char"/>
    <w:basedOn w:val="DefaultParagraphFont"/>
    <w:link w:val="RSCB01ARTAbstract"/>
    <w:rsid w:val="00FA2DA2"/>
    <w:rPr>
      <w:noProof/>
      <w:sz w:val="16"/>
      <w:lang w:eastAsia="en-GB"/>
    </w:rPr>
  </w:style>
  <w:style w:type="character" w:customStyle="1" w:styleId="09ListTextChar">
    <w:name w:val="09 List Text Char"/>
    <w:basedOn w:val="RSCB02ArticleTextChar"/>
    <w:link w:val="09ListText"/>
    <w:rsid w:val="00EF1577"/>
    <w:rPr>
      <w:rFonts w:ascii="Times New Roman" w:eastAsia="Times New Roman" w:hAnsi="Times New Roman" w:cs="Times New Roman"/>
      <w:w w:val="108"/>
      <w:sz w:val="18"/>
      <w:szCs w:val="18"/>
      <w:lang w:eastAsia="en-GB"/>
    </w:rPr>
  </w:style>
  <w:style w:type="character" w:customStyle="1" w:styleId="RSCB04AHeadingSectionChar">
    <w:name w:val="RSC B04 A Heading (Section) Char"/>
    <w:basedOn w:val="DefaultParagraphFont"/>
    <w:link w:val="RSCB04AHeadingSection"/>
    <w:rsid w:val="00EF6BD4"/>
    <w:rPr>
      <w:b/>
      <w:sz w:val="24"/>
    </w:rPr>
  </w:style>
  <w:style w:type="character" w:customStyle="1" w:styleId="05BHeadingChar">
    <w:name w:val="05 B Heading Char"/>
    <w:basedOn w:val="RSCB04AHeadingSectionChar"/>
    <w:link w:val="05BHeading"/>
    <w:rsid w:val="00AB16D0"/>
    <w:rPr>
      <w:rFonts w:ascii="Times New Roman" w:hAnsi="Times New Roman" w:cs="Times New Roman"/>
      <w:b/>
      <w:sz w:val="18"/>
      <w:szCs w:val="18"/>
    </w:rPr>
  </w:style>
  <w:style w:type="paragraph" w:customStyle="1" w:styleId="RSCT01TableTitlewithtopbar">
    <w:name w:val="RSC T01 Table Title with top bar"/>
    <w:basedOn w:val="Normal"/>
    <w:link w:val="RSCT01TableTitlewithtopbarChar"/>
    <w:qFormat/>
    <w:rsid w:val="006556AC"/>
    <w:pPr>
      <w:keepNext/>
      <w:keepLines/>
      <w:pBdr>
        <w:top w:val="single" w:sz="12" w:space="1" w:color="999999"/>
        <w:bottom w:val="single" w:sz="6" w:space="1" w:color="auto"/>
      </w:pBdr>
      <w:spacing w:before="120" w:after="120" w:line="200" w:lineRule="exact"/>
      <w:jc w:val="both"/>
    </w:pPr>
    <w:rPr>
      <w:rFonts w:eastAsia="Times New Roman" w:cs="Times New Roman"/>
      <w:sz w:val="14"/>
      <w:szCs w:val="20"/>
      <w:lang w:eastAsia="en-GB"/>
    </w:rPr>
  </w:style>
  <w:style w:type="character" w:customStyle="1" w:styleId="RSCI02FigureSchemeChartwithtopbarChar">
    <w:name w:val="RSC I02 Figure/Scheme/Chart with top bar Char"/>
    <w:basedOn w:val="DefaultParagraphFont"/>
    <w:link w:val="RSCI02FigureSchemeChartwithtopbar"/>
    <w:rsid w:val="006556AC"/>
    <w:rPr>
      <w:rFonts w:cs="Times New Roman"/>
      <w:w w:val="108"/>
      <w:sz w:val="14"/>
      <w:szCs w:val="18"/>
    </w:rPr>
  </w:style>
  <w:style w:type="character" w:customStyle="1" w:styleId="RSCI01FigureSchemeChartwithbottombarChar">
    <w:name w:val="RSC I01 Figure/Scheme/Chart with bottom bar Char"/>
    <w:basedOn w:val="DefaultParagraphFont"/>
    <w:link w:val="RSCI01FigureSchemeChartwithbottombar"/>
    <w:rsid w:val="006556AC"/>
    <w:rPr>
      <w:rFonts w:cstheme="minorHAnsi"/>
      <w:w w:val="108"/>
      <w:sz w:val="14"/>
      <w:szCs w:val="14"/>
    </w:rPr>
  </w:style>
  <w:style w:type="character" w:customStyle="1" w:styleId="RSCI03FigureSchemeChartUncaptionedChar">
    <w:name w:val="RSC I03 Figure/Scheme/Chart Uncaptioned Char"/>
    <w:basedOn w:val="DefaultParagraphFont"/>
    <w:link w:val="RSCI03FigureSchemeChartUncaptioned"/>
    <w:rsid w:val="006556AC"/>
    <w:rPr>
      <w:rFonts w:cs="Times New Roman"/>
      <w:sz w:val="16"/>
      <w:szCs w:val="16"/>
    </w:rPr>
  </w:style>
  <w:style w:type="character" w:customStyle="1" w:styleId="RSCB03MathematicsGreeketcChar">
    <w:name w:val="RSC B03 Mathematics/Greek etc Char"/>
    <w:basedOn w:val="DefaultParagraphFont"/>
    <w:link w:val="RSCB03MathematicsGreeketc"/>
    <w:rsid w:val="007A37D8"/>
    <w:rPr>
      <w:rFonts w:ascii="Times New Roman" w:hAnsi="Times New Roman"/>
      <w:sz w:val="18"/>
    </w:rPr>
  </w:style>
  <w:style w:type="paragraph" w:customStyle="1" w:styleId="RSCT03TableBody">
    <w:name w:val="RSC T03 Table Body"/>
    <w:basedOn w:val="Normal"/>
    <w:link w:val="RSCT03TableBodyChar"/>
    <w:qFormat/>
    <w:rsid w:val="00B0470A"/>
    <w:pPr>
      <w:keepNext/>
      <w:keepLines/>
      <w:spacing w:after="0" w:line="220" w:lineRule="exact"/>
      <w:jc w:val="center"/>
    </w:pPr>
    <w:rPr>
      <w:rFonts w:eastAsia="Times New Roman" w:cs="Times New Roman"/>
      <w:sz w:val="16"/>
      <w:szCs w:val="16"/>
      <w:lang w:eastAsia="en-GB"/>
    </w:rPr>
  </w:style>
  <w:style w:type="character" w:customStyle="1" w:styleId="RSCT01TableTitlewithtopbarChar">
    <w:name w:val="RSC T01 Table Title with top bar Char"/>
    <w:basedOn w:val="DefaultParagraphFont"/>
    <w:link w:val="RSCT01TableTitlewithtopbar"/>
    <w:rsid w:val="006556AC"/>
    <w:rPr>
      <w:rFonts w:eastAsia="Times New Roman" w:cs="Times New Roman"/>
      <w:sz w:val="14"/>
      <w:szCs w:val="20"/>
      <w:lang w:eastAsia="en-GB"/>
    </w:rPr>
  </w:style>
  <w:style w:type="paragraph" w:customStyle="1" w:styleId="RSCT04TableFootnotewithbottombar">
    <w:name w:val="RSC T04 Table Footnote with bottom bar"/>
    <w:basedOn w:val="Normal"/>
    <w:link w:val="RSCT04TableFootnotewithbottombarChar"/>
    <w:qFormat/>
    <w:rsid w:val="006556AC"/>
    <w:pPr>
      <w:keepLines/>
      <w:pBdr>
        <w:bottom w:val="single" w:sz="12" w:space="1" w:color="999999"/>
      </w:pBdr>
      <w:spacing w:before="120" w:after="160" w:line="200" w:lineRule="exact"/>
      <w:jc w:val="both"/>
    </w:pPr>
    <w:rPr>
      <w:rFonts w:eastAsia="Times New Roman" w:cs="Times New Roman"/>
      <w:sz w:val="15"/>
      <w:szCs w:val="20"/>
      <w:lang w:eastAsia="en-GB"/>
    </w:rPr>
  </w:style>
  <w:style w:type="character" w:customStyle="1" w:styleId="RSCT03TableBodyChar">
    <w:name w:val="RSC T03 Table Body Char"/>
    <w:basedOn w:val="DefaultParagraphFont"/>
    <w:link w:val="RSCT03TableBody"/>
    <w:rsid w:val="00B0470A"/>
    <w:rPr>
      <w:rFonts w:eastAsia="Times New Roman" w:cs="Times New Roman"/>
      <w:sz w:val="16"/>
      <w:szCs w:val="16"/>
      <w:lang w:eastAsia="en-GB"/>
    </w:rPr>
  </w:style>
  <w:style w:type="character" w:customStyle="1" w:styleId="RSCT04TableFootnotewithbottombarChar">
    <w:name w:val="RSC T04 Table Footnote with bottom bar Char"/>
    <w:basedOn w:val="DefaultParagraphFont"/>
    <w:link w:val="RSCT04TableFootnotewithbottombar"/>
    <w:rsid w:val="006556AC"/>
    <w:rPr>
      <w:rFonts w:eastAsia="Times New Roman" w:cs="Times New Roman"/>
      <w:sz w:val="15"/>
      <w:szCs w:val="20"/>
      <w:lang w:eastAsia="en-GB"/>
    </w:rPr>
  </w:style>
  <w:style w:type="character" w:styleId="Hyperlink">
    <w:name w:val="Hyperlink"/>
    <w:basedOn w:val="DefaultParagraphFont"/>
    <w:uiPriority w:val="99"/>
    <w:unhideWhenUsed/>
    <w:rsid w:val="005037CD"/>
    <w:rPr>
      <w:color w:val="0000FF" w:themeColor="hyperlink"/>
      <w:u w:val="single"/>
    </w:rPr>
  </w:style>
  <w:style w:type="paragraph" w:styleId="ListParagraph">
    <w:name w:val="List Paragraph"/>
    <w:basedOn w:val="Normal"/>
    <w:uiPriority w:val="34"/>
    <w:qFormat/>
    <w:rsid w:val="00F15F90"/>
    <w:pPr>
      <w:ind w:left="720"/>
      <w:contextualSpacing/>
    </w:pPr>
  </w:style>
  <w:style w:type="paragraph" w:styleId="Revision">
    <w:name w:val="Revision"/>
    <w:hidden/>
    <w:uiPriority w:val="99"/>
    <w:semiHidden/>
    <w:rsid w:val="000D5891"/>
    <w:pPr>
      <w:spacing w:after="0" w:line="240" w:lineRule="auto"/>
    </w:pPr>
  </w:style>
  <w:style w:type="paragraph" w:styleId="FootnoteText">
    <w:name w:val="footnote text"/>
    <w:basedOn w:val="Normal"/>
    <w:link w:val="FootnoteTextChar"/>
    <w:uiPriority w:val="99"/>
    <w:semiHidden/>
    <w:unhideWhenUsed/>
    <w:rsid w:val="00CA27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2740"/>
    <w:rPr>
      <w:sz w:val="20"/>
      <w:szCs w:val="20"/>
    </w:rPr>
  </w:style>
  <w:style w:type="character" w:styleId="FootnoteReference">
    <w:name w:val="footnote reference"/>
    <w:basedOn w:val="DefaultParagraphFont"/>
    <w:uiPriority w:val="99"/>
    <w:semiHidden/>
    <w:unhideWhenUsed/>
    <w:rsid w:val="00CA2740"/>
    <w:rPr>
      <w:vertAlign w:val="superscript"/>
    </w:rPr>
  </w:style>
  <w:style w:type="paragraph" w:styleId="NormalWeb">
    <w:name w:val="Normal (Web)"/>
    <w:basedOn w:val="Normal"/>
    <w:uiPriority w:val="99"/>
    <w:semiHidden/>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rsid w:val="00B0470A"/>
    <w:pPr>
      <w:spacing w:line="200" w:lineRule="exact"/>
    </w:pPr>
    <w:rPr>
      <w:bCs/>
      <w:sz w:val="14"/>
      <w:szCs w:val="18"/>
    </w:rPr>
  </w:style>
  <w:style w:type="paragraph" w:customStyle="1" w:styleId="Style1">
    <w:name w:val="Style1"/>
    <w:basedOn w:val="RSCB02ArticleText"/>
    <w:link w:val="Style1Char"/>
    <w:rsid w:val="00B0470A"/>
  </w:style>
  <w:style w:type="paragraph" w:customStyle="1" w:styleId="RSCT05TableFootnotewithoutbottombar">
    <w:name w:val="RSC T05 Table Footnote without bottom bar"/>
    <w:basedOn w:val="RSCT04TableFootnotewithbottombar"/>
    <w:link w:val="RSCT05TableFootnotewithoutbottombarChar"/>
    <w:qFormat/>
    <w:rsid w:val="00B0470A"/>
    <w:pPr>
      <w:pBdr>
        <w:bottom w:val="none" w:sz="0" w:space="0" w:color="auto"/>
      </w:pBdr>
    </w:pPr>
  </w:style>
  <w:style w:type="character" w:customStyle="1" w:styleId="Style1Char">
    <w:name w:val="Style1 Char"/>
    <w:basedOn w:val="RSCB02ArticleTextChar"/>
    <w:link w:val="Style1"/>
    <w:rsid w:val="00B0470A"/>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rsid w:val="00B0470A"/>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B0470A"/>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rsid w:val="006556AC"/>
    <w:pPr>
      <w:spacing w:line="200" w:lineRule="exact"/>
      <w:jc w:val="both"/>
    </w:pPr>
    <w:rPr>
      <w:bCs/>
      <w:sz w:val="14"/>
      <w:szCs w:val="18"/>
    </w:rPr>
  </w:style>
  <w:style w:type="character" w:customStyle="1" w:styleId="RSCT02TabletitlewithouttopbarChar">
    <w:name w:val="RSC T02 Table title without top bar Char"/>
    <w:basedOn w:val="RSCT01TableTitlewithtopbarChar"/>
    <w:link w:val="RSCT02Tabletitlewithouttopbar"/>
    <w:rsid w:val="00B0470A"/>
    <w:rPr>
      <w:rFonts w:eastAsia="Times New Roman" w:cs="Times New Roman"/>
      <w:sz w:val="14"/>
      <w:szCs w:val="20"/>
      <w:lang w:eastAsia="en-GB"/>
    </w:rPr>
  </w:style>
  <w:style w:type="paragraph" w:customStyle="1" w:styleId="RSCR01Footnotestomaintext">
    <w:name w:val="RSC R01 Footnotes to main text"/>
    <w:link w:val="RSCR01FootnotestomaintextChar"/>
    <w:qFormat/>
    <w:rsid w:val="006556AC"/>
    <w:pPr>
      <w:spacing w:line="200" w:lineRule="exact"/>
      <w:jc w:val="both"/>
    </w:pPr>
    <w:rPr>
      <w:bCs/>
      <w:sz w:val="18"/>
      <w:szCs w:val="18"/>
    </w:rPr>
  </w:style>
  <w:style w:type="character" w:customStyle="1" w:styleId="RSCI04CaptiontoFigureSchemeChartChar">
    <w:name w:val="RSC I04 Caption to Figure/Scheme/Chart Char"/>
    <w:basedOn w:val="DefaultParagraphFont"/>
    <w:link w:val="RSCI04CaptiontoFigureSchemeChart"/>
    <w:rsid w:val="006556AC"/>
    <w:rPr>
      <w:bCs/>
      <w:sz w:val="14"/>
      <w:szCs w:val="18"/>
    </w:rPr>
  </w:style>
  <w:style w:type="paragraph" w:customStyle="1" w:styleId="RSCM01ReceivedAccepted">
    <w:name w:val="RSC M01 Received/Accepted"/>
    <w:basedOn w:val="Normal"/>
    <w:link w:val="RSCM01ReceivedAcceptedChar"/>
    <w:qFormat/>
    <w:rsid w:val="004C531E"/>
    <w:pPr>
      <w:spacing w:before="960" w:after="0" w:line="180" w:lineRule="exact"/>
      <w:contextualSpacing/>
    </w:pPr>
    <w:rPr>
      <w:noProof/>
      <w:sz w:val="14"/>
      <w:szCs w:val="14"/>
      <w:lang w:eastAsia="en-GB"/>
    </w:rPr>
  </w:style>
  <w:style w:type="character" w:customStyle="1" w:styleId="RSCR01FootnotestomaintextChar">
    <w:name w:val="RSC R01 Footnotes to main text Char"/>
    <w:basedOn w:val="RSCI04CaptiontoFigureSchemeChartChar"/>
    <w:link w:val="RSCR01Footnotestomaintext"/>
    <w:rsid w:val="006556AC"/>
    <w:rPr>
      <w:bCs/>
      <w:sz w:val="18"/>
      <w:szCs w:val="18"/>
    </w:rPr>
  </w:style>
  <w:style w:type="paragraph" w:customStyle="1" w:styleId="RSCM02DOI">
    <w:name w:val="RSC M02 DOI"/>
    <w:basedOn w:val="Normal"/>
    <w:link w:val="RSCM02DOIChar"/>
    <w:qFormat/>
    <w:rsid w:val="004C531E"/>
    <w:pPr>
      <w:spacing w:before="180" w:after="0" w:line="180" w:lineRule="exact"/>
    </w:pPr>
    <w:rPr>
      <w:sz w:val="14"/>
      <w:szCs w:val="14"/>
    </w:rPr>
  </w:style>
  <w:style w:type="character" w:customStyle="1" w:styleId="RSCM01ReceivedAcceptedChar">
    <w:name w:val="RSC M01 Received/Accepted Char"/>
    <w:basedOn w:val="DefaultParagraphFont"/>
    <w:link w:val="RSCM01ReceivedAccepted"/>
    <w:rsid w:val="004C531E"/>
    <w:rPr>
      <w:rFonts w:eastAsiaTheme="minorEastAsia"/>
      <w:noProof/>
      <w:sz w:val="14"/>
      <w:szCs w:val="14"/>
      <w:lang w:eastAsia="en-GB"/>
    </w:rPr>
  </w:style>
  <w:style w:type="paragraph" w:customStyle="1" w:styleId="RSCM03Website">
    <w:name w:val="RSC M03 Website"/>
    <w:basedOn w:val="Normal"/>
    <w:link w:val="RSCM03WebsiteChar"/>
    <w:qFormat/>
    <w:rsid w:val="004C531E"/>
    <w:pPr>
      <w:spacing w:line="400" w:lineRule="exact"/>
    </w:pPr>
    <w:rPr>
      <w:b/>
      <w:sz w:val="14"/>
      <w:szCs w:val="14"/>
    </w:rPr>
  </w:style>
  <w:style w:type="character" w:customStyle="1" w:styleId="RSCM02DOIChar">
    <w:name w:val="RSC M02 DOI Char"/>
    <w:basedOn w:val="DefaultParagraphFont"/>
    <w:link w:val="RSCM02DOI"/>
    <w:rsid w:val="004C531E"/>
    <w:rPr>
      <w:sz w:val="14"/>
      <w:szCs w:val="14"/>
    </w:rPr>
  </w:style>
  <w:style w:type="paragraph" w:customStyle="1" w:styleId="RSCB05AHeadingSection-standalone">
    <w:name w:val="RSC B05 A Heading (Section - stand alone)"/>
    <w:link w:val="RSCB05AHeadingSection-standaloneChar"/>
    <w:qFormat/>
    <w:rsid w:val="00EF6BD4"/>
    <w:pPr>
      <w:spacing w:before="400" w:after="160" w:line="240" w:lineRule="auto"/>
    </w:pPr>
    <w:rPr>
      <w:rFonts w:cs="Times New Roman"/>
      <w:sz w:val="24"/>
    </w:rPr>
  </w:style>
  <w:style w:type="character" w:customStyle="1" w:styleId="RSCM03WebsiteChar">
    <w:name w:val="RSC M03 Website Char"/>
    <w:basedOn w:val="DefaultParagraphFont"/>
    <w:link w:val="RSCM03Website"/>
    <w:rsid w:val="004C531E"/>
    <w:rPr>
      <w:b/>
      <w:sz w:val="14"/>
      <w:szCs w:val="14"/>
    </w:rPr>
  </w:style>
  <w:style w:type="paragraph" w:customStyle="1" w:styleId="RSCB06BHeadingSub-Section">
    <w:name w:val="RSC B06 B Heading (Sub-Section)"/>
    <w:link w:val="RSCB06BHeadingSub-SectionChar"/>
    <w:qFormat/>
    <w:rsid w:val="00EF6BD4"/>
    <w:pPr>
      <w:spacing w:after="80" w:line="240" w:lineRule="exact"/>
    </w:pPr>
    <w:rPr>
      <w:b/>
      <w:sz w:val="18"/>
    </w:rPr>
  </w:style>
  <w:style w:type="character" w:customStyle="1" w:styleId="RSCB05AHeadingSection-standaloneChar">
    <w:name w:val="RSC B05 A Heading (Section - stand alone) Char"/>
    <w:basedOn w:val="RSCH02PaperAuthorsandBylineChar"/>
    <w:link w:val="RSCB05AHeadingSection-standalone"/>
    <w:rsid w:val="00EF6BD4"/>
    <w:rPr>
      <w:rFonts w:cs="Times New Roman"/>
      <w:sz w:val="24"/>
    </w:rPr>
  </w:style>
  <w:style w:type="paragraph" w:customStyle="1" w:styleId="RSCB07BHeadingSub-Section-standalone">
    <w:name w:val="RSC B07 B Heading (Sub-Section - stand alone)"/>
    <w:link w:val="RSCB07BHeadingSub-Section-standaloneChar"/>
    <w:qFormat/>
    <w:rsid w:val="00EF6BD4"/>
    <w:pPr>
      <w:spacing w:before="160" w:after="80" w:line="240" w:lineRule="exact"/>
    </w:pPr>
    <w:rPr>
      <w:b/>
      <w:sz w:val="18"/>
    </w:rPr>
  </w:style>
  <w:style w:type="character" w:customStyle="1" w:styleId="RSCB06BHeadingSub-SectionChar">
    <w:name w:val="RSC B06 B Heading (Sub-Section) Char"/>
    <w:basedOn w:val="DefaultParagraphFont"/>
    <w:link w:val="RSCB06BHeadingSub-Section"/>
    <w:rsid w:val="00EF6BD4"/>
    <w:rPr>
      <w:b/>
      <w:sz w:val="18"/>
    </w:rPr>
  </w:style>
  <w:style w:type="paragraph" w:customStyle="1" w:styleId="RSCB08CHeadingIn-line">
    <w:name w:val="RSC B08 C Heading (In-line)"/>
    <w:link w:val="RSCB08CHeadingIn-lineChar"/>
    <w:qFormat/>
    <w:rsid w:val="00EF6BD4"/>
    <w:pPr>
      <w:spacing w:after="0"/>
    </w:pPr>
    <w:rPr>
      <w:b/>
      <w:sz w:val="18"/>
    </w:rPr>
  </w:style>
  <w:style w:type="character" w:customStyle="1" w:styleId="RSCB07BHeadingSub-Section-standaloneChar">
    <w:name w:val="RSC B07 B Heading (Sub-Section - stand alone) Char"/>
    <w:basedOn w:val="DefaultParagraphFont"/>
    <w:link w:val="RSCB07BHeadingSub-Section-standalone"/>
    <w:rsid w:val="00EF6BD4"/>
    <w:rPr>
      <w:b/>
      <w:sz w:val="18"/>
    </w:rPr>
  </w:style>
  <w:style w:type="character" w:customStyle="1" w:styleId="RSCB08CHeadingIn-lineChar">
    <w:name w:val="RSC B08 C Heading (In-line) Char"/>
    <w:basedOn w:val="DefaultParagraphFont"/>
    <w:link w:val="RSCB08CHeadingIn-line"/>
    <w:rsid w:val="00EF6BD4"/>
    <w:rPr>
      <w:b/>
      <w:sz w:val="18"/>
    </w:rPr>
  </w:style>
  <w:style w:type="paragraph" w:customStyle="1" w:styleId="RSCI05CaptiontoFigureSchemeChartwithbottombar">
    <w:name w:val="RSC I05 Caption to Figure/Scheme/Chart with bottom bar"/>
    <w:link w:val="RSCI05CaptiontoFigureSchemeChartwithbottombarChar"/>
    <w:qFormat/>
    <w:rsid w:val="006556AC"/>
    <w:pPr>
      <w:pBdr>
        <w:bottom w:val="single" w:sz="12" w:space="1" w:color="A6A6A6" w:themeColor="background1" w:themeShade="A6"/>
      </w:pBdr>
      <w:jc w:val="both"/>
    </w:pPr>
    <w:rPr>
      <w:bCs/>
      <w:sz w:val="14"/>
      <w:szCs w:val="18"/>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6556AC"/>
    <w:rPr>
      <w:bCs/>
      <w:sz w:val="14"/>
      <w:szCs w:val="18"/>
    </w:rPr>
  </w:style>
  <w:style w:type="paragraph" w:customStyle="1" w:styleId="04AHeading">
    <w:name w:val="04 A Heading"/>
    <w:basedOn w:val="Normal"/>
    <w:next w:val="Normal"/>
    <w:link w:val="04AHeadingChar"/>
    <w:rsid w:val="00FA2DA2"/>
    <w:pPr>
      <w:spacing w:before="240" w:after="120" w:line="240" w:lineRule="auto"/>
    </w:pPr>
    <w:rPr>
      <w:rFonts w:ascii="Calibri" w:eastAsia="Calibri" w:hAnsi="Calibri" w:cs="Times New Roman"/>
      <w:b/>
    </w:rPr>
  </w:style>
  <w:style w:type="character" w:customStyle="1" w:styleId="04AHeadingChar">
    <w:name w:val="04 A Heading Char"/>
    <w:link w:val="04AHeading"/>
    <w:rsid w:val="00FA2DA2"/>
    <w:rPr>
      <w:rFonts w:ascii="Calibri" w:eastAsia="Calibri" w:hAnsi="Calibri" w:cs="Times New Roman"/>
      <w:b/>
    </w:rPr>
  </w:style>
  <w:style w:type="paragraph" w:customStyle="1" w:styleId="08ArticleText">
    <w:name w:val="08 Article Text"/>
    <w:basedOn w:val="Normal"/>
    <w:link w:val="08ArticleTextChar"/>
    <w:rsid w:val="00FA2DA2"/>
    <w:pPr>
      <w:tabs>
        <w:tab w:val="left" w:pos="284"/>
      </w:tabs>
      <w:spacing w:after="0" w:line="240" w:lineRule="exact"/>
      <w:jc w:val="both"/>
    </w:pPr>
    <w:rPr>
      <w:rFonts w:ascii="Times New Roman" w:eastAsia="Calibri" w:hAnsi="Times New Roman" w:cs="Times New Roman"/>
      <w:w w:val="108"/>
      <w:sz w:val="18"/>
      <w:szCs w:val="18"/>
    </w:rPr>
  </w:style>
  <w:style w:type="character" w:customStyle="1" w:styleId="08ArticleTextChar">
    <w:name w:val="08 Article Text Char"/>
    <w:link w:val="08ArticleText"/>
    <w:rsid w:val="00FA2DA2"/>
    <w:rPr>
      <w:rFonts w:ascii="Times New Roman" w:eastAsia="Calibri" w:hAnsi="Times New Roman" w:cs="Times New Roman"/>
      <w:w w:val="108"/>
      <w:sz w:val="18"/>
      <w:szCs w:val="18"/>
    </w:rPr>
  </w:style>
  <w:style w:type="character" w:styleId="FollowedHyperlink">
    <w:name w:val="FollowedHyperlink"/>
    <w:basedOn w:val="DefaultParagraphFont"/>
    <w:uiPriority w:val="99"/>
    <w:semiHidden/>
    <w:unhideWhenUsed/>
    <w:rsid w:val="0024022C"/>
    <w:rPr>
      <w:color w:val="800080" w:themeColor="followedHyperlink"/>
      <w:u w:val="single"/>
    </w:rPr>
  </w:style>
  <w:style w:type="character" w:styleId="CommentReference">
    <w:name w:val="annotation reference"/>
    <w:basedOn w:val="DefaultParagraphFont"/>
    <w:uiPriority w:val="99"/>
    <w:semiHidden/>
    <w:unhideWhenUsed/>
    <w:rsid w:val="0060627E"/>
    <w:rPr>
      <w:sz w:val="16"/>
      <w:szCs w:val="16"/>
    </w:rPr>
  </w:style>
  <w:style w:type="paragraph" w:styleId="CommentText">
    <w:name w:val="annotation text"/>
    <w:basedOn w:val="Normal"/>
    <w:link w:val="CommentTextChar"/>
    <w:uiPriority w:val="99"/>
    <w:semiHidden/>
    <w:unhideWhenUsed/>
    <w:rsid w:val="0060627E"/>
    <w:pPr>
      <w:spacing w:line="240" w:lineRule="auto"/>
    </w:pPr>
    <w:rPr>
      <w:sz w:val="20"/>
      <w:szCs w:val="20"/>
    </w:rPr>
  </w:style>
  <w:style w:type="character" w:customStyle="1" w:styleId="CommentTextChar">
    <w:name w:val="Comment Text Char"/>
    <w:basedOn w:val="DefaultParagraphFont"/>
    <w:link w:val="CommentText"/>
    <w:uiPriority w:val="99"/>
    <w:semiHidden/>
    <w:rsid w:val="0060627E"/>
    <w:rPr>
      <w:sz w:val="20"/>
      <w:szCs w:val="20"/>
    </w:rPr>
  </w:style>
  <w:style w:type="paragraph" w:styleId="CommentSubject">
    <w:name w:val="annotation subject"/>
    <w:basedOn w:val="CommentText"/>
    <w:next w:val="CommentText"/>
    <w:link w:val="CommentSubjectChar"/>
    <w:uiPriority w:val="99"/>
    <w:semiHidden/>
    <w:unhideWhenUsed/>
    <w:rsid w:val="0060627E"/>
    <w:rPr>
      <w:b/>
      <w:bCs/>
    </w:rPr>
  </w:style>
  <w:style w:type="character" w:customStyle="1" w:styleId="CommentSubjectChar">
    <w:name w:val="Comment Subject Char"/>
    <w:basedOn w:val="CommentTextChar"/>
    <w:link w:val="CommentSubject"/>
    <w:uiPriority w:val="99"/>
    <w:semiHidden/>
    <w:rsid w:val="0060627E"/>
    <w:rPr>
      <w:b/>
      <w:bCs/>
      <w:sz w:val="20"/>
      <w:szCs w:val="20"/>
    </w:rPr>
  </w:style>
  <w:style w:type="character" w:styleId="PlaceholderText">
    <w:name w:val="Placeholder Text"/>
    <w:basedOn w:val="DefaultParagraphFont"/>
    <w:uiPriority w:val="99"/>
    <w:semiHidden/>
    <w:rsid w:val="00C046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83697">
      <w:bodyDiv w:val="1"/>
      <w:marLeft w:val="0"/>
      <w:marRight w:val="0"/>
      <w:marTop w:val="0"/>
      <w:marBottom w:val="0"/>
      <w:divBdr>
        <w:top w:val="none" w:sz="0" w:space="0" w:color="auto"/>
        <w:left w:val="none" w:sz="0" w:space="0" w:color="auto"/>
        <w:bottom w:val="none" w:sz="0" w:space="0" w:color="auto"/>
        <w:right w:val="none" w:sz="0" w:space="0" w:color="auto"/>
      </w:divBdr>
    </w:div>
    <w:div w:id="130054262">
      <w:bodyDiv w:val="1"/>
      <w:marLeft w:val="0"/>
      <w:marRight w:val="0"/>
      <w:marTop w:val="0"/>
      <w:marBottom w:val="0"/>
      <w:divBdr>
        <w:top w:val="none" w:sz="0" w:space="0" w:color="auto"/>
        <w:left w:val="none" w:sz="0" w:space="0" w:color="auto"/>
        <w:bottom w:val="none" w:sz="0" w:space="0" w:color="auto"/>
        <w:right w:val="none" w:sz="0" w:space="0" w:color="auto"/>
      </w:divBdr>
    </w:div>
    <w:div w:id="255360505">
      <w:bodyDiv w:val="1"/>
      <w:marLeft w:val="0"/>
      <w:marRight w:val="0"/>
      <w:marTop w:val="0"/>
      <w:marBottom w:val="0"/>
      <w:divBdr>
        <w:top w:val="none" w:sz="0" w:space="0" w:color="auto"/>
        <w:left w:val="none" w:sz="0" w:space="0" w:color="auto"/>
        <w:bottom w:val="none" w:sz="0" w:space="0" w:color="auto"/>
        <w:right w:val="none" w:sz="0" w:space="0" w:color="auto"/>
      </w:divBdr>
    </w:div>
    <w:div w:id="356077340">
      <w:bodyDiv w:val="1"/>
      <w:marLeft w:val="0"/>
      <w:marRight w:val="0"/>
      <w:marTop w:val="0"/>
      <w:marBottom w:val="0"/>
      <w:divBdr>
        <w:top w:val="none" w:sz="0" w:space="0" w:color="auto"/>
        <w:left w:val="none" w:sz="0" w:space="0" w:color="auto"/>
        <w:bottom w:val="none" w:sz="0" w:space="0" w:color="auto"/>
        <w:right w:val="none" w:sz="0" w:space="0" w:color="auto"/>
      </w:divBdr>
    </w:div>
    <w:div w:id="404114518">
      <w:bodyDiv w:val="1"/>
      <w:marLeft w:val="0"/>
      <w:marRight w:val="0"/>
      <w:marTop w:val="0"/>
      <w:marBottom w:val="0"/>
      <w:divBdr>
        <w:top w:val="none" w:sz="0" w:space="0" w:color="auto"/>
        <w:left w:val="none" w:sz="0" w:space="0" w:color="auto"/>
        <w:bottom w:val="none" w:sz="0" w:space="0" w:color="auto"/>
        <w:right w:val="none" w:sz="0" w:space="0" w:color="auto"/>
      </w:divBdr>
    </w:div>
    <w:div w:id="404305591">
      <w:bodyDiv w:val="1"/>
      <w:marLeft w:val="0"/>
      <w:marRight w:val="0"/>
      <w:marTop w:val="0"/>
      <w:marBottom w:val="0"/>
      <w:divBdr>
        <w:top w:val="none" w:sz="0" w:space="0" w:color="auto"/>
        <w:left w:val="none" w:sz="0" w:space="0" w:color="auto"/>
        <w:bottom w:val="none" w:sz="0" w:space="0" w:color="auto"/>
        <w:right w:val="none" w:sz="0" w:space="0" w:color="auto"/>
      </w:divBdr>
    </w:div>
    <w:div w:id="494418786">
      <w:bodyDiv w:val="1"/>
      <w:marLeft w:val="0"/>
      <w:marRight w:val="0"/>
      <w:marTop w:val="0"/>
      <w:marBottom w:val="0"/>
      <w:divBdr>
        <w:top w:val="none" w:sz="0" w:space="0" w:color="auto"/>
        <w:left w:val="none" w:sz="0" w:space="0" w:color="auto"/>
        <w:bottom w:val="none" w:sz="0" w:space="0" w:color="auto"/>
        <w:right w:val="none" w:sz="0" w:space="0" w:color="auto"/>
      </w:divBdr>
    </w:div>
    <w:div w:id="623387460">
      <w:bodyDiv w:val="1"/>
      <w:marLeft w:val="0"/>
      <w:marRight w:val="0"/>
      <w:marTop w:val="0"/>
      <w:marBottom w:val="0"/>
      <w:divBdr>
        <w:top w:val="none" w:sz="0" w:space="0" w:color="auto"/>
        <w:left w:val="none" w:sz="0" w:space="0" w:color="auto"/>
        <w:bottom w:val="none" w:sz="0" w:space="0" w:color="auto"/>
        <w:right w:val="none" w:sz="0" w:space="0" w:color="auto"/>
      </w:divBdr>
    </w:div>
    <w:div w:id="710960423">
      <w:bodyDiv w:val="1"/>
      <w:marLeft w:val="0"/>
      <w:marRight w:val="0"/>
      <w:marTop w:val="0"/>
      <w:marBottom w:val="0"/>
      <w:divBdr>
        <w:top w:val="none" w:sz="0" w:space="0" w:color="auto"/>
        <w:left w:val="none" w:sz="0" w:space="0" w:color="auto"/>
        <w:bottom w:val="none" w:sz="0" w:space="0" w:color="auto"/>
        <w:right w:val="none" w:sz="0" w:space="0" w:color="auto"/>
      </w:divBdr>
    </w:div>
    <w:div w:id="776603753">
      <w:bodyDiv w:val="1"/>
      <w:marLeft w:val="0"/>
      <w:marRight w:val="0"/>
      <w:marTop w:val="0"/>
      <w:marBottom w:val="0"/>
      <w:divBdr>
        <w:top w:val="none" w:sz="0" w:space="0" w:color="auto"/>
        <w:left w:val="none" w:sz="0" w:space="0" w:color="auto"/>
        <w:bottom w:val="none" w:sz="0" w:space="0" w:color="auto"/>
        <w:right w:val="none" w:sz="0" w:space="0" w:color="auto"/>
      </w:divBdr>
    </w:div>
    <w:div w:id="833884671">
      <w:bodyDiv w:val="1"/>
      <w:marLeft w:val="0"/>
      <w:marRight w:val="0"/>
      <w:marTop w:val="0"/>
      <w:marBottom w:val="0"/>
      <w:divBdr>
        <w:top w:val="none" w:sz="0" w:space="0" w:color="auto"/>
        <w:left w:val="none" w:sz="0" w:space="0" w:color="auto"/>
        <w:bottom w:val="none" w:sz="0" w:space="0" w:color="auto"/>
        <w:right w:val="none" w:sz="0" w:space="0" w:color="auto"/>
      </w:divBdr>
    </w:div>
    <w:div w:id="1056196653">
      <w:bodyDiv w:val="1"/>
      <w:marLeft w:val="0"/>
      <w:marRight w:val="0"/>
      <w:marTop w:val="0"/>
      <w:marBottom w:val="0"/>
      <w:divBdr>
        <w:top w:val="none" w:sz="0" w:space="0" w:color="auto"/>
        <w:left w:val="none" w:sz="0" w:space="0" w:color="auto"/>
        <w:bottom w:val="none" w:sz="0" w:space="0" w:color="auto"/>
        <w:right w:val="none" w:sz="0" w:space="0" w:color="auto"/>
      </w:divBdr>
    </w:div>
    <w:div w:id="1325475318">
      <w:bodyDiv w:val="1"/>
      <w:marLeft w:val="0"/>
      <w:marRight w:val="0"/>
      <w:marTop w:val="0"/>
      <w:marBottom w:val="0"/>
      <w:divBdr>
        <w:top w:val="none" w:sz="0" w:space="0" w:color="auto"/>
        <w:left w:val="none" w:sz="0" w:space="0" w:color="auto"/>
        <w:bottom w:val="none" w:sz="0" w:space="0" w:color="auto"/>
        <w:right w:val="none" w:sz="0" w:space="0" w:color="auto"/>
      </w:divBdr>
    </w:div>
    <w:div w:id="1380132816">
      <w:bodyDiv w:val="1"/>
      <w:marLeft w:val="0"/>
      <w:marRight w:val="0"/>
      <w:marTop w:val="0"/>
      <w:marBottom w:val="0"/>
      <w:divBdr>
        <w:top w:val="none" w:sz="0" w:space="0" w:color="auto"/>
        <w:left w:val="none" w:sz="0" w:space="0" w:color="auto"/>
        <w:bottom w:val="none" w:sz="0" w:space="0" w:color="auto"/>
        <w:right w:val="none" w:sz="0" w:space="0" w:color="auto"/>
      </w:divBdr>
    </w:div>
    <w:div w:id="1409107844">
      <w:bodyDiv w:val="1"/>
      <w:marLeft w:val="0"/>
      <w:marRight w:val="0"/>
      <w:marTop w:val="0"/>
      <w:marBottom w:val="0"/>
      <w:divBdr>
        <w:top w:val="none" w:sz="0" w:space="0" w:color="auto"/>
        <w:left w:val="none" w:sz="0" w:space="0" w:color="auto"/>
        <w:bottom w:val="none" w:sz="0" w:space="0" w:color="auto"/>
        <w:right w:val="none" w:sz="0" w:space="0" w:color="auto"/>
      </w:divBdr>
    </w:div>
    <w:div w:id="1604457870">
      <w:bodyDiv w:val="1"/>
      <w:marLeft w:val="0"/>
      <w:marRight w:val="0"/>
      <w:marTop w:val="0"/>
      <w:marBottom w:val="0"/>
      <w:divBdr>
        <w:top w:val="none" w:sz="0" w:space="0" w:color="auto"/>
        <w:left w:val="none" w:sz="0" w:space="0" w:color="auto"/>
        <w:bottom w:val="none" w:sz="0" w:space="0" w:color="auto"/>
        <w:right w:val="none" w:sz="0" w:space="0" w:color="auto"/>
      </w:divBdr>
    </w:div>
    <w:div w:id="209867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883CA-9281-40ED-93D0-EC93493C5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6775</Words>
  <Characters>38618</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Manager/>
  <Company>The Royal Society of Chemistry</Company>
  <LinksUpToDate>false</LinksUpToDate>
  <CharactersWithSpaces>45303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Jonathon Tanks</dc:creator>
  <cp:keywords/>
  <dc:description/>
  <cp:lastModifiedBy>TANKS Jonathon David</cp:lastModifiedBy>
  <cp:revision>2</cp:revision>
  <cp:lastPrinted>2023-12-13T19:05:00Z</cp:lastPrinted>
  <dcterms:created xsi:type="dcterms:W3CDTF">2023-12-15T18:03:00Z</dcterms:created>
  <dcterms:modified xsi:type="dcterms:W3CDTF">2023-12-15T18:03:00Z</dcterms:modified>
  <cp:category/>
</cp:coreProperties>
</file>