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B5E1B" w14:textId="13345549" w:rsidR="00FD178A" w:rsidRPr="00515E43" w:rsidRDefault="009D01B2" w:rsidP="00BE7461">
      <w:pPr>
        <w:pStyle w:val="Heading1"/>
        <w:spacing w:after="200"/>
        <w:rPr>
          <w:sz w:val="28"/>
          <w:szCs w:val="28"/>
        </w:rPr>
      </w:pPr>
      <w:r>
        <w:rPr>
          <w:sz w:val="28"/>
          <w:szCs w:val="28"/>
        </w:rPr>
        <w:t>Coercivity Engineering in</w:t>
      </w:r>
      <w:r w:rsidR="001E3C92" w:rsidRPr="001E3C92">
        <w:rPr>
          <w:sz w:val="28"/>
          <w:szCs w:val="28"/>
        </w:rPr>
        <w:t xml:space="preserve"> Nd-Fe-B Hot-deformed Magnets</w:t>
      </w:r>
      <w:r w:rsidR="001E3C92">
        <w:rPr>
          <w:sz w:val="28"/>
          <w:szCs w:val="28"/>
        </w:rPr>
        <w:br/>
      </w:r>
      <w:r>
        <w:rPr>
          <w:sz w:val="28"/>
          <w:szCs w:val="28"/>
        </w:rPr>
        <w:t>by</w:t>
      </w:r>
      <w:r w:rsidR="001E3C92" w:rsidRPr="001E3C92">
        <w:rPr>
          <w:sz w:val="28"/>
          <w:szCs w:val="28"/>
        </w:rPr>
        <w:t xml:space="preserve"> Grain Boundary </w:t>
      </w:r>
      <w:r>
        <w:rPr>
          <w:sz w:val="28"/>
          <w:szCs w:val="28"/>
        </w:rPr>
        <w:t>Infiltration: Micromagnetic Viewpoint</w:t>
      </w:r>
    </w:p>
    <w:p w14:paraId="2D5649C3" w14:textId="1501EA50" w:rsidR="000E5DA5" w:rsidRDefault="001E3C92" w:rsidP="001E3C92">
      <w:pPr>
        <w:jc w:val="center"/>
        <w:rPr>
          <w:vertAlign w:val="superscript"/>
        </w:rPr>
      </w:pPr>
      <w:r w:rsidRPr="001E3C92">
        <w:rPr>
          <w:u w:val="single"/>
        </w:rPr>
        <w:t>A. Bolyachkin</w:t>
      </w:r>
      <w:r w:rsidRPr="001E3C92">
        <w:rPr>
          <w:vertAlign w:val="superscript"/>
        </w:rPr>
        <w:t>1,</w:t>
      </w:r>
      <w:proofErr w:type="gramStart"/>
      <w:r w:rsidRPr="001E3C92">
        <w:rPr>
          <w:vertAlign w:val="superscript"/>
        </w:rPr>
        <w:t>2</w:t>
      </w:r>
      <w:r>
        <w:rPr>
          <w:vertAlign w:val="superscript"/>
        </w:rPr>
        <w:t>,</w:t>
      </w:r>
      <w:r w:rsidRPr="0067024E">
        <w:rPr>
          <w:sz w:val="20"/>
          <w:szCs w:val="20"/>
        </w:rPr>
        <w:t>*</w:t>
      </w:r>
      <w:proofErr w:type="gramEnd"/>
      <w:r>
        <w:t>, E. Dengina</w:t>
      </w:r>
      <w:r w:rsidRPr="001E3C92">
        <w:rPr>
          <w:vertAlign w:val="superscript"/>
        </w:rPr>
        <w:t>1,3</w:t>
      </w:r>
      <w:r>
        <w:t>, H. Sepehri-Amin</w:t>
      </w:r>
      <w:r w:rsidRPr="001E3C92">
        <w:rPr>
          <w:vertAlign w:val="superscript"/>
        </w:rPr>
        <w:t>1,3</w:t>
      </w:r>
      <w:r>
        <w:t>, T. Ohkubo</w:t>
      </w:r>
      <w:r w:rsidRPr="001E3C92">
        <w:rPr>
          <w:vertAlign w:val="superscript"/>
        </w:rPr>
        <w:t>1</w:t>
      </w:r>
      <w:r>
        <w:t>, and K. Hono</w:t>
      </w:r>
      <w:r w:rsidRPr="001E3C92">
        <w:rPr>
          <w:vertAlign w:val="superscript"/>
        </w:rPr>
        <w:t>1,3</w:t>
      </w:r>
    </w:p>
    <w:p w14:paraId="6E4AEB9F" w14:textId="777EA423" w:rsidR="0000257E" w:rsidRDefault="000E5DA5" w:rsidP="00843C99">
      <w:pPr>
        <w:spacing w:after="0"/>
        <w:jc w:val="center"/>
        <w:rPr>
          <w:i/>
        </w:rPr>
      </w:pPr>
      <w:r>
        <w:rPr>
          <w:i/>
          <w:vertAlign w:val="superscript"/>
        </w:rPr>
        <w:t>1</w:t>
      </w:r>
      <w:r w:rsidR="001E3C92" w:rsidRPr="001E3C92">
        <w:t xml:space="preserve"> </w:t>
      </w:r>
      <w:r w:rsidR="001E3C92" w:rsidRPr="001E3C92">
        <w:rPr>
          <w:i/>
        </w:rPr>
        <w:t>Research Center for Magnetic and Spintronic Materials, NIMS, Tsukuba 305-0047, Japan</w:t>
      </w:r>
    </w:p>
    <w:p w14:paraId="773AFA61" w14:textId="13F47A9C" w:rsidR="000E5DA5" w:rsidRDefault="000E5DA5" w:rsidP="00843C99">
      <w:pPr>
        <w:spacing w:after="0"/>
        <w:jc w:val="center"/>
        <w:rPr>
          <w:i/>
        </w:rPr>
      </w:pPr>
      <w:r>
        <w:rPr>
          <w:i/>
          <w:vertAlign w:val="superscript"/>
        </w:rPr>
        <w:t>2</w:t>
      </w:r>
      <w:r w:rsidR="001E3C92" w:rsidRPr="001E3C92">
        <w:t xml:space="preserve"> </w:t>
      </w:r>
      <w:r w:rsidR="001E3C92" w:rsidRPr="001E3C92">
        <w:rPr>
          <w:i/>
        </w:rPr>
        <w:t>International Center for Young Scientists, NIMS, Tsukuba 305-0047, Japan</w:t>
      </w:r>
    </w:p>
    <w:p w14:paraId="4BF78AF7" w14:textId="43944B81" w:rsidR="000E5DA5" w:rsidRDefault="000E5DA5" w:rsidP="00843C99">
      <w:pPr>
        <w:spacing w:after="0"/>
        <w:jc w:val="center"/>
        <w:rPr>
          <w:i/>
        </w:rPr>
      </w:pPr>
      <w:r>
        <w:rPr>
          <w:i/>
          <w:vertAlign w:val="superscript"/>
        </w:rPr>
        <w:t xml:space="preserve">3 </w:t>
      </w:r>
      <w:r w:rsidR="001E3C92" w:rsidRPr="001E3C92">
        <w:rPr>
          <w:i/>
        </w:rPr>
        <w:t>Graduate School of Science and Technology, University of Tsukuba, Tsukuba, 305-8573, Japan</w:t>
      </w:r>
    </w:p>
    <w:p w14:paraId="19159414" w14:textId="61B507CF" w:rsidR="000E5DA5" w:rsidRPr="002343EB" w:rsidRDefault="000E5DA5" w:rsidP="000E5DA5">
      <w:pPr>
        <w:spacing w:after="0"/>
        <w:jc w:val="center"/>
        <w:rPr>
          <w:i/>
        </w:rPr>
      </w:pPr>
      <w:r>
        <w:rPr>
          <w:i/>
        </w:rPr>
        <w:t>*</w:t>
      </w:r>
      <w:r w:rsidR="001E3C92" w:rsidRPr="001E3C92">
        <w:rPr>
          <w:i/>
          <w:u w:val="single"/>
        </w:rPr>
        <w:t>bolyachkin.anton@nims.go.jp</w:t>
      </w:r>
    </w:p>
    <w:p w14:paraId="29556890" w14:textId="77777777" w:rsidR="0000257E" w:rsidRDefault="0000257E" w:rsidP="0000257E"/>
    <w:p w14:paraId="1000BB74" w14:textId="40C43EBD" w:rsidR="001C6E94" w:rsidRDefault="001E3C92" w:rsidP="00EE2999">
      <w:r w:rsidRPr="001E3C92">
        <w:t>The grain boundary diffusion process (GBDP) is one of the most efficient treatments for increasing the coercivity (</w:t>
      </w:r>
      <w:proofErr w:type="spellStart"/>
      <w:r w:rsidRPr="009D01B2">
        <w:rPr>
          <w:i/>
          <w:iCs/>
        </w:rPr>
        <w:t>H</w:t>
      </w:r>
      <w:r w:rsidRPr="009D01B2">
        <w:rPr>
          <w:i/>
          <w:iCs/>
          <w:vertAlign w:val="subscript"/>
        </w:rPr>
        <w:t>c</w:t>
      </w:r>
      <w:proofErr w:type="spellEnd"/>
      <w:r w:rsidRPr="001E3C92">
        <w:t>) of Nd-Fe-B magnets</w:t>
      </w:r>
      <w:r w:rsidR="00427D8B">
        <w:t xml:space="preserve"> [1,2]</w:t>
      </w:r>
      <w:r w:rsidRPr="001E3C92">
        <w:t>. However, this enhancement typically occurs at the expense of remanence (</w:t>
      </w:r>
      <w:proofErr w:type="spellStart"/>
      <w:r w:rsidRPr="009D01B2">
        <w:rPr>
          <w:i/>
          <w:iCs/>
        </w:rPr>
        <w:t>M</w:t>
      </w:r>
      <w:r w:rsidRPr="009D01B2">
        <w:rPr>
          <w:i/>
          <w:iCs/>
          <w:vertAlign w:val="subscript"/>
        </w:rPr>
        <w:t>r</w:t>
      </w:r>
      <w:proofErr w:type="spellEnd"/>
      <w:r w:rsidRPr="001E3C92">
        <w:t>). In this study, micromagnetic simulations were performed to quantify this tradeoff in hot-deformed Nd-Fe-B magnets subjected to the GBDP using a Nd-based eutectic alloy</w:t>
      </w:r>
      <w:r w:rsidR="00427D8B">
        <w:t xml:space="preserve"> [3]</w:t>
      </w:r>
      <w:r w:rsidRPr="001E3C92">
        <w:t>. The GBDP was imitated in a series of models with a gradually increasing volume fraction of the infiltrated Nd-rich nonmagnetic phase.</w:t>
      </w:r>
      <w:r w:rsidR="003B7E21" w:rsidRPr="003B7E21">
        <w:t xml:space="preserve"> </w:t>
      </w:r>
      <w:r w:rsidR="003B7E21">
        <w:t xml:space="preserve">One of these models is </w:t>
      </w:r>
      <w:r w:rsidR="00CB7562">
        <w:t>demonstrated</w:t>
      </w:r>
      <w:r w:rsidR="003B7E21">
        <w:t xml:space="preserve"> in Fig. 1a.</w:t>
      </w:r>
      <w:r w:rsidRPr="001E3C92">
        <w:t xml:space="preserve"> Th</w:t>
      </w:r>
      <w:r w:rsidR="003B7E21">
        <w:t>e imitated</w:t>
      </w:r>
      <w:r w:rsidRPr="001E3C92">
        <w:t xml:space="preserve"> infiltration reduced the remanence and grain connectivity via the remaining thin magnetic intergranular phase (IGP), which in turn increased the coercivity. We distinguished between the roles of exchange and magnetostatic interactions in this coercivity enhancement. Furthermore, the simulated </w:t>
      </w:r>
      <w:proofErr w:type="spellStart"/>
      <w:r w:rsidRPr="0020425B">
        <w:rPr>
          <w:i/>
          <w:iCs/>
        </w:rPr>
        <w:t>M</w:t>
      </w:r>
      <w:r w:rsidRPr="0020425B">
        <w:rPr>
          <w:i/>
          <w:iCs/>
          <w:vertAlign w:val="subscript"/>
        </w:rPr>
        <w:t>r</w:t>
      </w:r>
      <w:proofErr w:type="spellEnd"/>
      <w:r w:rsidRPr="001E3C92">
        <w:t xml:space="preserve"> vs. </w:t>
      </w:r>
      <w:proofErr w:type="spellStart"/>
      <w:r w:rsidRPr="0020425B">
        <w:rPr>
          <w:i/>
          <w:iCs/>
        </w:rPr>
        <w:t>H</w:t>
      </w:r>
      <w:r w:rsidRPr="0020425B">
        <w:rPr>
          <w:i/>
          <w:iCs/>
          <w:vertAlign w:val="subscript"/>
        </w:rPr>
        <w:t>c</w:t>
      </w:r>
      <w:proofErr w:type="spellEnd"/>
      <w:r w:rsidRPr="001E3C92">
        <w:t xml:space="preserve"> curves</w:t>
      </w:r>
      <w:r w:rsidR="00CD5C87">
        <w:t xml:space="preserve"> (Fig.</w:t>
      </w:r>
      <w:r w:rsidR="003B7E21">
        <w:t> </w:t>
      </w:r>
      <w:r w:rsidR="00CD5C87">
        <w:t>1b)</w:t>
      </w:r>
      <w:r w:rsidRPr="001E3C92">
        <w:t xml:space="preserve"> defined realistic limits for coercivity that depended on the IGP magnetization, which was estimated to be 0.9</w:t>
      </w:r>
      <w:r w:rsidR="00C1085C">
        <w:t> </w:t>
      </w:r>
      <w:r w:rsidRPr="001E3C92">
        <w:t>±</w:t>
      </w:r>
      <w:r w:rsidR="00C1085C">
        <w:t> </w:t>
      </w:r>
      <w:r w:rsidRPr="001E3C92">
        <w:t>0.1</w:t>
      </w:r>
      <w:r w:rsidR="00C1085C">
        <w:t> </w:t>
      </w:r>
      <w:r w:rsidRPr="001E3C92">
        <w:t xml:space="preserve">T by reproducing experimental </w:t>
      </w:r>
      <w:proofErr w:type="spellStart"/>
      <w:r w:rsidR="00C1085C" w:rsidRPr="0020425B">
        <w:rPr>
          <w:i/>
          <w:iCs/>
        </w:rPr>
        <w:t>M</w:t>
      </w:r>
      <w:r w:rsidR="00C1085C" w:rsidRPr="0020425B">
        <w:rPr>
          <w:i/>
          <w:iCs/>
          <w:vertAlign w:val="subscript"/>
        </w:rPr>
        <w:t>r</w:t>
      </w:r>
      <w:proofErr w:type="spellEnd"/>
      <w:r w:rsidR="00C1085C" w:rsidRPr="001E3C92">
        <w:t xml:space="preserve"> vs. </w:t>
      </w:r>
      <w:proofErr w:type="spellStart"/>
      <w:r w:rsidR="00C1085C" w:rsidRPr="0020425B">
        <w:rPr>
          <w:i/>
          <w:iCs/>
        </w:rPr>
        <w:t>H</w:t>
      </w:r>
      <w:r w:rsidR="00C1085C" w:rsidRPr="0020425B">
        <w:rPr>
          <w:i/>
          <w:iCs/>
          <w:vertAlign w:val="subscript"/>
        </w:rPr>
        <w:t>c</w:t>
      </w:r>
      <w:proofErr w:type="spellEnd"/>
      <w:r w:rsidRPr="001E3C92">
        <w:t xml:space="preserve"> data from the literature.</w:t>
      </w:r>
    </w:p>
    <w:p w14:paraId="17A522B0" w14:textId="63023545" w:rsidR="00096EF2" w:rsidRDefault="00C1085C" w:rsidP="00EE2999">
      <w:r>
        <w:rPr>
          <w:noProof/>
        </w:rPr>
        <w:drawing>
          <wp:inline distT="0" distB="0" distL="0" distR="0" wp14:anchorId="5C484547" wp14:editId="6D00C710">
            <wp:extent cx="6332855" cy="2265680"/>
            <wp:effectExtent l="0" t="0" r="0" b="1270"/>
            <wp:docPr id="1037665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855" cy="2265680"/>
                    </a:xfrm>
                    <a:prstGeom prst="rect">
                      <a:avLst/>
                    </a:prstGeom>
                    <a:noFill/>
                    <a:ln>
                      <a:noFill/>
                    </a:ln>
                  </pic:spPr>
                </pic:pic>
              </a:graphicData>
            </a:graphic>
          </wp:inline>
        </w:drawing>
      </w:r>
    </w:p>
    <w:p w14:paraId="224EDA3A" w14:textId="1F7D7239" w:rsidR="00096EF2" w:rsidRDefault="000E0120" w:rsidP="00EE2999">
      <w:r w:rsidRPr="000E0120">
        <w:rPr>
          <w:b/>
          <w:bCs/>
        </w:rPr>
        <w:t>Figure 1</w:t>
      </w:r>
      <w:r>
        <w:t xml:space="preserve">. </w:t>
      </w:r>
      <w:r w:rsidR="00CD5C87">
        <w:t xml:space="preserve">(a) </w:t>
      </w:r>
      <w:r w:rsidR="00C1085C">
        <w:t>M</w:t>
      </w:r>
      <w:r w:rsidR="00C1085C" w:rsidRPr="00C1085C">
        <w:t xml:space="preserve">icromagnetic model of </w:t>
      </w:r>
      <w:r w:rsidR="00C1085C">
        <w:t xml:space="preserve">the </w:t>
      </w:r>
      <w:r w:rsidR="00C1085C" w:rsidRPr="00C1085C">
        <w:t>hot-deformed Nd-Fe-B magnet</w:t>
      </w:r>
      <w:r w:rsidR="00CD5C87">
        <w:t>s</w:t>
      </w:r>
      <w:r w:rsidR="00C1085C" w:rsidRPr="00C1085C">
        <w:t xml:space="preserve"> </w:t>
      </w:r>
      <w:r w:rsidR="00CD5C87">
        <w:t xml:space="preserve">subjected to the </w:t>
      </w:r>
      <w:r w:rsidR="00C1085C" w:rsidRPr="00C1085C">
        <w:t>grain boundary diffusion</w:t>
      </w:r>
      <w:r w:rsidR="00CD5C87">
        <w:t xml:space="preserve"> </w:t>
      </w:r>
      <w:r w:rsidR="00CD5C87" w:rsidRPr="00C1085C">
        <w:t>by a Nd-based eutectic alloy</w:t>
      </w:r>
      <w:r w:rsidR="00C1085C" w:rsidRPr="00C1085C">
        <w:t>.</w:t>
      </w:r>
      <w:r w:rsidR="00C1085C">
        <w:t xml:space="preserve"> </w:t>
      </w:r>
      <w:r w:rsidR="00CD5C87">
        <w:t xml:space="preserve">(b) </w:t>
      </w:r>
      <w:r w:rsidR="00C1085C" w:rsidRPr="00C1085C">
        <w:t xml:space="preserve">Simulated remanence vs. coercivity of </w:t>
      </w:r>
      <w:r w:rsidR="00CD5C87">
        <w:t>the</w:t>
      </w:r>
      <w:r w:rsidR="00C1085C" w:rsidRPr="00C1085C">
        <w:t xml:space="preserve"> Nd-Fe-B magnets as the content of the Nd-rich nonmagnetic phase increased. Simulations were performed for different magnetizations of the thin </w:t>
      </w:r>
      <w:r w:rsidR="00CD5C87">
        <w:t>intergranular phase (</w:t>
      </w:r>
      <w:r w:rsidR="00C1085C" w:rsidRPr="00C1085C">
        <w:t>IGP</w:t>
      </w:r>
      <w:r w:rsidR="00CD5C87">
        <w:t>)</w:t>
      </w:r>
      <w:r w:rsidR="00C1085C" w:rsidRPr="00C1085C">
        <w:t>. Solid lines are guides for the eye.</w:t>
      </w:r>
    </w:p>
    <w:p w14:paraId="645B96C7" w14:textId="4EFD7D3F" w:rsidR="001E3C92" w:rsidRDefault="005829BF" w:rsidP="00EE2999">
      <w:r>
        <w:t>The support</w:t>
      </w:r>
      <w:r w:rsidR="001E3C92" w:rsidRPr="001E3C92">
        <w:t xml:space="preserve"> by the MEXT (JPMXP1122715503) and JSPS </w:t>
      </w:r>
      <w:r>
        <w:t>(</w:t>
      </w:r>
      <w:r w:rsidR="001E3C92" w:rsidRPr="001E3C92">
        <w:t>JP23H01674</w:t>
      </w:r>
      <w:r>
        <w:t>) is acknowledged.</w:t>
      </w:r>
    </w:p>
    <w:p w14:paraId="55F96AFA" w14:textId="77777777" w:rsidR="001C6E94" w:rsidRDefault="001C6E94" w:rsidP="001C6E94">
      <w:pPr>
        <w:rPr>
          <w:b/>
        </w:rPr>
      </w:pPr>
      <w:r w:rsidRPr="0000257E">
        <w:rPr>
          <w:b/>
        </w:rPr>
        <w:t>References</w:t>
      </w:r>
    </w:p>
    <w:p w14:paraId="5C89E025" w14:textId="5C836FC6" w:rsidR="001C6E94" w:rsidRDefault="00A65BC0" w:rsidP="001C6E94">
      <w:pPr>
        <w:pStyle w:val="ListParagraph"/>
        <w:numPr>
          <w:ilvl w:val="0"/>
          <w:numId w:val="5"/>
        </w:numPr>
      </w:pPr>
      <w:r w:rsidRPr="00A65BC0">
        <w:t>K. Hioki</w:t>
      </w:r>
      <w:r w:rsidR="001C6E94">
        <w:t xml:space="preserve">, </w:t>
      </w:r>
      <w:r w:rsidR="001C6E94" w:rsidRPr="009B734E">
        <w:t>“</w:t>
      </w:r>
      <w:r w:rsidRPr="00A65BC0">
        <w:rPr>
          <w:i/>
          <w:iCs/>
        </w:rPr>
        <w:t>High performance hot-deformed Nd-Fe-B magnets</w:t>
      </w:r>
      <w:r w:rsidR="001C6E94">
        <w:t xml:space="preserve">”, </w:t>
      </w:r>
      <w:r w:rsidRPr="00A65BC0">
        <w:t xml:space="preserve">Sci. Technol. Adv. Mater. </w:t>
      </w:r>
      <w:r w:rsidRPr="00A65BC0">
        <w:rPr>
          <w:b/>
          <w:bCs/>
        </w:rPr>
        <w:t>22</w:t>
      </w:r>
      <w:r w:rsidRPr="00A65BC0">
        <w:t xml:space="preserve"> (2021) 72</w:t>
      </w:r>
      <w:r w:rsidR="001C6E94" w:rsidRPr="009B734E">
        <w:t>.</w:t>
      </w:r>
    </w:p>
    <w:p w14:paraId="6BB97739" w14:textId="6D3677E8" w:rsidR="001C6E94" w:rsidRDefault="00A65BC0" w:rsidP="00BE7461">
      <w:pPr>
        <w:pStyle w:val="ListParagraph"/>
        <w:numPr>
          <w:ilvl w:val="0"/>
          <w:numId w:val="5"/>
        </w:numPr>
      </w:pPr>
      <w:r w:rsidRPr="00A65BC0">
        <w:t xml:space="preserve">H. </w:t>
      </w:r>
      <w:proofErr w:type="spellStart"/>
      <w:r w:rsidRPr="00A65BC0">
        <w:t>Sepehri</w:t>
      </w:r>
      <w:proofErr w:type="spellEnd"/>
      <w:r w:rsidRPr="00A65BC0">
        <w:t>-Amin</w:t>
      </w:r>
      <w:r w:rsidR="00427D8B">
        <w:t xml:space="preserve"> et al.</w:t>
      </w:r>
      <w:r w:rsidR="001E3C92">
        <w:t xml:space="preserve">, </w:t>
      </w:r>
      <w:r w:rsidR="001E3C92" w:rsidRPr="009B734E">
        <w:t>“</w:t>
      </w:r>
      <w:r w:rsidRPr="00A65BC0">
        <w:rPr>
          <w:i/>
          <w:iCs/>
        </w:rPr>
        <w:t>High-coercivity ultrafine-grained anisotropic Nd-Fe-B magnets processed by hot deformation and the Nd-Cu grain boundary diffusion process</w:t>
      </w:r>
      <w:r w:rsidR="001E3C92">
        <w:t xml:space="preserve">”, </w:t>
      </w:r>
      <w:r w:rsidRPr="00A65BC0">
        <w:t xml:space="preserve">Acta Mater. </w:t>
      </w:r>
      <w:r w:rsidRPr="00A65BC0">
        <w:rPr>
          <w:b/>
          <w:bCs/>
        </w:rPr>
        <w:t>61</w:t>
      </w:r>
      <w:r w:rsidRPr="00A65BC0">
        <w:t xml:space="preserve"> (2013) 6622</w:t>
      </w:r>
      <w:r w:rsidR="001E3C92" w:rsidRPr="009B734E">
        <w:t>.</w:t>
      </w:r>
    </w:p>
    <w:p w14:paraId="7AB3386F" w14:textId="743D17A0" w:rsidR="00427D8B" w:rsidRDefault="00427D8B" w:rsidP="00427D8B">
      <w:pPr>
        <w:pStyle w:val="ListParagraph"/>
        <w:numPr>
          <w:ilvl w:val="0"/>
          <w:numId w:val="5"/>
        </w:numPr>
      </w:pPr>
      <w:r w:rsidRPr="00427D8B">
        <w:t>A</w:t>
      </w:r>
      <w:r>
        <w:t>.</w:t>
      </w:r>
      <w:r w:rsidRPr="00427D8B">
        <w:t xml:space="preserve"> Bolyachkin</w:t>
      </w:r>
      <w:r>
        <w:t xml:space="preserve"> et al., </w:t>
      </w:r>
      <w:r w:rsidRPr="009B734E">
        <w:t>“</w:t>
      </w:r>
      <w:r w:rsidRPr="00427D8B">
        <w:rPr>
          <w:i/>
          <w:iCs/>
        </w:rPr>
        <w:t>Micromagnetic simulations of Nd-Fe-B hot-deformed magnets subjected to eutectic grain boundary diffusion process</w:t>
      </w:r>
      <w:r>
        <w:t>”, Scripta</w:t>
      </w:r>
      <w:r w:rsidRPr="00A65BC0">
        <w:t xml:space="preserve"> Mater. </w:t>
      </w:r>
      <w:r>
        <w:rPr>
          <w:b/>
          <w:bCs/>
        </w:rPr>
        <w:t>247</w:t>
      </w:r>
      <w:r w:rsidRPr="00A65BC0">
        <w:t xml:space="preserve"> (20</w:t>
      </w:r>
      <w:r>
        <w:t>24</w:t>
      </w:r>
      <w:r w:rsidRPr="00A65BC0">
        <w:t xml:space="preserve">) </w:t>
      </w:r>
      <w:r w:rsidRPr="00427D8B">
        <w:t>116095</w:t>
      </w:r>
      <w:r w:rsidRPr="009B734E">
        <w:t>.</w:t>
      </w:r>
    </w:p>
    <w:sectPr w:rsidR="00427D8B" w:rsidSect="00B07022">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5C08B" w14:textId="77777777" w:rsidR="00774413" w:rsidRDefault="00774413" w:rsidP="00736AB4">
      <w:pPr>
        <w:spacing w:after="0" w:line="240" w:lineRule="auto"/>
      </w:pPr>
      <w:r>
        <w:separator/>
      </w:r>
    </w:p>
  </w:endnote>
  <w:endnote w:type="continuationSeparator" w:id="0">
    <w:p w14:paraId="701AEC26" w14:textId="77777777" w:rsidR="00774413" w:rsidRDefault="00774413" w:rsidP="0073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18A0A" w14:textId="77777777" w:rsidR="00774413" w:rsidRDefault="00774413" w:rsidP="00736AB4">
      <w:pPr>
        <w:spacing w:after="0" w:line="240" w:lineRule="auto"/>
      </w:pPr>
      <w:r>
        <w:separator/>
      </w:r>
    </w:p>
  </w:footnote>
  <w:footnote w:type="continuationSeparator" w:id="0">
    <w:p w14:paraId="72FCC1C7" w14:textId="77777777" w:rsidR="00774413" w:rsidRDefault="00774413" w:rsidP="00736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583"/>
    <w:multiLevelType w:val="hybridMultilevel"/>
    <w:tmpl w:val="09961734"/>
    <w:lvl w:ilvl="0" w:tplc="DC844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70F00"/>
    <w:multiLevelType w:val="hybridMultilevel"/>
    <w:tmpl w:val="3C4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2DC5"/>
    <w:multiLevelType w:val="hybridMultilevel"/>
    <w:tmpl w:val="0136B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26DF7"/>
    <w:multiLevelType w:val="hybridMultilevel"/>
    <w:tmpl w:val="B854F46C"/>
    <w:lvl w:ilvl="0" w:tplc="7DC6BCFC">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D403D"/>
    <w:multiLevelType w:val="hybridMultilevel"/>
    <w:tmpl w:val="7A742F7E"/>
    <w:lvl w:ilvl="0" w:tplc="9D38D96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A54156"/>
    <w:multiLevelType w:val="hybridMultilevel"/>
    <w:tmpl w:val="17EE6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53612">
    <w:abstractNumId w:val="5"/>
  </w:num>
  <w:num w:numId="2" w16cid:durableId="1534263869">
    <w:abstractNumId w:val="4"/>
  </w:num>
  <w:num w:numId="3" w16cid:durableId="676544245">
    <w:abstractNumId w:val="2"/>
  </w:num>
  <w:num w:numId="4" w16cid:durableId="1112826948">
    <w:abstractNumId w:val="0"/>
  </w:num>
  <w:num w:numId="5" w16cid:durableId="1945384019">
    <w:abstractNumId w:val="3"/>
  </w:num>
  <w:num w:numId="6" w16cid:durableId="67996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7E"/>
    <w:rsid w:val="0000257E"/>
    <w:rsid w:val="00064287"/>
    <w:rsid w:val="00096EF2"/>
    <w:rsid w:val="000E0120"/>
    <w:rsid w:val="000E5DA5"/>
    <w:rsid w:val="000F29C1"/>
    <w:rsid w:val="00101479"/>
    <w:rsid w:val="00147A95"/>
    <w:rsid w:val="001B1761"/>
    <w:rsid w:val="001C38FD"/>
    <w:rsid w:val="001C6E94"/>
    <w:rsid w:val="001D1F4A"/>
    <w:rsid w:val="001E3C92"/>
    <w:rsid w:val="0020425B"/>
    <w:rsid w:val="0023200B"/>
    <w:rsid w:val="002343EB"/>
    <w:rsid w:val="0026517F"/>
    <w:rsid w:val="0027323C"/>
    <w:rsid w:val="003749E4"/>
    <w:rsid w:val="003B7E21"/>
    <w:rsid w:val="0041789F"/>
    <w:rsid w:val="00427D8B"/>
    <w:rsid w:val="00477F7C"/>
    <w:rsid w:val="004A13AD"/>
    <w:rsid w:val="00515E43"/>
    <w:rsid w:val="0055385F"/>
    <w:rsid w:val="005829BF"/>
    <w:rsid w:val="005B1C62"/>
    <w:rsid w:val="005E31B8"/>
    <w:rsid w:val="00654E3A"/>
    <w:rsid w:val="0067024E"/>
    <w:rsid w:val="006855EA"/>
    <w:rsid w:val="006C0CC3"/>
    <w:rsid w:val="00726446"/>
    <w:rsid w:val="00736AB4"/>
    <w:rsid w:val="00774413"/>
    <w:rsid w:val="00821D8A"/>
    <w:rsid w:val="00843C99"/>
    <w:rsid w:val="00867A01"/>
    <w:rsid w:val="009431D7"/>
    <w:rsid w:val="0097791A"/>
    <w:rsid w:val="009B734E"/>
    <w:rsid w:val="009D01B2"/>
    <w:rsid w:val="009E2D55"/>
    <w:rsid w:val="009F3BA3"/>
    <w:rsid w:val="00A65BC0"/>
    <w:rsid w:val="00B07022"/>
    <w:rsid w:val="00BE7461"/>
    <w:rsid w:val="00BF6894"/>
    <w:rsid w:val="00C1085C"/>
    <w:rsid w:val="00C36B2F"/>
    <w:rsid w:val="00CA1B69"/>
    <w:rsid w:val="00CB7562"/>
    <w:rsid w:val="00CD5C87"/>
    <w:rsid w:val="00CF2AAD"/>
    <w:rsid w:val="00E43138"/>
    <w:rsid w:val="00EB2A3C"/>
    <w:rsid w:val="00EE2999"/>
    <w:rsid w:val="00F37F8B"/>
    <w:rsid w:val="00FD178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EF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57E"/>
    <w:pPr>
      <w:jc w:val="both"/>
    </w:pPr>
    <w:rPr>
      <w:rFonts w:ascii="Times New Roman" w:hAnsi="Times New Roman"/>
    </w:rPr>
  </w:style>
  <w:style w:type="paragraph" w:styleId="Heading1">
    <w:name w:val="heading 1"/>
    <w:basedOn w:val="Normal"/>
    <w:next w:val="Normal"/>
    <w:link w:val="Heading1Char"/>
    <w:uiPriority w:val="9"/>
    <w:qFormat/>
    <w:rsid w:val="0000257E"/>
    <w:pPr>
      <w:keepNext/>
      <w:keepLines/>
      <w:spacing w:before="240" w:after="0"/>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7E"/>
    <w:rPr>
      <w:rFonts w:ascii="Times New Roman" w:eastAsiaTheme="majorEastAsia" w:hAnsi="Times New Roman" w:cstheme="majorBidi"/>
      <w:b/>
      <w:sz w:val="32"/>
      <w:szCs w:val="32"/>
    </w:rPr>
  </w:style>
  <w:style w:type="paragraph" w:styleId="ListParagraph">
    <w:name w:val="List Paragraph"/>
    <w:basedOn w:val="Normal"/>
    <w:uiPriority w:val="34"/>
    <w:qFormat/>
    <w:rsid w:val="0000257E"/>
    <w:pPr>
      <w:ind w:left="720"/>
      <w:contextualSpacing/>
    </w:pPr>
  </w:style>
  <w:style w:type="table" w:styleId="TableGrid">
    <w:name w:val="Table Grid"/>
    <w:basedOn w:val="TableNormal"/>
    <w:uiPriority w:val="39"/>
    <w:rsid w:val="0047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AB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36AB4"/>
    <w:rPr>
      <w:rFonts w:ascii="Times New Roman" w:hAnsi="Times New Roman"/>
    </w:rPr>
  </w:style>
  <w:style w:type="paragraph" w:styleId="Footer">
    <w:name w:val="footer"/>
    <w:basedOn w:val="Normal"/>
    <w:link w:val="FooterChar"/>
    <w:uiPriority w:val="99"/>
    <w:unhideWhenUsed/>
    <w:rsid w:val="00736AB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36AB4"/>
    <w:rPr>
      <w:rFonts w:ascii="Times New Roman" w:hAnsi="Times New Roman"/>
    </w:rPr>
  </w:style>
  <w:style w:type="character" w:styleId="Hyperlink">
    <w:name w:val="Hyperlink"/>
    <w:basedOn w:val="DefaultParagraphFont"/>
    <w:uiPriority w:val="99"/>
    <w:unhideWhenUsed/>
    <w:rsid w:val="006855EA"/>
    <w:rPr>
      <w:color w:val="0563C1" w:themeColor="hyperlink"/>
      <w:u w:val="single"/>
    </w:rPr>
  </w:style>
  <w:style w:type="character" w:styleId="UnresolvedMention">
    <w:name w:val="Unresolved Mention"/>
    <w:basedOn w:val="DefaultParagraphFont"/>
    <w:uiPriority w:val="99"/>
    <w:semiHidden/>
    <w:unhideWhenUsed/>
    <w:rsid w:val="006855EA"/>
    <w:rPr>
      <w:color w:val="605E5C"/>
      <w:shd w:val="clear" w:color="auto" w:fill="E1DFDD"/>
    </w:rPr>
  </w:style>
  <w:style w:type="character" w:styleId="CommentReference">
    <w:name w:val="annotation reference"/>
    <w:basedOn w:val="DefaultParagraphFont"/>
    <w:uiPriority w:val="99"/>
    <w:semiHidden/>
    <w:unhideWhenUsed/>
    <w:rsid w:val="005E31B8"/>
    <w:rPr>
      <w:sz w:val="16"/>
      <w:szCs w:val="16"/>
    </w:rPr>
  </w:style>
  <w:style w:type="paragraph" w:styleId="CommentText">
    <w:name w:val="annotation text"/>
    <w:basedOn w:val="Normal"/>
    <w:link w:val="CommentTextChar"/>
    <w:uiPriority w:val="99"/>
    <w:unhideWhenUsed/>
    <w:rsid w:val="005E31B8"/>
    <w:pPr>
      <w:spacing w:line="240" w:lineRule="auto"/>
    </w:pPr>
    <w:rPr>
      <w:sz w:val="20"/>
      <w:szCs w:val="20"/>
    </w:rPr>
  </w:style>
  <w:style w:type="character" w:customStyle="1" w:styleId="CommentTextChar">
    <w:name w:val="Comment Text Char"/>
    <w:basedOn w:val="DefaultParagraphFont"/>
    <w:link w:val="CommentText"/>
    <w:uiPriority w:val="99"/>
    <w:rsid w:val="005E31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31B8"/>
    <w:rPr>
      <w:b/>
      <w:bCs/>
    </w:rPr>
  </w:style>
  <w:style w:type="character" w:customStyle="1" w:styleId="CommentSubjectChar">
    <w:name w:val="Comment Subject Char"/>
    <w:basedOn w:val="CommentTextChar"/>
    <w:link w:val="CommentSubject"/>
    <w:uiPriority w:val="99"/>
    <w:semiHidden/>
    <w:rsid w:val="005E31B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3935-4D87-419B-B3F4-8F565481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2024-10-13T04:59:00Z</dcterms:created>
  <dcterms:modified xsi:type="dcterms:W3CDTF">2024-10-13T04:59:00Z</dcterms:modified>
</cp:coreProperties>
</file>