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52662" w14:textId="77777777" w:rsidR="00CB4F4C" w:rsidRDefault="00000000">
      <w:pPr>
        <w:keepNext/>
        <w:keepLines/>
        <w:pBdr>
          <w:top w:val="nil"/>
          <w:left w:val="nil"/>
          <w:bottom w:val="nil"/>
          <w:right w:val="nil"/>
          <w:between w:val="nil"/>
        </w:pBdr>
        <w:spacing w:line="240" w:lineRule="auto"/>
        <w:ind w:left="1" w:hanging="3"/>
        <w:jc w:val="left"/>
        <w:rPr>
          <w:b/>
          <w:color w:val="000000"/>
          <w:sz w:val="28"/>
          <w:szCs w:val="28"/>
        </w:rPr>
      </w:pPr>
      <w:r>
        <w:rPr>
          <w:b/>
          <w:color w:val="000000"/>
          <w:sz w:val="28"/>
          <w:szCs w:val="28"/>
        </w:rPr>
        <w:t>Single-Atom Sn-Loaded Exfoliated Layered Titanate Shows Photocatalytic Activity in Hydrogen Generation</w:t>
      </w:r>
    </w:p>
    <w:p w14:paraId="1D7E338D" w14:textId="77777777" w:rsidR="00CB4F4C" w:rsidRDefault="00CB4F4C">
      <w:pPr>
        <w:keepNext/>
        <w:keepLines/>
        <w:pBdr>
          <w:top w:val="nil"/>
          <w:left w:val="nil"/>
          <w:bottom w:val="nil"/>
          <w:right w:val="nil"/>
          <w:between w:val="nil"/>
        </w:pBdr>
        <w:spacing w:line="240" w:lineRule="auto"/>
        <w:ind w:left="0" w:hanging="2"/>
        <w:jc w:val="left"/>
        <w:rPr>
          <w:color w:val="000000"/>
          <w:sz w:val="24"/>
          <w:szCs w:val="24"/>
        </w:rPr>
      </w:pPr>
    </w:p>
    <w:p w14:paraId="0D8C79AC" w14:textId="77777777" w:rsidR="00CB4F4C" w:rsidRDefault="00000000">
      <w:pPr>
        <w:keepNext/>
        <w:keepLines/>
        <w:pBdr>
          <w:top w:val="nil"/>
          <w:left w:val="nil"/>
          <w:bottom w:val="nil"/>
          <w:right w:val="nil"/>
          <w:between w:val="nil"/>
        </w:pBdr>
        <w:spacing w:line="240" w:lineRule="auto"/>
        <w:ind w:left="0" w:hanging="2"/>
        <w:jc w:val="left"/>
        <w:rPr>
          <w:color w:val="000000"/>
          <w:sz w:val="24"/>
          <w:szCs w:val="24"/>
        </w:rPr>
      </w:pPr>
      <w:r>
        <w:rPr>
          <w:color w:val="000000"/>
          <w:sz w:val="24"/>
          <w:szCs w:val="24"/>
        </w:rPr>
        <w:t>Tuğçe Üstünel</w:t>
      </w:r>
      <w:r>
        <w:rPr>
          <w:color w:val="000000"/>
          <w:sz w:val="24"/>
          <w:szCs w:val="24"/>
          <w:vertAlign w:val="superscript"/>
        </w:rPr>
        <w:t>1,2</w:t>
      </w:r>
      <w:r>
        <w:rPr>
          <w:color w:val="000000"/>
          <w:sz w:val="24"/>
          <w:szCs w:val="24"/>
        </w:rPr>
        <w:t>, Yusuke Ide</w:t>
      </w:r>
      <w:r>
        <w:rPr>
          <w:color w:val="000000"/>
          <w:sz w:val="24"/>
          <w:szCs w:val="24"/>
          <w:vertAlign w:val="superscript"/>
        </w:rPr>
        <w:t>3,4</w:t>
      </w:r>
      <w:r>
        <w:rPr>
          <w:color w:val="000000"/>
          <w:sz w:val="24"/>
          <w:szCs w:val="24"/>
        </w:rPr>
        <w:t>, Sarp Kaya</w:t>
      </w:r>
      <w:r>
        <w:rPr>
          <w:color w:val="000000"/>
          <w:sz w:val="24"/>
          <w:szCs w:val="24"/>
          <w:vertAlign w:val="superscript"/>
        </w:rPr>
        <w:t>1,2,5,*</w:t>
      </w:r>
      <w:r>
        <w:rPr>
          <w:color w:val="000000"/>
          <w:sz w:val="24"/>
          <w:szCs w:val="24"/>
        </w:rPr>
        <w:t>, Hiroaki Matsumoto</w:t>
      </w:r>
      <w:r>
        <w:rPr>
          <w:color w:val="000000"/>
          <w:sz w:val="24"/>
          <w:szCs w:val="24"/>
          <w:vertAlign w:val="superscript"/>
        </w:rPr>
        <w:t>6</w:t>
      </w:r>
      <w:r>
        <w:rPr>
          <w:color w:val="000000"/>
          <w:sz w:val="24"/>
          <w:szCs w:val="24"/>
        </w:rPr>
        <w:t>, Keisuke Igarashi</w:t>
      </w:r>
      <w:r>
        <w:rPr>
          <w:color w:val="000000"/>
          <w:sz w:val="24"/>
          <w:szCs w:val="24"/>
          <w:vertAlign w:val="superscript"/>
        </w:rPr>
        <w:t>6</w:t>
      </w:r>
      <w:r>
        <w:rPr>
          <w:color w:val="000000"/>
          <w:sz w:val="24"/>
          <w:szCs w:val="24"/>
        </w:rPr>
        <w:t>, Esmail Doustkhah</w:t>
      </w:r>
      <w:r>
        <w:rPr>
          <w:color w:val="000000"/>
          <w:sz w:val="24"/>
          <w:szCs w:val="24"/>
          <w:vertAlign w:val="superscript"/>
        </w:rPr>
        <w:t>2,*</w:t>
      </w:r>
    </w:p>
    <w:p w14:paraId="61247FF8" w14:textId="77777777" w:rsidR="00CB4F4C" w:rsidRDefault="00CB4F4C">
      <w:pPr>
        <w:widowControl w:val="0"/>
        <w:pBdr>
          <w:top w:val="nil"/>
          <w:left w:val="nil"/>
          <w:bottom w:val="nil"/>
          <w:right w:val="nil"/>
          <w:between w:val="nil"/>
        </w:pBdr>
        <w:spacing w:line="240" w:lineRule="auto"/>
        <w:ind w:left="0" w:hanging="2"/>
        <w:jc w:val="left"/>
        <w:rPr>
          <w:color w:val="000000"/>
          <w:sz w:val="24"/>
          <w:szCs w:val="24"/>
        </w:rPr>
      </w:pPr>
    </w:p>
    <w:p w14:paraId="504E27AE" w14:textId="77777777" w:rsidR="00CB4F4C" w:rsidRDefault="00000000">
      <w:pPr>
        <w:widowControl w:val="0"/>
        <w:pBdr>
          <w:top w:val="nil"/>
          <w:left w:val="nil"/>
          <w:bottom w:val="nil"/>
          <w:right w:val="nil"/>
          <w:between w:val="nil"/>
        </w:pBdr>
        <w:spacing w:line="240" w:lineRule="auto"/>
        <w:ind w:left="0" w:hanging="2"/>
        <w:jc w:val="left"/>
        <w:rPr>
          <w:color w:val="000000"/>
          <w:sz w:val="24"/>
          <w:szCs w:val="24"/>
        </w:rPr>
      </w:pPr>
      <w:r>
        <w:rPr>
          <w:color w:val="000000"/>
          <w:sz w:val="24"/>
          <w:szCs w:val="24"/>
          <w:vertAlign w:val="superscript"/>
        </w:rPr>
        <w:t>1.</w:t>
      </w:r>
      <w:r>
        <w:rPr>
          <w:color w:val="000000"/>
          <w:sz w:val="24"/>
          <w:szCs w:val="24"/>
        </w:rPr>
        <w:t xml:space="preserve"> Materials Science and Engineering/Koç University, Istanbul, 34450, Turkey.</w:t>
      </w:r>
    </w:p>
    <w:p w14:paraId="61552F33" w14:textId="77777777" w:rsidR="00CB4F4C" w:rsidRDefault="00000000">
      <w:pPr>
        <w:widowControl w:val="0"/>
        <w:pBdr>
          <w:top w:val="nil"/>
          <w:left w:val="nil"/>
          <w:bottom w:val="nil"/>
          <w:right w:val="nil"/>
          <w:between w:val="nil"/>
        </w:pBdr>
        <w:spacing w:line="240" w:lineRule="auto"/>
        <w:ind w:left="0" w:hanging="2"/>
        <w:jc w:val="left"/>
        <w:rPr>
          <w:color w:val="000000"/>
          <w:sz w:val="24"/>
          <w:szCs w:val="24"/>
        </w:rPr>
      </w:pPr>
      <w:r>
        <w:rPr>
          <w:color w:val="000000"/>
          <w:sz w:val="24"/>
          <w:szCs w:val="24"/>
          <w:vertAlign w:val="superscript"/>
        </w:rPr>
        <w:t>2.</w:t>
      </w:r>
      <w:r>
        <w:rPr>
          <w:color w:val="000000"/>
          <w:sz w:val="24"/>
          <w:szCs w:val="24"/>
        </w:rPr>
        <w:t xml:space="preserve"> Koç University </w:t>
      </w:r>
      <w:proofErr w:type="spellStart"/>
      <w:r>
        <w:rPr>
          <w:color w:val="000000"/>
          <w:sz w:val="24"/>
          <w:szCs w:val="24"/>
        </w:rPr>
        <w:t>Tüpraş</w:t>
      </w:r>
      <w:proofErr w:type="spellEnd"/>
      <w:r>
        <w:rPr>
          <w:color w:val="000000"/>
          <w:sz w:val="24"/>
          <w:szCs w:val="24"/>
        </w:rPr>
        <w:t xml:space="preserve"> Energy Center (KUTEM), Istanbul, 34450, Turkey.</w:t>
      </w:r>
    </w:p>
    <w:p w14:paraId="1C00B46F" w14:textId="77777777" w:rsidR="00CB4F4C" w:rsidRDefault="00000000">
      <w:pPr>
        <w:widowControl w:val="0"/>
        <w:pBdr>
          <w:top w:val="nil"/>
          <w:left w:val="nil"/>
          <w:bottom w:val="nil"/>
          <w:right w:val="nil"/>
          <w:between w:val="nil"/>
        </w:pBdr>
        <w:spacing w:line="240" w:lineRule="auto"/>
        <w:ind w:left="0" w:hanging="2"/>
        <w:jc w:val="left"/>
        <w:rPr>
          <w:color w:val="000000"/>
          <w:sz w:val="24"/>
          <w:szCs w:val="24"/>
        </w:rPr>
      </w:pPr>
      <w:r>
        <w:rPr>
          <w:color w:val="000000"/>
          <w:sz w:val="24"/>
          <w:szCs w:val="24"/>
          <w:vertAlign w:val="superscript"/>
        </w:rPr>
        <w:t>3.</w:t>
      </w:r>
      <w:r>
        <w:rPr>
          <w:color w:val="000000"/>
          <w:sz w:val="24"/>
          <w:szCs w:val="24"/>
        </w:rPr>
        <w:t xml:space="preserve"> International Center for Materials </w:t>
      </w:r>
      <w:proofErr w:type="spellStart"/>
      <w:r>
        <w:rPr>
          <w:color w:val="000000"/>
          <w:sz w:val="24"/>
          <w:szCs w:val="24"/>
        </w:rPr>
        <w:t>Nanoarchitechtonics</w:t>
      </w:r>
      <w:proofErr w:type="spellEnd"/>
      <w:r>
        <w:rPr>
          <w:color w:val="000000"/>
          <w:sz w:val="24"/>
          <w:szCs w:val="24"/>
        </w:rPr>
        <w:t xml:space="preserve"> (WPI-MANA)/National Institute for Materials Science, 1-1 Namiki, Tsukuba, Ibaraki, 305-0044 Japan.</w:t>
      </w:r>
    </w:p>
    <w:p w14:paraId="6216D84B" w14:textId="77777777" w:rsidR="00CB4F4C" w:rsidRDefault="00000000">
      <w:pPr>
        <w:widowControl w:val="0"/>
        <w:pBdr>
          <w:top w:val="nil"/>
          <w:left w:val="nil"/>
          <w:bottom w:val="nil"/>
          <w:right w:val="nil"/>
          <w:between w:val="nil"/>
        </w:pBdr>
        <w:spacing w:line="240" w:lineRule="auto"/>
        <w:ind w:left="0" w:hanging="2"/>
        <w:jc w:val="left"/>
        <w:rPr>
          <w:color w:val="000000"/>
          <w:sz w:val="24"/>
          <w:szCs w:val="24"/>
        </w:rPr>
      </w:pPr>
      <w:r>
        <w:rPr>
          <w:color w:val="000000"/>
          <w:sz w:val="24"/>
          <w:szCs w:val="24"/>
          <w:vertAlign w:val="superscript"/>
        </w:rPr>
        <w:t>4.</w:t>
      </w:r>
      <w:r>
        <w:rPr>
          <w:color w:val="000000"/>
          <w:sz w:val="24"/>
          <w:szCs w:val="24"/>
        </w:rPr>
        <w:t xml:space="preserve"> Department of Chemistry and Life Science, Graduate School of Engineering Science/Yokohama National University, 79-5 Tokiwadai, Hodogaya-ku, Yokohama 240-8501, Japan.</w:t>
      </w:r>
    </w:p>
    <w:p w14:paraId="2174AA83" w14:textId="77777777" w:rsidR="00CB4F4C" w:rsidRDefault="00000000">
      <w:pPr>
        <w:widowControl w:val="0"/>
        <w:pBdr>
          <w:top w:val="nil"/>
          <w:left w:val="nil"/>
          <w:bottom w:val="nil"/>
          <w:right w:val="nil"/>
          <w:between w:val="nil"/>
        </w:pBdr>
        <w:spacing w:line="240" w:lineRule="auto"/>
        <w:ind w:left="0" w:hanging="2"/>
        <w:jc w:val="left"/>
        <w:rPr>
          <w:color w:val="000000"/>
          <w:sz w:val="24"/>
          <w:szCs w:val="24"/>
        </w:rPr>
      </w:pPr>
      <w:r>
        <w:rPr>
          <w:color w:val="000000"/>
          <w:sz w:val="24"/>
          <w:szCs w:val="24"/>
          <w:vertAlign w:val="superscript"/>
        </w:rPr>
        <w:t>5.</w:t>
      </w:r>
      <w:r>
        <w:rPr>
          <w:color w:val="000000"/>
          <w:sz w:val="24"/>
          <w:szCs w:val="24"/>
        </w:rPr>
        <w:t xml:space="preserve"> Department of Chemistry/Koç University, Istanbul, 34450, Turkey.</w:t>
      </w:r>
    </w:p>
    <w:p w14:paraId="13BE2155" w14:textId="77777777" w:rsidR="00CB4F4C" w:rsidRDefault="00000000">
      <w:pPr>
        <w:widowControl w:val="0"/>
        <w:pBdr>
          <w:top w:val="nil"/>
          <w:left w:val="nil"/>
          <w:bottom w:val="nil"/>
          <w:right w:val="nil"/>
          <w:between w:val="nil"/>
        </w:pBdr>
        <w:spacing w:line="240" w:lineRule="auto"/>
        <w:ind w:left="0" w:hanging="2"/>
        <w:jc w:val="left"/>
        <w:rPr>
          <w:color w:val="000000"/>
          <w:sz w:val="24"/>
          <w:szCs w:val="24"/>
        </w:rPr>
      </w:pPr>
      <w:r>
        <w:rPr>
          <w:color w:val="000000"/>
          <w:sz w:val="24"/>
          <w:szCs w:val="24"/>
          <w:vertAlign w:val="superscript"/>
        </w:rPr>
        <w:t>6.</w:t>
      </w:r>
      <w:r>
        <w:rPr>
          <w:color w:val="000000"/>
          <w:sz w:val="24"/>
          <w:szCs w:val="24"/>
        </w:rPr>
        <w:t xml:space="preserve"> Nanostructure Characterization Group, Solution Development Department, Hitachi High-Tech Corporation, Core Technology and Solutions Business Group, </w:t>
      </w:r>
      <w:proofErr w:type="spellStart"/>
      <w:r>
        <w:rPr>
          <w:color w:val="000000"/>
          <w:sz w:val="24"/>
          <w:szCs w:val="24"/>
        </w:rPr>
        <w:t>Hitachinaka</w:t>
      </w:r>
      <w:proofErr w:type="spellEnd"/>
      <w:r>
        <w:rPr>
          <w:color w:val="000000"/>
          <w:sz w:val="24"/>
          <w:szCs w:val="24"/>
        </w:rPr>
        <w:t>, Ibaraki, Japan.</w:t>
      </w:r>
    </w:p>
    <w:p w14:paraId="00118722" w14:textId="77777777" w:rsidR="00CB4F4C" w:rsidRDefault="00000000">
      <w:pPr>
        <w:widowControl w:val="0"/>
        <w:pBdr>
          <w:top w:val="nil"/>
          <w:left w:val="nil"/>
          <w:bottom w:val="nil"/>
          <w:right w:val="nil"/>
          <w:between w:val="nil"/>
        </w:pBdr>
        <w:spacing w:line="240" w:lineRule="auto"/>
        <w:ind w:left="0" w:hanging="2"/>
        <w:jc w:val="left"/>
        <w:rPr>
          <w:color w:val="000000"/>
          <w:sz w:val="24"/>
          <w:szCs w:val="24"/>
        </w:rPr>
      </w:pPr>
      <w:r>
        <w:rPr>
          <w:color w:val="000000"/>
          <w:sz w:val="24"/>
          <w:szCs w:val="24"/>
        </w:rPr>
        <w:t xml:space="preserve">* Corresponding authors: </w:t>
      </w:r>
      <w:hyperlink r:id="rId5">
        <w:r w:rsidR="00CB4F4C">
          <w:rPr>
            <w:color w:val="000000"/>
            <w:sz w:val="24"/>
            <w:szCs w:val="24"/>
          </w:rPr>
          <w:t>sarpkaya@ku.edu.tr</w:t>
        </w:r>
      </w:hyperlink>
      <w:r>
        <w:rPr>
          <w:color w:val="000000"/>
          <w:sz w:val="24"/>
          <w:szCs w:val="24"/>
        </w:rPr>
        <w:t xml:space="preserve">, </w:t>
      </w:r>
      <w:hyperlink r:id="rId6">
        <w:r w:rsidR="00CB4F4C">
          <w:rPr>
            <w:color w:val="000000"/>
            <w:sz w:val="24"/>
            <w:szCs w:val="24"/>
          </w:rPr>
          <w:t>edoustkhahheragh@ku.edu.tr</w:t>
        </w:r>
      </w:hyperlink>
    </w:p>
    <w:p w14:paraId="3B79E13E" w14:textId="77777777" w:rsidR="00CB4F4C" w:rsidRDefault="00CB4F4C">
      <w:pPr>
        <w:spacing w:line="240" w:lineRule="auto"/>
        <w:ind w:left="0" w:hanging="2"/>
        <w:rPr>
          <w:sz w:val="24"/>
          <w:szCs w:val="24"/>
        </w:rPr>
      </w:pPr>
    </w:p>
    <w:p w14:paraId="4DC2E2B6" w14:textId="6040DB6C" w:rsidR="00CB4F4C" w:rsidRDefault="00000000">
      <w:pPr>
        <w:spacing w:line="240" w:lineRule="auto"/>
        <w:ind w:left="0" w:hanging="2"/>
        <w:rPr>
          <w:sz w:val="24"/>
          <w:szCs w:val="24"/>
        </w:rPr>
      </w:pPr>
      <w:r>
        <w:rPr>
          <w:sz w:val="24"/>
          <w:szCs w:val="24"/>
        </w:rPr>
        <w:t>As the world's population grows and improves its standard of life, the demand for energy rises steadily to previously unheard-of heights</w:t>
      </w:r>
      <w:r w:rsidR="00DA2FB4">
        <w:rPr>
          <w:sz w:val="24"/>
          <w:szCs w:val="24"/>
        </w:rPr>
        <w:t>,</w:t>
      </w:r>
      <w:r>
        <w:rPr>
          <w:sz w:val="24"/>
          <w:szCs w:val="24"/>
        </w:rPr>
        <w:t xml:space="preserve"> and to address this need, solar energy emerges as the leading clean, plentiful, and secure energy source </w:t>
      </w:r>
      <w:r w:rsidR="003B01A2">
        <w:rPr>
          <w:sz w:val="24"/>
          <w:szCs w:val="24"/>
        </w:rPr>
        <w:fldChar w:fldCharType="begin"/>
      </w:r>
      <w:r w:rsidR="003B01A2">
        <w:rPr>
          <w:sz w:val="24"/>
          <w:szCs w:val="24"/>
        </w:rPr>
        <w:instrText xml:space="preserve"> ADDIN ZOTERO_ITEM CSL_CITATION {"citationID":"QN2EDAkw","properties":{"formattedCitation":"[1]","plainCitation":"[1]","noteIndex":0},"citationItems":[{"id":131,"uris":["http://zotero.org/users/local/oI011Ycn/items/4JEII7X3"],"itemData":{"id":131,"type":"article-journal","container-title":"Chemical Communications","DOI":"10.1039/C1CC12390D","issue":"33","language":"en","note":"publisher: Royal Society of Chemistry","page":"9268-9274","source":"pubs.rsc.org","title":"Photocatalytic hydrogen production","volume":"47","author":[{"family":"S. Teets","given":"Thomas"},{"family":"G. Nocera","given":"Daniel"}],"issued":{"date-parts":[["2011"]]}}}],"schema":"https://github.com/citation-style-language/schema/raw/master/csl-citation.json"} </w:instrText>
      </w:r>
      <w:r w:rsidR="003B01A2">
        <w:rPr>
          <w:sz w:val="24"/>
          <w:szCs w:val="24"/>
        </w:rPr>
        <w:fldChar w:fldCharType="separate"/>
      </w:r>
      <w:r w:rsidR="003B01A2" w:rsidRPr="003B01A2">
        <w:rPr>
          <w:sz w:val="24"/>
        </w:rPr>
        <w:t>[1]</w:t>
      </w:r>
      <w:r w:rsidR="003B01A2">
        <w:rPr>
          <w:sz w:val="24"/>
          <w:szCs w:val="24"/>
        </w:rPr>
        <w:fldChar w:fldCharType="end"/>
      </w:r>
      <w:r>
        <w:rPr>
          <w:sz w:val="24"/>
          <w:szCs w:val="24"/>
        </w:rPr>
        <w:t xml:space="preserve">. One of the most promising solutions to reduce the burden on the environment and the supply of energy is solar energy since it is cheap, plentiful, and renewable. As a result, it is very desirable to capture solar energy and transform it into usable energy via photocatalytic processes </w:t>
      </w:r>
      <w:r w:rsidR="003B01A2">
        <w:rPr>
          <w:sz w:val="24"/>
          <w:szCs w:val="24"/>
        </w:rPr>
        <w:fldChar w:fldCharType="begin"/>
      </w:r>
      <w:r w:rsidR="003B01A2">
        <w:rPr>
          <w:sz w:val="24"/>
          <w:szCs w:val="24"/>
        </w:rPr>
        <w:instrText xml:space="preserve"> ADDIN ZOTERO_ITEM CSL_CITATION {"citationID":"SEyOj6Ji","properties":{"formattedCitation":"[2]","plainCitation":"[2]","noteIndex":0},"citationItems":[{"id":133,"uris":["http://zotero.org/users/local/oI011Ycn/items/PF86PSD8"],"itemData":{"id":133,"type":"article-journal","abstract":"Rapid industrialization has accordingly increased the demand for energy. This has resulted in the increasingly severe energy and environmental crises. Hydrogen production, based on the photocatalytic water splitting driven by sunlight, is able to directly convert solar energy into a usable or storable energy resource, which is considered to be an ideal alternative energy source to assist in solving the energy crisis and environmental pollution. Unfortunately, the hydrogen production efficiency of single phase photocatalysts is too low to meet the practical requirements. The construction of heterostructured photocatalyst systems, which are comprised of multiple components or multiple phases, is an efficient method to facilitate the separation of electron-hole pairs to minimize the energy-waste, provide more electrons, enhance their redox ability, and hence improve the photocatalytic activity. We summarize the recent progress in the rational design and fabrication of nanoheterostructured photocatalysts. The heterojunction photocatalytic hydrogen generation systems can be divided into type-I, type-II, pn-junction and Z-scheme junction, according to the differences in the transfer of the photogenerated electrons and holes. Finally, a summary and some of the challenges and prospects for the future development of heterojunction photocatalytic systems are discussed.","container-title":"Chinese Journal of Catalysis","DOI":"10.1016/S1872-2067(17)62866-3","ISSN":"1872-2067","issue":"8","journalAbbreviation":"Chinese Journal of Catalysis","language":"en","page":"1295-1306","source":"ScienceDirect","title":"Nanoheterostructured photocatalysts for improving photocatalytic hydrogen production","volume":"38","author":[{"family":"Du","given":"Hong"},{"family":"Liu","given":"Ya-Nan"},{"family":"Shen","given":"Cong-Cong"},{"family":"Xu","given":"An-Wu"}],"issued":{"date-parts":[["2017",8,1]]}}}],"schema":"https://github.com/citation-style-language/schema/raw/master/csl-citation.json"} </w:instrText>
      </w:r>
      <w:r w:rsidR="003B01A2">
        <w:rPr>
          <w:sz w:val="24"/>
          <w:szCs w:val="24"/>
        </w:rPr>
        <w:fldChar w:fldCharType="separate"/>
      </w:r>
      <w:r w:rsidR="003B01A2" w:rsidRPr="003B01A2">
        <w:rPr>
          <w:sz w:val="24"/>
        </w:rPr>
        <w:t>[2]</w:t>
      </w:r>
      <w:r w:rsidR="003B01A2">
        <w:rPr>
          <w:sz w:val="24"/>
          <w:szCs w:val="24"/>
        </w:rPr>
        <w:fldChar w:fldCharType="end"/>
      </w:r>
      <w:r>
        <w:rPr>
          <w:sz w:val="24"/>
          <w:szCs w:val="24"/>
        </w:rPr>
        <w:t xml:space="preserve">. Hydrogen has been highlighted as a viable energy carrier in various low greenhouse gas energy scenarios due to its high energy capacity and environmental friendliness </w:t>
      </w:r>
      <w:r w:rsidR="003B01A2">
        <w:rPr>
          <w:sz w:val="24"/>
          <w:szCs w:val="24"/>
        </w:rPr>
        <w:fldChar w:fldCharType="begin"/>
      </w:r>
      <w:r w:rsidR="003B01A2">
        <w:rPr>
          <w:sz w:val="24"/>
          <w:szCs w:val="24"/>
        </w:rPr>
        <w:instrText xml:space="preserve"> ADDIN ZOTERO_ITEM CSL_CITATION {"citationID":"zrcUd0AN","properties":{"formattedCitation":"[3]","plainCitation":"[3]","noteIndex":0},"citationItems":[{"id":135,"uris":["http://zotero.org/users/local/oI011Ycn/items/WHF8VZGV"],"itemData":{"id":135,"type":"article-journal","container-title":"Chemical Reviews","DOI":"10.1021/cr1001645","ISSN":"0009-2665","issue":"11","journalAbbreviation":"Chem. Rev.","note":"publisher: American Chemical Society","page":"6503-6570","source":"ACS Publications","title":"Semiconductor-based Photocatalytic Hydrogen Generation","volume":"110","author":[{"family":"Chen","given":"Xiaobo"},{"family":"Shen","given":"Shaohua"},{"family":"Guo","given":"Liejin"},{"family":"Mao","given":"Samuel S."}],"issued":{"date-parts":[["2010",11,10]]}}}],"schema":"https://github.com/citation-style-language/schema/raw/master/csl-citation.json"} </w:instrText>
      </w:r>
      <w:r w:rsidR="003B01A2">
        <w:rPr>
          <w:sz w:val="24"/>
          <w:szCs w:val="24"/>
        </w:rPr>
        <w:fldChar w:fldCharType="separate"/>
      </w:r>
      <w:r w:rsidR="003B01A2" w:rsidRPr="003B01A2">
        <w:rPr>
          <w:sz w:val="24"/>
        </w:rPr>
        <w:t>[3]</w:t>
      </w:r>
      <w:r w:rsidR="003B01A2">
        <w:rPr>
          <w:sz w:val="24"/>
          <w:szCs w:val="24"/>
        </w:rPr>
        <w:fldChar w:fldCharType="end"/>
      </w:r>
      <w:r>
        <w:rPr>
          <w:sz w:val="24"/>
          <w:szCs w:val="24"/>
        </w:rPr>
        <w:t xml:space="preserve">. </w:t>
      </w:r>
      <w:r w:rsidR="00DA2FB4">
        <w:rPr>
          <w:sz w:val="24"/>
          <w:szCs w:val="24"/>
        </w:rPr>
        <w:t>L</w:t>
      </w:r>
      <w:r>
        <w:rPr>
          <w:sz w:val="24"/>
          <w:szCs w:val="24"/>
        </w:rPr>
        <w:t xml:space="preserve">ayered inorganic semiconductors, such as layered titanates (LT), have been used as scaffolds for designing highly efficient photocatalysts for hydrogen generation </w:t>
      </w:r>
      <w:r w:rsidR="003B01A2">
        <w:rPr>
          <w:sz w:val="24"/>
          <w:szCs w:val="24"/>
        </w:rPr>
        <w:fldChar w:fldCharType="begin"/>
      </w:r>
      <w:r w:rsidR="003B01A2">
        <w:rPr>
          <w:sz w:val="24"/>
          <w:szCs w:val="24"/>
        </w:rPr>
        <w:instrText xml:space="preserve"> ADDIN ZOTERO_ITEM CSL_CITATION {"citationID":"RO0D4pbV","properties":{"formattedCitation":"[4]","plainCitation":"[4]","noteIndex":0},"citationItems":[{"id":137,"uris":["http://zotero.org/users/local/oI011Ycn/items/TPUWF7S7"],"itemData":{"id":137,"type":"article-journal","container-title":"Physical Chemistry Chemical Physics","DOI":"10.1039/C6CP05635K","issue":"45","language":"en","note":"publisher: Royal Society of Chemistry","page":"30920-30925","source":"pubs.rsc.org","title":"Unprecedentedly enhanced solar photocatalytic activity of a layered titanate simply integrated with TiO 2 nanoparticles","volume":"18","author":[{"family":"Saito","given":"Kanji"},{"family":"Kozeni","given":"Misa"},{"family":"Sohmiya","given":"Minoru"},{"family":"Komaguchi","given":"Kenji"},{"family":"Ogawa","given":"Makoto"},{"family":"Sugahara","given":"Yoshiyuki"},{"family":"Ide","given":"Yusuke"}],"issued":{"date-parts":[["2016"]]}}}],"schema":"https://github.com/citation-style-language/schema/raw/master/csl-citation.json"} </w:instrText>
      </w:r>
      <w:r w:rsidR="003B01A2">
        <w:rPr>
          <w:sz w:val="24"/>
          <w:szCs w:val="24"/>
        </w:rPr>
        <w:fldChar w:fldCharType="separate"/>
      </w:r>
      <w:r w:rsidR="003B01A2" w:rsidRPr="003B01A2">
        <w:rPr>
          <w:sz w:val="24"/>
        </w:rPr>
        <w:t>[4]</w:t>
      </w:r>
      <w:r w:rsidR="003B01A2">
        <w:rPr>
          <w:sz w:val="24"/>
          <w:szCs w:val="24"/>
        </w:rPr>
        <w:fldChar w:fldCharType="end"/>
      </w:r>
      <w:r>
        <w:rPr>
          <w:sz w:val="24"/>
          <w:szCs w:val="24"/>
        </w:rPr>
        <w:t>.</w:t>
      </w:r>
      <w:r w:rsidR="003B01A2">
        <w:rPr>
          <w:sz w:val="24"/>
          <w:szCs w:val="24"/>
        </w:rPr>
        <w:t xml:space="preserve"> </w:t>
      </w:r>
      <w:r>
        <w:rPr>
          <w:sz w:val="24"/>
          <w:szCs w:val="24"/>
        </w:rPr>
        <w:t>Intrinsic ionic conductivity increases when the layers of titanate is exfoliated during the dilute acid treatment</w:t>
      </w:r>
      <w:r w:rsidR="00DA2FB4">
        <w:rPr>
          <w:sz w:val="24"/>
          <w:szCs w:val="24"/>
        </w:rPr>
        <w:t>,</w:t>
      </w:r>
      <w:r>
        <w:rPr>
          <w:sz w:val="24"/>
          <w:szCs w:val="24"/>
        </w:rPr>
        <w:t xml:space="preserve"> and K</w:t>
      </w:r>
      <w:r>
        <w:rPr>
          <w:sz w:val="24"/>
          <w:szCs w:val="24"/>
          <w:vertAlign w:val="superscript"/>
        </w:rPr>
        <w:t>+</w:t>
      </w:r>
      <w:r>
        <w:rPr>
          <w:sz w:val="24"/>
          <w:szCs w:val="24"/>
        </w:rPr>
        <w:t xml:space="preserve"> ions are exchang</w:t>
      </w:r>
      <w:r w:rsidR="00DA2FB4">
        <w:rPr>
          <w:sz w:val="24"/>
          <w:szCs w:val="24"/>
        </w:rPr>
        <w:t>ed</w:t>
      </w:r>
      <w:r>
        <w:rPr>
          <w:sz w:val="24"/>
          <w:szCs w:val="24"/>
        </w:rPr>
        <w:t xml:space="preserve"> with protons in the interlayers </w:t>
      </w:r>
      <w:r w:rsidR="003B01A2">
        <w:rPr>
          <w:sz w:val="24"/>
          <w:szCs w:val="24"/>
        </w:rPr>
        <w:fldChar w:fldCharType="begin"/>
      </w:r>
      <w:r w:rsidR="003B01A2">
        <w:rPr>
          <w:sz w:val="24"/>
          <w:szCs w:val="24"/>
        </w:rPr>
        <w:instrText xml:space="preserve"> ADDIN ZOTERO_ITEM CSL_CITATION {"citationID":"EfToTnHi","properties":{"formattedCitation":"[5]","plainCitation":"[5]","noteIndex":0},"citationItems":[{"id":16,"uris":["http://zotero.org/users/local/oI011Ycn/items/HZ9UN4XI"],"itemData":{"id":16,"type":"article-journal","abstract":"Proton chemistry is a fascinating ﬁeld with both fundamental and applied aspects. The development of solid-state proton conductors relying on abundant elements could help bring these two aspects. In this scope, we synthesized a disordered structure which, as revealed by the real-space reﬁnement of the pair distribution function, has been identiﬁed to be the trititanate arrangement. The layered structure is stabilized by the presence of hydronium ions and water molecules located in the interlayer space. This compound displays a high ionic conductivity of 4·10−2 S/m with an activation energy of 0.24 eV, assigned to H+ mobility as shown by broadband dielectric spectroscopy. Proton mobility was further evidenced by solid-state proton nuclear magnetic resonance. Density functional theory calculations revealed that proton transfer occurs both within the interlayer space and with terminal oxide of the titanate framework through a Grotthuss-based mechanism rationalizing the high conductivity measured experimentally. Finally, we investigated the electrochemical properties with respect to the proton as a charge carrier using proton-free (KCl) and proton-donor (buﬀer acetic acid) electrolytes. The results showed that the structure can reversibly intercalate protons at a very high rate opening existing perspectives in the development of negative electrode materials for aqueous proton batteries. Overall, this study helps better understand the proton transfer mechanism occurring in a conﬁned layered-type structure.","container-title":"Chemistry of Materials","DOI":"10.1021/acs.chemmater.0c03658","ISSN":"0897-4756, 1520-5002","issue":"21","journalAbbreviation":"Chem. Mater.","language":"en","page":"9458-9469","source":"DOI.org (Crossref)","title":"Hydronium Ions Stabilized in a Titanate-Layered Structure with High Ionic Conductivity: Application to Aqueous Proton Batteries","title-short":"Hydronium Ions Stabilized in a Titanate-Layered Structure with High Ionic Conductivity","volume":"32","author":[{"family":"Kang","given":"Seongkoo"},{"family":"Singh","given":"Arvinder"},{"family":"Reeves","given":"Kyle G."},{"family":"Badot","given":"Jean-Claude"},{"family":"Durand-Vidal","given":"Serge"},{"family":"Legein","given":"Christophe"},{"family":"Body","given":"Monique"},{"family":"Dubrunfaut","given":"Olivier"},{"family":"Borkiewicz","given":"Olaf J."},{"family":"Tremblay","given":"Benoît"},{"family":"Laberty-Robert","given":"Christel"},{"family":"Dambournet","given":"Damien"}],"issued":{"date-parts":[["2020",11,10]]}}}],"schema":"https://github.com/citation-style-language/schema/raw/master/csl-citation.json"} </w:instrText>
      </w:r>
      <w:r w:rsidR="003B01A2">
        <w:rPr>
          <w:sz w:val="24"/>
          <w:szCs w:val="24"/>
        </w:rPr>
        <w:fldChar w:fldCharType="separate"/>
      </w:r>
      <w:r w:rsidR="003B01A2" w:rsidRPr="003B01A2">
        <w:rPr>
          <w:sz w:val="24"/>
        </w:rPr>
        <w:t>[5]</w:t>
      </w:r>
      <w:r w:rsidR="003B01A2">
        <w:rPr>
          <w:sz w:val="24"/>
          <w:szCs w:val="24"/>
        </w:rPr>
        <w:fldChar w:fldCharType="end"/>
      </w:r>
      <w:r>
        <w:rPr>
          <w:sz w:val="24"/>
          <w:szCs w:val="24"/>
        </w:rPr>
        <w:t xml:space="preserve">, and this explains that </w:t>
      </w:r>
      <w:proofErr w:type="spellStart"/>
      <w:r>
        <w:rPr>
          <w:sz w:val="24"/>
          <w:szCs w:val="24"/>
        </w:rPr>
        <w:t>exf</w:t>
      </w:r>
      <w:proofErr w:type="spellEnd"/>
      <w:r>
        <w:rPr>
          <w:sz w:val="24"/>
          <w:szCs w:val="24"/>
        </w:rPr>
        <w:t>-HTO also shows better results for hydrogen generation than pristine layered titanate. Here, we demonstrate that the single</w:t>
      </w:r>
      <w:r w:rsidR="00DA2FB4">
        <w:rPr>
          <w:sz w:val="24"/>
          <w:szCs w:val="24"/>
        </w:rPr>
        <w:t>-atom-</w:t>
      </w:r>
      <w:r>
        <w:rPr>
          <w:sz w:val="24"/>
          <w:szCs w:val="24"/>
        </w:rPr>
        <w:t xml:space="preserve">loaded layered titanates indicate better photocatalytic activity in terms of hydrogen production from water. </w:t>
      </w:r>
    </w:p>
    <w:p w14:paraId="332EA08B" w14:textId="77777777" w:rsidR="0041197E" w:rsidRDefault="0041197E">
      <w:pPr>
        <w:spacing w:line="240" w:lineRule="auto"/>
        <w:ind w:left="0" w:hanging="2"/>
        <w:rPr>
          <w:sz w:val="24"/>
          <w:szCs w:val="24"/>
        </w:rPr>
      </w:pPr>
    </w:p>
    <w:p w14:paraId="488049C4" w14:textId="600D467A" w:rsidR="00CB4F4C" w:rsidRDefault="00000000">
      <w:pPr>
        <w:spacing w:line="240" w:lineRule="auto"/>
        <w:ind w:left="0" w:hanging="2"/>
        <w:rPr>
          <w:sz w:val="24"/>
          <w:szCs w:val="24"/>
        </w:rPr>
      </w:pPr>
      <w:r>
        <w:rPr>
          <w:sz w:val="24"/>
          <w:szCs w:val="24"/>
        </w:rPr>
        <w:t>Layered potassium lithium titanate (KTLO) was prepared by solid-state reaction method using TiO</w:t>
      </w:r>
      <w:r>
        <w:rPr>
          <w:sz w:val="24"/>
          <w:szCs w:val="24"/>
          <w:vertAlign w:val="subscript"/>
        </w:rPr>
        <w:t>2</w:t>
      </w:r>
      <w:r>
        <w:rPr>
          <w:sz w:val="24"/>
          <w:szCs w:val="24"/>
        </w:rPr>
        <w:t>, K</w:t>
      </w:r>
      <w:r>
        <w:rPr>
          <w:sz w:val="24"/>
          <w:szCs w:val="24"/>
          <w:vertAlign w:val="subscript"/>
        </w:rPr>
        <w:t>2</w:t>
      </w:r>
      <w:r>
        <w:rPr>
          <w:sz w:val="24"/>
          <w:szCs w:val="24"/>
        </w:rPr>
        <w:t>CO</w:t>
      </w:r>
      <w:r>
        <w:rPr>
          <w:sz w:val="24"/>
          <w:szCs w:val="24"/>
          <w:vertAlign w:val="subscript"/>
        </w:rPr>
        <w:t>3</w:t>
      </w:r>
      <w:r>
        <w:rPr>
          <w:sz w:val="24"/>
          <w:szCs w:val="24"/>
        </w:rPr>
        <w:t>, and Li</w:t>
      </w:r>
      <w:r>
        <w:rPr>
          <w:sz w:val="24"/>
          <w:szCs w:val="24"/>
          <w:vertAlign w:val="subscript"/>
        </w:rPr>
        <w:t>2</w:t>
      </w:r>
      <w:r>
        <w:rPr>
          <w:sz w:val="24"/>
          <w:szCs w:val="24"/>
        </w:rPr>
        <w:t>CO</w:t>
      </w:r>
      <w:r>
        <w:rPr>
          <w:sz w:val="24"/>
          <w:szCs w:val="24"/>
          <w:vertAlign w:val="subscript"/>
        </w:rPr>
        <w:t>3</w:t>
      </w:r>
      <w:r>
        <w:rPr>
          <w:sz w:val="24"/>
          <w:szCs w:val="24"/>
        </w:rPr>
        <w:t xml:space="preserve"> with </w:t>
      </w:r>
      <w:r w:rsidR="00DA2FB4">
        <w:rPr>
          <w:sz w:val="24"/>
          <w:szCs w:val="24"/>
        </w:rPr>
        <w:t>a</w:t>
      </w:r>
      <w:r>
        <w:rPr>
          <w:sz w:val="24"/>
          <w:szCs w:val="24"/>
        </w:rPr>
        <w:t xml:space="preserve"> molar ratio of (4.1:6.0:0.7) </w:t>
      </w:r>
      <w:r w:rsidR="003B01A2">
        <w:rPr>
          <w:sz w:val="24"/>
          <w:szCs w:val="24"/>
        </w:rPr>
        <w:fldChar w:fldCharType="begin"/>
      </w:r>
      <w:r w:rsidR="003B01A2">
        <w:rPr>
          <w:sz w:val="24"/>
          <w:szCs w:val="24"/>
        </w:rPr>
        <w:instrText xml:space="preserve"> ADDIN ZOTERO_ITEM CSL_CITATION {"citationID":"iDc1xWH9","properties":{"formattedCitation":"[6]","plainCitation":"[6]","noteIndex":0},"citationItems":[{"id":140,"uris":["http://zotero.org/users/local/oI011Ycn/items/3RJZM4ST"],"itemData":{"id":140,"type":"article-journal","abstract":"Selective removal: Alkyl and phenyl groups were immobilized within an interlayer space of a layered titanate to adsorb selectively and effectively 4-nonylphenol (NPh, in light colors) from aqueous solution. The immobilization of two kinds of functional units in a confined nanospace is a useful way to tailor materials with molecular recognition abilities for a wide variety of molecules.","container-title":"Angewandte Chemie International Edition","DOI":"10.1002/anie.200702360","ISSN":"1521-3773","issue":"44","note":"_eprint: https://onlinelibrary.wiley.com/doi/pdf/10.1002/anie.200702360","page":"8449-8451","source":"Wiley Online Library","title":"Interlayer Modification of a Layered Titanate with Two Kinds of Organic Functional Units for Molecule-Specific Adsorption","volume":"46","author":[{"family":"Ide","given":"Yusuke"},{"family":"Ogawa","given":"Makoto"}],"issued":{"date-parts":[["2007"]]}}}],"schema":"https://github.com/citation-style-language/schema/raw/master/csl-citation.json"} </w:instrText>
      </w:r>
      <w:r w:rsidR="003B01A2">
        <w:rPr>
          <w:sz w:val="24"/>
          <w:szCs w:val="24"/>
        </w:rPr>
        <w:fldChar w:fldCharType="separate"/>
      </w:r>
      <w:r w:rsidR="003B01A2" w:rsidRPr="003B01A2">
        <w:rPr>
          <w:sz w:val="24"/>
        </w:rPr>
        <w:t>[6]</w:t>
      </w:r>
      <w:r w:rsidR="003B01A2">
        <w:rPr>
          <w:sz w:val="24"/>
          <w:szCs w:val="24"/>
        </w:rPr>
        <w:fldChar w:fldCharType="end"/>
      </w:r>
      <w:r>
        <w:rPr>
          <w:sz w:val="24"/>
          <w:szCs w:val="24"/>
        </w:rPr>
        <w:t>. The starting chemicals and three drops of C</w:t>
      </w:r>
      <w:r>
        <w:rPr>
          <w:sz w:val="24"/>
          <w:szCs w:val="24"/>
          <w:vertAlign w:val="subscript"/>
        </w:rPr>
        <w:t>2</w:t>
      </w:r>
      <w:r>
        <w:rPr>
          <w:sz w:val="24"/>
          <w:szCs w:val="24"/>
        </w:rPr>
        <w:t>H</w:t>
      </w:r>
      <w:r>
        <w:rPr>
          <w:sz w:val="24"/>
          <w:szCs w:val="24"/>
          <w:vertAlign w:val="subscript"/>
        </w:rPr>
        <w:t>5</w:t>
      </w:r>
      <w:r>
        <w:rPr>
          <w:sz w:val="24"/>
          <w:szCs w:val="24"/>
        </w:rPr>
        <w:t>OH were ground in an agate mortar with a pestle for 2 h, and the powder mixture was calcined in a muffle furnace at 600 °C for 20 h. After that, the mixture was cooled to room temperature. The sample was mixed for another 2 h and placed in the muffle furnace for the second calcination at 600 °C for 20 h. The obtained KTLO (0.5 g) was dispersed in 0.1 M HCl solution (100 mL) and stirred at room temperature. For the protonated layered titanate (HTO), the solution was stirred for one day at 600 rpm and separated by centrifuge, washed three times with C</w:t>
      </w:r>
      <w:r>
        <w:rPr>
          <w:sz w:val="24"/>
          <w:szCs w:val="24"/>
          <w:vertAlign w:val="subscript"/>
        </w:rPr>
        <w:t>2</w:t>
      </w:r>
      <w:r>
        <w:rPr>
          <w:sz w:val="24"/>
          <w:szCs w:val="24"/>
        </w:rPr>
        <w:t>H</w:t>
      </w:r>
      <w:r>
        <w:rPr>
          <w:sz w:val="24"/>
          <w:szCs w:val="24"/>
          <w:vertAlign w:val="subscript"/>
        </w:rPr>
        <w:t>5</w:t>
      </w:r>
      <w:r>
        <w:rPr>
          <w:sz w:val="24"/>
          <w:szCs w:val="24"/>
        </w:rPr>
        <w:t>OH (</w:t>
      </w:r>
      <w:r>
        <w:rPr>
          <w:sz w:val="24"/>
          <w:szCs w:val="24"/>
          <w:highlight w:val="white"/>
        </w:rPr>
        <w:t>30 mL</w:t>
      </w:r>
      <w:r>
        <w:rPr>
          <w:sz w:val="24"/>
          <w:szCs w:val="24"/>
        </w:rPr>
        <w:t>), and dried at room temperature. For exfoliation, the dispersion was stirred at 400 rpm for three days, and then, it was centrifuged, and a fresh solution of 0.1 M HCl (100 mL) was added to the precipitate and re-stirred under the same conditions at room temperature for 11 days. After the treatment, the dispersion was centrifuged and dried in a freeze-dryer for 24 h (</w:t>
      </w:r>
      <w:proofErr w:type="spellStart"/>
      <w:r>
        <w:rPr>
          <w:sz w:val="24"/>
          <w:szCs w:val="24"/>
        </w:rPr>
        <w:t>exf</w:t>
      </w:r>
      <w:proofErr w:type="spellEnd"/>
      <w:r>
        <w:rPr>
          <w:sz w:val="24"/>
          <w:szCs w:val="24"/>
        </w:rPr>
        <w:t xml:space="preserve">-HTO). Adsorption of Sn on </w:t>
      </w:r>
      <w:proofErr w:type="spellStart"/>
      <w:r>
        <w:rPr>
          <w:sz w:val="24"/>
          <w:szCs w:val="24"/>
        </w:rPr>
        <w:t>exf</w:t>
      </w:r>
      <w:proofErr w:type="spellEnd"/>
      <w:r>
        <w:rPr>
          <w:sz w:val="24"/>
          <w:szCs w:val="24"/>
        </w:rPr>
        <w:t xml:space="preserve">-HTO was done by adding 10 mg of </w:t>
      </w:r>
      <w:proofErr w:type="spellStart"/>
      <w:r>
        <w:rPr>
          <w:sz w:val="24"/>
          <w:szCs w:val="24"/>
        </w:rPr>
        <w:t>exf</w:t>
      </w:r>
      <w:proofErr w:type="spellEnd"/>
      <w:r>
        <w:rPr>
          <w:sz w:val="24"/>
          <w:szCs w:val="24"/>
        </w:rPr>
        <w:t>-HTO to the 20 ppm of 20 mL SnCl</w:t>
      </w:r>
      <w:r>
        <w:rPr>
          <w:sz w:val="24"/>
          <w:szCs w:val="24"/>
          <w:vertAlign w:val="subscript"/>
        </w:rPr>
        <w:t>2</w:t>
      </w:r>
      <w:r>
        <w:rPr>
          <w:sz w:val="24"/>
          <w:szCs w:val="24"/>
        </w:rPr>
        <w:t>.2H</w:t>
      </w:r>
      <w:r>
        <w:rPr>
          <w:sz w:val="24"/>
          <w:szCs w:val="24"/>
          <w:vertAlign w:val="subscript"/>
        </w:rPr>
        <w:t>2</w:t>
      </w:r>
      <w:r>
        <w:rPr>
          <w:sz w:val="24"/>
          <w:szCs w:val="24"/>
        </w:rPr>
        <w:t xml:space="preserve">O solution in a test tube and mixing the solution in the dark for three hours and then under the illumination of a solar simulator for one hour. As the exfoliated layers have a negative charge, </w:t>
      </w:r>
      <w:r>
        <w:rPr>
          <w:sz w:val="24"/>
          <w:szCs w:val="24"/>
        </w:rPr>
        <w:lastRenderedPageBreak/>
        <w:t>cationic species can bind the layers via the electrostatic self-assembly process. The mixture was centrifuged and dried in a vacuum oven for 24 hours.</w:t>
      </w:r>
    </w:p>
    <w:p w14:paraId="7C9AC262" w14:textId="1F1F5F3C" w:rsidR="00CB4F4C" w:rsidRDefault="00DA2FB4">
      <w:pPr>
        <w:spacing w:line="240" w:lineRule="auto"/>
        <w:ind w:left="0" w:hanging="2"/>
        <w:jc w:val="center"/>
        <w:rPr>
          <w:sz w:val="24"/>
          <w:szCs w:val="24"/>
        </w:rPr>
      </w:pPr>
      <w:r w:rsidRPr="00DA2FB4">
        <w:rPr>
          <w:noProof/>
          <w:sz w:val="24"/>
          <w:szCs w:val="24"/>
        </w:rPr>
        <w:drawing>
          <wp:inline distT="0" distB="0" distL="0" distR="0" wp14:anchorId="1195333A" wp14:editId="6F406D50">
            <wp:extent cx="4895850" cy="3223180"/>
            <wp:effectExtent l="0" t="0" r="0" b="0"/>
            <wp:docPr id="87" name="Picture 86">
              <a:extLst xmlns:a="http://schemas.openxmlformats.org/drawingml/2006/main">
                <a:ext uri="{FF2B5EF4-FFF2-40B4-BE49-F238E27FC236}">
                  <a16:creationId xmlns:a16="http://schemas.microsoft.com/office/drawing/2014/main" id="{CBAD358E-C64B-7236-4CD5-C612CCEC00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6">
                      <a:extLst>
                        <a:ext uri="{FF2B5EF4-FFF2-40B4-BE49-F238E27FC236}">
                          <a16:creationId xmlns:a16="http://schemas.microsoft.com/office/drawing/2014/main" id="{CBAD358E-C64B-7236-4CD5-C612CCEC00D7}"/>
                        </a:ext>
                      </a:extLst>
                    </pic:cNvPr>
                    <pic:cNvPicPr>
                      <a:picLocks noChangeAspect="1"/>
                    </pic:cNvPicPr>
                  </pic:nvPicPr>
                  <pic:blipFill rotWithShape="1">
                    <a:blip r:embed="rId7"/>
                    <a:srcRect r="4187"/>
                    <a:stretch/>
                  </pic:blipFill>
                  <pic:spPr bwMode="auto">
                    <a:xfrm>
                      <a:off x="0" y="0"/>
                      <a:ext cx="4895972" cy="3223260"/>
                    </a:xfrm>
                    <a:prstGeom prst="rect">
                      <a:avLst/>
                    </a:prstGeom>
                    <a:ln>
                      <a:noFill/>
                    </a:ln>
                    <a:extLst>
                      <a:ext uri="{53640926-AAD7-44D8-BBD7-CCE9431645EC}">
                        <a14:shadowObscured xmlns:a14="http://schemas.microsoft.com/office/drawing/2010/main"/>
                      </a:ext>
                    </a:extLst>
                  </pic:spPr>
                </pic:pic>
              </a:graphicData>
            </a:graphic>
          </wp:inline>
        </w:drawing>
      </w:r>
    </w:p>
    <w:p w14:paraId="5820362A" w14:textId="77777777" w:rsidR="00CB4F4C" w:rsidRDefault="00000000">
      <w:pPr>
        <w:spacing w:line="240" w:lineRule="auto"/>
        <w:ind w:left="0" w:hanging="2"/>
        <w:jc w:val="left"/>
        <w:rPr>
          <w:sz w:val="24"/>
          <w:szCs w:val="24"/>
        </w:rPr>
      </w:pPr>
      <w:r>
        <w:rPr>
          <w:sz w:val="24"/>
          <w:szCs w:val="24"/>
        </w:rPr>
        <w:t xml:space="preserve">Figure 1. HR-HAADF-STEM with a lateral view of the (200) plane according to the d value (0.193 nm) (a), and cross-sectional HRTEM of </w:t>
      </w:r>
      <w:proofErr w:type="spellStart"/>
      <w:r>
        <w:rPr>
          <w:sz w:val="24"/>
          <w:szCs w:val="24"/>
        </w:rPr>
        <w:t>exf</w:t>
      </w:r>
      <w:proofErr w:type="spellEnd"/>
      <w:r>
        <w:rPr>
          <w:sz w:val="24"/>
          <w:szCs w:val="24"/>
        </w:rPr>
        <w:t>-HTO showing layer edges and 0.715 nm thickness (b), HRTEM image of K</w:t>
      </w:r>
      <w:r>
        <w:rPr>
          <w:sz w:val="24"/>
          <w:szCs w:val="24"/>
          <w:vertAlign w:val="superscript"/>
        </w:rPr>
        <w:t>+</w:t>
      </w:r>
      <w:r>
        <w:rPr>
          <w:sz w:val="24"/>
          <w:szCs w:val="24"/>
        </w:rPr>
        <w:t xml:space="preserve"> unexchanged layered titanate (KTLO) (c), HR-HAADF-STEM image of ion-exchanged titanate, without any K</w:t>
      </w:r>
      <w:r>
        <w:rPr>
          <w:sz w:val="24"/>
          <w:szCs w:val="24"/>
          <w:vertAlign w:val="superscript"/>
        </w:rPr>
        <w:t>+</w:t>
      </w:r>
      <w:r>
        <w:rPr>
          <w:sz w:val="24"/>
          <w:szCs w:val="24"/>
        </w:rPr>
        <w:t xml:space="preserve"> (d), and TEM (e), and HAADF-STEM (f) of Sn loaded </w:t>
      </w:r>
      <w:proofErr w:type="spellStart"/>
      <w:r>
        <w:rPr>
          <w:sz w:val="24"/>
          <w:szCs w:val="24"/>
        </w:rPr>
        <w:t>exf</w:t>
      </w:r>
      <w:proofErr w:type="spellEnd"/>
      <w:r>
        <w:rPr>
          <w:sz w:val="24"/>
          <w:szCs w:val="24"/>
        </w:rPr>
        <w:t>-HTO with high loading of Sn amount.</w:t>
      </w:r>
    </w:p>
    <w:p w14:paraId="66CAE02B" w14:textId="77777777" w:rsidR="00CB4F4C" w:rsidRDefault="00CB4F4C">
      <w:pPr>
        <w:spacing w:line="240" w:lineRule="auto"/>
        <w:ind w:left="0" w:hanging="2"/>
        <w:rPr>
          <w:sz w:val="24"/>
          <w:szCs w:val="24"/>
        </w:rPr>
      </w:pPr>
    </w:p>
    <w:p w14:paraId="1006B594" w14:textId="5348CC48" w:rsidR="00CB4F4C" w:rsidRDefault="00DA2FB4" w:rsidP="003B01A2">
      <w:pPr>
        <w:spacing w:line="240" w:lineRule="auto"/>
        <w:ind w:left="0" w:hanging="2"/>
        <w:rPr>
          <w:sz w:val="24"/>
          <w:szCs w:val="24"/>
        </w:rPr>
      </w:pPr>
      <w:r>
        <w:rPr>
          <w:sz w:val="24"/>
          <w:szCs w:val="24"/>
        </w:rPr>
        <w:t xml:space="preserve">We present a new cost-efficient method to exfoliate layered titanates that includes a long treatment of layered titanate in dilute hydrochloric acid solution at room temperature, resulting in few-layered titanate. This method allows to exfoliate layered materials without using any organic species or harmful chemicals. Similarly, by using a facile method, single atom Sn has loaded on exfoliated layered titanate. The morphology and crystal structure of both exfoliated and pristine layered titanate is indicated by SEM, TEM, and AFM techniques, including aberration-corrected transmission electron microscopy. Thickness and number of layers can also be observed with these microscopic techniques. The HR-TEM and HAADF-STEM images of the </w:t>
      </w:r>
      <w:proofErr w:type="spellStart"/>
      <w:r>
        <w:rPr>
          <w:sz w:val="24"/>
          <w:szCs w:val="24"/>
        </w:rPr>
        <w:t>exf</w:t>
      </w:r>
      <w:proofErr w:type="spellEnd"/>
      <w:r>
        <w:rPr>
          <w:sz w:val="24"/>
          <w:szCs w:val="24"/>
        </w:rPr>
        <w:t>-HTO indicate a single crystal structure from the lateral and edge views of the layer (Figure 1</w:t>
      </w:r>
      <w:proofErr w:type="gramStart"/>
      <w:r>
        <w:rPr>
          <w:sz w:val="24"/>
          <w:szCs w:val="24"/>
        </w:rPr>
        <w:t>a,b</w:t>
      </w:r>
      <w:proofErr w:type="gramEnd"/>
      <w:r>
        <w:rPr>
          <w:sz w:val="24"/>
          <w:szCs w:val="24"/>
        </w:rPr>
        <w:t xml:space="preserve">). Although the lateral and edge views can be assigned to the XRD peaks with the obtained d values, the crystalline structure of the titanate layers can be observed from the HR-HAADF-STEM and HR-TEM images due to the low long-range order of the exfoliated layers. Since the XRD pattern demonstrates the crystallinity rarely because of the limited long-range order of the layers, the HR-TEM image was also processed from the edge view of the </w:t>
      </w:r>
      <w:proofErr w:type="spellStart"/>
      <w:r>
        <w:rPr>
          <w:sz w:val="24"/>
          <w:szCs w:val="24"/>
        </w:rPr>
        <w:t>exf</w:t>
      </w:r>
      <w:proofErr w:type="spellEnd"/>
      <w:r>
        <w:rPr>
          <w:sz w:val="24"/>
          <w:szCs w:val="24"/>
        </w:rPr>
        <w:t>-HTO showing the number of stacking layers without any K</w:t>
      </w:r>
      <w:r>
        <w:rPr>
          <w:sz w:val="24"/>
          <w:szCs w:val="24"/>
          <w:vertAlign w:val="superscript"/>
        </w:rPr>
        <w:t>+</w:t>
      </w:r>
      <w:r>
        <w:rPr>
          <w:sz w:val="24"/>
          <w:szCs w:val="24"/>
        </w:rPr>
        <w:t xml:space="preserve"> cation compared to the pristine KTLO (Figure 1</w:t>
      </w:r>
      <w:proofErr w:type="gramStart"/>
      <w:r>
        <w:rPr>
          <w:sz w:val="24"/>
          <w:szCs w:val="24"/>
        </w:rPr>
        <w:t>c,d</w:t>
      </w:r>
      <w:proofErr w:type="gramEnd"/>
      <w:r>
        <w:rPr>
          <w:sz w:val="24"/>
          <w:szCs w:val="24"/>
        </w:rPr>
        <w:t>). Although the Sn loading amount is increased, Sn atoms stay in single atoms instead of nanoparticles, as can be seen from HAADF-STEM images (Figure 1</w:t>
      </w:r>
      <w:proofErr w:type="gramStart"/>
      <w:r>
        <w:rPr>
          <w:sz w:val="24"/>
          <w:szCs w:val="24"/>
        </w:rPr>
        <w:t>e,f</w:t>
      </w:r>
      <w:proofErr w:type="gramEnd"/>
      <w:r>
        <w:rPr>
          <w:sz w:val="24"/>
          <w:szCs w:val="24"/>
        </w:rPr>
        <w:t xml:space="preserve">). The photocatalytic activity of these materials was investigated. The exfoliation process of pristine layered titanate makes an important difference in hydrogen evolution when it is compared with HTO and KTLO (Figure 2). The lowest activity result belongs to KTLO since it can still be in bulk form resulting in lower hydrogen evolution. Moreover, while hydrogen production is improving </w:t>
      </w:r>
      <w:r>
        <w:rPr>
          <w:sz w:val="24"/>
          <w:szCs w:val="24"/>
        </w:rPr>
        <w:lastRenderedPageBreak/>
        <w:t>with the exfoliation process of the layered titanate, Sn atom loading also has a remarkable effect on photocatalytic activity.</w:t>
      </w:r>
    </w:p>
    <w:p w14:paraId="6C70AE14" w14:textId="6A66B4FA" w:rsidR="00CB4F4C" w:rsidRDefault="00DA2FB4">
      <w:pPr>
        <w:spacing w:line="240" w:lineRule="auto"/>
        <w:ind w:left="0" w:hanging="2"/>
        <w:jc w:val="center"/>
        <w:rPr>
          <w:sz w:val="24"/>
          <w:szCs w:val="24"/>
        </w:rPr>
      </w:pPr>
      <w:r w:rsidRPr="00DA2FB4">
        <w:rPr>
          <w:noProof/>
          <w:sz w:val="24"/>
          <w:szCs w:val="24"/>
        </w:rPr>
        <w:drawing>
          <wp:inline distT="0" distB="0" distL="0" distR="0" wp14:anchorId="6B3DB10A" wp14:editId="0139CD17">
            <wp:extent cx="3244596" cy="2098548"/>
            <wp:effectExtent l="0" t="0" r="0" b="0"/>
            <wp:docPr id="6" name="Picture 5">
              <a:extLst xmlns:a="http://schemas.openxmlformats.org/drawingml/2006/main">
                <a:ext uri="{FF2B5EF4-FFF2-40B4-BE49-F238E27FC236}">
                  <a16:creationId xmlns:a16="http://schemas.microsoft.com/office/drawing/2014/main" id="{09EF1F41-D5EC-0510-D85A-FB79F296D4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9EF1F41-D5EC-0510-D85A-FB79F296D405}"/>
                        </a:ext>
                      </a:extLst>
                    </pic:cNvPr>
                    <pic:cNvPicPr>
                      <a:picLocks noChangeAspect="1"/>
                    </pic:cNvPicPr>
                  </pic:nvPicPr>
                  <pic:blipFill>
                    <a:blip r:embed="rId8"/>
                    <a:stretch>
                      <a:fillRect/>
                    </a:stretch>
                  </pic:blipFill>
                  <pic:spPr>
                    <a:xfrm>
                      <a:off x="0" y="0"/>
                      <a:ext cx="3244596" cy="2098548"/>
                    </a:xfrm>
                    <a:prstGeom prst="rect">
                      <a:avLst/>
                    </a:prstGeom>
                  </pic:spPr>
                </pic:pic>
              </a:graphicData>
            </a:graphic>
          </wp:inline>
        </w:drawing>
      </w:r>
    </w:p>
    <w:p w14:paraId="39D321C3" w14:textId="57E6FB70" w:rsidR="00CB4F4C" w:rsidRDefault="00000000">
      <w:pPr>
        <w:spacing w:line="240" w:lineRule="auto"/>
        <w:ind w:left="0" w:hanging="2"/>
        <w:jc w:val="left"/>
        <w:rPr>
          <w:sz w:val="24"/>
          <w:szCs w:val="24"/>
        </w:rPr>
      </w:pPr>
      <w:r>
        <w:rPr>
          <w:sz w:val="24"/>
          <w:szCs w:val="24"/>
        </w:rPr>
        <w:t>Figure 2. Photocatalytic activity comparison of Sn/</w:t>
      </w:r>
      <w:proofErr w:type="spellStart"/>
      <w:r>
        <w:rPr>
          <w:sz w:val="24"/>
          <w:szCs w:val="24"/>
        </w:rPr>
        <w:t>exf</w:t>
      </w:r>
      <w:proofErr w:type="spellEnd"/>
      <w:r>
        <w:rPr>
          <w:sz w:val="24"/>
          <w:szCs w:val="24"/>
        </w:rPr>
        <w:t>-HTO with pristine layered titanates and exfoliated titanates.</w:t>
      </w:r>
    </w:p>
    <w:p w14:paraId="73C31047" w14:textId="77777777" w:rsidR="00CB4F4C" w:rsidRDefault="00CB4F4C">
      <w:pPr>
        <w:spacing w:line="240" w:lineRule="auto"/>
        <w:ind w:left="0" w:hanging="2"/>
        <w:rPr>
          <w:sz w:val="24"/>
          <w:szCs w:val="24"/>
        </w:rPr>
      </w:pPr>
    </w:p>
    <w:p w14:paraId="1D5456DA" w14:textId="099FF0D6" w:rsidR="00CB4F4C" w:rsidRDefault="00000000">
      <w:pPr>
        <w:spacing w:line="240" w:lineRule="auto"/>
        <w:ind w:left="0" w:hanging="2"/>
        <w:rPr>
          <w:sz w:val="24"/>
          <w:szCs w:val="24"/>
        </w:rPr>
      </w:pPr>
      <w:r>
        <w:rPr>
          <w:sz w:val="24"/>
          <w:szCs w:val="24"/>
        </w:rPr>
        <w:t xml:space="preserve">In conclusion, </w:t>
      </w:r>
      <w:proofErr w:type="spellStart"/>
      <w:r>
        <w:rPr>
          <w:sz w:val="24"/>
          <w:szCs w:val="24"/>
        </w:rPr>
        <w:t>exf</w:t>
      </w:r>
      <w:proofErr w:type="spellEnd"/>
      <w:r>
        <w:rPr>
          <w:sz w:val="24"/>
          <w:szCs w:val="24"/>
        </w:rPr>
        <w:t xml:space="preserve">-HTO was synthesized by a facile method and resulting </w:t>
      </w:r>
      <w:r w:rsidR="00DA2FB4">
        <w:rPr>
          <w:sz w:val="24"/>
          <w:szCs w:val="24"/>
        </w:rPr>
        <w:t xml:space="preserve">in </w:t>
      </w:r>
      <w:r>
        <w:rPr>
          <w:sz w:val="24"/>
          <w:szCs w:val="24"/>
        </w:rPr>
        <w:t>higher photocatalytic activity toward hydrogen evolution reaction. Single</w:t>
      </w:r>
      <w:r w:rsidR="00DA2FB4">
        <w:rPr>
          <w:sz w:val="24"/>
          <w:szCs w:val="24"/>
        </w:rPr>
        <w:t>-</w:t>
      </w:r>
      <w:r>
        <w:rPr>
          <w:sz w:val="24"/>
          <w:szCs w:val="24"/>
        </w:rPr>
        <w:t xml:space="preserve">atom Sn </w:t>
      </w:r>
      <w:r w:rsidR="00DA2FB4">
        <w:rPr>
          <w:sz w:val="24"/>
          <w:szCs w:val="24"/>
        </w:rPr>
        <w:t xml:space="preserve">is </w:t>
      </w:r>
      <w:r>
        <w:rPr>
          <w:sz w:val="24"/>
          <w:szCs w:val="24"/>
        </w:rPr>
        <w:t>also loaded on exfoliated layered titanate</w:t>
      </w:r>
      <w:r w:rsidR="00DA2FB4">
        <w:rPr>
          <w:sz w:val="24"/>
          <w:szCs w:val="24"/>
        </w:rPr>
        <w:t>,</w:t>
      </w:r>
      <w:r>
        <w:rPr>
          <w:sz w:val="24"/>
          <w:szCs w:val="24"/>
        </w:rPr>
        <w:t xml:space="preserve"> and microscopic techniques showed that Sn atoms are dispersed on the surface of layers and agglomerated with higher loading amounts instead of forming nanoclusters. As a result, single</w:t>
      </w:r>
      <w:r w:rsidR="00DA2FB4">
        <w:rPr>
          <w:sz w:val="24"/>
          <w:szCs w:val="24"/>
        </w:rPr>
        <w:t>-atom Sn-</w:t>
      </w:r>
      <w:r>
        <w:rPr>
          <w:sz w:val="24"/>
          <w:szCs w:val="24"/>
        </w:rPr>
        <w:t xml:space="preserve">loaded layered titanates can be excellent materials to increase </w:t>
      </w:r>
      <w:r w:rsidR="00DA2FB4">
        <w:rPr>
          <w:sz w:val="24"/>
          <w:szCs w:val="24"/>
        </w:rPr>
        <w:t xml:space="preserve">the </w:t>
      </w:r>
      <w:r>
        <w:rPr>
          <w:sz w:val="24"/>
          <w:szCs w:val="24"/>
        </w:rPr>
        <w:t>photocatalytic activity of pristine layered titanates.</w:t>
      </w:r>
    </w:p>
    <w:p w14:paraId="4794A1C4" w14:textId="77777777" w:rsidR="00CB4F4C" w:rsidRDefault="00CB4F4C">
      <w:pPr>
        <w:ind w:left="0" w:hanging="2"/>
        <w:rPr>
          <w:sz w:val="24"/>
          <w:szCs w:val="24"/>
        </w:rPr>
      </w:pPr>
    </w:p>
    <w:p w14:paraId="2C0EBB5D" w14:textId="77777777" w:rsidR="00CB4F4C" w:rsidRDefault="00000000">
      <w:pPr>
        <w:spacing w:line="240" w:lineRule="auto"/>
        <w:ind w:left="0" w:hanging="2"/>
        <w:jc w:val="left"/>
        <w:rPr>
          <w:sz w:val="24"/>
          <w:szCs w:val="24"/>
        </w:rPr>
      </w:pPr>
      <w:r>
        <w:rPr>
          <w:b/>
          <w:sz w:val="24"/>
          <w:szCs w:val="24"/>
        </w:rPr>
        <w:t>References</w:t>
      </w:r>
    </w:p>
    <w:p w14:paraId="28040DAB" w14:textId="77777777" w:rsidR="003B01A2" w:rsidRPr="003B01A2" w:rsidRDefault="003B01A2" w:rsidP="003B01A2">
      <w:pPr>
        <w:pStyle w:val="aa"/>
        <w:ind w:left="0" w:hanging="2"/>
        <w:rPr>
          <w:sz w:val="24"/>
        </w:rPr>
      </w:pPr>
      <w:r>
        <w:fldChar w:fldCharType="begin"/>
      </w:r>
      <w:r>
        <w:instrText xml:space="preserve"> ADDIN ZOTERO_BIBL {"uncited":[],"omitted":[],"custom":[]} CSL_BIBLIOGRAPHY </w:instrText>
      </w:r>
      <w:r>
        <w:fldChar w:fldCharType="separate"/>
      </w:r>
      <w:r w:rsidRPr="003B01A2">
        <w:rPr>
          <w:sz w:val="24"/>
        </w:rPr>
        <w:t>[1]</w:t>
      </w:r>
      <w:r w:rsidRPr="003B01A2">
        <w:rPr>
          <w:sz w:val="24"/>
        </w:rPr>
        <w:tab/>
        <w:t xml:space="preserve">T. S. Teets and D. G. Nocera, “Photocatalytic hydrogen production,” </w:t>
      </w:r>
      <w:r w:rsidRPr="003B01A2">
        <w:rPr>
          <w:i/>
          <w:iCs/>
          <w:sz w:val="24"/>
        </w:rPr>
        <w:t>Chem. Commun.</w:t>
      </w:r>
      <w:r w:rsidRPr="003B01A2">
        <w:rPr>
          <w:sz w:val="24"/>
        </w:rPr>
        <w:t>, vol. 47, no. 33, pp. 9268–9274, 2011, doi: 10.1039/C1CC12390D.</w:t>
      </w:r>
    </w:p>
    <w:p w14:paraId="3E8D234D" w14:textId="77777777" w:rsidR="003B01A2" w:rsidRPr="003B01A2" w:rsidRDefault="003B01A2" w:rsidP="003B01A2">
      <w:pPr>
        <w:pStyle w:val="aa"/>
        <w:ind w:left="0" w:hanging="2"/>
        <w:rPr>
          <w:sz w:val="24"/>
        </w:rPr>
      </w:pPr>
      <w:r w:rsidRPr="003B01A2">
        <w:rPr>
          <w:sz w:val="24"/>
        </w:rPr>
        <w:t>[2]</w:t>
      </w:r>
      <w:r w:rsidRPr="003B01A2">
        <w:rPr>
          <w:sz w:val="24"/>
        </w:rPr>
        <w:tab/>
        <w:t xml:space="preserve">H. Du, Y.-N. Liu, C.-C. Shen, and A.-W. Xu, “Nanoheterostructured photocatalysts for improving photocatalytic hydrogen production,” </w:t>
      </w:r>
      <w:r w:rsidRPr="003B01A2">
        <w:rPr>
          <w:i/>
          <w:iCs/>
          <w:sz w:val="24"/>
        </w:rPr>
        <w:t>Chin. J. Catal.</w:t>
      </w:r>
      <w:r w:rsidRPr="003B01A2">
        <w:rPr>
          <w:sz w:val="24"/>
        </w:rPr>
        <w:t>, vol. 38, no. 8, pp. 1295–1306, Aug. 2017, doi: 10.1016/S1872-2067(17)62866-3.</w:t>
      </w:r>
    </w:p>
    <w:p w14:paraId="47901411" w14:textId="77777777" w:rsidR="003B01A2" w:rsidRPr="003B01A2" w:rsidRDefault="003B01A2" w:rsidP="003B01A2">
      <w:pPr>
        <w:pStyle w:val="aa"/>
        <w:ind w:left="0" w:hanging="2"/>
        <w:rPr>
          <w:sz w:val="24"/>
        </w:rPr>
      </w:pPr>
      <w:r w:rsidRPr="003B01A2">
        <w:rPr>
          <w:sz w:val="24"/>
        </w:rPr>
        <w:t>[3]</w:t>
      </w:r>
      <w:r w:rsidRPr="003B01A2">
        <w:rPr>
          <w:sz w:val="24"/>
        </w:rPr>
        <w:tab/>
        <w:t xml:space="preserve">X. Chen, S. Shen, L. Guo, and S. S. Mao, “Semiconductor-based Photocatalytic Hydrogen Generation,” </w:t>
      </w:r>
      <w:r w:rsidRPr="003B01A2">
        <w:rPr>
          <w:i/>
          <w:iCs/>
          <w:sz w:val="24"/>
        </w:rPr>
        <w:t>Chem. Rev.</w:t>
      </w:r>
      <w:r w:rsidRPr="003B01A2">
        <w:rPr>
          <w:sz w:val="24"/>
        </w:rPr>
        <w:t>, vol. 110, no. 11, pp. 6503–6570, Nov. 2010, doi: 10.1021/cr1001645.</w:t>
      </w:r>
    </w:p>
    <w:p w14:paraId="7D5EBADF" w14:textId="77777777" w:rsidR="003B01A2" w:rsidRPr="003B01A2" w:rsidRDefault="003B01A2" w:rsidP="003B01A2">
      <w:pPr>
        <w:pStyle w:val="aa"/>
        <w:ind w:left="0" w:hanging="2"/>
        <w:rPr>
          <w:sz w:val="24"/>
        </w:rPr>
      </w:pPr>
      <w:r w:rsidRPr="003B01A2">
        <w:rPr>
          <w:sz w:val="24"/>
        </w:rPr>
        <w:t>[4]</w:t>
      </w:r>
      <w:r w:rsidRPr="003B01A2">
        <w:rPr>
          <w:sz w:val="24"/>
        </w:rPr>
        <w:tab/>
        <w:t xml:space="preserve">K. Saito </w:t>
      </w:r>
      <w:r w:rsidRPr="003B01A2">
        <w:rPr>
          <w:i/>
          <w:iCs/>
          <w:sz w:val="24"/>
        </w:rPr>
        <w:t>et al.</w:t>
      </w:r>
      <w:r w:rsidRPr="003B01A2">
        <w:rPr>
          <w:sz w:val="24"/>
        </w:rPr>
        <w:t xml:space="preserve">, “Unprecedentedly enhanced solar photocatalytic activity of a layered titanate simply integrated with TiO 2 nanoparticles,” </w:t>
      </w:r>
      <w:r w:rsidRPr="003B01A2">
        <w:rPr>
          <w:i/>
          <w:iCs/>
          <w:sz w:val="24"/>
        </w:rPr>
        <w:t>Phys. Chem. Chem. Phys.</w:t>
      </w:r>
      <w:r w:rsidRPr="003B01A2">
        <w:rPr>
          <w:sz w:val="24"/>
        </w:rPr>
        <w:t>, vol. 18, no. 45, pp. 30920–30925, 2016, doi: 10.1039/C6CP05635K.</w:t>
      </w:r>
    </w:p>
    <w:p w14:paraId="3633F007" w14:textId="77777777" w:rsidR="003B01A2" w:rsidRPr="003B01A2" w:rsidRDefault="003B01A2" w:rsidP="003B01A2">
      <w:pPr>
        <w:pStyle w:val="aa"/>
        <w:ind w:left="0" w:hanging="2"/>
        <w:rPr>
          <w:sz w:val="24"/>
        </w:rPr>
      </w:pPr>
      <w:r w:rsidRPr="003B01A2">
        <w:rPr>
          <w:sz w:val="24"/>
        </w:rPr>
        <w:t>[5]</w:t>
      </w:r>
      <w:r w:rsidRPr="003B01A2">
        <w:rPr>
          <w:sz w:val="24"/>
        </w:rPr>
        <w:tab/>
        <w:t xml:space="preserve">S. Kang </w:t>
      </w:r>
      <w:r w:rsidRPr="003B01A2">
        <w:rPr>
          <w:i/>
          <w:iCs/>
          <w:sz w:val="24"/>
        </w:rPr>
        <w:t>et al.</w:t>
      </w:r>
      <w:r w:rsidRPr="003B01A2">
        <w:rPr>
          <w:sz w:val="24"/>
        </w:rPr>
        <w:t xml:space="preserve">, “Hydronium Ions Stabilized in a Titanate-Layered Structure with High Ionic Conductivity: Application to Aqueous Proton Batteries,” </w:t>
      </w:r>
      <w:r w:rsidRPr="003B01A2">
        <w:rPr>
          <w:i/>
          <w:iCs/>
          <w:sz w:val="24"/>
        </w:rPr>
        <w:t>Chem. Mater.</w:t>
      </w:r>
      <w:r w:rsidRPr="003B01A2">
        <w:rPr>
          <w:sz w:val="24"/>
        </w:rPr>
        <w:t>, vol. 32, no. 21, pp. 9458–9469, Nov. 2020, doi: 10.1021/acs.chemmater.0c03658.</w:t>
      </w:r>
    </w:p>
    <w:p w14:paraId="018C0F7E" w14:textId="77777777" w:rsidR="003B01A2" w:rsidRPr="003B01A2" w:rsidRDefault="003B01A2" w:rsidP="003B01A2">
      <w:pPr>
        <w:pStyle w:val="aa"/>
        <w:ind w:left="0" w:hanging="2"/>
        <w:rPr>
          <w:sz w:val="24"/>
        </w:rPr>
      </w:pPr>
      <w:r w:rsidRPr="003B01A2">
        <w:rPr>
          <w:sz w:val="24"/>
        </w:rPr>
        <w:t>[6]</w:t>
      </w:r>
      <w:r w:rsidRPr="003B01A2">
        <w:rPr>
          <w:sz w:val="24"/>
        </w:rPr>
        <w:tab/>
        <w:t xml:space="preserve">Y. Ide and M. Ogawa, “Interlayer Modification of a Layered Titanate with Two Kinds of Organic Functional Units for Molecule-Specific Adsorption,” </w:t>
      </w:r>
      <w:r w:rsidRPr="003B01A2">
        <w:rPr>
          <w:i/>
          <w:iCs/>
          <w:sz w:val="24"/>
        </w:rPr>
        <w:t>Angew. Chem. Int. Ed.</w:t>
      </w:r>
      <w:r w:rsidRPr="003B01A2">
        <w:rPr>
          <w:sz w:val="24"/>
        </w:rPr>
        <w:t>, vol. 46, no. 44, pp. 8449–8451, 2007, doi: 10.1002/anie.200702360.</w:t>
      </w:r>
    </w:p>
    <w:p w14:paraId="383E15DC" w14:textId="2ABF747A" w:rsidR="00CB4F4C" w:rsidRDefault="003B01A2">
      <w:pPr>
        <w:spacing w:line="240" w:lineRule="auto"/>
        <w:ind w:left="0" w:hanging="2"/>
        <w:jc w:val="left"/>
        <w:rPr>
          <w:sz w:val="24"/>
          <w:szCs w:val="24"/>
        </w:rPr>
      </w:pPr>
      <w:r>
        <w:rPr>
          <w:sz w:val="24"/>
          <w:szCs w:val="24"/>
        </w:rPr>
        <w:fldChar w:fldCharType="end"/>
      </w:r>
    </w:p>
    <w:sectPr w:rsidR="00CB4F4C">
      <w:pgSz w:w="12240" w:h="15840"/>
      <w:pgMar w:top="1440" w:right="1080" w:bottom="1440" w:left="108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A2"/>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wM7Q0MDCyNLU0sjBW0lEKTi0uzszPAykwrAUA25gvxCwAAAA="/>
  </w:docVars>
  <w:rsids>
    <w:rsidRoot w:val="00CB4F4C"/>
    <w:rsid w:val="003B01A2"/>
    <w:rsid w:val="003C696C"/>
    <w:rsid w:val="0041197E"/>
    <w:rsid w:val="004974CC"/>
    <w:rsid w:val="00696BD8"/>
    <w:rsid w:val="00CA6905"/>
    <w:rsid w:val="00CB4F4C"/>
    <w:rsid w:val="00DA2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72443E"/>
  <w15:docId w15:val="{2B0AE3C1-D967-4FCC-9688-8F62562C9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pPr>
        <w:tabs>
          <w:tab w:val="left" w:pos="340"/>
          <w:tab w:val="left" w:pos="680"/>
        </w:tabs>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240" w:lineRule="atLeast"/>
      <w:ind w:leftChars="-1" w:left="-1" w:hangingChars="1" w:hanging="1"/>
      <w:textDirection w:val="btLr"/>
      <w:textAlignment w:val="top"/>
      <w:outlineLvl w:val="0"/>
    </w:pPr>
    <w:rPr>
      <w:position w:val="-1"/>
      <w:lang w:eastAsia="de-DE"/>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customStyle="1" w:styleId="Title1">
    <w:name w:val="Title1"/>
    <w:next w:val="a"/>
    <w:pPr>
      <w:keepNext/>
      <w:keepLines/>
      <w:spacing w:after="160" w:line="320" w:lineRule="atLeast"/>
      <w:ind w:leftChars="-1" w:left="-1" w:hangingChars="1" w:hanging="1"/>
      <w:contextualSpacing/>
      <w:jc w:val="center"/>
      <w:textDirection w:val="btLr"/>
      <w:textAlignment w:val="top"/>
      <w:outlineLvl w:val="0"/>
    </w:pPr>
    <w:rPr>
      <w:rFonts w:ascii="Arial" w:hAnsi="Arial"/>
      <w:b/>
      <w:position w:val="-1"/>
      <w:sz w:val="28"/>
      <w:szCs w:val="24"/>
      <w:lang w:eastAsia="de-DE"/>
    </w:rPr>
  </w:style>
  <w:style w:type="character" w:styleId="a4">
    <w:name w:val="Hyperlink"/>
    <w:qFormat/>
    <w:rPr>
      <w:color w:val="auto"/>
      <w:w w:val="100"/>
      <w:position w:val="-1"/>
      <w:u w:val="none"/>
      <w:effect w:val="none"/>
      <w:vertAlign w:val="baseline"/>
      <w:cs w:val="0"/>
      <w:em w:val="none"/>
    </w:rPr>
  </w:style>
  <w:style w:type="paragraph" w:customStyle="1" w:styleId="author">
    <w:name w:val="author"/>
    <w:next w:val="authorinfo"/>
    <w:pPr>
      <w:keepNext/>
      <w:keepLines/>
      <w:spacing w:after="160" w:line="240" w:lineRule="atLeast"/>
      <w:ind w:leftChars="-1" w:left="-1" w:hangingChars="1" w:hanging="1"/>
      <w:contextualSpacing/>
      <w:jc w:val="center"/>
      <w:textDirection w:val="btLr"/>
      <w:textAlignment w:val="top"/>
      <w:outlineLvl w:val="0"/>
    </w:pPr>
    <w:rPr>
      <w:position w:val="-1"/>
      <w:lang w:eastAsia="ja-JP"/>
    </w:rPr>
  </w:style>
  <w:style w:type="paragraph" w:customStyle="1" w:styleId="authorinfo">
    <w:name w:val="authorinfo"/>
    <w:pPr>
      <w:widowControl w:val="0"/>
      <w:suppressAutoHyphens/>
      <w:spacing w:after="240" w:line="240" w:lineRule="atLeast"/>
      <w:ind w:leftChars="-1" w:left="-1" w:hangingChars="1" w:hanging="1"/>
      <w:contextualSpacing/>
      <w:jc w:val="center"/>
      <w:textDirection w:val="btLr"/>
      <w:textAlignment w:val="top"/>
      <w:outlineLvl w:val="0"/>
    </w:pPr>
    <w:rPr>
      <w:position w:val="-1"/>
    </w:rPr>
  </w:style>
  <w:style w:type="paragraph" w:customStyle="1" w:styleId="keywords">
    <w:name w:val="keywords"/>
    <w:next w:val="a"/>
    <w:pPr>
      <w:suppressAutoHyphens/>
      <w:spacing w:after="400" w:line="1" w:lineRule="atLeast"/>
      <w:ind w:leftChars="-1" w:left="-1" w:hangingChars="1" w:hanging="1"/>
      <w:contextualSpacing/>
      <w:textDirection w:val="btLr"/>
      <w:textAlignment w:val="top"/>
      <w:outlineLvl w:val="0"/>
    </w:pPr>
    <w:rPr>
      <w:position w:val="-1"/>
      <w:sz w:val="18"/>
      <w:lang w:eastAsia="de-DE"/>
    </w:rPr>
  </w:style>
  <w:style w:type="paragraph" w:customStyle="1" w:styleId="email">
    <w:name w:val="email"/>
    <w:basedOn w:val="a"/>
    <w:next w:val="a"/>
    <w:pPr>
      <w:spacing w:line="200" w:lineRule="atLeast"/>
      <w:ind w:firstLine="0"/>
      <w:jc w:val="left"/>
    </w:pPr>
    <w:rPr>
      <w:sz w:val="18"/>
      <w:lang w:eastAsia="en-US"/>
    </w:rPr>
  </w:style>
  <w:style w:type="character" w:customStyle="1" w:styleId="italic">
    <w:name w:val="italic"/>
    <w:rPr>
      <w:i/>
      <w:iCs/>
      <w:w w:val="100"/>
      <w:position w:val="-1"/>
      <w:effect w:val="none"/>
      <w:vertAlign w:val="baseline"/>
      <w:cs w:val="0"/>
      <w:em w:val="none"/>
    </w:rPr>
  </w:style>
  <w:style w:type="character" w:customStyle="1" w:styleId="bold">
    <w:name w:val="bold"/>
    <w:rPr>
      <w:b/>
      <w:w w:val="100"/>
      <w:position w:val="-1"/>
      <w:effect w:val="none"/>
      <w:vertAlign w:val="baseline"/>
      <w:cs w:val="0"/>
      <w:em w:val="none"/>
    </w:rPr>
  </w:style>
  <w:style w:type="character" w:customStyle="1" w:styleId="underlined">
    <w:name w:val="underlined"/>
    <w:rPr>
      <w:w w:val="100"/>
      <w:position w:val="-1"/>
      <w:u w:val="single"/>
      <w:effect w:val="none"/>
      <w:vertAlign w:val="baseline"/>
      <w:cs w:val="0"/>
      <w:em w:val="none"/>
      <w:lang w:val="en-GB"/>
    </w:rPr>
  </w:style>
  <w:style w:type="table" w:styleId="a5">
    <w:name w:val="Table Grid"/>
    <w:basedOn w:val="a1"/>
    <w:pPr>
      <w:suppressAutoHyphens/>
      <w:spacing w:line="1" w:lineRule="atLeast"/>
      <w:ind w:leftChars="-1" w:left="-1" w:hangingChars="1" w:hanging="1"/>
      <w:textDirection w:val="btLr"/>
      <w:textAlignment w:val="top"/>
      <w:outlineLvl w:val="0"/>
    </w:pPr>
    <w:rPr>
      <w:rFonts w:ascii="Cambria" w:eastAsia="Cambria" w:hAnsi="Cambria"/>
      <w:position w:val="-1"/>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qFormat/>
    <w:pPr>
      <w:tabs>
        <w:tab w:val="clear" w:pos="340"/>
        <w:tab w:val="clear" w:pos="680"/>
        <w:tab w:val="center" w:pos="4320"/>
        <w:tab w:val="right" w:pos="8640"/>
      </w:tabs>
    </w:pPr>
  </w:style>
  <w:style w:type="character" w:customStyle="1" w:styleId="HeaderChar">
    <w:name w:val="Header Char"/>
    <w:rPr>
      <w:rFonts w:ascii="Times New Roman" w:eastAsia="Times New Roman" w:hAnsi="Times New Roman"/>
      <w:w w:val="100"/>
      <w:position w:val="-1"/>
      <w:effect w:val="none"/>
      <w:vertAlign w:val="baseline"/>
      <w:cs w:val="0"/>
      <w:em w:val="none"/>
      <w:lang w:eastAsia="de-DE"/>
    </w:rPr>
  </w:style>
  <w:style w:type="paragraph" w:styleId="a7">
    <w:name w:val="footer"/>
    <w:basedOn w:val="a"/>
    <w:qFormat/>
    <w:pPr>
      <w:tabs>
        <w:tab w:val="clear" w:pos="340"/>
        <w:tab w:val="clear" w:pos="680"/>
        <w:tab w:val="center" w:pos="4320"/>
        <w:tab w:val="right" w:pos="8640"/>
      </w:tabs>
    </w:pPr>
  </w:style>
  <w:style w:type="character" w:customStyle="1" w:styleId="FooterChar">
    <w:name w:val="Footer Char"/>
    <w:rPr>
      <w:rFonts w:ascii="Times New Roman" w:eastAsia="Times New Roman" w:hAnsi="Times New Roman"/>
      <w:w w:val="100"/>
      <w:position w:val="-1"/>
      <w:effect w:val="none"/>
      <w:vertAlign w:val="baseline"/>
      <w:cs w:val="0"/>
      <w:em w:val="none"/>
      <w:lang w:eastAsia="de-DE"/>
    </w:rPr>
  </w:style>
  <w:style w:type="character" w:styleId="a8">
    <w:name w:val="Unresolved Mention"/>
    <w:rPr>
      <w:color w:val="605E5C"/>
      <w:w w:val="100"/>
      <w:position w:val="-1"/>
      <w:effect w:val="none"/>
      <w:shd w:val="clear" w:color="auto" w:fill="E1DFDD"/>
      <w:vertAlign w:val="baseline"/>
      <w:cs w:val="0"/>
      <w:em w:val="none"/>
    </w:rPr>
  </w:style>
  <w:style w:type="character" w:styleId="a9">
    <w:name w:val="FollowedHyperlink"/>
    <w:qFormat/>
    <w:rPr>
      <w:color w:val="954F72"/>
      <w:w w:val="100"/>
      <w:position w:val="-1"/>
      <w:u w:val="single"/>
      <w:effect w:val="none"/>
      <w:vertAlign w:val="baseline"/>
      <w:cs w:val="0"/>
      <w:em w:val="none"/>
    </w:rPr>
  </w:style>
  <w:style w:type="paragraph" w:styleId="aa">
    <w:name w:val="Bibliography"/>
    <w:basedOn w:val="a"/>
    <w:next w:val="a"/>
    <w:qFormat/>
    <w:pPr>
      <w:tabs>
        <w:tab w:val="clear" w:pos="340"/>
        <w:tab w:val="clear" w:pos="680"/>
        <w:tab w:val="left" w:pos="384"/>
      </w:tabs>
      <w:ind w:left="384" w:hanging="384"/>
    </w:p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doustkhahheragh@ku.edu.tr" TargetMode="External"/><Relationship Id="rId5" Type="http://schemas.openxmlformats.org/officeDocument/2006/relationships/hyperlink" Target="mailto:sarpkaya@ku.edu.t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eJkgYyJl4lX0x63vhVhblpHetZw==">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2631</Words>
  <Characters>15003</Characters>
  <Application>Microsoft Office Word</Application>
  <DocSecurity>0</DocSecurity>
  <Lines>125</Lines>
  <Paragraphs>35</Paragraphs>
  <ScaleCrop>false</ScaleCrop>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Stanley</dc:creator>
  <cp:lastModifiedBy>Yusuke Ide</cp:lastModifiedBy>
  <cp:revision>2</cp:revision>
  <dcterms:created xsi:type="dcterms:W3CDTF">2024-11-21T13:29:00Z</dcterms:created>
  <dcterms:modified xsi:type="dcterms:W3CDTF">2024-11-21T13:29:00Z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ZOTERO_PREF_1">
    <vt:lpwstr>&lt;data data-version="3" zotero-version="6.0.20"&gt;&lt;session id="4duL7fTy"/&gt;&lt;style id="http://www.zotero.org/styles/ieee" locale="en-US" hasBibliography="1" bibliographyStyleHasBeenSet="1"/&gt;&lt;prefs&gt;&lt;pref name="fieldType" value="Field"/&gt;&lt;pref name="automaticJour</vt:lpwstr>
  </property>
  <property fmtid="{D5CDD505-2E9C-101B-9397-08002B2CF9AE}" pid="5" name="ZOTERO_PREF_2">
    <vt:lpwstr>nalAbbreviations" value="true"/&gt;&lt;/prefs&gt;&lt;/data&gt;</vt:lpwstr>
  </property>
</Properties>
</file>