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185F26" w14:textId="22208F5E" w:rsidR="00C90F4A" w:rsidRPr="00C90F4A" w:rsidRDefault="00C90F4A" w:rsidP="008C6D5F">
      <w:pPr>
        <w:pStyle w:val="Title2"/>
        <w:pBdr>
          <w:bottom w:val="single" w:sz="6" w:space="1" w:color="auto"/>
        </w:pBdr>
        <w:spacing w:line="360" w:lineRule="auto"/>
        <w:rPr>
          <w:sz w:val="18"/>
          <w:szCs w:val="18"/>
        </w:rPr>
      </w:pPr>
      <w:r w:rsidRPr="00C90F4A">
        <w:rPr>
          <w:b w:val="0"/>
          <w:bCs/>
          <w:i/>
          <w:iCs/>
          <w:sz w:val="18"/>
          <w:szCs w:val="18"/>
        </w:rPr>
        <w:t xml:space="preserve">This is the peer reviewed version of the article, which has been published in final form at </w:t>
      </w:r>
      <w:r w:rsidR="00CA0E30" w:rsidRPr="00CA0E30">
        <w:rPr>
          <w:b w:val="0"/>
          <w:bCs/>
          <w:i/>
          <w:iCs/>
          <w:sz w:val="18"/>
          <w:szCs w:val="18"/>
        </w:rPr>
        <w:t>https://onlinelibrary.wiley.com/doi/10.1002/macp.202100433</w:t>
      </w:r>
      <w:r w:rsidRPr="00C90F4A">
        <w:rPr>
          <w:b w:val="0"/>
          <w:bCs/>
          <w:i/>
          <w:iCs/>
          <w:sz w:val="18"/>
          <w:szCs w:val="18"/>
        </w:rPr>
        <w:t xml:space="preserve">. This article may be used for non-commercial purposes in accordance with Wiley Terms and Conditions for Use of Self-Archived Versions. This article may not be enhanced, </w:t>
      </w:r>
      <w:proofErr w:type="gramStart"/>
      <w:r w:rsidRPr="00C90F4A">
        <w:rPr>
          <w:b w:val="0"/>
          <w:bCs/>
          <w:i/>
          <w:iCs/>
          <w:sz w:val="18"/>
          <w:szCs w:val="18"/>
        </w:rPr>
        <w:t>enriched</w:t>
      </w:r>
      <w:proofErr w:type="gramEnd"/>
      <w:r w:rsidRPr="00C90F4A">
        <w:rPr>
          <w:b w:val="0"/>
          <w:bCs/>
          <w:i/>
          <w:iCs/>
          <w:sz w:val="18"/>
          <w:szCs w:val="18"/>
        </w:rPr>
        <w:t xml:space="preserve"> or otherwise transformed into a derivative work, without express permission from Wiley or by statutory rights under applicable legislation. Copyright notices must not be removed, </w:t>
      </w:r>
      <w:proofErr w:type="gramStart"/>
      <w:r w:rsidRPr="00C90F4A">
        <w:rPr>
          <w:b w:val="0"/>
          <w:bCs/>
          <w:i/>
          <w:iCs/>
          <w:sz w:val="18"/>
          <w:szCs w:val="18"/>
        </w:rPr>
        <w:t>obscured</w:t>
      </w:r>
      <w:proofErr w:type="gramEnd"/>
      <w:r w:rsidRPr="00C90F4A">
        <w:rPr>
          <w:b w:val="0"/>
          <w:bCs/>
          <w:i/>
          <w:iCs/>
          <w:sz w:val="18"/>
          <w:szCs w:val="18"/>
        </w:rPr>
        <w:t xml:space="preserve"> or modified. The article must be linked to Wiley’s version of record on Wiley Online Library and any embedding, framing or otherwise making available the article or pages thereof by third parties from platforms, </w:t>
      </w:r>
      <w:proofErr w:type="gramStart"/>
      <w:r w:rsidRPr="00C90F4A">
        <w:rPr>
          <w:b w:val="0"/>
          <w:bCs/>
          <w:i/>
          <w:iCs/>
          <w:sz w:val="18"/>
          <w:szCs w:val="18"/>
        </w:rPr>
        <w:t>services</w:t>
      </w:r>
      <w:proofErr w:type="gramEnd"/>
      <w:r w:rsidRPr="00C90F4A">
        <w:rPr>
          <w:b w:val="0"/>
          <w:bCs/>
          <w:i/>
          <w:iCs/>
          <w:sz w:val="18"/>
          <w:szCs w:val="18"/>
        </w:rPr>
        <w:t xml:space="preserve"> and websites other than Wiley Online Library must be prohibited.</w:t>
      </w:r>
    </w:p>
    <w:p w14:paraId="7A778059" w14:textId="77777777" w:rsidR="00CA0E30" w:rsidRDefault="00CA0E30" w:rsidP="008C6D5F">
      <w:pPr>
        <w:pStyle w:val="Title2"/>
        <w:spacing w:line="360" w:lineRule="auto"/>
        <w:rPr>
          <w:rFonts w:hint="eastAsia"/>
        </w:rPr>
      </w:pPr>
    </w:p>
    <w:p w14:paraId="7609D195" w14:textId="7B06F829" w:rsidR="002D16A0" w:rsidRPr="00BD7731" w:rsidRDefault="000E62B5" w:rsidP="008C6D5F">
      <w:pPr>
        <w:pStyle w:val="Title2"/>
        <w:spacing w:line="360" w:lineRule="auto"/>
        <w:rPr>
          <w:b w:val="0"/>
        </w:rPr>
      </w:pPr>
      <w:r w:rsidRPr="00BD7731">
        <w:t>I</w:t>
      </w:r>
      <w:r w:rsidR="0021034A" w:rsidRPr="00BD7731">
        <w:t xml:space="preserve">mpact of </w:t>
      </w:r>
      <w:proofErr w:type="spellStart"/>
      <w:r w:rsidR="0021034A" w:rsidRPr="00BD7731">
        <w:t>telechelic</w:t>
      </w:r>
      <w:proofErr w:type="spellEnd"/>
      <w:r w:rsidR="0021034A" w:rsidRPr="00BD7731">
        <w:t xml:space="preserve"> polymer</w:t>
      </w:r>
      <w:r w:rsidRPr="00BD7731">
        <w:t xml:space="preserve"> precursor</w:t>
      </w:r>
      <w:r w:rsidR="0021034A" w:rsidRPr="00BD7731">
        <w:t xml:space="preserve">s on the viscoelastic properties of </w:t>
      </w:r>
      <w:proofErr w:type="spellStart"/>
      <w:r w:rsidR="0021034A" w:rsidRPr="00BD7731">
        <w:t>vitrimers</w:t>
      </w:r>
      <w:proofErr w:type="spellEnd"/>
    </w:p>
    <w:p w14:paraId="71BA3FD4" w14:textId="77777777" w:rsidR="002D16A0" w:rsidRPr="00BD7731" w:rsidRDefault="002D16A0">
      <w:pPr>
        <w:pStyle w:val="Tableofcontents"/>
      </w:pPr>
    </w:p>
    <w:p w14:paraId="112FAE37" w14:textId="66F44ECA" w:rsidR="002D16A0" w:rsidRPr="00BD7731" w:rsidRDefault="0021034A" w:rsidP="008C6D5F">
      <w:pPr>
        <w:pStyle w:val="AuthorsFull"/>
        <w:spacing w:line="360" w:lineRule="auto"/>
      </w:pPr>
      <w:r w:rsidRPr="00BD7731">
        <w:t xml:space="preserve">Yasuyuki Nakamura*, </w:t>
      </w:r>
      <w:proofErr w:type="spellStart"/>
      <w:r w:rsidRPr="00BD7731">
        <w:t>Mizuki</w:t>
      </w:r>
      <w:proofErr w:type="spellEnd"/>
      <w:r w:rsidRPr="00BD7731">
        <w:t xml:space="preserve"> </w:t>
      </w:r>
      <w:proofErr w:type="spellStart"/>
      <w:r w:rsidRPr="00BD7731">
        <w:t>Tenjimbayashi</w:t>
      </w:r>
      <w:proofErr w:type="spellEnd"/>
      <w:r w:rsidRPr="00BD7731">
        <w:t xml:space="preserve">, </w:t>
      </w:r>
      <w:proofErr w:type="spellStart"/>
      <w:r w:rsidRPr="00BD7731">
        <w:t>Akinori</w:t>
      </w:r>
      <w:proofErr w:type="spellEnd"/>
      <w:r w:rsidRPr="00BD7731">
        <w:t xml:space="preserve"> Moriya, </w:t>
      </w:r>
      <w:r w:rsidR="002D16A0" w:rsidRPr="00BD7731">
        <w:t xml:space="preserve">and </w:t>
      </w:r>
      <w:r w:rsidRPr="00BD7731">
        <w:t>Masanobu Naito</w:t>
      </w:r>
    </w:p>
    <w:p w14:paraId="23CEBEF5" w14:textId="77777777" w:rsidR="002D16A0" w:rsidRPr="00BD7731" w:rsidRDefault="002D16A0">
      <w:pPr>
        <w:pStyle w:val="Tableofcontents"/>
      </w:pPr>
    </w:p>
    <w:p w14:paraId="1956B48C" w14:textId="4D7A1D50" w:rsidR="0021034A" w:rsidRPr="00BD7731" w:rsidRDefault="00E3448D" w:rsidP="008C6D5F">
      <w:pPr>
        <w:pStyle w:val="Addresses"/>
        <w:spacing w:line="360" w:lineRule="auto"/>
      </w:pPr>
      <w:r w:rsidRPr="00BD7731">
        <w:t xml:space="preserve">Dr. </w:t>
      </w:r>
      <w:r w:rsidR="0021034A" w:rsidRPr="00BD7731">
        <w:t xml:space="preserve">Y. Nakamura, </w:t>
      </w:r>
      <w:r w:rsidRPr="00BD7731">
        <w:t xml:space="preserve">Dr. </w:t>
      </w:r>
      <w:r w:rsidR="0021034A" w:rsidRPr="00BD7731">
        <w:t>M. Naito</w:t>
      </w:r>
    </w:p>
    <w:p w14:paraId="57366483" w14:textId="7128EF0A" w:rsidR="007B7A09" w:rsidRPr="00BD7731" w:rsidRDefault="0021034A" w:rsidP="008C6D5F">
      <w:pPr>
        <w:pStyle w:val="Addresses"/>
        <w:spacing w:line="360" w:lineRule="auto"/>
      </w:pPr>
      <w:bookmarkStart w:id="0" w:name="_Hlk75790150"/>
      <w:bookmarkEnd w:id="0"/>
      <w:r w:rsidRPr="00BD7731">
        <w:t xml:space="preserve">Data-driven Polymer Design Group, Research and Services Division of Materials Data and Integrated System (MaDIS), National Institute for Materials Science (NIMS), 1-2-1 </w:t>
      </w:r>
      <w:proofErr w:type="spellStart"/>
      <w:r w:rsidRPr="00BD7731">
        <w:t>Sengen</w:t>
      </w:r>
      <w:proofErr w:type="spellEnd"/>
      <w:r w:rsidRPr="00BD7731">
        <w:t xml:space="preserve">, Tsukuba, Ibaraki 305-0047, Japan. </w:t>
      </w:r>
      <w:r w:rsidR="007B7A09" w:rsidRPr="00BD7731">
        <w:br/>
        <w:t>E-mail:</w:t>
      </w:r>
      <w:r w:rsidRPr="00BD7731">
        <w:t xml:space="preserve"> NAKAMURA.Yasuyuki@nims.go.jp</w:t>
      </w:r>
    </w:p>
    <w:p w14:paraId="5CBAE562" w14:textId="77777777" w:rsidR="00C56CD4" w:rsidRPr="00BD7731" w:rsidRDefault="00C56CD4" w:rsidP="008C6D5F">
      <w:pPr>
        <w:pStyle w:val="Addresses"/>
        <w:spacing w:line="360" w:lineRule="auto"/>
      </w:pPr>
    </w:p>
    <w:p w14:paraId="08FEBABE" w14:textId="261A74FC" w:rsidR="007B7A09" w:rsidRPr="00BD7731" w:rsidRDefault="00E3448D" w:rsidP="008C6D5F">
      <w:pPr>
        <w:pStyle w:val="Addresses"/>
        <w:spacing w:line="360" w:lineRule="auto"/>
      </w:pPr>
      <w:r w:rsidRPr="00BD7731">
        <w:t xml:space="preserve">Dr. </w:t>
      </w:r>
      <w:r w:rsidR="0021034A" w:rsidRPr="00BD7731">
        <w:t xml:space="preserve">M. </w:t>
      </w:r>
      <w:proofErr w:type="spellStart"/>
      <w:r w:rsidR="0021034A" w:rsidRPr="00BD7731">
        <w:t>Tenjimbayashi</w:t>
      </w:r>
      <w:proofErr w:type="spellEnd"/>
      <w:r w:rsidR="007B7A09" w:rsidRPr="00BD7731">
        <w:br/>
      </w:r>
      <w:r w:rsidR="0021034A" w:rsidRPr="00BD7731">
        <w:t xml:space="preserve">International Center for Materials </w:t>
      </w:r>
      <w:proofErr w:type="spellStart"/>
      <w:r w:rsidR="001D2A2B" w:rsidRPr="00BD7731">
        <w:t>Nanoarchitectonics</w:t>
      </w:r>
      <w:proofErr w:type="spellEnd"/>
      <w:r w:rsidR="001D2A2B" w:rsidRPr="00BD7731">
        <w:t xml:space="preserve"> </w:t>
      </w:r>
      <w:r w:rsidR="0021034A" w:rsidRPr="00BD7731">
        <w:t xml:space="preserve">(MANA), National Institute for Materials Science (NIMS), 1-1 Namiki, Tsukuba, Ibaraki 305-0044, Japan </w:t>
      </w:r>
    </w:p>
    <w:p w14:paraId="2F4ED235" w14:textId="3F98EDF2" w:rsidR="002D16A0" w:rsidRPr="00BD7731" w:rsidRDefault="002D16A0" w:rsidP="008C6D5F">
      <w:pPr>
        <w:spacing w:line="360" w:lineRule="auto"/>
      </w:pPr>
    </w:p>
    <w:p w14:paraId="115A7A12" w14:textId="10020E5B" w:rsidR="0021034A" w:rsidRPr="00BD7731" w:rsidRDefault="0021034A" w:rsidP="008C6D5F">
      <w:pPr>
        <w:spacing w:line="360" w:lineRule="auto"/>
      </w:pPr>
      <w:r w:rsidRPr="00BD7731">
        <w:t>A. Moriya</w:t>
      </w:r>
      <w:r w:rsidRPr="00BD7731">
        <w:br/>
        <w:t>National Institute of Technology, Numazu College, 3600 Ooka, Numazu, Shizuoka 410-8501, Japan</w:t>
      </w:r>
    </w:p>
    <w:p w14:paraId="1A88C3FE" w14:textId="77777777" w:rsidR="0021034A" w:rsidRPr="00BD7731" w:rsidRDefault="0021034A" w:rsidP="008C6D5F">
      <w:pPr>
        <w:spacing w:line="360" w:lineRule="auto"/>
      </w:pPr>
    </w:p>
    <w:p w14:paraId="7DE30428" w14:textId="6006AD01" w:rsidR="00901D14" w:rsidRPr="00BD7731" w:rsidRDefault="00901D14" w:rsidP="008C6D5F">
      <w:pPr>
        <w:spacing w:line="360" w:lineRule="auto"/>
      </w:pPr>
      <w:r w:rsidRPr="00BD7731">
        <w:rPr>
          <w:bCs/>
        </w:rPr>
        <w:t xml:space="preserve">Keywords: </w:t>
      </w:r>
      <w:r w:rsidR="00D54947" w:rsidRPr="00BD7731">
        <w:rPr>
          <w:rFonts w:eastAsia="ＭＳ ゴシック"/>
        </w:rPr>
        <w:t xml:space="preserve">crosslinked polymer, </w:t>
      </w:r>
      <w:proofErr w:type="spellStart"/>
      <w:r w:rsidR="00D54947" w:rsidRPr="00BD7731">
        <w:rPr>
          <w:rFonts w:eastAsia="ＭＳ ゴシック"/>
        </w:rPr>
        <w:t>vitrimer</w:t>
      </w:r>
      <w:proofErr w:type="spellEnd"/>
      <w:r w:rsidR="00D54947" w:rsidRPr="00BD7731">
        <w:rPr>
          <w:rFonts w:eastAsia="ＭＳ ゴシック"/>
        </w:rPr>
        <w:t>, controlled radical polymerization, viscoelastic property</w:t>
      </w:r>
    </w:p>
    <w:p w14:paraId="0923689F" w14:textId="1FA3628E" w:rsidR="00004A23" w:rsidRPr="00BD7731" w:rsidRDefault="00004A23" w:rsidP="008C6D5F">
      <w:pPr>
        <w:spacing w:line="360" w:lineRule="auto"/>
      </w:pPr>
    </w:p>
    <w:p w14:paraId="5A08B488" w14:textId="77777777" w:rsidR="00BE4464" w:rsidRPr="00BD7731" w:rsidRDefault="00BE4464" w:rsidP="008C6D5F">
      <w:pPr>
        <w:spacing w:line="360" w:lineRule="auto"/>
      </w:pPr>
    </w:p>
    <w:p w14:paraId="560ADAC5" w14:textId="516503D2" w:rsidR="00CD2B75" w:rsidRPr="00BD7731" w:rsidRDefault="00CD2B75" w:rsidP="008C6D5F">
      <w:pPr>
        <w:spacing w:line="360" w:lineRule="auto"/>
        <w:rPr>
          <w:b/>
          <w:bCs/>
        </w:rPr>
      </w:pPr>
      <w:r w:rsidRPr="00BD7731">
        <w:rPr>
          <w:b/>
          <w:bCs/>
        </w:rPr>
        <w:t>Abstract</w:t>
      </w:r>
    </w:p>
    <w:p w14:paraId="4D80973E" w14:textId="1A026D74" w:rsidR="00662DCE" w:rsidRPr="00BD7731" w:rsidRDefault="0021034A" w:rsidP="00F4646B">
      <w:pPr>
        <w:spacing w:line="360" w:lineRule="auto"/>
      </w:pPr>
      <w:r w:rsidRPr="00BD7731">
        <w:t xml:space="preserve">The viscoelastic property of </w:t>
      </w:r>
      <w:proofErr w:type="spellStart"/>
      <w:r w:rsidRPr="00BD7731">
        <w:t>vitrimers</w:t>
      </w:r>
      <w:proofErr w:type="spellEnd"/>
      <w:r w:rsidR="008440AF" w:rsidRPr="00BD7731">
        <w:t xml:space="preserve">, </w:t>
      </w:r>
      <w:r w:rsidR="000E62B5" w:rsidRPr="00BD7731">
        <w:t xml:space="preserve">which belong to a group of </w:t>
      </w:r>
      <w:r w:rsidR="008440AF" w:rsidRPr="00BD7731">
        <w:t xml:space="preserve">covalent bond adaptable networks, </w:t>
      </w:r>
      <w:r w:rsidRPr="00BD7731">
        <w:t xml:space="preserve">is one of the most critical properties </w:t>
      </w:r>
      <w:r w:rsidR="000E62B5" w:rsidRPr="00BD7731">
        <w:t xml:space="preserve">during </w:t>
      </w:r>
      <w:r w:rsidRPr="00BD7731">
        <w:t>the applications of these materials. Herein</w:t>
      </w:r>
      <w:r w:rsidR="00970A33" w:rsidRPr="00BD7731">
        <w:t>,</w:t>
      </w:r>
      <w:r w:rsidRPr="00BD7731">
        <w:t xml:space="preserve"> we report the </w:t>
      </w:r>
      <w:r w:rsidR="00970A33" w:rsidRPr="00BD7731">
        <w:t>significant effect of</w:t>
      </w:r>
      <w:r w:rsidRPr="00BD7731">
        <w:t xml:space="preserve"> the network architecture of the crosslinked polymers, </w:t>
      </w:r>
      <w:r w:rsidR="00970A33" w:rsidRPr="00BD7731">
        <w:t>particularly</w:t>
      </w:r>
      <w:r w:rsidRPr="00BD7731">
        <w:t xml:space="preserve"> the </w:t>
      </w:r>
      <w:r w:rsidR="00552E6D" w:rsidRPr="00BD7731">
        <w:t>arrangements</w:t>
      </w:r>
      <w:r w:rsidRPr="00BD7731">
        <w:t xml:space="preserve"> of crosslinks and chains, </w:t>
      </w:r>
      <w:r w:rsidR="00BB1BAB" w:rsidRPr="00BD7731">
        <w:t xml:space="preserve">on the viscoelastic property, </w:t>
      </w:r>
      <w:r w:rsidRPr="00BD7731">
        <w:t xml:space="preserve">which is determined directly </w:t>
      </w:r>
      <w:r w:rsidR="00BB1BAB" w:rsidRPr="00BD7731">
        <w:t>from</w:t>
      </w:r>
      <w:r w:rsidRPr="00BD7731">
        <w:t xml:space="preserve"> the structure of the precursor polymers. The systematic investigation revealed that </w:t>
      </w:r>
      <w:proofErr w:type="spellStart"/>
      <w:r w:rsidRPr="00BD7731">
        <w:t>vitrimers</w:t>
      </w:r>
      <w:proofErr w:type="spellEnd"/>
      <w:r w:rsidRPr="00BD7731">
        <w:t xml:space="preserve"> from </w:t>
      </w:r>
      <w:proofErr w:type="spellStart"/>
      <w:r w:rsidRPr="00BD7731">
        <w:t>telechelic</w:t>
      </w:r>
      <w:proofErr w:type="spellEnd"/>
      <w:r w:rsidRPr="00BD7731">
        <w:t xml:space="preserve"> polymers </w:t>
      </w:r>
      <w:r w:rsidR="00E41E2A" w:rsidRPr="00BD7731">
        <w:t>with</w:t>
      </w:r>
      <w:r w:rsidRPr="00BD7731">
        <w:t xml:space="preserve"> reactive groups at the chain ends showed a sharp </w:t>
      </w:r>
      <w:bookmarkStart w:id="1" w:name="_Hlk75780716"/>
      <w:r w:rsidR="004B2C21" w:rsidRPr="00BD7731">
        <w:t>elastic modulus decrease</w:t>
      </w:r>
      <w:r w:rsidR="00E41E2A" w:rsidRPr="00BD7731">
        <w:t>.</w:t>
      </w:r>
      <w:r w:rsidR="0047209C" w:rsidRPr="00BD7731">
        <w:t xml:space="preserve"> </w:t>
      </w:r>
      <w:r w:rsidR="00E41E2A" w:rsidRPr="00BD7731">
        <w:t>Furthermore, these polymers demonstrated</w:t>
      </w:r>
      <w:r w:rsidRPr="00BD7731">
        <w:t xml:space="preserve"> highly fluid-like behavior</w:t>
      </w:r>
      <w:bookmarkEnd w:id="1"/>
      <w:r w:rsidRPr="00BD7731">
        <w:t xml:space="preserve"> at elevated temperature</w:t>
      </w:r>
      <w:r w:rsidR="00297F20" w:rsidRPr="00BD7731">
        <w:t xml:space="preserve"> and</w:t>
      </w:r>
      <w:r w:rsidRPr="00BD7731">
        <w:t xml:space="preserve"> fast stress relaxation, compared to </w:t>
      </w:r>
      <w:proofErr w:type="spellStart"/>
      <w:r w:rsidRPr="00BD7731">
        <w:t>vitrimers</w:t>
      </w:r>
      <w:proofErr w:type="spellEnd"/>
      <w:r w:rsidRPr="00BD7731">
        <w:t xml:space="preserve"> from random copolymers that have </w:t>
      </w:r>
      <w:r w:rsidR="00E41E2A" w:rsidRPr="00BD7731">
        <w:t>similar</w:t>
      </w:r>
      <w:r w:rsidRPr="00BD7731">
        <w:t xml:space="preserve"> chain length and number of crosslinking groups.</w:t>
      </w:r>
    </w:p>
    <w:p w14:paraId="4E8712B9" w14:textId="77777777" w:rsidR="0021034A" w:rsidRPr="00BD7731" w:rsidRDefault="0021034A" w:rsidP="008C6D5F">
      <w:pPr>
        <w:spacing w:line="360" w:lineRule="auto"/>
      </w:pPr>
    </w:p>
    <w:p w14:paraId="59370DE6" w14:textId="77777777" w:rsidR="002D16A0" w:rsidRPr="00BD7731" w:rsidRDefault="002D16A0" w:rsidP="008C6D5F">
      <w:pPr>
        <w:pStyle w:val="Head1"/>
      </w:pPr>
      <w:r w:rsidRPr="00BD7731">
        <w:lastRenderedPageBreak/>
        <w:t>1. Introduction</w:t>
      </w:r>
    </w:p>
    <w:p w14:paraId="054966FF" w14:textId="7D7A035E" w:rsidR="00BB7D6A" w:rsidRPr="00BD7731" w:rsidRDefault="00BB7D6A" w:rsidP="00BB7D6A">
      <w:pPr>
        <w:spacing w:line="360" w:lineRule="auto"/>
        <w:ind w:firstLineChars="100" w:firstLine="240"/>
        <w:jc w:val="both"/>
        <w:rPr>
          <w:bCs/>
        </w:rPr>
      </w:pPr>
      <w:r w:rsidRPr="00BD7731">
        <w:rPr>
          <w:bCs/>
        </w:rPr>
        <w:t>Crosslinked polymer materials</w:t>
      </w:r>
      <w:r w:rsidR="00DF7885" w:rsidRPr="00BD7731">
        <w:rPr>
          <w:bCs/>
        </w:rPr>
        <w:t>,</w:t>
      </w:r>
      <w:r w:rsidRPr="00BD7731">
        <w:rPr>
          <w:bCs/>
        </w:rPr>
        <w:t xml:space="preserve"> represented by thermosets and elastomers</w:t>
      </w:r>
      <w:r w:rsidR="00DF7885" w:rsidRPr="00BD7731">
        <w:rPr>
          <w:bCs/>
        </w:rPr>
        <w:t>,</w:t>
      </w:r>
      <w:r w:rsidRPr="00BD7731">
        <w:rPr>
          <w:bCs/>
        </w:rPr>
        <w:t xml:space="preserve"> are indispensable in modern society because of their stiff, durable, rubbery, </w:t>
      </w:r>
      <w:r w:rsidR="00DF7885" w:rsidRPr="00BD7731">
        <w:rPr>
          <w:bCs/>
        </w:rPr>
        <w:t>and</w:t>
      </w:r>
      <w:r w:rsidRPr="00BD7731">
        <w:rPr>
          <w:bCs/>
        </w:rPr>
        <w:t xml:space="preserve"> beneficial properties. In recent years, the demand for the sustainability of polymer materials </w:t>
      </w:r>
      <w:r w:rsidR="00886930" w:rsidRPr="00BD7731">
        <w:rPr>
          <w:bCs/>
        </w:rPr>
        <w:t>has been</w:t>
      </w:r>
      <w:r w:rsidRPr="00BD7731">
        <w:rPr>
          <w:bCs/>
        </w:rPr>
        <w:t xml:space="preserve"> rapidly increasing</w:t>
      </w:r>
      <w:r w:rsidR="009A2696" w:rsidRPr="00BD7731">
        <w:rPr>
          <w:bCs/>
        </w:rPr>
        <w:t>.</w:t>
      </w:r>
      <w:r w:rsidRPr="00BD7731">
        <w:rPr>
          <w:bCs/>
        </w:rPr>
        <w:t xml:space="preserve"> </w:t>
      </w:r>
      <w:r w:rsidR="009A2696" w:rsidRPr="00BD7731">
        <w:rPr>
          <w:bCs/>
        </w:rPr>
        <w:t>Therefore,</w:t>
      </w:r>
      <w:r w:rsidRPr="00BD7731">
        <w:rPr>
          <w:bCs/>
        </w:rPr>
        <w:t xml:space="preserve"> the lack of re-processability and recyclability in crosslinked polymers is the critical drawback to overcome. </w:t>
      </w:r>
      <w:r w:rsidR="00F218A2" w:rsidRPr="00BD7731">
        <w:rPr>
          <w:bCs/>
        </w:rPr>
        <w:t>Covalent</w:t>
      </w:r>
      <w:r w:rsidRPr="00BD7731">
        <w:rPr>
          <w:bCs/>
        </w:rPr>
        <w:t xml:space="preserve"> adaptable networks (CANs) have been attracting growing interest</w:t>
      </w:r>
      <w:r w:rsidR="00F218A2" w:rsidRPr="00BD7731">
        <w:rPr>
          <w:bCs/>
        </w:rPr>
        <w:t xml:space="preserve"> as a promising solution for this drawback</w:t>
      </w:r>
      <w:r w:rsidRPr="00BD7731">
        <w:rPr>
          <w:bCs/>
        </w:rPr>
        <w:t>.</w:t>
      </w:r>
      <w:r w:rsidRPr="00BD7731">
        <w:rPr>
          <w:bCs/>
        </w:rPr>
        <w:fldChar w:fldCharType="begin"/>
      </w:r>
      <w:r w:rsidR="001C3F85" w:rsidRPr="00BD7731">
        <w:rPr>
          <w:bCs/>
        </w:rPr>
        <w:instrText xml:space="preserve"> ADDIN ZOTERO_ITEM CSL_CITATION {"citationID":"nY5u1Uex","properties":{"formattedCitation":"\\super [1\\uc0\\u8211{}3]\\nosupersub{}","plainCitation":"[1–3]","noteIndex":0},"citationItems":[{"id":1634,"uris":["http://zotero.org/users/4903636/items/ZBUZ6QWC"],"itemData":{"id":1634,"type":"article-journal","container-title":"Advanced Materials","DOI":"10.1002/adma.201606100","ISSN":"09359648","issue":"14","language":"en","page":"1606100","source":"DOI.org (Crossref)","title":"Dynamic Covalent Polymer Networks: from Old Chemistry to Modern Day Innovations","title-short":"Dynamic Covalent Polymer Networks","volume":"29","author":[{"family":"Zou","given":"Weike"},{"family":"Dong","given":"Jiante"},{"family":"Luo","given":"Yingwu"},{"family":"Zhao","given":"Qian"},{"family":"Xie","given":"Tao"}],"issued":{"date-parts":[["2017",4]]}}},{"id":2784,"uris":["http://zotero.org/users/4903636/items/QZJPK5RR"],"itemData":{"id":2784,"type":"article-journal","container-title":"Angewandte Chemie International Edition","DOI":"10.1002/anie.201813525","ISSN":"14337851","issue":"29","journalAbbreviation":"Angew. Chem. Int. Ed.","language":"en","page":"9682-9695","source":"DOI.org (Crossref)","title":"Dynamic Covalent Bonds in Polymeric Materials","volume":"58","author":[{"family":"Chakma","given":"Progyateg"},{"family":"Konkolewicz","given":"Dominik"}],"issued":{"date-parts":[["2019",7,15]]}}},{"id":2782,"uris":["http://zotero.org/users/4903636/items/D5FDV8WC"],"itemData":{"id":2782,"type":"article-journal","container-title":"Science","DOI":"10.1126/science.aaq0324","ISSN":"0036-8075, 1095-9203","issue":"6365","journalAbbreviation":"Science","language":"en","page":"870-872","source":"DOI.org (Crossref)","title":"The future of plastics recycling","volume":"358","author":[{"family":"Garcia","given":"Jeannette M."},{"family":"Robertson","given":"Megan L."}],"issued":{"date-parts":[["2017",11,17]]}}}],"schema":"https://github.com/citation-style-language/schema/raw/master/csl-citation.json"} </w:instrText>
      </w:r>
      <w:r w:rsidRPr="00BD7731">
        <w:rPr>
          <w:bCs/>
        </w:rPr>
        <w:fldChar w:fldCharType="separate"/>
      </w:r>
      <w:r w:rsidR="001751B1" w:rsidRPr="00BD7731">
        <w:rPr>
          <w:vertAlign w:val="superscript"/>
        </w:rPr>
        <w:t>[1–3]</w:t>
      </w:r>
      <w:r w:rsidRPr="00BD7731">
        <w:rPr>
          <w:bCs/>
        </w:rPr>
        <w:fldChar w:fldCharType="end"/>
      </w:r>
      <w:r w:rsidRPr="00BD7731">
        <w:rPr>
          <w:bCs/>
        </w:rPr>
        <w:t xml:space="preserve"> </w:t>
      </w:r>
      <w:r w:rsidR="00F218A2" w:rsidRPr="00BD7731">
        <w:rPr>
          <w:bCs/>
        </w:rPr>
        <w:t>Although</w:t>
      </w:r>
      <w:r w:rsidRPr="00BD7731">
        <w:rPr>
          <w:bCs/>
        </w:rPr>
        <w:t xml:space="preserve"> CAN is a stable crosslinked polymer, it becomes malleable and recyclable at elevated temperatures due to the exchange reactions of covalent adaptable bonds inside the crosslink network. Therefore, understanding and </w:t>
      </w:r>
      <w:r w:rsidR="007347A0" w:rsidRPr="00BD7731">
        <w:rPr>
          <w:bCs/>
        </w:rPr>
        <w:t>developing</w:t>
      </w:r>
      <w:r w:rsidRPr="00BD7731">
        <w:rPr>
          <w:bCs/>
        </w:rPr>
        <w:t xml:space="preserve"> the method to control </w:t>
      </w:r>
      <w:r w:rsidR="007347A0" w:rsidRPr="00BD7731">
        <w:rPr>
          <w:bCs/>
        </w:rPr>
        <w:t>the</w:t>
      </w:r>
      <w:r w:rsidRPr="00BD7731">
        <w:rPr>
          <w:bCs/>
        </w:rPr>
        <w:t xml:space="preserve"> characteristic properties</w:t>
      </w:r>
      <w:r w:rsidR="007347A0" w:rsidRPr="00BD7731">
        <w:rPr>
          <w:bCs/>
        </w:rPr>
        <w:t xml:space="preserve"> of CANs</w:t>
      </w:r>
      <w:r w:rsidRPr="00BD7731">
        <w:rPr>
          <w:bCs/>
        </w:rPr>
        <w:t xml:space="preserve"> are essential to extend the field of these polymeric materials.</w:t>
      </w:r>
    </w:p>
    <w:p w14:paraId="76E27B83" w14:textId="4A922F9D" w:rsidR="00BB7D6A" w:rsidRPr="00BD7731" w:rsidRDefault="00BB7D6A" w:rsidP="00BB7D6A">
      <w:pPr>
        <w:spacing w:line="360" w:lineRule="auto"/>
        <w:ind w:firstLineChars="100" w:firstLine="240"/>
        <w:jc w:val="both"/>
        <w:rPr>
          <w:bCs/>
        </w:rPr>
      </w:pPr>
      <w:r w:rsidRPr="00BD7731">
        <w:rPr>
          <w:bCs/>
        </w:rPr>
        <w:t xml:space="preserve">Among CANs, an associative CAN, </w:t>
      </w:r>
      <w:r w:rsidR="00484B90" w:rsidRPr="00BD7731">
        <w:rPr>
          <w:bCs/>
        </w:rPr>
        <w:t>known</w:t>
      </w:r>
      <w:r w:rsidRPr="00BD7731">
        <w:rPr>
          <w:bCs/>
        </w:rPr>
        <w:t xml:space="preserve"> as </w:t>
      </w:r>
      <w:proofErr w:type="spellStart"/>
      <w:r w:rsidRPr="00BD7731">
        <w:rPr>
          <w:bCs/>
        </w:rPr>
        <w:t>vitrimer</w:t>
      </w:r>
      <w:proofErr w:type="spellEnd"/>
      <w:r w:rsidRPr="00BD7731">
        <w:rPr>
          <w:bCs/>
        </w:rPr>
        <w:t xml:space="preserve">, has been extensively studied. In </w:t>
      </w:r>
      <w:proofErr w:type="spellStart"/>
      <w:r w:rsidRPr="00BD7731">
        <w:rPr>
          <w:bCs/>
        </w:rPr>
        <w:t>vitrimers</w:t>
      </w:r>
      <w:proofErr w:type="spellEnd"/>
      <w:r w:rsidRPr="00BD7731">
        <w:rPr>
          <w:bCs/>
        </w:rPr>
        <w:t xml:space="preserve">, a degenerative cleavage and </w:t>
      </w:r>
      <w:r w:rsidR="00937558" w:rsidRPr="00BD7731">
        <w:rPr>
          <w:bCs/>
        </w:rPr>
        <w:t>bond formation</w:t>
      </w:r>
      <w:r w:rsidRPr="00BD7731">
        <w:rPr>
          <w:bCs/>
        </w:rPr>
        <w:t xml:space="preserve"> occur via an intermediate or a transition state.</w:t>
      </w:r>
      <w:r w:rsidRPr="00BD7731">
        <w:rPr>
          <w:bCs/>
        </w:rPr>
        <w:fldChar w:fldCharType="begin"/>
      </w:r>
      <w:r w:rsidR="001C3F85" w:rsidRPr="00BD7731">
        <w:rPr>
          <w:bCs/>
        </w:rPr>
        <w:instrText xml:space="preserve"> ADDIN ZOTERO_ITEM CSL_CITATION {"citationID":"tlj7IXGQ","properties":{"formattedCitation":"\\super [4\\uc0\\u8211{}6]\\nosupersub{}","plainCitation":"[4–6]","noteIndex":0},"citationItems":[{"id":2775,"uris":["http://zotero.org/users/4903636/items/DBM7MJQG"],"itemData":{"id":2775,"type":"article-journal","abstract":"The classical division of polymeric materials into thermoplastics and thermosets based on covalent network structure often implies that these categories are distinct and irreconcilable. Yet, the past two decades have seen extensive development of materials that bridge this gap through incorporation of dynamic crosslinks, enabling them to behave as both robust networks and moldable plastics. Although their potential utility is signiﬁcant, the growth of covalent adaptable networks (CANs) has obscured the line between “thermoplastic” and “thermoset” and erected a conceptual barrier to the growing number of new researchers entering this discipline. This Perspective aims to both outline the fundamental theory of CANs and provide a critical assessment of their current status. We emphasize throughout that the unique properties of CANs emerge from the network chemistry, and particularly highlight the role that the crosslink exchange mechanism (i.e., dissociative exchange or associative exchange) plays in the resultant material properties under processing conditions. Predominant focus will be on thermally induced dynamic behavior, as the majority of presently employed exchange chemistries rely on thermal stimulus, and it is simple to apply to bulk materials. Lastly, this Perspective aims to identify current issues and address possible solutions for better fundamental understanding within this ﬁeld.","container-title":"Journal of the American Chemical Society","DOI":"10.1021/jacs.9b07922","ISSN":"0002-7863, 1520-5126","issue":"41","journalAbbreviation":"J. Am. Chem. Soc.","language":"en","page":"16181-16196","source":"DOI.org (Crossref)","title":"Adaptable Crosslinks in Polymeric Materials: Resolving the Intersection of Thermoplastics and Thermosets","title-short":"Adaptable Crosslinks in Polymeric Materials","volume":"141","author":[{"family":"Scheutz","given":"Georg M."},{"family":"Lessard","given":"Jacob J."},{"family":"Sims","given":"Michael B."},{"family":"Sumerlin","given":"Brent S."}],"issued":{"date-parts":[["2019",10,16]]}}},{"id":1650,"uris":["http://zotero.org/users/4903636/items/LCHXRZW4"],"itemData":{"id":1650,"type":"article-journal","abstract":"Vitrimers possess the unique property that they are malleable while being permanently cross-linked. This mini-review highlights the existing vitrimer systems in the period 2011–2015 with the main focus on their chemical origin.\n          , \n            Most covalent adaptable networks give highly interesting properties for material processing such as reshaping, recycling and repairing. Classical thermally reversible chemical cross-links allow for a heat-triggered switch between materials that behave as insoluble cured resins, and liquid thermoplastic materials, through a fully reversible sol–gel transition. In 2011, a new class of materials, coined vitrimers, was introduced, which extended the realm of adaptable organic polymer networks. Such materials have the remarkable property that they can be thermally processed in a liquid state without losing network integrity. This feature renders the materials processable like vitreous glass, not requiring precise temperature control. In this mini-review, an overview of the state-of-the-art in the quickly emerging field of vitrimer materials is presented. With a main focus on the chemical origins of their unique thermal behavior, the existing chemical systems and their properties will be discussed. Furthermore, future prospects and challenges in this important research field are highlighted.","container-title":"Chemical Science","DOI":"10.1039/C5SC02223A","ISSN":"2041-6520, 2041-6539","issue":"1","language":"en","page":"30-38","source":"DOI.org (Crossref)","title":"Vitrimers: permanent organic networks with glass-like fluidity","title-short":"Vitrimers","volume":"7","author":[{"family":"Denissen","given":"Wim"},{"family":"Winne","given":"Johan M."},{"family":"Du Prez","given":"Filip E."}],"issued":{"date-parts":[["2016"]]}}},{"id":3160,"uris":["http://zotero.org/users/4903636/items/LRHGW3KL"],"itemData":{"id":3160,"type":"article-journal","abstract":"In this minireview, we survey recent advances in the development of vitrimer materials. Focus on how to chemically control their material properties is used to highlight challenges for boosting the potential of this emerging class of polymer materials.\n          , \n            The development of more sustainable materials with a prolonged useful lifetime is a key requirement for a transition towards a more circular economy. However, polymer materials that are long-lasting and highly durable also tend to have a limited application potential for re-use. This is because such materials derive their durable properties from a high degree of chemical connectivity, resulting in rigid meshes or networks of polymer chains with a high intrinsic resistance to deformation. Once such polymers are fully synthesised, thermal (re)processing becomes hard (or impossible) to achieve without damaging the degree of chemical connectivity, and most recycling options quickly lead to a drop or even loss of material properties. In this context, both academic and industrial researchers have taken a keen interest in materials design that combines high degrees of chemical connectivity with an improved thermal (re)processability, mediated through a dynamic exchange reaction of covalent bonds. In particular vitrimer materials offer a promising concept because they completely maintain their degree of chemical connectivity at all times, yet can show a clear thermally driven plasticity and liquid behavior, enabled through rapid bond rearrangement reactions within the network. In the past decade, many suitable dynamic covalent chemistries were developed to create vitrimer materials, and are now applicable to a wide range of polymer matrices. The material properties of vitrimers, however, do not solely rely on the chemical structure of the polymer matrix, but also on the chemical reactivity of the dynamic bonds. Thus, chemical reactivity considerations become an integral part of material design, which has to take into account for example catalytic and cross-reactivity effects. This mini-review will aim to provide an overview of recent efforts aimed at understanding and controlling dynamic cross-linking reactions within vitrimers, and how directing this chemical reactivity can be used as a handle to steer material properties. Hence, it is shown how a focus on a fundamental chemical understanding can pave the way towards new sustainable materials and applications.","container-title":"Chemical Science","DOI":"10.1039/D0SC01069C","ISSN":"2041-6520, 2041-6539","issue":"19","journalAbbreviation":"Chem. Sci.","language":"en","page":"4855-4870","source":"DOI.org (Crossref)","title":"Vitrimers: directing chemical reactivity to control material properties","title-short":"Vitrimers","volume":"11","author":[{"family":"Guerre","given":"Marc"},{"family":"Taplan","given":"Christian"},{"family":"Winne","given":"Johan M."},{"family":"Du Prez","given":"Filip E."}],"issued":{"date-parts":[["2020"]]}}}],"schema":"https://github.com/citation-style-language/schema/raw/master/csl-citation.json"} </w:instrText>
      </w:r>
      <w:r w:rsidRPr="00BD7731">
        <w:rPr>
          <w:bCs/>
        </w:rPr>
        <w:fldChar w:fldCharType="separate"/>
      </w:r>
      <w:r w:rsidR="001751B1" w:rsidRPr="00BD7731">
        <w:rPr>
          <w:vertAlign w:val="superscript"/>
        </w:rPr>
        <w:t>[4–6]</w:t>
      </w:r>
      <w:r w:rsidRPr="00BD7731">
        <w:rPr>
          <w:bCs/>
        </w:rPr>
        <w:fldChar w:fldCharType="end"/>
      </w:r>
      <w:r w:rsidRPr="00BD7731">
        <w:rPr>
          <w:bCs/>
        </w:rPr>
        <w:t xml:space="preserve"> </w:t>
      </w:r>
      <w:r w:rsidR="00394A11" w:rsidRPr="00BD7731">
        <w:rPr>
          <w:bCs/>
        </w:rPr>
        <w:t>The</w:t>
      </w:r>
      <w:r w:rsidRPr="00BD7731">
        <w:rPr>
          <w:bCs/>
        </w:rPr>
        <w:t xml:space="preserve"> density of the crosslinks </w:t>
      </w:r>
      <w:r w:rsidR="00394A11" w:rsidRPr="00BD7731">
        <w:rPr>
          <w:bCs/>
        </w:rPr>
        <w:t xml:space="preserve">in such a reaction </w:t>
      </w:r>
      <w:r w:rsidRPr="00BD7731">
        <w:rPr>
          <w:bCs/>
        </w:rPr>
        <w:t>does not change in principle</w:t>
      </w:r>
      <w:r w:rsidR="00394A11" w:rsidRPr="00BD7731">
        <w:rPr>
          <w:bCs/>
        </w:rPr>
        <w:t>.</w:t>
      </w:r>
      <w:r w:rsidRPr="00BD7731">
        <w:rPr>
          <w:bCs/>
        </w:rPr>
        <w:t xml:space="preserve"> </w:t>
      </w:r>
      <w:r w:rsidR="00394A11" w:rsidRPr="00BD7731">
        <w:rPr>
          <w:bCs/>
        </w:rPr>
        <w:t>This</w:t>
      </w:r>
      <w:r w:rsidRPr="00BD7731">
        <w:rPr>
          <w:bCs/>
        </w:rPr>
        <w:t xml:space="preserve"> feature results in the gradual change of viscosity or modulus of the material depending on the temperature.</w:t>
      </w:r>
    </w:p>
    <w:p w14:paraId="69A9524A" w14:textId="5F7E683D" w:rsidR="00BB7D6A" w:rsidRPr="00BD7731" w:rsidRDefault="008A12BA" w:rsidP="00BB7D6A">
      <w:pPr>
        <w:spacing w:line="360" w:lineRule="auto"/>
        <w:ind w:firstLineChars="100" w:firstLine="240"/>
        <w:jc w:val="both"/>
        <w:rPr>
          <w:bCs/>
        </w:rPr>
      </w:pPr>
      <w:r w:rsidRPr="00BD7731">
        <w:rPr>
          <w:bCs/>
        </w:rPr>
        <w:t>Recently</w:t>
      </w:r>
      <w:r w:rsidR="00BB7D6A" w:rsidRPr="00BD7731">
        <w:rPr>
          <w:bCs/>
        </w:rPr>
        <w:t xml:space="preserve">, various </w:t>
      </w:r>
      <w:proofErr w:type="spellStart"/>
      <w:r w:rsidR="00BB7D6A" w:rsidRPr="00BD7731">
        <w:rPr>
          <w:bCs/>
        </w:rPr>
        <w:t>vitrimers</w:t>
      </w:r>
      <w:proofErr w:type="spellEnd"/>
      <w:r w:rsidR="00BB7D6A" w:rsidRPr="00BD7731">
        <w:rPr>
          <w:bCs/>
        </w:rPr>
        <w:t xml:space="preserve"> with different chemical reaction types were developed, including transesterification,</w:t>
      </w:r>
      <w:r w:rsidR="00BB7D6A" w:rsidRPr="00BD7731">
        <w:rPr>
          <w:bCs/>
        </w:rPr>
        <w:fldChar w:fldCharType="begin"/>
      </w:r>
      <w:r w:rsidR="001C3F85" w:rsidRPr="00BD7731">
        <w:rPr>
          <w:bCs/>
        </w:rPr>
        <w:instrText xml:space="preserve"> ADDIN ZOTERO_ITEM CSL_CITATION {"citationID":"86ydVjfO","properties":{"formattedCitation":"\\super [7\\uc0\\u8211{}9]\\nosupersub{}","plainCitation":"[7–9]","noteIndex":0},"citationItems":[{"id":1670,"uris":["http://zotero.org/users/4903636/items/ZNZ76BEY"],"itemData":{"id":1670,"type":"article-journal","container-title":"Science","DOI":"10.1126/science.1212648","ISSN":"0036-8075, 1095-9203","issue":"6058","language":"en","page":"965-968","source":"DOI.org (Crossref)","title":"Silica-Like Malleable Materials from Permanent Organic Networks","volume":"334","author":[{"family":"Montarnal","given":"D."},{"family":"Capelot","given":"M."},{"family":"Tournilhac","given":"F."},{"family":"Leibler","given":"L."}],"issued":{"date-parts":[["2011",11,18]]}}},{"id":1589,"uris":["http://zotero.org/users/4903636/items/55TPXDG9"],"itemData":{"id":1589,"type":"article-journal","abstract":"Vitrimers, strong organic glass formers, are covalent networks that are able to change their topology through thermoactivated bond exchange reactions. At high temperatures, vitrimers can ﬂow and behave like viscoelastic liquids. At low temperatures, exchange reactions are very long and vitrimers behave like classical thermosets. The transition from the liquid to the solid is reversible and is, in fact, a glass transition. By changing the content and nature of the catalyst, we can tune the transesteriﬁcation reaction rate and show that the vitrimer glass transition temperature and the broadness of the transition can be controlled at will in epoxy-based vitrimers. This opens new possibilities in practical applications of thermosets such as healing or convenient processability in a wide temperature range.","container-title":"ACS Macro Letters","DOI":"10.1021/mz300239f","ISSN":"2161-1653, 2161-1653","issue":"7","language":"en","page":"789-792","source":"Crossref","title":"Catalytic Control of the Vitrimer Glass Transition","volume":"1","author":[{"family":"Capelot","given":"Mathieu"},{"family":"Unterlass","given":"Miriam M."},{"family":"Tournilhac","given":"François"},{"family":"Leibler","given":"Ludwik"}],"issued":{"date-parts":[["2012",7,17]]}}},{"id":1663,"uris":["http://zotero.org/users/4903636/items/8V9838H9"],"itemData":{"id":1663,"type":"article-journal","abstract":"While much research has been aimed at new approaches to the healing of cross-linked polymers, there is a dearth of eﬀort in the healing of renewable cross-linked polymers. In this study, the healing ability of renewable polylactide-based vitrimers containing Sn(Oct)2 was investigated. The vitrimers were prepared from hydroxyl-terminated star-shaped poly((±)lactide) samples that were cross-linked with methylenediphenyl diisocyanate. Cross-linked samples were prepared with isocyanate:hydroxyl (IC:OH) ratios of 0.6:1 to 1.1:1 and initial catalyst:hydroxyl (Sn(Oct)2:OH) ratios ranging from 0.013:1 to 0.050:1. The plateau modulus and Tg values for the cross-linked samples decreased with decreasing IC:OH ratio. The materials were subjected to stress relaxation analyses, which conﬁrmed that the materials not only were vitrimeric in nature but also exhibited remarkably short characteristic relaxation times of less than 50 s at 140 °C. Finally, vitrimers fractured in uniaxial tensile testing were healed by compression molding and exhibited up to 67% recovery of ultimate elongation, up to 102% recovery of tensile strength, and up to 133% recovery of tensile modulus values.","container-title":"ACS Macro Letters","DOI":"10.1021/mz500269w","ISSN":"2161-1653, 2161-1653","issue":"7","language":"en","page":"607-610","source":"DOI.org (Crossref)","title":"Polylactide Vitrimers","volume":"3","author":[{"family":"Brutman","given":"Jacob P."},{"family":"Delgado","given":"Paula A."},{"family":"Hillmyer","given":"Marc A."}],"issued":{"date-parts":[["2014",7,15]]}}}],"schema":"https://github.com/citation-style-language/schema/raw/master/csl-citation.json"} </w:instrText>
      </w:r>
      <w:r w:rsidR="00BB7D6A" w:rsidRPr="00BD7731">
        <w:rPr>
          <w:bCs/>
        </w:rPr>
        <w:fldChar w:fldCharType="separate"/>
      </w:r>
      <w:r w:rsidR="001751B1" w:rsidRPr="00BD7731">
        <w:rPr>
          <w:vertAlign w:val="superscript"/>
        </w:rPr>
        <w:t>[7–9]</w:t>
      </w:r>
      <w:r w:rsidR="00BB7D6A" w:rsidRPr="00BD7731">
        <w:rPr>
          <w:bCs/>
        </w:rPr>
        <w:fldChar w:fldCharType="end"/>
      </w:r>
      <w:r w:rsidR="00BB7D6A" w:rsidRPr="00BD7731">
        <w:rPr>
          <w:bCs/>
        </w:rPr>
        <w:t xml:space="preserve"> </w:t>
      </w:r>
      <w:proofErr w:type="spellStart"/>
      <w:r w:rsidR="00BB7D6A" w:rsidRPr="00BD7731">
        <w:rPr>
          <w:bCs/>
        </w:rPr>
        <w:t>boronate</w:t>
      </w:r>
      <w:proofErr w:type="spellEnd"/>
      <w:r w:rsidR="00BB7D6A" w:rsidRPr="00BD7731">
        <w:rPr>
          <w:bCs/>
        </w:rPr>
        <w:t>,</w:t>
      </w:r>
      <w:r w:rsidR="00BB7D6A" w:rsidRPr="00BD7731">
        <w:rPr>
          <w:bCs/>
        </w:rPr>
        <w:fldChar w:fldCharType="begin"/>
      </w:r>
      <w:r w:rsidR="001C3F85" w:rsidRPr="00BD7731">
        <w:rPr>
          <w:bCs/>
        </w:rPr>
        <w:instrText xml:space="preserve"> ADDIN ZOTERO_ITEM CSL_CITATION {"citationID":"QWRfjkW5","properties":{"formattedCitation":"\\super [10,11]\\nosupersub{}","plainCitation":"[10,11]","noteIndex":0},"citationItems":[{"id":1659,"uris":["http://zotero.org/users/4903636/items/5KCQTFCP"],"itemData":{"id":1659,"type":"article-journal","abstract":"Despite numerous strategies involving dynamic covalent bond exchange for dynamic and selfhealing materials, it remains a challenge to be able to tune the malleability and self-healing properties of bulk materials through simple small molecule perturbations. Here we describe the use of tunable rates of boronic ester transesteriﬁcation to tune the malleability and self-healing eﬃciencies of bulk materials. Speciﬁcally, we used two telechelic diboronic ester small molecules with variable transesteriﬁcation kinetics to dynamically cross-link 1,2diol-containing polymer backbones. The sample crosslinked with fast-exchanging diboronic ester showed enhanced malleability and accelerated healing compared to the slow-exchanging variant under the same conditions. Our report demonstrates the possibility of transferring small molecule kinetics to dynamic properties of bulk solid material and may serve as a guide for the rational design of tunable dynamic materials.","container-title":"Journal of the American Chemical Society","DOI":"10.1021/jacs.5b03551","ISSN":"0002-7863, 1520-5126","issue":"20","language":"en","page":"6492-6495","source":"DOI.org (Crossref)","title":"Malleable and Self-Healing Covalent Polymer Networks through Tunable Dynamic Boronic Ester Bonds","volume":"137","author":[{"family":"Cromwell","given":"Olivia R."},{"family":"Chung","given":"Jaeyoon"},{"family":"Guan","given":"Zhibin"}],"issued":{"date-parts":[["2015",5,27]]}}},{"id":1618,"uris":["http://zotero.org/users/4903636/items/NUE3KI43"],"itemData":{"id":1618,"type":"article-journal","container-title":"Science","DOI":"10.1126/science.aah5281","ISSN":"0036-8075, 1095-9203","issue":"6333","language":"en","page":"62-65","source":"DOI.org (Crossref)","title":"High-performance vitrimers from commodity thermoplastics through dioxaborolane metathesis","volume":"356","author":[{"family":"Röttger","given":"Max"},{"family":"Domenech","given":"Trystan"},{"family":"Weegen","given":"Rob","non-dropping-particle":"van der"},{"family":"Breuillac","given":"Antoine"},{"family":"Nicolaÿ","given":"Renaud"},{"family":"Leibler","given":"Ludwik"}],"issued":{"date-parts":[["2017",4,7]]}}}],"schema":"https://github.com/citation-style-language/schema/raw/master/csl-citation.json"} </w:instrText>
      </w:r>
      <w:r w:rsidR="00BB7D6A" w:rsidRPr="00BD7731">
        <w:rPr>
          <w:bCs/>
        </w:rPr>
        <w:fldChar w:fldCharType="separate"/>
      </w:r>
      <w:r w:rsidR="001751B1" w:rsidRPr="00BD7731">
        <w:rPr>
          <w:vertAlign w:val="superscript"/>
        </w:rPr>
        <w:t>[10,11]</w:t>
      </w:r>
      <w:r w:rsidR="00BB7D6A" w:rsidRPr="00BD7731">
        <w:rPr>
          <w:bCs/>
        </w:rPr>
        <w:fldChar w:fldCharType="end"/>
      </w:r>
      <w:r w:rsidR="00BB7D6A" w:rsidRPr="00BD7731">
        <w:rPr>
          <w:bCs/>
        </w:rPr>
        <w:t xml:space="preserve"> olefin</w:t>
      </w:r>
      <w:r w:rsidR="00BB7D6A" w:rsidRPr="00BD7731">
        <w:rPr>
          <w:bCs/>
        </w:rPr>
        <w:fldChar w:fldCharType="begin"/>
      </w:r>
      <w:r w:rsidR="001C3F85" w:rsidRPr="00BD7731">
        <w:rPr>
          <w:bCs/>
        </w:rPr>
        <w:instrText xml:space="preserve"> ADDIN ZOTERO_ITEM CSL_CITATION {"citationID":"QYMTfv0d","properties":{"formattedCitation":"\\super [12,13]\\nosupersub{}","plainCitation":"[12,13]","noteIndex":0},"citationItems":[{"id":1669,"uris":["http://zotero.org/users/4903636/items/2I7Y4DW7"],"itemData":{"id":1669,"type":"article-journal","abstract":"Covalently cross-linked polymers have many technological applications for their excellent properties, but they suﬀer from the lack of processability and adaptive properties. We report a simple, eﬃcient method of generating adaptive cross-linked polymers via oleﬁn metathesis. By introducing a very low level of the Grubbs’ second-generation Ru metathesis catalyst, a chemically cross-linked polybutadiene network becomes malleable at room temperature while retaining its insolubility. The stress relaxation capability increases with increasing level of catalyst loading. In sharp contrast, catalyst-free control samples with identical network topology and cross-linking density do not show any adaptive properties. This chemistry should oﬀer a possibility to combine the dimensional stability and solvent resistance of cross-linked polymers and the processability/adaptibility of thermoplastics.","container-title":"Journal of the American Chemical Society","DOI":"10.1021/ja303356z","ISSN":"0002-7863, 1520-5126","issue":"20","language":"en","page":"8424-8427","source":"DOI.org (Crossref)","title":"Making Insoluble Polymer Networks Malleable via Olefin Metathesis","volume":"134","author":[{"family":"Lu","given":"Yi-Xuan"},{"family":"Tournilhac","given":"François"},{"family":"Leibler","given":"Ludwik"},{"family":"Guan","given":"Zhibin"}],"issued":{"date-parts":[["2012",5,23]]}}},{"id":3216,"uris":["http://zotero.org/users/4903636/items/LP4EZIAS"],"itemData":{"id":3216,"type":"article-journal","abstract":"In this article, we demonstrate transition-metal-catalyzed olefin metathesis as a simple, effective method for healing polymers via dynamic exchange of strong carbon–carbon double bonds. Upon introducing a very low level of the Grubbs’ second-generation Ru metathesis catalyst into cross-linked polybutadiene (PBD) network, the material self-heals effectively at various conditions under moderate pressures. In sharp contrast, catalyst-free control samples with identical network topology and cross-linking density show minimal healing. The healing efficiency of the materials was carefully investigated under different concentrations of the Ru catalyst, compression pressures, and temperatures. It is demonstrated for the first time that a bulk polymer could effectively heal via dynamic covalent bond formation at sub-ambient temperature. The Ru-loaded PBD samples not only heal well with themselves but also with control samples without any catalyst. Furthermore, a completely Ru-free PBD network can heal effectively upon simply applying a very small amount of Ru catalyst only at the fracture surface. The simplicity and effectiveness of this self-healing approach make it potentially applicable to a wide range of olefin-containing polymers.","container-title":"Journal of the American Chemical Society","DOI":"10.1021/ja306287s","ISSN":"0002-7863","issue":"34","journalAbbreviation":"J. Am. Chem. Soc.","note":"publisher: American Chemical Society","page":"14226-14231","source":"ACS Publications","title":"Olefin Metathesis for Effective Polymer Healing via Dynamic Exchange of Strong Carbon–Carbon Double Bonds","volume":"134","author":[{"family":"Lu","given":"Yi-Xuan"},{"family":"Guan","given":"Zhibin"}],"issued":{"date-parts":[["2012",8,29]]}}}],"schema":"https://github.com/citation-style-language/schema/raw/master/csl-citation.json"} </w:instrText>
      </w:r>
      <w:r w:rsidR="00BB7D6A" w:rsidRPr="00BD7731">
        <w:rPr>
          <w:bCs/>
        </w:rPr>
        <w:fldChar w:fldCharType="separate"/>
      </w:r>
      <w:r w:rsidR="001751B1" w:rsidRPr="00BD7731">
        <w:rPr>
          <w:vertAlign w:val="superscript"/>
        </w:rPr>
        <w:t>[12,13]</w:t>
      </w:r>
      <w:r w:rsidR="00BB7D6A" w:rsidRPr="00BD7731">
        <w:rPr>
          <w:bCs/>
        </w:rPr>
        <w:fldChar w:fldCharType="end"/>
      </w:r>
      <w:r w:rsidR="00BB7D6A" w:rsidRPr="00BD7731">
        <w:rPr>
          <w:bCs/>
        </w:rPr>
        <w:t xml:space="preserve"> or silyl ether metatheses,</w:t>
      </w:r>
      <w:r w:rsidR="00BB7D6A" w:rsidRPr="00BD7731">
        <w:rPr>
          <w:bCs/>
        </w:rPr>
        <w:fldChar w:fldCharType="begin"/>
      </w:r>
      <w:r w:rsidR="001C3F85" w:rsidRPr="00BD7731">
        <w:rPr>
          <w:bCs/>
        </w:rPr>
        <w:instrText xml:space="preserve"> ADDIN ZOTERO_ITEM CSL_CITATION {"citationID":"Izr6sJtC","properties":{"formattedCitation":"\\super [14,15]\\nosupersub{}","plainCitation":"[14,15]","noteIndex":0},"citationItems":[{"id":2672,"uris":["http://zotero.org/users/4903636/items/VN2KRYLU"],"itemData":{"id":2672,"type":"article-journal","abstract":"Here we introduce silyl ether linkage as a novel dynamic covalent motif for dynamic material design. Through introduction of a neighboring amino moiety, we show that the silyl ether exchange rate can be accelerated by almost three orders of magnitude. By incorporating such silyl ether linkages into covalently cross-linked polymer networks, we demonstrate dynamic covalent network polymers displaying both malleability and reprocessability. The malleability of the networks is studied by monitoring stress relaxation at varying temperature, and their topology freezing temperatures are determined. The tunable dynamic properties coupled with the high thermal stability and reprocessability of silyl ether-based networks open doors to many potential applications for this family of materials.","container-title":"Journal of the American Chemical Society","DOI":"10.1021/jacs.7b08826","ISSN":"0002-7863, 1520-5126","issue":"42","journalAbbreviation":"J. Am. Chem. Soc.","language":"en","page":"14881-14884","source":"DOI.org (Crossref)","title":"Silyl Ether as a Robust and Thermally Stable Dynamic Covalent Motif for Malleable Polymer Design","volume":"139","author":[{"family":"Nishimura","given":"Yoshio"},{"family":"Chung","given":"Jaeyoon"},{"family":"Muradyan","given":"Hurik"},{"family":"Guan","given":"Zhibin"}],"issued":{"date-parts":[["2017",10,25]]}}},{"id":2666,"uris":["http://zotero.org/users/4903636/items/6RAHMIDM"],"itemData":{"id":2666,"type":"article-journal","abstract":"Vitrimers are a new class of polymeric materials that simultaneously oﬀer the desired physical properties of thermosets and malleability/reprocessability of thermoplastics. Despite signiﬁcant progress being made in the ﬁeld of vitrimers, there exists a critical need for the development of robust dynamic covalent chemistries for the production of strong and thermally stable vitrimers. In this work, we discovered a new silyl ether metathesis reaction and used it for the preparation of vitrimers with exceptional thermal stability. In small-molecule model studies, we observed that silyl ether motifs directly exchange under anhydrous conditions catalyzed by a Brønsted or Lewis acid catalyst. For initial vitrimer demonstration, a commodity polymer, poly(ethylene-covinyl alcohol) (PEOH), was silylated with trimethylsilyl (TMS) groups followed by cross-linking with a bis-silyl ether cross-linker. The resulting thermoset showed exceptional thermal stability while maintaining malleability/reprocessability at elevated temperatures. The vitrimer properties such as recyclability and stress relaxation at various temperatures were carefully investigated. The material was reprocessable at 150 °C while also exhibiting good creep resistance at temperatures below its melting transition (Tm). This work demonstrates the silyl ether metathesis reaction as a new, robust dynamic covalent chemistry to introduce plasticity, reprocessability, and recyclability to thermosets.","container-title":"Journal of the American Chemical Society","DOI":"10.1021/jacs.9b08876","ISSN":"0002-7863, 1520-5126","issue":"42","journalAbbreviation":"J. Am. Chem. Soc.","language":"en","page":"16595-16599","source":"DOI.org (Crossref)","title":"Direct Silyl Ether Metathesis for Vitrimers with Exceptional Thermal Stability","volume":"141","author":[{"family":"Tretbar","given":"Chase A."},{"family":"Neal","given":"James A."},{"family":"Guan","given":"Zhibin"}],"issued":{"date-parts":[["2019",10,23]]}}}],"schema":"https://github.com/citation-style-language/schema/raw/master/csl-citation.json"} </w:instrText>
      </w:r>
      <w:r w:rsidR="00BB7D6A" w:rsidRPr="00BD7731">
        <w:rPr>
          <w:bCs/>
        </w:rPr>
        <w:fldChar w:fldCharType="separate"/>
      </w:r>
      <w:r w:rsidR="001751B1" w:rsidRPr="00BD7731">
        <w:rPr>
          <w:vertAlign w:val="superscript"/>
        </w:rPr>
        <w:t>[14,15]</w:t>
      </w:r>
      <w:r w:rsidR="00BB7D6A" w:rsidRPr="00BD7731">
        <w:rPr>
          <w:bCs/>
        </w:rPr>
        <w:fldChar w:fldCharType="end"/>
      </w:r>
      <w:r w:rsidR="00BB7D6A" w:rsidRPr="00BD7731">
        <w:rPr>
          <w:bCs/>
        </w:rPr>
        <w:t xml:space="preserve"> </w:t>
      </w:r>
      <w:proofErr w:type="spellStart"/>
      <w:r w:rsidR="00BB7D6A" w:rsidRPr="00BD7731">
        <w:rPr>
          <w:bCs/>
        </w:rPr>
        <w:t>diketoneamine</w:t>
      </w:r>
      <w:proofErr w:type="spellEnd"/>
      <w:r w:rsidR="00BB7D6A" w:rsidRPr="00BD7731">
        <w:rPr>
          <w:bCs/>
        </w:rPr>
        <w:t xml:space="preserve"> transamination,</w:t>
      </w:r>
      <w:r w:rsidR="00BB7D6A" w:rsidRPr="00BD7731">
        <w:rPr>
          <w:bCs/>
        </w:rPr>
        <w:fldChar w:fldCharType="begin"/>
      </w:r>
      <w:r w:rsidR="001C3F85" w:rsidRPr="00BD7731">
        <w:rPr>
          <w:bCs/>
        </w:rPr>
        <w:instrText xml:space="preserve"> ADDIN ZOTERO_ITEM CSL_CITATION {"citationID":"7hvCfBSU","properties":{"formattedCitation":"\\super [16]\\nosupersub{}","plainCitation":"[16]","noteIndex":0},"citationItems":[{"id":2644,"uris":["http://zotero.org/users/4903636/items/TH2XMHDF"],"itemData":{"id":2644,"type":"article-journal","container-title":"Nature Chemistry","DOI":"10.1038/s41557-019-0249-2","ISSN":"1755-4330, 1755-4349","issue":"5","journalAbbreviation":"Nat. Chem.","language":"en","page":"442-448","source":"DOI.org (Crossref)","title":"Closed-loop recycling of plastics enabled by dynamic covalent diketoenamine bonds","volume":"11","author":[{"family":"Christensen","given":"Peter R."},{"family":"Scheuermann","given":"Angelique M."},{"family":"Loeffler","given":"Kathryn E."},{"family":"Helms","given":"Brett A."}],"issued":{"date-parts":[["2019",5]]}}}],"schema":"https://github.com/citation-style-language/schema/raw/master/csl-citation.json"} </w:instrText>
      </w:r>
      <w:r w:rsidR="00BB7D6A" w:rsidRPr="00BD7731">
        <w:rPr>
          <w:bCs/>
        </w:rPr>
        <w:fldChar w:fldCharType="separate"/>
      </w:r>
      <w:r w:rsidR="001751B1" w:rsidRPr="00BD7731">
        <w:rPr>
          <w:vertAlign w:val="superscript"/>
        </w:rPr>
        <w:t>[16]</w:t>
      </w:r>
      <w:r w:rsidR="00BB7D6A" w:rsidRPr="00BD7731">
        <w:rPr>
          <w:bCs/>
        </w:rPr>
        <w:fldChar w:fldCharType="end"/>
      </w:r>
      <w:r w:rsidR="00BB7D6A" w:rsidRPr="00BD7731">
        <w:rPr>
          <w:bCs/>
        </w:rPr>
        <w:t xml:space="preserve"> </w:t>
      </w:r>
      <w:r w:rsidR="00BE40A9" w:rsidRPr="00BD7731">
        <w:rPr>
          <w:bCs/>
        </w:rPr>
        <w:t xml:space="preserve">and </w:t>
      </w:r>
      <w:r w:rsidR="00BB7D6A" w:rsidRPr="00BD7731">
        <w:rPr>
          <w:bCs/>
        </w:rPr>
        <w:t>disulfide exchange</w:t>
      </w:r>
      <w:r w:rsidR="00BE40A9" w:rsidRPr="00BD7731">
        <w:rPr>
          <w:bCs/>
        </w:rPr>
        <w:t>.</w:t>
      </w:r>
      <w:r w:rsidR="00BB7D6A" w:rsidRPr="00BD7731">
        <w:rPr>
          <w:bCs/>
        </w:rPr>
        <w:fldChar w:fldCharType="begin"/>
      </w:r>
      <w:r w:rsidR="001C3F85" w:rsidRPr="00BD7731">
        <w:rPr>
          <w:bCs/>
        </w:rPr>
        <w:instrText xml:space="preserve"> ADDIN ZOTERO_ITEM CSL_CITATION {"citationID":"uTEFYRS6","properties":{"formattedCitation":"\\super [17]\\nosupersub{}","plainCitation":"[17]","noteIndex":0},"citationItems":[{"id":3222,"uris":["http://zotero.org/users/4903636/items/6K8E54HS"],"itemData":{"id":3222,"type":"article-journal","abstract":"Autonomous healing of damage is a common phenomenon in living organisms but is hardly ever encountered in synthetic materials. Disulfide chemistry is used to introduce a self-healing ability in a covalently cross-linked rubber. Autonomous healing of a cut takes place at moderate temperatures and leads to full recovery of mechanical properties. This result is achieved by introducing disulfide groups in the network that are able to exchange, leading to renewal of cross-links across the damaged surfaces. The healing process can be repeated many times. The combination of their unique self-healing properties and applicability for a large variety of polymers makes this approach ideal for coatings.","container-title":"Macromolecules","DOI":"10.1021/ma2001492","ISSN":"0024-9297","issue":"8","journalAbbreviation":"Macromolecules","note":"publisher: American Chemical Society","page":"2536-2541","source":"ACS Publications","title":"Self-Healing Materials Based on Disulfide Links","volume":"44","author":[{"family":"Canadell","given":"Judit"},{"family":"Goossens","given":"Han"},{"family":"Klumperman","given":"Bert"}],"issued":{"date-parts":[["2011",4,26]]}}}],"schema":"https://github.com/citation-style-language/schema/raw/master/csl-citation.json"} </w:instrText>
      </w:r>
      <w:r w:rsidR="00BB7D6A" w:rsidRPr="00BD7731">
        <w:rPr>
          <w:bCs/>
        </w:rPr>
        <w:fldChar w:fldCharType="separate"/>
      </w:r>
      <w:r w:rsidR="001751B1" w:rsidRPr="00BD7731">
        <w:rPr>
          <w:vertAlign w:val="superscript"/>
        </w:rPr>
        <w:t>[17]</w:t>
      </w:r>
      <w:r w:rsidR="00BB7D6A" w:rsidRPr="00BD7731">
        <w:rPr>
          <w:bCs/>
        </w:rPr>
        <w:fldChar w:fldCharType="end"/>
      </w:r>
      <w:r w:rsidR="00BB7D6A" w:rsidRPr="00BD7731">
        <w:rPr>
          <w:bCs/>
        </w:rPr>
        <w:t xml:space="preserve"> The component and/or the formation of a network also has variation such as the condensation of low molecular weight molecules or the </w:t>
      </w:r>
      <w:r w:rsidR="00BE40A9" w:rsidRPr="00BD7731">
        <w:rPr>
          <w:bCs/>
        </w:rPr>
        <w:t>crosslinking</w:t>
      </w:r>
      <w:r w:rsidR="00BB7D6A" w:rsidRPr="00BD7731">
        <w:rPr>
          <w:bCs/>
        </w:rPr>
        <w:t xml:space="preserve"> of polymer chains.</w:t>
      </w:r>
      <w:r w:rsidR="00BB7D6A" w:rsidRPr="00BD7731">
        <w:rPr>
          <w:bCs/>
        </w:rPr>
        <w:fldChar w:fldCharType="begin"/>
      </w:r>
      <w:r w:rsidR="001C3F85" w:rsidRPr="00BD7731">
        <w:rPr>
          <w:bCs/>
        </w:rPr>
        <w:instrText xml:space="preserve"> ADDIN ZOTERO_ITEM CSL_CITATION {"citationID":"B5LlAaMz","properties":{"formattedCitation":"\\super [11,15,18\\uc0\\u8211{}20]\\nosupersub{}","plainCitation":"[11,15,18–20]","noteIndex":0},"citationItems":[{"id":1618,"uris":["http://zotero.org/users/4903636/items/NUE3KI43"],"itemData":{"id":1618,"type":"article-journal","container-title":"Science","DOI":"10.1126/science.aah5281","ISSN":"0036-8075, 1095-9203","issue":"6333","language":"en","page":"62-65","source":"DOI.org (Crossref)","title":"High-performance vitrimers from commodity thermoplastics through dioxaborolane metathesis","volume":"356","author":[{"family":"Röttger","given":"Max"},{"family":"Domenech","given":"Trystan"},{"family":"Weegen","given":"Rob","non-dropping-particle":"van der"},{"family":"Breuillac","given":"Antoine"},{"family":"Nicolaÿ","given":"Renaud"},{"family":"Leibler","given":"Ludwik"}],"issued":{"date-parts":[["2017",4,7]]}}},{"id":2666,"uris":["http://zotero.org/users/4903636/items/6RAHMIDM"],"itemData":{"id":2666,"type":"article-journal","abstract":"Vitrimers are a new class of polymeric materials that simultaneously oﬀer the desired physical properties of thermosets and malleability/reprocessability of thermoplastics. Despite signiﬁcant progress being made in the ﬁeld of vitrimers, there exists a critical need for the development of robust dynamic covalent chemistries for the production of strong and thermally stable vitrimers. In this work, we discovered a new silyl ether metathesis reaction and used it for the preparation of vitrimers with exceptional thermal stability. In small-molecule model studies, we observed that silyl ether motifs directly exchange under anhydrous conditions catalyzed by a Brønsted or Lewis acid catalyst. For initial vitrimer demonstration, a commodity polymer, poly(ethylene-covinyl alcohol) (PEOH), was silylated with trimethylsilyl (TMS) groups followed by cross-linking with a bis-silyl ether cross-linker. The resulting thermoset showed exceptional thermal stability while maintaining malleability/reprocessability at elevated temperatures. The vitrimer properties such as recyclability and stress relaxation at various temperatures were carefully investigated. The material was reprocessable at 150 °C while also exhibiting good creep resistance at temperatures below its melting transition (Tm). This work demonstrates the silyl ether metathesis reaction as a new, robust dynamic covalent chemistry to introduce plasticity, reprocessability, and recyclability to thermosets.","container-title":"Journal of the American Chemical Society","DOI":"10.1021/jacs.9b08876","ISSN":"0002-7863, 1520-5126","issue":"42","journalAbbreviation":"J. Am. Chem. Soc.","language":"en","page":"16595-16599","source":"DOI.org (Crossref)","title":"Direct Silyl Ether Metathesis for Vitrimers with Exceptional Thermal Stability","volume":"141","author":[{"family":"Tretbar","given":"Chase A."},{"family":"Neal","given":"James A."},{"family":"Guan","given":"Zhibin"}],"issued":{"date-parts":[["2019",10,23]]}}},{"id":1621,"uris":["http://zotero.org/users/4903636/items/FSRECERT"],"itemData":{"id":1621,"type":"article-journal","abstract":"Reprocessable and recyclable PDMS vitrimers can be transformed into “quenched” vitrimers that exhibit conventional elastomer properties.\n          , \n            \n              An elastomeric vitrimer material was synthesized\n              via\n              the crosslinking of a polydimethylsiloxane bearing pendant amino functions with a bis-vinylogous urethane crosslinker. The elastic properties of this material could be tuned across a wide range of moduli by varying crosslink density. Reshaping and recyclability were observed at 100 °C. Further investigation of the dynamic character revealed double relaxations, which could be supressed by masking free amino groups. Finally, these studies led to the development of a single-pot, solution-castable formulation of a non-dynamic permanent elastomer. These results open a way for the design of quenchable vitrimers, that is to say crosslinked materials which after shaping or recycling exhibit conventional elastomer properties.","container-title":"Polymer Chemistry","DOI":"10.1039/C7PY01488K","ISSN":"1759-9954, 1759-9962","issue":"43","language":"en","page":"6590-6593","source":"DOI.org (Crossref)","title":"Polydimethylsiloxane quenchable vitrimers","volume":"8","author":[{"family":"Stukenbroeker","given":"Tyler"},{"family":"Wang","given":"Wendi"},{"family":"Winne","given":"Johan M."},{"family":"Du Prez","given":"Filip E."},{"family":"Nicolaÿ","given":"Renaud"},{"family":"Leibler","given":"Ludwik"}],"issued":{"date-parts":[["2017"]]}}},{"id":2789,"uris":["http://zotero.org/users/4903636/items/GJRC67US"],"itemData":{"id":2789,"type":"article-journal","abstract":"Cross-linked networks feature exceptional chemical and mechanical resilience but consequently lack recyclability. Vitrimers have emerged as a class of materials that feature the robustness of thermosets and the recyclability of thermoplastics without compromising network integrity. Most examples of vitrimers have involved new polymers with exchangeable bonds within their backbones. In pursuit of a more universal, commercially viable route, we propose a method utilizing commercially available and inexpensive reagents to prepare vitrimers from vinyl monomer-derived prepolymers that contain cross-linkable βketoester functional groups. Controlled radical copolymerization of methyl methracrylate and (2-acetoacetoxy)ethyl methacrylate aﬀorded linear prepolymers that were converted into vitrimers in a single step by treatment with a trifunctional amine. These materials displayed the characteristic features and reprocessability of vitrimers over as many as six (re)processing cycles. Critically, the networks prepared through this process largely retain the chemical and thermal properties of their linear counterparts, suggesting this method holds signiﬁcant utility as a user-friendly and commercially relevant approach to the rational design of vitrimers with diverse properties.","container-title":"Macromolecules","DOI":"10.1021/acs.macromol.8b02477","ISSN":"0024-9297, 1520-5835","issue":"5","journalAbbreviation":"Macromolecules","language":"en","page":"2105-2111","source":"DOI.org (Crossref)","title":"Catalyst-Free Vitrimers from Vinyl Polymers","volume":"52","author":[{"family":"Lessard","given":"Jacob J."},{"family":"Garcia","given":"Luis F."},{"family":"Easterling","given":"Charles P."},{"family":"Sims","given":"Michael B."},{"family":"Bentz","given":"Kyle C."},{"family":"Arencibia","given":"Scarlett"},{"family":"Savin","given":"Daniel A."},{"family":"Sumerlin","given":"Brent S."}],"issued":{"date-parts":[["2019",3,12]]}}},{"id":2581,"uris":["http://zotero.org/users/4903636/items/PN9X5FR2"],"itemData":{"id":2581,"type":"article-journal","abstract":"This work reports the synthesis and characterization of HDPE vitrimers obtained\n              via\n              reactive extrusion in the presence of bis-nitroxide dioxaborolanes.\n            \n          , \n            \n              Vitrimers are a new class of polymeric materials that combine the re-processability of thermoplastics with the superior chemical and thermo-mechanical properties of thermosets. Transformation of existing thermoplastics, especially commodity plastics, into vitrimers during their processing is an exciting challenge that could greatly facilitate the industrial development of these materials. In this study, we combined nitroxide chemistry, for radical grafting, and boronic ester metathesis, as an associative exchange reaction, to prepare PE vitrimers\n              via\n              a single-step reactive extrusion of commercial HDPE. After studying the grafting efficiency of a model nitroxide carrying a dioxaborolane moiety, a bis-dioxaborolane bearing two nitroxide functions was used to synthesize vitrimers. The functionalization degree and its impact on the degree of crystallinity of vitrimers were quantified. The flow properties, thermal stability and thermo-mechanical properties of the resulting vitrimers were also studied. We found that associative exchange reactions allow full stress relaxation and provide processability to the vitrimers up to approximately 200 °C. Above this temperature, the thermolabile alkoxyamine bonds within the cross-links irreversibly dissociate, resulting in a material with a zero-shear viscosity comparable to that of the starting HDPE. The recyclability of these vitrimers was successfully exemplified with successive cycles of processing and mechanical testing, while their creep resistance at 80 °C was compared to that of their HDPE precursor.","container-title":"Polymer Chemistry","DOI":"10.1039/C9PY00253G","ISSN":"1759-9954, 1759-9962","issue":"23","journalAbbreviation":"Polym. Chem.","language":"en","page":"3107-3115","source":"DOI.org (Crossref)","title":"Transformation of polyethylene into a vitrimer by nitroxide radical coupling of a bis-dioxaborolane","volume":"10","author":[{"family":"Caffy","given":"Florent"},{"family":"Nicolaÿ","given":"Renaud"}],"issued":{"date-parts":[["2019"]]}}}],"schema":"https://github.com/citation-style-language/schema/raw/master/csl-citation.json"} </w:instrText>
      </w:r>
      <w:r w:rsidR="00BB7D6A" w:rsidRPr="00BD7731">
        <w:rPr>
          <w:bCs/>
        </w:rPr>
        <w:fldChar w:fldCharType="separate"/>
      </w:r>
      <w:r w:rsidR="001751B1" w:rsidRPr="00BD7731">
        <w:rPr>
          <w:vertAlign w:val="superscript"/>
        </w:rPr>
        <w:t>[11,15,18–20]</w:t>
      </w:r>
      <w:r w:rsidR="00BB7D6A" w:rsidRPr="00BD7731">
        <w:rPr>
          <w:bCs/>
        </w:rPr>
        <w:fldChar w:fldCharType="end"/>
      </w:r>
      <w:r w:rsidR="00BB7D6A" w:rsidRPr="00BD7731">
        <w:rPr>
          <w:bCs/>
        </w:rPr>
        <w:t xml:space="preserve"> The incorporation of </w:t>
      </w:r>
      <w:proofErr w:type="spellStart"/>
      <w:r w:rsidR="00BB7D6A" w:rsidRPr="00BD7731">
        <w:rPr>
          <w:bCs/>
        </w:rPr>
        <w:t>vitrimer</w:t>
      </w:r>
      <w:proofErr w:type="spellEnd"/>
      <w:r w:rsidR="00BB7D6A" w:rsidRPr="00BD7731">
        <w:rPr>
          <w:bCs/>
        </w:rPr>
        <w:t xml:space="preserve"> chemistry into polymer materials adds functionalities and improves the properties such as the creep resistance,</w:t>
      </w:r>
      <w:r w:rsidR="00BB7D6A" w:rsidRPr="00BD7731">
        <w:rPr>
          <w:bCs/>
        </w:rPr>
        <w:fldChar w:fldCharType="begin"/>
      </w:r>
      <w:r w:rsidR="001C3F85" w:rsidRPr="00BD7731">
        <w:rPr>
          <w:bCs/>
        </w:rPr>
        <w:instrText xml:space="preserve"> ADDIN ZOTERO_ITEM CSL_CITATION {"citationID":"7gTt2hMz","properties":{"formattedCitation":"\\super [15,21]\\nosupersub{}","plainCitation":"[15,21]","noteIndex":0},"citationItems":[{"id":2666,"uris":["http://zotero.org/users/4903636/items/6RAHMIDM"],"itemData":{"id":2666,"type":"article-journal","abstract":"Vitrimers are a new class of polymeric materials that simultaneously oﬀer the desired physical properties of thermosets and malleability/reprocessability of thermoplastics. Despite signiﬁcant progress being made in the ﬁeld of vitrimers, there exists a critical need for the development of robust dynamic covalent chemistries for the production of strong and thermally stable vitrimers. In this work, we discovered a new silyl ether metathesis reaction and used it for the preparation of vitrimers with exceptional thermal stability. In small-molecule model studies, we observed that silyl ether motifs directly exchange under anhydrous conditions catalyzed by a Brønsted or Lewis acid catalyst. For initial vitrimer demonstration, a commodity polymer, poly(ethylene-covinyl alcohol) (PEOH), was silylated with trimethylsilyl (TMS) groups followed by cross-linking with a bis-silyl ether cross-linker. The resulting thermoset showed exceptional thermal stability while maintaining malleability/reprocessability at elevated temperatures. The vitrimer properties such as recyclability and stress relaxation at various temperatures were carefully investigated. The material was reprocessable at 150 °C while also exhibiting good creep resistance at temperatures below its melting transition (Tm). This work demonstrates the silyl ether metathesis reaction as a new, robust dynamic covalent chemistry to introduce plasticity, reprocessability, and recyclability to thermosets.","container-title":"Journal of the American Chemical Society","DOI":"10.1021/jacs.9b08876","ISSN":"0002-7863, 1520-5126","issue":"42","journalAbbreviation":"J. Am. Chem. Soc.","language":"en","page":"16595-16599","source":"DOI.org (Crossref)","title":"Direct Silyl Ether Metathesis for Vitrimers with Exceptional Thermal Stability","volume":"141","author":[{"family":"Tretbar","given":"Chase A."},{"family":"Neal","given":"James A."},{"family":"Guan","given":"Zhibin"}],"issued":{"date-parts":[["2019",10,23]]}}},{"id":5291,"uris":["http://zotero.org/users/4903636/items/ZB5QWV9I"],"itemData":{"id":5291,"type":"article-journal","abstract":"In this report, we merge block copolymers with vitrimers in an eﬀort to realize the prospect of higher-order, nanoscale control over associative cross-link exchange and ﬂow. We show the use of controlled polymerization as a vital tool to understand fundamental structure−property eﬀects through the precise control of polymer architecture and molecular weight. Vitrimers derived from self-assembling block copolymers exhibit superior resistance to macroscopic deformation in comparison to their analogs generated from statistical copolymers. Our results suggest that the enhanced creep resistance achieved by control over chain topology in block vitrimers can be used to tune viscoelastic properties. The resistance to macroscopic deformation that arises from a microphase-separated structure in this new class of materials diﬀerentiates block vitrimers from their statistical counterparts and introduces the potential of topology-control over viscoelastic ﬂow.","container-title":"Journal of the American Chemical Society","DOI":"10.1021/jacs.9b10360","ISSN":"0002-7863, 1520-5126","issue":"1","journalAbbreviation":"J. Am. Chem. Soc.","language":"en","page":"283-289","source":"DOI.org (Crossref)","title":"Block Copolymer Vitrimers","volume":"142","author":[{"family":"Lessard","given":"Jacob J."},{"family":"Scheutz","given":"Georg M."},{"family":"Sung","given":"Seung Hyun"},{"family":"Lantz","given":"Kayla A."},{"family":"Epps","given":"Thomas H."},{"family":"Sumerlin","given":"Brent S."}],"issued":{"date-parts":[["2020",1,8]]}}}],"schema":"https://github.com/citation-style-language/schema/raw/master/csl-citation.json"} </w:instrText>
      </w:r>
      <w:r w:rsidR="00BB7D6A" w:rsidRPr="00BD7731">
        <w:rPr>
          <w:bCs/>
        </w:rPr>
        <w:fldChar w:fldCharType="separate"/>
      </w:r>
      <w:r w:rsidR="009E2DB6" w:rsidRPr="00BD7731">
        <w:rPr>
          <w:vertAlign w:val="superscript"/>
        </w:rPr>
        <w:t>[15,21]</w:t>
      </w:r>
      <w:r w:rsidR="00BB7D6A" w:rsidRPr="00BD7731">
        <w:rPr>
          <w:bCs/>
        </w:rPr>
        <w:fldChar w:fldCharType="end"/>
      </w:r>
      <w:r w:rsidR="00BB7D6A" w:rsidRPr="00BD7731">
        <w:rPr>
          <w:bCs/>
        </w:rPr>
        <w:t xml:space="preserve"> self-healing ability</w:t>
      </w:r>
      <w:r w:rsidR="00E851A5" w:rsidRPr="00BD7731">
        <w:rPr>
          <w:bCs/>
        </w:rPr>
        <w:t>,</w:t>
      </w:r>
      <w:r w:rsidR="00BB7D6A" w:rsidRPr="00BD7731">
        <w:rPr>
          <w:bCs/>
        </w:rPr>
        <w:fldChar w:fldCharType="begin"/>
      </w:r>
      <w:r w:rsidR="001C3F85" w:rsidRPr="00BD7731">
        <w:rPr>
          <w:bCs/>
        </w:rPr>
        <w:instrText xml:space="preserve"> ADDIN ZOTERO_ITEM CSL_CITATION {"citationID":"CRHpqIXe","properties":{"formattedCitation":"\\super [10,22]\\nosupersub{}","plainCitation":"[10,22]","noteIndex":0},"citationItems":[{"id":1659,"uris":["http://zotero.org/users/4903636/items/5KCQTFCP"],"itemData":{"id":1659,"type":"article-journal","abstract":"Despite numerous strategies involving dynamic covalent bond exchange for dynamic and selfhealing materials, it remains a challenge to be able to tune the malleability and self-healing properties of bulk materials through simple small molecule perturbations. Here we describe the use of tunable rates of boronic ester transesteriﬁcation to tune the malleability and self-healing eﬃciencies of bulk materials. Speciﬁcally, we used two telechelic diboronic ester small molecules with variable transesteriﬁcation kinetics to dynamically cross-link 1,2diol-containing polymer backbones. The sample crosslinked with fast-exchanging diboronic ester showed enhanced malleability and accelerated healing compared to the slow-exchanging variant under the same conditions. Our report demonstrates the possibility of transferring small molecule kinetics to dynamic properties of bulk solid material and may serve as a guide for the rational design of tunable dynamic materials.","container-title":"Journal of the American Chemical Society","DOI":"10.1021/jacs.5b03551","ISSN":"0002-7863, 1520-5126","issue":"20","language":"en","page":"6492-6495","source":"DOI.org (Crossref)","title":"Malleable and Self-Healing Covalent Polymer Networks through Tunable Dynamic Boronic Ester Bonds","volume":"137","author":[{"family":"Cromwell","given":"Olivia R."},{"family":"Chung","given":"Jaeyoon"},{"family":"Guan","given":"Zhibin"}],"issued":{"date-parts":[["2015",5,27]]}}},{"id":5289,"uris":["http://zotero.org/users/4903636/items/E8FCX97R"],"itemData":{"id":5289,"type":"article-journal","container-title":"Advanced Functional Materials","DOI":"10.1002/adfm.202009017","ISSN":"1616-301X, 1616-3028","issue":"13","journalAbbreviation":"Adv. Funct. Ma</w:instrText>
      </w:r>
      <w:r w:rsidR="001C3F85" w:rsidRPr="00BD7731">
        <w:rPr>
          <w:rFonts w:hint="eastAsia"/>
          <w:bCs/>
        </w:rPr>
        <w:instrText>ter.","language":"en","page":"2009017","source":"DOI.org (Crossref)","title":"Photonic Vitrimer Elastomer with Self</w:instrText>
      </w:r>
      <w:r w:rsidR="001C3F85" w:rsidRPr="00BD7731">
        <w:rPr>
          <w:rFonts w:hint="eastAsia"/>
          <w:bCs/>
        </w:rPr>
        <w:instrText>‐</w:instrText>
      </w:r>
      <w:r w:rsidR="001C3F85" w:rsidRPr="00BD7731">
        <w:rPr>
          <w:rFonts w:hint="eastAsia"/>
          <w:bCs/>
        </w:rPr>
        <w:instrText>Healing, High Toughness, Mechanochromism, and Excellent Durability based on Dynamic Covalent Bond","volume":"31","author":[{"family":"Niu",</w:instrText>
      </w:r>
      <w:r w:rsidR="001C3F85" w:rsidRPr="00BD7731">
        <w:rPr>
          <w:bCs/>
        </w:rPr>
        <w:instrText xml:space="preserve">"given":"Wenbin"},{"family":"Cao","given":"Xianfei"},{"family":"Wang","given":"Yunpeng"},{"family":"Yao","given":"Bowen"},{"family":"Zhao","given":"Yusen"},{"family":"Cheng","given":"Jie"},{"family":"Wu","given":"Suli"},{"family":"Zhang","given":"Shufen"},{"family":"He","given":"Ximin"}],"issued":{"date-parts":[["2021",3]]}}}],"schema":"https://github.com/citation-style-language/schema/raw/master/csl-citation.json"} </w:instrText>
      </w:r>
      <w:r w:rsidR="00BB7D6A" w:rsidRPr="00BD7731">
        <w:rPr>
          <w:bCs/>
        </w:rPr>
        <w:fldChar w:fldCharType="separate"/>
      </w:r>
      <w:r w:rsidR="009E2DB6" w:rsidRPr="00BD7731">
        <w:rPr>
          <w:vertAlign w:val="superscript"/>
        </w:rPr>
        <w:t>[10,22]</w:t>
      </w:r>
      <w:r w:rsidR="00BB7D6A" w:rsidRPr="00BD7731">
        <w:rPr>
          <w:bCs/>
        </w:rPr>
        <w:fldChar w:fldCharType="end"/>
      </w:r>
      <w:r w:rsidR="00BB7D6A" w:rsidRPr="00BD7731">
        <w:rPr>
          <w:bCs/>
        </w:rPr>
        <w:t xml:space="preserve"> </w:t>
      </w:r>
      <w:r w:rsidR="00E851A5" w:rsidRPr="00BD7731">
        <w:rPr>
          <w:bCs/>
        </w:rPr>
        <w:t xml:space="preserve">and </w:t>
      </w:r>
      <w:r w:rsidR="00BB7D6A" w:rsidRPr="00BD7731">
        <w:rPr>
          <w:bCs/>
        </w:rPr>
        <w:t>shape-memory effect</w:t>
      </w:r>
      <w:r w:rsidR="00BB7D6A" w:rsidRPr="00BD7731">
        <w:rPr>
          <w:bCs/>
        </w:rPr>
        <w:fldChar w:fldCharType="begin"/>
      </w:r>
      <w:r w:rsidR="001C3F85" w:rsidRPr="00BD7731">
        <w:rPr>
          <w:bCs/>
        </w:rPr>
        <w:instrText xml:space="preserve"> ADDIN ZOTERO_ITEM CSL_CITATION {"citationID":"z4hSkKc8","properties":{"formattedCitation":"\\super [23,24]\\nosupersub{}","plainCitation":"[23,24]","noteIndex":0},"citationItems":[{"id":2584,"uris":["http://zotero.org/users/4903636/items/XPNCFVBJ"],"itemData":{"id":2584,"type":"article-journal","container-title":"Advanced Materials","DOI":"10.1002/adma.201900363","ISSN":"0935-9648, 1521-4095","issue":"18","journalAbbreviation":"Adv. Mater.","language":"en","page":"1900363","source":"DOI.org (Crossref)","</w:instrText>
      </w:r>
      <w:r w:rsidR="001C3F85" w:rsidRPr="00BD7731">
        <w:rPr>
          <w:rFonts w:hint="eastAsia"/>
          <w:bCs/>
        </w:rPr>
        <w:instrText>title":"Self</w:instrText>
      </w:r>
      <w:r w:rsidR="001C3F85" w:rsidRPr="00BD7731">
        <w:rPr>
          <w:rFonts w:hint="eastAsia"/>
          <w:bCs/>
        </w:rPr>
        <w:instrText>‐</w:instrText>
      </w:r>
      <w:r w:rsidR="001C3F85" w:rsidRPr="00BD7731">
        <w:rPr>
          <w:rFonts w:hint="eastAsia"/>
          <w:bCs/>
        </w:rPr>
        <w:instrText>Healing of Polarizing Films via the Synergy between Gold Nanorods and Vitrimer","volume":"31","author":[{"family":"Zhao","given":"Gui"},{"family":"Zhou","given":"Yusai"},{"family":"Wang","given":"Jiayi"},{"family":"Wu","given":"Zhonghua"},{"f</w:instrText>
      </w:r>
      <w:r w:rsidR="001C3F85" w:rsidRPr="00BD7731">
        <w:rPr>
          <w:bCs/>
        </w:rPr>
        <w:instrText xml:space="preserve">amily":"Wang","given":"Hong"},{"family":"Chen","given":"Hongyu"}],"issued":{"date-parts":[["2019",5]]}}},{"id":3460,"uris":["http://zotero.org/users/4903636/items/8DTEVLCP"],"itemData":{"id":3460,"type":"article-journal","container-title":"Nature Communications","DOI":"10.1038/s41467-020-18116-1","ISSN":"2041-1723","issue":"1","journalAbbreviation":"Nat Commun","language":"en","page":"4257","source":"DOI.org (Crossref)","title":"On demand shape memory polymer via light regulated topological defects in a dynamic covalent network","volume":"11","author":[{"family":"Miao","given":"Wusha"},{"family":"Zou","given":"Weike"},{"family":"Jin","given":"Binjie"},{"family":"Ni","given":"Chujun"},{"family":"Zheng","given":"Ning"},{"family":"Zhao","given":"Qian"},{"family":"Xie","given":"Tao"}],"issued":{"date-parts":[["2020",12]]}}}],"schema":"https://github.com/citation-style-language/schema/raw/master/csl-citation.json"} </w:instrText>
      </w:r>
      <w:r w:rsidR="00BB7D6A" w:rsidRPr="00BD7731">
        <w:rPr>
          <w:bCs/>
        </w:rPr>
        <w:fldChar w:fldCharType="separate"/>
      </w:r>
      <w:r w:rsidR="001751B1" w:rsidRPr="00BD7731">
        <w:rPr>
          <w:vertAlign w:val="superscript"/>
        </w:rPr>
        <w:t>[23,24]</w:t>
      </w:r>
      <w:r w:rsidR="00BB7D6A" w:rsidRPr="00BD7731">
        <w:rPr>
          <w:bCs/>
        </w:rPr>
        <w:fldChar w:fldCharType="end"/>
      </w:r>
      <w:r w:rsidR="00BB7D6A" w:rsidRPr="00BD7731">
        <w:rPr>
          <w:bCs/>
        </w:rPr>
        <w:t xml:space="preserve">. For example, we recently reported </w:t>
      </w:r>
      <w:r w:rsidR="00E851A5" w:rsidRPr="00BD7731">
        <w:rPr>
          <w:bCs/>
        </w:rPr>
        <w:t>that incorporating</w:t>
      </w:r>
      <w:r w:rsidR="00BB7D6A" w:rsidRPr="00BD7731">
        <w:rPr>
          <w:bCs/>
        </w:rPr>
        <w:t xml:space="preserve"> disulfide bond into epoxy adhesive enhanced the strength at </w:t>
      </w:r>
      <w:r w:rsidR="00E851A5" w:rsidRPr="00BD7731">
        <w:rPr>
          <w:bCs/>
        </w:rPr>
        <w:t xml:space="preserve">a </w:t>
      </w:r>
      <w:r w:rsidR="00BB7D6A" w:rsidRPr="00BD7731">
        <w:rPr>
          <w:bCs/>
        </w:rPr>
        <w:t xml:space="preserve">high temperature and added </w:t>
      </w:r>
      <w:proofErr w:type="spellStart"/>
      <w:r w:rsidR="00BB7D6A" w:rsidRPr="00BD7731">
        <w:rPr>
          <w:bCs/>
        </w:rPr>
        <w:t>chromophoric</w:t>
      </w:r>
      <w:proofErr w:type="spellEnd"/>
      <w:r w:rsidR="00BB7D6A" w:rsidRPr="00BD7731">
        <w:rPr>
          <w:bCs/>
        </w:rPr>
        <w:t xml:space="preserve"> indicating functionality for strength.</w:t>
      </w:r>
      <w:r w:rsidR="00BB7D6A" w:rsidRPr="00BD7731">
        <w:rPr>
          <w:bCs/>
        </w:rPr>
        <w:fldChar w:fldCharType="begin"/>
      </w:r>
      <w:r w:rsidR="001C3F85" w:rsidRPr="00BD7731">
        <w:rPr>
          <w:bCs/>
        </w:rPr>
        <w:instrText xml:space="preserve"> ADDIN ZOTERO_ITEM CSL_CITATION {"citationID":"1cwREElU","properties":{"formattedCitation":"\\super [25,26]\\nosupersub{}","plainCitation":"[25,26]","noteIndex":0},"citationItems":[{"id":5049,"uris":["http://zotero.org/users/4903636/items/BN77JFAZ"],"itemData":{"id":5049,"type":"article-journal","abstract":"Epoxy resins incorporating aromatic disulfide bonds demonstrated improved adhesive properties with increasing temperature below their glass transition points.\n          , \n            Epoxy resins incorporating aromatic disulfide bonds demonstrated improved adhesive properties with increasing temperature below their glass transition points. This behaviour was explained in terms of the relatively low topology freezing transition temperature of these materials as compared with their glass transition temperatures.","container-title":"Materials Advances","DOI":"10.1039/D0MA00714E","ISSN":"2633-5409","issue":"9","journalAbbreviation":"Mater. Adv.","language":"en","page":"3182-3188","source":"DOI.org (Crossref)","title":"Strengthening epoxy adhesives at elevated temperatures based on dynamic disulfide bonds","volume":"1","author":[{"family":"Tsai","given":"Hsing-Ying"},{"family":"Nakamura","given":"Yasuyuki"},{"family":"Fujita","given":"Takehiro"},{"family":"Naito","given":"Masanobu"}],"issued":{"date-parts":[["2020"]]}}},{"id":5122,"uris":["http://zotero.org/users/4903636/items/FB27UTP6"],"itemData":{"id":5122,"type":"article-journal","abstract":"We demonstrated that the introduction of disulfide bonds into epoxy adhesive could be used as a facile chromophoric indicator to predict the adhesive strength. Once the disulfide bond was cleaved, the color of the epoxy adhesive would be changed from yellow to green due to the generation of thiyl radicals. The lifetime of this green coloration, so-called mechanochromism, was dependent on the crosslink density of the epoxy adhesive, namely, the adhesive strength.","container-title":"Materials Advances","DOI":"10.1039/D1MA00252J","ISSN":"2633-5409","issue":"15","journalAbbreviation":"Mater. Adv.","language":"en","note":"publisher: RSC","page":"5047-5051","source":"pubs.rsc.org","title":"Mechanochromism of dynamic disulfide bonds as a chromophoric indicator of adhesion strength for epoxy adhesive","volume":"2","author":[{"family":"Tsai","given":"Hsing-Ying"},{"family":"Nakamura","given":"Yasuyuki"},{"family":"Hu","given":"Wei-Hsun"},{"family":"Fujita","given":"Takehiro"},{"family":"Naito","given":"Masanobu"}],"issued":{"date-parts":[["2021",8,2]]}}}],"schema":"https://github.com/citation-style-language/schema/raw/master/csl-citation.json"} </w:instrText>
      </w:r>
      <w:r w:rsidR="00BB7D6A" w:rsidRPr="00BD7731">
        <w:rPr>
          <w:bCs/>
        </w:rPr>
        <w:fldChar w:fldCharType="separate"/>
      </w:r>
      <w:r w:rsidR="001751B1" w:rsidRPr="00BD7731">
        <w:rPr>
          <w:vertAlign w:val="superscript"/>
        </w:rPr>
        <w:t>[25,26]</w:t>
      </w:r>
      <w:r w:rsidR="00BB7D6A" w:rsidRPr="00BD7731">
        <w:rPr>
          <w:bCs/>
        </w:rPr>
        <w:fldChar w:fldCharType="end"/>
      </w:r>
    </w:p>
    <w:p w14:paraId="558DAF9F" w14:textId="63BCD64B" w:rsidR="00BB7D6A" w:rsidRPr="00BD7731" w:rsidRDefault="00BB7D6A" w:rsidP="00BB7D6A">
      <w:pPr>
        <w:spacing w:line="360" w:lineRule="auto"/>
        <w:ind w:firstLineChars="100" w:firstLine="240"/>
        <w:jc w:val="both"/>
        <w:rPr>
          <w:bCs/>
        </w:rPr>
      </w:pPr>
      <w:r w:rsidRPr="00BD7731">
        <w:rPr>
          <w:bCs/>
        </w:rPr>
        <w:t xml:space="preserve">The attractive feature of </w:t>
      </w:r>
      <w:r w:rsidR="00425E4D" w:rsidRPr="00BD7731">
        <w:rPr>
          <w:bCs/>
        </w:rPr>
        <w:t>engaging</w:t>
      </w:r>
      <w:r w:rsidRPr="00BD7731">
        <w:rPr>
          <w:bCs/>
        </w:rPr>
        <w:t xml:space="preserve"> the </w:t>
      </w:r>
      <w:proofErr w:type="spellStart"/>
      <w:r w:rsidRPr="00BD7731">
        <w:rPr>
          <w:bCs/>
        </w:rPr>
        <w:t>vitrimer</w:t>
      </w:r>
      <w:proofErr w:type="spellEnd"/>
      <w:r w:rsidRPr="00BD7731">
        <w:rPr>
          <w:bCs/>
        </w:rPr>
        <w:t xml:space="preserve"> chemistry and the crosslinked polymer is that it can compensate for the disadvantage of classical crosslinked polymers and add malleability and recyclability</w:t>
      </w:r>
      <w:r w:rsidR="001B5790" w:rsidRPr="00BD7731">
        <w:rPr>
          <w:bCs/>
        </w:rPr>
        <w:t>,</w:t>
      </w:r>
      <w:r w:rsidRPr="00BD7731">
        <w:rPr>
          <w:bCs/>
        </w:rPr>
        <w:t xml:space="preserve"> </w:t>
      </w:r>
      <w:r w:rsidR="001B5790" w:rsidRPr="00BD7731">
        <w:rPr>
          <w:bCs/>
        </w:rPr>
        <w:t>thereby maintaining</w:t>
      </w:r>
      <w:r w:rsidRPr="00BD7731">
        <w:rPr>
          <w:bCs/>
        </w:rPr>
        <w:t xml:space="preserve"> the substantial properties of the original polymer. To achieve the required properties as </w:t>
      </w:r>
      <w:proofErr w:type="spellStart"/>
      <w:r w:rsidRPr="00BD7731">
        <w:rPr>
          <w:bCs/>
        </w:rPr>
        <w:t>vitrimer</w:t>
      </w:r>
      <w:proofErr w:type="spellEnd"/>
      <w:r w:rsidRPr="00BD7731">
        <w:rPr>
          <w:bCs/>
        </w:rPr>
        <w:t xml:space="preserve"> materials, </w:t>
      </w:r>
      <w:r w:rsidR="00AF7490" w:rsidRPr="00BD7731">
        <w:rPr>
          <w:bCs/>
        </w:rPr>
        <w:t>controlling the</w:t>
      </w:r>
      <w:r w:rsidRPr="00BD7731">
        <w:rPr>
          <w:bCs/>
        </w:rPr>
        <w:t xml:space="preserve"> viscoelasticity and stress relaxation behavior depending on the thermal condition are fundamental. For example, </w:t>
      </w:r>
      <w:r w:rsidR="00050835" w:rsidRPr="00BD7731">
        <w:rPr>
          <w:bCs/>
        </w:rPr>
        <w:t xml:space="preserve">rapid and large change of </w:t>
      </w:r>
      <w:r w:rsidRPr="00BD7731">
        <w:rPr>
          <w:bCs/>
        </w:rPr>
        <w:t xml:space="preserve">elasticity (or viscosity) to the temperature </w:t>
      </w:r>
      <w:r w:rsidR="00425E4D" w:rsidRPr="00BD7731">
        <w:rPr>
          <w:bCs/>
        </w:rPr>
        <w:t>make</w:t>
      </w:r>
      <w:r w:rsidRPr="00BD7731">
        <w:rPr>
          <w:bCs/>
        </w:rPr>
        <w:t xml:space="preserve"> recycling and reprocessing easier.</w:t>
      </w:r>
    </w:p>
    <w:p w14:paraId="379757D5" w14:textId="02366302" w:rsidR="00BB7D6A" w:rsidRPr="00BD7731" w:rsidRDefault="0012791F" w:rsidP="00BB7D6A">
      <w:pPr>
        <w:spacing w:line="360" w:lineRule="auto"/>
        <w:ind w:firstLineChars="100" w:firstLine="240"/>
        <w:jc w:val="both"/>
        <w:rPr>
          <w:bCs/>
        </w:rPr>
      </w:pPr>
      <w:r w:rsidRPr="00BD7731">
        <w:rPr>
          <w:bCs/>
        </w:rPr>
        <w:t>The change in</w:t>
      </w:r>
      <w:r w:rsidR="00BB7D6A" w:rsidRPr="00BD7731">
        <w:rPr>
          <w:bCs/>
        </w:rPr>
        <w:t xml:space="preserve"> the bond exchange reaction involving the type and amount of the functional group and/or the catalyst is a reasonable way to control the property. However, the disadvantage </w:t>
      </w:r>
      <w:r w:rsidR="00BB7D6A" w:rsidRPr="00BD7731">
        <w:rPr>
          <w:bCs/>
        </w:rPr>
        <w:lastRenderedPageBreak/>
        <w:t xml:space="preserve">of this factor is that </w:t>
      </w:r>
      <w:r w:rsidR="008701B3" w:rsidRPr="00BD7731">
        <w:rPr>
          <w:bCs/>
        </w:rPr>
        <w:t xml:space="preserve">they affect other properties of the </w:t>
      </w:r>
      <w:proofErr w:type="spellStart"/>
      <w:r w:rsidR="008701B3" w:rsidRPr="00BD7731">
        <w:rPr>
          <w:bCs/>
        </w:rPr>
        <w:t>crosslinked</w:t>
      </w:r>
      <w:r w:rsidR="00552E6D" w:rsidRPr="00BD7731">
        <w:rPr>
          <w:bCs/>
        </w:rPr>
        <w:t>cross</w:t>
      </w:r>
      <w:proofErr w:type="spellEnd"/>
      <w:r w:rsidR="00552E6D" w:rsidRPr="00BD7731">
        <w:rPr>
          <w:bCs/>
        </w:rPr>
        <w:t>-linked</w:t>
      </w:r>
      <w:r w:rsidR="008701B3" w:rsidRPr="00BD7731">
        <w:rPr>
          <w:bCs/>
        </w:rPr>
        <w:t xml:space="preserve"> polymer, such as chemical stability and mechanical properties</w:t>
      </w:r>
      <w:r w:rsidR="00BB7D6A" w:rsidRPr="00BD7731">
        <w:rPr>
          <w:bCs/>
        </w:rPr>
        <w:t>.</w:t>
      </w:r>
    </w:p>
    <w:p w14:paraId="10142465" w14:textId="16F37B78" w:rsidR="00BB7D6A" w:rsidRPr="00BD7731" w:rsidRDefault="00BB7D6A" w:rsidP="00BB7D6A">
      <w:pPr>
        <w:spacing w:line="360" w:lineRule="auto"/>
        <w:ind w:firstLineChars="100" w:firstLine="240"/>
        <w:jc w:val="both"/>
        <w:rPr>
          <w:bCs/>
        </w:rPr>
      </w:pPr>
      <w:r w:rsidRPr="00BD7731">
        <w:rPr>
          <w:bCs/>
        </w:rPr>
        <w:t xml:space="preserve">Another essential factor is the architecture of the network, </w:t>
      </w:r>
      <w:r w:rsidR="008701B3" w:rsidRPr="00BD7731">
        <w:rPr>
          <w:bCs/>
        </w:rPr>
        <w:t>particularly</w:t>
      </w:r>
      <w:r w:rsidRPr="00BD7731">
        <w:rPr>
          <w:bCs/>
        </w:rPr>
        <w:t xml:space="preserve"> the crosslink density, chain arrangement around the crosslinks, and chain length.</w:t>
      </w:r>
      <w:r w:rsidRPr="00BD7731">
        <w:rPr>
          <w:bCs/>
        </w:rPr>
        <w:fldChar w:fldCharType="begin"/>
      </w:r>
      <w:r w:rsidR="001C3F85" w:rsidRPr="00BD7731">
        <w:rPr>
          <w:bCs/>
        </w:rPr>
        <w:instrText xml:space="preserve"> ADDIN ZOTERO_ITEM CSL_CITATION {"citationID":"lCLlIX6e","properties":{"unsorted":true,"formattedCitation":"\\super [27\\uc0\\u8211{}33]\\nosupersub{}","plainCitation":"[27–33]","noteIndex":0},"citationItems":[{"id":3183,"uris":["http://zotero.org/users/4903636/items/9HKWR75N"],"itemData":{"id":3183,"type":"article-journal","container-title":"RSC Adv.","DOI":"10.1039/C4RA06543C","ISSN":"2046-2069","issue":"89","journalAbbreviation":"RSC Adv.","language":"en","page":"48682-48690","source":"DOI.org (Crossref)","title":"Influence of stoichiometry on the glass transition and bond exchange reactions in epoxy thermoset polymers","volume":"4","author":[{"family":"Yu","given":"Kai"},{"family":"Taynton","given":"Philip"},{"family":"Zhang","given":"Wei"},{"family":"Dunn","given":"Martin L."},{"family":"Qi","given":"H. Jerry"}],"issued":{"date-parts":[["2014",10,7]]}}},{"id":1688,"uris":["http://zotero.org/users/4903636/items/8FBFDT9W"],"itemData":{"id":1688,"type":"article-journal","abstract":"Cross-linked polymers are ubiquitous in daily life, ﬁnding applications as tires, insulation, adhesives, automotive parts, and countless other products. The covalent crosslinks in these materials render them mechanically robust, chemically resistant, and thermally stable, but they also prevent recycling of these materials into similar-value goods. Furthermore, cross-linked polymers are typically produced from petroleumbased feedstocks, and their hydrocarbon backbones render them nondegradable, making them unsustainable in the long term. In recent years, much eﬀort has focused on the development of recycling strategies for cross-linked polymeric materials. In the following Perspective, we discuss many of these approaches, and highlight eﬀorts to sustainably produce recyclable crosslinked polymers. We present our thoughts on future challenges that must be overcome to enable widespread, viable, and more sustainable and practical implementation of these materials, including the sustainable sourcing of feedstocks, long-term environmental stability of inherently dynamic polymers, and moving toward industrially viable synthesis and reprocessing methods.","container-title":"ACS Sustainable Chemistry &amp; Engineering","DOI":"10.1021/acssuschemeng.8b02355","ISSN":"2168-0485, 2168-0485","issue":"9","language":"en","page":"11145-11159","source":"DOI.org (Crossref)","title":"Approaches to Sustainable and Continually Recyclable Cross-Linked Polymers","volume":"6","author":[{"family":"Fortman","given":"David J."},{"family":"Brutman","given":"Jacob P."},{"family":"De Hoe","given":"Guilhem X."},{"family":"Snyder","given":"Rachel L."},{"family":"Dichtel","given":"William R."},{"family":"Hillmyer","given":"Marc A."}],"issued":{"date-parts":[["2018",9,4]]}}},{"id":2585,"uris":["http://zotero.org/users/4903636/items/PN89X2WH"],"itemData":{"id":2585,"type":"article-journal","abstract":"Elastomeric vitrimer materials with tunable cross-link densities are prepared using cross-linking precursor polyesters with multiple COOH side groups in the presence of diepoxy cross-linkers and trans-esterification catalysts.\n          , \n            \n              In this research, we demonstrate the preparation and unique functions of elastomeric polyester vitrimer materials with different cross-link densities based on a post-polymerization cross-linking method. First, we synthesize polyesters with thiol (SH) groups at the side groups\n              via\n              melt polycondensation of pentanediol, adipic acid, and thiomalic acid. The SH-attached polyester is reacted with acrylic acid through the Michael addition reaction between the SH side groups of the polyester and the vinyl groups of acrylic acid, providing viscous amorphous polyesters with multiple COOH side groups (PE-COOH). PE-COOH polymers are cross-linked through the reaction with a diepoxy cross-linker (1,4-butanediol diglycidyl ether) in the presence of a trans-esterification catalyst Zn(OAc)\n              2\n              at 120 °C. This cross-linking\n              via\n              the COOH–epoxy reaction generates free OH groups in the network, which act as the carriers for trans-esterification with ester bonds in the polyester strands. In this design, the COOH group equivalent weight (\n              M\n              COOH\n              ) in PE-COOH is easily tuned by the initial polycondensation feed ratio between adipic acid and thiomalic acid. This also enables the tuning of the cross-link density and the fraction of free OH groups in the final vitrimer materials as reflected in the tensile and swelling properties. The representative vitrimeric properties, including the softening temperature (\n              T\n              soft\n              ) and stress-relaxation at high temperature, are all affected by the cross-link density (\n              i.e.\n              ,\n              M\n              COOH\n              in PE-COOH). Interestingly, a lower\n              T\n              soft\n              and a shorter relaxation time were attained for the sample with a larger cross-link density. This is because the sample with the larger cross-link density possesses a larger fraction of the bond-exchange carriers,\n              i.e.\n              , free OH groups, in the present system, which enables the activation of trans-esterification based bond-exchange with lower temperature and higher frequency.","container-title":"Polymer Chemistry","DOI":"10.1039/C9PY00293F","ISSN":"1759-9954, 1759-9962","issue":"16","journalAbbreviation":"Polym. Chem.","language":"en","page":"2047-2056","source":"DOI.org (Crossref)","title":"Synthesis of amorphous low &lt;i&gt;T&lt;/i&gt; &lt;sub&gt;g&lt;/sub&gt; polyesters with multiple COOH side groups and their utilization for elastomeric vitrimers based on post-polymerization cross-linking","volume":"10","author":[{"family":"Hayashi","given":"Mikihiro"},{"family":"Yano","given":"Ryoto"},{"family":"Takasu","given":"Akinori"}],"issued":{"date-parts":[["2019"]]}}},{"id":3232,"uris":["http://zotero.org/users/4903636/items/UX44VSAX"],"itemData":{"id":3232,"type":"article-journal","abstract":"Cross-linked polymers are used in many commercial products and are traditionally incapable of recycling via melt reprocessing. Recently, tough and reprocessable cross-linked polymers have been realized by incorporating cross-links that undergo associative exchange reactions, such as transesteriﬁcation, at elevated temperatures. Here we investigate how cross-linked polymers containing urethane linkages relax stress under similar conditions, which enables their reprocessing. Materials based on hydroxylterminated star-shaped poly(ethylene oxide) and poly((±)lactide) were cross-linked with methylene diphenyldiisocyanate in the presence of stannous octoate catalyst. Polymers with lower plateau moduli exhibit faster rates of relaxation. Reactions of model urethanes suggest that exchange occurs through the tin-mediated exchange of the urethanes that does not require free hydroxyl groups. Furthermore, samples were incapable of elevated-temperature dissolution in a low-polarity solvent (1,2,4-trichlorobenzene) but readily dissolved in a high-polarity aprotic solvent (DMSO, 24 to 48 h). These ﬁndings indicate that urethane linkages, which are straightforward to incorporate, impart dynamic character to polymer networks of diverse chemical composition, likely through a urethane reversion mechanism.","container-title":"The Journal of Physical Chemistry B","DOI":"10.1021/acs.jpcb.8b11489","ISSN":"1520-6106, 1520-5207","issue":"6","journalAbbreviation":"J. Phys. Chem. B","language":"en","page":"1432-1441","source":"DOI.org (Crossref)","title":"Mechanistic Study of Stress Relaxation in Urethane-Containing Polymer Networks","volume":"123","author":[{"family":"Brutman","given":"Jacob P."},{"family":"Fortman","given":"David J."},{"family":"De Hoe","given":"Guilhem X."},{"family":"Dichtel","given":"William R."},{"family":"Hillmyer","given":"Marc A."}],"issued":{"date-parts":[["2019",2,14]]}}},{"id":3233,"uris":["http://zotero.org/users/4903636/items/QVYNX8TL"],"itemData":{"id":3233,"type":"article-journal","abstract":"Vitrimers are polymer networks able to change their topology through degenerate exchange reactions. As a result, they behave like elastic solids when the topology of the network is frozen and like viscoelastic liquids at high temperatures. Controlling the dynamics of molecular exchange is essential to regulate the solid-to-liquid transition temperature in elastomeric vitrimers. In this study, such materials were prepared by the radical grafting of a bis-thiol dioxaborolane onto a low molar mass unentangled polybutadiene. All the resulting elastomeric vitrimers fully relax stress and are reprocessable and recyclable. Because of the low molar mass of the thermoplastic precursor, the low number of cross-links per chain, and the dynamics of the dioxaborolane exchange reaction, these vitrimers dissolve in tetrahydrofuran after prolonged immersion time at room temperature. Creep-recovery experiments at various temperatures show that both the viscosity and the viscosity activation energy of vitrimers can be controlled by manipulating the cross-linking density. This feature offers a new perspective on developing vitrimers with improved creep resistance at service temperatures and desirable flow properties at processing temperatures. In order to prepare reprocessable elastomers with improved creep resistance, we prepared dual networks that feature both dynamic and static cross-links. Even with fractions of static cross-links sufficient to form a percolated network, these dual networks are fully recyclable and exhibit strong adhesion with welding times as short as 2 min at 150 °C.","container-title":"Macromolecules","DOI":"10.1021/acs.macromol.9b01288","ISSN":"0024-9297","issue":"18","journalAbbreviation":"Macromolecules","note":"publisher: American Chemical Society","page":"7102-7113","source":"ACS Publications","title":"Polybutadiene Vitrimers Based on Dioxaborolane Chemistry and Dual Networks with Static and Dynamic Cross-links","volume":"52","author":[{"family":"Breuillac","given":"Antoine"},{"family":"Kassalias","given":"Alexis"},{"family":"Nicolaÿ","given":"Renaud"}],"issued":{"date-parts":[["2019",9,24]]}}},{"id":3228,"uris":["http://zotero.org/users/4903636/items/Y986XLLB"],"itemData":{"id":3228,"type":"article-journal","abstract":"In this research, we demonstrate effects of cross-link density on the bond-exchange property of trans-esterification-based vitrimers. In most of the past literature, the change of cross-link density is inevitably accompanied by the change of concentration of reactive groups, which disturbs extraction of pure effects of cross-link density. For pursuing fair comparison, the concentrations of free OH groups (i.e., the reactive group for trans-esterification) and catalysts are here kept the same among samples with different cross-link densities. This is achieved by using an amorphous low-Tg polyester possesing multiple COOH side groups (PE-COOH), di-epoxy compound (1,4-butanediol diglycidyl ether), and mono-epoxy compound (butyl glycidyl ether). The di-epoxy acts as a cross-linker agent that reacts with COOH groups in PE-COOH, while the mono-epoxy reacts but does not work as the cross-linker, and thus the cross-link density can be tuned by the fraction of the di-epoxy compound (fdi-epoxy) in the total epoxy compounds. Importantly, both epoxy compounds generate a free OH group in reacting with COOH, and thus the change of fdi-epoxy is not accompanied by the change of the free OH concentration in the system. Rheological measurements and tensile tests first reveal the systematic tuning of cross-link density depending on fdi-epoxy. We then investigate effects of the cross-link density on the stress-relaxation rate at high temperatures and activation energy (Ea) for the bond exchange, revealing an interesting phenomenon, that is, the fastest relaxation rate and the lowest Ea for the largest cross-link density sample. The results are discussed in terms of entropically driven acceleration of bond exchange for the perturbed network segments.","container-title":"Macromolecules","DOI":"10.1021/acs.macromol.9b01896","ISSN":"0024-9297","issue":"1","journalAbbreviation":"Macromolecules","note":"publisher: American Chemical Society","page":"182-189","source":"ACS Publications","title":"Fair Investigation of Cross-Link Density Effects on the Bond-Exchange Properties for Trans-Esterification-Based Vitrimers with Identical Concentrations of Reactive Groups","volume":"53","author":[{"family":"Hayashi","given":"Mikihiro"},{"family":"Yano","given":"Ryoto"}],"issued":{"date-parts":[["2020",1,14]]}}},{"id":3156,"uris":["http://zotero.org/users/4903636/items/VZWVTUKD"],"itemData":{"id":3156,"type":"article-journal","abstract":"A family of biobased polyimine elastomeric vitrimers was synthesized by reactions between di- and trifunctional polyetheramines and a furan-based dialdehyde. By varying the triamine to diamine ratio and the molar mass of the diamine, a set of cross-linked networks with similar chemical structures but diﬀerent cross-link densities was obtained. All these materials exhibit a vitrimeric behavior because of the dynamic nature of the imine bonds. This fundamental study clearly reveals that the crosslink density has a drastic eﬀect on the relaxation properties of the vitrimers. For instance, the relaxation times and the activation energies reduced when the cross-link density of the vitrimer networks decreased. This shows that the relaxation properties of vitrimers can be controlled by the sole modiﬁcation of the network physical properties without the introduction of a catalyst, a change in chemical structure, or the introduction of additional chemical groups. In addition, a fast dual relaxation process has been clearly evidenced during stress relaxation experiments, which could potentially lead to double relaxation modes based on supramolecular interactions. The selective solubility of these polyimine networks was also demonstrated, opening interesting possibilities for chemical recycling while still oﬀering robustness against aggressive conditions such as highly basic solutions. Finally, the dynamic properties and the high thermal stability of the designed polyimine networks provide an interesting reprocessability and tunable mechanical properties, showing the versatility of this sustainable family of vitrimer materials.","container-title":"Macromolecules","DOI":"10.1021/acs.macromol.0c00453","ISSN":"0024-9297, 1520-5835","issue":"10","journalAbbreviation":"Macromolecules","language":"en","page":"3796-3805","source":"DOI.org (Crossref)","title":"Network Design to Control Polyimine Vitrimer Properties: Physical Versus Chemical Approach","title-short":"Network Design to Control Polyimine Vitrimer Properties","volume":"53","author":[{"family":"Hajj","given":"Raymond"},{"family":"Duval","given":"Antoine"},{"family":"Dhers","given":"S</w:instrText>
      </w:r>
      <w:r w:rsidR="001C3F85" w:rsidRPr="00BD7731">
        <w:rPr>
          <w:rFonts w:hint="eastAsia"/>
          <w:bCs/>
        </w:rPr>
        <w:instrText>é</w:instrText>
      </w:r>
      <w:r w:rsidR="001C3F85" w:rsidRPr="00BD7731">
        <w:rPr>
          <w:bCs/>
        </w:rPr>
        <w:instrText xml:space="preserve">bastien"},{"family":"Avérous","given":"Luc"}],"issued":{"date-parts":[["2020",5,26]]}}}],"schema":"https://github.com/citation-style-language/schema/raw/master/csl-citation.json"} </w:instrText>
      </w:r>
      <w:r w:rsidRPr="00BD7731">
        <w:rPr>
          <w:bCs/>
        </w:rPr>
        <w:fldChar w:fldCharType="separate"/>
      </w:r>
      <w:r w:rsidR="001751B1" w:rsidRPr="00BD7731">
        <w:rPr>
          <w:vertAlign w:val="superscript"/>
        </w:rPr>
        <w:t>[27–33]</w:t>
      </w:r>
      <w:r w:rsidRPr="00BD7731">
        <w:rPr>
          <w:bCs/>
        </w:rPr>
        <w:fldChar w:fldCharType="end"/>
      </w:r>
      <w:r w:rsidRPr="00BD7731">
        <w:rPr>
          <w:bCs/>
        </w:rPr>
        <w:t xml:space="preserve"> This factor does not</w:t>
      </w:r>
      <w:r w:rsidRPr="00BD7731">
        <w:rPr>
          <w:rFonts w:asciiTheme="minorHAnsi" w:eastAsiaTheme="minorEastAsia" w:hAnsiTheme="minorHAnsi"/>
          <w:w w:val="108"/>
          <w:sz w:val="18"/>
          <w:szCs w:val="18"/>
          <w:lang w:eastAsia="en-US"/>
        </w:rPr>
        <w:t xml:space="preserve"> </w:t>
      </w:r>
      <w:r w:rsidRPr="00BD7731">
        <w:rPr>
          <w:bCs/>
        </w:rPr>
        <w:t xml:space="preserve">change the chemical components of the crosslinked polymer (structure of repeating unit and functional groups in the chain), and therefore it is expected to affect only the thermal behavior of the </w:t>
      </w:r>
      <w:proofErr w:type="spellStart"/>
      <w:r w:rsidRPr="00BD7731">
        <w:rPr>
          <w:bCs/>
        </w:rPr>
        <w:t>vitrimers</w:t>
      </w:r>
      <w:proofErr w:type="spellEnd"/>
      <w:r w:rsidRPr="00BD7731">
        <w:rPr>
          <w:bCs/>
        </w:rPr>
        <w:t xml:space="preserve">. </w:t>
      </w:r>
      <w:proofErr w:type="spellStart"/>
      <w:r w:rsidRPr="00BD7731">
        <w:rPr>
          <w:bCs/>
        </w:rPr>
        <w:t>Nicolaÿ</w:t>
      </w:r>
      <w:proofErr w:type="spellEnd"/>
      <w:r w:rsidRPr="00BD7731">
        <w:rPr>
          <w:bCs/>
        </w:rPr>
        <w:t xml:space="preserve"> reported a high crosslink density for </w:t>
      </w:r>
      <w:proofErr w:type="spellStart"/>
      <w:r w:rsidRPr="00BD7731">
        <w:rPr>
          <w:bCs/>
        </w:rPr>
        <w:t>boronate</w:t>
      </w:r>
      <w:proofErr w:type="spellEnd"/>
      <w:r w:rsidRPr="00BD7731">
        <w:rPr>
          <w:bCs/>
        </w:rPr>
        <w:t xml:space="preserve"> </w:t>
      </w:r>
      <w:proofErr w:type="spellStart"/>
      <w:r w:rsidRPr="00BD7731">
        <w:rPr>
          <w:bCs/>
        </w:rPr>
        <w:t>vitrimers</w:t>
      </w:r>
      <w:proofErr w:type="spellEnd"/>
      <w:r w:rsidR="008701B3" w:rsidRPr="00BD7731">
        <w:rPr>
          <w:bCs/>
        </w:rPr>
        <w:t>, which</w:t>
      </w:r>
      <w:r w:rsidRPr="00BD7731">
        <w:rPr>
          <w:bCs/>
        </w:rPr>
        <w:t xml:space="preserve"> resulted in slow stress relaxation.</w:t>
      </w:r>
      <w:r w:rsidRPr="00BD7731">
        <w:rPr>
          <w:bCs/>
        </w:rPr>
        <w:fldChar w:fldCharType="begin"/>
      </w:r>
      <w:r w:rsidR="001C3F85" w:rsidRPr="00BD7731">
        <w:rPr>
          <w:bCs/>
        </w:rPr>
        <w:instrText xml:space="preserve"> ADDIN ZOTERO_ITEM CSL_CITATION {"citationID":"ATXdtR9A","properties":{"formattedCitation":"\\super [31]\\nosupersub{}","plainCitation":"[31]","noteIndex":0},"citationItems":[{"id":3233,"uris":["http://zotero.org/users/4903636/items/QVYNX8TL"],"itemData":{"id":3233,"type":"article-journal","abstract":"Vitrimers are polymer networks able to change their topology through degenerate exchange reactions. As a result, they behave like elastic solids when the topology of the network is frozen and like viscoelastic liquids at high temperatures. Controlling the dynamics of molecular exchange is essential to regulate the solid-to-liquid transition temperature in elastomeric vitrimers. In this study, such materials were prepared by the radical grafting of a bis-thiol dioxaborolane onto a low molar mass unentangled polybutadiene. All the resulting elastomeric vitrimers fully relax stress and are reprocessable and recyclable. Because of the low molar mass of the thermoplastic precursor, the low number of cross-links per chain, and the dynamics of the dioxaborolane exchange reaction, these vitrimers dissolve in tetrahydrofuran after prolonged immersion time at room temperature. Creep-recovery experiments at various temperatures show that both the viscosity and the viscosity activation energy of vitrimers can be controlled by manipulating the cross-linking density. This feature offers a new perspective on developing vitrimers with improved creep resistance at service temperatures and desirable flow properties at processing temperatures. In order to prepare reprocessable elastomers with improved creep resistance, we prepared dual networks that feature both dynamic and static cross-links. Even with fractions of static cross-links sufficient to form a percolated network, these dual networks are fully recyclable and exhibit strong adhesion with welding times as short as 2 min at 150 °C.","container-title":"Macromolecules","DOI":"10.1021/acs.macromol.9b01288","ISSN":"0024-9297","issue":"18","journalAbbreviation":"Macromolecules","note":"publisher: American Chemical Society","page":"7102-7113","source":"ACS Publications","title":"Polybutadiene Vitrimers Based on Dioxaborolane Chemistry and Dual Networks with Static and Dynamic Cross-links","volume":"52","author":[{"family":"Breuillac","given":"Antoine"},{"family":"Kassalias","given":"Alexis"},{"family":"Nicolaÿ","given":"Renaud"}],"issued":{"date-parts":[["2019",9,24]]}}}],"schema":"https://github.com/citation-style-language/schema/raw/master/csl-citation.json"} </w:instrText>
      </w:r>
      <w:r w:rsidRPr="00BD7731">
        <w:rPr>
          <w:bCs/>
        </w:rPr>
        <w:fldChar w:fldCharType="separate"/>
      </w:r>
      <w:r w:rsidR="001751B1" w:rsidRPr="00BD7731">
        <w:rPr>
          <w:vertAlign w:val="superscript"/>
        </w:rPr>
        <w:t>[31]</w:t>
      </w:r>
      <w:r w:rsidRPr="00BD7731">
        <w:rPr>
          <w:bCs/>
        </w:rPr>
        <w:fldChar w:fldCharType="end"/>
      </w:r>
      <w:r w:rsidRPr="00BD7731">
        <w:rPr>
          <w:bCs/>
        </w:rPr>
        <w:t xml:space="preserve"> </w:t>
      </w:r>
      <w:proofErr w:type="spellStart"/>
      <w:r w:rsidRPr="00BD7731">
        <w:rPr>
          <w:bCs/>
        </w:rPr>
        <w:t>Avérous</w:t>
      </w:r>
      <w:proofErr w:type="spellEnd"/>
      <w:r w:rsidRPr="00BD7731">
        <w:rPr>
          <w:bCs/>
        </w:rPr>
        <w:t xml:space="preserve"> </w:t>
      </w:r>
      <w:r w:rsidR="008701B3" w:rsidRPr="00BD7731">
        <w:rPr>
          <w:bCs/>
        </w:rPr>
        <w:t>reported</w:t>
      </w:r>
      <w:r w:rsidRPr="00BD7731">
        <w:rPr>
          <w:bCs/>
        </w:rPr>
        <w:t xml:space="preserve"> a similar correlation for imine </w:t>
      </w:r>
      <w:proofErr w:type="spellStart"/>
      <w:r w:rsidRPr="00BD7731">
        <w:rPr>
          <w:bCs/>
        </w:rPr>
        <w:t>vitrimers</w:t>
      </w:r>
      <w:proofErr w:type="spellEnd"/>
      <w:r w:rsidRPr="00BD7731">
        <w:rPr>
          <w:bCs/>
        </w:rPr>
        <w:t xml:space="preserve">, while in more detail, they showed </w:t>
      </w:r>
      <w:r w:rsidR="008B2400" w:rsidRPr="00BD7731">
        <w:rPr>
          <w:bCs/>
        </w:rPr>
        <w:t xml:space="preserve">that </w:t>
      </w:r>
      <w:r w:rsidRPr="00BD7731">
        <w:rPr>
          <w:bCs/>
        </w:rPr>
        <w:t xml:space="preserve">the effect of crosslink density on the stress relaxation </w:t>
      </w:r>
      <w:r w:rsidR="008B2400" w:rsidRPr="00BD7731">
        <w:rPr>
          <w:bCs/>
        </w:rPr>
        <w:t>diminished</w:t>
      </w:r>
      <w:r w:rsidRPr="00BD7731">
        <w:rPr>
          <w:bCs/>
        </w:rPr>
        <w:t xml:space="preserve"> beyond a certain crosslink density.</w:t>
      </w:r>
      <w:r w:rsidRPr="00BD7731">
        <w:rPr>
          <w:bCs/>
        </w:rPr>
        <w:fldChar w:fldCharType="begin"/>
      </w:r>
      <w:r w:rsidR="001C3F85" w:rsidRPr="00BD7731">
        <w:rPr>
          <w:bCs/>
        </w:rPr>
        <w:instrText xml:space="preserve"> ADDIN ZOTERO_ITEM CSL_CITATION {"citationID":"NunSeWW4","properties":{"formattedCitation":"\\super [33]\\nosupersub{}","plainCitation":"[33]","noteIndex":0},"citationItems":[{"id":3156,"uris":["http://zotero.org/users/4903636/items/VZWVTUKD"],"itemData":{"id":3156,"type":"article-journal","abstract":"A family of biobased polyimine elastomeric vitrimers was synthesized by reactions between di- and trifunctional polyetheramines and a furan-based dialdehyde. By varying the triamine to diamine ratio and the molar mass of the diamine, a set of cross-linked networks with similar chemical structures but diﬀerent cross-link densities was obtained. All these materials exhibit a vitrimeric behavior because of the dynamic nature of the imine bonds. This fundamental study clearly reveals that the crosslink density has a drastic eﬀect on the relaxation properties of the vitrimers. For instance, the relaxation times and the activation energies reduced when the cross-link density of the vitrimer networks decreased. This shows that the relaxation properties of vitrimers can be controlled by the sole modiﬁcation of the network physical properties without the introduction of a catalyst, a change in chemical structure, or the introduction of additional chemical groups. In addition, a fast dual relaxation process has been clearly evidenced during stress relaxation experiments, which could potentially lead to double relaxation modes based on supramolecular interactions. The selective solubility of these polyimine networks was also demonstrated, opening interesting possibilities for chemical recycling while still oﬀering robustness against aggressive conditions such as highly basic solutions. Finally, the dynamic properties and the high thermal stability of the designed polyimine networks provide an interesting reprocessability and tunable mechanical properties, showing the versatility of this sustainable family of vitrimer materials.","container-title":"Macromolecules","DOI":"10.1021/acs.macromol.0c00453","ISSN":"0024-9297, 1520-5835","issue":"10","journalAbbreviation":"Macromolecules","language":"en","page":"3796-3805","source":"DOI.org (Crossref)","title":"Network Design to Control Polyimine Vitrimer Properties: Physical Versus Chemical Approach","title-short":"Network Design to Control Polyimine Vitrimer Properties","volume":"53","author":[{"family":"Hajj","given":"Raymond"},{"family":"Duval","given":"Antoine"},{"family":"Dhers","given":"Sébastien"},{"family":"Avérous","given":"Luc"}],"issued":{"date-parts":[["2020",5,26]]}}}],"schema":"https://github.com/citation-style-language/schema/raw/master/csl-citation.json"} </w:instrText>
      </w:r>
      <w:r w:rsidRPr="00BD7731">
        <w:rPr>
          <w:bCs/>
        </w:rPr>
        <w:fldChar w:fldCharType="separate"/>
      </w:r>
      <w:r w:rsidR="001751B1" w:rsidRPr="00BD7731">
        <w:rPr>
          <w:vertAlign w:val="superscript"/>
        </w:rPr>
        <w:t>[33]</w:t>
      </w:r>
      <w:r w:rsidRPr="00BD7731">
        <w:rPr>
          <w:bCs/>
        </w:rPr>
        <w:fldChar w:fldCharType="end"/>
      </w:r>
      <w:r w:rsidRPr="00BD7731">
        <w:rPr>
          <w:bCs/>
        </w:rPr>
        <w:t xml:space="preserve"> </w:t>
      </w:r>
      <w:r w:rsidR="008B2400" w:rsidRPr="00BD7731">
        <w:rPr>
          <w:bCs/>
        </w:rPr>
        <w:t>In contrast</w:t>
      </w:r>
      <w:r w:rsidRPr="00BD7731">
        <w:rPr>
          <w:bCs/>
        </w:rPr>
        <w:t xml:space="preserve">, Hayashi reported the opposite tendency, </w:t>
      </w:r>
      <w:r w:rsidR="008B2400" w:rsidRPr="00BD7731">
        <w:rPr>
          <w:bCs/>
        </w:rPr>
        <w:t>particularly</w:t>
      </w:r>
      <w:r w:rsidRPr="00BD7731">
        <w:rPr>
          <w:bCs/>
        </w:rPr>
        <w:t xml:space="preserve"> a high crosslink density for epoxy </w:t>
      </w:r>
      <w:proofErr w:type="spellStart"/>
      <w:r w:rsidRPr="00BD7731">
        <w:rPr>
          <w:bCs/>
        </w:rPr>
        <w:t>vitrimers</w:t>
      </w:r>
      <w:proofErr w:type="spellEnd"/>
      <w:r w:rsidRPr="00BD7731">
        <w:rPr>
          <w:bCs/>
        </w:rPr>
        <w:t xml:space="preserve"> well-designed for the study </w:t>
      </w:r>
      <w:r w:rsidR="008B2400" w:rsidRPr="00BD7731">
        <w:rPr>
          <w:bCs/>
        </w:rPr>
        <w:t>that results</w:t>
      </w:r>
      <w:r w:rsidRPr="00BD7731">
        <w:rPr>
          <w:bCs/>
        </w:rPr>
        <w:t xml:space="preserve"> in fast stress relaxation.</w:t>
      </w:r>
      <w:r w:rsidRPr="00BD7731">
        <w:rPr>
          <w:bCs/>
        </w:rPr>
        <w:fldChar w:fldCharType="begin"/>
      </w:r>
      <w:r w:rsidR="001C3F85" w:rsidRPr="00BD7731">
        <w:rPr>
          <w:bCs/>
        </w:rPr>
        <w:instrText xml:space="preserve"> ADDIN ZOTERO_ITEM CSL_CITATION {"citationID":"S2fVkMoB","properties":{"formattedCitation":"\\super [32]\\nosupersub{}","plainCitation":"[32]","noteIndex":0},"citationItems":[{"id":3228,"uris":["http://zotero.org/users/4903636/items/Y986XLLB"],"itemData":{"id":3228,"type":"article-journal","abstract":"In this research, we demonstrate effects of cross-link density on the bond-exchange property of trans-esterification-based vitrimers. In most of the past literature, the change of cross-link density is inevitably accompanied by the change of concentration of reactive groups, which disturbs extraction of pure effects of cross-link density. For pursuing fair comparison, the concentrations of free OH groups (i.e., the reactive group for trans-esterification) and catalysts are here kept the same among samples with different cross-link densities. This is achieved by using an amorphous low-Tg polyester possesing multiple COOH side groups (PE-COOH), di-epoxy compound (1,4-butanediol diglycidyl ether), and mono-epoxy compound (butyl glycidyl ether). The di-epoxy acts as a cross-linker agent that reacts with COOH groups in PE-COOH, while the mono-epoxy reacts but does not work as the cross-linker, and thus the cross-link density can be tuned by the fraction of the di-epoxy compound (fdi-epoxy) in the total epoxy compounds. Importantly, both epoxy compounds generate a free OH group in reacting with COOH, and thus the change of fdi-epoxy is not accompanied by the change of the free OH concentration in the system. Rheological measurements and tensile tests first reveal the systematic tuning of cross-link density depending on fdi-epoxy. We then investigate effects of the cross-link density on the stress-relaxation rate at high temperatures and activation energy (Ea) for the bond exchange, revealing an interesting phenomenon, that is, the fastest relaxation rate and the lowest Ea for the largest cross-link density sample. The results are discussed in terms of entropically driven acceleration of bond exchange for the perturbed network segments.","container-title":"Macromolecules","DOI":"10.1021/acs.macromol.9b01896","ISSN":"0024-9297","issue":"1","journalAbbreviation":"Macromolecules","note":"publisher: American Chemical Society","page":"182-189","source":"ACS Publications","title":"Fair Investigation of Cross-Link Density Effects on the Bond-Exchange Properties for Trans-Esterification-Based Vitrimers with Identical Concentrations of Reactive Groups","volume":"53","author":[{"family":"Hayashi","given":"Mikihiro"},{"family":"Yano","given":"Ryoto"}],"issued":{"date-parts":[["2020",1,14]]}}}],"schema":"https://github.com/citation-style-language/schema/raw/master/csl-citation.json"} </w:instrText>
      </w:r>
      <w:r w:rsidRPr="00BD7731">
        <w:rPr>
          <w:bCs/>
        </w:rPr>
        <w:fldChar w:fldCharType="separate"/>
      </w:r>
      <w:r w:rsidR="001751B1" w:rsidRPr="00BD7731">
        <w:rPr>
          <w:vertAlign w:val="superscript"/>
        </w:rPr>
        <w:t>[32]</w:t>
      </w:r>
      <w:r w:rsidRPr="00BD7731">
        <w:rPr>
          <w:bCs/>
        </w:rPr>
        <w:fldChar w:fldCharType="end"/>
      </w:r>
      <w:r w:rsidRPr="00BD7731">
        <w:rPr>
          <w:bCs/>
        </w:rPr>
        <w:t xml:space="preserve"> Although </w:t>
      </w:r>
      <w:r w:rsidR="00AC3DB5" w:rsidRPr="00BD7731">
        <w:rPr>
          <w:bCs/>
        </w:rPr>
        <w:t xml:space="preserve">we have </w:t>
      </w:r>
      <w:r w:rsidRPr="00BD7731">
        <w:rPr>
          <w:bCs/>
        </w:rPr>
        <w:t xml:space="preserve">to consider the difference in the main chain chemical structure and the functional group, </w:t>
      </w:r>
      <w:r w:rsidR="00AC3DB5" w:rsidRPr="00BD7731">
        <w:rPr>
          <w:bCs/>
        </w:rPr>
        <w:t xml:space="preserve">further investigations should be necessary for </w:t>
      </w:r>
      <w:r w:rsidRPr="00BD7731">
        <w:rPr>
          <w:bCs/>
        </w:rPr>
        <w:t>the conclusion.</w:t>
      </w:r>
    </w:p>
    <w:p w14:paraId="6FC4FAA6" w14:textId="2F06D1E6" w:rsidR="00BB7D6A" w:rsidRPr="00BD7731" w:rsidRDefault="00BB7D6A" w:rsidP="00BB7D6A">
      <w:pPr>
        <w:spacing w:line="360" w:lineRule="auto"/>
        <w:ind w:firstLineChars="100" w:firstLine="240"/>
        <w:jc w:val="both"/>
        <w:rPr>
          <w:bCs/>
        </w:rPr>
      </w:pPr>
      <w:r w:rsidRPr="00BD7731">
        <w:rPr>
          <w:bCs/>
        </w:rPr>
        <w:t xml:space="preserve">The network architecture of crosslink polymer is definitively dependent on the structure of the precursor polymers, </w:t>
      </w:r>
      <w:r w:rsidR="008B2400" w:rsidRPr="00BD7731">
        <w:rPr>
          <w:bCs/>
        </w:rPr>
        <w:t>in particular</w:t>
      </w:r>
      <w:r w:rsidRPr="00BD7731">
        <w:rPr>
          <w:bCs/>
        </w:rPr>
        <w:t xml:space="preserve"> the positions of </w:t>
      </w:r>
      <w:r w:rsidR="008B2400" w:rsidRPr="00BD7731">
        <w:rPr>
          <w:bCs/>
        </w:rPr>
        <w:t xml:space="preserve">the </w:t>
      </w:r>
      <w:r w:rsidRPr="00BD7731">
        <w:rPr>
          <w:bCs/>
        </w:rPr>
        <w:t xml:space="preserve">reactive groups. Generally, readily available polymers with </w:t>
      </w:r>
      <w:r w:rsidR="006140B2" w:rsidRPr="00BD7731">
        <w:rPr>
          <w:bCs/>
        </w:rPr>
        <w:t xml:space="preserve">a </w:t>
      </w:r>
      <w:r w:rsidRPr="00BD7731">
        <w:rPr>
          <w:bCs/>
        </w:rPr>
        <w:t xml:space="preserve">different arrangement of </w:t>
      </w:r>
      <w:r w:rsidR="006140B2" w:rsidRPr="00BD7731">
        <w:rPr>
          <w:bCs/>
        </w:rPr>
        <w:t xml:space="preserve">the </w:t>
      </w:r>
      <w:r w:rsidRPr="00BD7731">
        <w:rPr>
          <w:bCs/>
        </w:rPr>
        <w:t>reactive group are limited</w:t>
      </w:r>
      <w:r w:rsidR="006140B2" w:rsidRPr="00BD7731">
        <w:rPr>
          <w:bCs/>
        </w:rPr>
        <w:t>.</w:t>
      </w:r>
      <w:r w:rsidRPr="00BD7731">
        <w:rPr>
          <w:bCs/>
        </w:rPr>
        <w:t xml:space="preserve"> </w:t>
      </w:r>
      <w:r w:rsidR="006140B2" w:rsidRPr="00BD7731">
        <w:rPr>
          <w:bCs/>
        </w:rPr>
        <w:t>A</w:t>
      </w:r>
      <w:r w:rsidRPr="00BD7731">
        <w:rPr>
          <w:bCs/>
        </w:rPr>
        <w:t xml:space="preserve"> common copolymer </w:t>
      </w:r>
      <w:r w:rsidR="006140B2" w:rsidRPr="00BD7731">
        <w:rPr>
          <w:bCs/>
        </w:rPr>
        <w:t>with</w:t>
      </w:r>
      <w:r w:rsidRPr="00BD7731">
        <w:rPr>
          <w:bCs/>
        </w:rPr>
        <w:t xml:space="preserve"> </w:t>
      </w:r>
      <w:r w:rsidR="006140B2" w:rsidRPr="00BD7731">
        <w:rPr>
          <w:bCs/>
        </w:rPr>
        <w:t xml:space="preserve">the </w:t>
      </w:r>
      <w:r w:rsidRPr="00BD7731">
        <w:rPr>
          <w:bCs/>
        </w:rPr>
        <w:t xml:space="preserve">reactive groups </w:t>
      </w:r>
      <w:r w:rsidR="006140B2" w:rsidRPr="00BD7731">
        <w:rPr>
          <w:bCs/>
        </w:rPr>
        <w:t>at</w:t>
      </w:r>
      <w:r w:rsidRPr="00BD7731">
        <w:rPr>
          <w:bCs/>
        </w:rPr>
        <w:t xml:space="preserve"> random </w:t>
      </w:r>
      <w:r w:rsidR="006140B2" w:rsidRPr="00BD7731">
        <w:rPr>
          <w:bCs/>
        </w:rPr>
        <w:t>positions</w:t>
      </w:r>
      <w:r w:rsidRPr="00BD7731">
        <w:rPr>
          <w:bCs/>
        </w:rPr>
        <w:t xml:space="preserve"> in the chain (</w:t>
      </w:r>
      <w:r w:rsidRPr="00BD7731">
        <w:rPr>
          <w:bCs/>
          <w:i/>
          <w:iCs/>
        </w:rPr>
        <w:t>random copolymer</w:t>
      </w:r>
      <w:r w:rsidRPr="00BD7731">
        <w:rPr>
          <w:bCs/>
        </w:rPr>
        <w:t xml:space="preserve">) and a </w:t>
      </w:r>
      <w:proofErr w:type="spellStart"/>
      <w:r w:rsidRPr="00BD7731">
        <w:rPr>
          <w:bCs/>
          <w:i/>
          <w:iCs/>
        </w:rPr>
        <w:t>telechelic</w:t>
      </w:r>
      <w:proofErr w:type="spellEnd"/>
      <w:r w:rsidRPr="00BD7731">
        <w:rPr>
          <w:bCs/>
          <w:i/>
          <w:iCs/>
        </w:rPr>
        <w:t xml:space="preserve"> polymer</w:t>
      </w:r>
      <w:r w:rsidRPr="00BD7731">
        <w:rPr>
          <w:bCs/>
        </w:rPr>
        <w:t xml:space="preserve"> </w:t>
      </w:r>
      <w:r w:rsidR="006140B2" w:rsidRPr="00BD7731">
        <w:rPr>
          <w:bCs/>
        </w:rPr>
        <w:t>with</w:t>
      </w:r>
      <w:r w:rsidRPr="00BD7731">
        <w:rPr>
          <w:bCs/>
        </w:rPr>
        <w:t xml:space="preserve"> the reactive </w:t>
      </w:r>
      <w:r w:rsidR="006140B2" w:rsidRPr="00BD7731">
        <w:rPr>
          <w:bCs/>
        </w:rPr>
        <w:t>groups</w:t>
      </w:r>
      <w:r w:rsidRPr="00BD7731">
        <w:rPr>
          <w:bCs/>
        </w:rPr>
        <w:t xml:space="preserve"> only at the chain ends should be the first choice as the starting material of </w:t>
      </w:r>
      <w:r w:rsidR="006140B2" w:rsidRPr="00BD7731">
        <w:rPr>
          <w:bCs/>
        </w:rPr>
        <w:t xml:space="preserve">the </w:t>
      </w:r>
      <w:r w:rsidRPr="00BD7731">
        <w:rPr>
          <w:bCs/>
        </w:rPr>
        <w:t xml:space="preserve">crosslinked polymers. Although </w:t>
      </w:r>
      <w:r w:rsidR="006140B2" w:rsidRPr="00BD7731">
        <w:rPr>
          <w:bCs/>
        </w:rPr>
        <w:t xml:space="preserve">the synthesis of </w:t>
      </w:r>
      <w:proofErr w:type="spellStart"/>
      <w:r w:rsidR="006140B2" w:rsidRPr="00BD7731">
        <w:rPr>
          <w:bCs/>
        </w:rPr>
        <w:t>vitrimers</w:t>
      </w:r>
      <w:proofErr w:type="spellEnd"/>
      <w:r w:rsidR="006140B2" w:rsidRPr="00BD7731">
        <w:rPr>
          <w:bCs/>
        </w:rPr>
        <w:t xml:space="preserve"> from </w:t>
      </w:r>
      <w:proofErr w:type="spellStart"/>
      <w:r w:rsidR="006140B2" w:rsidRPr="00BD7731">
        <w:rPr>
          <w:bCs/>
        </w:rPr>
        <w:t>telechelic</w:t>
      </w:r>
      <w:proofErr w:type="spellEnd"/>
      <w:r w:rsidR="006140B2" w:rsidRPr="00BD7731">
        <w:rPr>
          <w:bCs/>
        </w:rPr>
        <w:t xml:space="preserve"> polymers has been reported in previous studies</w:t>
      </w:r>
      <w:r w:rsidRPr="00BD7731">
        <w:rPr>
          <w:bCs/>
        </w:rPr>
        <w:t>,</w:t>
      </w:r>
      <w:r w:rsidRPr="00BD7731">
        <w:rPr>
          <w:bCs/>
        </w:rPr>
        <w:fldChar w:fldCharType="begin"/>
      </w:r>
      <w:r w:rsidR="001C3F85" w:rsidRPr="00BD7731">
        <w:rPr>
          <w:bCs/>
        </w:rPr>
        <w:instrText xml:space="preserve"> ADDIN ZOTERO_ITEM CSL_CITATION {"citationID":"5c2hFsQG","properties":{"formattedCitation":"\\super [34,35]\\nosupersub{}","plainCitation":"[34,35]","noteIndex":0},"citationItems":[{"id":1685,"uris":["http://zotero.org/users/4903636/items/BDAEB7HG"],"itemData":{"id":1685,"type":"article-journal","abstract":"Vitrimers are an emerging new class of permanently cross-linked polymeric materials that show a liquid behavior upon heating wherein the macroscopic deformation is controlled by the rate of internal chemical bond exchange reactions. Thus, quite uniquely among polymeric materials, ﬂow rates and material viscosities can be enhanced or controlled by the addition of catalysts and additives. We now report a catalyst-free vitrimer system, prepared from mixing two simple components, wherein two competing bond exchange mechanisms coexist, each showing a strikingly diﬀerent temperature dependence, related to the large diﬀerence in activation energy for the diﬀerent exchange pathways (60 vs 130−170 kJ/mol). The low barrier process is predominant at lower temperatures, but is outcompeted by the high barrier process that becomes dominant at higher temperatures because of its much more pronounced temperature dependence. The result is an interesting and highly unusual dual viscosity proﬁle for this new class of vitrimer materials: a very gradual decrease in viscosity at lower temperatures, intercepted by a much sharper drop in viscosity at higher temperatures. The highly counterintuitive eﬀect where a higher barrier pathway is dominant over a much lower barrier process can be rationalized by the exchange mechanisms that involve diﬀerent reactive species, but lead to the overall same exchange. We observed this unusual but highly promising behavior ﬁrst for ﬂuorinated vitrimer elastomers, aimed at high performance materials, but the eﬀect was also shown to hold in related nonﬂuorinated elastomers. A new way to control and design the rheological behavior of vitrimers toward ﬁnely tuned and precisely controlled processing applications has thus been provided.","container-title":"Journal of the American Chemical Society","DOI":"10.1021/jacs.8b07094","ISSN":"0002-7863, 1520-5126","issue":"41","language":"en","page":"13272-13284","source":"DOI.org (Crossref)","title":"Fluorinated Vitrimer Elastomers with a Dual Temperature Response","volume":"140","author":[{"family":"Guerre","given":"Marc"},{"family":"Taplan","given":"Christian"},{"family":"Nicolaÿ","given":"Renaud"},{"family":"Winne","given":"Johan M."},{"family":"Du Prez","given":"Filip E."}],"issued":{"date-parts":[["2018",10,17]]}}},{"id":5115,"uris":["http://zotero.org/users/4903636/items/ESENKRN6"],"itemData":{"id":5115,"type":"article-journal","abstract":"Vitrimers, an emerging field of research, in which still many fundamental aspects of material design remain to be explored. Here, we systematically explore the effect of the choice of the matrix on a dynamic exchange reaction in a polymer network.\n          , \n            \n              Vitrimer materials are a rapidly growing field of research, in which still many fundamental aspects of material design remain to be explored. In this study, we report a systematic study about the effect of the choice of the matrix on a dynamic covalent bond exchange reaction in a polymer network. In some way, this investigation follows the logic of a ‘solvent effect’ study that is typical for the development of an organic reaction or synthetic method in solution. Thus, this work constitutes a study of matrix effects on the viscoelastic properties of vitrimers, in particular with regard to their stress-relaxation behaviour. For that purpose, the dynamic transamination within vinylogous urethanes (VU) vitrimers, derived from a wide range of different commercially available diols, was chosen as vitrimer chemistry reaction platform. Additionally, the influence of the molecular weight, and thus the cross-link density, was also investigated using two oligomeric diols of different molecular weights. It was found that changing the molecular weight resulted in vitrimers with significantly different activation energies (from 68 to 149 kJ mol\n              −1\n              ) and relaxation times (from 7 to 230 min at 140 °C). These remarkable results suggest that both the molecular weight and the nature of the polymer matrix have a large influence on the resulting viscoelastic properties. However, no straightforward prediction of relaxation times or activation energies is possible at this stage, and it becomes clear that many more structure–reactivity studies will be required to arrive at a more general understanding of the factors that underly vitrimer properties.","container-title":"Polymer Chemistry","DOI":"10.1039/D0PY00114G","ISSN":"1759-9954, 1759-9962","issue":"33","journalAbbreviation":"Polym. Chem.","language":"en","page":"5377-5385","source":"DOI.org (Crossref)","title":"Influence of the polymer matrix on the viscoelastic behaviour of vitrimers","volume":"11","author":[{"family":"Spiesschaert","given":"Yann"},{"family":"Taplan","given":"Christian"},{"family":"Stricker","given":"Lucas"},{"family":"Guerre","given":"Marc"},{"family":"Winne","given":"Johan M."},{"family":"Du Prez","given":"Filip E."}],"issued":{"date-parts":[["2020"]]}}}],"schema":"https://github.com/citation-style-language/schema/raw/master/csl-citation.json"} </w:instrText>
      </w:r>
      <w:r w:rsidRPr="00BD7731">
        <w:rPr>
          <w:bCs/>
        </w:rPr>
        <w:fldChar w:fldCharType="separate"/>
      </w:r>
      <w:r w:rsidR="001751B1" w:rsidRPr="00BD7731">
        <w:rPr>
          <w:vertAlign w:val="superscript"/>
        </w:rPr>
        <w:t>[34,35]</w:t>
      </w:r>
      <w:r w:rsidRPr="00BD7731">
        <w:rPr>
          <w:bCs/>
        </w:rPr>
        <w:fldChar w:fldCharType="end"/>
      </w:r>
      <w:r w:rsidRPr="00BD7731">
        <w:rPr>
          <w:bCs/>
        </w:rPr>
        <w:t xml:space="preserve"> its effect on the viscoelasticity of the resulting </w:t>
      </w:r>
      <w:proofErr w:type="spellStart"/>
      <w:r w:rsidRPr="00BD7731">
        <w:rPr>
          <w:bCs/>
        </w:rPr>
        <w:t>vitrimer</w:t>
      </w:r>
      <w:proofErr w:type="spellEnd"/>
      <w:r w:rsidRPr="00BD7731">
        <w:rPr>
          <w:bCs/>
        </w:rPr>
        <w:t xml:space="preserve"> has not been clarified. Thus, </w:t>
      </w:r>
      <w:r w:rsidR="008B2400" w:rsidRPr="00BD7731">
        <w:rPr>
          <w:bCs/>
        </w:rPr>
        <w:t>clarifying</w:t>
      </w:r>
      <w:r w:rsidRPr="00BD7731">
        <w:rPr>
          <w:bCs/>
        </w:rPr>
        <w:t xml:space="preserve"> the effect of </w:t>
      </w:r>
      <w:proofErr w:type="spellStart"/>
      <w:r w:rsidRPr="00BD7731">
        <w:rPr>
          <w:bCs/>
        </w:rPr>
        <w:t>telechelic</w:t>
      </w:r>
      <w:proofErr w:type="spellEnd"/>
      <w:r w:rsidRPr="00BD7731">
        <w:rPr>
          <w:bCs/>
        </w:rPr>
        <w:t xml:space="preserve"> or random (co)polymers as the precursor gives helpful information for the option of the precursor polymer, design, and technique to achieve </w:t>
      </w:r>
      <w:proofErr w:type="spellStart"/>
      <w:r w:rsidRPr="00BD7731">
        <w:rPr>
          <w:bCs/>
        </w:rPr>
        <w:t>vitrimers</w:t>
      </w:r>
      <w:proofErr w:type="spellEnd"/>
      <w:r w:rsidRPr="00BD7731">
        <w:rPr>
          <w:bCs/>
        </w:rPr>
        <w:t xml:space="preserve"> with tailor-made properties.</w:t>
      </w:r>
    </w:p>
    <w:p w14:paraId="38357BFD" w14:textId="6A2DBFB3" w:rsidR="00BB7D6A" w:rsidRPr="00BD7731" w:rsidRDefault="00BB7D6A" w:rsidP="00BB7D6A">
      <w:pPr>
        <w:spacing w:line="360" w:lineRule="auto"/>
        <w:ind w:firstLineChars="100" w:firstLine="240"/>
        <w:jc w:val="both"/>
        <w:rPr>
          <w:bCs/>
        </w:rPr>
      </w:pPr>
      <w:r w:rsidRPr="00BD7731">
        <w:rPr>
          <w:bCs/>
        </w:rPr>
        <w:t xml:space="preserve">In this study, to focus on the difference </w:t>
      </w:r>
      <w:r w:rsidR="00567B82" w:rsidRPr="00BD7731">
        <w:rPr>
          <w:bCs/>
        </w:rPr>
        <w:t>in</w:t>
      </w:r>
      <w:r w:rsidRPr="00BD7731">
        <w:rPr>
          <w:bCs/>
        </w:rPr>
        <w:t xml:space="preserve"> the arrangement of reactive group, </w:t>
      </w:r>
      <w:r w:rsidR="006140B2" w:rsidRPr="00BD7731">
        <w:rPr>
          <w:bCs/>
        </w:rPr>
        <w:t>more specifically</w:t>
      </w:r>
      <w:r w:rsidRPr="00BD7731">
        <w:rPr>
          <w:bCs/>
        </w:rPr>
        <w:t xml:space="preserve"> at the chain ends or a random position, we </w:t>
      </w:r>
      <w:r w:rsidR="006140B2" w:rsidRPr="00BD7731">
        <w:rPr>
          <w:bCs/>
        </w:rPr>
        <w:t>investigated</w:t>
      </w:r>
      <w:r w:rsidRPr="00BD7731">
        <w:rPr>
          <w:bCs/>
        </w:rPr>
        <w:t xml:space="preserve"> the effect of the precursor polymer structure by employing </w:t>
      </w:r>
      <w:proofErr w:type="spellStart"/>
      <w:r w:rsidRPr="00BD7731">
        <w:rPr>
          <w:bCs/>
        </w:rPr>
        <w:t>telechelic</w:t>
      </w:r>
      <w:proofErr w:type="spellEnd"/>
      <w:r w:rsidRPr="00BD7731">
        <w:rPr>
          <w:bCs/>
        </w:rPr>
        <w:t xml:space="preserve"> polymer and a random copolymer </w:t>
      </w:r>
      <w:r w:rsidR="006140B2" w:rsidRPr="00BD7731">
        <w:rPr>
          <w:bCs/>
        </w:rPr>
        <w:t>with</w:t>
      </w:r>
      <w:r w:rsidRPr="00BD7731">
        <w:rPr>
          <w:bCs/>
        </w:rPr>
        <w:t xml:space="preserve"> </w:t>
      </w:r>
      <w:r w:rsidR="006140B2" w:rsidRPr="00BD7731">
        <w:rPr>
          <w:bCs/>
        </w:rPr>
        <w:t>similar</w:t>
      </w:r>
      <w:r w:rsidRPr="00BD7731">
        <w:rPr>
          <w:bCs/>
        </w:rPr>
        <w:t xml:space="preserve"> chain length and number of reactive </w:t>
      </w:r>
      <w:r w:rsidR="006140B2" w:rsidRPr="00BD7731">
        <w:rPr>
          <w:bCs/>
        </w:rPr>
        <w:t>groups</w:t>
      </w:r>
      <w:r w:rsidRPr="00BD7731">
        <w:rPr>
          <w:bCs/>
        </w:rPr>
        <w:t xml:space="preserve"> (2) to avoid the other factors affecting the network architecture. Such precursor polymers with well-defined structures are available via a controlled polymerization technique. The viscoelastic properties of the </w:t>
      </w:r>
      <w:proofErr w:type="spellStart"/>
      <w:r w:rsidRPr="00BD7731">
        <w:rPr>
          <w:bCs/>
        </w:rPr>
        <w:t>vitrimer</w:t>
      </w:r>
      <w:proofErr w:type="spellEnd"/>
      <w:r w:rsidRPr="00BD7731">
        <w:rPr>
          <w:bCs/>
        </w:rPr>
        <w:t xml:space="preserve"> from these precursors were significantly different at </w:t>
      </w:r>
      <w:r w:rsidR="00567B82" w:rsidRPr="00BD7731">
        <w:rPr>
          <w:bCs/>
        </w:rPr>
        <w:t xml:space="preserve">the </w:t>
      </w:r>
      <w:r w:rsidRPr="00BD7731">
        <w:rPr>
          <w:bCs/>
        </w:rPr>
        <w:t xml:space="preserve">high temperature at which the bond exchange reaction </w:t>
      </w:r>
      <w:r w:rsidR="00567B82" w:rsidRPr="00BD7731">
        <w:rPr>
          <w:bCs/>
        </w:rPr>
        <w:t>was</w:t>
      </w:r>
      <w:r w:rsidRPr="00BD7731">
        <w:rPr>
          <w:bCs/>
        </w:rPr>
        <w:t xml:space="preserve"> activated. The </w:t>
      </w:r>
      <w:proofErr w:type="spellStart"/>
      <w:r w:rsidRPr="00BD7731">
        <w:rPr>
          <w:bCs/>
        </w:rPr>
        <w:t>vitrimers</w:t>
      </w:r>
      <w:proofErr w:type="spellEnd"/>
      <w:r w:rsidRPr="00BD7731">
        <w:rPr>
          <w:bCs/>
        </w:rPr>
        <w:t xml:space="preserve"> from </w:t>
      </w:r>
      <w:proofErr w:type="spellStart"/>
      <w:r w:rsidRPr="00BD7731">
        <w:rPr>
          <w:bCs/>
        </w:rPr>
        <w:t>telechelic</w:t>
      </w:r>
      <w:proofErr w:type="spellEnd"/>
      <w:r w:rsidRPr="00BD7731">
        <w:rPr>
          <w:bCs/>
        </w:rPr>
        <w:t xml:space="preserve"> polymer showed </w:t>
      </w:r>
      <w:r w:rsidR="00567B82" w:rsidRPr="00BD7731">
        <w:rPr>
          <w:bCs/>
        </w:rPr>
        <w:t xml:space="preserve">a </w:t>
      </w:r>
      <w:r w:rsidRPr="00BD7731">
        <w:rPr>
          <w:bCs/>
        </w:rPr>
        <w:t xml:space="preserve">much larger decrease </w:t>
      </w:r>
      <w:r w:rsidR="00567B82" w:rsidRPr="00BD7731">
        <w:rPr>
          <w:bCs/>
        </w:rPr>
        <w:t>in</w:t>
      </w:r>
      <w:r w:rsidRPr="00BD7731">
        <w:rPr>
          <w:bCs/>
        </w:rPr>
        <w:t xml:space="preserve"> </w:t>
      </w:r>
      <w:r w:rsidR="00567B82" w:rsidRPr="00BD7731">
        <w:rPr>
          <w:bCs/>
        </w:rPr>
        <w:t xml:space="preserve">the </w:t>
      </w:r>
      <w:r w:rsidRPr="00BD7731">
        <w:rPr>
          <w:bCs/>
        </w:rPr>
        <w:t xml:space="preserve">elastic modulus, highly fluid-like </w:t>
      </w:r>
      <w:proofErr w:type="gramStart"/>
      <w:r w:rsidRPr="00BD7731">
        <w:rPr>
          <w:bCs/>
        </w:rPr>
        <w:t>behavior</w:t>
      </w:r>
      <w:proofErr w:type="gramEnd"/>
      <w:r w:rsidR="0047209C" w:rsidRPr="00BD7731">
        <w:rPr>
          <w:bCs/>
        </w:rPr>
        <w:t xml:space="preserve"> and</w:t>
      </w:r>
      <w:r w:rsidR="00567B82" w:rsidRPr="00BD7731">
        <w:rPr>
          <w:bCs/>
        </w:rPr>
        <w:t xml:space="preserve"> </w:t>
      </w:r>
      <w:r w:rsidRPr="00BD7731">
        <w:rPr>
          <w:bCs/>
        </w:rPr>
        <w:t xml:space="preserve">faster stress relaxation </w:t>
      </w:r>
      <w:r w:rsidR="00567B82" w:rsidRPr="00BD7731">
        <w:rPr>
          <w:bCs/>
        </w:rPr>
        <w:t>than</w:t>
      </w:r>
      <w:r w:rsidRPr="00BD7731">
        <w:rPr>
          <w:bCs/>
        </w:rPr>
        <w:t xml:space="preserve"> those from random copolymers.</w:t>
      </w:r>
    </w:p>
    <w:p w14:paraId="6549F4AE" w14:textId="77777777" w:rsidR="00C23B8E" w:rsidRPr="00BD7731" w:rsidRDefault="00C23B8E" w:rsidP="008C6D5F">
      <w:pPr>
        <w:spacing w:line="360" w:lineRule="auto"/>
        <w:rPr>
          <w:b/>
        </w:rPr>
      </w:pPr>
    </w:p>
    <w:p w14:paraId="3DE9B279" w14:textId="0E15A4E7" w:rsidR="00553E0B" w:rsidRPr="00BD7731" w:rsidRDefault="001751B1" w:rsidP="00553E0B">
      <w:pPr>
        <w:pStyle w:val="Head1"/>
      </w:pPr>
      <w:r w:rsidRPr="00BD7731">
        <w:t>2</w:t>
      </w:r>
      <w:r w:rsidR="00553E0B" w:rsidRPr="00BD7731">
        <w:t>. Results</w:t>
      </w:r>
    </w:p>
    <w:p w14:paraId="5140E3E8" w14:textId="78201795" w:rsidR="0047209C" w:rsidRPr="00BD7731" w:rsidRDefault="00553E0B" w:rsidP="00F4646B">
      <w:pPr>
        <w:pStyle w:val="MainText"/>
        <w:spacing w:line="360" w:lineRule="auto"/>
        <w:ind w:firstLineChars="150" w:firstLine="360"/>
        <w:jc w:val="both"/>
      </w:pPr>
      <w:r w:rsidRPr="00BD7731">
        <w:t xml:space="preserve">One of the crosslinked polymer networks, designated as </w:t>
      </w:r>
      <w:proofErr w:type="spellStart"/>
      <w:r w:rsidRPr="00BD7731">
        <w:rPr>
          <w:b/>
          <w:bCs/>
        </w:rPr>
        <w:t>TN</w:t>
      </w:r>
      <w:r w:rsidRPr="00BD7731">
        <w:rPr>
          <w:i/>
          <w:iCs/>
          <w:vertAlign w:val="subscript"/>
        </w:rPr>
        <w:t>n</w:t>
      </w:r>
      <w:proofErr w:type="spellEnd"/>
      <w:r w:rsidRPr="00BD7731">
        <w:t xml:space="preserve"> (where </w:t>
      </w:r>
      <w:r w:rsidRPr="00BD7731">
        <w:rPr>
          <w:i/>
          <w:iCs/>
        </w:rPr>
        <w:t>n</w:t>
      </w:r>
      <w:r w:rsidRPr="00BD7731">
        <w:t xml:space="preserve"> indicates the molecular weight of the precursor polymer), was prepared from </w:t>
      </w:r>
      <w:proofErr w:type="spellStart"/>
      <w:r w:rsidRPr="00BD7731">
        <w:t>telechelic</w:t>
      </w:r>
      <w:proofErr w:type="spellEnd"/>
      <w:r w:rsidRPr="00BD7731">
        <w:t xml:space="preserve"> polymers </w:t>
      </w:r>
      <w:r w:rsidR="005F5DE0" w:rsidRPr="00BD7731">
        <w:t>with</w:t>
      </w:r>
      <w:r w:rsidRPr="00BD7731">
        <w:t xml:space="preserve"> reactive groups for crosslinking only at both chain ends (</w:t>
      </w:r>
      <w:r w:rsidRPr="00BD7731">
        <w:rPr>
          <w:b/>
          <w:bCs/>
        </w:rPr>
        <w:t>Figure 1</w:t>
      </w:r>
      <w:r w:rsidRPr="00BD7731">
        <w:t>), with narrow molecular weight distribution (</w:t>
      </w:r>
      <w:r w:rsidRPr="00BD7731">
        <w:rPr>
          <w:i/>
          <w:iCs/>
        </w:rPr>
        <w:t>Ð</w:t>
      </w:r>
      <w:r w:rsidRPr="00BD7731">
        <w:t xml:space="preserve">). The other crosslinked polymer network, designated as </w:t>
      </w:r>
      <w:proofErr w:type="spellStart"/>
      <w:r w:rsidRPr="00BD7731">
        <w:rPr>
          <w:b/>
          <w:bCs/>
        </w:rPr>
        <w:t>RN</w:t>
      </w:r>
      <w:r w:rsidRPr="00BD7731">
        <w:rPr>
          <w:i/>
          <w:iCs/>
          <w:vertAlign w:val="subscript"/>
        </w:rPr>
        <w:t>n</w:t>
      </w:r>
      <w:proofErr w:type="spellEnd"/>
      <w:r w:rsidRPr="00BD7731">
        <w:t xml:space="preserve">, was prepared from polymers with </w:t>
      </w:r>
      <w:r w:rsidR="00AC1AF7" w:rsidRPr="00BD7731">
        <w:t>similar</w:t>
      </w:r>
      <w:r w:rsidRPr="00BD7731">
        <w:t xml:space="preserve"> number </w:t>
      </w:r>
      <w:r w:rsidR="00AC1AF7" w:rsidRPr="00BD7731">
        <w:t>average</w:t>
      </w:r>
      <w:r w:rsidRPr="00BD7731">
        <w:t xml:space="preserve"> molecular weight (</w:t>
      </w:r>
      <w:r w:rsidRPr="00BD7731">
        <w:rPr>
          <w:i/>
          <w:iCs/>
        </w:rPr>
        <w:t>M</w:t>
      </w:r>
      <w:r w:rsidRPr="00BD7731">
        <w:rPr>
          <w:vertAlign w:val="subscript"/>
        </w:rPr>
        <w:t>n</w:t>
      </w:r>
      <w:r w:rsidRPr="00BD7731">
        <w:t xml:space="preserve">) and </w:t>
      </w:r>
      <w:r w:rsidRPr="00BD7731">
        <w:rPr>
          <w:i/>
          <w:iCs/>
        </w:rPr>
        <w:t>Ð</w:t>
      </w:r>
      <w:r w:rsidRPr="00BD7731">
        <w:t xml:space="preserve"> as </w:t>
      </w:r>
      <w:r w:rsidR="00AC1AF7" w:rsidRPr="00BD7731">
        <w:t xml:space="preserve">that of </w:t>
      </w:r>
      <w:r w:rsidRPr="00BD7731">
        <w:t xml:space="preserve">the polymers used for </w:t>
      </w:r>
      <w:r w:rsidRPr="00BD7731">
        <w:rPr>
          <w:b/>
          <w:bCs/>
        </w:rPr>
        <w:t>TN</w:t>
      </w:r>
      <w:r w:rsidR="00AC1AF7" w:rsidRPr="00BD7731">
        <w:t>;</w:t>
      </w:r>
      <w:r w:rsidRPr="00BD7731">
        <w:t xml:space="preserve"> however, the</w:t>
      </w:r>
      <w:r w:rsidRPr="00BD7731">
        <w:rPr>
          <w:rFonts w:asciiTheme="minorHAnsi" w:eastAsiaTheme="minorEastAsia" w:hAnsiTheme="minorHAnsi"/>
          <w:w w:val="108"/>
          <w:sz w:val="18"/>
          <w:szCs w:val="18"/>
          <w:lang w:eastAsia="en-US"/>
        </w:rPr>
        <w:t xml:space="preserve"> </w:t>
      </w:r>
      <w:r w:rsidRPr="00BD7731">
        <w:t xml:space="preserve">two reactive groups </w:t>
      </w:r>
      <w:r w:rsidR="00AC1AF7" w:rsidRPr="00BD7731">
        <w:t xml:space="preserve">were </w:t>
      </w:r>
      <w:r w:rsidRPr="00BD7731">
        <w:t xml:space="preserve">located </w:t>
      </w:r>
      <w:r w:rsidR="00AC1AF7" w:rsidRPr="00BD7731">
        <w:t>at</w:t>
      </w:r>
      <w:r w:rsidRPr="00BD7731">
        <w:t xml:space="preserve"> random </w:t>
      </w:r>
      <w:r w:rsidR="00AC1AF7" w:rsidRPr="00BD7731">
        <w:t>positions</w:t>
      </w:r>
      <w:r w:rsidRPr="00BD7731">
        <w:t xml:space="preserve"> in the chain (</w:t>
      </w:r>
      <w:r w:rsidR="00AC1AF7" w:rsidRPr="00BD7731">
        <w:t>that is,</w:t>
      </w:r>
      <w:r w:rsidRPr="00BD7731">
        <w:t xml:space="preserve"> random copolymer). In principle</w:t>
      </w:r>
      <w:r w:rsidR="0047209C" w:rsidRPr="00BD7731">
        <w:t xml:space="preserve"> and ideally</w:t>
      </w:r>
      <w:r w:rsidRPr="00BD7731">
        <w:t xml:space="preserve">, the difference in </w:t>
      </w:r>
      <w:r w:rsidR="00AC1AF7" w:rsidRPr="00BD7731">
        <w:t>their</w:t>
      </w:r>
      <w:r w:rsidRPr="00BD7731">
        <w:t xml:space="preserve"> network architectures is represented as follows: </w:t>
      </w:r>
      <w:bookmarkStart w:id="2" w:name="_Hlk82267462"/>
      <w:r w:rsidRPr="00BD7731">
        <w:t xml:space="preserve">(a) the chain length between </w:t>
      </w:r>
      <w:r w:rsidR="00AC1AF7" w:rsidRPr="00BD7731">
        <w:t xml:space="preserve">the </w:t>
      </w:r>
      <w:r w:rsidRPr="00BD7731">
        <w:t xml:space="preserve">crosslinks is uniform in </w:t>
      </w:r>
      <w:r w:rsidRPr="00BD7731">
        <w:rPr>
          <w:b/>
          <w:bCs/>
        </w:rPr>
        <w:t xml:space="preserve">TN </w:t>
      </w:r>
      <w:r w:rsidR="00AC1AF7" w:rsidRPr="00BD7731">
        <w:t>and</w:t>
      </w:r>
      <w:r w:rsidRPr="00BD7731">
        <w:t xml:space="preserve"> not in </w:t>
      </w:r>
      <w:r w:rsidRPr="00BD7731">
        <w:rPr>
          <w:b/>
          <w:bCs/>
        </w:rPr>
        <w:t>RN</w:t>
      </w:r>
      <w:r w:rsidRPr="00BD7731">
        <w:t>;</w:t>
      </w:r>
      <w:bookmarkEnd w:id="2"/>
      <w:r w:rsidRPr="00BD7731">
        <w:t xml:space="preserve"> (b) the number of chains around the crosslink is more in </w:t>
      </w:r>
      <w:r w:rsidRPr="00BD7731">
        <w:rPr>
          <w:b/>
          <w:bCs/>
        </w:rPr>
        <w:t>RN</w:t>
      </w:r>
      <w:r w:rsidRPr="00BD7731">
        <w:t xml:space="preserve"> than </w:t>
      </w:r>
      <w:r w:rsidRPr="00BD7731">
        <w:rPr>
          <w:b/>
          <w:bCs/>
        </w:rPr>
        <w:t>TN</w:t>
      </w:r>
      <w:r w:rsidRPr="00BD7731">
        <w:t xml:space="preserve">; (c) </w:t>
      </w:r>
      <w:r w:rsidRPr="00BD7731">
        <w:rPr>
          <w:b/>
          <w:bCs/>
        </w:rPr>
        <w:t>TN</w:t>
      </w:r>
      <w:r w:rsidRPr="00BD7731">
        <w:t xml:space="preserve"> </w:t>
      </w:r>
      <w:r w:rsidR="00AC1AF7" w:rsidRPr="00BD7731">
        <w:t>does not</w:t>
      </w:r>
      <w:r w:rsidRPr="00BD7731">
        <w:t xml:space="preserve"> have dangling chains, while </w:t>
      </w:r>
      <w:r w:rsidRPr="00BD7731">
        <w:rPr>
          <w:b/>
          <w:bCs/>
        </w:rPr>
        <w:t>RN</w:t>
      </w:r>
      <w:r w:rsidRPr="00BD7731">
        <w:t xml:space="preserve"> has</w:t>
      </w:r>
      <w:r w:rsidR="00AC1AF7" w:rsidRPr="00BD7731">
        <w:t xml:space="preserve"> dangling chains</w:t>
      </w:r>
      <w:r w:rsidRPr="00BD7731">
        <w:t>.</w:t>
      </w:r>
      <w:r w:rsidR="0047209C" w:rsidRPr="00BD7731">
        <w:t xml:space="preserve"> </w:t>
      </w:r>
      <w:r w:rsidR="00630AB8" w:rsidRPr="00BD7731">
        <w:t>Along with t</w:t>
      </w:r>
      <w:r w:rsidR="0047209C" w:rsidRPr="00BD7731">
        <w:t>hese differences coming from the precursor structures</w:t>
      </w:r>
      <w:r w:rsidR="00630AB8" w:rsidRPr="00BD7731">
        <w:t>,</w:t>
      </w:r>
      <w:r w:rsidR="0047209C" w:rsidRPr="00BD7731">
        <w:t xml:space="preserve"> the heterogeneity in the synthe</w:t>
      </w:r>
      <w:r w:rsidR="00630AB8" w:rsidRPr="00BD7731">
        <w:t>tic polymer</w:t>
      </w:r>
      <w:r w:rsidR="0047209C" w:rsidRPr="00BD7731">
        <w:t xml:space="preserve"> should affect their property.</w:t>
      </w:r>
      <w:r w:rsidR="00630AB8" w:rsidRPr="00BD7731">
        <w:rPr>
          <w:lang w:val="en-GB"/>
        </w:rPr>
        <w:fldChar w:fldCharType="begin"/>
      </w:r>
      <w:r w:rsidR="00630AB8" w:rsidRPr="00BD7731">
        <w:rPr>
          <w:lang w:val="en-GB"/>
        </w:rPr>
        <w:instrText xml:space="preserve"> ADDIN ZOTERO_ITEM CSL_CITATION {"citationID":"xeJdc3s6","properties":{"formattedCitation":"\\super [36]\\nosupersub{}","plainCitation":"[36]","noteIndex":0},"citationItems":[{"id":5548,"uris":["http://zotero.org/users/4903636/items/6ETA56GD"],"itemData":{"id":5548,"type":"book","event-place":"Boca Raton","publisher":"CRC Press","publisher-place":"Boca Raton","title":"Polymer Chemistry, Second Edition","author":[{"family":"Hiemenz","given":"Paul","suffix":"C."},{"family":"Lodge","given":"Timothy","suffix":"P."}],"issued":{"date-parts":[["2007"]]}}}],"schema":"https://github.com/citation-style-language/schema/raw/master/csl-citation.json"} </w:instrText>
      </w:r>
      <w:r w:rsidR="00630AB8" w:rsidRPr="00BD7731">
        <w:rPr>
          <w:lang w:val="en-GB"/>
        </w:rPr>
        <w:fldChar w:fldCharType="separate"/>
      </w:r>
      <w:r w:rsidR="00630AB8" w:rsidRPr="00BD7731">
        <w:rPr>
          <w:vertAlign w:val="superscript"/>
          <w:lang w:val="de-DE"/>
        </w:rPr>
        <w:t>[36]</w:t>
      </w:r>
      <w:r w:rsidR="00630AB8" w:rsidRPr="00BD7731">
        <w:fldChar w:fldCharType="end"/>
      </w:r>
    </w:p>
    <w:p w14:paraId="451E7C61" w14:textId="6F82AD4D" w:rsidR="00AC0B91" w:rsidRPr="00BD7731" w:rsidRDefault="00AC1AF7" w:rsidP="001751B1">
      <w:pPr>
        <w:pStyle w:val="MainText"/>
        <w:spacing w:line="360" w:lineRule="auto"/>
        <w:ind w:firstLineChars="150" w:firstLine="360"/>
        <w:jc w:val="both"/>
      </w:pPr>
      <w:r w:rsidRPr="00BD7731">
        <w:t>Polystyrene</w:t>
      </w:r>
      <w:r w:rsidR="00553E0B" w:rsidRPr="00BD7731">
        <w:t xml:space="preserve"> (</w:t>
      </w:r>
      <w:proofErr w:type="spellStart"/>
      <w:r w:rsidR="00553E0B" w:rsidRPr="00BD7731">
        <w:t>PSt</w:t>
      </w:r>
      <w:proofErr w:type="spellEnd"/>
      <w:r w:rsidR="00553E0B" w:rsidRPr="00BD7731">
        <w:t>) networks with epoxy crosslink group were employed</w:t>
      </w:r>
      <w:r w:rsidRPr="00BD7731">
        <w:t xml:space="preserve"> in this study</w:t>
      </w:r>
      <w:r w:rsidR="00553E0B" w:rsidRPr="00BD7731">
        <w:t xml:space="preserve">, </w:t>
      </w:r>
      <w:r w:rsidRPr="00BD7731">
        <w:t>wherein</w:t>
      </w:r>
      <w:r w:rsidR="00553E0B" w:rsidRPr="00BD7731">
        <w:t xml:space="preserve"> the bond exchange </w:t>
      </w:r>
      <w:r w:rsidR="005E51DB" w:rsidRPr="00BD7731">
        <w:t>occurred</w:t>
      </w:r>
      <w:r w:rsidR="00553E0B" w:rsidRPr="00BD7731">
        <w:t xml:space="preserve"> through transesterification in the presence of a catalyst.</w:t>
      </w:r>
      <w:r w:rsidR="00553E0B" w:rsidRPr="00BD7731">
        <w:fldChar w:fldCharType="begin"/>
      </w:r>
      <w:r w:rsidR="001C3F85" w:rsidRPr="00BD7731">
        <w:instrText xml:space="preserve"> ADDIN ZOTERO_ITEM CSL_CITATION {"citationID":"YN3B14si","properties":{"formattedCitation":"\\super [8,9]\\nosupersub{}","plainCitation":"[8,9]","noteIndex":0},"citationItems":[{"id":1589,"uris":["http://zotero.org/users/4903636/items/55TPXDG9"],"itemData":{"id":1589,"type":"article-journal","abstract":"Vitrimers, strong organic glass formers, are covalent networks that are able to change their topology through thermoactivated bond exchange reactions. At high temperatures, vitrimers can ﬂow and behave like viscoelastic liquids. At low temperatures, exchange reactions are very long and vitrimers behave like classical thermosets. The transition from the liquid to the solid is reversible and is, in fact, a glass transition. By changing the content and nature of the catalyst, we can tune the transesteriﬁcation reaction rate and show that the vitrimer glass transition temperature and the broadness of the transition can be controlled at will in epoxy-based vitrimers. This opens new possibilities in practical applications of thermosets such as healing or convenient processability in a wide temperature range.","container-title":"ACS Macro Letters","DOI":"10.1021/mz300239f","ISSN":"2161-1653, 2161-1653","issue":"7","language":"en","page":"789-792","source":"Crossref","title":"Catalytic Control of the Vitrimer Glass Transition","volume":"1","author":[{"family":"Capelot","given":"Mathieu"},{"family":"Unterlass","given":"Miriam M."},{"family":"Tournilhac","given":"François"},{"family":"Leibler","given":"Ludwik"}],"issued":{"date-parts":[["2012",7,17]]}}},{"id":1663,"uris":["http://zotero.org/users/4903636/items/8V9838H9"],"itemData":{"id":1663,"type":"article-journal","abstract":"While much research has been aimed at new approaches to the healing of cross-linked polymers, there is a dearth of eﬀort in the healing of renewable cross-linked polymers. In this study, the healing ability of renewable polylactide-based vitrimers containing Sn(Oct)2 was investigated. The vitrimers were prepared from hydroxyl-terminated star-shaped poly((±)lactide) samples that were cross-linked with methylenediphenyl diisocyanate. Cross-linked samples were prepared with isocyanate:hydroxyl (IC:OH) ratios of 0.6:1 to 1.1:1 and initial catalyst:hydroxyl (Sn(Oct)2:OH) ratios ranging from 0.013:1 to 0.050:1. The plateau modulus and Tg values for the cross-linked samples decreased with decreasing IC:OH ratio. The materials were subjected to stress relaxation analyses, which conﬁrmed that the materials not only were vitrimeric in nature but also exhibited remarkably short characteristic relaxation times of less than 50 s at 140 °C. Finally, vitrimers fractured in uniaxial tensile testing were healed by compression molding and exhibited up to 67% recovery of ultimate elongation, up to 102% recovery of tensile strength, and up to 133% recovery of tensile modulus values.","container-title":"ACS Macro Letters","DOI":"10.1021/mz500269w","ISSN":"2161-1653, 2161-1653","issue":"7","language":"en","page":"607-610","source":"DOI.org (Crossref)","title":"Polylactide Vitrimers","volume":"3","author":[{"family":"Brutman","given":"Jacob P."},{"family":"Delgado","given":"Paula A."},{"family":"Hillmyer","given":"Marc A."}],"issued":{"date-parts":[["2014",7,15]]}}}],"schema":"https://github.com/citation-style-language/schema/raw/master/csl-citation.json"} </w:instrText>
      </w:r>
      <w:r w:rsidR="00553E0B" w:rsidRPr="00BD7731">
        <w:fldChar w:fldCharType="separate"/>
      </w:r>
      <w:r w:rsidR="001751B1" w:rsidRPr="00BD7731">
        <w:rPr>
          <w:vertAlign w:val="superscript"/>
        </w:rPr>
        <w:t>[8,9]</w:t>
      </w:r>
      <w:r w:rsidR="00553E0B" w:rsidRPr="00BD7731">
        <w:fldChar w:fldCharType="end"/>
      </w:r>
      <w:r w:rsidR="00553E0B" w:rsidRPr="00BD7731">
        <w:t xml:space="preserve"> The precursor polymers for </w:t>
      </w:r>
      <w:r w:rsidR="00553E0B" w:rsidRPr="00BD7731">
        <w:rPr>
          <w:b/>
          <w:bCs/>
        </w:rPr>
        <w:t>TN</w:t>
      </w:r>
      <w:r w:rsidR="00553E0B" w:rsidRPr="00BD7731">
        <w:t> were synthesized using atom transfer radical polymerization (ATRP)</w:t>
      </w:r>
      <w:r w:rsidR="00553E0B" w:rsidRPr="00BD7731">
        <w:fldChar w:fldCharType="begin"/>
      </w:r>
      <w:r w:rsidR="001C3F85" w:rsidRPr="00BD7731">
        <w:instrText xml:space="preserve"> ADDIN ZOTERO_ITEM CSL_CITATION {"citationID":"7M8FxNO3","properties":{"formattedCitation":"\\super [37\\uc0\\u8211{}39]\\nosupersub{}","plainCitation":"[37–39]","noteIndex":0},"citationItems":[{"id":523,"uris":["http://zotero.org/users/4903636/items/HBPQK3GX"],"itemData":{"id":523,"type":"book","event-place":"New York","publisher":"Wiley-Interscience","publisher-place":"New York","title":"Handbook of Radical Polymerization","author":[{"family":"Matyjaszewski","given":"K."},{"family":"Davis","given":"T. P."}],"issued":{"date-parts":[["2002"]]}}},{"id":7,"uris":["http://zotero.org/users/4903636/items/V66Z6V2B"],"itemData":{"id":7,"type":"book","collection-title":"Polymer Science: A Comprehensive Reference","event-place":"Amsterdam","publisher":"Elsevier BV","publisher-place":"Amsterdam","title":"Chain Polymerization of Vinyl Monomers","volume":"3","author":[{"family":"Matyjaszewski","given":"K."},{"family":"Möller","given":"M."}],"issued":{"date-parts":[["2012"]]}}},{"id":3440,"uris":["http://zotero.org/users/4903636/items/P85NXHYM"],"itemData":{"id":3440,"type":"article-journal","container-title":"Chemical Reviews","DOI":"10.1021/acs.chemrev.5b00396","ISSN":"0009-2665","issue":"4","journalAbbreviation":"Chem. Rev.","note":"publisher: American Chemical Society","page":"1803-1949","source":"ACS Publications","title":"Copper-Mediated Living Radical Polymerization (Atom Transfer Radical Polymerization and Copper(0) Mediated Polymerization): From Fundamentals to Bioapplications","title-short":"Copper-Mediated Living Radical Polymerization (Atom Transfer Radical Polymerization and Copper(0) Mediated Polymerization)","volume":"116","author":[{"family":"Boyer","given":"Cyrille"},{"family":"Corrigan","given":"Nathaniel Alan"},{"family":"Jung","given":"Kenward"},{"family":"Nguyen","given":"Diep"},{"family":"Nguyen","given":"Thuy-Khanh"},{"family":"Adnan","given":"Nik Nik M."},{"family":"Oliver","given":"Susan"},{"family":"Shanmugam","given":"Sivaprakash"},{"family":"Yeow","given":"Jonathan"}],"issued":{"date-parts":[["2016",2,24]]}}}],"schema":"https://github.com/citation-style-language/schema/raw/master/csl-citation.json"} </w:instrText>
      </w:r>
      <w:r w:rsidR="00553E0B" w:rsidRPr="00BD7731">
        <w:fldChar w:fldCharType="separate"/>
      </w:r>
      <w:r w:rsidR="001C3F85" w:rsidRPr="00BD7731">
        <w:rPr>
          <w:vertAlign w:val="superscript"/>
        </w:rPr>
        <w:t>[37–39]</w:t>
      </w:r>
      <w:r w:rsidR="00553E0B" w:rsidRPr="00BD7731">
        <w:fldChar w:fldCharType="end"/>
      </w:r>
      <w:r w:rsidR="00553E0B" w:rsidRPr="00BD7731">
        <w:t xml:space="preserve"> of styrene and following radical coupling reaction, which </w:t>
      </w:r>
      <w:r w:rsidR="005E51DB" w:rsidRPr="00BD7731">
        <w:t>was</w:t>
      </w:r>
      <w:r w:rsidR="00553E0B" w:rsidRPr="00BD7731">
        <w:t xml:space="preserve"> an effective method to obtain </w:t>
      </w:r>
      <w:proofErr w:type="spellStart"/>
      <w:r w:rsidR="00553E0B" w:rsidRPr="00BD7731">
        <w:t>telechelic</w:t>
      </w:r>
      <w:proofErr w:type="spellEnd"/>
      <w:r w:rsidR="00553E0B" w:rsidRPr="00BD7731">
        <w:t xml:space="preserve"> and symmetric polymers (</w:t>
      </w:r>
      <w:r w:rsidR="00553E0B" w:rsidRPr="00BD7731">
        <w:rPr>
          <w:b/>
          <w:bCs/>
        </w:rPr>
        <w:t>Figure 2a</w:t>
      </w:r>
      <w:r w:rsidR="00553E0B" w:rsidRPr="00BD7731">
        <w:t>).</w:t>
      </w:r>
      <w:r w:rsidR="00553E0B" w:rsidRPr="00BD7731">
        <w:fldChar w:fldCharType="begin"/>
      </w:r>
      <w:r w:rsidR="001C3F85" w:rsidRPr="00BD7731">
        <w:instrText xml:space="preserve"> ADDIN ZOTERO_ITEM CSL_CITATION {"citationID":"E8x45C98","properties":{"unsorted":true,"formattedCitation":"\\super [40\\uc0\\u8211{}45]\\nosupersub{}","plainCitation":"[40–45]","noteIndex":0},"citationItems":[{"id":115,"uris":["http://zotero.org/users/4903636/items/ZHEK56HG"],"itemData":{"id":115,"type":"article-journal","container-title":"Macromolecules","page":"3120-3127","title":"Polystyrene with Designed Molecular Weight Distribution by Atom Transfer Radical Coupling","volume":"37","author":[{"family":"Sarbu","given":"T."},{"family":"Lin","given":"K.-Y."},{"family":"Ell","given":"J."},{"family":"Siegwart","given":"D. J."},{"family":"Spanswick","given":"J."},{"family":"Matyjaszewski","given":"K."}],"issued":{"date-parts":[["2004"]]}}},{"id":3926,"uris":["http://zotero.org/users/4903636/items/GWCS93XW"],"itemData":{"id":3926,"type":"article-journal","container-title":"Polymer","DOI":"10.1016/j.polymer.2014.09.047","ISSN":"0032-3861","issue":"23","page":"6051-6057","title":"Synthesis of Poly(N-vinyl carbazole)-based Block Copolymers by Sequential Polymerizations of RAFT-ATRP","title-short":"Synthesis of poly(N-vinyl carbazole)-based block copolymers by sequential polymerizations of RAFT-ATRP","volume":"55","author":[{"family":"Huang","given":"Chih-Feng"},{"family":"Hsieh","given":"Ya-An"},{"family":"Hsu","given":"Shen-Chun"},{"family":"Matyjaszewski","given":"Krzysztof"}],"issued":{"date-parts":[["2014",11]]}}},{"id":4974,"uris":["http://zotero.org/users/4903636/items/797ZSKG4"],"itemData":{"id":4974,"type":"article-journal","abstract":"Star copolymers are known to phase separate on the nanoscale, providing useful self-assembled morphologies. In this study, the authors investigate synthesis and assembly behavior of miktoarm star (μ-star) copolymers. The authors employ a new strategy for the synthesis of unprecedented μ-star copolymers presenting poly(N-octyl benzamide) (PBA) and poly(ε-caprolactone) (PCL) arms: a combination of chain-growth condensation polymerization, styrenics-assisted atom transfer radical coupling, and ring-opening polymerization. Gel permeation chromatography, mass-analyzed laser desorption/ionization mass spectrometry, and 1H NMR spectroscopy reveal the successful synthesis of a well-defined (PBA11)2-(PCL15)4 μ-star copolymer (Mn,NMR ≈ 12 620; Đ = 1.22). Preliminary examination of the PBA2PCL4 μ-star copolymer reveals assembled nanofibers having a uniform diameter of ≈20 nm.","container-title":"Macromolecular Rapid Communications","DOI":"10.1002/marc.201600607","ISSN":"1521-3927","issue":"3","language":"en","note":"_eprint: https://onlinelibrary.wiley.com/doi/pdf/10.1002/marc.201600607","page":"1600607","source":"Wiley Online Library","title":"Synthesis of Novel μ-Star Copolymers with Poly(N-Octyl Benzamide) and Poly(ε-Caprolactone) Miktoarms through Chain-Growth Condensation Polymerization, Styrenics-Assisted Atom Transfer Radical Coupling, and Ring-Opening Polymerization","volume":"38","author":[{"family":"Huang","given":"Chih-Feng"},{"family":"Aimi","given":"Junko"},{"family":"Lai","given":"Kuan-Yu"}],"issued":{"date-parts":[["2017"]]}}},{"id":415,"uris":["http://zotero.org/users/4903636/items/YDC2ARYC"],"itemData":{"id":415,"type":"article-journal","container-title":"Prog. Polym. Sci.","page":"1004-1030","title":"Interpolymer radical coupling: A toolbox complementary to controlled radical polymerization","volume":"37","author":[{"family":"Debuigne","given":"A."},{"family":"Hurtgen","given":"M."},{"family":"Detrembleur","given":"C."},{"family":"Jérôme","given":"C."},{"family":"Barner-Kowollik","given":"C."},{"family":"Junkers","given":"T."}],"issued":{"date-parts":[["2012"]]}}},{"id":16,"uris":["http://zotero.org/users/4903636/items/5N3PPTWP"],"itemData":{"id":16,"type":"article-journal","container-title":"Journal of the American Chemical Society","DOI":"10.1021/ja300869x","ISSN":"1520-5126 (Electronic) 0002-7863 (Linking)","language":"eng","page":"5536-5539","title":"Photoinduced switching from living radical polymerization to a radical coupling reaction mediated by organotellurium compounds","volume":"134","author":[{"family":"Nakamura","given":"Y."},{"family":"Arima","given":"T."},{"family":"Tomita","given":"S."},{"family":"Yamago","given":"S."}],"issued":{"date-parts":[["2012",3,28]]}}},{"id":9,"uris":["http://zotero.org/users/4903636/items/6D558S4U"],"itemData":{"id":9,"type":"article-journal","container-title":"Macromolecules","DOI":"10.1021/ma402354m","page":"582-588","title":"Modular Synthesis of Mid-Chain-Functionalized Polymers by Photoinduced Diene- and Styrene-Assisted Radical Coupling Reaction of Polymer-End Radicals","volume":"47","author":[{"family":"Nakamura","given":"Y."},{"family":"Arima","given":"T."},{"family":"Yamago","given":"S."}],"issued":{"date-parts":[["2014",1,28]]}}}],"schema":"https://github.com/citation-style-language/schema/raw/master/csl-citation.json"} </w:instrText>
      </w:r>
      <w:r w:rsidR="00553E0B" w:rsidRPr="00BD7731">
        <w:fldChar w:fldCharType="separate"/>
      </w:r>
      <w:r w:rsidR="001C3F85" w:rsidRPr="00BD7731">
        <w:rPr>
          <w:vertAlign w:val="superscript"/>
        </w:rPr>
        <w:t>[40–45]</w:t>
      </w:r>
      <w:r w:rsidR="00553E0B" w:rsidRPr="00BD7731">
        <w:fldChar w:fldCharType="end"/>
      </w:r>
      <w:r w:rsidR="00553E0B" w:rsidRPr="00BD7731">
        <w:t xml:space="preserve"> The radical coupling efficiency over 90% (</w:t>
      </w:r>
      <w:r w:rsidR="00553E0B" w:rsidRPr="00BD7731">
        <w:rPr>
          <w:b/>
          <w:bCs/>
        </w:rPr>
        <w:t>Figure 2b</w:t>
      </w:r>
      <w:r w:rsidR="00553E0B" w:rsidRPr="00BD7731">
        <w:t xml:space="preserve">) indicated the formation of a </w:t>
      </w:r>
      <w:proofErr w:type="spellStart"/>
      <w:r w:rsidR="00553E0B" w:rsidRPr="00BD7731">
        <w:t>telechelic</w:t>
      </w:r>
      <w:proofErr w:type="spellEnd"/>
      <w:r w:rsidR="00553E0B" w:rsidRPr="00BD7731">
        <w:t xml:space="preserve"> polymer. The quantitative deprotection of </w:t>
      </w:r>
      <w:r w:rsidR="00F74DF3" w:rsidRPr="00BD7731">
        <w:t xml:space="preserve">the </w:t>
      </w:r>
      <w:r w:rsidR="00553E0B" w:rsidRPr="00BD7731">
        <w:rPr>
          <w:i/>
          <w:iCs/>
        </w:rPr>
        <w:t>tert</w:t>
      </w:r>
      <w:r w:rsidR="00553E0B" w:rsidRPr="00BD7731">
        <w:t xml:space="preserve">-butyl group by the treatment with aqueous HCl in 1,4-dioxane was confirmed by </w:t>
      </w:r>
      <w:r w:rsidR="00553E0B" w:rsidRPr="00BD7731">
        <w:rPr>
          <w:vertAlign w:val="superscript"/>
        </w:rPr>
        <w:t>1</w:t>
      </w:r>
      <w:r w:rsidR="00553E0B" w:rsidRPr="00BD7731">
        <w:t xml:space="preserve">H NMR spectra by the disappearance of the signals of </w:t>
      </w:r>
      <w:r w:rsidR="00553E0B" w:rsidRPr="00BD7731">
        <w:rPr>
          <w:i/>
          <w:iCs/>
        </w:rPr>
        <w:t>tert</w:t>
      </w:r>
      <w:r w:rsidR="00553E0B" w:rsidRPr="00BD7731">
        <w:t>-butyl group around 1.2 ppm (</w:t>
      </w:r>
      <w:r w:rsidR="00553E0B" w:rsidRPr="00BD7731">
        <w:rPr>
          <w:b/>
          <w:bCs/>
        </w:rPr>
        <w:t>Figure 2c</w:t>
      </w:r>
      <w:r w:rsidR="00553E0B" w:rsidRPr="00BD7731">
        <w:t>). The synthesized CO</w:t>
      </w:r>
      <w:r w:rsidR="00553E0B" w:rsidRPr="00BD7731">
        <w:rPr>
          <w:vertAlign w:val="subscript"/>
        </w:rPr>
        <w:t>2</w:t>
      </w:r>
      <w:r w:rsidR="00553E0B" w:rsidRPr="00BD7731">
        <w:t xml:space="preserve">H </w:t>
      </w:r>
      <w:proofErr w:type="spellStart"/>
      <w:r w:rsidR="00553E0B" w:rsidRPr="00BD7731">
        <w:t>telechelic</w:t>
      </w:r>
      <w:proofErr w:type="spellEnd"/>
      <w:r w:rsidR="00553E0B" w:rsidRPr="00BD7731">
        <w:t xml:space="preserve"> </w:t>
      </w:r>
      <w:proofErr w:type="spellStart"/>
      <w:r w:rsidR="00553E0B" w:rsidRPr="00BD7731">
        <w:t>PSt</w:t>
      </w:r>
      <w:proofErr w:type="spellEnd"/>
      <w:r w:rsidR="00AC0B91" w:rsidRPr="00BD7731">
        <w:rPr>
          <w:rFonts w:asciiTheme="minorHAnsi" w:eastAsiaTheme="minorEastAsia" w:hAnsiTheme="minorHAnsi"/>
          <w:w w:val="108"/>
          <w:sz w:val="18"/>
          <w:szCs w:val="18"/>
          <w:lang w:eastAsia="en-US"/>
        </w:rPr>
        <w:t xml:space="preserve"> </w:t>
      </w:r>
      <w:r w:rsidR="00AC0B91" w:rsidRPr="00BD7731">
        <w:t>ha</w:t>
      </w:r>
      <w:r w:rsidR="000E2E0A" w:rsidRPr="00BD7731">
        <w:t>d</w:t>
      </w:r>
      <w:r w:rsidR="00AC0B91" w:rsidRPr="00BD7731">
        <w:t xml:space="preserve"> </w:t>
      </w:r>
      <w:r w:rsidR="00F74DF3" w:rsidRPr="00BD7731">
        <w:t>number average</w:t>
      </w:r>
      <w:r w:rsidR="00AC0B91" w:rsidRPr="00BD7731">
        <w:t xml:space="preserve"> molecular weights (</w:t>
      </w:r>
      <w:r w:rsidR="00AC0B91" w:rsidRPr="00BD7731">
        <w:rPr>
          <w:i/>
          <w:iCs/>
        </w:rPr>
        <w:t>M</w:t>
      </w:r>
      <w:r w:rsidR="00AC0B91" w:rsidRPr="00BD7731">
        <w:rPr>
          <w:vertAlign w:val="subscript"/>
        </w:rPr>
        <w:t>n</w:t>
      </w:r>
      <w:r w:rsidR="00AC0B91" w:rsidRPr="00BD7731">
        <w:t>) of 3500~8600 and narrow molecular weight distributions (</w:t>
      </w:r>
      <w:r w:rsidR="00AC0B91" w:rsidRPr="00BD7731">
        <w:rPr>
          <w:i/>
          <w:iCs/>
        </w:rPr>
        <w:t>Ð</w:t>
      </w:r>
      <w:r w:rsidR="00AC0B91" w:rsidRPr="00BD7731">
        <w:t> ≤ 1.16) (</w:t>
      </w:r>
      <w:r w:rsidR="00AC0B91" w:rsidRPr="00BD7731">
        <w:rPr>
          <w:b/>
          <w:bCs/>
        </w:rPr>
        <w:t>Table 1</w:t>
      </w:r>
      <w:r w:rsidR="00AC0B91" w:rsidRPr="00BD7731">
        <w:t>).</w:t>
      </w:r>
    </w:p>
    <w:p w14:paraId="6DFB8F4B" w14:textId="282489B9" w:rsidR="00AC0B91" w:rsidRPr="00BD7731" w:rsidRDefault="00AC0B91" w:rsidP="001751B1">
      <w:pPr>
        <w:pStyle w:val="MainText"/>
        <w:spacing w:line="360" w:lineRule="auto"/>
        <w:ind w:firstLineChars="150" w:firstLine="360"/>
        <w:jc w:val="both"/>
      </w:pPr>
      <w:r w:rsidRPr="00BD7731">
        <w:t>The precursor polymers for </w:t>
      </w:r>
      <w:r w:rsidRPr="00BD7731">
        <w:rPr>
          <w:b/>
          <w:bCs/>
        </w:rPr>
        <w:t>RN</w:t>
      </w:r>
      <w:r w:rsidRPr="00BD7731">
        <w:t> were synthesized by the random copolymerization of styrene and </w:t>
      </w:r>
      <w:r w:rsidRPr="00BD7731">
        <w:rPr>
          <w:i/>
          <w:iCs/>
        </w:rPr>
        <w:t>tert</w:t>
      </w:r>
      <w:r w:rsidRPr="00BD7731">
        <w:t>-butyl methacrylate by ATRP, followed by the chain end reduction and hydrolysis of the ester groups (</w:t>
      </w:r>
      <w:r w:rsidRPr="00BD7731">
        <w:rPr>
          <w:b/>
          <w:bCs/>
        </w:rPr>
        <w:t>Figure 2d</w:t>
      </w:r>
      <w:r w:rsidRPr="00BD7731">
        <w:t xml:space="preserve">). The molecular weights of the polymers were almost identical to the </w:t>
      </w:r>
      <w:proofErr w:type="spellStart"/>
      <w:r w:rsidRPr="00BD7731">
        <w:t>telechelic</w:t>
      </w:r>
      <w:proofErr w:type="spellEnd"/>
      <w:r w:rsidRPr="00BD7731">
        <w:t xml:space="preserve"> polymers (</w:t>
      </w:r>
      <w:r w:rsidRPr="00BD7731">
        <w:rPr>
          <w:b/>
          <w:bCs/>
        </w:rPr>
        <w:t>Table 1</w:t>
      </w:r>
      <w:r w:rsidRPr="00BD7731">
        <w:t>). The average number of CO</w:t>
      </w:r>
      <w:r w:rsidRPr="00BD7731">
        <w:rPr>
          <w:vertAlign w:val="subscript"/>
        </w:rPr>
        <w:t>2</w:t>
      </w:r>
      <w:r w:rsidRPr="00BD7731">
        <w:t xml:space="preserve">H groups in one polymer chain, 2.0–2.2, was determined by GPC and </w:t>
      </w:r>
      <w:r w:rsidRPr="00BD7731">
        <w:rPr>
          <w:vertAlign w:val="superscript"/>
        </w:rPr>
        <w:t>1</w:t>
      </w:r>
      <w:r w:rsidRPr="00BD7731">
        <w:t xml:space="preserve">H NMR </w:t>
      </w:r>
      <w:r w:rsidR="00F74DF3" w:rsidRPr="00BD7731">
        <w:t>analyses</w:t>
      </w:r>
      <w:r w:rsidRPr="00BD7731">
        <w:t xml:space="preserve"> (</w:t>
      </w:r>
      <w:r w:rsidRPr="00BD7731">
        <w:rPr>
          <w:b/>
          <w:bCs/>
        </w:rPr>
        <w:t>Figure S1</w:t>
      </w:r>
      <w:r w:rsidR="003855F6" w:rsidRPr="00BD7731">
        <w:t xml:space="preserve"> in supporting information, SI</w:t>
      </w:r>
      <w:r w:rsidRPr="00BD7731">
        <w:t xml:space="preserve">). </w:t>
      </w:r>
      <w:r w:rsidR="00B7515A" w:rsidRPr="00BD7731">
        <w:t xml:space="preserve">Based </w:t>
      </w:r>
      <w:r w:rsidR="00F74DF3" w:rsidRPr="00BD7731">
        <w:t>on</w:t>
      </w:r>
      <w:r w:rsidRPr="00BD7731">
        <w:t xml:space="preserve"> the reactivity ratio in the copolymerization</w:t>
      </w:r>
      <w:r w:rsidR="00B7515A" w:rsidRPr="00BD7731">
        <w:t xml:space="preserve"> (</w:t>
      </w:r>
      <w:r w:rsidR="00B7515A" w:rsidRPr="00BD7731">
        <w:rPr>
          <w:b/>
          <w:bCs/>
        </w:rPr>
        <w:t xml:space="preserve">Figure S2 </w:t>
      </w:r>
      <w:r w:rsidR="00B7515A" w:rsidRPr="00BD7731">
        <w:t>in SI)</w:t>
      </w:r>
      <w:r w:rsidRPr="00BD7731">
        <w:t>, CO</w:t>
      </w:r>
      <w:r w:rsidRPr="00BD7731">
        <w:rPr>
          <w:vertAlign w:val="subscript"/>
        </w:rPr>
        <w:t>2</w:t>
      </w:r>
      <w:r w:rsidRPr="00BD7731">
        <w:t xml:space="preserve">H groups </w:t>
      </w:r>
      <w:r w:rsidR="00B7515A" w:rsidRPr="00BD7731">
        <w:t xml:space="preserve">were </w:t>
      </w:r>
      <w:r w:rsidRPr="00BD7731">
        <w:t xml:space="preserve">incorporated at random positions in the chain. </w:t>
      </w:r>
      <w:r w:rsidR="00F74DF3" w:rsidRPr="00BD7731">
        <w:t>Compared</w:t>
      </w:r>
      <w:r w:rsidRPr="00BD7731">
        <w:t xml:space="preserve"> to the </w:t>
      </w:r>
      <w:proofErr w:type="spellStart"/>
      <w:r w:rsidRPr="00BD7731">
        <w:t>telechelic</w:t>
      </w:r>
      <w:proofErr w:type="spellEnd"/>
      <w:r w:rsidRPr="00BD7731">
        <w:t xml:space="preserve"> </w:t>
      </w:r>
      <w:proofErr w:type="spellStart"/>
      <w:r w:rsidRPr="00BD7731">
        <w:t>PSt</w:t>
      </w:r>
      <w:proofErr w:type="spellEnd"/>
      <w:r w:rsidRPr="00BD7731">
        <w:t xml:space="preserve">, the copolymer </w:t>
      </w:r>
      <w:r w:rsidR="001422EF" w:rsidRPr="00BD7731">
        <w:t>could</w:t>
      </w:r>
      <w:r w:rsidRPr="00BD7731">
        <w:t xml:space="preserve"> contain chains with CO</w:t>
      </w:r>
      <w:r w:rsidRPr="00BD7731">
        <w:rPr>
          <w:vertAlign w:val="subscript"/>
        </w:rPr>
        <w:t>2</w:t>
      </w:r>
      <w:r w:rsidRPr="00BD7731">
        <w:t xml:space="preserve">H groups of more or less than </w:t>
      </w:r>
      <w:r w:rsidR="001422EF" w:rsidRPr="00BD7731">
        <w:t>two</w:t>
      </w:r>
      <w:r w:rsidRPr="00BD7731">
        <w:t xml:space="preserve">. However, </w:t>
      </w:r>
      <w:r w:rsidR="001422EF" w:rsidRPr="00BD7731">
        <w:t>the present</w:t>
      </w:r>
      <w:r w:rsidRPr="00BD7731">
        <w:t xml:space="preserve"> study accepts the effect of this inhomogeneity on the network architecture and </w:t>
      </w:r>
      <w:proofErr w:type="spellStart"/>
      <w:r w:rsidRPr="00BD7731">
        <w:t>vitrimer</w:t>
      </w:r>
      <w:proofErr w:type="spellEnd"/>
      <w:r w:rsidRPr="00BD7731">
        <w:t xml:space="preserve"> properties as </w:t>
      </w:r>
      <w:r w:rsidR="00127CF4" w:rsidRPr="00BD7731">
        <w:t xml:space="preserve">a </w:t>
      </w:r>
      <w:r w:rsidRPr="00BD7731">
        <w:t>part of the effect of the precursor polymer structure.</w:t>
      </w:r>
    </w:p>
    <w:p w14:paraId="6214D33F" w14:textId="1405E691" w:rsidR="00FC7FAA" w:rsidRPr="00BD7731" w:rsidRDefault="00AC0B91" w:rsidP="001751B1">
      <w:pPr>
        <w:pStyle w:val="MainText"/>
        <w:spacing w:line="360" w:lineRule="auto"/>
        <w:ind w:firstLineChars="150" w:firstLine="360"/>
        <w:jc w:val="both"/>
      </w:pPr>
      <w:r w:rsidRPr="00BD7731">
        <w:t xml:space="preserve">The synthesis of a crosslinked polymer </w:t>
      </w:r>
      <w:r w:rsidR="001422EF" w:rsidRPr="00BD7731">
        <w:t>using</w:t>
      </w:r>
      <w:r w:rsidRPr="00BD7731">
        <w:t xml:space="preserve"> the </w:t>
      </w:r>
      <w:proofErr w:type="spellStart"/>
      <w:r w:rsidRPr="00BD7731">
        <w:t>telechelic</w:t>
      </w:r>
      <w:proofErr w:type="spellEnd"/>
      <w:r w:rsidRPr="00BD7731">
        <w:t xml:space="preserve"> polymer of </w:t>
      </w:r>
      <w:r w:rsidRPr="00BD7731">
        <w:rPr>
          <w:i/>
          <w:iCs/>
        </w:rPr>
        <w:t>M</w:t>
      </w:r>
      <w:r w:rsidRPr="00BD7731">
        <w:rPr>
          <w:vertAlign w:val="subscript"/>
        </w:rPr>
        <w:t>n</w:t>
      </w:r>
      <w:r w:rsidRPr="00BD7731">
        <w:t xml:space="preserve"> = 5300 was investigated with various mixture ratios of polymer, bisphenol-A </w:t>
      </w:r>
      <w:proofErr w:type="spellStart"/>
      <w:r w:rsidRPr="00BD7731">
        <w:t>diglycidyl</w:t>
      </w:r>
      <w:proofErr w:type="spellEnd"/>
      <w:r w:rsidRPr="00BD7731">
        <w:t xml:space="preserve"> ether (BADGE), and 1,5,7-triazabicyclo[4.4.0]dec-5-ene (TBD) as a base catalyst (</w:t>
      </w:r>
      <w:r w:rsidRPr="00BD7731">
        <w:rPr>
          <w:b/>
          <w:bCs/>
        </w:rPr>
        <w:t>Figure 1a</w:t>
      </w:r>
      <w:r w:rsidRPr="00BD7731">
        <w:t>)</w:t>
      </w:r>
      <w:r w:rsidR="00127CF4" w:rsidRPr="00BD7731">
        <w:t xml:space="preserve"> </w:t>
      </w:r>
      <w:r w:rsidR="001422EF" w:rsidRPr="00BD7731">
        <w:t xml:space="preserve">by </w:t>
      </w:r>
      <w:r w:rsidR="00127CF4" w:rsidRPr="00BD7731">
        <w:t>following the reported method</w:t>
      </w:r>
      <w:r w:rsidRPr="00BD7731">
        <w:t>.</w:t>
      </w:r>
      <w:r w:rsidRPr="00BD7731">
        <w:fldChar w:fldCharType="begin"/>
      </w:r>
      <w:r w:rsidR="001C3F85" w:rsidRPr="00BD7731">
        <w:instrText xml:space="preserve"> ADDIN ZOTERO_ITEM CSL_CITATION {"citationID":"FhPka4J2","properties":{"formattedCitation":"\\super [8,46,47]\\nosupersub{}","plainCitation":"[8,46,47]","noteIndex":0},"citationItems":[{"id":1589,"uris":["http://zotero.org/users/4903636/items/55TPXDG9"],"itemData":{"id":1589,"type":"article-journal","abstract":"Vitrimers, strong organic glass formers, are covalent networks that are able to change their topology through thermoactivated bond exchange reactions. At high temperatures, vitrimers can ﬂow and behave like viscoelastic liquids. At low temperatures, exchange reactions are very long and vitrimers behave like classical thermosets. The transition from the liquid to the solid is reversible and is, in fact, a glass transition. By changing the content and nature of the catalyst, we can tune the transesteriﬁcation reaction rate and show that the vitrimer glass transition temperature and the broadness of the transition can be controlled at will in epoxy-based vitrimers. This opens new possibilities in practical applications of thermosets such as healing or convenient processability in a wide temperature range.","container-title":"ACS Macro Letters","DOI":"10.1021/mz300239f","ISSN":"2161-1653, 2161-1653","issue":"7","language":"en","page":"789-792","source":"Crossref","title":"Catalytic Control of the Vitrimer Glass Transition","volume":"1","author":[{"family":"Capelot","given":"Mathieu"},{"family":"Unterlass","given":"Miriam M."},{"family":"Tournilhac","given":"François"},{"family":"Leibler","given":"Ludwik"}],"issued":{"date-parts":[["2012",7,17]]}}},{"id":5113,"uris":["http://zotero.org/users/4903636/items/DACWL2C7"],"itemData":{"id":5113,"type":"article-journal","abstract":"Vitrimers with 1 : 1 to 2 : 1 epoxy/acid ratio and TBD show increased stiffness and gradual transition from an exchangeable to non-exchangeable network.\n          , \n            \n              The present study explores a broad range of stoichiometry, with the [epoxy]/[acyl] ratio ranging from excess to unity for commercial diepoxide/sebacic acid vitrimer formulations, with 1,5,7-triazabicyclo[4.4.0]dec-5-ene (TBD) used as the catalyst. In particular, it investigates to what extent side reactions promoted by off-stoichiometry mixtures can help achieve desirable thermomechanical properties (\n              i.e.\n              glass transition\n              T\n              α\n              , Young's modulus, strain at break, and strength) for an optimised vitrimer that behaves like a stiff material at room temperature, retaining its capacity to flow at high temperature while remaining insoluble. The possible role of TBD as an anionic initiator is tested in the homopolymerisation of epoxy and compared to a known anionic initiator, 2-phenylimidazole (2-PI). Attenuated total reflection infrared (ATR-IR) spectroscopy reveals different reaction speeds, but an identical scenario for either 2-PI or TBD. The acid + epoxy addition occurs first, then epoxy homopolymerisation takes place after di-carboxylic acid consumption; an ester typically forms in less than 20 min at 125 °C with TBD, while the formation of ether takes several hours. For all [epoxy]/[acyl] ratios ranging from 1 : 1 to 1 : 0.3, it is found that the integrity of the network is retained when subjected to 1,2,4 trichlorobenzene (TCB) solvent treatment. From the 1 : 1 to 1 : 0.75 epoxy to acyl ratio, the material retains full ability to flow and relax stresses under thermal stimulation, showing a 10 fold increase in viscosity and unchanged activation energy of about 100 kJ mol\n              −1\n              . Beyond 1 : 0.6 stoichiometry, a gradual transition from vitrimer to non-exchangeable crosslinked materials is observed as these networks show only partial stress relaxation due to interpenetration in the polyether network.","container-title":"Polymer Chemistry","DOI":"10.1039/D0PY00342E","ISSN":"1759-9954, 1759-9962","issue":"33","journalAbbreviation":"Polym. Chem.","language":"en","page":"5327-5338","source":"DOI.org (Crossref)","title":"Dicarboxylic acid-epoxy vitrimers: influence of the off-stoichiometric acid content on cure reactions and thermo-mechanical properties","title-short":"Dicarboxylic acid-epoxy vitrimers","volume":"11","author":[{"family":"Poutrel","given":"Quentin-Arthur"},{"family":"Blaker","given":"Jonny J."},{"family":"Soutis","given":"Constantinos"},{"family":"Tournilhac","given":"François"},{"family":"Gresil","given":"Matthieu"}],"issued":{"date-parts":[["2020"]]}}},{"id":4969,"uris":["http://zotero.org/users/4903636/items/6ZENSJS6"],"itemData":{"id":4969,"type":"personal_communication","title":"There are discussions about the state of TBD after the heating, however, the control experiment without the catalyst did not show reprocessability indicating the role and the activity of TBD."}}],"schema":"https://github.com/citation-style-language/schema/raw/master/csl-citation.json"} </w:instrText>
      </w:r>
      <w:r w:rsidRPr="00BD7731">
        <w:fldChar w:fldCharType="separate"/>
      </w:r>
      <w:r w:rsidR="001C3F85" w:rsidRPr="00BD7731">
        <w:rPr>
          <w:vertAlign w:val="superscript"/>
        </w:rPr>
        <w:t>[8,46,47]</w:t>
      </w:r>
      <w:r w:rsidRPr="00BD7731">
        <w:fldChar w:fldCharType="end"/>
      </w:r>
      <w:r w:rsidRPr="00BD7731">
        <w:rPr>
          <w:vertAlign w:val="superscript"/>
        </w:rPr>
        <w:t xml:space="preserve"> </w:t>
      </w:r>
      <w:r w:rsidRPr="00BD7731">
        <w:t>The mixture was heated at 170 °C for 24 h to give a polymer network</w:t>
      </w:r>
      <w:r w:rsidR="001422EF" w:rsidRPr="00BD7731">
        <w:t xml:space="preserve"> of</w:t>
      </w:r>
      <w:r w:rsidRPr="00BD7731">
        <w:t> </w:t>
      </w:r>
      <w:r w:rsidRPr="00BD7731">
        <w:rPr>
          <w:b/>
          <w:bCs/>
        </w:rPr>
        <w:t>TN</w:t>
      </w:r>
      <w:r w:rsidRPr="00BD7731">
        <w:rPr>
          <w:vertAlign w:val="subscript"/>
        </w:rPr>
        <w:t>5300</w:t>
      </w:r>
      <w:r w:rsidRPr="00BD7731">
        <w:t>. The formation of the crosslinked polymer was confirmed by swelling into CHCl</w:t>
      </w:r>
      <w:r w:rsidRPr="00BD7731">
        <w:rPr>
          <w:vertAlign w:val="subscript"/>
        </w:rPr>
        <w:t>3</w:t>
      </w:r>
      <w:r w:rsidRPr="00BD7731">
        <w:t xml:space="preserve">, and the gel fraction was determined. After screening the reaction conditions, the mixture with the ratio of </w:t>
      </w:r>
      <w:proofErr w:type="spellStart"/>
      <w:r w:rsidR="008C003A" w:rsidRPr="00BD7731">
        <w:t>PSt</w:t>
      </w:r>
      <w:r w:rsidR="008C003A" w:rsidRPr="00BD7731">
        <w:rPr>
          <w:i/>
          <w:iCs/>
          <w:vertAlign w:val="subscript"/>
        </w:rPr>
        <w:t>M</w:t>
      </w:r>
      <w:r w:rsidR="008C003A" w:rsidRPr="00BD7731">
        <w:rPr>
          <w:vertAlign w:val="subscript"/>
        </w:rPr>
        <w:t>n</w:t>
      </w:r>
      <w:proofErr w:type="spellEnd"/>
      <w:r w:rsidR="00127CF4" w:rsidRPr="00BD7731">
        <w:rPr>
          <w:vertAlign w:val="subscript"/>
        </w:rPr>
        <w:t>=5300</w:t>
      </w:r>
      <w:r w:rsidRPr="00BD7731">
        <w:t>/BADGE/TBD = 1/1.5/0.4 (mol ratio) gave the crosslinked polymer in the highest gel fraction of 93% (</w:t>
      </w:r>
      <w:r w:rsidRPr="00BD7731">
        <w:rPr>
          <w:b/>
          <w:bCs/>
        </w:rPr>
        <w:t>Table S1</w:t>
      </w:r>
      <w:r w:rsidR="000C4C44" w:rsidRPr="00BD7731">
        <w:t xml:space="preserve"> in SI</w:t>
      </w:r>
      <w:r w:rsidRPr="00BD7731">
        <w:t>)</w:t>
      </w:r>
      <w:r w:rsidR="00F141AB" w:rsidRPr="00BD7731">
        <w:t>.</w:t>
      </w:r>
      <w:r w:rsidRPr="00BD7731">
        <w:t xml:space="preserve"> The gel fractions of </w:t>
      </w:r>
      <w:r w:rsidRPr="00BD7731">
        <w:rPr>
          <w:b/>
          <w:bCs/>
        </w:rPr>
        <w:t>TN</w:t>
      </w:r>
      <w:r w:rsidRPr="00BD7731">
        <w:t xml:space="preserve"> from different molecular weight precursors were also high (89-93%). The crosslinked polymer networks </w:t>
      </w:r>
      <w:proofErr w:type="spellStart"/>
      <w:r w:rsidRPr="00BD7731">
        <w:rPr>
          <w:b/>
          <w:bCs/>
        </w:rPr>
        <w:t>RN</w:t>
      </w:r>
      <w:r w:rsidRPr="00BD7731">
        <w:rPr>
          <w:i/>
          <w:iCs/>
          <w:vertAlign w:val="subscript"/>
        </w:rPr>
        <w:t>n</w:t>
      </w:r>
      <w:proofErr w:type="spellEnd"/>
      <w:r w:rsidRPr="00BD7731">
        <w:t xml:space="preserve"> were synthesized from the corresponding random copolymers under </w:t>
      </w:r>
      <w:r w:rsidR="001422EF" w:rsidRPr="00BD7731">
        <w:t>similar</w:t>
      </w:r>
      <w:r w:rsidRPr="00BD7731">
        <w:t xml:space="preserve"> reaction conditions. The gel fractions were slightly lower (84-88%) than those of </w:t>
      </w:r>
      <w:r w:rsidR="001422EF" w:rsidRPr="00BD7731">
        <w:t xml:space="preserve">the </w:t>
      </w:r>
      <w:r w:rsidRPr="00BD7731">
        <w:t>corresponding </w:t>
      </w:r>
      <w:proofErr w:type="spellStart"/>
      <w:r w:rsidRPr="00BD7731">
        <w:rPr>
          <w:b/>
          <w:bCs/>
        </w:rPr>
        <w:t>TN</w:t>
      </w:r>
      <w:r w:rsidRPr="00BD7731">
        <w:rPr>
          <w:i/>
          <w:iCs/>
          <w:vertAlign w:val="subscript"/>
        </w:rPr>
        <w:t>n</w:t>
      </w:r>
      <w:proofErr w:type="spellEnd"/>
      <w:r w:rsidRPr="00BD7731">
        <w:t xml:space="preserve">, which </w:t>
      </w:r>
      <w:r w:rsidR="001422EF" w:rsidRPr="00BD7731">
        <w:t>could</w:t>
      </w:r>
      <w:r w:rsidRPr="00BD7731">
        <w:t xml:space="preserve"> be </w:t>
      </w:r>
      <w:r w:rsidR="001422EF" w:rsidRPr="00BD7731">
        <w:t>attributed</w:t>
      </w:r>
      <w:r w:rsidRPr="00BD7731">
        <w:t xml:space="preserve"> to the existence of the precursor polymers with </w:t>
      </w:r>
      <w:r w:rsidR="001422EF" w:rsidRPr="00BD7731">
        <w:t>a</w:t>
      </w:r>
      <w:r w:rsidRPr="00BD7731">
        <w:t xml:space="preserve"> reactive group of less than </w:t>
      </w:r>
      <w:r w:rsidR="001422EF" w:rsidRPr="00BD7731">
        <w:t>two</w:t>
      </w:r>
      <w:r w:rsidRPr="00BD7731">
        <w:t>.</w:t>
      </w:r>
    </w:p>
    <w:p w14:paraId="0D332D4E" w14:textId="6F32DECF" w:rsidR="00FC7FAA" w:rsidRPr="00BD7731" w:rsidRDefault="00FC557F" w:rsidP="001751B1">
      <w:pPr>
        <w:pStyle w:val="MainText"/>
        <w:spacing w:line="360" w:lineRule="auto"/>
        <w:ind w:firstLineChars="150" w:firstLine="360"/>
        <w:jc w:val="both"/>
      </w:pPr>
      <w:r w:rsidRPr="00BD7731">
        <w:t>Under</w:t>
      </w:r>
      <w:r w:rsidR="002A5F88" w:rsidRPr="00BD7731">
        <w:t xml:space="preserve"> the optimized condition of synthesis, the molar ratio of </w:t>
      </w:r>
      <w:r w:rsidRPr="00BD7731">
        <w:t xml:space="preserve">the </w:t>
      </w:r>
      <w:r w:rsidR="002A5F88" w:rsidRPr="00BD7731">
        <w:t xml:space="preserve">epoxide group in BADGE </w:t>
      </w:r>
      <w:r w:rsidRPr="00BD7731">
        <w:t>was</w:t>
      </w:r>
      <w:r w:rsidR="002A5F88" w:rsidRPr="00BD7731">
        <w:t xml:space="preserve"> 1.5 times to the carboxylic acid group in </w:t>
      </w:r>
      <w:proofErr w:type="spellStart"/>
      <w:r w:rsidR="002A5F88" w:rsidRPr="00BD7731">
        <w:t>PSt</w:t>
      </w:r>
      <w:proofErr w:type="spellEnd"/>
      <w:r w:rsidRPr="00BD7731">
        <w:t>.</w:t>
      </w:r>
      <w:r w:rsidR="002A5F88" w:rsidRPr="00BD7731">
        <w:t xml:space="preserve"> </w:t>
      </w:r>
      <w:r w:rsidRPr="00BD7731">
        <w:t>Thus</w:t>
      </w:r>
      <w:r w:rsidR="002A5F88" w:rsidRPr="00BD7731">
        <w:t xml:space="preserve">, </w:t>
      </w:r>
      <w:r w:rsidRPr="00BD7731">
        <w:t xml:space="preserve">a </w:t>
      </w:r>
      <w:r w:rsidR="002A5F88" w:rsidRPr="00BD7731">
        <w:t xml:space="preserve">self-reaction </w:t>
      </w:r>
      <w:r w:rsidRPr="00BD7731">
        <w:t xml:space="preserve">occurred </w:t>
      </w:r>
      <w:r w:rsidR="002A5F88" w:rsidRPr="00BD7731">
        <w:t xml:space="preserve">between </w:t>
      </w:r>
      <w:r w:rsidRPr="00BD7731">
        <w:t xml:space="preserve">the </w:t>
      </w:r>
      <w:r w:rsidR="002A5F88" w:rsidRPr="00BD7731">
        <w:t xml:space="preserve">BADGE epoxide and BADGE-derived hydroxyl group formed through epoxide opening to form crosslinking group in the network. </w:t>
      </w:r>
      <w:proofErr w:type="spellStart"/>
      <w:r w:rsidR="002A5F88" w:rsidRPr="00BD7731">
        <w:t>Poutrel</w:t>
      </w:r>
      <w:proofErr w:type="spellEnd"/>
      <w:r w:rsidR="002A5F88" w:rsidRPr="00BD7731">
        <w:t xml:space="preserve"> et al. reported that in carboxylic acid-epoxide </w:t>
      </w:r>
      <w:proofErr w:type="spellStart"/>
      <w:r w:rsidR="002A5F88" w:rsidRPr="00BD7731">
        <w:t>vitrimer</w:t>
      </w:r>
      <w:proofErr w:type="spellEnd"/>
      <w:r w:rsidR="002A5F88" w:rsidRPr="00BD7731">
        <w:t xml:space="preserve"> synthesis </w:t>
      </w:r>
      <w:r w:rsidRPr="00BD7731">
        <w:t>catalyzed</w:t>
      </w:r>
      <w:r w:rsidR="002A5F88" w:rsidRPr="00BD7731">
        <w:t xml:space="preserve"> by TBD</w:t>
      </w:r>
      <w:r w:rsidRPr="00BD7731">
        <w:t>, the reaction between the carboxylic acid and epoxide proceeded before the reaction between the hydroxyl group and epoxide in such off-stoichiometric condition</w:t>
      </w:r>
      <w:r w:rsidR="002A5F88" w:rsidRPr="00BD7731">
        <w:t>.</w:t>
      </w:r>
      <w:r w:rsidR="002A5F88" w:rsidRPr="00BD7731">
        <w:fldChar w:fldCharType="begin"/>
      </w:r>
      <w:r w:rsidR="001C3F85" w:rsidRPr="00BD7731">
        <w:instrText xml:space="preserve"> ADDIN ZOTERO_ITEM CSL_CITATION {"citationID":"QnxqXAYp","properties":{"formattedCitation":"\\super [46]\\nosupersub{}","plainCitation":"[46]","noteIndex":0},"citationItems":[{"id":5113,"uris":["http://zotero.org/users/4903636/items/DACWL2C7"],"itemData":{"id":5113,"type":"article-journal","abstract":"Vitrimers with 1 : 1 to 2 : 1 epoxy/acid ratio and TBD show increased stiffness and gradual transition from an exchangeable to non-exchangeable network.\n          , \n            \n              The present study explores a broad range of stoichiometry, with the [epoxy]/[acyl] ratio ranging from excess to unity for commercial diepoxide/sebacic acid vitrimer formulations, with 1,5,7-triazabicyclo[4.4.0]dec-5-ene (TBD) used as the catalyst. In particular, it investigates to what extent side reactions promoted by off-stoichiometry mixtures can help achieve desirable thermomechanical properties (\n              i.e.\n              glass transition\n              T\n              α\n              , Young's modulus, strain at break, and strength) for an optimised vitrimer that behaves like a stiff material at room temperature, retaining its capacity to flow at high temperature while remaining insoluble. The possible role of TBD as an anionic initiator is tested in the homopolymerisation of epoxy and compared to a known anionic initiator, 2-phenylimidazole (2-PI). Attenuated total reflection infrared (ATR-IR) spectroscopy reveals different reaction speeds, but an identical scenario for either 2-PI or TBD. The acid + epoxy addition occurs first, then epoxy homopolymerisation takes place after di-carboxylic acid consumption; an ester typically forms in less than 20 min at 125 °C with TBD, while the formation of ether takes several hours. For all [epoxy]/[acyl] ratios ranging from 1 : 1 to 1 : 0.3, it is found that the integrity of the network is retained when subjected to 1,2,4 trichlorobenzene (TCB) solvent treatment. From the 1 : 1 to 1 : 0.75 epoxy to acyl ratio, the material retains full ability to flow and relax stresses under thermal stimulation, showing a 10 fold increase in viscosity and unchanged activation energy of about 100 kJ mol\n              −1\n              . Beyond 1 : 0.6 stoichiometry, a gradual transition from vitrimer to non-exchangeable crosslinked materials is observed as these networks show only partial stress relaxation due to interpenetration in the polyether network.","container-title":"Polymer Chemistry","DOI":"10.1039/D0PY00342E","ISSN":"1759-9954, 1759-9962","issue":"33","journalAbbreviation":"Polym. Chem.","language":"en","page":"5327-5338","source":"DOI.org (Crossref)","title":"Dicarboxylic acid-epoxy vitrimers: influence of the off-stoichiometric acid content on cure reactions and thermo-mechanical properties","title-short":"Dicarboxylic acid-epoxy vitrimers","volume":"11","author":[{"family":"Poutrel","given":"Quentin-Arthur"},{"family":"Blaker","given":"Jonny J."},{"family":"Soutis","given":"Constantinos"},{"family":"Tournilhac","given":"François"},{"family":"Gresil","given":"Matthieu"}],"issued":{"date-parts":[["2020"]]}}}],"schema":"https://github.com/citation-style-language/schema/raw/master/csl-citation.json"} </w:instrText>
      </w:r>
      <w:r w:rsidR="002A5F88" w:rsidRPr="00BD7731">
        <w:fldChar w:fldCharType="separate"/>
      </w:r>
      <w:r w:rsidR="001C3F85" w:rsidRPr="00BD7731">
        <w:rPr>
          <w:vertAlign w:val="superscript"/>
        </w:rPr>
        <w:t>[46]</w:t>
      </w:r>
      <w:r w:rsidR="002A5F88" w:rsidRPr="00BD7731">
        <w:fldChar w:fldCharType="end"/>
      </w:r>
      <w:r w:rsidR="002A5F88" w:rsidRPr="00BD7731">
        <w:t xml:space="preserve"> Based on the feeding ratio, the </w:t>
      </w:r>
      <w:r w:rsidR="00C547B6" w:rsidRPr="00BD7731">
        <w:t>probable</w:t>
      </w:r>
      <w:r w:rsidR="002A5F88" w:rsidRPr="00BD7731">
        <w:t xml:space="preserve"> network structure of the </w:t>
      </w:r>
      <w:r w:rsidR="002A5F88" w:rsidRPr="00BD7731">
        <w:rPr>
          <w:b/>
          <w:bCs/>
        </w:rPr>
        <w:t>TN</w:t>
      </w:r>
      <w:r w:rsidR="002A5F88" w:rsidRPr="00BD7731">
        <w:t xml:space="preserve"> and </w:t>
      </w:r>
      <w:r w:rsidR="002A5F88" w:rsidRPr="00BD7731">
        <w:rPr>
          <w:b/>
          <w:bCs/>
        </w:rPr>
        <w:t>RN</w:t>
      </w:r>
      <w:r w:rsidR="002A5F88" w:rsidRPr="00BD7731">
        <w:t xml:space="preserve"> </w:t>
      </w:r>
      <w:r w:rsidRPr="00BD7731">
        <w:t>contained</w:t>
      </w:r>
      <w:r w:rsidR="002A5F88" w:rsidRPr="00BD7731">
        <w:t xml:space="preserve"> </w:t>
      </w:r>
      <w:r w:rsidR="00C547B6" w:rsidRPr="00BD7731">
        <w:t xml:space="preserve">a </w:t>
      </w:r>
      <w:r w:rsidR="002A5F88" w:rsidRPr="00BD7731">
        <w:t>dimeric BADGE-derived group as the crosslinking group (</w:t>
      </w:r>
      <w:r w:rsidR="002A5F88" w:rsidRPr="00BD7731">
        <w:rPr>
          <w:b/>
          <w:bCs/>
        </w:rPr>
        <w:t>Figure 1a</w:t>
      </w:r>
      <w:r w:rsidR="002A5F88" w:rsidRPr="00BD7731">
        <w:t xml:space="preserve">). </w:t>
      </w:r>
      <w:r w:rsidR="00C547B6" w:rsidRPr="00BD7731">
        <w:t>The</w:t>
      </w:r>
      <w:r w:rsidR="00AC0B91" w:rsidRPr="00BD7731">
        <w:t xml:space="preserve"> IR </w:t>
      </w:r>
      <w:r w:rsidR="00721F59" w:rsidRPr="00BD7731">
        <w:t xml:space="preserve">spectroscopic </w:t>
      </w:r>
      <w:r w:rsidR="00AC0B91" w:rsidRPr="00BD7731">
        <w:t xml:space="preserve">analysis </w:t>
      </w:r>
      <w:r w:rsidR="009632FC" w:rsidRPr="00BD7731">
        <w:t xml:space="preserve">of the synthesis of </w:t>
      </w:r>
      <w:r w:rsidR="009632FC" w:rsidRPr="00BD7731">
        <w:rPr>
          <w:b/>
          <w:bCs/>
        </w:rPr>
        <w:t>TN</w:t>
      </w:r>
      <w:r w:rsidR="009632FC" w:rsidRPr="00BD7731">
        <w:t xml:space="preserve"> and </w:t>
      </w:r>
      <w:r w:rsidR="009632FC" w:rsidRPr="00BD7731">
        <w:rPr>
          <w:b/>
          <w:bCs/>
        </w:rPr>
        <w:t>RN</w:t>
      </w:r>
      <w:r w:rsidR="009632FC" w:rsidRPr="00BD7731">
        <w:t xml:space="preserve"> </w:t>
      </w:r>
      <w:r w:rsidR="00AC0B91" w:rsidRPr="00BD7731">
        <w:t>exhibited the shift of C=O vibrational signal</w:t>
      </w:r>
      <w:r w:rsidR="00AC0B91" w:rsidRPr="00BD7731">
        <w:rPr>
          <w:rFonts w:asciiTheme="minorHAnsi" w:eastAsiaTheme="minorEastAsia" w:hAnsiTheme="minorHAnsi" w:cstheme="minorBidi"/>
          <w:sz w:val="22"/>
          <w:szCs w:val="22"/>
          <w:lang w:eastAsia="en-US"/>
        </w:rPr>
        <w:t xml:space="preserve"> </w:t>
      </w:r>
      <w:r w:rsidR="00AC0B91" w:rsidRPr="00BD7731">
        <w:t xml:space="preserve">to higher wavenumber, </w:t>
      </w:r>
      <w:r w:rsidR="00C547B6" w:rsidRPr="00BD7731">
        <w:t>corresponding</w:t>
      </w:r>
      <w:r w:rsidR="00AC0B91" w:rsidRPr="00BD7731">
        <w:t xml:space="preserve"> to the </w:t>
      </w:r>
      <w:r w:rsidR="009632FC" w:rsidRPr="00BD7731">
        <w:t>reaction of CO</w:t>
      </w:r>
      <w:r w:rsidR="009632FC" w:rsidRPr="00BD7731">
        <w:rPr>
          <w:vertAlign w:val="subscript"/>
        </w:rPr>
        <w:t>2</w:t>
      </w:r>
      <w:r w:rsidR="009632FC" w:rsidRPr="00BD7731">
        <w:t xml:space="preserve">H in </w:t>
      </w:r>
      <w:proofErr w:type="spellStart"/>
      <w:r w:rsidR="009632FC" w:rsidRPr="00BD7731">
        <w:t>PSt</w:t>
      </w:r>
      <w:proofErr w:type="spellEnd"/>
      <w:r w:rsidR="009632FC" w:rsidRPr="00BD7731">
        <w:t xml:space="preserve"> with epoxide in BADGE to form ester</w:t>
      </w:r>
      <w:r w:rsidR="00AC0B91" w:rsidRPr="00BD7731">
        <w:t xml:space="preserve"> (</w:t>
      </w:r>
      <w:r w:rsidR="00AC0B91" w:rsidRPr="00BD7731">
        <w:rPr>
          <w:b/>
          <w:bCs/>
        </w:rPr>
        <w:t>Figures S3-4</w:t>
      </w:r>
      <w:r w:rsidR="000C4C44" w:rsidRPr="00BD7731">
        <w:t xml:space="preserve"> in SI</w:t>
      </w:r>
      <w:r w:rsidR="00AC0B91" w:rsidRPr="00BD7731">
        <w:t>)</w:t>
      </w:r>
      <w:r w:rsidR="00FC7FAA" w:rsidRPr="00BD7731">
        <w:t xml:space="preserve">. </w:t>
      </w:r>
      <w:r w:rsidR="002A5F88" w:rsidRPr="00BD7731">
        <w:t>T</w:t>
      </w:r>
      <w:r w:rsidR="00FC7FAA" w:rsidRPr="00BD7731">
        <w:t xml:space="preserve">he </w:t>
      </w:r>
      <w:r w:rsidR="00C547B6" w:rsidRPr="00BD7731">
        <w:t>epoxide consumption was difficult to quantify</w:t>
      </w:r>
      <w:r w:rsidR="00FC7FAA" w:rsidRPr="00BD7731">
        <w:t xml:space="preserve"> in IR analysis due to the overlapping </w:t>
      </w:r>
      <w:r w:rsidR="00262307" w:rsidRPr="00BD7731">
        <w:t xml:space="preserve">of the characteristic signal </w:t>
      </w:r>
      <w:r w:rsidR="00C547B6" w:rsidRPr="00BD7731">
        <w:t xml:space="preserve">and the </w:t>
      </w:r>
      <w:proofErr w:type="spellStart"/>
      <w:r w:rsidR="00C547B6" w:rsidRPr="00BD7731">
        <w:t>PSt</w:t>
      </w:r>
      <w:proofErr w:type="spellEnd"/>
      <w:r w:rsidR="00C547B6" w:rsidRPr="00BD7731">
        <w:t xml:space="preserve"> signal</w:t>
      </w:r>
      <w:r w:rsidR="00FC7FAA" w:rsidRPr="00BD7731">
        <w:t xml:space="preserve"> (</w:t>
      </w:r>
      <w:r w:rsidR="00FC7FAA" w:rsidRPr="00BD7731">
        <w:rPr>
          <w:b/>
          <w:bCs/>
        </w:rPr>
        <w:t>Figure S</w:t>
      </w:r>
      <w:r w:rsidR="007409D9" w:rsidRPr="00BD7731">
        <w:rPr>
          <w:b/>
          <w:bCs/>
        </w:rPr>
        <w:t>5</w:t>
      </w:r>
      <w:r w:rsidR="00FC7FAA" w:rsidRPr="00BD7731">
        <w:t xml:space="preserve"> in SI).</w:t>
      </w:r>
      <w:r w:rsidR="008C003A" w:rsidRPr="00BD7731">
        <w:t xml:space="preserve"> </w:t>
      </w:r>
      <w:r w:rsidR="002A5F88" w:rsidRPr="00BD7731">
        <w:t xml:space="preserve">Therefore, the formation of </w:t>
      </w:r>
      <w:r w:rsidR="00C547B6" w:rsidRPr="00BD7731">
        <w:t xml:space="preserve">the </w:t>
      </w:r>
      <w:r w:rsidR="002A5F88" w:rsidRPr="00BD7731">
        <w:t xml:space="preserve">BADGE-derived crosslinking group was confirmed by </w:t>
      </w:r>
      <w:r w:rsidR="00C547B6" w:rsidRPr="00BD7731">
        <w:t>analyzing</w:t>
      </w:r>
      <w:r w:rsidR="002A5F88" w:rsidRPr="00BD7731">
        <w:t xml:space="preserve"> </w:t>
      </w:r>
      <w:r w:rsidR="00C547B6" w:rsidRPr="00BD7731">
        <w:t xml:space="preserve">the </w:t>
      </w:r>
      <w:r w:rsidR="002A5F88" w:rsidRPr="00BD7731">
        <w:t>BADGE-derived compound in the network. The decomposition of</w:t>
      </w:r>
      <w:r w:rsidR="00D00E5C" w:rsidRPr="00BD7731">
        <w:t xml:space="preserve"> the networks by </w:t>
      </w:r>
      <w:proofErr w:type="spellStart"/>
      <w:r w:rsidR="00D00E5C" w:rsidRPr="00BD7731">
        <w:t>methanolysis</w:t>
      </w:r>
      <w:proofErr w:type="spellEnd"/>
      <w:r w:rsidR="00D00E5C" w:rsidRPr="00BD7731">
        <w:t xml:space="preserve"> of ester</w:t>
      </w:r>
      <w:r w:rsidR="00D96285" w:rsidRPr="00BD7731">
        <w:t xml:space="preserve"> linkage to </w:t>
      </w:r>
      <w:r w:rsidR="00131996" w:rsidRPr="00BD7731">
        <w:t>split</w:t>
      </w:r>
      <w:r w:rsidR="00BF4E7E" w:rsidRPr="00BD7731">
        <w:t xml:space="preserve"> </w:t>
      </w:r>
      <w:proofErr w:type="spellStart"/>
      <w:r w:rsidR="00BF4E7E" w:rsidRPr="00BD7731">
        <w:t>PSt</w:t>
      </w:r>
      <w:proofErr w:type="spellEnd"/>
      <w:r w:rsidR="00BF4E7E" w:rsidRPr="00BD7731">
        <w:t xml:space="preserve"> and BADGE-derived compounds</w:t>
      </w:r>
      <w:r w:rsidR="00D00E5C" w:rsidRPr="00BD7731">
        <w:t xml:space="preserve"> </w:t>
      </w:r>
      <w:r w:rsidR="00C547B6" w:rsidRPr="00BD7731">
        <w:t>reveals</w:t>
      </w:r>
      <w:r w:rsidR="00D00E5C" w:rsidRPr="00BD7731">
        <w:t xml:space="preserve"> that </w:t>
      </w:r>
      <w:r w:rsidR="00C547B6" w:rsidRPr="00BD7731">
        <w:t xml:space="preserve">the </w:t>
      </w:r>
      <w:r w:rsidR="00D00E5C" w:rsidRPr="00BD7731">
        <w:t xml:space="preserve">dimeric </w:t>
      </w:r>
      <w:r w:rsidR="00131996" w:rsidRPr="00BD7731">
        <w:t>BADGE</w:t>
      </w:r>
      <w:r w:rsidR="00540814" w:rsidRPr="00BD7731">
        <w:t>-derived compound</w:t>
      </w:r>
      <w:r w:rsidR="00D00E5C" w:rsidRPr="00BD7731">
        <w:t xml:space="preserve"> </w:t>
      </w:r>
      <w:r w:rsidR="00C547B6" w:rsidRPr="00BD7731">
        <w:t>is</w:t>
      </w:r>
      <w:r w:rsidR="00D00E5C" w:rsidRPr="00BD7731">
        <w:t xml:space="preserve"> the main </w:t>
      </w:r>
      <w:r w:rsidR="002A5F88" w:rsidRPr="00BD7731">
        <w:t>component</w:t>
      </w:r>
      <w:r w:rsidR="00F53673" w:rsidRPr="00BD7731">
        <w:t xml:space="preserve"> along with</w:t>
      </w:r>
      <w:r w:rsidR="00C547B6" w:rsidRPr="00BD7731">
        <w:t xml:space="preserve"> the</w:t>
      </w:r>
      <w:r w:rsidR="00F53673" w:rsidRPr="00BD7731">
        <w:t xml:space="preserve"> oligomeric BADGE in a small amount</w:t>
      </w:r>
      <w:r w:rsidR="002A5F88" w:rsidRPr="00BD7731">
        <w:t xml:space="preserve">, </w:t>
      </w:r>
      <w:r w:rsidR="00C547B6" w:rsidRPr="00BD7731">
        <w:t>indicating</w:t>
      </w:r>
      <w:r w:rsidR="00552E6D" w:rsidRPr="00BD7731">
        <w:t xml:space="preserve"> </w:t>
      </w:r>
      <w:r w:rsidR="002A5F88" w:rsidRPr="00BD7731">
        <w:t>the structure of the network</w:t>
      </w:r>
      <w:r w:rsidR="001A6E12" w:rsidRPr="00BD7731">
        <w:t xml:space="preserve"> shown in</w:t>
      </w:r>
      <w:r w:rsidR="001A6E12" w:rsidRPr="00BD7731">
        <w:rPr>
          <w:b/>
          <w:bCs/>
        </w:rPr>
        <w:t xml:space="preserve"> Figure 1a</w:t>
      </w:r>
      <w:r w:rsidR="002A5F88" w:rsidRPr="00BD7731">
        <w:t xml:space="preserve"> </w:t>
      </w:r>
      <w:r w:rsidR="00B83F64" w:rsidRPr="00BD7731">
        <w:t xml:space="preserve">and </w:t>
      </w:r>
      <w:r w:rsidR="00B83F64" w:rsidRPr="00BD7731">
        <w:rPr>
          <w:b/>
          <w:bCs/>
        </w:rPr>
        <w:t>1c</w:t>
      </w:r>
      <w:r w:rsidR="00B83F64" w:rsidRPr="00BD7731">
        <w:t xml:space="preserve"> (R</w:t>
      </w:r>
      <w:r w:rsidR="00B83F64" w:rsidRPr="00BD7731">
        <w:rPr>
          <w:vertAlign w:val="superscript"/>
        </w:rPr>
        <w:t>2</w:t>
      </w:r>
      <w:r w:rsidR="00B83F64" w:rsidRPr="00BD7731">
        <w:t xml:space="preserve"> = H) </w:t>
      </w:r>
      <w:r w:rsidR="00BF4E7E" w:rsidRPr="00BD7731">
        <w:t>(</w:t>
      </w:r>
      <w:r w:rsidR="00C547B6" w:rsidRPr="00BD7731">
        <w:t>section 4, SI</w:t>
      </w:r>
      <w:r w:rsidR="00BF4E7E" w:rsidRPr="00BD7731">
        <w:t>).</w:t>
      </w:r>
    </w:p>
    <w:p w14:paraId="03D480B0" w14:textId="0A59A21A" w:rsidR="00F4646B" w:rsidRPr="00BD7731" w:rsidRDefault="00F4646B" w:rsidP="001751B1">
      <w:pPr>
        <w:pStyle w:val="MainText"/>
        <w:spacing w:line="360" w:lineRule="auto"/>
        <w:ind w:firstLineChars="150" w:firstLine="360"/>
        <w:jc w:val="both"/>
      </w:pPr>
    </w:p>
    <w:p w14:paraId="3A4C4B3D" w14:textId="0FC9D05F" w:rsidR="00AC0B91" w:rsidRPr="00BD7731" w:rsidRDefault="00AC0B91" w:rsidP="00F4646B">
      <w:pPr>
        <w:pStyle w:val="MainText"/>
        <w:spacing w:line="360" w:lineRule="auto"/>
        <w:ind w:firstLineChars="150" w:firstLine="360"/>
        <w:jc w:val="both"/>
      </w:pPr>
      <w:r w:rsidRPr="00BD7731">
        <w:t xml:space="preserve">The obtained </w:t>
      </w:r>
      <w:proofErr w:type="spellStart"/>
      <w:r w:rsidRPr="00BD7731">
        <w:t>vitrimer</w:t>
      </w:r>
      <w:proofErr w:type="spellEnd"/>
      <w:r w:rsidRPr="00BD7731">
        <w:t xml:space="preserve"> </w:t>
      </w:r>
      <w:r w:rsidRPr="00BD7731">
        <w:rPr>
          <w:b/>
          <w:bCs/>
        </w:rPr>
        <w:t>RN</w:t>
      </w:r>
      <w:r w:rsidRPr="00BD7731">
        <w:t xml:space="preserve"> and </w:t>
      </w:r>
      <w:r w:rsidRPr="00BD7731">
        <w:rPr>
          <w:b/>
          <w:bCs/>
        </w:rPr>
        <w:t>TN</w:t>
      </w:r>
      <w:r w:rsidRPr="00BD7731">
        <w:t xml:space="preserve"> were reversely molded at high </w:t>
      </w:r>
      <w:r w:rsidR="00E045C3" w:rsidRPr="00BD7731">
        <w:t>temperatures</w:t>
      </w:r>
      <w:r w:rsidRPr="00BD7731">
        <w:t xml:space="preserve">. </w:t>
      </w:r>
      <w:r w:rsidRPr="00BD7731">
        <w:rPr>
          <w:b/>
          <w:bCs/>
        </w:rPr>
        <w:t>RN</w:t>
      </w:r>
      <w:r w:rsidRPr="00BD7731">
        <w:t xml:space="preserve"> was </w:t>
      </w:r>
      <w:r w:rsidR="00E045C3" w:rsidRPr="00BD7731">
        <w:t>molded</w:t>
      </w:r>
      <w:r w:rsidRPr="00BD7731">
        <w:t xml:space="preserve"> at 220 °C, </w:t>
      </w:r>
      <w:r w:rsidR="00E045C3" w:rsidRPr="00BD7731">
        <w:t>while</w:t>
      </w:r>
      <w:r w:rsidRPr="00BD7731">
        <w:t xml:space="preserve"> </w:t>
      </w:r>
      <w:r w:rsidRPr="00BD7731">
        <w:rPr>
          <w:b/>
          <w:bCs/>
        </w:rPr>
        <w:t>TN</w:t>
      </w:r>
      <w:r w:rsidRPr="00BD7731">
        <w:t xml:space="preserve"> was </w:t>
      </w:r>
      <w:r w:rsidR="00E045C3" w:rsidRPr="00BD7731">
        <w:t xml:space="preserve">molded </w:t>
      </w:r>
      <w:r w:rsidRPr="00BD7731">
        <w:t xml:space="preserve">at </w:t>
      </w:r>
      <w:r w:rsidR="00E045C3" w:rsidRPr="00BD7731">
        <w:t xml:space="preserve">either </w:t>
      </w:r>
      <w:r w:rsidRPr="00BD7731">
        <w:t xml:space="preserve">180 or 200 °C. </w:t>
      </w:r>
      <w:r w:rsidRPr="00BD7731">
        <w:rPr>
          <w:b/>
          <w:bCs/>
        </w:rPr>
        <w:t>Figure 3a</w:t>
      </w:r>
      <w:r w:rsidRPr="00BD7731">
        <w:t xml:space="preserve"> </w:t>
      </w:r>
      <w:r w:rsidR="00E045C3" w:rsidRPr="00BD7731">
        <w:t>shows</w:t>
      </w:r>
      <w:r w:rsidRPr="00BD7731">
        <w:t xml:space="preserve"> the molding of</w:t>
      </w:r>
      <w:r w:rsidR="00E045C3" w:rsidRPr="00BD7731">
        <w:t xml:space="preserve"> the</w:t>
      </w:r>
      <w:r w:rsidRPr="00BD7731">
        <w:t xml:space="preserve"> </w:t>
      </w:r>
      <w:r w:rsidRPr="00BD7731">
        <w:rPr>
          <w:b/>
          <w:bCs/>
        </w:rPr>
        <w:t>TN</w:t>
      </w:r>
      <w:r w:rsidRPr="00BD7731">
        <w:t xml:space="preserve"> sample and its swelling behavior in 1,2-dichlorobenzene. </w:t>
      </w:r>
      <w:r w:rsidR="00BD473E" w:rsidRPr="00BD7731">
        <w:t>The</w:t>
      </w:r>
      <w:r w:rsidRPr="00BD7731">
        <w:t xml:space="preserve"> swollen </w:t>
      </w:r>
      <w:r w:rsidRPr="00BD7731">
        <w:rPr>
          <w:b/>
          <w:bCs/>
        </w:rPr>
        <w:t>TN</w:t>
      </w:r>
      <w:r w:rsidRPr="00BD7731">
        <w:t xml:space="preserve"> became soft and almost </w:t>
      </w:r>
      <w:r w:rsidR="00BD473E" w:rsidRPr="00BD7731">
        <w:t>fluid-like upon heating at 160 °C.</w:t>
      </w:r>
      <w:r w:rsidRPr="00BD7731">
        <w:t xml:space="preserve"> </w:t>
      </w:r>
      <w:r w:rsidR="00BD473E" w:rsidRPr="00BD7731">
        <w:t>The</w:t>
      </w:r>
      <w:r w:rsidRPr="00BD7731">
        <w:t xml:space="preserve"> sample gradually dispersed into the solvent</w:t>
      </w:r>
      <w:r w:rsidR="00BD473E" w:rsidRPr="00BD7731">
        <w:t xml:space="preserve"> when the temperature was further increased</w:t>
      </w:r>
      <w:r w:rsidRPr="00BD7731">
        <w:t xml:space="preserve">. Such dispersion or </w:t>
      </w:r>
      <w:r w:rsidR="00B25D13" w:rsidRPr="00BD7731">
        <w:t xml:space="preserve">dissolution </w:t>
      </w:r>
      <w:r w:rsidRPr="00BD7731">
        <w:t xml:space="preserve">of </w:t>
      </w:r>
      <w:proofErr w:type="spellStart"/>
      <w:r w:rsidRPr="00BD7731">
        <w:t>vitrimer</w:t>
      </w:r>
      <w:proofErr w:type="spellEnd"/>
      <w:r w:rsidRPr="00BD7731">
        <w:t xml:space="preserve"> </w:t>
      </w:r>
      <w:r w:rsidR="00BD473E" w:rsidRPr="00BD7731">
        <w:t>was also reported</w:t>
      </w:r>
      <w:r w:rsidRPr="00BD7731">
        <w:t xml:space="preserve"> in </w:t>
      </w:r>
      <w:r w:rsidR="00BD473E" w:rsidRPr="00BD7731">
        <w:t>recent studies.</w:t>
      </w:r>
      <w:r w:rsidRPr="00BD7731">
        <w:fldChar w:fldCharType="begin"/>
      </w:r>
      <w:r w:rsidR="001C3F85" w:rsidRPr="00BD7731">
        <w:instrText xml:space="preserve"> ADDIN ZOTERO_ITEM CSL_CITATION {"citationID":"4PQmHATY","properties":{"formattedCitation":"\\super [31,33]\\nosupersub{}","plainCitation":"[31,33]","noteIndex":0},"citationItems":[{"id":3233,"uris":["http://zotero.org/users/4903636/items/QVYNX8TL"],"itemData":{"id":3233,"type":"article-journal","abstract":"Vitrimers are polymer networks able to change their topology through degenerate exchange reactions. As a result, they behave like elastic solids when the topology of the network is frozen and like viscoelastic liquids at high temperatures. Controlling the dynamics of molecular exchange is essential to regulate the solid-to-liquid transition temperature in elastomeric vitrimers. In this study, such materials were prepared by the radical grafting of a bis-thiol dioxaborolane onto a low molar mass unentangled polybutadiene. All the resulting elastomeric vitrimers fully relax stress and are reprocessable and recyclable. Because of the low molar mass of the thermoplastic precursor, the low number of cross-links per chain, and the dynamics of the dioxaborolane exchange reaction, these vitrimers dissolve in tetrahydrofuran after prolonged immersion time at room temperature. Creep-recovery experiments at various temperatures show that both the viscosity and the viscosity activation energy of vitrimers can be controlled by manipulating the cross-linking density. This feature offers a new perspective on developing vitrimers with improved creep resistance at service temperatures and desirable flow properties at processing temperatures. In order to prepare reprocessable elastomers with improved creep resistance, we prepared dual networks that feature both dynamic and static cross-links. Even with fractions of static cross-links sufficient to form a percolated network, these dual networks are fully recyclable and exhibit strong adhesion with welding times as short as 2 min at 150 °C.","container-title":"Macromolecules","DOI":"10.1021/acs.macromol.9b01288","ISSN":"0024-9297","issue":"18","journalAbbreviation":"Macromolecules","note":"publisher: American Chemical Society","page":"7102-7113","source":"ACS Publications","title":"Polybutadiene Vitrimers Based on Dioxaborolane Chemistry and Dual Networks with Static and Dynamic Cross-links","volume":"52","author":[{"family":"Breuillac","given":"Antoine"},{"family":"Kassalias","given":"Alexis"},{"family":"Nicolaÿ","given":"Renaud"}],"issued":{"date-parts":[["2019",9,24]]}}},{"id":3156,"uris":["http://zotero.org/users/4903636/items/VZWVTUKD"],"itemData":{"id":3156,"type":"article-journal","abstract":"A family of biobased polyimine elastomeric vitrimers was synthesized by reactions between di- and trifunctional polyetheramines and a furan-based dialdehyde. By varying the triamine to diamine ratio and the molar mass of the diamine, a set of cross-linked networks with similar chemical structures but diﬀerent cross-link densities was obtained. All these materials exhibit a vitrimeric behavior because of the dynamic nature of the imine bonds. This fundamental study clearly reveals that the crosslink density has a drastic eﬀect on the relaxation properties of the vitrimers. For instance, the relaxation times and the activation energies reduced when the cross-link density of the vitrimer networks decreased. This shows that the relaxation properties of vitrimers can be controlled by the sole modiﬁcation of the network physical properties without the introduction of a catalyst, a change in chemical structure, or the introduction of additional chemical groups. In addition, a fast dual relaxation process has been clearly evidenced during stress relaxation experiments, which could potentially lead to double relaxation modes based on supramolecular interactions. The selective solubility of these polyimine networks was also demonstrated, opening interesting possibilities for chemical recycling while still oﬀering robustness against aggressive conditions such as highly basic solutions. Finally, the dynamic properties and the high thermal stability of the designed polyimine networks provide an interesting reprocessability and tunable mechanical properties, showing the versatility of this sustainable family of vitrimer materials.","container-title":"Macromolecules","DOI":"10.1021/acs.macromol.0c00453","ISSN":"0024-9297, 1520-5835","issue":"10","journalAbbreviation":"Macromolecules","language":"en","page":"3796-3805","source":"DOI.org (Crossref)","title":"Network Design to Control Polyimine Vitrimer Properties: Physical Versus Chemical Approach","title-short":"Network Design to Control Polyimine Vitrimer Properties","volume":"53","author":[{"family":"Hajj","given":"Raymond"},{"family":"Duval","given":"Antoine"},{"family":"Dhers","given":"Sébastien"},{"family":"Avérous","given":"Luc"}],"issued":{"date-parts":[["2020",5,26]]}}}],"schema":"https://github.com/citation-style-language/schema/raw/master/csl-citation.json"} </w:instrText>
      </w:r>
      <w:r w:rsidRPr="00BD7731">
        <w:fldChar w:fldCharType="separate"/>
      </w:r>
      <w:r w:rsidR="001751B1" w:rsidRPr="00BD7731">
        <w:rPr>
          <w:vertAlign w:val="superscript"/>
        </w:rPr>
        <w:t>[31,33]</w:t>
      </w:r>
      <w:r w:rsidRPr="00BD7731">
        <w:fldChar w:fldCharType="end"/>
      </w:r>
      <w:r w:rsidRPr="00BD7731">
        <w:t xml:space="preserve"> </w:t>
      </w:r>
      <w:bookmarkStart w:id="3" w:name="_Hlk82294902"/>
      <w:proofErr w:type="spellStart"/>
      <w:r w:rsidRPr="00BD7731">
        <w:t>Breuillac</w:t>
      </w:r>
      <w:proofErr w:type="spellEnd"/>
      <w:r w:rsidRPr="00BD7731">
        <w:t xml:space="preserve"> et al. reported that the dissolution of the </w:t>
      </w:r>
      <w:proofErr w:type="spellStart"/>
      <w:r w:rsidRPr="00BD7731">
        <w:t>vitrimer</w:t>
      </w:r>
      <w:proofErr w:type="spellEnd"/>
      <w:r w:rsidRPr="00BD7731">
        <w:t xml:space="preserve"> </w:t>
      </w:r>
      <w:r w:rsidR="00BD473E" w:rsidRPr="00BD7731">
        <w:t>was</w:t>
      </w:r>
      <w:r w:rsidRPr="00BD7731">
        <w:t xml:space="preserve"> a change from </w:t>
      </w:r>
      <w:r w:rsidR="00BD473E" w:rsidRPr="00BD7731">
        <w:t xml:space="preserve">the </w:t>
      </w:r>
      <w:r w:rsidRPr="00BD7731">
        <w:t xml:space="preserve">crosslinked polymer to a branched polymer with a loop-rich structure. We analyzed the dissolved polymer by GPC and found the polymer fraction with </w:t>
      </w:r>
      <w:r w:rsidRPr="00BD7731">
        <w:rPr>
          <w:i/>
          <w:iCs/>
        </w:rPr>
        <w:t>M</w:t>
      </w:r>
      <w:r w:rsidRPr="00BD7731">
        <w:rPr>
          <w:vertAlign w:val="subscript"/>
        </w:rPr>
        <w:t>n</w:t>
      </w:r>
      <w:r w:rsidRPr="00BD7731">
        <w:t xml:space="preserve"> ~ </w:t>
      </w:r>
      <w:r w:rsidR="00AC289E" w:rsidRPr="00BD7731">
        <w:t>8</w:t>
      </w:r>
      <w:r w:rsidRPr="00BD7731">
        <w:t xml:space="preserve">0000 for </w:t>
      </w:r>
      <w:r w:rsidRPr="00BD7731">
        <w:rPr>
          <w:b/>
          <w:bCs/>
        </w:rPr>
        <w:t>TN</w:t>
      </w:r>
      <w:r w:rsidRPr="00BD7731">
        <w:rPr>
          <w:vertAlign w:val="subscript"/>
        </w:rPr>
        <w:t>8600</w:t>
      </w:r>
      <w:r w:rsidR="007409D9" w:rsidRPr="00BD7731">
        <w:t xml:space="preserve"> </w:t>
      </w:r>
      <w:r w:rsidR="00BD473E" w:rsidRPr="00BD7731">
        <w:t>corresponding</w:t>
      </w:r>
      <w:r w:rsidR="007409D9" w:rsidRPr="00BD7731">
        <w:t xml:space="preserve"> to </w:t>
      </w:r>
      <w:r w:rsidR="00BD473E" w:rsidRPr="00BD7731">
        <w:t xml:space="preserve">approximately </w:t>
      </w:r>
      <w:r w:rsidR="007409D9" w:rsidRPr="00BD7731">
        <w:t xml:space="preserve">9-meric structure of the original </w:t>
      </w:r>
      <w:proofErr w:type="spellStart"/>
      <w:r w:rsidR="007409D9" w:rsidRPr="00BD7731">
        <w:t>PSt</w:t>
      </w:r>
      <w:proofErr w:type="spellEnd"/>
      <w:r w:rsidR="007409D9" w:rsidRPr="00BD7731">
        <w:t xml:space="preserve"> on average</w:t>
      </w:r>
      <w:r w:rsidR="00383FEC" w:rsidRPr="00BD7731">
        <w:t xml:space="preserve"> (</w:t>
      </w:r>
      <w:r w:rsidR="00383FEC" w:rsidRPr="00BD7731">
        <w:rPr>
          <w:b/>
          <w:bCs/>
        </w:rPr>
        <w:t>Figure S9</w:t>
      </w:r>
      <w:r w:rsidR="00383FEC" w:rsidRPr="00BD7731">
        <w:t xml:space="preserve"> in SI)</w:t>
      </w:r>
      <w:r w:rsidRPr="00BD7731">
        <w:t>.</w:t>
      </w:r>
      <w:bookmarkEnd w:id="3"/>
      <w:r w:rsidRPr="00BD7731">
        <w:t xml:space="preserve"> </w:t>
      </w:r>
      <w:r w:rsidR="00BD473E" w:rsidRPr="00BD7731">
        <w:t>Conversely</w:t>
      </w:r>
      <w:r w:rsidRPr="00BD7731">
        <w:t xml:space="preserve">, </w:t>
      </w:r>
      <w:r w:rsidRPr="00BD7731">
        <w:rPr>
          <w:b/>
          <w:bCs/>
        </w:rPr>
        <w:t>RN</w:t>
      </w:r>
      <w:r w:rsidRPr="00BD7731">
        <w:t xml:space="preserve"> did not show fluid-like behavior </w:t>
      </w:r>
      <w:r w:rsidR="00BD473E" w:rsidRPr="00BD7731">
        <w:t>or</w:t>
      </w:r>
      <w:r w:rsidRPr="00BD7731">
        <w:t xml:space="preserve"> </w:t>
      </w:r>
      <w:r w:rsidR="00383FEC" w:rsidRPr="00BD7731">
        <w:t>dissolution</w:t>
      </w:r>
      <w:r w:rsidRPr="00BD7731">
        <w:t xml:space="preserve"> into </w:t>
      </w:r>
      <w:r w:rsidR="00BD473E" w:rsidRPr="00BD7731">
        <w:t>the</w:t>
      </w:r>
      <w:r w:rsidRPr="00BD7731">
        <w:t xml:space="preserve"> solvent.</w:t>
      </w:r>
      <w:r w:rsidR="007F2F6B" w:rsidRPr="00BD7731">
        <w:t xml:space="preserve"> </w:t>
      </w:r>
      <w:r w:rsidR="00BD473E" w:rsidRPr="00BD7731">
        <w:t>Furthermore, the</w:t>
      </w:r>
      <w:r w:rsidRPr="00BD7731">
        <w:t xml:space="preserve"> swelling ratio, crosslink density, and correlations with the chain length (molecular weight) differed in </w:t>
      </w:r>
      <w:r w:rsidRPr="00BD7731">
        <w:rPr>
          <w:b/>
          <w:bCs/>
        </w:rPr>
        <w:t>RN</w:t>
      </w:r>
      <w:r w:rsidRPr="00BD7731">
        <w:t xml:space="preserve"> and </w:t>
      </w:r>
      <w:r w:rsidRPr="00BD7731">
        <w:rPr>
          <w:b/>
          <w:bCs/>
        </w:rPr>
        <w:t>TN</w:t>
      </w:r>
      <w:r w:rsidRPr="00BD7731">
        <w:t xml:space="preserve"> (</w:t>
      </w:r>
      <w:r w:rsidRPr="00BD7731">
        <w:rPr>
          <w:b/>
          <w:bCs/>
        </w:rPr>
        <w:t>Figure 3b and 3c</w:t>
      </w:r>
      <w:r w:rsidRPr="00BD7731">
        <w:t xml:space="preserve">). The correlation between crosslink density and </w:t>
      </w:r>
      <w:r w:rsidRPr="00BD7731">
        <w:rPr>
          <w:i/>
          <w:iCs/>
        </w:rPr>
        <w:t>M</w:t>
      </w:r>
      <w:r w:rsidRPr="00BD7731">
        <w:rPr>
          <w:vertAlign w:val="subscript"/>
        </w:rPr>
        <w:t>n</w:t>
      </w:r>
      <w:r w:rsidRPr="00BD7731">
        <w:t xml:space="preserve"> of the precursor is reasonable because the precursor chains have two (or two on average) functional groups regardless of the chain length.</w:t>
      </w:r>
    </w:p>
    <w:p w14:paraId="44E27FCD" w14:textId="02359C01" w:rsidR="00F4646B" w:rsidRPr="00BD7731" w:rsidRDefault="00A85396" w:rsidP="00A85396">
      <w:pPr>
        <w:pStyle w:val="MainText"/>
        <w:spacing w:line="360" w:lineRule="auto"/>
        <w:ind w:firstLineChars="150" w:firstLine="360"/>
        <w:jc w:val="both"/>
      </w:pPr>
      <w:r w:rsidRPr="00BD7731">
        <w:t>With respect to</w:t>
      </w:r>
      <w:r w:rsidR="00AC0B91" w:rsidRPr="00BD7731">
        <w:t xml:space="preserve"> the bulk behavior of the samples, we </w:t>
      </w:r>
      <w:r w:rsidRPr="00BD7731">
        <w:t>determined</w:t>
      </w:r>
      <w:r w:rsidR="00AC0B91" w:rsidRPr="00BD7731">
        <w:t xml:space="preserve"> that </w:t>
      </w:r>
      <w:r w:rsidR="00AC0B91" w:rsidRPr="00BD7731">
        <w:rPr>
          <w:b/>
          <w:bCs/>
        </w:rPr>
        <w:t>TN</w:t>
      </w:r>
      <w:r w:rsidR="00AC0B91" w:rsidRPr="00BD7731">
        <w:rPr>
          <w:vertAlign w:val="subscript"/>
        </w:rPr>
        <w:t>8600</w:t>
      </w:r>
      <w:r w:rsidR="00AC0B91" w:rsidRPr="00BD7731">
        <w:t xml:space="preserve"> adopted a fluid state and changed the shape to minimize interfacial energies; </w:t>
      </w:r>
      <w:r w:rsidRPr="00BD7731">
        <w:t>simultaneously</w:t>
      </w:r>
      <w:r w:rsidR="00AC0B91" w:rsidRPr="00BD7731">
        <w:t xml:space="preserve">, </w:t>
      </w:r>
      <w:r w:rsidR="00AC0B91" w:rsidRPr="00BD7731">
        <w:rPr>
          <w:b/>
          <w:bCs/>
        </w:rPr>
        <w:t>RN</w:t>
      </w:r>
      <w:r w:rsidR="00AC0B91" w:rsidRPr="00BD7731">
        <w:rPr>
          <w:vertAlign w:val="subscript"/>
        </w:rPr>
        <w:t>8500</w:t>
      </w:r>
      <w:r w:rsidR="00AC0B91" w:rsidRPr="00BD7731">
        <w:t xml:space="preserve"> </w:t>
      </w:r>
      <w:r w:rsidRPr="00BD7731">
        <w:t>maintained</w:t>
      </w:r>
      <w:r w:rsidR="00AC0B91" w:rsidRPr="00BD7731">
        <w:t xml:space="preserve"> the original shape after 1600 </w:t>
      </w:r>
      <w:r w:rsidRPr="00BD7731">
        <w:t>s</w:t>
      </w:r>
      <w:r w:rsidR="00AC0B91" w:rsidRPr="00BD7731">
        <w:t xml:space="preserve"> of heating. These dynamics were quantified by a time-lapsed contact angle measurement (</w:t>
      </w:r>
      <w:r w:rsidR="00AC0B91" w:rsidRPr="00BD7731">
        <w:rPr>
          <w:b/>
          <w:bCs/>
        </w:rPr>
        <w:t>Figure 4a</w:t>
      </w:r>
      <w:r w:rsidR="00AC0B91" w:rsidRPr="00BD7731">
        <w:t xml:space="preserve">). The contact angle of </w:t>
      </w:r>
      <w:r w:rsidR="00AC0B91" w:rsidRPr="00BD7731">
        <w:rPr>
          <w:b/>
          <w:bCs/>
        </w:rPr>
        <w:t>TN</w:t>
      </w:r>
      <w:r w:rsidR="00AC0B91" w:rsidRPr="00BD7731">
        <w:rPr>
          <w:vertAlign w:val="subscript"/>
        </w:rPr>
        <w:t>8600</w:t>
      </w:r>
      <w:r w:rsidR="00AC0B91" w:rsidRPr="00BD7731">
        <w:t xml:space="preserve"> </w:t>
      </w:r>
      <w:r w:rsidRPr="00BD7731">
        <w:t>was</w:t>
      </w:r>
      <w:r w:rsidR="00AC0B91" w:rsidRPr="00BD7731">
        <w:t xml:space="preserve"> 90° at heating time </w:t>
      </w:r>
      <w:r w:rsidR="00AC0B91" w:rsidRPr="00BD7731">
        <w:rPr>
          <w:i/>
          <w:iCs/>
        </w:rPr>
        <w:t xml:space="preserve">t </w:t>
      </w:r>
      <w:r w:rsidR="00AC0B91" w:rsidRPr="00BD7731">
        <w:t xml:space="preserve">= 0 </w:t>
      </w:r>
      <w:r w:rsidRPr="00BD7731">
        <w:t>s, which subsequently</w:t>
      </w:r>
      <w:r w:rsidR="00AC0B91" w:rsidRPr="00BD7731">
        <w:t xml:space="preserve"> increased to 104° at </w:t>
      </w:r>
      <w:r w:rsidR="00AC0B91" w:rsidRPr="00BD7731">
        <w:rPr>
          <w:i/>
          <w:iCs/>
        </w:rPr>
        <w:t xml:space="preserve">t </w:t>
      </w:r>
      <w:r w:rsidR="00AC0B91" w:rsidRPr="00BD7731">
        <w:t xml:space="preserve">= 20 </w:t>
      </w:r>
      <w:r w:rsidRPr="00BD7731">
        <w:t>s</w:t>
      </w:r>
      <w:r w:rsidR="00AC0B91" w:rsidRPr="00BD7731">
        <w:t xml:space="preserve"> owing to the fluidic deformation and finally decreased to 66° owing to the spread-wetting (</w:t>
      </w:r>
      <w:r w:rsidR="00AC0B91" w:rsidRPr="00BD7731">
        <w:rPr>
          <w:b/>
          <w:bCs/>
        </w:rPr>
        <w:t>Figure 4b</w:t>
      </w:r>
      <w:r w:rsidR="00AC0B91" w:rsidRPr="00BD7731">
        <w:t>),</w:t>
      </w:r>
      <w:r w:rsidR="00AC0B91" w:rsidRPr="00BD7731">
        <w:fldChar w:fldCharType="begin"/>
      </w:r>
      <w:r w:rsidR="001C3F85" w:rsidRPr="00BD7731">
        <w:instrText xml:space="preserve"> ADDIN ZOTERO_ITEM CSL_CITATION {"citationID":"Fx4noAaG","properties":{"formattedCitation":"\\super [48]\\nosupersub{}","plainCitation":"[48]","noteIndex":0},"citationItems":[{"id":2530,"uris":["http://zotero.org/users/4903636/items/DUJSZJMR"],"itemData":{"id":2530,"type":"article-journal","abstract":"We discuss in this review how the roughness of a solid impacts its wettability. We see in particular that both the apparent contact angle and the contact angle hysteresis can be dramatically affected by the presence of roughness. Owing to the development of reﬁned methods for setting very well-controlled micro- or nanotextures on a solid, these effects are being exploited to induce novel wetting properties, such as spontaneous ﬁlmiﬁcation, superhydrophobicity, superoleophobicity, and interfacial slip, that could not be achieved without roughness.","container-title":"Annual Review of Materials Research","DOI":"10.1146/annurev.matsci.38.060407.132434","ISSN":"1531-7331, 1545-4118","issue":"1","journalAbbreviation":"Annu. Rev. Mater. Res.","language":"en","page":"71-99","source":"DOI.org (Crossref)","title":"Wetting and Roughness","volume":"38","author":[{"family":"Quéré","given":"David"}],"issued":{"date-parts":[["2008",8]]}}}],"schema":"https://github.com/citation-style-language/schema/raw/master/csl-citation.json"} </w:instrText>
      </w:r>
      <w:r w:rsidR="00AC0B91" w:rsidRPr="00BD7731">
        <w:fldChar w:fldCharType="separate"/>
      </w:r>
      <w:r w:rsidR="001C3F85" w:rsidRPr="00BD7731">
        <w:rPr>
          <w:vertAlign w:val="superscript"/>
        </w:rPr>
        <w:t>[48]</w:t>
      </w:r>
      <w:r w:rsidR="00AC0B91" w:rsidRPr="00BD7731">
        <w:fldChar w:fldCharType="end"/>
      </w:r>
      <w:r w:rsidR="00AC0B91" w:rsidRPr="00BD7731">
        <w:t xml:space="preserve"> </w:t>
      </w:r>
      <w:r w:rsidR="00552E6D" w:rsidRPr="00BD7731">
        <w:t>indicating</w:t>
      </w:r>
      <w:r w:rsidR="00AC0B91" w:rsidRPr="00BD7731">
        <w:t xml:space="preserve"> that the </w:t>
      </w:r>
      <w:r w:rsidRPr="00BD7731">
        <w:t>fluidic change of the network</w:t>
      </w:r>
      <w:r w:rsidR="00AC0B91" w:rsidRPr="00BD7731">
        <w:t xml:space="preserve"> occurred via dynamic bond exchange. </w:t>
      </w:r>
      <w:r w:rsidRPr="00BD7731">
        <w:t>Additionally</w:t>
      </w:r>
      <w:r w:rsidR="00AC0B91" w:rsidRPr="00BD7731">
        <w:t xml:space="preserve">, the contact angle of </w:t>
      </w:r>
      <w:r w:rsidR="00AC0B91" w:rsidRPr="00BD7731">
        <w:rPr>
          <w:b/>
          <w:bCs/>
        </w:rPr>
        <w:t>RN</w:t>
      </w:r>
      <w:r w:rsidR="00AC0B91" w:rsidRPr="00BD7731">
        <w:rPr>
          <w:vertAlign w:val="subscript"/>
        </w:rPr>
        <w:t>8500</w:t>
      </w:r>
      <w:r w:rsidR="00AC0B91" w:rsidRPr="00BD7731">
        <w:t xml:space="preserve"> </w:t>
      </w:r>
      <w:r w:rsidRPr="00BD7731">
        <w:t>was consistent at</w:t>
      </w:r>
      <w:r w:rsidR="00AC0B91" w:rsidRPr="00BD7731">
        <w:t xml:space="preserve"> </w:t>
      </w:r>
      <w:r w:rsidRPr="00BD7731">
        <w:t xml:space="preserve">approximately </w:t>
      </w:r>
      <w:r w:rsidR="00AC0B91" w:rsidRPr="00BD7731">
        <w:t xml:space="preserve">90° throughout the experiment because the network did not show fluidity in the time scale </w:t>
      </w:r>
      <w:r w:rsidRPr="00BD7731">
        <w:t>although</w:t>
      </w:r>
      <w:r w:rsidR="00AC0B91" w:rsidRPr="00BD7731">
        <w:t xml:space="preserve"> it became soft.</w:t>
      </w:r>
      <w:r w:rsidR="00630AB8" w:rsidRPr="00BD7731">
        <w:rPr>
          <w:lang w:val="en-GB"/>
        </w:rPr>
        <w:t xml:space="preserve"> The fluidic-like </w:t>
      </w:r>
      <w:proofErr w:type="spellStart"/>
      <w:r w:rsidR="00630AB8" w:rsidRPr="00BD7731">
        <w:rPr>
          <w:lang w:val="en-GB"/>
        </w:rPr>
        <w:t>behavior</w:t>
      </w:r>
      <w:proofErr w:type="spellEnd"/>
      <w:r w:rsidR="00630AB8" w:rsidRPr="00BD7731">
        <w:rPr>
          <w:lang w:val="en-GB"/>
        </w:rPr>
        <w:t xml:space="preserve"> of </w:t>
      </w:r>
      <w:r w:rsidR="00630AB8" w:rsidRPr="00BD7731">
        <w:rPr>
          <w:b/>
          <w:bCs/>
          <w:lang w:val="en-GB"/>
        </w:rPr>
        <w:t>TN</w:t>
      </w:r>
      <w:r w:rsidR="00630AB8" w:rsidRPr="00BD7731">
        <w:rPr>
          <w:lang w:val="en-GB"/>
        </w:rPr>
        <w:t xml:space="preserve"> at high </w:t>
      </w:r>
      <w:proofErr w:type="spellStart"/>
      <w:r w:rsidR="00630AB8" w:rsidRPr="00BD7731">
        <w:rPr>
          <w:lang w:val="en-GB"/>
        </w:rPr>
        <w:t>tempearute</w:t>
      </w:r>
      <w:proofErr w:type="spellEnd"/>
      <w:r w:rsidR="00630AB8" w:rsidRPr="00BD7731">
        <w:rPr>
          <w:lang w:val="en-GB"/>
        </w:rPr>
        <w:t xml:space="preserve"> was also demonstrated by a mending experiment showing a self-healing property (</w:t>
      </w:r>
      <w:r w:rsidR="00630AB8" w:rsidRPr="00BD7731">
        <w:rPr>
          <w:b/>
          <w:bCs/>
          <w:lang w:val="en-GB"/>
        </w:rPr>
        <w:t>Figure 5</w:t>
      </w:r>
      <w:r w:rsidR="00630AB8" w:rsidRPr="00BD7731">
        <w:rPr>
          <w:lang w:val="en-GB"/>
        </w:rPr>
        <w:t xml:space="preserve">). The cut specimen of </w:t>
      </w:r>
      <w:r w:rsidR="00630AB8" w:rsidRPr="00BD7731">
        <w:rPr>
          <w:b/>
          <w:bCs/>
          <w:lang w:val="en-GB"/>
        </w:rPr>
        <w:t>TN</w:t>
      </w:r>
      <w:r w:rsidR="00630AB8" w:rsidRPr="00BD7731">
        <w:rPr>
          <w:vertAlign w:val="subscript"/>
          <w:lang w:val="en-GB"/>
        </w:rPr>
        <w:t>5300</w:t>
      </w:r>
      <w:r w:rsidR="00630AB8" w:rsidRPr="00BD7731">
        <w:rPr>
          <w:lang w:val="en-GB"/>
        </w:rPr>
        <w:t xml:space="preserve"> was brought into contacted on a hot plate and heated, then the resulting specimen was loaded to evaluate the repair.</w:t>
      </w:r>
    </w:p>
    <w:p w14:paraId="59E34AE9" w14:textId="77777777" w:rsidR="00630AB8" w:rsidRPr="00BD7731" w:rsidRDefault="00630AB8" w:rsidP="00A85396">
      <w:pPr>
        <w:pStyle w:val="MainText"/>
        <w:spacing w:line="360" w:lineRule="auto"/>
        <w:ind w:firstLineChars="150" w:firstLine="360"/>
        <w:jc w:val="both"/>
      </w:pPr>
    </w:p>
    <w:p w14:paraId="4E9D85B9" w14:textId="4EA7E491" w:rsidR="00AC0B91" w:rsidRPr="00BD7731" w:rsidRDefault="00AC0B91" w:rsidP="00F4646B">
      <w:pPr>
        <w:pStyle w:val="MainText"/>
        <w:spacing w:line="360" w:lineRule="auto"/>
        <w:ind w:firstLineChars="150" w:firstLine="360"/>
        <w:jc w:val="both"/>
      </w:pPr>
      <w:r w:rsidRPr="00BD7731">
        <w:t>Next, we investigated the remarkably different rigid-to-fluid behavior of </w:t>
      </w:r>
      <w:r w:rsidRPr="00BD7731">
        <w:rPr>
          <w:b/>
          <w:bCs/>
        </w:rPr>
        <w:t>TN</w:t>
      </w:r>
      <w:r w:rsidRPr="00BD7731">
        <w:t> and </w:t>
      </w:r>
      <w:r w:rsidRPr="00BD7731">
        <w:rPr>
          <w:b/>
          <w:bCs/>
        </w:rPr>
        <w:t>RN</w:t>
      </w:r>
      <w:r w:rsidRPr="00BD7731">
        <w:t xml:space="preserve"> by rheological measurements. </w:t>
      </w:r>
      <w:r w:rsidR="00A85396" w:rsidRPr="00BD7731">
        <w:t>The temperature-sweep</w:t>
      </w:r>
      <w:r w:rsidRPr="00BD7731">
        <w:t xml:space="preserve"> measurements of the three </w:t>
      </w:r>
      <w:r w:rsidRPr="00BD7731">
        <w:rPr>
          <w:b/>
          <w:bCs/>
        </w:rPr>
        <w:t>RN</w:t>
      </w:r>
      <w:r w:rsidRPr="00BD7731">
        <w:t xml:space="preserve"> (</w:t>
      </w:r>
      <w:r w:rsidRPr="00BD7731">
        <w:rPr>
          <w:b/>
          <w:bCs/>
        </w:rPr>
        <w:t xml:space="preserve">Figure </w:t>
      </w:r>
      <w:r w:rsidR="00CF7DF3" w:rsidRPr="00BD7731">
        <w:rPr>
          <w:b/>
          <w:bCs/>
        </w:rPr>
        <w:t>6a</w:t>
      </w:r>
      <w:r w:rsidRPr="00BD7731">
        <w:t>) showed almost identical temperature profiles of shear storage modulus (</w:t>
      </w:r>
      <w:r w:rsidRPr="00BD7731">
        <w:rPr>
          <w:i/>
          <w:iCs/>
        </w:rPr>
        <w:t>G</w:t>
      </w:r>
      <w:r w:rsidRPr="00BD7731">
        <w:t xml:space="preserve">’), exhibiting the peak of </w:t>
      </w:r>
      <w:proofErr w:type="spellStart"/>
      <w:r w:rsidRPr="00BD7731">
        <w:t>tan</w:t>
      </w:r>
      <w:r w:rsidRPr="00BD7731">
        <w:rPr>
          <w:i/>
          <w:iCs/>
        </w:rPr>
        <w:t>δ</w:t>
      </w:r>
      <w:proofErr w:type="spellEnd"/>
      <w:r w:rsidRPr="00BD7731">
        <w:t xml:space="preserve"> at </w:t>
      </w:r>
      <w:r w:rsidR="00A85396" w:rsidRPr="00BD7731">
        <w:t>approximately</w:t>
      </w:r>
      <w:r w:rsidRPr="00BD7731">
        <w:t xml:space="preserve"> 110 °C</w:t>
      </w:r>
      <w:r w:rsidR="00A85396" w:rsidRPr="00BD7731">
        <w:t>. This peak</w:t>
      </w:r>
      <w:r w:rsidRPr="00BD7731">
        <w:t xml:space="preserve"> corresponds to the glass transition of </w:t>
      </w:r>
      <w:proofErr w:type="spellStart"/>
      <w:r w:rsidRPr="00BD7731">
        <w:t>PSt</w:t>
      </w:r>
      <w:proofErr w:type="spellEnd"/>
      <w:r w:rsidRPr="00BD7731">
        <w:t xml:space="preserve"> and rubber plateau regime at over 160 °C (</w:t>
      </w:r>
      <w:bookmarkStart w:id="4" w:name="_Hlk82293831"/>
      <w:r w:rsidRPr="00BD7731">
        <w:t xml:space="preserve">DSC analysis and the temperature sweep up to 230 °C are shown in </w:t>
      </w:r>
      <w:r w:rsidRPr="00BD7731">
        <w:rPr>
          <w:b/>
          <w:bCs/>
        </w:rPr>
        <w:t>Figure S</w:t>
      </w:r>
      <w:r w:rsidR="00C461C2" w:rsidRPr="00BD7731">
        <w:rPr>
          <w:b/>
          <w:bCs/>
        </w:rPr>
        <w:t>10</w:t>
      </w:r>
      <w:r w:rsidR="00A85396" w:rsidRPr="00BD7731">
        <w:rPr>
          <w:bCs/>
        </w:rPr>
        <w:t>,</w:t>
      </w:r>
      <w:r w:rsidRPr="00BD7731">
        <w:t xml:space="preserve"> </w:t>
      </w:r>
      <w:r w:rsidR="00A85396" w:rsidRPr="00BD7731">
        <w:rPr>
          <w:b/>
          <w:bCs/>
        </w:rPr>
        <w:t>Figure S11</w:t>
      </w:r>
      <w:r w:rsidR="00A85396" w:rsidRPr="00BD7731">
        <w:t xml:space="preserve">, </w:t>
      </w:r>
      <w:r w:rsidRPr="00BD7731">
        <w:t xml:space="preserve">and </w:t>
      </w:r>
      <w:r w:rsidRPr="00BD7731">
        <w:rPr>
          <w:b/>
          <w:bCs/>
        </w:rPr>
        <w:t>Table S2</w:t>
      </w:r>
      <w:r w:rsidRPr="00BD7731">
        <w:t xml:space="preserve"> </w:t>
      </w:r>
      <w:bookmarkEnd w:id="4"/>
      <w:r w:rsidR="000C4C44" w:rsidRPr="00BD7731">
        <w:t>in SI</w:t>
      </w:r>
      <w:r w:rsidRPr="00BD7731">
        <w:t xml:space="preserve">). The observation of the rubber plateau is typical of the reported thermoset-based and vinyl polymer-based </w:t>
      </w:r>
      <w:proofErr w:type="spellStart"/>
      <w:r w:rsidRPr="00BD7731">
        <w:t>vitrimers</w:t>
      </w:r>
      <w:proofErr w:type="spellEnd"/>
      <w:r w:rsidRPr="00BD7731">
        <w:t>.</w:t>
      </w:r>
      <w:r w:rsidRPr="00BD7731">
        <w:fldChar w:fldCharType="begin"/>
      </w:r>
      <w:r w:rsidR="001C3F85" w:rsidRPr="00BD7731">
        <w:instrText xml:space="preserve"> ADDIN ZOTERO_ITEM CSL_CITATION {"citationID":"NLWYaR9a","properties":{"formattedCitation":"\\super [11]\\nosupersub{}","plainCitation":"[11]","noteIndex":0},"citationItems":[{"id":1618,"uris":["http://zotero.org/users/4903636/items/NUE3KI43"],"itemData":{"id":1618,"type":"article-journal","container-title":"Science","DOI":"10.1126/science.aah5281","ISSN":"0036-8075, 1095-9203","issue":"6333","language":"en","page":"62-65","source":"DOI.org (Crossref)","title":"High-performance vitrimers from commodity thermoplastics through dioxaborolane metathesis","volume":"356","author":[{"family":"Röttger","given":"Max"},{"family":"Domenech","given":"Trystan"},{"family":"Weegen","given":"Rob","non-dropping-particle":"van der"},{"family":"Breuillac","given":"Antoine"},{"family":"Nicolaÿ","given":"Renaud"},{"family":"Leibler","given":"Ludwik"}],"issued":{"date-parts":[["2017",4,7]]}}}],"schema":"https://github.com/citation-style-language/schema/raw/master/csl-citation.json"} </w:instrText>
      </w:r>
      <w:r w:rsidRPr="00BD7731">
        <w:fldChar w:fldCharType="separate"/>
      </w:r>
      <w:r w:rsidR="001751B1" w:rsidRPr="00BD7731">
        <w:rPr>
          <w:vertAlign w:val="superscript"/>
        </w:rPr>
        <w:t>[11]</w:t>
      </w:r>
      <w:r w:rsidRPr="00BD7731">
        <w:fldChar w:fldCharType="end"/>
      </w:r>
    </w:p>
    <w:p w14:paraId="12B2E9B0" w14:textId="5DAE82FE" w:rsidR="00C461C2" w:rsidRPr="00BD7731" w:rsidRDefault="00AC0B91" w:rsidP="00A85396">
      <w:pPr>
        <w:pStyle w:val="MainText"/>
        <w:spacing w:line="360" w:lineRule="auto"/>
        <w:ind w:firstLineChars="150" w:firstLine="360"/>
        <w:jc w:val="both"/>
      </w:pPr>
      <w:r w:rsidRPr="00BD7731">
        <w:t>The temperature-sweep analysis of </w:t>
      </w:r>
      <w:r w:rsidRPr="00BD7731">
        <w:rPr>
          <w:b/>
          <w:bCs/>
        </w:rPr>
        <w:t>TN</w:t>
      </w:r>
      <w:r w:rsidRPr="00BD7731">
        <w:t> (</w:t>
      </w:r>
      <w:r w:rsidRPr="00BD7731">
        <w:rPr>
          <w:b/>
          <w:bCs/>
        </w:rPr>
        <w:t xml:space="preserve">Figure </w:t>
      </w:r>
      <w:r w:rsidR="00CF7DF3" w:rsidRPr="00BD7731">
        <w:rPr>
          <w:b/>
          <w:bCs/>
        </w:rPr>
        <w:t>6b</w:t>
      </w:r>
      <w:r w:rsidRPr="00BD7731">
        <w:t xml:space="preserve">) showed a significant dependence of storage modulus on the precursor chain length (molecular weight). The moduli of </w:t>
      </w:r>
      <w:r w:rsidRPr="00BD7731">
        <w:rPr>
          <w:b/>
          <w:bCs/>
        </w:rPr>
        <w:t>TN</w:t>
      </w:r>
      <w:r w:rsidRPr="00BD7731">
        <w:t xml:space="preserve"> were almost </w:t>
      </w:r>
      <w:r w:rsidR="006449D2" w:rsidRPr="00BD7731">
        <w:t>similar</w:t>
      </w:r>
      <w:r w:rsidRPr="00BD7731">
        <w:t xml:space="preserve"> at </w:t>
      </w:r>
      <w:r w:rsidR="006449D2" w:rsidRPr="00BD7731">
        <w:t>a</w:t>
      </w:r>
      <w:r w:rsidRPr="00BD7731">
        <w:t xml:space="preserve"> temperature below </w:t>
      </w:r>
      <w:r w:rsidRPr="00BD7731">
        <w:rPr>
          <w:i/>
          <w:iCs/>
        </w:rPr>
        <w:t>T</w:t>
      </w:r>
      <w:r w:rsidRPr="00BD7731">
        <w:rPr>
          <w:vertAlign w:val="subscript"/>
        </w:rPr>
        <w:t>g</w:t>
      </w:r>
      <w:r w:rsidRPr="00BD7731">
        <w:t xml:space="preserve"> of </w:t>
      </w:r>
      <w:proofErr w:type="spellStart"/>
      <w:r w:rsidRPr="00BD7731">
        <w:t>PSt</w:t>
      </w:r>
      <w:proofErr w:type="spellEnd"/>
      <w:r w:rsidRPr="00BD7731">
        <w:t xml:space="preserve">. </w:t>
      </w:r>
      <w:r w:rsidR="006449D2" w:rsidRPr="00BD7731">
        <w:t>In contrast</w:t>
      </w:r>
      <w:r w:rsidRPr="00BD7731">
        <w:t xml:space="preserve">, the results showed a large decrease of modulus with </w:t>
      </w:r>
      <w:r w:rsidR="00B044D5" w:rsidRPr="00BD7731">
        <w:t>increased</w:t>
      </w:r>
      <w:r w:rsidRPr="00BD7731">
        <w:t xml:space="preserve"> temperature for all </w:t>
      </w:r>
      <w:r w:rsidRPr="00BD7731">
        <w:rPr>
          <w:b/>
          <w:bCs/>
        </w:rPr>
        <w:t>TN</w:t>
      </w:r>
      <w:r w:rsidRPr="00BD7731">
        <w:t xml:space="preserve">, and loss tangent, </w:t>
      </w:r>
      <w:proofErr w:type="spellStart"/>
      <w:r w:rsidRPr="00BD7731">
        <w:t>tanδ</w:t>
      </w:r>
      <w:proofErr w:type="spellEnd"/>
      <w:r w:rsidRPr="00BD7731">
        <w:t xml:space="preserve">, value </w:t>
      </w:r>
      <w:r w:rsidR="006449D2" w:rsidRPr="00BD7731">
        <w:t>exceeding</w:t>
      </w:r>
      <w:r w:rsidRPr="00BD7731">
        <w:t xml:space="preserve"> 1 for </w:t>
      </w:r>
      <w:r w:rsidRPr="00BD7731">
        <w:rPr>
          <w:b/>
          <w:bCs/>
        </w:rPr>
        <w:t>TN</w:t>
      </w:r>
      <w:r w:rsidRPr="00BD7731">
        <w:rPr>
          <w:vertAlign w:val="subscript"/>
        </w:rPr>
        <w:t>5300</w:t>
      </w:r>
      <w:r w:rsidRPr="00BD7731">
        <w:t xml:space="preserve"> and </w:t>
      </w:r>
      <w:r w:rsidRPr="00BD7731">
        <w:rPr>
          <w:b/>
          <w:bCs/>
        </w:rPr>
        <w:t>TN</w:t>
      </w:r>
      <w:r w:rsidRPr="00BD7731">
        <w:rPr>
          <w:vertAlign w:val="subscript"/>
        </w:rPr>
        <w:t>8600</w:t>
      </w:r>
      <w:r w:rsidRPr="00BD7731">
        <w:t xml:space="preserve"> at &gt;140 °C. These results</w:t>
      </w:r>
      <w:r w:rsidRPr="00BD7731">
        <w:rPr>
          <w:rFonts w:asciiTheme="minorHAnsi" w:eastAsiaTheme="minorEastAsia" w:hAnsiTheme="minorHAnsi" w:cstheme="minorBidi"/>
          <w:sz w:val="22"/>
          <w:szCs w:val="22"/>
          <w:lang w:eastAsia="en-US"/>
        </w:rPr>
        <w:t xml:space="preserve"> </w:t>
      </w:r>
      <w:r w:rsidRPr="00BD7731">
        <w:t>indicate that </w:t>
      </w:r>
      <w:r w:rsidRPr="00BD7731">
        <w:rPr>
          <w:b/>
          <w:bCs/>
        </w:rPr>
        <w:t>TN</w:t>
      </w:r>
      <w:r w:rsidRPr="00BD7731">
        <w:t xml:space="preserve"> is more viscous than elastomeric at high </w:t>
      </w:r>
      <w:r w:rsidR="006449D2" w:rsidRPr="00BD7731">
        <w:t>temperatures</w:t>
      </w:r>
      <w:r w:rsidRPr="00BD7731">
        <w:t xml:space="preserve">, consistent with the bulk observation shown in </w:t>
      </w:r>
      <w:r w:rsidRPr="00BD7731">
        <w:rPr>
          <w:b/>
          <w:bCs/>
        </w:rPr>
        <w:t>Figure 4</w:t>
      </w:r>
      <w:r w:rsidRPr="00BD7731">
        <w:t xml:space="preserve">. </w:t>
      </w:r>
      <w:r w:rsidR="00630AB8" w:rsidRPr="00BD7731">
        <w:rPr>
          <w:lang w:val="de-DE"/>
        </w:rPr>
        <w:t>The similar results were obtained in the frequency-sweep measurement at different temperature and the preparation of a master curve (</w:t>
      </w:r>
      <w:r w:rsidR="00630AB8" w:rsidRPr="00BD7731">
        <w:rPr>
          <w:b/>
          <w:bCs/>
          <w:lang w:val="de-DE"/>
        </w:rPr>
        <w:t>Figure S17</w:t>
      </w:r>
      <w:r w:rsidR="00630AB8" w:rsidRPr="00BD7731">
        <w:rPr>
          <w:lang w:val="de-DE"/>
        </w:rPr>
        <w:t xml:space="preserve">). While </w:t>
      </w:r>
      <w:r w:rsidR="00630AB8" w:rsidRPr="00BD7731">
        <w:rPr>
          <w:b/>
          <w:bCs/>
          <w:lang w:val="de-DE"/>
        </w:rPr>
        <w:t>RN</w:t>
      </w:r>
      <w:r w:rsidR="00630AB8" w:rsidRPr="00BD7731">
        <w:rPr>
          <w:lang w:val="de-DE"/>
        </w:rPr>
        <w:t xml:space="preserve"> showed rubbery character, </w:t>
      </w:r>
      <w:r w:rsidR="00630AB8" w:rsidRPr="00BD7731">
        <w:rPr>
          <w:b/>
          <w:bCs/>
          <w:lang w:val="de-DE"/>
        </w:rPr>
        <w:t>TN</w:t>
      </w:r>
      <w:r w:rsidR="00630AB8" w:rsidRPr="00BD7731">
        <w:rPr>
          <w:lang w:val="de-DE"/>
        </w:rPr>
        <w:t xml:space="preserve"> showed viscous and fluidic character at low frequency region.</w:t>
      </w:r>
    </w:p>
    <w:p w14:paraId="73076867" w14:textId="77777777" w:rsidR="00630AB8" w:rsidRPr="00BD7731" w:rsidRDefault="00630AB8" w:rsidP="00A85396">
      <w:pPr>
        <w:pStyle w:val="MainText"/>
        <w:spacing w:line="360" w:lineRule="auto"/>
        <w:ind w:firstLineChars="150" w:firstLine="360"/>
        <w:jc w:val="both"/>
      </w:pPr>
    </w:p>
    <w:p w14:paraId="6440AB2B" w14:textId="0AE41FB3" w:rsidR="00AC0B91" w:rsidRPr="00BD7731" w:rsidRDefault="00AC0B91" w:rsidP="00F4646B">
      <w:pPr>
        <w:pStyle w:val="MainText"/>
        <w:spacing w:line="360" w:lineRule="auto"/>
        <w:ind w:firstLineChars="150" w:firstLine="360"/>
        <w:jc w:val="both"/>
      </w:pPr>
      <w:r w:rsidRPr="00BD7731">
        <w:t>The viscoelastic property was further studied by the stress relaxation measurements (</w:t>
      </w:r>
      <w:r w:rsidRPr="00BD7731">
        <w:rPr>
          <w:b/>
          <w:bCs/>
        </w:rPr>
        <w:t xml:space="preserve">Figure </w:t>
      </w:r>
      <w:r w:rsidR="00CF7DF3" w:rsidRPr="00BD7731">
        <w:rPr>
          <w:b/>
          <w:bCs/>
        </w:rPr>
        <w:t>6c</w:t>
      </w:r>
      <w:r w:rsidR="00CF7DF3" w:rsidRPr="00BD7731">
        <w:t xml:space="preserve"> </w:t>
      </w:r>
      <w:r w:rsidRPr="00BD7731">
        <w:t xml:space="preserve">and </w:t>
      </w:r>
      <w:r w:rsidR="00CF7DF3" w:rsidRPr="00BD7731">
        <w:rPr>
          <w:b/>
          <w:bCs/>
        </w:rPr>
        <w:t>6d</w:t>
      </w:r>
      <w:r w:rsidRPr="00BD7731">
        <w:t xml:space="preserve">). Because the viscosity of </w:t>
      </w:r>
      <w:r w:rsidRPr="00BD7731">
        <w:rPr>
          <w:b/>
          <w:bCs/>
        </w:rPr>
        <w:t>TN</w:t>
      </w:r>
      <w:r w:rsidRPr="00BD7731">
        <w:t xml:space="preserve"> </w:t>
      </w:r>
      <w:r w:rsidR="00026295" w:rsidRPr="00BD7731">
        <w:t>decreased</w:t>
      </w:r>
      <w:r w:rsidRPr="00BD7731">
        <w:t xml:space="preserve"> with </w:t>
      </w:r>
      <w:r w:rsidR="00B044D5" w:rsidRPr="00BD7731">
        <w:t>increased</w:t>
      </w:r>
      <w:r w:rsidRPr="00BD7731">
        <w:t xml:space="preserve"> temperature, the measurements were </w:t>
      </w:r>
      <w:r w:rsidR="00026295" w:rsidRPr="00BD7731">
        <w:t>performed</w:t>
      </w:r>
      <w:r w:rsidRPr="00BD7731">
        <w:t xml:space="preserve"> at the temperatures </w:t>
      </w:r>
      <w:r w:rsidR="00630AB8" w:rsidRPr="00BD7731">
        <w:t xml:space="preserve">without a bulk deformation of the </w:t>
      </w:r>
      <w:r w:rsidRPr="00BD7731">
        <w:t xml:space="preserve">sample. </w:t>
      </w:r>
      <w:r w:rsidR="00630AB8" w:rsidRPr="00BD7731">
        <w:rPr>
          <w:lang w:val="en-GB"/>
        </w:rPr>
        <w:t xml:space="preserve">The relaxation of </w:t>
      </w:r>
      <w:r w:rsidR="00630AB8" w:rsidRPr="00BD7731">
        <w:rPr>
          <w:b/>
          <w:bCs/>
          <w:lang w:val="en-GB"/>
        </w:rPr>
        <w:t>TN</w:t>
      </w:r>
      <w:r w:rsidR="00630AB8" w:rsidRPr="00BD7731">
        <w:rPr>
          <w:lang w:val="en-GB"/>
        </w:rPr>
        <w:t xml:space="preserve"> was quite </w:t>
      </w:r>
      <w:proofErr w:type="gramStart"/>
      <w:r w:rsidR="00630AB8" w:rsidRPr="00BD7731">
        <w:rPr>
          <w:lang w:val="en-GB"/>
        </w:rPr>
        <w:t>fast</w:t>
      </w:r>
      <w:proofErr w:type="gramEnd"/>
      <w:r w:rsidR="00630AB8" w:rsidRPr="00BD7731">
        <w:rPr>
          <w:lang w:val="en-GB"/>
        </w:rPr>
        <w:t xml:space="preserve"> and the decay of the modulus started just after the imposition of strain. </w:t>
      </w:r>
      <w:bookmarkStart w:id="5" w:name="_Hlk92402289"/>
      <w:r w:rsidR="00630AB8" w:rsidRPr="00BD7731">
        <w:rPr>
          <w:lang w:val="en-GB"/>
        </w:rPr>
        <w:t xml:space="preserve">In addition, the linear correlation between the log-log plot of time and </w:t>
      </w:r>
      <w:r w:rsidR="00630AB8" w:rsidRPr="00BD7731">
        <w:rPr>
          <w:i/>
          <w:iCs/>
          <w:lang w:val="en-GB"/>
        </w:rPr>
        <w:t>G</w:t>
      </w:r>
      <w:r w:rsidR="00630AB8" w:rsidRPr="00BD7731">
        <w:rPr>
          <w:lang w:val="en-GB"/>
        </w:rPr>
        <w:t>(</w:t>
      </w:r>
      <w:r w:rsidR="00630AB8" w:rsidRPr="00BD7731">
        <w:rPr>
          <w:i/>
          <w:iCs/>
          <w:lang w:val="en-GB"/>
        </w:rPr>
        <w:t>t</w:t>
      </w:r>
      <w:r w:rsidR="00630AB8" w:rsidRPr="00BD7731">
        <w:rPr>
          <w:lang w:val="en-GB"/>
        </w:rPr>
        <w:t xml:space="preserve">) indicated a power-law </w:t>
      </w:r>
      <w:proofErr w:type="spellStart"/>
      <w:r w:rsidR="00630AB8" w:rsidRPr="00BD7731">
        <w:rPr>
          <w:lang w:val="en-GB"/>
        </w:rPr>
        <w:t>behavior</w:t>
      </w:r>
      <w:proofErr w:type="spellEnd"/>
      <w:r w:rsidR="00630AB8" w:rsidRPr="00BD7731">
        <w:rPr>
          <w:lang w:val="en-GB"/>
        </w:rPr>
        <w:t>.</w:t>
      </w:r>
      <w:bookmarkEnd w:id="5"/>
      <w:r w:rsidR="00630AB8" w:rsidRPr="00BD7731">
        <w:rPr>
          <w:lang w:val="en-GB"/>
        </w:rPr>
        <w:t xml:space="preserve"> </w:t>
      </w:r>
      <w:proofErr w:type="gramStart"/>
      <w:r w:rsidR="00630AB8" w:rsidRPr="00BD7731">
        <w:rPr>
          <w:lang w:val="en-GB"/>
        </w:rPr>
        <w:t>Thus</w:t>
      </w:r>
      <w:proofErr w:type="gramEnd"/>
      <w:r w:rsidR="00630AB8" w:rsidRPr="00BD7731">
        <w:rPr>
          <w:lang w:val="en-GB"/>
        </w:rPr>
        <w:t xml:space="preserve"> we estimated “the apparent relaxation time (τ)” of </w:t>
      </w:r>
      <w:r w:rsidR="00630AB8" w:rsidRPr="00BD7731">
        <w:rPr>
          <w:b/>
          <w:bCs/>
          <w:lang w:val="en-GB"/>
        </w:rPr>
        <w:t>TN</w:t>
      </w:r>
      <w:r w:rsidR="00630AB8" w:rsidRPr="00BD7731">
        <w:rPr>
          <w:lang w:val="en-GB"/>
        </w:rPr>
        <w:t xml:space="preserve"> determined as the time </w:t>
      </w:r>
      <w:r w:rsidR="00630AB8" w:rsidRPr="00BD7731">
        <w:rPr>
          <w:i/>
          <w:iCs/>
          <w:lang w:val="en-GB"/>
        </w:rPr>
        <w:t>G</w:t>
      </w:r>
      <w:r w:rsidR="00630AB8" w:rsidRPr="00BD7731">
        <w:rPr>
          <w:lang w:val="en-GB"/>
        </w:rPr>
        <w:t>(</w:t>
      </w:r>
      <w:r w:rsidR="00630AB8" w:rsidRPr="00BD7731">
        <w:rPr>
          <w:i/>
          <w:iCs/>
          <w:lang w:val="en-GB"/>
        </w:rPr>
        <w:t>t</w:t>
      </w:r>
      <w:r w:rsidR="00630AB8" w:rsidRPr="00BD7731">
        <w:rPr>
          <w:lang w:val="en-GB"/>
        </w:rPr>
        <w:t>) falls to its 1/</w:t>
      </w:r>
      <w:r w:rsidR="00630AB8" w:rsidRPr="00BD7731">
        <w:rPr>
          <w:i/>
          <w:iCs/>
          <w:lang w:val="en-GB"/>
        </w:rPr>
        <w:t>e</w:t>
      </w:r>
      <w:r w:rsidR="00630AB8" w:rsidRPr="00BD7731">
        <w:rPr>
          <w:lang w:val="en-GB"/>
        </w:rPr>
        <w:t xml:space="preserve">. On the other hand, the relaxation of </w:t>
      </w:r>
      <w:r w:rsidR="00630AB8" w:rsidRPr="00BD7731">
        <w:rPr>
          <w:b/>
          <w:bCs/>
          <w:lang w:val="en-GB"/>
        </w:rPr>
        <w:t>RN</w:t>
      </w:r>
      <w:r w:rsidR="00630AB8" w:rsidRPr="00BD7731">
        <w:rPr>
          <w:lang w:val="en-GB"/>
        </w:rPr>
        <w:t xml:space="preserve"> at the same temperature range with </w:t>
      </w:r>
      <w:r w:rsidR="00630AB8" w:rsidRPr="00BD7731">
        <w:rPr>
          <w:b/>
          <w:bCs/>
          <w:lang w:val="en-GB"/>
        </w:rPr>
        <w:t>TN</w:t>
      </w:r>
      <w:r w:rsidR="00630AB8" w:rsidRPr="00BD7731">
        <w:rPr>
          <w:lang w:val="en-GB"/>
        </w:rPr>
        <w:t xml:space="preserve"> was too slow to estimate τ, and thus the higher temperature was applied for the measurements of </w:t>
      </w:r>
      <w:r w:rsidR="00630AB8" w:rsidRPr="00BD7731">
        <w:rPr>
          <w:b/>
          <w:bCs/>
          <w:lang w:val="en-GB"/>
        </w:rPr>
        <w:t>RN</w:t>
      </w:r>
      <w:r w:rsidR="00630AB8" w:rsidRPr="00BD7731">
        <w:rPr>
          <w:lang w:val="en-GB"/>
        </w:rPr>
        <w:t xml:space="preserve">. The relaxation curves of </w:t>
      </w:r>
      <w:r w:rsidR="00630AB8" w:rsidRPr="00BD7731">
        <w:rPr>
          <w:b/>
          <w:bCs/>
          <w:lang w:val="en-GB"/>
        </w:rPr>
        <w:t>RN</w:t>
      </w:r>
      <w:r w:rsidR="00630AB8" w:rsidRPr="00BD7731">
        <w:rPr>
          <w:lang w:val="en-GB"/>
        </w:rPr>
        <w:t xml:space="preserve"> were </w:t>
      </w:r>
      <w:proofErr w:type="spellStart"/>
      <w:r w:rsidR="00630AB8" w:rsidRPr="00BD7731">
        <w:rPr>
          <w:lang w:val="en-GB"/>
        </w:rPr>
        <w:t>analyzed</w:t>
      </w:r>
      <w:proofErr w:type="spellEnd"/>
      <w:r w:rsidR="00630AB8" w:rsidRPr="00BD7731">
        <w:rPr>
          <w:lang w:val="en-GB"/>
        </w:rPr>
        <w:t xml:space="preserve"> by exponential functions. The relaxation of </w:t>
      </w:r>
      <w:r w:rsidR="00630AB8" w:rsidRPr="00BD7731">
        <w:rPr>
          <w:b/>
          <w:bCs/>
          <w:lang w:val="en-GB"/>
        </w:rPr>
        <w:t>TN</w:t>
      </w:r>
      <w:r w:rsidR="00630AB8" w:rsidRPr="00BD7731">
        <w:rPr>
          <w:lang w:val="en-GB"/>
        </w:rPr>
        <w:t> was much faster than that of </w:t>
      </w:r>
      <w:r w:rsidR="00630AB8" w:rsidRPr="00BD7731">
        <w:rPr>
          <w:b/>
          <w:bCs/>
          <w:lang w:val="en-GB"/>
        </w:rPr>
        <w:t>RN</w:t>
      </w:r>
      <w:r w:rsidR="00630AB8" w:rsidRPr="00BD7731">
        <w:rPr>
          <w:lang w:val="en-GB"/>
        </w:rPr>
        <w:t>, and the relaxation time of </w:t>
      </w:r>
      <w:r w:rsidR="00630AB8" w:rsidRPr="00BD7731">
        <w:rPr>
          <w:b/>
          <w:bCs/>
          <w:lang w:val="en-GB"/>
        </w:rPr>
        <w:t>TN</w:t>
      </w:r>
      <w:r w:rsidR="00630AB8" w:rsidRPr="00BD7731">
        <w:rPr>
          <w:lang w:val="en-GB"/>
        </w:rPr>
        <w:t> were apparently 10</w:t>
      </w:r>
      <w:r w:rsidR="00630AB8" w:rsidRPr="00BD7731">
        <w:rPr>
          <w:vertAlign w:val="superscript"/>
          <w:lang w:val="en-GB"/>
        </w:rPr>
        <w:t>4</w:t>
      </w:r>
      <w:r w:rsidR="00630AB8" w:rsidRPr="00BD7731">
        <w:rPr>
          <w:lang w:val="en-GB"/>
        </w:rPr>
        <w:t>–10</w:t>
      </w:r>
      <w:r w:rsidR="00630AB8" w:rsidRPr="00BD7731">
        <w:rPr>
          <w:vertAlign w:val="superscript"/>
          <w:lang w:val="en-GB"/>
        </w:rPr>
        <w:t>5</w:t>
      </w:r>
      <w:r w:rsidR="00630AB8" w:rsidRPr="00BD7731">
        <w:rPr>
          <w:lang w:val="en-GB"/>
        </w:rPr>
        <w:t xml:space="preserve"> times smaller than the τ of </w:t>
      </w:r>
      <w:r w:rsidR="00630AB8" w:rsidRPr="00BD7731">
        <w:rPr>
          <w:b/>
          <w:bCs/>
          <w:lang w:val="en-GB"/>
        </w:rPr>
        <w:t>RN</w:t>
      </w:r>
      <w:r w:rsidR="00630AB8" w:rsidRPr="00BD7731">
        <w:rPr>
          <w:lang w:val="en-GB"/>
        </w:rPr>
        <w:t>, even at more than 80 °C lower temperature as summarized in</w:t>
      </w:r>
      <w:r w:rsidR="00630AB8" w:rsidRPr="00BD7731">
        <w:rPr>
          <w:b/>
          <w:bCs/>
          <w:lang w:val="en-GB"/>
        </w:rPr>
        <w:t xml:space="preserve"> Table 1</w:t>
      </w:r>
      <w:r w:rsidR="00630AB8" w:rsidRPr="00BD7731">
        <w:rPr>
          <w:lang w:val="en-GB"/>
        </w:rPr>
        <w:t>.</w:t>
      </w:r>
      <w:r w:rsidR="00630AB8" w:rsidRPr="00BD7731">
        <w:t xml:space="preserve"> </w:t>
      </w:r>
      <w:r w:rsidRPr="00BD7731">
        <w:t>The correlation of the relaxation time (τ) and chain length (</w:t>
      </w:r>
      <w:r w:rsidRPr="00BD7731">
        <w:rPr>
          <w:i/>
          <w:iCs/>
        </w:rPr>
        <w:t>M</w:t>
      </w:r>
      <w:r w:rsidRPr="00BD7731">
        <w:rPr>
          <w:vertAlign w:val="subscript"/>
        </w:rPr>
        <w:t>n</w:t>
      </w:r>
      <w:r w:rsidRPr="00BD7731">
        <w:t xml:space="preserve">) of the precursor polymer showed the decrease of τ with the increase of </w:t>
      </w:r>
      <w:r w:rsidRPr="00BD7731">
        <w:rPr>
          <w:i/>
          <w:iCs/>
        </w:rPr>
        <w:t>M</w:t>
      </w:r>
      <w:r w:rsidRPr="00BD7731">
        <w:rPr>
          <w:vertAlign w:val="subscript"/>
        </w:rPr>
        <w:t>n</w:t>
      </w:r>
      <w:r w:rsidRPr="00BD7731">
        <w:t xml:space="preserve"> (</w:t>
      </w:r>
      <w:r w:rsidRPr="00BD7731">
        <w:rPr>
          <w:b/>
          <w:bCs/>
        </w:rPr>
        <w:t>Figure S</w:t>
      </w:r>
      <w:r w:rsidR="00C461C2" w:rsidRPr="00BD7731">
        <w:rPr>
          <w:b/>
          <w:bCs/>
        </w:rPr>
        <w:t>13</w:t>
      </w:r>
      <w:r w:rsidR="000C4C44" w:rsidRPr="00BD7731">
        <w:t xml:space="preserve"> in SI</w:t>
      </w:r>
      <w:r w:rsidRPr="00BD7731">
        <w:t xml:space="preserve">). </w:t>
      </w:r>
      <w:r w:rsidR="00026295" w:rsidRPr="00BD7731">
        <w:t>The low crosslink density of the network from the long precursor chain explains this result</w:t>
      </w:r>
      <w:r w:rsidRPr="00BD7731">
        <w:t>.</w:t>
      </w:r>
    </w:p>
    <w:p w14:paraId="3D8BCE65" w14:textId="6CA0BCD6" w:rsidR="00630AB8" w:rsidRPr="00BD7731" w:rsidRDefault="00AC0B91" w:rsidP="00630AB8">
      <w:pPr>
        <w:pStyle w:val="MainText"/>
        <w:spacing w:line="360" w:lineRule="auto"/>
        <w:ind w:firstLineChars="150" w:firstLine="360"/>
        <w:jc w:val="both"/>
        <w:rPr>
          <w:lang w:val="en-GB"/>
        </w:rPr>
      </w:pPr>
      <w:r w:rsidRPr="00BD7731">
        <w:t xml:space="preserve">The activation energies of relaxation </w:t>
      </w:r>
      <w:r w:rsidRPr="00BD7731">
        <w:rPr>
          <w:i/>
          <w:iCs/>
        </w:rPr>
        <w:t>E</w:t>
      </w:r>
      <w:r w:rsidRPr="00BD7731">
        <w:rPr>
          <w:vertAlign w:val="subscript"/>
        </w:rPr>
        <w:t>a</w:t>
      </w:r>
      <w:r w:rsidRPr="00BD7731">
        <w:t xml:space="preserve"> were calculated from the Arrhenius plot using the obtained τ values (</w:t>
      </w:r>
      <w:r w:rsidRPr="00BD7731">
        <w:rPr>
          <w:b/>
          <w:bCs/>
        </w:rPr>
        <w:t xml:space="preserve">Figure </w:t>
      </w:r>
      <w:r w:rsidR="00CF7DF3" w:rsidRPr="00BD7731">
        <w:rPr>
          <w:b/>
          <w:bCs/>
        </w:rPr>
        <w:t>6e</w:t>
      </w:r>
      <w:r w:rsidR="00CF7DF3" w:rsidRPr="00BD7731">
        <w:t xml:space="preserve"> </w:t>
      </w:r>
      <w:r w:rsidRPr="00BD7731">
        <w:t xml:space="preserve">and </w:t>
      </w:r>
      <w:r w:rsidR="00CF7DF3" w:rsidRPr="00BD7731">
        <w:rPr>
          <w:b/>
          <w:bCs/>
        </w:rPr>
        <w:t>6f</w:t>
      </w:r>
      <w:r w:rsidR="00026295" w:rsidRPr="00BD7731">
        <w:t>;</w:t>
      </w:r>
      <w:r w:rsidRPr="00BD7731">
        <w:t xml:space="preserve"> </w:t>
      </w:r>
      <w:r w:rsidRPr="00BD7731">
        <w:rPr>
          <w:b/>
          <w:bCs/>
        </w:rPr>
        <w:t>Figure S</w:t>
      </w:r>
      <w:r w:rsidR="00C461C2" w:rsidRPr="00BD7731">
        <w:rPr>
          <w:b/>
          <w:bCs/>
        </w:rPr>
        <w:t>14</w:t>
      </w:r>
      <w:r w:rsidRPr="00BD7731">
        <w:t xml:space="preserve"> and </w:t>
      </w:r>
      <w:r w:rsidRPr="00BD7731">
        <w:rPr>
          <w:b/>
          <w:bCs/>
        </w:rPr>
        <w:t>S</w:t>
      </w:r>
      <w:r w:rsidR="00C461C2" w:rsidRPr="00BD7731">
        <w:rPr>
          <w:b/>
          <w:bCs/>
        </w:rPr>
        <w:t>16</w:t>
      </w:r>
      <w:r w:rsidR="000C4C44" w:rsidRPr="00BD7731">
        <w:t xml:space="preserve"> in SI</w:t>
      </w:r>
      <w:r w:rsidRPr="00BD7731">
        <w:t xml:space="preserve">). The plot between the </w:t>
      </w:r>
      <w:r w:rsidRPr="00BD7731">
        <w:rPr>
          <w:i/>
          <w:iCs/>
        </w:rPr>
        <w:t>M</w:t>
      </w:r>
      <w:r w:rsidRPr="00BD7731">
        <w:rPr>
          <w:vertAlign w:val="subscript"/>
        </w:rPr>
        <w:t>n</w:t>
      </w:r>
      <w:r w:rsidRPr="00BD7731">
        <w:t xml:space="preserve"> of the precursor polymer and </w:t>
      </w:r>
      <w:r w:rsidRPr="00BD7731">
        <w:rPr>
          <w:i/>
          <w:iCs/>
        </w:rPr>
        <w:t>E</w:t>
      </w:r>
      <w:r w:rsidRPr="00BD7731">
        <w:rPr>
          <w:vertAlign w:val="subscript"/>
        </w:rPr>
        <w:t>a</w:t>
      </w:r>
      <w:r w:rsidRPr="00BD7731">
        <w:t xml:space="preserve"> </w:t>
      </w:r>
      <w:r w:rsidR="00B044D5" w:rsidRPr="00BD7731">
        <w:t>showed</w:t>
      </w:r>
      <w:r w:rsidRPr="00BD7731">
        <w:t xml:space="preserve"> a linear correlation for both </w:t>
      </w:r>
      <w:r w:rsidRPr="00BD7731">
        <w:rPr>
          <w:b/>
          <w:bCs/>
        </w:rPr>
        <w:t>RN</w:t>
      </w:r>
      <w:r w:rsidRPr="00BD7731">
        <w:t> and </w:t>
      </w:r>
      <w:r w:rsidRPr="00BD7731">
        <w:rPr>
          <w:b/>
          <w:bCs/>
        </w:rPr>
        <w:t>TN</w:t>
      </w:r>
      <w:r w:rsidRPr="00BD7731">
        <w:t xml:space="preserve">, </w:t>
      </w:r>
      <w:r w:rsidR="00B044D5" w:rsidRPr="00BD7731">
        <w:t>wherein</w:t>
      </w:r>
      <w:r w:rsidRPr="00BD7731">
        <w:t xml:space="preserve"> the effect of the molecular weight (the chain length) on </w:t>
      </w:r>
      <w:r w:rsidRPr="00BD7731">
        <w:rPr>
          <w:i/>
          <w:iCs/>
        </w:rPr>
        <w:t>E</w:t>
      </w:r>
      <w:r w:rsidRPr="00BD7731">
        <w:rPr>
          <w:vertAlign w:val="subscript"/>
        </w:rPr>
        <w:t>a</w:t>
      </w:r>
      <w:r w:rsidRPr="00BD7731">
        <w:t xml:space="preserve"> was opposite (</w:t>
      </w:r>
      <w:r w:rsidRPr="00BD7731">
        <w:rPr>
          <w:b/>
          <w:bCs/>
        </w:rPr>
        <w:t xml:space="preserve">Figure </w:t>
      </w:r>
      <w:r w:rsidR="00CF7DF3" w:rsidRPr="00BD7731">
        <w:rPr>
          <w:b/>
          <w:bCs/>
        </w:rPr>
        <w:t>7</w:t>
      </w:r>
      <w:r w:rsidRPr="00BD7731">
        <w:t xml:space="preserve">). </w:t>
      </w:r>
      <w:r w:rsidR="00630AB8" w:rsidRPr="00BD7731">
        <w:rPr>
          <w:lang w:val="en-GB"/>
        </w:rPr>
        <w:t xml:space="preserve">The activation energies of </w:t>
      </w:r>
      <w:r w:rsidR="00630AB8" w:rsidRPr="00BD7731">
        <w:rPr>
          <w:b/>
          <w:bCs/>
          <w:lang w:val="en-GB"/>
        </w:rPr>
        <w:t>TN</w:t>
      </w:r>
      <w:r w:rsidR="00630AB8" w:rsidRPr="00BD7731">
        <w:rPr>
          <w:lang w:val="en-GB"/>
        </w:rPr>
        <w:t xml:space="preserve"> were also estimated by the time-temperature superposition of the relaxation curves (</w:t>
      </w:r>
      <w:r w:rsidR="00630AB8" w:rsidRPr="00BD7731">
        <w:rPr>
          <w:b/>
          <w:bCs/>
          <w:lang w:val="en-GB"/>
        </w:rPr>
        <w:t>Figure S18</w:t>
      </w:r>
      <w:r w:rsidR="00630AB8" w:rsidRPr="00BD7731">
        <w:rPr>
          <w:lang w:val="en-GB"/>
        </w:rPr>
        <w:t xml:space="preserve">), while the applicability of the superposition to </w:t>
      </w:r>
      <w:proofErr w:type="spellStart"/>
      <w:r w:rsidR="00630AB8" w:rsidRPr="00BD7731">
        <w:rPr>
          <w:lang w:val="en-GB"/>
        </w:rPr>
        <w:t>vitrimer</w:t>
      </w:r>
      <w:proofErr w:type="spellEnd"/>
      <w:r w:rsidR="00630AB8" w:rsidRPr="00BD7731">
        <w:rPr>
          <w:lang w:val="en-GB"/>
        </w:rPr>
        <w:t xml:space="preserve"> is discussed in recent papers.</w:t>
      </w:r>
      <w:r w:rsidR="00630AB8" w:rsidRPr="00BD7731">
        <w:rPr>
          <w:lang w:val="en-GB"/>
        </w:rPr>
        <w:fldChar w:fldCharType="begin"/>
      </w:r>
      <w:r w:rsidR="00630AB8" w:rsidRPr="00BD7731">
        <w:rPr>
          <w:lang w:val="en-GB"/>
        </w:rPr>
        <w:instrText xml:space="preserve"> ADDIN ZOTERO_ITEM CSL_CITATION {"citationID":"rLjQik61","properties":{"formattedCitation":"\\super [49,50]\\nosupersub{}","plainCitation":"[49,50]","noteIndex":0},"citationItems":[{"id":2867,"uris":["http://zotero.org/users/4903636/items/CSWM9PL9"],"itemData":{"id":2867,"type":"article-journal","abstract":"For vitrimer systems obtained by dynamic cross-linking of polymer chains, incompatibility eﬀects between the cross-links and polymer backbone can lead to microphase separation, resulting in a network made of cross-linked aggregates. Additionally, when there is a wide distribution of the number of cross-links per chain, macrophase separation can occur, mostly due to entropic eﬀects. Here, we investigate the linear viscoelasticity and ﬂow of a polyethylene (PE) vitrimer that has cross-linkable dioxaborolane maleimide grafts, which self-assemble into a hierarchical nanostructure. To elucidate the role of self-assembly, we ﬁrst studied dioxaborolane graft functionalized PE that was non-cross-linked. It had a terminal relaxation time that was orders of magnitude larger than both neat PE and partially peroxide cross-linked PE. When dioxaborolane cross-linker was added to form the vitrimer, the resulting material could not achieve terminal relaxation within 8 h. The soluble and insoluble portions of the PE vitrimer were then isolated and characterized. The soluble portion, which was graftpoor, expressed similar ﬂow behavior as neat PE, while the insoluble portion</w:instrText>
      </w:r>
      <w:r w:rsidR="00630AB8" w:rsidRPr="00BD7731">
        <w:rPr>
          <w:rFonts w:hint="eastAsia"/>
          <w:lang w:val="en-GB"/>
        </w:rPr>
        <w:instrText></w:instrText>
      </w:r>
      <w:r w:rsidR="00630AB8" w:rsidRPr="00BD7731">
        <w:rPr>
          <w:lang w:val="en-GB"/>
        </w:rPr>
        <w:instrText>which was a graft-rich network of cross-linked</w:instrText>
      </w:r>
      <w:r w:rsidR="00630AB8" w:rsidRPr="00BD7731">
        <w:rPr>
          <w:rFonts w:hint="eastAsia"/>
          <w:lang w:val="en-GB"/>
        </w:rPr>
        <w:instrText xml:space="preserve"> aggregates</w:instrText>
      </w:r>
      <w:r w:rsidR="00630AB8" w:rsidRPr="00BD7731">
        <w:rPr>
          <w:rFonts w:hint="eastAsia"/>
          <w:lang w:val="en-GB"/>
        </w:rPr>
        <w:instrText></w:instrText>
      </w:r>
      <w:r w:rsidR="00630AB8" w:rsidRPr="00BD7731">
        <w:rPr>
          <w:rFonts w:hint="eastAsia"/>
          <w:lang w:val="en-GB"/>
        </w:rPr>
        <w:instrText>relaxed very little over 8 h. When the insoluble and soluble portions were blended, the rheological behavior of the original vitrimer was basically recovered, showing that the soluble portion acts as a lubricant. When the insoluble portion was</w:instrText>
      </w:r>
      <w:r w:rsidR="00630AB8" w:rsidRPr="00BD7731">
        <w:rPr>
          <w:lang w:val="en-GB"/>
        </w:rPr>
        <w:instrText xml:space="preserve"> blended with neat PE, the material relaxed much more stress but still did not reach steady-state ﬂow within 8 h. When high stresses were applied, however, PE vitrimer ﬂowed. Nonlinear rheology experiments revealed melt fracture at high strains and suggested that ﬂow is enabled by rapid healing, which follows fracture events. The presence of macroscopic phase separation facilitated ﬂow.","container-title":"Macromolecules","DOI":"10.1021/acs.macromol.9b02415","ISSN":"0024-9297, 1520-5835","issue":"5","journalAbbreviation":"Macromolecules","language":"en","page":"1852-1866","source":"DOI.org (Crossref)","title":"Linear Viscoelasticity and Flow of Self-Assembled Vitrimers: The Case of a Polyethylene/Dioxaborolane System","title-short":"Linear Viscoelasticity and Flow of Self-Assembled Vitrimers","volume":"53","author":[{"family":"Ricarte","given":"Ralm G."},{"family":"Tournilhac","given":"François"},{"family":"Cloître","given":"Michel"},{"family":"Leibler","given":"Ludwik"}],"issued":{"date-parts":[["2020",3,10]]}}},{"id":5117,"uris":["http://zotero.org/users/4903636/items/H3483RVI"],"itemData":{"id":5117,"type":"article-journal","abstract":"Vitrimers are polymer networks that engage in dynamic associative exchange reactions. Their covalent cross-links preserve network connectivity but permit topology ﬂuctuations, making them both insoluble and processable. Here, we use a sticky Rouse model approach to elucidate structure−viscoelasticity relationships for unentangled vitrimer melts. Two diﬀerent versions of the sticky Rouse model are explored; the simpliﬁed sticky Rouse (SSR) and the inhomogeneous Rouse (IHR). Unlike the SSR, the IHR model accounts for interactions between slow modes that arise due to cross-linking and fast Rouse modes of the underlying polymer chain. First, we identify the conditions where the SSR suﬃciently approximates the IHR. Then, we use the IHR to explore the inﬂuence of the structure and temperature on the zeroshear viscosity (η0) and characteristic relaxation time (τ*). Vitrimers with uniform and random cross-link distributions exhibit larger η0 and τ* than gradient and blocky types. Polydimethylsiloxane vitrimer (which has a ﬂexible backbone) shows an Arrhenius temperature dependence for η0, while polystyrene vitrimer (which has a rigid backbone) is only Arrhenius at high temperatures. For stress relaxation measurements, the short time dynamics represent monomer friction, while the long time dynamics encompass a combination of network strand relaxation and cross-link exchange. Due to the diﬀerent temperature dependences of the processes, time−temperature superposition fails. The eﬀective rheological activation energy can be estimated a priori from the cross-link exchange activation energy and backbone Williams−Landel−Ferry parameters. Finally, we discuss the utility and limitations of the sticky Rouse approach for studying vitrimer viscoelasticity and best practices for measuring η0 and τ*.","container-title":"Macromolecules","DOI":"10.1021/acs.macromol.0c02530","ISSN":"0024-9297, 1520-5835","issue":"7","journalAbbreviation":"Macromolecules","language":"en","page":"3304-3320","source":"DOI.org (Crossref)","title":"Unentangled Vitrimer Melts: Interplay between Chain Relaxation and Cross-link Exchange Controls Linear Rheology","title-short":"Unentangled Vitrimer Melts","volume":"54","author":[{"family":"Ricarte","given":"Ralm G."},{"family":"Shanbhag","given":"Sachin"}],"issued":{"date-parts":[["2021",4,13]]}}}],"schema":"https://github.com/citation-style-language/schema/raw/master/csl-citation.json"} </w:instrText>
      </w:r>
      <w:r w:rsidR="00630AB8" w:rsidRPr="00BD7731">
        <w:rPr>
          <w:lang w:val="en-GB"/>
        </w:rPr>
        <w:fldChar w:fldCharType="separate"/>
      </w:r>
      <w:r w:rsidR="00630AB8" w:rsidRPr="00BD7731">
        <w:rPr>
          <w:vertAlign w:val="superscript"/>
        </w:rPr>
        <w:t>[49,50]</w:t>
      </w:r>
      <w:r w:rsidR="00630AB8" w:rsidRPr="00BD7731">
        <w:rPr>
          <w:lang w:val="en-GB"/>
        </w:rPr>
        <w:fldChar w:fldCharType="end"/>
      </w:r>
      <w:r w:rsidR="00630AB8" w:rsidRPr="00BD7731">
        <w:rPr>
          <w:lang w:val="en-GB"/>
        </w:rPr>
        <w:t xml:space="preserve"> The plot between </w:t>
      </w:r>
      <w:r w:rsidR="00630AB8" w:rsidRPr="00BD7731">
        <w:rPr>
          <w:i/>
          <w:iCs/>
          <w:lang w:val="en-GB"/>
        </w:rPr>
        <w:t>E</w:t>
      </w:r>
      <w:r w:rsidR="00630AB8" w:rsidRPr="00BD7731">
        <w:rPr>
          <w:vertAlign w:val="subscript"/>
          <w:lang w:val="en-GB"/>
        </w:rPr>
        <w:t>a</w:t>
      </w:r>
      <w:r w:rsidR="00630AB8" w:rsidRPr="00BD7731">
        <w:rPr>
          <w:lang w:val="en-GB"/>
        </w:rPr>
        <w:t xml:space="preserve"> and </w:t>
      </w:r>
      <w:r w:rsidR="00630AB8" w:rsidRPr="00BD7731">
        <w:rPr>
          <w:i/>
          <w:iCs/>
          <w:lang w:val="en-GB"/>
        </w:rPr>
        <w:t>M</w:t>
      </w:r>
      <w:r w:rsidR="00630AB8" w:rsidRPr="00BD7731">
        <w:rPr>
          <w:vertAlign w:val="subscript"/>
          <w:lang w:val="en-GB"/>
        </w:rPr>
        <w:t>n</w:t>
      </w:r>
      <w:r w:rsidR="00630AB8" w:rsidRPr="00BD7731">
        <w:rPr>
          <w:lang w:val="en-GB"/>
        </w:rPr>
        <w:t xml:space="preserve"> showed the similar tendency, while there was a significant difference between the activation energies determined in different method</w:t>
      </w:r>
      <w:r w:rsidR="00132BE1" w:rsidRPr="00BD7731">
        <w:rPr>
          <w:lang w:val="en-GB"/>
        </w:rPr>
        <w:t>.</w:t>
      </w:r>
      <w:r w:rsidR="00630AB8" w:rsidRPr="00BD7731">
        <w:rPr>
          <w:lang w:val="en-GB"/>
        </w:rPr>
        <w:t xml:space="preserve"> Although the reason is unclear, the detail relaxation mechanism might be related.</w:t>
      </w:r>
    </w:p>
    <w:p w14:paraId="7A379277" w14:textId="30A413E6" w:rsidR="00553E0B" w:rsidRPr="00BD7731" w:rsidRDefault="00553E0B" w:rsidP="00630AB8">
      <w:pPr>
        <w:pStyle w:val="MainText"/>
        <w:spacing w:line="360" w:lineRule="auto"/>
        <w:ind w:firstLineChars="150" w:firstLine="360"/>
        <w:jc w:val="both"/>
      </w:pPr>
    </w:p>
    <w:p w14:paraId="1B4DEBA9" w14:textId="667B2454" w:rsidR="00AC0B91" w:rsidRPr="00BD7731" w:rsidRDefault="001751B1" w:rsidP="00AC0B91">
      <w:pPr>
        <w:pStyle w:val="Head1"/>
      </w:pPr>
      <w:r w:rsidRPr="00BD7731">
        <w:t>3</w:t>
      </w:r>
      <w:r w:rsidR="00AC0B91" w:rsidRPr="00BD7731">
        <w:t>. Discussion</w:t>
      </w:r>
    </w:p>
    <w:p w14:paraId="04B1C4D7" w14:textId="6D796164" w:rsidR="00AC0B91" w:rsidRPr="00BD7731" w:rsidRDefault="00AC0B91" w:rsidP="00F4646B">
      <w:pPr>
        <w:pStyle w:val="MainText"/>
        <w:spacing w:line="360" w:lineRule="auto"/>
        <w:ind w:firstLineChars="150" w:firstLine="360"/>
        <w:jc w:val="both"/>
      </w:pPr>
      <w:r w:rsidRPr="00BD7731">
        <w:t>The rheological measurements with temperature-sweep and stress relaxation showed significant differences between </w:t>
      </w:r>
      <w:r w:rsidRPr="00BD7731">
        <w:rPr>
          <w:b/>
          <w:bCs/>
        </w:rPr>
        <w:t>TN</w:t>
      </w:r>
      <w:r w:rsidRPr="00BD7731">
        <w:t> and </w:t>
      </w:r>
      <w:r w:rsidRPr="00BD7731">
        <w:rPr>
          <w:b/>
          <w:bCs/>
        </w:rPr>
        <w:t>RN</w:t>
      </w:r>
      <w:r w:rsidRPr="00BD7731">
        <w:t>.</w:t>
      </w:r>
      <w:r w:rsidR="00132BE1" w:rsidRPr="00BD7731">
        <w:t xml:space="preserve"> </w:t>
      </w:r>
      <w:r w:rsidR="00BB662E" w:rsidRPr="00BD7731">
        <w:t xml:space="preserve">The most remarkable feature is the continuous decrease of modulus in </w:t>
      </w:r>
      <w:r w:rsidR="00BB662E" w:rsidRPr="00BD7731">
        <w:rPr>
          <w:b/>
          <w:bCs/>
        </w:rPr>
        <w:t>TN</w:t>
      </w:r>
      <w:r w:rsidR="00BB662E" w:rsidRPr="00BD7731">
        <w:t xml:space="preserve"> with </w:t>
      </w:r>
      <w:r w:rsidR="00B044D5" w:rsidRPr="00BD7731">
        <w:t>increasing</w:t>
      </w:r>
      <w:r w:rsidR="00BB662E" w:rsidRPr="00BD7731">
        <w:t xml:space="preserve"> temperature</w:t>
      </w:r>
      <w:r w:rsidR="00132BE1" w:rsidRPr="00BD7731">
        <w:t xml:space="preserve"> and the observation of power-law behavior,</w:t>
      </w:r>
      <w:r w:rsidR="00BB662E" w:rsidRPr="00BD7731">
        <w:t xml:space="preserve"> </w:t>
      </w:r>
      <w:proofErr w:type="gramStart"/>
      <w:r w:rsidR="00B044D5" w:rsidRPr="00BD7731">
        <w:t>similar</w:t>
      </w:r>
      <w:r w:rsidR="00BB662E" w:rsidRPr="00BD7731">
        <w:t xml:space="preserve"> </w:t>
      </w:r>
      <w:r w:rsidR="00B044D5" w:rsidRPr="00BD7731">
        <w:t>to</w:t>
      </w:r>
      <w:proofErr w:type="gramEnd"/>
      <w:r w:rsidR="00B044D5" w:rsidRPr="00BD7731">
        <w:t xml:space="preserve"> </w:t>
      </w:r>
      <w:r w:rsidR="00BB662E" w:rsidRPr="00BD7731">
        <w:t>non-crosslinked polymers. Snyder et al. observed the continuous decrease of modulus at elevated temperature in imine-</w:t>
      </w:r>
      <w:proofErr w:type="spellStart"/>
      <w:r w:rsidR="00BB662E" w:rsidRPr="00BD7731">
        <w:t>vitrimers</w:t>
      </w:r>
      <w:proofErr w:type="spellEnd"/>
      <w:r w:rsidR="00BB662E" w:rsidRPr="00BD7731">
        <w:t xml:space="preserve"> from gradient copolymer and speculated that the phenomenon might be due to the slipping of the chains in the low crosslink density segment.</w:t>
      </w:r>
      <w:r w:rsidR="00BB662E" w:rsidRPr="00BD7731">
        <w:fldChar w:fldCharType="begin"/>
      </w:r>
      <w:r w:rsidR="001C3F85" w:rsidRPr="00BD7731">
        <w:instrText xml:space="preserve"> ADDIN ZOTERO_ITEM CSL_CITATION {"citationID":"8HLCl51u","properties":{"formattedCitation":"\\super [51]\\nosupersub{}","plainCitation":"[51]","noteIndex":0},"citationItems":[{"id":5111,"uris":["http://zotero.org/users/4903636/items/ADZURGY8"],"itemData":{"id":5111,"type":"article-journal","abstract":"Covalent adaptable networks (CANs) containing dynamic imine cross-links impart recyclability to thermoset materials, and the distribution of these cross-links greatly affects their observed thermomechanical properties.\n          , \n            \n              Covalent adaptable networks (CANs) containing reversible cross-links impart recyclability to thermoset materials without sacrificing their desirable properties (\n              e.g.\n              high tensile strength and solvent resistance). In addition to thermal recycling, the sustainability of these materials may be further improved by incorporating bio-sourced monomers or by enabling alternate end-of-life fates, such as biodegradation or recovery of starting materials. The alternating ring-opening copolymerisation of epoxides and cyclic anhydrides permits the modular synthesis of polyester pre-polymers that can then be cross-linked to form dynamic imine-linked networks. We report the synthesis and characterisation of five imine exchange polyester CANs with varied cross-linking densities and pre-polymer architectures. While the materials exhibit characteristic thermoset properties at service temperatures, differences in pre-polymer architecture produce distinct dynamic mechanical effects at elevated temperatures. The networks may be thermally reprocessed with full recovery of their tensile strengths and cross-linking densities, dissociated to pre-polymer, or hydrolytically degraded.","container-title":"Polymer Chemistry","DOI":"10.1039/C9PY01957J","ISSN":"1759-9954, 1759-9962","issue":"33","journalAbbreviation":"Polym. Chem.","language":"en","page":"5346-5355","source":"DOI.org (Crossref)","title":"Mechanically robust and reprocessable imine exchange networks from modular polyester pre-polymers","volume":"11","author":[{"family":"Snyder","given":"Rachel L."},{"family":"Lidston","given":"Claire A. L."},{"family":"De Hoe","given":"Guilhem X."},{"family":"Parvulescu","given":"Maria J. S."},{"family":"Hillmyer","given":"Marc A."},{"family":"Coates","given":"Geoffrey W."}],"issued":{"date-parts":[["2020"]]}}}],"schema":"https://github.com/citation-style-language/schema/raw/master/csl-citation.json"} </w:instrText>
      </w:r>
      <w:r w:rsidR="00BB662E" w:rsidRPr="00BD7731">
        <w:fldChar w:fldCharType="separate"/>
      </w:r>
      <w:r w:rsidR="001C3F85" w:rsidRPr="00BD7731">
        <w:rPr>
          <w:vertAlign w:val="superscript"/>
        </w:rPr>
        <w:t>[51]</w:t>
      </w:r>
      <w:r w:rsidR="00BB662E" w:rsidRPr="00BD7731">
        <w:fldChar w:fldCharType="end"/>
      </w:r>
      <w:r w:rsidR="00BB662E" w:rsidRPr="00BD7731">
        <w:t xml:space="preserve"> Our network polymers have low crosslink density, </w:t>
      </w:r>
      <w:r w:rsidR="003F7E09" w:rsidRPr="00BD7731">
        <w:t>and thus</w:t>
      </w:r>
      <w:r w:rsidR="00BB662E" w:rsidRPr="00BD7731">
        <w:t xml:space="preserve"> a similar phenomenon may be responsible for the decrease in </w:t>
      </w:r>
      <w:r w:rsidR="003F7E09" w:rsidRPr="00BD7731">
        <w:t xml:space="preserve">the </w:t>
      </w:r>
      <w:r w:rsidR="00BB662E" w:rsidRPr="00BD7731">
        <w:t xml:space="preserve">modulus at high </w:t>
      </w:r>
      <w:r w:rsidR="003F7E09" w:rsidRPr="00BD7731">
        <w:t>temperatures</w:t>
      </w:r>
      <w:r w:rsidR="00BB662E" w:rsidRPr="00BD7731">
        <w:t>.</w:t>
      </w:r>
      <w:r w:rsidR="00BB662E" w:rsidRPr="00BD7731">
        <w:rPr>
          <w:b/>
          <w:bCs/>
        </w:rPr>
        <w:t xml:space="preserve"> </w:t>
      </w:r>
      <w:r w:rsidR="00E60647" w:rsidRPr="00BD7731">
        <w:t>This feature is related to that</w:t>
      </w:r>
      <w:r w:rsidR="003F7E09" w:rsidRPr="00BD7731">
        <w:t xml:space="preserve"> of</w:t>
      </w:r>
      <w:r w:rsidR="00E60647" w:rsidRPr="00BD7731">
        <w:t xml:space="preserve"> </w:t>
      </w:r>
      <w:r w:rsidRPr="00BD7731">
        <w:rPr>
          <w:b/>
          <w:bCs/>
        </w:rPr>
        <w:t>TN</w:t>
      </w:r>
      <w:r w:rsidR="003F7E09" w:rsidRPr="00BD7731">
        <w:rPr>
          <w:bCs/>
        </w:rPr>
        <w:t>, which</w:t>
      </w:r>
      <w:r w:rsidRPr="00BD7731">
        <w:t xml:space="preserve"> exhibited low viscosity and even a spontaneous flow at high </w:t>
      </w:r>
      <w:r w:rsidR="003F7E09" w:rsidRPr="00BD7731">
        <w:t>temperatures</w:t>
      </w:r>
      <w:r w:rsidRPr="00BD7731">
        <w:t xml:space="preserve"> (</w:t>
      </w:r>
      <w:r w:rsidRPr="00BD7731">
        <w:rPr>
          <w:b/>
          <w:bCs/>
        </w:rPr>
        <w:t>Figure 4</w:t>
      </w:r>
      <w:r w:rsidRPr="00BD7731">
        <w:t>), fast stress relaxation, and low activation energy of relaxation compared to </w:t>
      </w:r>
      <w:r w:rsidRPr="00BD7731">
        <w:rPr>
          <w:b/>
          <w:bCs/>
        </w:rPr>
        <w:t xml:space="preserve">RN (Figure </w:t>
      </w:r>
      <w:r w:rsidR="00CF7DF3" w:rsidRPr="00BD7731">
        <w:rPr>
          <w:b/>
          <w:bCs/>
        </w:rPr>
        <w:t>7</w:t>
      </w:r>
      <w:r w:rsidRPr="00BD7731">
        <w:t>).</w:t>
      </w:r>
      <w:r w:rsidR="00007EE0" w:rsidRPr="00BD7731">
        <w:t xml:space="preserve"> </w:t>
      </w:r>
      <w:r w:rsidRPr="00BD7731">
        <w:t xml:space="preserve">The structural </w:t>
      </w:r>
      <w:r w:rsidR="003F7E09" w:rsidRPr="00BD7731">
        <w:t>differences</w:t>
      </w:r>
      <w:r w:rsidRPr="00BD7731">
        <w:t xml:space="preserve"> between </w:t>
      </w:r>
      <w:r w:rsidRPr="00BD7731">
        <w:rPr>
          <w:b/>
          <w:bCs/>
        </w:rPr>
        <w:t>TN</w:t>
      </w:r>
      <w:r w:rsidRPr="00BD7731">
        <w:t xml:space="preserve"> and </w:t>
      </w:r>
      <w:r w:rsidRPr="00BD7731">
        <w:rPr>
          <w:b/>
          <w:bCs/>
        </w:rPr>
        <w:t>RN</w:t>
      </w:r>
      <w:r w:rsidRPr="00BD7731">
        <w:t xml:space="preserve"> related to these results </w:t>
      </w:r>
      <w:r w:rsidR="003F7E09" w:rsidRPr="00BD7731">
        <w:t>are</w:t>
      </w:r>
      <w:r w:rsidRPr="00BD7731">
        <w:t xml:space="preserve"> the number of chains around the </w:t>
      </w:r>
      <w:r w:rsidR="00B044D5" w:rsidRPr="00BD7731">
        <w:t>bond-exchanging</w:t>
      </w:r>
      <w:r w:rsidRPr="00BD7731">
        <w:t xml:space="preserve"> </w:t>
      </w:r>
      <w:r w:rsidR="00007EE0" w:rsidRPr="00BD7731">
        <w:t>group</w:t>
      </w:r>
      <w:r w:rsidRPr="00BD7731">
        <w:t xml:space="preserve"> and the uniformity of the network architecture. As shown in </w:t>
      </w:r>
      <w:r w:rsidRPr="00BD7731">
        <w:rPr>
          <w:b/>
          <w:bCs/>
        </w:rPr>
        <w:t>Figure 1a</w:t>
      </w:r>
      <w:r w:rsidRPr="00BD7731">
        <w:t xml:space="preserve">, the </w:t>
      </w:r>
      <w:r w:rsidR="00007EE0" w:rsidRPr="00BD7731">
        <w:t xml:space="preserve">expected </w:t>
      </w:r>
      <w:r w:rsidRPr="00BD7731">
        <w:t xml:space="preserve">number of chains around </w:t>
      </w:r>
      <w:r w:rsidR="003F7E09" w:rsidRPr="00BD7731">
        <w:t xml:space="preserve">the </w:t>
      </w:r>
      <w:r w:rsidRPr="00BD7731">
        <w:t xml:space="preserve">crosslinking BADGE group is more in </w:t>
      </w:r>
      <w:r w:rsidRPr="00BD7731">
        <w:rPr>
          <w:b/>
          <w:bCs/>
        </w:rPr>
        <w:t>RN</w:t>
      </w:r>
      <w:r w:rsidRPr="00BD7731">
        <w:t xml:space="preserve"> (right, and R = </w:t>
      </w:r>
      <w:proofErr w:type="spellStart"/>
      <w:r w:rsidRPr="00BD7731">
        <w:rPr>
          <w:i/>
          <w:iCs/>
        </w:rPr>
        <w:t>PSt</w:t>
      </w:r>
      <w:proofErr w:type="spellEnd"/>
      <w:r w:rsidRPr="00BD7731">
        <w:rPr>
          <w:b/>
          <w:bCs/>
          <w:i/>
          <w:iCs/>
        </w:rPr>
        <w:t xml:space="preserve"> </w:t>
      </w:r>
      <w:r w:rsidRPr="00BD7731">
        <w:t xml:space="preserve">in </w:t>
      </w:r>
      <w:r w:rsidRPr="00BD7731">
        <w:rPr>
          <w:b/>
          <w:bCs/>
        </w:rPr>
        <w:t>Figure 1b</w:t>
      </w:r>
      <w:r w:rsidRPr="00BD7731">
        <w:t xml:space="preserve">) and less in </w:t>
      </w:r>
      <w:r w:rsidRPr="00BD7731">
        <w:rPr>
          <w:b/>
          <w:bCs/>
        </w:rPr>
        <w:t>TN</w:t>
      </w:r>
      <w:r w:rsidRPr="00BD7731">
        <w:t xml:space="preserve"> (left, and R = H</w:t>
      </w:r>
      <w:r w:rsidRPr="00BD7731">
        <w:rPr>
          <w:b/>
          <w:bCs/>
          <w:i/>
          <w:iCs/>
        </w:rPr>
        <w:t xml:space="preserve"> </w:t>
      </w:r>
      <w:r w:rsidRPr="00BD7731">
        <w:t xml:space="preserve">in </w:t>
      </w:r>
      <w:r w:rsidRPr="00BD7731">
        <w:rPr>
          <w:b/>
          <w:bCs/>
        </w:rPr>
        <w:t>Figure 1b</w:t>
      </w:r>
      <w:r w:rsidRPr="00BD7731">
        <w:t xml:space="preserve">). Thus, </w:t>
      </w:r>
      <w:r w:rsidR="003F7E09" w:rsidRPr="00BD7731">
        <w:t xml:space="preserve">the steric hindrance hampers </w:t>
      </w:r>
      <w:r w:rsidRPr="00BD7731">
        <w:t xml:space="preserve">the approach of the reactive group to the </w:t>
      </w:r>
      <w:r w:rsidR="00B044D5" w:rsidRPr="00BD7731">
        <w:t>bond-exchanging</w:t>
      </w:r>
      <w:r w:rsidRPr="00BD7731">
        <w:t xml:space="preserve"> group, </w:t>
      </w:r>
      <w:r w:rsidR="003F7E09" w:rsidRPr="00BD7731">
        <w:t>resulting</w:t>
      </w:r>
      <w:r w:rsidRPr="00BD7731">
        <w:t xml:space="preserve"> in </w:t>
      </w:r>
      <w:r w:rsidR="003F7E09" w:rsidRPr="00BD7731">
        <w:t>a</w:t>
      </w:r>
      <w:r w:rsidRPr="00BD7731">
        <w:t xml:space="preserve"> slow exchange reaction.</w:t>
      </w:r>
    </w:p>
    <w:p w14:paraId="32D9194A" w14:textId="4A1E77FE" w:rsidR="00AC0B91" w:rsidRPr="00BD7731" w:rsidRDefault="00E60647" w:rsidP="00F4646B">
      <w:pPr>
        <w:pStyle w:val="MainText"/>
        <w:spacing w:line="360" w:lineRule="auto"/>
        <w:ind w:firstLineChars="150" w:firstLine="360"/>
        <w:jc w:val="both"/>
      </w:pPr>
      <w:r w:rsidRPr="00BD7731">
        <w:t xml:space="preserve">The difference </w:t>
      </w:r>
      <w:r w:rsidR="00BD1474" w:rsidRPr="00BD7731">
        <w:t>between</w:t>
      </w:r>
      <w:r w:rsidRPr="00BD7731">
        <w:t xml:space="preserve"> </w:t>
      </w:r>
      <w:r w:rsidRPr="00BD7731">
        <w:rPr>
          <w:i/>
          <w:iCs/>
        </w:rPr>
        <w:t>E</w:t>
      </w:r>
      <w:r w:rsidRPr="00BD7731">
        <w:rPr>
          <w:vertAlign w:val="subscript"/>
        </w:rPr>
        <w:t>a</w:t>
      </w:r>
      <w:r w:rsidRPr="00BD7731">
        <w:t xml:space="preserve"> </w:t>
      </w:r>
      <w:r w:rsidR="00BD1474" w:rsidRPr="00BD7731">
        <w:t>of</w:t>
      </w:r>
      <w:r w:rsidRPr="00BD7731">
        <w:t xml:space="preserve"> </w:t>
      </w:r>
      <w:r w:rsidRPr="00BD7731">
        <w:rPr>
          <w:b/>
          <w:bCs/>
        </w:rPr>
        <w:t>RN</w:t>
      </w:r>
      <w:r w:rsidRPr="00BD7731">
        <w:t xml:space="preserve"> and </w:t>
      </w:r>
      <w:r w:rsidRPr="00BD7731">
        <w:rPr>
          <w:b/>
          <w:bCs/>
        </w:rPr>
        <w:t>TN</w:t>
      </w:r>
      <w:r w:rsidRPr="00BD7731">
        <w:t xml:space="preserve"> is significant, indicating the different macromolecular behavior at high </w:t>
      </w:r>
      <w:r w:rsidR="00BD1474" w:rsidRPr="00BD7731">
        <w:t>temperatures</w:t>
      </w:r>
      <w:r w:rsidRPr="00BD7731">
        <w:t xml:space="preserve">. In the Arrhenius-type analysis of the relaxation time, </w:t>
      </w:r>
      <w:r w:rsidRPr="00BD7731">
        <w:rPr>
          <w:i/>
          <w:iCs/>
        </w:rPr>
        <w:t>E</w:t>
      </w:r>
      <w:r w:rsidRPr="00BD7731">
        <w:rPr>
          <w:vertAlign w:val="subscript"/>
        </w:rPr>
        <w:t>a</w:t>
      </w:r>
      <w:r w:rsidRPr="00BD7731">
        <w:t xml:space="preserve"> </w:t>
      </w:r>
      <w:r w:rsidR="00BD1474" w:rsidRPr="00BD7731">
        <w:t>and</w:t>
      </w:r>
      <w:r w:rsidRPr="00BD7731">
        <w:t xml:space="preserve"> the pre-exponential factors are largely different between </w:t>
      </w:r>
      <w:r w:rsidRPr="00BD7731">
        <w:rPr>
          <w:b/>
          <w:bCs/>
        </w:rPr>
        <w:t>RN</w:t>
      </w:r>
      <w:r w:rsidRPr="00BD7731">
        <w:t xml:space="preserve"> and </w:t>
      </w:r>
      <w:r w:rsidRPr="00BD7731">
        <w:rPr>
          <w:b/>
          <w:bCs/>
        </w:rPr>
        <w:t>TN</w:t>
      </w:r>
      <w:r w:rsidRPr="00BD7731">
        <w:t xml:space="preserve">. Although there is </w:t>
      </w:r>
      <w:r w:rsidR="00BD1474" w:rsidRPr="00BD7731">
        <w:t>no</w:t>
      </w:r>
      <w:r w:rsidRPr="00BD7731">
        <w:t xml:space="preserve"> clear explanation for the mechanism at </w:t>
      </w:r>
      <w:r w:rsidR="00BD1474" w:rsidRPr="00BD7731">
        <w:t>present</w:t>
      </w:r>
      <w:r w:rsidRPr="00BD7731">
        <w:t xml:space="preserve">, the difference in </w:t>
      </w:r>
      <w:r w:rsidR="00BD1474" w:rsidRPr="00BD7731">
        <w:t xml:space="preserve">the </w:t>
      </w:r>
      <w:r w:rsidRPr="00BD7731">
        <w:t xml:space="preserve">stress relaxation process might be explained by both factors. </w:t>
      </w:r>
      <w:r w:rsidR="00BD1474" w:rsidRPr="00BD7731">
        <w:t>With respect to the</w:t>
      </w:r>
      <w:r w:rsidR="00AC0B91" w:rsidRPr="00BD7731">
        <w:t xml:space="preserve"> effect of chain length on </w:t>
      </w:r>
      <w:r w:rsidR="00AC0B91" w:rsidRPr="00BD7731">
        <w:rPr>
          <w:i/>
          <w:iCs/>
        </w:rPr>
        <w:t>E</w:t>
      </w:r>
      <w:r w:rsidR="00AC0B91" w:rsidRPr="00BD7731">
        <w:rPr>
          <w:vertAlign w:val="subscript"/>
        </w:rPr>
        <w:t>a</w:t>
      </w:r>
      <w:r w:rsidRPr="00BD7731">
        <w:t>,</w:t>
      </w:r>
      <w:r w:rsidR="00AC0B91" w:rsidRPr="00BD7731">
        <w:t xml:space="preserve"> </w:t>
      </w:r>
      <w:r w:rsidRPr="00BD7731">
        <w:t>t</w:t>
      </w:r>
      <w:r w:rsidR="00AC0B91" w:rsidRPr="00BD7731">
        <w:t>he high </w:t>
      </w:r>
      <w:r w:rsidR="00AC0B91" w:rsidRPr="00BD7731">
        <w:rPr>
          <w:i/>
          <w:iCs/>
        </w:rPr>
        <w:t>E</w:t>
      </w:r>
      <w:r w:rsidR="00AC0B91" w:rsidRPr="00BD7731">
        <w:rPr>
          <w:vertAlign w:val="subscript"/>
        </w:rPr>
        <w:t>a</w:t>
      </w:r>
      <w:r w:rsidR="00AC0B91" w:rsidRPr="00BD7731">
        <w:t xml:space="preserve"> of </w:t>
      </w:r>
      <w:r w:rsidR="00AC0B91" w:rsidRPr="00BD7731">
        <w:rPr>
          <w:b/>
          <w:bCs/>
        </w:rPr>
        <w:t>TN</w:t>
      </w:r>
      <w:r w:rsidR="00AC0B91" w:rsidRPr="00BD7731">
        <w:rPr>
          <w:vertAlign w:val="subscript"/>
        </w:rPr>
        <w:t>8600</w:t>
      </w:r>
      <w:r w:rsidR="00AC0B91" w:rsidRPr="00BD7731">
        <w:t xml:space="preserve"> indicates a kinetically unfavorable stress relaxation process due to the slow bond exchange reaction. The probable mechanism is proposed in </w:t>
      </w:r>
      <w:r w:rsidR="00AC0B91" w:rsidRPr="00BD7731">
        <w:rPr>
          <w:b/>
          <w:bCs/>
        </w:rPr>
        <w:t xml:space="preserve">Figure </w:t>
      </w:r>
      <w:r w:rsidR="00CF7DF3" w:rsidRPr="00BD7731">
        <w:rPr>
          <w:b/>
          <w:bCs/>
        </w:rPr>
        <w:t>8</w:t>
      </w:r>
      <w:r w:rsidR="00AC0B91" w:rsidRPr="00BD7731">
        <w:t>. In </w:t>
      </w:r>
      <w:r w:rsidR="00AC0B91" w:rsidRPr="00BD7731">
        <w:rPr>
          <w:b/>
          <w:bCs/>
        </w:rPr>
        <w:t>TN</w:t>
      </w:r>
      <w:r w:rsidR="00AC0B91" w:rsidRPr="00BD7731">
        <w:t xml:space="preserve"> with long chains, the efficient bond (chain) </w:t>
      </w:r>
      <w:r w:rsidR="00BD1474" w:rsidRPr="00BD7731">
        <w:t>exchange</w:t>
      </w:r>
      <w:r w:rsidR="00AC0B91" w:rsidRPr="00BD7731">
        <w:t xml:space="preserve"> is hampered by the long distance between a reactive and bond exchangeable </w:t>
      </w:r>
      <w:r w:rsidR="00BD1474" w:rsidRPr="00BD7731">
        <w:t>groups</w:t>
      </w:r>
      <w:r w:rsidR="00AC0B91" w:rsidRPr="00BD7731">
        <w:t xml:space="preserve">. However, the exchange of long chains results in the </w:t>
      </w:r>
      <w:proofErr w:type="gramStart"/>
      <w:r w:rsidR="00AC0B91" w:rsidRPr="00BD7731">
        <w:t>large microscopic</w:t>
      </w:r>
      <w:proofErr w:type="gramEnd"/>
      <w:r w:rsidR="00AC0B91" w:rsidRPr="00BD7731">
        <w:t xml:space="preserve"> flow of the network</w:t>
      </w:r>
      <w:r w:rsidR="00BD1474" w:rsidRPr="00BD7731">
        <w:t xml:space="preserve"> when the reaction occurs</w:t>
      </w:r>
      <w:r w:rsidR="00AC0B91" w:rsidRPr="00BD7731">
        <w:t xml:space="preserve">. The experimental results, </w:t>
      </w:r>
      <w:r w:rsidR="00156017" w:rsidRPr="00BD7731">
        <w:t>wherein</w:t>
      </w:r>
      <w:r w:rsidR="00AC0B91" w:rsidRPr="00BD7731">
        <w:t> </w:t>
      </w:r>
      <w:r w:rsidR="00AC0B91" w:rsidRPr="00BD7731">
        <w:rPr>
          <w:b/>
          <w:bCs/>
        </w:rPr>
        <w:t>TN</w:t>
      </w:r>
      <w:r w:rsidR="00AC0B91" w:rsidRPr="00BD7731">
        <w:rPr>
          <w:vertAlign w:val="subscript"/>
        </w:rPr>
        <w:t>8600</w:t>
      </w:r>
      <w:r w:rsidR="00AC0B91" w:rsidRPr="00BD7731">
        <w:t xml:space="preserve"> has the largest </w:t>
      </w:r>
      <w:r w:rsidR="00AC0B91" w:rsidRPr="00BD7731">
        <w:rPr>
          <w:i/>
          <w:iCs/>
        </w:rPr>
        <w:t>E</w:t>
      </w:r>
      <w:r w:rsidR="00AC0B91" w:rsidRPr="00BD7731">
        <w:rPr>
          <w:vertAlign w:val="subscript"/>
        </w:rPr>
        <w:t>a</w:t>
      </w:r>
      <w:r w:rsidR="00AC0B91" w:rsidRPr="00BD7731">
        <w:t xml:space="preserve"> and the lowest viscosity at high </w:t>
      </w:r>
      <w:r w:rsidR="00156017" w:rsidRPr="00BD7731">
        <w:t>temperatures</w:t>
      </w:r>
      <w:r w:rsidR="00AC0B91" w:rsidRPr="00BD7731">
        <w:t xml:space="preserve">, indicate </w:t>
      </w:r>
      <w:r w:rsidR="00156017" w:rsidRPr="00BD7731">
        <w:t xml:space="preserve">that </w:t>
      </w:r>
      <w:r w:rsidR="00AC0B91" w:rsidRPr="00BD7731">
        <w:t xml:space="preserve">the </w:t>
      </w:r>
      <w:proofErr w:type="gramStart"/>
      <w:r w:rsidR="00AC0B91" w:rsidRPr="00BD7731">
        <w:t>large microscopic</w:t>
      </w:r>
      <w:proofErr w:type="gramEnd"/>
      <w:r w:rsidR="00AC0B91" w:rsidRPr="00BD7731">
        <w:t xml:space="preserve"> flow is significant in the bulk viscoelastic behavior (</w:t>
      </w:r>
      <w:r w:rsidR="00AC0B91" w:rsidRPr="00BD7731">
        <w:rPr>
          <w:b/>
          <w:bCs/>
        </w:rPr>
        <w:t>Figure 4</w:t>
      </w:r>
      <w:r w:rsidR="00AC0B91" w:rsidRPr="00BD7731">
        <w:t xml:space="preserve">). </w:t>
      </w:r>
      <w:r w:rsidR="00156017" w:rsidRPr="00BD7731">
        <w:t>Conversely</w:t>
      </w:r>
      <w:r w:rsidR="00AC0B91" w:rsidRPr="00BD7731">
        <w:t>, </w:t>
      </w:r>
      <w:r w:rsidR="00AC0B91" w:rsidRPr="00BD7731">
        <w:rPr>
          <w:b/>
          <w:bCs/>
        </w:rPr>
        <w:t>RN</w:t>
      </w:r>
      <w:r w:rsidR="00AC0B91" w:rsidRPr="00BD7731">
        <w:t xml:space="preserve"> from </w:t>
      </w:r>
      <w:r w:rsidR="00156017" w:rsidRPr="00BD7731">
        <w:t xml:space="preserve">the </w:t>
      </w:r>
      <w:r w:rsidR="00AC0B91" w:rsidRPr="00BD7731">
        <w:t>long chains showed low </w:t>
      </w:r>
      <w:r w:rsidR="00AC0B91" w:rsidRPr="00BD7731">
        <w:rPr>
          <w:i/>
          <w:iCs/>
        </w:rPr>
        <w:t>E</w:t>
      </w:r>
      <w:r w:rsidR="00AC0B91" w:rsidRPr="00BD7731">
        <w:rPr>
          <w:vertAlign w:val="subscript"/>
        </w:rPr>
        <w:t>a</w:t>
      </w:r>
      <w:r w:rsidR="00AC0B91" w:rsidRPr="00BD7731">
        <w:t xml:space="preserve">, while the viscoelastic behavior is </w:t>
      </w:r>
      <w:r w:rsidR="00156017" w:rsidRPr="00BD7731">
        <w:t>unaffected</w:t>
      </w:r>
      <w:r w:rsidR="00AC0B91" w:rsidRPr="00BD7731">
        <w:t xml:space="preserve"> by the chain length. Because of the highly hindered and </w:t>
      </w:r>
      <w:r w:rsidR="00156017" w:rsidRPr="00BD7731">
        <w:t>restricted</w:t>
      </w:r>
      <w:r w:rsidR="00AC0B91" w:rsidRPr="00BD7731">
        <w:t xml:space="preserve"> environment around the crosslinks (</w:t>
      </w:r>
      <w:r w:rsidR="00AC0B91" w:rsidRPr="00BD7731">
        <w:rPr>
          <w:b/>
          <w:bCs/>
        </w:rPr>
        <w:t>Figure 1</w:t>
      </w:r>
      <w:r w:rsidR="003855F6" w:rsidRPr="00BD7731">
        <w:rPr>
          <w:b/>
          <w:bCs/>
        </w:rPr>
        <w:t>a</w:t>
      </w:r>
      <w:r w:rsidR="00AC0B91" w:rsidRPr="00BD7731">
        <w:t xml:space="preserve">, right), the flexibility of chains related to the long chain length </w:t>
      </w:r>
      <w:r w:rsidR="00156017" w:rsidRPr="00BD7731">
        <w:t>could</w:t>
      </w:r>
      <w:r w:rsidR="00AC0B91" w:rsidRPr="00BD7731">
        <w:t xml:space="preserve"> be favorable for the stress relaxation. Thus, the viscoelastic behavior is defined by a combination of factors</w:t>
      </w:r>
      <w:r w:rsidR="00156017" w:rsidRPr="00BD7731">
        <w:t>,</w:t>
      </w:r>
      <w:r w:rsidR="00AC0B91" w:rsidRPr="00BD7731">
        <w:t xml:space="preserve"> including the network architecture</w:t>
      </w:r>
      <w:r w:rsidR="00156017" w:rsidRPr="00BD7731">
        <w:t xml:space="preserve">, although </w:t>
      </w:r>
      <w:r w:rsidR="00156017" w:rsidRPr="00BD7731">
        <w:rPr>
          <w:i/>
          <w:iCs/>
        </w:rPr>
        <w:t>E</w:t>
      </w:r>
      <w:r w:rsidR="00156017" w:rsidRPr="00BD7731">
        <w:rPr>
          <w:vertAlign w:val="subscript"/>
        </w:rPr>
        <w:t>a</w:t>
      </w:r>
      <w:r w:rsidR="00156017" w:rsidRPr="00BD7731">
        <w:t xml:space="preserve"> is the important indicator to quantify the property of </w:t>
      </w:r>
      <w:proofErr w:type="spellStart"/>
      <w:r w:rsidR="00156017" w:rsidRPr="00BD7731">
        <w:t>vitrimers</w:t>
      </w:r>
      <w:proofErr w:type="spellEnd"/>
      <w:r w:rsidR="00AC0B91" w:rsidRPr="00BD7731">
        <w:t>.</w:t>
      </w:r>
    </w:p>
    <w:p w14:paraId="7354B754" w14:textId="2C91484F" w:rsidR="00553E0B" w:rsidRPr="00BD7731" w:rsidRDefault="00553E0B" w:rsidP="008C6D5F">
      <w:pPr>
        <w:pStyle w:val="MainText"/>
        <w:spacing w:line="360" w:lineRule="auto"/>
      </w:pPr>
    </w:p>
    <w:p w14:paraId="15CC13CC" w14:textId="76FEDFEF" w:rsidR="00AC0B91" w:rsidRPr="00BD7731" w:rsidRDefault="001751B1" w:rsidP="00AC0B91">
      <w:pPr>
        <w:pStyle w:val="Head1"/>
      </w:pPr>
      <w:r w:rsidRPr="00BD7731">
        <w:t>4</w:t>
      </w:r>
      <w:r w:rsidR="00AC0B91" w:rsidRPr="00BD7731">
        <w:t xml:space="preserve">. </w:t>
      </w:r>
      <w:r w:rsidRPr="00BD7731">
        <w:t>Conclusion</w:t>
      </w:r>
    </w:p>
    <w:p w14:paraId="117D0B75" w14:textId="6E83DD8B" w:rsidR="00F4646B" w:rsidRPr="00BD7731" w:rsidRDefault="00156017" w:rsidP="00F4646B">
      <w:pPr>
        <w:pStyle w:val="MainText"/>
        <w:spacing w:line="360" w:lineRule="auto"/>
        <w:ind w:firstLineChars="150" w:firstLine="360"/>
        <w:jc w:val="both"/>
      </w:pPr>
      <w:r w:rsidRPr="00BD7731">
        <w:t>In conclusion, this</w:t>
      </w:r>
      <w:r w:rsidR="001751B1" w:rsidRPr="00BD7731">
        <w:t xml:space="preserve"> </w:t>
      </w:r>
      <w:r w:rsidRPr="00BD7731">
        <w:t>study</w:t>
      </w:r>
      <w:r w:rsidR="001751B1" w:rsidRPr="00BD7731">
        <w:t xml:space="preserve"> </w:t>
      </w:r>
      <w:r w:rsidRPr="00BD7731">
        <w:t>determined</w:t>
      </w:r>
      <w:r w:rsidR="00886D31" w:rsidRPr="00BD7731">
        <w:t xml:space="preserve"> </w:t>
      </w:r>
      <w:r w:rsidR="001751B1" w:rsidRPr="00BD7731">
        <w:t xml:space="preserve">the significant effect of the network architecture, which </w:t>
      </w:r>
      <w:r w:rsidRPr="00BD7731">
        <w:t>was</w:t>
      </w:r>
      <w:r w:rsidR="001751B1" w:rsidRPr="00BD7731">
        <w:t xml:space="preserve"> directly </w:t>
      </w:r>
      <w:r w:rsidRPr="00BD7731">
        <w:t>ascertained</w:t>
      </w:r>
      <w:r w:rsidR="001751B1" w:rsidRPr="00BD7731">
        <w:t xml:space="preserve"> by the structure of precursor polymers, on the viscoelastic property of </w:t>
      </w:r>
      <w:proofErr w:type="spellStart"/>
      <w:r w:rsidR="001751B1" w:rsidRPr="00BD7731">
        <w:t>vitrimers</w:t>
      </w:r>
      <w:proofErr w:type="spellEnd"/>
      <w:r w:rsidR="001751B1" w:rsidRPr="00BD7731">
        <w:t xml:space="preserve"> of crosslinked </w:t>
      </w:r>
      <w:r w:rsidRPr="00BD7731">
        <w:t>polymers</w:t>
      </w:r>
      <w:r w:rsidR="001751B1" w:rsidRPr="00BD7731">
        <w:t>. While the chemi</w:t>
      </w:r>
      <w:r w:rsidR="00886D31" w:rsidRPr="00BD7731">
        <w:t>cal structure</w:t>
      </w:r>
      <w:r w:rsidRPr="00BD7731">
        <w:t>,</w:t>
      </w:r>
      <w:r w:rsidR="001751B1" w:rsidRPr="00BD7731">
        <w:t xml:space="preserve"> number of the functional group of crosslinks</w:t>
      </w:r>
      <w:r w:rsidRPr="00BD7731">
        <w:t>,</w:t>
      </w:r>
      <w:r w:rsidR="001751B1" w:rsidRPr="00BD7731">
        <w:t xml:space="preserve"> and chain length of the component polymer </w:t>
      </w:r>
      <w:r w:rsidRPr="00BD7731">
        <w:t>were</w:t>
      </w:r>
      <w:r w:rsidR="001751B1" w:rsidRPr="00BD7731">
        <w:t xml:space="preserve"> identical, the </w:t>
      </w:r>
      <w:proofErr w:type="spellStart"/>
      <w:r w:rsidR="001751B1" w:rsidRPr="00BD7731">
        <w:t>vitrimers</w:t>
      </w:r>
      <w:proofErr w:type="spellEnd"/>
      <w:r w:rsidR="001751B1" w:rsidRPr="00BD7731">
        <w:t xml:space="preserve"> prepared from </w:t>
      </w:r>
      <w:proofErr w:type="spellStart"/>
      <w:r w:rsidR="001751B1" w:rsidRPr="00BD7731">
        <w:t>telechelic</w:t>
      </w:r>
      <w:proofErr w:type="spellEnd"/>
      <w:r w:rsidR="001751B1" w:rsidRPr="00BD7731">
        <w:t xml:space="preserve"> polymer showed</w:t>
      </w:r>
      <w:r w:rsidR="00FE1310" w:rsidRPr="00BD7731">
        <w:t xml:space="preserve"> remarkably different viscoelastic properties </w:t>
      </w:r>
      <w:r w:rsidRPr="00BD7731">
        <w:t>than</w:t>
      </w:r>
      <w:r w:rsidR="001751B1" w:rsidRPr="00BD7731">
        <w:t xml:space="preserve"> the </w:t>
      </w:r>
      <w:proofErr w:type="spellStart"/>
      <w:r w:rsidR="001751B1" w:rsidRPr="00BD7731">
        <w:t>vitrimers</w:t>
      </w:r>
      <w:proofErr w:type="spellEnd"/>
      <w:r w:rsidR="001751B1" w:rsidRPr="00BD7731">
        <w:t xml:space="preserve"> prepared from random copolymers with functional groups. </w:t>
      </w:r>
      <w:r w:rsidR="00FE1310" w:rsidRPr="00BD7731">
        <w:t xml:space="preserve">The sharp and large decrease of viscosity and storage modulus at elevated </w:t>
      </w:r>
      <w:r w:rsidRPr="00BD7731">
        <w:t>temperatures</w:t>
      </w:r>
      <w:r w:rsidR="00FE1310" w:rsidRPr="00BD7731">
        <w:t xml:space="preserve"> in </w:t>
      </w:r>
      <w:r w:rsidR="00FE1310" w:rsidRPr="00BD7731">
        <w:rPr>
          <w:b/>
          <w:bCs/>
        </w:rPr>
        <w:t>TN</w:t>
      </w:r>
      <w:r w:rsidR="00FE1310" w:rsidRPr="00BD7731">
        <w:t xml:space="preserve"> </w:t>
      </w:r>
      <w:r w:rsidRPr="00BD7731">
        <w:t xml:space="preserve">is </w:t>
      </w:r>
      <w:r w:rsidR="00552E6D" w:rsidRPr="00BD7731">
        <w:t>attributed</w:t>
      </w:r>
      <w:r w:rsidR="00FE1310" w:rsidRPr="00BD7731">
        <w:t xml:space="preserve"> to their macromolecular architecture involving network structure uniformity and crosslink density. </w:t>
      </w:r>
      <w:r w:rsidR="001751B1" w:rsidRPr="00BD7731">
        <w:t xml:space="preserve">The effect of chain length of precursor polymer on the viscoelastic property of </w:t>
      </w:r>
      <w:proofErr w:type="spellStart"/>
      <w:r w:rsidR="001751B1" w:rsidRPr="00BD7731">
        <w:t>vitrimers</w:t>
      </w:r>
      <w:proofErr w:type="spellEnd"/>
      <w:r w:rsidR="001751B1" w:rsidRPr="00BD7731">
        <w:t xml:space="preserve"> prepared from </w:t>
      </w:r>
      <w:proofErr w:type="spellStart"/>
      <w:r w:rsidR="001751B1" w:rsidRPr="00BD7731">
        <w:t>telechelic</w:t>
      </w:r>
      <w:proofErr w:type="spellEnd"/>
      <w:r w:rsidR="001751B1" w:rsidRPr="00BD7731">
        <w:t xml:space="preserve"> polymers</w:t>
      </w:r>
      <w:r w:rsidR="00422E9D" w:rsidRPr="00BD7731">
        <w:t xml:space="preserve"> is remarkable</w:t>
      </w:r>
      <w:r w:rsidR="001751B1" w:rsidRPr="00BD7731">
        <w:t xml:space="preserve">, indicating the possible tuning of the property without </w:t>
      </w:r>
      <w:r w:rsidR="00422E9D" w:rsidRPr="00BD7731">
        <w:t>changing</w:t>
      </w:r>
      <w:r w:rsidR="001751B1" w:rsidRPr="00BD7731">
        <w:t xml:space="preserve"> the functional group. This knowledge will facilitate advances in </w:t>
      </w:r>
      <w:r w:rsidR="00422E9D" w:rsidRPr="00BD7731">
        <w:t>designing</w:t>
      </w:r>
      <w:r w:rsidR="001751B1" w:rsidRPr="00BD7731">
        <w:t xml:space="preserve"> these polymer materials with tailor-made properties for various applications.</w:t>
      </w:r>
      <w:r w:rsidR="00F4646B" w:rsidRPr="00BD7731">
        <w:br w:type="page"/>
      </w:r>
    </w:p>
    <w:p w14:paraId="69BADA7A" w14:textId="0DEE2351" w:rsidR="00A85A0D" w:rsidRPr="00BD7731" w:rsidRDefault="0009379D" w:rsidP="00F9209A">
      <w:pPr>
        <w:pStyle w:val="Legend"/>
        <w:spacing w:line="360" w:lineRule="auto"/>
        <w:jc w:val="center"/>
      </w:pPr>
      <w:r w:rsidRPr="00BD7731">
        <w:rPr>
          <w:noProof/>
        </w:rPr>
        <w:drawing>
          <wp:inline distT="0" distB="0" distL="0" distR="0" wp14:anchorId="66462EFC" wp14:editId="2D856CDD">
            <wp:extent cx="3308422" cy="5524500"/>
            <wp:effectExtent l="0" t="0" r="6350" b="0"/>
            <wp:docPr id="20" name="図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308422" cy="5524500"/>
                    </a:xfrm>
                    <a:prstGeom prst="rect">
                      <a:avLst/>
                    </a:prstGeom>
                    <a:noFill/>
                    <a:ln>
                      <a:noFill/>
                    </a:ln>
                  </pic:spPr>
                </pic:pic>
              </a:graphicData>
            </a:graphic>
          </wp:inline>
        </w:drawing>
      </w:r>
    </w:p>
    <w:p w14:paraId="405C5D73" w14:textId="7C7A5054" w:rsidR="00A85A0D" w:rsidRPr="00BD7731" w:rsidRDefault="00A85A0D" w:rsidP="008C6D5F">
      <w:pPr>
        <w:pStyle w:val="Legend"/>
        <w:spacing w:line="360" w:lineRule="auto"/>
      </w:pPr>
      <w:r w:rsidRPr="00BD7731">
        <w:rPr>
          <w:b/>
        </w:rPr>
        <w:t xml:space="preserve">Figure </w:t>
      </w:r>
      <w:r w:rsidR="006E4C82" w:rsidRPr="00BD7731">
        <w:rPr>
          <w:b/>
        </w:rPr>
        <w:fldChar w:fldCharType="begin"/>
      </w:r>
      <w:r w:rsidR="006E4C82" w:rsidRPr="00BD7731">
        <w:rPr>
          <w:b/>
        </w:rPr>
        <w:instrText xml:space="preserve"> SEQ Figures \* MERGEFORMAT </w:instrText>
      </w:r>
      <w:r w:rsidR="006E4C82" w:rsidRPr="00BD7731">
        <w:rPr>
          <w:b/>
        </w:rPr>
        <w:fldChar w:fldCharType="separate"/>
      </w:r>
      <w:r w:rsidR="00CF7DF3" w:rsidRPr="00BD7731">
        <w:rPr>
          <w:b/>
          <w:noProof/>
        </w:rPr>
        <w:t>1</w:t>
      </w:r>
      <w:r w:rsidR="006E4C82" w:rsidRPr="00BD7731">
        <w:rPr>
          <w:b/>
        </w:rPr>
        <w:fldChar w:fldCharType="end"/>
      </w:r>
      <w:r w:rsidRPr="00BD7731">
        <w:rPr>
          <w:b/>
        </w:rPr>
        <w:t>.</w:t>
      </w:r>
      <w:r w:rsidRPr="00BD7731">
        <w:t xml:space="preserve"> </w:t>
      </w:r>
      <w:r w:rsidR="00D33D3B" w:rsidRPr="00BD7731">
        <w:t xml:space="preserve">(a) </w:t>
      </w:r>
      <w:r w:rsidR="002C7005" w:rsidRPr="00BD7731">
        <w:t>A schematic</w:t>
      </w:r>
      <w:r w:rsidR="00D33D3B" w:rsidRPr="00BD7731">
        <w:t xml:space="preserve"> </w:t>
      </w:r>
      <w:r w:rsidR="002C7005" w:rsidRPr="00BD7731">
        <w:t>representation</w:t>
      </w:r>
      <w:r w:rsidR="00D33D3B" w:rsidRPr="00BD7731">
        <w:t xml:space="preserve"> of the crosslinked polymer networks prepared from a </w:t>
      </w:r>
      <w:proofErr w:type="spellStart"/>
      <w:r w:rsidR="00D33D3B" w:rsidRPr="00BD7731">
        <w:t>telechelic</w:t>
      </w:r>
      <w:proofErr w:type="spellEnd"/>
      <w:r w:rsidR="00D33D3B" w:rsidRPr="00BD7731">
        <w:t xml:space="preserve"> </w:t>
      </w:r>
      <w:r w:rsidR="002C7005" w:rsidRPr="00BD7731">
        <w:t>polymer</w:t>
      </w:r>
      <w:r w:rsidR="00D33D3B" w:rsidRPr="00BD7731">
        <w:t xml:space="preserve"> (left</w:t>
      </w:r>
      <w:r w:rsidR="002C7005" w:rsidRPr="00BD7731">
        <w:t>)</w:t>
      </w:r>
      <w:r w:rsidR="00D33D3B" w:rsidRPr="00BD7731">
        <w:t xml:space="preserve"> and a polymer with reactive groups at random position (a random copolymer, right), and (b and c) the chemical structures of the precursors and the network in this study. </w:t>
      </w:r>
      <w:r w:rsidR="006E4C82" w:rsidRPr="00BD7731">
        <w:t>T</w:t>
      </w:r>
      <w:r w:rsidR="00D33D3B" w:rsidRPr="00BD7731">
        <w:t xml:space="preserve">he expected structures from </w:t>
      </w:r>
      <w:proofErr w:type="spellStart"/>
      <w:r w:rsidR="00D33D3B" w:rsidRPr="00BD7731">
        <w:t>telechelic</w:t>
      </w:r>
      <w:proofErr w:type="spellEnd"/>
      <w:r w:rsidR="00D33D3B" w:rsidRPr="00BD7731">
        <w:t xml:space="preserve"> polymer/BADGE = 1/1.5 feeding ratio are drawn</w:t>
      </w:r>
      <w:r w:rsidR="006E4C82" w:rsidRPr="00BD7731">
        <w:t xml:space="preserve"> in (a)</w:t>
      </w:r>
      <w:r w:rsidR="00D33D3B" w:rsidRPr="00BD7731">
        <w:t>.</w:t>
      </w:r>
    </w:p>
    <w:p w14:paraId="0A273083" w14:textId="3075E1B4" w:rsidR="00A85A0D" w:rsidRPr="00BD7731" w:rsidRDefault="00A85A0D" w:rsidP="008C6D5F">
      <w:pPr>
        <w:pStyle w:val="Legend"/>
        <w:spacing w:line="360" w:lineRule="auto"/>
      </w:pPr>
    </w:p>
    <w:p w14:paraId="35607BB3" w14:textId="7A11CDB5" w:rsidR="00BA3559" w:rsidRPr="00BD7731" w:rsidRDefault="00286E23" w:rsidP="00F9209A">
      <w:pPr>
        <w:pStyle w:val="Legend"/>
        <w:spacing w:line="360" w:lineRule="auto"/>
        <w:jc w:val="center"/>
      </w:pPr>
      <w:r w:rsidRPr="00BD7731">
        <w:rPr>
          <w:noProof/>
          <w:lang w:val="en-IN" w:eastAsia="en-IN"/>
        </w:rPr>
        <w:drawing>
          <wp:inline distT="0" distB="0" distL="0" distR="0" wp14:anchorId="24DFE74E" wp14:editId="5A57260E">
            <wp:extent cx="3912704" cy="7018478"/>
            <wp:effectExtent l="0" t="0" r="0" b="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913281" cy="7019513"/>
                    </a:xfrm>
                    <a:prstGeom prst="rect">
                      <a:avLst/>
                    </a:prstGeom>
                    <a:noFill/>
                    <a:ln>
                      <a:noFill/>
                    </a:ln>
                  </pic:spPr>
                </pic:pic>
              </a:graphicData>
            </a:graphic>
          </wp:inline>
        </w:drawing>
      </w:r>
    </w:p>
    <w:p w14:paraId="3CD9A713" w14:textId="0BD2A615" w:rsidR="00300E35" w:rsidRPr="00BD7731" w:rsidRDefault="00BA3559" w:rsidP="00300E35">
      <w:pPr>
        <w:pStyle w:val="Legend"/>
        <w:spacing w:line="360" w:lineRule="auto"/>
        <w:rPr>
          <w:bCs/>
        </w:rPr>
      </w:pPr>
      <w:r w:rsidRPr="00BD7731">
        <w:rPr>
          <w:b/>
        </w:rPr>
        <w:t xml:space="preserve">Figure </w:t>
      </w:r>
      <w:r w:rsidR="006E4C82" w:rsidRPr="00BD7731">
        <w:rPr>
          <w:b/>
        </w:rPr>
        <w:fldChar w:fldCharType="begin"/>
      </w:r>
      <w:r w:rsidR="006E4C82" w:rsidRPr="00BD7731">
        <w:rPr>
          <w:b/>
        </w:rPr>
        <w:instrText xml:space="preserve"> SEQ Figures \* MERGEFORMAT </w:instrText>
      </w:r>
      <w:r w:rsidR="006E4C82" w:rsidRPr="00BD7731">
        <w:rPr>
          <w:b/>
        </w:rPr>
        <w:fldChar w:fldCharType="separate"/>
      </w:r>
      <w:r w:rsidR="00CF7DF3" w:rsidRPr="00BD7731">
        <w:rPr>
          <w:b/>
          <w:noProof/>
        </w:rPr>
        <w:t>2</w:t>
      </w:r>
      <w:r w:rsidR="006E4C82" w:rsidRPr="00BD7731">
        <w:rPr>
          <w:b/>
        </w:rPr>
        <w:fldChar w:fldCharType="end"/>
      </w:r>
      <w:r w:rsidRPr="00BD7731">
        <w:rPr>
          <w:b/>
        </w:rPr>
        <w:t>.</w:t>
      </w:r>
      <w:r w:rsidRPr="00BD7731">
        <w:t xml:space="preserve"> </w:t>
      </w:r>
      <w:r w:rsidR="00300E35" w:rsidRPr="00BD7731">
        <w:rPr>
          <w:bCs/>
        </w:rPr>
        <w:t>Synthesis and structure characterization of</w:t>
      </w:r>
      <w:r w:rsidR="00647A1D" w:rsidRPr="00BD7731">
        <w:rPr>
          <w:bCs/>
        </w:rPr>
        <w:t xml:space="preserve"> the</w:t>
      </w:r>
      <w:r w:rsidR="00300E35" w:rsidRPr="00BD7731">
        <w:rPr>
          <w:bCs/>
        </w:rPr>
        <w:t xml:space="preserve"> precursor polymers for </w:t>
      </w:r>
      <w:r w:rsidR="00300E35" w:rsidRPr="00BD7731">
        <w:rPr>
          <w:b/>
        </w:rPr>
        <w:t>TN</w:t>
      </w:r>
      <w:r w:rsidR="00300E35" w:rsidRPr="00BD7731">
        <w:rPr>
          <w:bCs/>
        </w:rPr>
        <w:t xml:space="preserve"> and </w:t>
      </w:r>
      <w:r w:rsidR="00300E35" w:rsidRPr="00BD7731">
        <w:rPr>
          <w:b/>
        </w:rPr>
        <w:t>RN</w:t>
      </w:r>
      <w:r w:rsidR="00300E35" w:rsidRPr="00BD7731">
        <w:rPr>
          <w:bCs/>
        </w:rPr>
        <w:t xml:space="preserve">. </w:t>
      </w:r>
      <w:r w:rsidR="00647A1D" w:rsidRPr="00BD7731">
        <w:rPr>
          <w:bCs/>
        </w:rPr>
        <w:t>(</w:t>
      </w:r>
      <w:r w:rsidR="00300E35" w:rsidRPr="00BD7731">
        <w:rPr>
          <w:bCs/>
        </w:rPr>
        <w:t xml:space="preserve">a and d) Synthetic </w:t>
      </w:r>
      <w:r w:rsidR="00647A1D" w:rsidRPr="00BD7731">
        <w:rPr>
          <w:bCs/>
        </w:rPr>
        <w:t>schemes</w:t>
      </w:r>
      <w:r w:rsidR="00300E35" w:rsidRPr="00BD7731">
        <w:rPr>
          <w:bCs/>
        </w:rPr>
        <w:t xml:space="preserve"> </w:t>
      </w:r>
      <w:r w:rsidR="00647A1D" w:rsidRPr="00BD7731">
        <w:rPr>
          <w:bCs/>
        </w:rPr>
        <w:t>for</w:t>
      </w:r>
      <w:r w:rsidR="00300E35" w:rsidRPr="00BD7731">
        <w:rPr>
          <w:bCs/>
        </w:rPr>
        <w:t xml:space="preserve"> </w:t>
      </w:r>
      <w:proofErr w:type="spellStart"/>
      <w:r w:rsidR="00300E35" w:rsidRPr="00BD7731">
        <w:rPr>
          <w:bCs/>
        </w:rPr>
        <w:t>telechelic</w:t>
      </w:r>
      <w:proofErr w:type="spellEnd"/>
      <w:r w:rsidR="00300E35" w:rsidRPr="00BD7731">
        <w:rPr>
          <w:bCs/>
        </w:rPr>
        <w:t xml:space="preserve"> and random </w:t>
      </w:r>
      <w:r w:rsidR="00050835" w:rsidRPr="00BD7731">
        <w:rPr>
          <w:bCs/>
        </w:rPr>
        <w:t>(</w:t>
      </w:r>
      <w:r w:rsidR="00300E35" w:rsidRPr="00BD7731">
        <w:rPr>
          <w:bCs/>
        </w:rPr>
        <w:t>co</w:t>
      </w:r>
      <w:r w:rsidR="00050835" w:rsidRPr="00BD7731">
        <w:rPr>
          <w:bCs/>
        </w:rPr>
        <w:t>)</w:t>
      </w:r>
      <w:r w:rsidR="00300E35" w:rsidRPr="00BD7731">
        <w:rPr>
          <w:bCs/>
        </w:rPr>
        <w:t>polymers</w:t>
      </w:r>
      <w:r w:rsidR="00647A1D" w:rsidRPr="00BD7731">
        <w:rPr>
          <w:bCs/>
        </w:rPr>
        <w:t>, respectively</w:t>
      </w:r>
      <w:r w:rsidR="00300E35" w:rsidRPr="00BD7731">
        <w:rPr>
          <w:bCs/>
        </w:rPr>
        <w:t xml:space="preserve">. (b) GPC profiles of radical coupling reaction of </w:t>
      </w:r>
      <w:r w:rsidR="00300E35" w:rsidRPr="00BD7731">
        <w:rPr>
          <w:b/>
        </w:rPr>
        <w:t>1</w:t>
      </w:r>
      <w:r w:rsidR="00300E35" w:rsidRPr="00BD7731">
        <w:rPr>
          <w:bCs/>
        </w:rPr>
        <w:t xml:space="preserve">. (c and e) </w:t>
      </w:r>
      <w:r w:rsidR="00300E35" w:rsidRPr="00BD7731">
        <w:rPr>
          <w:bCs/>
          <w:vertAlign w:val="superscript"/>
        </w:rPr>
        <w:t>1</w:t>
      </w:r>
      <w:r w:rsidR="00300E35" w:rsidRPr="00BD7731">
        <w:rPr>
          <w:bCs/>
        </w:rPr>
        <w:t xml:space="preserve">H NMR spectra of the deprotection reaction of </w:t>
      </w:r>
      <w:r w:rsidR="00300E35" w:rsidRPr="00BD7731">
        <w:rPr>
          <w:b/>
        </w:rPr>
        <w:t>2</w:t>
      </w:r>
      <w:r w:rsidR="00300E35" w:rsidRPr="00BD7731">
        <w:rPr>
          <w:bCs/>
        </w:rPr>
        <w:t xml:space="preserve"> or </w:t>
      </w:r>
      <w:r w:rsidR="00300E35" w:rsidRPr="00BD7731">
        <w:rPr>
          <w:b/>
        </w:rPr>
        <w:t>4</w:t>
      </w:r>
      <w:r w:rsidR="00300E35" w:rsidRPr="00BD7731">
        <w:rPr>
          <w:bCs/>
        </w:rPr>
        <w:t xml:space="preserve">. </w:t>
      </w:r>
      <w:r w:rsidR="00647A1D" w:rsidRPr="00BD7731">
        <w:rPr>
          <w:bCs/>
        </w:rPr>
        <w:t>The signal</w:t>
      </w:r>
      <w:r w:rsidR="00300E35" w:rsidRPr="00BD7731">
        <w:rPr>
          <w:bCs/>
        </w:rPr>
        <w:t xml:space="preserve"> of </w:t>
      </w:r>
      <w:r w:rsidR="00300E35" w:rsidRPr="00BD7731">
        <w:rPr>
          <w:bCs/>
          <w:i/>
          <w:iCs/>
        </w:rPr>
        <w:t>tert</w:t>
      </w:r>
      <w:r w:rsidR="00300E35" w:rsidRPr="00BD7731">
        <w:rPr>
          <w:bCs/>
        </w:rPr>
        <w:t xml:space="preserve">-butyl group </w:t>
      </w:r>
      <w:r w:rsidR="00647A1D" w:rsidRPr="00BD7731">
        <w:rPr>
          <w:bCs/>
        </w:rPr>
        <w:t>at approximately</w:t>
      </w:r>
      <w:r w:rsidR="00300E35" w:rsidRPr="00BD7731">
        <w:rPr>
          <w:bCs/>
        </w:rPr>
        <w:t xml:space="preserve"> 1.2 ppm disappeared after the reaction.</w:t>
      </w:r>
    </w:p>
    <w:p w14:paraId="6445AD26" w14:textId="04EB4EC2" w:rsidR="00BA3559" w:rsidRPr="00BD7731" w:rsidRDefault="00BA3559" w:rsidP="008C6D5F">
      <w:pPr>
        <w:pStyle w:val="Legend"/>
        <w:spacing w:line="360" w:lineRule="auto"/>
      </w:pPr>
    </w:p>
    <w:p w14:paraId="7D0E0907" w14:textId="22BB724C" w:rsidR="00BA3559" w:rsidRPr="00BD7731" w:rsidRDefault="00286E23" w:rsidP="00F9209A">
      <w:pPr>
        <w:pStyle w:val="Legend"/>
        <w:spacing w:line="360" w:lineRule="auto"/>
        <w:jc w:val="center"/>
      </w:pPr>
      <w:r w:rsidRPr="00BD7731">
        <w:rPr>
          <w:noProof/>
          <w:lang w:val="en-IN" w:eastAsia="en-IN"/>
        </w:rPr>
        <w:drawing>
          <wp:inline distT="0" distB="0" distL="0" distR="0" wp14:anchorId="123B0C04" wp14:editId="3C1C2B45">
            <wp:extent cx="3943273" cy="4810539"/>
            <wp:effectExtent l="0" t="0" r="0" b="0"/>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943697" cy="4811056"/>
                    </a:xfrm>
                    <a:prstGeom prst="rect">
                      <a:avLst/>
                    </a:prstGeom>
                    <a:noFill/>
                    <a:ln>
                      <a:noFill/>
                    </a:ln>
                  </pic:spPr>
                </pic:pic>
              </a:graphicData>
            </a:graphic>
          </wp:inline>
        </w:drawing>
      </w:r>
    </w:p>
    <w:p w14:paraId="10B4B6E2" w14:textId="71C9FF2B" w:rsidR="00BA3559" w:rsidRPr="00BD7731" w:rsidRDefault="00BA3559" w:rsidP="00BA3559">
      <w:pPr>
        <w:pStyle w:val="Legend"/>
        <w:spacing w:line="360" w:lineRule="auto"/>
      </w:pPr>
      <w:r w:rsidRPr="00BD7731">
        <w:rPr>
          <w:b/>
        </w:rPr>
        <w:t xml:space="preserve">Figure </w:t>
      </w:r>
      <w:r w:rsidR="006E4C82" w:rsidRPr="00BD7731">
        <w:rPr>
          <w:b/>
        </w:rPr>
        <w:fldChar w:fldCharType="begin"/>
      </w:r>
      <w:r w:rsidR="006E4C82" w:rsidRPr="00BD7731">
        <w:rPr>
          <w:b/>
        </w:rPr>
        <w:instrText xml:space="preserve"> SEQ Figures \* MERGEFORMAT </w:instrText>
      </w:r>
      <w:r w:rsidR="006E4C82" w:rsidRPr="00BD7731">
        <w:rPr>
          <w:b/>
        </w:rPr>
        <w:fldChar w:fldCharType="separate"/>
      </w:r>
      <w:r w:rsidR="00CF7DF3" w:rsidRPr="00BD7731">
        <w:rPr>
          <w:b/>
          <w:noProof/>
        </w:rPr>
        <w:t>3</w:t>
      </w:r>
      <w:r w:rsidR="006E4C82" w:rsidRPr="00BD7731">
        <w:rPr>
          <w:b/>
        </w:rPr>
        <w:fldChar w:fldCharType="end"/>
      </w:r>
      <w:r w:rsidRPr="00BD7731">
        <w:rPr>
          <w:b/>
        </w:rPr>
        <w:t>.</w:t>
      </w:r>
      <w:r w:rsidRPr="00BD7731">
        <w:t xml:space="preserve"> (a)</w:t>
      </w:r>
      <w:r w:rsidR="00300E35" w:rsidRPr="00BD7731">
        <w:rPr>
          <w:rFonts w:asciiTheme="minorHAnsi" w:eastAsiaTheme="minorEastAsia" w:hAnsiTheme="minorHAnsi" w:cstheme="minorBidi"/>
          <w:sz w:val="22"/>
          <w:szCs w:val="22"/>
          <w:lang w:eastAsia="en-US"/>
        </w:rPr>
        <w:t xml:space="preserve"> </w:t>
      </w:r>
      <w:r w:rsidR="00300E35" w:rsidRPr="00BD7731">
        <w:t xml:space="preserve">Recyclable molding of </w:t>
      </w:r>
      <w:r w:rsidR="00300E35" w:rsidRPr="00BD7731">
        <w:rPr>
          <w:b/>
          <w:bCs/>
        </w:rPr>
        <w:t>TN</w:t>
      </w:r>
      <w:r w:rsidR="00300E35" w:rsidRPr="00BD7731">
        <w:rPr>
          <w:b/>
          <w:bCs/>
          <w:vertAlign w:val="subscript"/>
        </w:rPr>
        <w:t>5300</w:t>
      </w:r>
      <w:r w:rsidR="00300E35" w:rsidRPr="00BD7731">
        <w:t xml:space="preserve"> sample under </w:t>
      </w:r>
      <w:r w:rsidR="00647A1D" w:rsidRPr="00BD7731">
        <w:t>heat</w:t>
      </w:r>
      <w:r w:rsidR="00300E35" w:rsidRPr="00BD7731">
        <w:t xml:space="preserve"> and pressure, and the swelling behavior in 1,2-dichlorobenzene (DCB). (b and c) Correlation between the molecular weight (</w:t>
      </w:r>
      <w:r w:rsidR="00300E35" w:rsidRPr="00BD7731">
        <w:rPr>
          <w:i/>
          <w:iCs/>
        </w:rPr>
        <w:t>M</w:t>
      </w:r>
      <w:r w:rsidR="00300E35" w:rsidRPr="00BD7731">
        <w:rPr>
          <w:vertAlign w:val="subscript"/>
        </w:rPr>
        <w:t>n</w:t>
      </w:r>
      <w:r w:rsidR="00300E35" w:rsidRPr="00BD7731">
        <w:t>) of the precursor polymer and the swelling ratio or the crosslink density.</w:t>
      </w:r>
    </w:p>
    <w:p w14:paraId="32139BB3" w14:textId="2673F04C" w:rsidR="009E3F1B" w:rsidRPr="00BD7731" w:rsidRDefault="009E3F1B">
      <w:r w:rsidRPr="00BD7731">
        <w:br w:type="page"/>
      </w:r>
    </w:p>
    <w:p w14:paraId="7A5457AE" w14:textId="0E9C5759" w:rsidR="00BA3559" w:rsidRPr="00BD7731" w:rsidRDefault="0009379D" w:rsidP="00F9209A">
      <w:pPr>
        <w:pStyle w:val="Legend"/>
        <w:spacing w:line="360" w:lineRule="auto"/>
        <w:jc w:val="center"/>
      </w:pPr>
      <w:r w:rsidRPr="00BD7731">
        <w:rPr>
          <w:noProof/>
          <w:lang w:val="en-GB"/>
        </w:rPr>
        <w:drawing>
          <wp:inline distT="0" distB="0" distL="0" distR="0" wp14:anchorId="5838A2D4" wp14:editId="0FCB9661">
            <wp:extent cx="3702000" cy="3345180"/>
            <wp:effectExtent l="0" t="0" r="0" b="7620"/>
            <wp:docPr id="21"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702259" cy="3345414"/>
                    </a:xfrm>
                    <a:prstGeom prst="rect">
                      <a:avLst/>
                    </a:prstGeom>
                    <a:noFill/>
                    <a:ln>
                      <a:noFill/>
                    </a:ln>
                  </pic:spPr>
                </pic:pic>
              </a:graphicData>
            </a:graphic>
          </wp:inline>
        </w:drawing>
      </w:r>
    </w:p>
    <w:p w14:paraId="663AFD5B" w14:textId="7B68B2EE" w:rsidR="00286E23" w:rsidRPr="00BD7731" w:rsidRDefault="00BA3559" w:rsidP="00F4646B">
      <w:pPr>
        <w:pStyle w:val="Legend"/>
        <w:spacing w:line="360" w:lineRule="auto"/>
      </w:pPr>
      <w:r w:rsidRPr="00BD7731">
        <w:rPr>
          <w:b/>
        </w:rPr>
        <w:t xml:space="preserve">Figure </w:t>
      </w:r>
      <w:r w:rsidR="006E4C82" w:rsidRPr="00BD7731">
        <w:rPr>
          <w:b/>
        </w:rPr>
        <w:fldChar w:fldCharType="begin"/>
      </w:r>
      <w:r w:rsidR="006E4C82" w:rsidRPr="00BD7731">
        <w:rPr>
          <w:b/>
        </w:rPr>
        <w:instrText xml:space="preserve"> SEQ Figures \* MERGEFORMAT </w:instrText>
      </w:r>
      <w:r w:rsidR="006E4C82" w:rsidRPr="00BD7731">
        <w:rPr>
          <w:b/>
        </w:rPr>
        <w:fldChar w:fldCharType="separate"/>
      </w:r>
      <w:r w:rsidR="00CF7DF3" w:rsidRPr="00BD7731">
        <w:rPr>
          <w:b/>
          <w:noProof/>
        </w:rPr>
        <w:t>4</w:t>
      </w:r>
      <w:r w:rsidR="006E4C82" w:rsidRPr="00BD7731">
        <w:rPr>
          <w:b/>
        </w:rPr>
        <w:fldChar w:fldCharType="end"/>
      </w:r>
      <w:r w:rsidRPr="00BD7731">
        <w:rPr>
          <w:b/>
        </w:rPr>
        <w:t>.</w:t>
      </w:r>
      <w:r w:rsidRPr="00BD7731">
        <w:t xml:space="preserve"> (a)</w:t>
      </w:r>
      <w:r w:rsidR="0092720D" w:rsidRPr="00BD7731">
        <w:rPr>
          <w:rFonts w:asciiTheme="minorHAnsi" w:eastAsiaTheme="minorEastAsia" w:hAnsiTheme="minorHAnsi" w:cstheme="minorBidi"/>
          <w:sz w:val="22"/>
          <w:szCs w:val="22"/>
          <w:lang w:eastAsia="en-US"/>
        </w:rPr>
        <w:t xml:space="preserve"> </w:t>
      </w:r>
      <w:r w:rsidR="0092720D" w:rsidRPr="00BD7731">
        <w:t xml:space="preserve">Heat-triggered rigid-to-fluid change of networks. (a) Time-lapse images of dynamic </w:t>
      </w:r>
      <w:r w:rsidR="00647A1D" w:rsidRPr="00BD7731">
        <w:t>deformations</w:t>
      </w:r>
      <w:r w:rsidR="0092720D" w:rsidRPr="00BD7731">
        <w:t xml:space="preserve"> of </w:t>
      </w:r>
      <w:r w:rsidR="0092720D" w:rsidRPr="00BD7731">
        <w:rPr>
          <w:b/>
        </w:rPr>
        <w:t>TN</w:t>
      </w:r>
      <w:r w:rsidR="0092720D" w:rsidRPr="00BD7731">
        <w:rPr>
          <w:vertAlign w:val="subscript"/>
        </w:rPr>
        <w:t>8600</w:t>
      </w:r>
      <w:r w:rsidR="0092720D" w:rsidRPr="00BD7731">
        <w:t xml:space="preserve"> and </w:t>
      </w:r>
      <w:r w:rsidR="0092720D" w:rsidRPr="00BD7731">
        <w:rPr>
          <w:b/>
        </w:rPr>
        <w:t>RN</w:t>
      </w:r>
      <w:r w:rsidR="0092720D" w:rsidRPr="00BD7731">
        <w:rPr>
          <w:vertAlign w:val="subscript"/>
        </w:rPr>
        <w:t xml:space="preserve">8500. </w:t>
      </w:r>
      <w:r w:rsidR="0092720D" w:rsidRPr="00BD7731">
        <w:t xml:space="preserve">Here, we </w:t>
      </w:r>
      <w:r w:rsidR="00647A1D" w:rsidRPr="00BD7731">
        <w:t>placed</w:t>
      </w:r>
      <w:r w:rsidR="0092720D" w:rsidRPr="00BD7731">
        <w:t xml:space="preserve"> the </w:t>
      </w:r>
      <w:r w:rsidR="00647A1D" w:rsidRPr="00BD7731">
        <w:t>square-shaped</w:t>
      </w:r>
      <w:r w:rsidR="0092720D" w:rsidRPr="00BD7731">
        <w:t xml:space="preserve"> samples of </w:t>
      </w:r>
      <w:r w:rsidR="0092720D" w:rsidRPr="00BD7731">
        <w:rPr>
          <w:b/>
        </w:rPr>
        <w:t>TN</w:t>
      </w:r>
      <w:r w:rsidR="0092720D" w:rsidRPr="00BD7731">
        <w:rPr>
          <w:vertAlign w:val="subscript"/>
        </w:rPr>
        <w:t>8600</w:t>
      </w:r>
      <w:r w:rsidR="0092720D" w:rsidRPr="00BD7731">
        <w:t xml:space="preserve"> and </w:t>
      </w:r>
      <w:r w:rsidR="0092720D" w:rsidRPr="00BD7731">
        <w:rPr>
          <w:b/>
        </w:rPr>
        <w:t>RN</w:t>
      </w:r>
      <w:r w:rsidR="0092720D" w:rsidRPr="00BD7731">
        <w:rPr>
          <w:vertAlign w:val="subscript"/>
        </w:rPr>
        <w:t>8500</w:t>
      </w:r>
      <w:r w:rsidR="0092720D" w:rsidRPr="00BD7731">
        <w:t xml:space="preserve"> on a heated substrate and observed their shape changes. (b) Their contact angle variations over time at </w:t>
      </w:r>
      <w:r w:rsidR="00647A1D" w:rsidRPr="00BD7731">
        <w:t xml:space="preserve">approximately </w:t>
      </w:r>
      <w:r w:rsidR="0092720D" w:rsidRPr="00BD7731">
        <w:t>200 °C. (c) Observation of</w:t>
      </w:r>
      <w:r w:rsidR="00647A1D" w:rsidRPr="00BD7731">
        <w:t xml:space="preserve"> the</w:t>
      </w:r>
      <w:r w:rsidR="0092720D" w:rsidRPr="00BD7731">
        <w:t xml:space="preserve"> fluidic behavior of </w:t>
      </w:r>
      <w:r w:rsidR="0092720D" w:rsidRPr="00BD7731">
        <w:rPr>
          <w:b/>
        </w:rPr>
        <w:t>TN</w:t>
      </w:r>
      <w:r w:rsidR="0092720D" w:rsidRPr="00BD7731">
        <w:rPr>
          <w:vertAlign w:val="subscript"/>
        </w:rPr>
        <w:t>8600</w:t>
      </w:r>
      <w:r w:rsidR="0092720D" w:rsidRPr="00BD7731">
        <w:t>.</w:t>
      </w:r>
    </w:p>
    <w:p w14:paraId="1C128211" w14:textId="377A12C3" w:rsidR="00425FFE" w:rsidRPr="00BD7731" w:rsidRDefault="00425FFE" w:rsidP="00F4646B">
      <w:pPr>
        <w:pStyle w:val="Legend"/>
        <w:spacing w:line="360" w:lineRule="auto"/>
      </w:pPr>
    </w:p>
    <w:p w14:paraId="64DAFAED" w14:textId="77777777" w:rsidR="00425FFE" w:rsidRPr="00BD7731" w:rsidRDefault="00425FFE" w:rsidP="00F9209A">
      <w:pPr>
        <w:pStyle w:val="Legend"/>
        <w:jc w:val="center"/>
        <w:rPr>
          <w:lang w:val="en-GB"/>
        </w:rPr>
      </w:pPr>
      <w:r w:rsidRPr="00BD7731">
        <w:rPr>
          <w:noProof/>
          <w:lang w:val="en-GB"/>
        </w:rPr>
        <w:drawing>
          <wp:inline distT="0" distB="0" distL="0" distR="0" wp14:anchorId="0AAC14E1" wp14:editId="06A9B669">
            <wp:extent cx="2971528" cy="1846281"/>
            <wp:effectExtent l="0" t="0" r="635" b="1905"/>
            <wp:docPr id="16" name="図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972234" cy="1846719"/>
                    </a:xfrm>
                    <a:prstGeom prst="rect">
                      <a:avLst/>
                    </a:prstGeom>
                    <a:noFill/>
                    <a:ln>
                      <a:noFill/>
                    </a:ln>
                  </pic:spPr>
                </pic:pic>
              </a:graphicData>
            </a:graphic>
          </wp:inline>
        </w:drawing>
      </w:r>
    </w:p>
    <w:p w14:paraId="3FD933FC" w14:textId="7AA53D95" w:rsidR="00425FFE" w:rsidRPr="00BD7731" w:rsidRDefault="00425FFE" w:rsidP="00425FFE">
      <w:pPr>
        <w:pStyle w:val="Legend"/>
        <w:rPr>
          <w:lang w:val="en-GB"/>
        </w:rPr>
      </w:pPr>
      <w:r w:rsidRPr="00BD7731">
        <w:rPr>
          <w:b/>
        </w:rPr>
        <w:t xml:space="preserve">Figure </w:t>
      </w:r>
      <w:r w:rsidRPr="00BD7731">
        <w:rPr>
          <w:b/>
        </w:rPr>
        <w:fldChar w:fldCharType="begin"/>
      </w:r>
      <w:r w:rsidRPr="00BD7731">
        <w:rPr>
          <w:b/>
        </w:rPr>
        <w:instrText xml:space="preserve"> SEQ Figures \* MERGEFORMAT </w:instrText>
      </w:r>
      <w:r w:rsidRPr="00BD7731">
        <w:rPr>
          <w:b/>
        </w:rPr>
        <w:fldChar w:fldCharType="separate"/>
      </w:r>
      <w:r w:rsidR="00CF7DF3" w:rsidRPr="00BD7731">
        <w:rPr>
          <w:b/>
          <w:noProof/>
        </w:rPr>
        <w:t>5</w:t>
      </w:r>
      <w:r w:rsidRPr="00BD7731">
        <w:fldChar w:fldCharType="end"/>
      </w:r>
      <w:r w:rsidRPr="00BD7731">
        <w:rPr>
          <w:b/>
        </w:rPr>
        <w:t>.</w:t>
      </w:r>
      <w:r w:rsidRPr="00BD7731">
        <w:t xml:space="preserve"> </w:t>
      </w:r>
      <w:r w:rsidRPr="00BD7731">
        <w:rPr>
          <w:lang w:val="en-GB"/>
        </w:rPr>
        <w:t>Photographic sequence of mending experiment. (a) cut sample, (b) mended sample after heating, and (c) a loading test for mended sample.</w:t>
      </w:r>
    </w:p>
    <w:p w14:paraId="612E854D" w14:textId="77777777" w:rsidR="00425FFE" w:rsidRPr="00BD7731" w:rsidRDefault="00425FFE" w:rsidP="00F4646B">
      <w:pPr>
        <w:pStyle w:val="Legend"/>
        <w:spacing w:line="360" w:lineRule="auto"/>
      </w:pPr>
    </w:p>
    <w:p w14:paraId="72162D6E" w14:textId="77777777" w:rsidR="00286E23" w:rsidRPr="00BD7731" w:rsidRDefault="00286E23">
      <w:r w:rsidRPr="00BD7731">
        <w:br w:type="page"/>
      </w:r>
    </w:p>
    <w:p w14:paraId="1AAD9B69" w14:textId="29A6DBC6" w:rsidR="006E4C82" w:rsidRPr="00BD7731" w:rsidRDefault="0009379D" w:rsidP="008C6D5F">
      <w:pPr>
        <w:pStyle w:val="Legend"/>
        <w:spacing w:line="360" w:lineRule="auto"/>
      </w:pPr>
      <w:r w:rsidRPr="00BD7731">
        <w:rPr>
          <w:noProof/>
          <w:lang w:val="en-GB"/>
        </w:rPr>
        <w:drawing>
          <wp:inline distT="0" distB="0" distL="0" distR="0" wp14:anchorId="1AE9E68D" wp14:editId="0242C8B9">
            <wp:extent cx="5760720" cy="2933700"/>
            <wp:effectExtent l="0" t="0" r="0" b="0"/>
            <wp:docPr id="22" name="図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760720" cy="2933700"/>
                    </a:xfrm>
                    <a:prstGeom prst="rect">
                      <a:avLst/>
                    </a:prstGeom>
                    <a:noFill/>
                    <a:ln>
                      <a:noFill/>
                    </a:ln>
                  </pic:spPr>
                </pic:pic>
              </a:graphicData>
            </a:graphic>
          </wp:inline>
        </w:drawing>
      </w:r>
    </w:p>
    <w:p w14:paraId="0DC0BA70" w14:textId="1C237E3B" w:rsidR="00BA3559" w:rsidRPr="00BD7731" w:rsidRDefault="00BA3559" w:rsidP="00BA3559">
      <w:pPr>
        <w:pStyle w:val="Legend"/>
        <w:spacing w:line="360" w:lineRule="auto"/>
      </w:pPr>
      <w:r w:rsidRPr="00BD7731">
        <w:rPr>
          <w:b/>
        </w:rPr>
        <w:t>Figure</w:t>
      </w:r>
      <w:r w:rsidR="006E4C82" w:rsidRPr="00BD7731">
        <w:rPr>
          <w:b/>
        </w:rPr>
        <w:t xml:space="preserve"> </w:t>
      </w:r>
      <w:r w:rsidR="006E4C82" w:rsidRPr="00BD7731">
        <w:rPr>
          <w:b/>
        </w:rPr>
        <w:fldChar w:fldCharType="begin"/>
      </w:r>
      <w:r w:rsidR="006E4C82" w:rsidRPr="00BD7731">
        <w:rPr>
          <w:b/>
        </w:rPr>
        <w:instrText xml:space="preserve"> SEQ Figures \* MERGEFORMAT </w:instrText>
      </w:r>
      <w:r w:rsidR="006E4C82" w:rsidRPr="00BD7731">
        <w:rPr>
          <w:b/>
        </w:rPr>
        <w:fldChar w:fldCharType="separate"/>
      </w:r>
      <w:r w:rsidR="00CF7DF3" w:rsidRPr="00BD7731">
        <w:rPr>
          <w:b/>
          <w:noProof/>
        </w:rPr>
        <w:t>6</w:t>
      </w:r>
      <w:r w:rsidR="006E4C82" w:rsidRPr="00BD7731">
        <w:rPr>
          <w:b/>
        </w:rPr>
        <w:fldChar w:fldCharType="end"/>
      </w:r>
      <w:r w:rsidRPr="00BD7731">
        <w:rPr>
          <w:b/>
        </w:rPr>
        <w:t>.</w:t>
      </w:r>
      <w:r w:rsidRPr="00BD7731">
        <w:t xml:space="preserve"> (a</w:t>
      </w:r>
      <w:r w:rsidR="00324BF5" w:rsidRPr="00BD7731">
        <w:t xml:space="preserve"> and b</w:t>
      </w:r>
      <w:r w:rsidRPr="00BD7731">
        <w:t>)</w:t>
      </w:r>
      <w:r w:rsidR="00324BF5" w:rsidRPr="00BD7731">
        <w:t xml:space="preserve"> </w:t>
      </w:r>
      <w:bookmarkStart w:id="6" w:name="_Hlk82294567"/>
      <w:r w:rsidR="00324BF5" w:rsidRPr="00BD7731">
        <w:t xml:space="preserve">Rheological analysis of </w:t>
      </w:r>
      <w:r w:rsidR="00647A1D" w:rsidRPr="00BD7731">
        <w:t xml:space="preserve">the </w:t>
      </w:r>
      <w:r w:rsidR="00324BF5" w:rsidRPr="00BD7731">
        <w:t xml:space="preserve">crosslinked polymer networks </w:t>
      </w:r>
      <w:r w:rsidR="00324BF5" w:rsidRPr="00BD7731">
        <w:rPr>
          <w:b/>
        </w:rPr>
        <w:t>RN</w:t>
      </w:r>
      <w:r w:rsidR="00324BF5" w:rsidRPr="00BD7731">
        <w:t xml:space="preserve"> (a) and </w:t>
      </w:r>
      <w:r w:rsidR="00324BF5" w:rsidRPr="00BD7731">
        <w:rPr>
          <w:b/>
        </w:rPr>
        <w:t>TN</w:t>
      </w:r>
      <w:r w:rsidR="00324BF5" w:rsidRPr="00BD7731">
        <w:t xml:space="preserve"> (b) with temperature-sweep</w:t>
      </w:r>
      <w:bookmarkEnd w:id="6"/>
      <w:r w:rsidR="00324BF5" w:rsidRPr="00BD7731">
        <w:t xml:space="preserve">. (c and d) Normalized stress relaxation curves at different temperatures for </w:t>
      </w:r>
      <w:r w:rsidR="00324BF5" w:rsidRPr="00BD7731">
        <w:rPr>
          <w:b/>
        </w:rPr>
        <w:t>RN</w:t>
      </w:r>
      <w:r w:rsidR="00324BF5" w:rsidRPr="00BD7731">
        <w:rPr>
          <w:vertAlign w:val="subscript"/>
        </w:rPr>
        <w:t>8500</w:t>
      </w:r>
      <w:r w:rsidR="00324BF5" w:rsidRPr="00BD7731">
        <w:t xml:space="preserve"> (c) and </w:t>
      </w:r>
      <w:r w:rsidR="00324BF5" w:rsidRPr="00BD7731">
        <w:rPr>
          <w:b/>
        </w:rPr>
        <w:t>TN</w:t>
      </w:r>
      <w:r w:rsidR="00324BF5" w:rsidRPr="00BD7731">
        <w:rPr>
          <w:vertAlign w:val="subscript"/>
        </w:rPr>
        <w:t>8600</w:t>
      </w:r>
      <w:r w:rsidR="00324BF5" w:rsidRPr="00BD7731">
        <w:t xml:space="preserve"> (d). For other samples, see Figure </w:t>
      </w:r>
      <w:r w:rsidR="00425FFE" w:rsidRPr="00BD7731">
        <w:t xml:space="preserve">S12 </w:t>
      </w:r>
      <w:r w:rsidR="00324BF5" w:rsidRPr="00BD7731">
        <w:t xml:space="preserve">and </w:t>
      </w:r>
      <w:r w:rsidR="00425FFE" w:rsidRPr="00BD7731">
        <w:t>S15</w:t>
      </w:r>
      <w:r w:rsidR="00324BF5" w:rsidRPr="00BD7731">
        <w:t>. (e and f) Correlation between ln(τ) versus 1000/</w:t>
      </w:r>
      <w:r w:rsidR="00324BF5" w:rsidRPr="00BD7731">
        <w:rPr>
          <w:i/>
          <w:iCs/>
        </w:rPr>
        <w:t>T</w:t>
      </w:r>
      <w:r w:rsidR="00324BF5" w:rsidRPr="00BD7731">
        <w:t xml:space="preserve"> for </w:t>
      </w:r>
      <w:r w:rsidR="00324BF5" w:rsidRPr="00BD7731">
        <w:rPr>
          <w:b/>
        </w:rPr>
        <w:t>RN</w:t>
      </w:r>
      <w:r w:rsidR="00324BF5" w:rsidRPr="00BD7731">
        <w:t xml:space="preserve"> (e) and </w:t>
      </w:r>
      <w:r w:rsidR="00324BF5" w:rsidRPr="00BD7731">
        <w:rPr>
          <w:b/>
        </w:rPr>
        <w:t>TN</w:t>
      </w:r>
      <w:r w:rsidR="00324BF5" w:rsidRPr="00BD7731">
        <w:t xml:space="preserve"> (f). τ: relaxation time in sec, </w:t>
      </w:r>
      <w:r w:rsidR="00324BF5" w:rsidRPr="00BD7731">
        <w:rPr>
          <w:i/>
          <w:iCs/>
        </w:rPr>
        <w:t>T</w:t>
      </w:r>
      <w:r w:rsidR="00324BF5" w:rsidRPr="00BD7731">
        <w:t>: temperature in Kelvin.</w:t>
      </w:r>
      <w:r w:rsidR="009E3F1B" w:rsidRPr="00BD7731">
        <w:t xml:space="preserve"> For </w:t>
      </w:r>
      <w:r w:rsidR="00647A1D" w:rsidRPr="00BD7731">
        <w:t>estimating</w:t>
      </w:r>
      <w:r w:rsidR="009E3F1B" w:rsidRPr="00BD7731">
        <w:t xml:space="preserve"> τ, see section 8</w:t>
      </w:r>
      <w:r w:rsidR="00647A1D" w:rsidRPr="00BD7731">
        <w:t xml:space="preserve"> of SI</w:t>
      </w:r>
      <w:r w:rsidR="009E3F1B" w:rsidRPr="00BD7731">
        <w:t>.</w:t>
      </w:r>
    </w:p>
    <w:p w14:paraId="666F3B99" w14:textId="77777777" w:rsidR="00324BF5" w:rsidRPr="00BD7731" w:rsidRDefault="00324BF5" w:rsidP="00BA3559">
      <w:pPr>
        <w:pStyle w:val="Legend"/>
        <w:spacing w:line="360" w:lineRule="auto"/>
      </w:pPr>
    </w:p>
    <w:p w14:paraId="7A46EB60" w14:textId="66E157DF" w:rsidR="00BA3559" w:rsidRPr="00BD7731" w:rsidRDefault="00425FFE" w:rsidP="00F9209A">
      <w:pPr>
        <w:pStyle w:val="Legend"/>
        <w:spacing w:line="360" w:lineRule="auto"/>
        <w:jc w:val="center"/>
      </w:pPr>
      <w:r w:rsidRPr="00BD7731">
        <w:rPr>
          <w:noProof/>
          <w:lang w:val="en-GB"/>
        </w:rPr>
        <w:drawing>
          <wp:inline distT="0" distB="0" distL="0" distR="0" wp14:anchorId="200F8525" wp14:editId="0E73A31A">
            <wp:extent cx="3554506" cy="1940448"/>
            <wp:effectExtent l="0" t="0" r="0" b="0"/>
            <wp:docPr id="18" name="図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554506" cy="1940448"/>
                    </a:xfrm>
                    <a:prstGeom prst="rect">
                      <a:avLst/>
                    </a:prstGeom>
                    <a:noFill/>
                    <a:ln>
                      <a:noFill/>
                    </a:ln>
                  </pic:spPr>
                </pic:pic>
              </a:graphicData>
            </a:graphic>
          </wp:inline>
        </w:drawing>
      </w:r>
    </w:p>
    <w:p w14:paraId="10C2E1F8" w14:textId="014701FA" w:rsidR="00F4646B" w:rsidRPr="00BD7731" w:rsidRDefault="00BA3559" w:rsidP="00F4646B">
      <w:pPr>
        <w:pStyle w:val="Legend"/>
        <w:spacing w:line="360" w:lineRule="auto"/>
      </w:pPr>
      <w:r w:rsidRPr="00BD7731">
        <w:rPr>
          <w:b/>
        </w:rPr>
        <w:t xml:space="preserve">Figure </w:t>
      </w:r>
      <w:r w:rsidR="006E4C82" w:rsidRPr="00BD7731">
        <w:rPr>
          <w:b/>
        </w:rPr>
        <w:fldChar w:fldCharType="begin"/>
      </w:r>
      <w:r w:rsidR="006E4C82" w:rsidRPr="00BD7731">
        <w:rPr>
          <w:b/>
        </w:rPr>
        <w:instrText xml:space="preserve"> SEQ Figures \* MERGEFORMAT </w:instrText>
      </w:r>
      <w:r w:rsidR="006E4C82" w:rsidRPr="00BD7731">
        <w:rPr>
          <w:b/>
        </w:rPr>
        <w:fldChar w:fldCharType="separate"/>
      </w:r>
      <w:r w:rsidR="00CF7DF3" w:rsidRPr="00BD7731">
        <w:rPr>
          <w:b/>
          <w:noProof/>
        </w:rPr>
        <w:t>7</w:t>
      </w:r>
      <w:r w:rsidR="006E4C82" w:rsidRPr="00BD7731">
        <w:rPr>
          <w:b/>
        </w:rPr>
        <w:fldChar w:fldCharType="end"/>
      </w:r>
      <w:r w:rsidRPr="00BD7731">
        <w:rPr>
          <w:b/>
        </w:rPr>
        <w:t>.</w:t>
      </w:r>
      <w:r w:rsidRPr="00BD7731">
        <w:t xml:space="preserve"> </w:t>
      </w:r>
      <w:r w:rsidR="00425FFE" w:rsidRPr="00BD7731">
        <w:rPr>
          <w:lang w:val="de-DE"/>
        </w:rPr>
        <w:t>Correlation between the molecular weight of precursor polymer (</w:t>
      </w:r>
      <w:r w:rsidR="00425FFE" w:rsidRPr="00BD7731">
        <w:rPr>
          <w:i/>
          <w:iCs/>
          <w:lang w:val="de-DE"/>
        </w:rPr>
        <w:t>M</w:t>
      </w:r>
      <w:r w:rsidR="00425FFE" w:rsidRPr="00BD7731">
        <w:rPr>
          <w:vertAlign w:val="subscript"/>
          <w:lang w:val="de-DE"/>
        </w:rPr>
        <w:t>n</w:t>
      </w:r>
      <w:r w:rsidR="00425FFE" w:rsidRPr="00BD7731">
        <w:rPr>
          <w:lang w:val="de-DE"/>
        </w:rPr>
        <w:t>) and the activation energy of relaxation (</w:t>
      </w:r>
      <w:r w:rsidR="00425FFE" w:rsidRPr="00BD7731">
        <w:rPr>
          <w:i/>
          <w:iCs/>
          <w:lang w:val="de-DE"/>
        </w:rPr>
        <w:t>E</w:t>
      </w:r>
      <w:r w:rsidR="00425FFE" w:rsidRPr="00BD7731">
        <w:rPr>
          <w:vertAlign w:val="subscript"/>
          <w:lang w:val="de-DE"/>
        </w:rPr>
        <w:t>a</w:t>
      </w:r>
      <w:r w:rsidR="00425FFE" w:rsidRPr="00BD7731">
        <w:rPr>
          <w:lang w:val="de-DE"/>
        </w:rPr>
        <w:t xml:space="preserve">) of crosslinked polymer networks </w:t>
      </w:r>
      <w:r w:rsidR="00425FFE" w:rsidRPr="00BD7731">
        <w:rPr>
          <w:b/>
          <w:bCs/>
          <w:lang w:val="de-DE"/>
        </w:rPr>
        <w:t>RN</w:t>
      </w:r>
      <w:r w:rsidR="00425FFE" w:rsidRPr="00BD7731">
        <w:rPr>
          <w:lang w:val="de-DE"/>
        </w:rPr>
        <w:t xml:space="preserve"> (a) and </w:t>
      </w:r>
      <w:r w:rsidR="00425FFE" w:rsidRPr="00BD7731">
        <w:rPr>
          <w:b/>
          <w:bCs/>
          <w:lang w:val="de-DE"/>
        </w:rPr>
        <w:t>TN</w:t>
      </w:r>
      <w:r w:rsidR="00425FFE" w:rsidRPr="00BD7731">
        <w:rPr>
          <w:lang w:val="de-DE"/>
        </w:rPr>
        <w:t xml:space="preserve"> (b) determined by the relaxation time </w:t>
      </w:r>
      <w:r w:rsidR="00425FFE" w:rsidRPr="00BD7731">
        <w:rPr>
          <w:i/>
          <w:iCs/>
          <w:lang w:val="de-DE"/>
        </w:rPr>
        <w:t>τ</w:t>
      </w:r>
      <w:r w:rsidR="00425FFE" w:rsidRPr="00BD7731">
        <w:rPr>
          <w:lang w:val="de-DE"/>
        </w:rPr>
        <w:t xml:space="preserve"> obtained from the time </w:t>
      </w:r>
      <w:r w:rsidR="00425FFE" w:rsidRPr="00BD7731">
        <w:rPr>
          <w:i/>
          <w:iCs/>
          <w:lang w:val="de-DE"/>
        </w:rPr>
        <w:t>G</w:t>
      </w:r>
      <w:r w:rsidR="00425FFE" w:rsidRPr="00BD7731">
        <w:rPr>
          <w:lang w:val="de-DE"/>
        </w:rPr>
        <w:t>(</w:t>
      </w:r>
      <w:r w:rsidR="00425FFE" w:rsidRPr="00BD7731">
        <w:rPr>
          <w:i/>
          <w:iCs/>
          <w:lang w:val="de-DE"/>
        </w:rPr>
        <w:t>t</w:t>
      </w:r>
      <w:r w:rsidR="00425FFE" w:rsidRPr="00BD7731">
        <w:rPr>
          <w:lang w:val="de-DE"/>
        </w:rPr>
        <w:t>) falls to its 1/</w:t>
      </w:r>
      <w:r w:rsidR="00425FFE" w:rsidRPr="00BD7731">
        <w:rPr>
          <w:i/>
          <w:iCs/>
          <w:lang w:val="de-DE"/>
        </w:rPr>
        <w:t>e</w:t>
      </w:r>
      <w:r w:rsidR="00425FFE" w:rsidRPr="00BD7731">
        <w:rPr>
          <w:lang w:val="de-DE"/>
        </w:rPr>
        <w:t xml:space="preserve"> (filled square). Open squares in (b) show </w:t>
      </w:r>
      <w:r w:rsidR="00425FFE" w:rsidRPr="00BD7731">
        <w:rPr>
          <w:i/>
          <w:iCs/>
          <w:lang w:val="de-DE"/>
        </w:rPr>
        <w:t>E</w:t>
      </w:r>
      <w:r w:rsidR="00425FFE" w:rsidRPr="00BD7731">
        <w:rPr>
          <w:vertAlign w:val="subscript"/>
          <w:lang w:val="de-DE"/>
        </w:rPr>
        <w:t>a</w:t>
      </w:r>
      <w:r w:rsidR="00425FFE" w:rsidRPr="00BD7731">
        <w:rPr>
          <w:lang w:val="de-DE"/>
        </w:rPr>
        <w:t xml:space="preserve"> estimated by time-temperature superposition of relaxation curves.</w:t>
      </w:r>
    </w:p>
    <w:p w14:paraId="557ADB43" w14:textId="77777777" w:rsidR="00BA3559" w:rsidRPr="00BD7731" w:rsidRDefault="00BA3559" w:rsidP="00BA3559">
      <w:pPr>
        <w:pStyle w:val="Legend"/>
        <w:spacing w:line="360" w:lineRule="auto"/>
      </w:pPr>
    </w:p>
    <w:p w14:paraId="247320BE" w14:textId="62664B81" w:rsidR="00BA3559" w:rsidRPr="00BD7731" w:rsidRDefault="00286E23" w:rsidP="00F9209A">
      <w:pPr>
        <w:pStyle w:val="Legend"/>
        <w:spacing w:line="360" w:lineRule="auto"/>
        <w:jc w:val="center"/>
      </w:pPr>
      <w:r w:rsidRPr="00BD7731">
        <w:rPr>
          <w:noProof/>
          <w:lang w:val="en-IN" w:eastAsia="en-IN"/>
        </w:rPr>
        <w:drawing>
          <wp:inline distT="0" distB="0" distL="0" distR="0" wp14:anchorId="281C42DD" wp14:editId="7CF99E67">
            <wp:extent cx="3960000" cy="3019860"/>
            <wp:effectExtent l="0" t="0" r="0" b="0"/>
            <wp:docPr id="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960000" cy="3019860"/>
                    </a:xfrm>
                    <a:prstGeom prst="rect">
                      <a:avLst/>
                    </a:prstGeom>
                    <a:noFill/>
                    <a:ln>
                      <a:noFill/>
                    </a:ln>
                  </pic:spPr>
                </pic:pic>
              </a:graphicData>
            </a:graphic>
          </wp:inline>
        </w:drawing>
      </w:r>
    </w:p>
    <w:p w14:paraId="37260763" w14:textId="36AEB7E8" w:rsidR="00324BF5" w:rsidRPr="00BD7731" w:rsidRDefault="00BA3559" w:rsidP="00324BF5">
      <w:pPr>
        <w:pStyle w:val="Legend"/>
        <w:spacing w:line="360" w:lineRule="auto"/>
        <w:rPr>
          <w:bCs/>
        </w:rPr>
      </w:pPr>
      <w:r w:rsidRPr="00BD7731">
        <w:rPr>
          <w:b/>
        </w:rPr>
        <w:t xml:space="preserve">Figure </w:t>
      </w:r>
      <w:r w:rsidR="006E4C82" w:rsidRPr="00BD7731">
        <w:rPr>
          <w:b/>
        </w:rPr>
        <w:fldChar w:fldCharType="begin"/>
      </w:r>
      <w:r w:rsidR="006E4C82" w:rsidRPr="00BD7731">
        <w:rPr>
          <w:b/>
        </w:rPr>
        <w:instrText xml:space="preserve"> SEQ Figures \* MERGEFORMAT </w:instrText>
      </w:r>
      <w:r w:rsidR="006E4C82" w:rsidRPr="00BD7731">
        <w:rPr>
          <w:b/>
        </w:rPr>
        <w:fldChar w:fldCharType="separate"/>
      </w:r>
      <w:r w:rsidR="00CF7DF3" w:rsidRPr="00BD7731">
        <w:rPr>
          <w:b/>
          <w:noProof/>
        </w:rPr>
        <w:t>8</w:t>
      </w:r>
      <w:r w:rsidR="006E4C82" w:rsidRPr="00BD7731">
        <w:rPr>
          <w:b/>
        </w:rPr>
        <w:fldChar w:fldCharType="end"/>
      </w:r>
      <w:r w:rsidRPr="00BD7731">
        <w:rPr>
          <w:b/>
        </w:rPr>
        <w:t>.</w:t>
      </w:r>
      <w:r w:rsidRPr="00BD7731">
        <w:t xml:space="preserve"> </w:t>
      </w:r>
      <w:r w:rsidR="00324BF5" w:rsidRPr="00BD7731">
        <w:rPr>
          <w:bCs/>
        </w:rPr>
        <w:t xml:space="preserve">Illustration of the proposed mechanism of the </w:t>
      </w:r>
      <w:r w:rsidR="00647A1D" w:rsidRPr="00BD7731">
        <w:rPr>
          <w:bCs/>
        </w:rPr>
        <w:t>chain length effect</w:t>
      </w:r>
      <w:r w:rsidR="00324BF5" w:rsidRPr="00BD7731">
        <w:rPr>
          <w:bCs/>
        </w:rPr>
        <w:t xml:space="preserve"> on the viscoelastic properties of crosslinked polymer networks via bond (chain) exchange reactions.</w:t>
      </w:r>
    </w:p>
    <w:p w14:paraId="2164627E" w14:textId="7914D997" w:rsidR="009E3F1B" w:rsidRPr="00BD7731" w:rsidRDefault="009E3F1B">
      <w:r w:rsidRPr="00BD7731">
        <w:br w:type="page"/>
      </w:r>
    </w:p>
    <w:p w14:paraId="1C7CC18C" w14:textId="009CC530" w:rsidR="00A85A0D" w:rsidRPr="00BD7731" w:rsidRDefault="00A85A0D" w:rsidP="008C6D5F">
      <w:pPr>
        <w:pStyle w:val="Legend"/>
        <w:spacing w:line="360" w:lineRule="auto"/>
      </w:pPr>
      <w:r w:rsidRPr="00BD7731">
        <w:rPr>
          <w:b/>
        </w:rPr>
        <w:t>Table 1.</w:t>
      </w:r>
      <w:r w:rsidRPr="00BD7731">
        <w:t xml:space="preserve"> </w:t>
      </w:r>
      <w:r w:rsidR="00324BF5" w:rsidRPr="00BD7731">
        <w:t>Synthesis and analysis of viscoelastic properties of crosslinked polymers</w:t>
      </w:r>
      <w:r w:rsidR="00104D1B" w:rsidRPr="00BD7731">
        <w:t>.</w:t>
      </w:r>
    </w:p>
    <w:tbl>
      <w:tblPr>
        <w:tblW w:w="0" w:type="auto"/>
        <w:tblLayout w:type="fixed"/>
        <w:tblLook w:val="01E0" w:firstRow="1" w:lastRow="1" w:firstColumn="1" w:lastColumn="1" w:noHBand="0" w:noVBand="0"/>
      </w:tblPr>
      <w:tblGrid>
        <w:gridCol w:w="851"/>
        <w:gridCol w:w="1134"/>
        <w:gridCol w:w="992"/>
        <w:gridCol w:w="1552"/>
        <w:gridCol w:w="1000"/>
        <w:gridCol w:w="850"/>
        <w:gridCol w:w="992"/>
        <w:gridCol w:w="1004"/>
      </w:tblGrid>
      <w:tr w:rsidR="00BD7731" w:rsidRPr="00BD7731" w14:paraId="1E07B9D1" w14:textId="0D4C47EB" w:rsidTr="001F5DAA">
        <w:tc>
          <w:tcPr>
            <w:tcW w:w="851" w:type="dxa"/>
            <w:tcBorders>
              <w:top w:val="single" w:sz="4" w:space="0" w:color="auto"/>
              <w:bottom w:val="single" w:sz="4" w:space="0" w:color="auto"/>
            </w:tcBorders>
            <w:shd w:val="clear" w:color="auto" w:fill="auto"/>
          </w:tcPr>
          <w:p w14:paraId="7919D4EC" w14:textId="5C5ACE76" w:rsidR="009D0109" w:rsidRPr="00BD7731" w:rsidRDefault="009D0109" w:rsidP="009D0109">
            <w:pPr>
              <w:pStyle w:val="TableHead"/>
              <w:spacing w:line="240" w:lineRule="auto"/>
              <w:jc w:val="center"/>
              <w:rPr>
                <w:rFonts w:cs="Arial"/>
                <w:szCs w:val="16"/>
                <w:lang w:val="en-US"/>
              </w:rPr>
            </w:pPr>
            <w:r w:rsidRPr="00BD7731">
              <w:rPr>
                <w:rFonts w:cs="Arial"/>
                <w:w w:val="108"/>
                <w:szCs w:val="16"/>
                <w:lang w:val="en-US"/>
              </w:rPr>
              <w:t>Network</w:t>
            </w:r>
          </w:p>
        </w:tc>
        <w:tc>
          <w:tcPr>
            <w:tcW w:w="1134" w:type="dxa"/>
            <w:tcBorders>
              <w:top w:val="single" w:sz="4" w:space="0" w:color="auto"/>
              <w:bottom w:val="single" w:sz="4" w:space="0" w:color="auto"/>
            </w:tcBorders>
            <w:shd w:val="clear" w:color="auto" w:fill="auto"/>
          </w:tcPr>
          <w:p w14:paraId="7BB2576B" w14:textId="77777777" w:rsidR="009D0109" w:rsidRPr="00BD7731" w:rsidRDefault="009D0109" w:rsidP="009D0109">
            <w:pPr>
              <w:pStyle w:val="TableHead"/>
              <w:spacing w:line="240" w:lineRule="auto"/>
              <w:jc w:val="center"/>
              <w:rPr>
                <w:rFonts w:cs="Arial"/>
                <w:w w:val="108"/>
                <w:szCs w:val="16"/>
                <w:lang w:val="en-US"/>
              </w:rPr>
            </w:pPr>
            <w:r w:rsidRPr="00BD7731">
              <w:rPr>
                <w:rFonts w:cs="Arial"/>
                <w:w w:val="108"/>
                <w:szCs w:val="16"/>
                <w:lang w:val="en-US"/>
              </w:rPr>
              <w:t>Precursor</w:t>
            </w:r>
          </w:p>
          <w:p w14:paraId="6F0A635C" w14:textId="555E476F" w:rsidR="009D0109" w:rsidRPr="00BD7731" w:rsidRDefault="009D0109" w:rsidP="009D0109">
            <w:pPr>
              <w:pStyle w:val="TableHead"/>
              <w:spacing w:line="240" w:lineRule="auto"/>
              <w:jc w:val="center"/>
              <w:rPr>
                <w:rFonts w:cs="Arial"/>
                <w:szCs w:val="16"/>
                <w:lang w:val="en-US"/>
              </w:rPr>
            </w:pPr>
            <w:r w:rsidRPr="00BD7731">
              <w:rPr>
                <w:rFonts w:cs="Arial"/>
                <w:i/>
                <w:iCs/>
                <w:w w:val="108"/>
                <w:szCs w:val="16"/>
                <w:lang w:val="en-US"/>
              </w:rPr>
              <w:t>M</w:t>
            </w:r>
            <w:r w:rsidRPr="00BD7731">
              <w:rPr>
                <w:rFonts w:cs="Arial"/>
                <w:w w:val="108"/>
                <w:szCs w:val="16"/>
                <w:vertAlign w:val="subscript"/>
                <w:lang w:val="en-US"/>
              </w:rPr>
              <w:t>n</w:t>
            </w:r>
            <w:r w:rsidRPr="00BD7731">
              <w:rPr>
                <w:rFonts w:cs="Arial"/>
                <w:w w:val="108"/>
                <w:szCs w:val="16"/>
                <w:lang w:val="en-US"/>
              </w:rPr>
              <w:t xml:space="preserve"> (</w:t>
            </w:r>
            <w:r w:rsidRPr="00BD7731">
              <w:rPr>
                <w:rFonts w:cs="Arial"/>
                <w:i/>
                <w:iCs/>
                <w:w w:val="108"/>
                <w:szCs w:val="16"/>
                <w:lang w:val="en-US"/>
              </w:rPr>
              <w:t>Ð</w:t>
            </w:r>
            <w:r w:rsidRPr="00BD7731">
              <w:rPr>
                <w:rFonts w:cs="Arial"/>
                <w:w w:val="108"/>
                <w:szCs w:val="16"/>
                <w:lang w:val="en-US"/>
              </w:rPr>
              <w:t>)</w:t>
            </w:r>
          </w:p>
        </w:tc>
        <w:tc>
          <w:tcPr>
            <w:tcW w:w="992" w:type="dxa"/>
            <w:tcBorders>
              <w:top w:val="single" w:sz="4" w:space="0" w:color="auto"/>
              <w:bottom w:val="single" w:sz="4" w:space="0" w:color="auto"/>
            </w:tcBorders>
            <w:shd w:val="clear" w:color="auto" w:fill="auto"/>
          </w:tcPr>
          <w:p w14:paraId="7C92A38C" w14:textId="3CB178D9" w:rsidR="009D0109" w:rsidRPr="00BD7731" w:rsidRDefault="009D0109" w:rsidP="009D0109">
            <w:pPr>
              <w:pStyle w:val="TableHead"/>
              <w:spacing w:line="240" w:lineRule="auto"/>
              <w:jc w:val="center"/>
              <w:rPr>
                <w:rFonts w:cs="Arial"/>
                <w:szCs w:val="16"/>
                <w:lang w:val="en-US"/>
              </w:rPr>
            </w:pPr>
            <w:r w:rsidRPr="00BD7731">
              <w:rPr>
                <w:rFonts w:eastAsiaTheme="minorEastAsia" w:cs="Arial"/>
                <w:iCs/>
                <w:w w:val="108"/>
                <w:szCs w:val="16"/>
                <w:lang w:val="en-US"/>
              </w:rPr>
              <w:t>Swelling</w:t>
            </w:r>
            <w:r w:rsidRPr="00BD7731">
              <w:rPr>
                <w:rFonts w:eastAsiaTheme="minorEastAsia" w:cs="Arial"/>
                <w:iCs/>
                <w:w w:val="108"/>
                <w:szCs w:val="16"/>
                <w:lang w:val="en-US"/>
              </w:rPr>
              <w:br/>
              <w:t>ratio (%)</w:t>
            </w:r>
          </w:p>
        </w:tc>
        <w:tc>
          <w:tcPr>
            <w:tcW w:w="1552" w:type="dxa"/>
            <w:tcBorders>
              <w:top w:val="single" w:sz="4" w:space="0" w:color="auto"/>
              <w:bottom w:val="single" w:sz="4" w:space="0" w:color="auto"/>
            </w:tcBorders>
            <w:shd w:val="clear" w:color="auto" w:fill="auto"/>
          </w:tcPr>
          <w:p w14:paraId="20993E0D" w14:textId="7F75FD30" w:rsidR="009D0109" w:rsidRPr="00BD7731" w:rsidRDefault="009D0109" w:rsidP="009D0109">
            <w:pPr>
              <w:pStyle w:val="TableHead"/>
              <w:spacing w:line="240" w:lineRule="auto"/>
              <w:jc w:val="center"/>
              <w:rPr>
                <w:rFonts w:cs="Arial"/>
                <w:szCs w:val="16"/>
                <w:lang w:val="en-US"/>
              </w:rPr>
            </w:pPr>
            <w:r w:rsidRPr="00BD7731">
              <w:rPr>
                <w:rFonts w:eastAsiaTheme="minorEastAsia" w:cs="Arial"/>
                <w:iCs/>
                <w:w w:val="108"/>
                <w:szCs w:val="16"/>
                <w:lang w:val="en-US"/>
              </w:rPr>
              <w:t>Crosslink density</w:t>
            </w:r>
            <w:r w:rsidRPr="00BD7731">
              <w:rPr>
                <w:rFonts w:eastAsiaTheme="minorEastAsia" w:cs="Arial"/>
                <w:iCs/>
                <w:w w:val="108"/>
                <w:szCs w:val="16"/>
                <w:lang w:val="en-US"/>
              </w:rPr>
              <w:br/>
              <w:t>(10</w:t>
            </w:r>
            <w:r w:rsidRPr="00BD7731">
              <w:rPr>
                <w:rFonts w:eastAsiaTheme="minorEastAsia" w:cs="Arial"/>
                <w:iCs/>
                <w:w w:val="108"/>
                <w:szCs w:val="16"/>
                <w:vertAlign w:val="superscript"/>
                <w:lang w:val="en-US"/>
              </w:rPr>
              <w:t>-4</w:t>
            </w:r>
            <w:r w:rsidRPr="00BD7731">
              <w:rPr>
                <w:rFonts w:eastAsiaTheme="minorEastAsia" w:cs="Arial"/>
                <w:iCs/>
                <w:w w:val="108"/>
                <w:szCs w:val="16"/>
                <w:lang w:val="en-US"/>
              </w:rPr>
              <w:t xml:space="preserve"> mol cm</w:t>
            </w:r>
            <w:r w:rsidRPr="00BD7731">
              <w:rPr>
                <w:rFonts w:eastAsiaTheme="minorEastAsia" w:cs="Arial"/>
                <w:iCs/>
                <w:w w:val="108"/>
                <w:szCs w:val="16"/>
                <w:vertAlign w:val="superscript"/>
                <w:lang w:val="en-US"/>
              </w:rPr>
              <w:t>-3</w:t>
            </w:r>
            <w:r w:rsidRPr="00BD7731">
              <w:rPr>
                <w:rFonts w:eastAsiaTheme="minorEastAsia" w:cs="Arial"/>
                <w:iCs/>
                <w:w w:val="108"/>
                <w:szCs w:val="16"/>
                <w:lang w:val="en-US"/>
              </w:rPr>
              <w:t>)</w:t>
            </w:r>
          </w:p>
        </w:tc>
        <w:tc>
          <w:tcPr>
            <w:tcW w:w="1000" w:type="dxa"/>
            <w:tcBorders>
              <w:top w:val="single" w:sz="4" w:space="0" w:color="auto"/>
              <w:bottom w:val="single" w:sz="4" w:space="0" w:color="auto"/>
            </w:tcBorders>
            <w:shd w:val="clear" w:color="auto" w:fill="auto"/>
          </w:tcPr>
          <w:p w14:paraId="31EE4CDE" w14:textId="6C7F0AE7" w:rsidR="009D0109" w:rsidRPr="00BD7731" w:rsidRDefault="009D0109" w:rsidP="009D0109">
            <w:pPr>
              <w:pStyle w:val="TableHead"/>
              <w:spacing w:line="240" w:lineRule="auto"/>
              <w:jc w:val="center"/>
              <w:rPr>
                <w:rFonts w:cs="Arial"/>
                <w:szCs w:val="16"/>
                <w:lang w:val="en-US"/>
              </w:rPr>
            </w:pPr>
            <w:r w:rsidRPr="00BD7731">
              <w:rPr>
                <w:rFonts w:cs="Arial"/>
                <w:i/>
                <w:w w:val="108"/>
                <w:szCs w:val="16"/>
                <w:lang w:val="en-US"/>
              </w:rPr>
              <w:t>G</w:t>
            </w:r>
            <w:r w:rsidRPr="00BD7731">
              <w:rPr>
                <w:rFonts w:cs="Arial"/>
                <w:w w:val="108"/>
                <w:szCs w:val="16"/>
                <w:lang w:val="en-US"/>
              </w:rPr>
              <w:t>’ (</w:t>
            </w:r>
            <w:proofErr w:type="spellStart"/>
            <w:r w:rsidRPr="00BD7731">
              <w:rPr>
                <w:rFonts w:cs="Arial"/>
                <w:w w:val="108"/>
                <w:szCs w:val="16"/>
                <w:lang w:val="en-US"/>
              </w:rPr>
              <w:t>GPa</w:t>
            </w:r>
            <w:proofErr w:type="spellEnd"/>
            <w:r w:rsidRPr="00BD7731">
              <w:rPr>
                <w:rFonts w:cs="Arial"/>
                <w:w w:val="108"/>
                <w:szCs w:val="16"/>
                <w:lang w:val="en-US"/>
              </w:rPr>
              <w:t>, 70 °C)</w:t>
            </w:r>
          </w:p>
        </w:tc>
        <w:tc>
          <w:tcPr>
            <w:tcW w:w="850" w:type="dxa"/>
            <w:tcBorders>
              <w:top w:val="single" w:sz="4" w:space="0" w:color="auto"/>
              <w:bottom w:val="single" w:sz="4" w:space="0" w:color="auto"/>
            </w:tcBorders>
          </w:tcPr>
          <w:p w14:paraId="426FC6B5" w14:textId="1CF6E33B" w:rsidR="009D0109" w:rsidRPr="00BD7731" w:rsidRDefault="001F5DAA" w:rsidP="001F5DAA">
            <w:pPr>
              <w:pStyle w:val="RSCT03TableBody"/>
              <w:spacing w:line="240" w:lineRule="auto"/>
              <w:rPr>
                <w:rFonts w:ascii="Arial" w:hAnsi="Arial" w:cs="Arial"/>
                <w:lang w:val="en-US"/>
              </w:rPr>
            </w:pPr>
            <w:r w:rsidRPr="00BD7731">
              <w:rPr>
                <w:rFonts w:ascii="Symbol" w:eastAsiaTheme="minorEastAsia" w:hAnsi="Symbol" w:cs="Arial"/>
                <w:w w:val="108"/>
                <w:lang w:val="en-US" w:eastAsia="ja-JP"/>
              </w:rPr>
              <w:t></w:t>
            </w:r>
            <w:r w:rsidRPr="00BD7731">
              <w:rPr>
                <w:rFonts w:ascii="Arial" w:eastAsiaTheme="minorEastAsia" w:hAnsi="Arial" w:cs="Arial"/>
                <w:w w:val="108"/>
                <w:lang w:val="en-US" w:eastAsia="ja-JP"/>
              </w:rPr>
              <w:t xml:space="preserve"> </w:t>
            </w:r>
            <w:r w:rsidR="009D0109" w:rsidRPr="00BD7731">
              <w:rPr>
                <w:rFonts w:ascii="Arial" w:hAnsi="Arial" w:cs="Arial"/>
                <w:w w:val="108"/>
                <w:lang w:val="en-US"/>
              </w:rPr>
              <w:t>(sec, 120 °C)</w:t>
            </w:r>
          </w:p>
        </w:tc>
        <w:tc>
          <w:tcPr>
            <w:tcW w:w="992" w:type="dxa"/>
            <w:tcBorders>
              <w:top w:val="single" w:sz="4" w:space="0" w:color="auto"/>
              <w:bottom w:val="single" w:sz="4" w:space="0" w:color="auto"/>
            </w:tcBorders>
          </w:tcPr>
          <w:p w14:paraId="5526DA68" w14:textId="2D5D1192" w:rsidR="009D0109" w:rsidRPr="00BD7731" w:rsidRDefault="001F5DAA" w:rsidP="001F5DAA">
            <w:pPr>
              <w:pStyle w:val="RSCT03TableBody"/>
              <w:spacing w:line="240" w:lineRule="auto"/>
              <w:rPr>
                <w:rFonts w:ascii="Arial" w:hAnsi="Arial" w:cs="Arial"/>
                <w:lang w:val="en-US"/>
              </w:rPr>
            </w:pPr>
            <w:r w:rsidRPr="00BD7731">
              <w:rPr>
                <w:rFonts w:ascii="Symbol" w:eastAsiaTheme="minorEastAsia" w:hAnsi="Symbol" w:cs="Arial"/>
                <w:w w:val="108"/>
                <w:lang w:val="en-US" w:eastAsia="ja-JP"/>
              </w:rPr>
              <w:t></w:t>
            </w:r>
            <w:r w:rsidRPr="00BD7731">
              <w:rPr>
                <w:rFonts w:ascii="Arial" w:eastAsiaTheme="minorEastAsia" w:hAnsi="Arial" w:cs="Arial"/>
                <w:w w:val="108"/>
                <w:lang w:val="en-US" w:eastAsia="ja-JP"/>
              </w:rPr>
              <w:t xml:space="preserve"> </w:t>
            </w:r>
            <w:r w:rsidR="009D0109" w:rsidRPr="00BD7731">
              <w:rPr>
                <w:rFonts w:ascii="Arial" w:hAnsi="Arial" w:cs="Arial"/>
                <w:w w:val="108"/>
                <w:lang w:val="en-US"/>
              </w:rPr>
              <w:t>(sec, 200 °C)</w:t>
            </w:r>
          </w:p>
        </w:tc>
        <w:tc>
          <w:tcPr>
            <w:tcW w:w="1004" w:type="dxa"/>
            <w:tcBorders>
              <w:top w:val="single" w:sz="4" w:space="0" w:color="auto"/>
              <w:bottom w:val="single" w:sz="4" w:space="0" w:color="auto"/>
            </w:tcBorders>
          </w:tcPr>
          <w:p w14:paraId="4E959AA7" w14:textId="0C1A540E" w:rsidR="009D0109" w:rsidRPr="00BD7731" w:rsidRDefault="009D0109" w:rsidP="009D0109">
            <w:pPr>
              <w:jc w:val="center"/>
              <w:rPr>
                <w:rFonts w:ascii="Arial" w:hAnsi="Arial" w:cs="Arial"/>
                <w:sz w:val="16"/>
                <w:szCs w:val="16"/>
              </w:rPr>
            </w:pPr>
            <w:r w:rsidRPr="00BD7731">
              <w:rPr>
                <w:rFonts w:ascii="Arial" w:hAnsi="Arial" w:cs="Arial"/>
                <w:i/>
                <w:w w:val="108"/>
                <w:sz w:val="16"/>
                <w:szCs w:val="16"/>
              </w:rPr>
              <w:t>E</w:t>
            </w:r>
            <w:r w:rsidRPr="00BD7731">
              <w:rPr>
                <w:rFonts w:ascii="Arial" w:hAnsi="Arial" w:cs="Arial"/>
                <w:w w:val="108"/>
                <w:sz w:val="16"/>
                <w:szCs w:val="16"/>
                <w:vertAlign w:val="subscript"/>
              </w:rPr>
              <w:t>a</w:t>
            </w:r>
            <w:r w:rsidRPr="00BD7731">
              <w:rPr>
                <w:rFonts w:ascii="Arial" w:hAnsi="Arial" w:cs="Arial"/>
                <w:w w:val="108"/>
                <w:sz w:val="16"/>
                <w:szCs w:val="16"/>
              </w:rPr>
              <w:t xml:space="preserve"> (kJ/mol)</w:t>
            </w:r>
          </w:p>
        </w:tc>
      </w:tr>
      <w:tr w:rsidR="00BD7731" w:rsidRPr="00BD7731" w14:paraId="2CC929E0" w14:textId="267F89E9" w:rsidTr="001F5DAA">
        <w:tc>
          <w:tcPr>
            <w:tcW w:w="851" w:type="dxa"/>
            <w:tcBorders>
              <w:top w:val="single" w:sz="4" w:space="0" w:color="auto"/>
            </w:tcBorders>
            <w:shd w:val="clear" w:color="auto" w:fill="auto"/>
          </w:tcPr>
          <w:p w14:paraId="5311F85A" w14:textId="5ABF2C33" w:rsidR="009D0109" w:rsidRPr="00BD7731" w:rsidRDefault="009D0109" w:rsidP="009D0109">
            <w:pPr>
              <w:pStyle w:val="TableBody"/>
              <w:spacing w:line="240" w:lineRule="auto"/>
              <w:jc w:val="center"/>
              <w:rPr>
                <w:rFonts w:cs="Arial"/>
                <w:szCs w:val="16"/>
                <w:lang w:val="en-US"/>
              </w:rPr>
            </w:pPr>
            <w:r w:rsidRPr="00BD7731">
              <w:rPr>
                <w:rFonts w:cs="Arial"/>
                <w:b/>
                <w:w w:val="108"/>
                <w:szCs w:val="16"/>
                <w:lang w:val="en-US"/>
              </w:rPr>
              <w:t>TN</w:t>
            </w:r>
            <w:r w:rsidRPr="00BD7731">
              <w:rPr>
                <w:rFonts w:cs="Arial"/>
                <w:w w:val="108"/>
                <w:szCs w:val="16"/>
                <w:vertAlign w:val="subscript"/>
                <w:lang w:val="en-US"/>
              </w:rPr>
              <w:t>3500</w:t>
            </w:r>
          </w:p>
        </w:tc>
        <w:tc>
          <w:tcPr>
            <w:tcW w:w="1134" w:type="dxa"/>
            <w:tcBorders>
              <w:top w:val="single" w:sz="4" w:space="0" w:color="auto"/>
            </w:tcBorders>
            <w:shd w:val="clear" w:color="auto" w:fill="auto"/>
          </w:tcPr>
          <w:p w14:paraId="737170DB" w14:textId="730F90D8" w:rsidR="009D0109" w:rsidRPr="00BD7731" w:rsidRDefault="009D0109" w:rsidP="009D0109">
            <w:pPr>
              <w:pStyle w:val="TableBody"/>
              <w:spacing w:line="240" w:lineRule="auto"/>
              <w:jc w:val="center"/>
              <w:rPr>
                <w:rFonts w:cs="Arial"/>
                <w:szCs w:val="16"/>
                <w:lang w:val="en-US"/>
              </w:rPr>
            </w:pPr>
            <w:r w:rsidRPr="00BD7731">
              <w:rPr>
                <w:rFonts w:cs="Arial"/>
                <w:w w:val="108"/>
                <w:szCs w:val="16"/>
                <w:lang w:val="en-US"/>
              </w:rPr>
              <w:t>3500 (1.13)</w:t>
            </w:r>
          </w:p>
        </w:tc>
        <w:tc>
          <w:tcPr>
            <w:tcW w:w="992" w:type="dxa"/>
            <w:tcBorders>
              <w:top w:val="single" w:sz="4" w:space="0" w:color="auto"/>
            </w:tcBorders>
            <w:shd w:val="clear" w:color="auto" w:fill="auto"/>
          </w:tcPr>
          <w:p w14:paraId="62036B6E" w14:textId="37349306" w:rsidR="009D0109" w:rsidRPr="00BD7731" w:rsidRDefault="009D0109" w:rsidP="009D0109">
            <w:pPr>
              <w:pStyle w:val="TableBody"/>
              <w:spacing w:line="240" w:lineRule="auto"/>
              <w:jc w:val="center"/>
              <w:rPr>
                <w:rFonts w:cs="Arial"/>
                <w:szCs w:val="16"/>
                <w:lang w:val="en-US"/>
              </w:rPr>
            </w:pPr>
            <w:r w:rsidRPr="00BD7731">
              <w:rPr>
                <w:rFonts w:eastAsiaTheme="minorEastAsia" w:cs="Arial"/>
                <w:w w:val="108"/>
                <w:szCs w:val="16"/>
                <w:lang w:val="en-US"/>
              </w:rPr>
              <w:t>582 ± 24</w:t>
            </w:r>
          </w:p>
        </w:tc>
        <w:tc>
          <w:tcPr>
            <w:tcW w:w="1552" w:type="dxa"/>
            <w:tcBorders>
              <w:top w:val="single" w:sz="4" w:space="0" w:color="auto"/>
            </w:tcBorders>
            <w:shd w:val="clear" w:color="auto" w:fill="auto"/>
          </w:tcPr>
          <w:p w14:paraId="383D4E20" w14:textId="76F91E06" w:rsidR="009D0109" w:rsidRPr="00BD7731" w:rsidRDefault="009D0109" w:rsidP="009D0109">
            <w:pPr>
              <w:pStyle w:val="TableBody"/>
              <w:spacing w:line="240" w:lineRule="auto"/>
              <w:jc w:val="center"/>
              <w:rPr>
                <w:rFonts w:cs="Arial"/>
                <w:szCs w:val="16"/>
                <w:lang w:val="en-US"/>
              </w:rPr>
            </w:pPr>
            <w:r w:rsidRPr="00BD7731">
              <w:rPr>
                <w:rFonts w:eastAsiaTheme="minorEastAsia" w:cs="Arial"/>
                <w:w w:val="108"/>
                <w:szCs w:val="16"/>
                <w:lang w:val="en-US"/>
              </w:rPr>
              <w:t>0.946</w:t>
            </w:r>
          </w:p>
        </w:tc>
        <w:tc>
          <w:tcPr>
            <w:tcW w:w="1000" w:type="dxa"/>
            <w:tcBorders>
              <w:top w:val="single" w:sz="4" w:space="0" w:color="auto"/>
            </w:tcBorders>
            <w:shd w:val="clear" w:color="auto" w:fill="auto"/>
          </w:tcPr>
          <w:p w14:paraId="22EB026F" w14:textId="4E01CC02" w:rsidR="009D0109" w:rsidRPr="00BD7731" w:rsidRDefault="009D0109" w:rsidP="009D0109">
            <w:pPr>
              <w:pStyle w:val="TableBody"/>
              <w:spacing w:line="240" w:lineRule="auto"/>
              <w:jc w:val="center"/>
              <w:rPr>
                <w:rFonts w:cs="Arial"/>
                <w:szCs w:val="16"/>
                <w:lang w:val="en-US"/>
              </w:rPr>
            </w:pPr>
            <w:r w:rsidRPr="00BD7731">
              <w:rPr>
                <w:rFonts w:cs="Arial"/>
                <w:w w:val="108"/>
                <w:szCs w:val="16"/>
                <w:lang w:val="en-US"/>
              </w:rPr>
              <w:t>0.378</w:t>
            </w:r>
          </w:p>
        </w:tc>
        <w:tc>
          <w:tcPr>
            <w:tcW w:w="850" w:type="dxa"/>
            <w:tcBorders>
              <w:top w:val="single" w:sz="4" w:space="0" w:color="auto"/>
            </w:tcBorders>
          </w:tcPr>
          <w:p w14:paraId="05DA7E19" w14:textId="35FC3E12" w:rsidR="009D0109" w:rsidRPr="00BD7731" w:rsidRDefault="009D0109" w:rsidP="009D0109">
            <w:pPr>
              <w:jc w:val="center"/>
              <w:rPr>
                <w:rFonts w:ascii="Arial" w:hAnsi="Arial" w:cs="Arial"/>
                <w:sz w:val="16"/>
                <w:szCs w:val="16"/>
              </w:rPr>
            </w:pPr>
            <w:r w:rsidRPr="00BD7731">
              <w:rPr>
                <w:rFonts w:ascii="Arial" w:hAnsi="Arial" w:cs="Arial"/>
                <w:w w:val="108"/>
                <w:sz w:val="16"/>
                <w:szCs w:val="16"/>
              </w:rPr>
              <w:t>0.840</w:t>
            </w:r>
          </w:p>
        </w:tc>
        <w:tc>
          <w:tcPr>
            <w:tcW w:w="992" w:type="dxa"/>
            <w:tcBorders>
              <w:top w:val="single" w:sz="4" w:space="0" w:color="auto"/>
            </w:tcBorders>
          </w:tcPr>
          <w:p w14:paraId="2A243F61" w14:textId="28E60E1C" w:rsidR="009D0109" w:rsidRPr="00BD7731" w:rsidRDefault="009D0109" w:rsidP="009D0109">
            <w:pPr>
              <w:jc w:val="center"/>
              <w:rPr>
                <w:rFonts w:ascii="Arial" w:hAnsi="Arial" w:cs="Arial"/>
                <w:sz w:val="16"/>
                <w:szCs w:val="16"/>
              </w:rPr>
            </w:pPr>
            <w:r w:rsidRPr="00BD7731">
              <w:rPr>
                <w:rFonts w:ascii="Arial" w:hAnsi="Arial" w:cs="Arial"/>
                <w:w w:val="108"/>
                <w:sz w:val="16"/>
                <w:szCs w:val="16"/>
              </w:rPr>
              <w:t>-</w:t>
            </w:r>
          </w:p>
        </w:tc>
        <w:tc>
          <w:tcPr>
            <w:tcW w:w="1004" w:type="dxa"/>
            <w:tcBorders>
              <w:top w:val="single" w:sz="4" w:space="0" w:color="auto"/>
            </w:tcBorders>
          </w:tcPr>
          <w:p w14:paraId="4BA02BDA" w14:textId="1CB80C49" w:rsidR="009D0109" w:rsidRPr="00BD7731" w:rsidRDefault="009D0109" w:rsidP="009D0109">
            <w:pPr>
              <w:jc w:val="center"/>
              <w:rPr>
                <w:rFonts w:ascii="Arial" w:hAnsi="Arial" w:cs="Arial"/>
                <w:sz w:val="16"/>
                <w:szCs w:val="16"/>
              </w:rPr>
            </w:pPr>
            <w:r w:rsidRPr="00BD7731">
              <w:rPr>
                <w:rFonts w:ascii="Arial" w:hAnsi="Arial" w:cs="Arial"/>
                <w:w w:val="108"/>
                <w:sz w:val="16"/>
                <w:szCs w:val="16"/>
              </w:rPr>
              <w:t>11.2</w:t>
            </w:r>
          </w:p>
        </w:tc>
      </w:tr>
      <w:tr w:rsidR="00BD7731" w:rsidRPr="00BD7731" w14:paraId="41BCEC3E" w14:textId="77777777" w:rsidTr="001F5DAA">
        <w:tc>
          <w:tcPr>
            <w:tcW w:w="851" w:type="dxa"/>
            <w:shd w:val="clear" w:color="auto" w:fill="auto"/>
          </w:tcPr>
          <w:p w14:paraId="0C9C165A" w14:textId="07BFDF9E" w:rsidR="009D0109" w:rsidRPr="00BD7731" w:rsidRDefault="009D0109" w:rsidP="009D0109">
            <w:pPr>
              <w:pStyle w:val="TableBody"/>
              <w:spacing w:line="240" w:lineRule="auto"/>
              <w:jc w:val="center"/>
              <w:rPr>
                <w:rFonts w:cs="Arial"/>
                <w:b/>
                <w:w w:val="108"/>
                <w:szCs w:val="16"/>
                <w:lang w:val="en-US"/>
              </w:rPr>
            </w:pPr>
            <w:r w:rsidRPr="00BD7731">
              <w:rPr>
                <w:rFonts w:cs="Arial"/>
                <w:b/>
                <w:w w:val="108"/>
                <w:szCs w:val="16"/>
                <w:lang w:val="en-US"/>
              </w:rPr>
              <w:t>TN</w:t>
            </w:r>
            <w:r w:rsidRPr="00BD7731">
              <w:rPr>
                <w:rFonts w:cs="Arial"/>
                <w:w w:val="108"/>
                <w:szCs w:val="16"/>
                <w:vertAlign w:val="subscript"/>
                <w:lang w:val="en-US"/>
              </w:rPr>
              <w:t>5300</w:t>
            </w:r>
          </w:p>
        </w:tc>
        <w:tc>
          <w:tcPr>
            <w:tcW w:w="1134" w:type="dxa"/>
            <w:shd w:val="clear" w:color="auto" w:fill="auto"/>
          </w:tcPr>
          <w:p w14:paraId="5B12233B" w14:textId="66F262C0" w:rsidR="009D0109" w:rsidRPr="00BD7731" w:rsidRDefault="009D0109" w:rsidP="009D0109">
            <w:pPr>
              <w:pStyle w:val="TableBody"/>
              <w:spacing w:line="240" w:lineRule="auto"/>
              <w:jc w:val="center"/>
              <w:rPr>
                <w:rFonts w:cs="Arial"/>
                <w:w w:val="108"/>
                <w:szCs w:val="16"/>
                <w:lang w:val="en-US"/>
              </w:rPr>
            </w:pPr>
            <w:r w:rsidRPr="00BD7731">
              <w:rPr>
                <w:rFonts w:cs="Arial"/>
                <w:w w:val="108"/>
                <w:szCs w:val="16"/>
                <w:lang w:val="en-US"/>
              </w:rPr>
              <w:t>5300 (1.16)</w:t>
            </w:r>
          </w:p>
        </w:tc>
        <w:tc>
          <w:tcPr>
            <w:tcW w:w="992" w:type="dxa"/>
            <w:shd w:val="clear" w:color="auto" w:fill="auto"/>
          </w:tcPr>
          <w:p w14:paraId="61DE7289" w14:textId="7BC33BFC" w:rsidR="009D0109" w:rsidRPr="00BD7731" w:rsidRDefault="009D0109" w:rsidP="009D0109">
            <w:pPr>
              <w:pStyle w:val="TableBody"/>
              <w:spacing w:line="240" w:lineRule="auto"/>
              <w:jc w:val="center"/>
              <w:rPr>
                <w:rFonts w:eastAsiaTheme="minorEastAsia" w:cs="Arial"/>
                <w:w w:val="108"/>
                <w:szCs w:val="16"/>
                <w:lang w:val="en-US"/>
              </w:rPr>
            </w:pPr>
            <w:r w:rsidRPr="00BD7731">
              <w:rPr>
                <w:rFonts w:eastAsiaTheme="minorEastAsia" w:cs="Arial"/>
                <w:w w:val="108"/>
                <w:szCs w:val="16"/>
                <w:lang w:val="en-US"/>
              </w:rPr>
              <w:t>972 ± 65</w:t>
            </w:r>
          </w:p>
        </w:tc>
        <w:tc>
          <w:tcPr>
            <w:tcW w:w="1552" w:type="dxa"/>
            <w:shd w:val="clear" w:color="auto" w:fill="auto"/>
          </w:tcPr>
          <w:p w14:paraId="2DDCE563" w14:textId="0BE12364" w:rsidR="009D0109" w:rsidRPr="00BD7731" w:rsidRDefault="009D0109" w:rsidP="009D0109">
            <w:pPr>
              <w:pStyle w:val="TableBody"/>
              <w:spacing w:line="240" w:lineRule="auto"/>
              <w:jc w:val="center"/>
              <w:rPr>
                <w:rFonts w:eastAsiaTheme="minorEastAsia" w:cs="Arial"/>
                <w:w w:val="108"/>
                <w:szCs w:val="16"/>
                <w:lang w:val="en-US"/>
              </w:rPr>
            </w:pPr>
            <w:r w:rsidRPr="00BD7731">
              <w:rPr>
                <w:rFonts w:eastAsiaTheme="minorEastAsia" w:cs="Arial"/>
                <w:w w:val="108"/>
                <w:szCs w:val="16"/>
                <w:lang w:val="en-US"/>
              </w:rPr>
              <w:t>0.382</w:t>
            </w:r>
          </w:p>
        </w:tc>
        <w:tc>
          <w:tcPr>
            <w:tcW w:w="1000" w:type="dxa"/>
            <w:shd w:val="clear" w:color="auto" w:fill="auto"/>
          </w:tcPr>
          <w:p w14:paraId="0E58C4DC" w14:textId="57177C15" w:rsidR="009D0109" w:rsidRPr="00BD7731" w:rsidRDefault="009D0109" w:rsidP="009D0109">
            <w:pPr>
              <w:pStyle w:val="TableBody"/>
              <w:spacing w:line="240" w:lineRule="auto"/>
              <w:jc w:val="center"/>
              <w:rPr>
                <w:rFonts w:cs="Arial"/>
                <w:w w:val="108"/>
                <w:szCs w:val="16"/>
                <w:lang w:val="en-US"/>
              </w:rPr>
            </w:pPr>
            <w:r w:rsidRPr="00BD7731">
              <w:rPr>
                <w:rFonts w:cs="Arial"/>
                <w:w w:val="108"/>
                <w:szCs w:val="16"/>
                <w:lang w:val="en-US"/>
              </w:rPr>
              <w:t>0.402</w:t>
            </w:r>
          </w:p>
        </w:tc>
        <w:tc>
          <w:tcPr>
            <w:tcW w:w="850" w:type="dxa"/>
          </w:tcPr>
          <w:p w14:paraId="7E84E0BE" w14:textId="3B0019C8" w:rsidR="009D0109" w:rsidRPr="00BD7731" w:rsidRDefault="009D0109" w:rsidP="009D0109">
            <w:pPr>
              <w:jc w:val="center"/>
              <w:rPr>
                <w:rFonts w:ascii="Arial" w:hAnsi="Arial" w:cs="Arial"/>
                <w:w w:val="108"/>
                <w:sz w:val="16"/>
                <w:szCs w:val="16"/>
              </w:rPr>
            </w:pPr>
            <w:r w:rsidRPr="00BD7731">
              <w:rPr>
                <w:rFonts w:ascii="Arial" w:hAnsi="Arial" w:cs="Arial"/>
                <w:w w:val="108"/>
                <w:sz w:val="16"/>
                <w:szCs w:val="16"/>
              </w:rPr>
              <w:t>0.596</w:t>
            </w:r>
          </w:p>
        </w:tc>
        <w:tc>
          <w:tcPr>
            <w:tcW w:w="992" w:type="dxa"/>
          </w:tcPr>
          <w:p w14:paraId="4AAEDB66" w14:textId="0DE9D391" w:rsidR="009D0109" w:rsidRPr="00BD7731" w:rsidRDefault="009D0109" w:rsidP="009D0109">
            <w:pPr>
              <w:jc w:val="center"/>
              <w:rPr>
                <w:rFonts w:ascii="Arial" w:hAnsi="Arial" w:cs="Arial"/>
                <w:w w:val="108"/>
                <w:sz w:val="16"/>
                <w:szCs w:val="16"/>
              </w:rPr>
            </w:pPr>
            <w:r w:rsidRPr="00BD7731">
              <w:rPr>
                <w:rFonts w:ascii="Arial" w:hAnsi="Arial" w:cs="Arial"/>
                <w:w w:val="108"/>
                <w:sz w:val="16"/>
                <w:szCs w:val="16"/>
              </w:rPr>
              <w:t>-</w:t>
            </w:r>
          </w:p>
        </w:tc>
        <w:tc>
          <w:tcPr>
            <w:tcW w:w="1004" w:type="dxa"/>
          </w:tcPr>
          <w:p w14:paraId="3123B3FE" w14:textId="5E662735" w:rsidR="009D0109" w:rsidRPr="00BD7731" w:rsidRDefault="009D0109" w:rsidP="009D0109">
            <w:pPr>
              <w:jc w:val="center"/>
              <w:rPr>
                <w:rFonts w:ascii="Arial" w:hAnsi="Arial" w:cs="Arial"/>
                <w:w w:val="108"/>
                <w:sz w:val="16"/>
                <w:szCs w:val="16"/>
              </w:rPr>
            </w:pPr>
            <w:r w:rsidRPr="00BD7731">
              <w:rPr>
                <w:rFonts w:ascii="Arial" w:hAnsi="Arial" w:cs="Arial"/>
                <w:w w:val="108"/>
                <w:sz w:val="16"/>
                <w:szCs w:val="16"/>
              </w:rPr>
              <w:t>23.5</w:t>
            </w:r>
          </w:p>
        </w:tc>
      </w:tr>
      <w:tr w:rsidR="00BD7731" w:rsidRPr="00BD7731" w14:paraId="77544819" w14:textId="77777777" w:rsidTr="001F5DAA">
        <w:tc>
          <w:tcPr>
            <w:tcW w:w="851" w:type="dxa"/>
            <w:shd w:val="clear" w:color="auto" w:fill="auto"/>
          </w:tcPr>
          <w:p w14:paraId="195E4F4C" w14:textId="775ECBB5" w:rsidR="009D0109" w:rsidRPr="00BD7731" w:rsidRDefault="009D0109" w:rsidP="009D0109">
            <w:pPr>
              <w:pStyle w:val="TableBody"/>
              <w:spacing w:line="240" w:lineRule="auto"/>
              <w:jc w:val="center"/>
              <w:rPr>
                <w:rFonts w:cs="Arial"/>
                <w:b/>
                <w:w w:val="108"/>
                <w:szCs w:val="16"/>
                <w:lang w:val="en-US"/>
              </w:rPr>
            </w:pPr>
            <w:r w:rsidRPr="00BD7731">
              <w:rPr>
                <w:rFonts w:cs="Arial"/>
                <w:b/>
                <w:w w:val="108"/>
                <w:szCs w:val="16"/>
                <w:lang w:val="en-US"/>
              </w:rPr>
              <w:t>TN</w:t>
            </w:r>
            <w:r w:rsidRPr="00BD7731">
              <w:rPr>
                <w:rFonts w:cs="Arial"/>
                <w:w w:val="108"/>
                <w:szCs w:val="16"/>
                <w:vertAlign w:val="subscript"/>
                <w:lang w:val="en-US"/>
              </w:rPr>
              <w:t>8600</w:t>
            </w:r>
          </w:p>
        </w:tc>
        <w:tc>
          <w:tcPr>
            <w:tcW w:w="1134" w:type="dxa"/>
            <w:shd w:val="clear" w:color="auto" w:fill="auto"/>
          </w:tcPr>
          <w:p w14:paraId="5214C763" w14:textId="0AB9DCDD" w:rsidR="009D0109" w:rsidRPr="00BD7731" w:rsidRDefault="009D0109" w:rsidP="009D0109">
            <w:pPr>
              <w:pStyle w:val="TableBody"/>
              <w:spacing w:line="240" w:lineRule="auto"/>
              <w:jc w:val="center"/>
              <w:rPr>
                <w:rFonts w:cs="Arial"/>
                <w:w w:val="108"/>
                <w:szCs w:val="16"/>
                <w:lang w:val="en-US"/>
              </w:rPr>
            </w:pPr>
            <w:r w:rsidRPr="00BD7731">
              <w:rPr>
                <w:rFonts w:cs="Arial"/>
                <w:w w:val="108"/>
                <w:szCs w:val="16"/>
                <w:lang w:val="en-US"/>
              </w:rPr>
              <w:t>8600 (1.12)</w:t>
            </w:r>
          </w:p>
        </w:tc>
        <w:tc>
          <w:tcPr>
            <w:tcW w:w="992" w:type="dxa"/>
            <w:shd w:val="clear" w:color="auto" w:fill="auto"/>
          </w:tcPr>
          <w:p w14:paraId="02320453" w14:textId="175AB260" w:rsidR="009D0109" w:rsidRPr="00BD7731" w:rsidRDefault="009D0109" w:rsidP="009D0109">
            <w:pPr>
              <w:pStyle w:val="TableBody"/>
              <w:spacing w:line="240" w:lineRule="auto"/>
              <w:jc w:val="center"/>
              <w:rPr>
                <w:rFonts w:eastAsiaTheme="minorEastAsia" w:cs="Arial"/>
                <w:w w:val="108"/>
                <w:szCs w:val="16"/>
                <w:lang w:val="en-US"/>
              </w:rPr>
            </w:pPr>
            <w:r w:rsidRPr="00BD7731">
              <w:rPr>
                <w:rFonts w:eastAsiaTheme="minorEastAsia" w:cs="Arial"/>
                <w:w w:val="108"/>
                <w:szCs w:val="16"/>
                <w:lang w:val="en-US"/>
              </w:rPr>
              <w:t>1240 ± 83</w:t>
            </w:r>
          </w:p>
        </w:tc>
        <w:tc>
          <w:tcPr>
            <w:tcW w:w="1552" w:type="dxa"/>
            <w:shd w:val="clear" w:color="auto" w:fill="auto"/>
          </w:tcPr>
          <w:p w14:paraId="53DC9215" w14:textId="0D79C72C" w:rsidR="009D0109" w:rsidRPr="00BD7731" w:rsidRDefault="009D0109" w:rsidP="009D0109">
            <w:pPr>
              <w:pStyle w:val="TableBody"/>
              <w:spacing w:line="240" w:lineRule="auto"/>
              <w:jc w:val="center"/>
              <w:rPr>
                <w:rFonts w:eastAsiaTheme="minorEastAsia" w:cs="Arial"/>
                <w:w w:val="108"/>
                <w:szCs w:val="16"/>
                <w:lang w:val="en-US"/>
              </w:rPr>
            </w:pPr>
            <w:r w:rsidRPr="00BD7731">
              <w:rPr>
                <w:rFonts w:eastAsiaTheme="minorEastAsia" w:cs="Arial"/>
                <w:w w:val="108"/>
                <w:szCs w:val="16"/>
                <w:lang w:val="en-US"/>
              </w:rPr>
              <w:t>0.249</w:t>
            </w:r>
          </w:p>
        </w:tc>
        <w:tc>
          <w:tcPr>
            <w:tcW w:w="1000" w:type="dxa"/>
            <w:shd w:val="clear" w:color="auto" w:fill="auto"/>
          </w:tcPr>
          <w:p w14:paraId="4FDD16BB" w14:textId="13DAA29A" w:rsidR="009D0109" w:rsidRPr="00BD7731" w:rsidRDefault="009D0109" w:rsidP="009D0109">
            <w:pPr>
              <w:pStyle w:val="TableBody"/>
              <w:spacing w:line="240" w:lineRule="auto"/>
              <w:jc w:val="center"/>
              <w:rPr>
                <w:rFonts w:cs="Arial"/>
                <w:w w:val="108"/>
                <w:szCs w:val="16"/>
                <w:lang w:val="en-US"/>
              </w:rPr>
            </w:pPr>
            <w:r w:rsidRPr="00BD7731">
              <w:rPr>
                <w:rFonts w:cs="Arial"/>
                <w:w w:val="108"/>
                <w:szCs w:val="16"/>
                <w:lang w:val="en-US"/>
              </w:rPr>
              <w:t>0.459</w:t>
            </w:r>
          </w:p>
        </w:tc>
        <w:tc>
          <w:tcPr>
            <w:tcW w:w="850" w:type="dxa"/>
          </w:tcPr>
          <w:p w14:paraId="6FBDF260" w14:textId="459CA997" w:rsidR="009D0109" w:rsidRPr="00BD7731" w:rsidRDefault="009D0109" w:rsidP="009D0109">
            <w:pPr>
              <w:jc w:val="center"/>
              <w:rPr>
                <w:rFonts w:ascii="Arial" w:hAnsi="Arial" w:cs="Arial"/>
                <w:w w:val="108"/>
                <w:sz w:val="16"/>
                <w:szCs w:val="16"/>
              </w:rPr>
            </w:pPr>
            <w:r w:rsidRPr="00BD7731">
              <w:rPr>
                <w:rFonts w:ascii="Arial" w:hAnsi="Arial" w:cs="Arial"/>
                <w:w w:val="108"/>
                <w:sz w:val="16"/>
                <w:szCs w:val="16"/>
              </w:rPr>
              <w:t>0.674</w:t>
            </w:r>
          </w:p>
        </w:tc>
        <w:tc>
          <w:tcPr>
            <w:tcW w:w="992" w:type="dxa"/>
          </w:tcPr>
          <w:p w14:paraId="65084309" w14:textId="2622CFD0" w:rsidR="009D0109" w:rsidRPr="00BD7731" w:rsidRDefault="009D0109" w:rsidP="009D0109">
            <w:pPr>
              <w:jc w:val="center"/>
              <w:rPr>
                <w:rFonts w:ascii="Arial" w:hAnsi="Arial" w:cs="Arial"/>
                <w:w w:val="108"/>
                <w:sz w:val="16"/>
                <w:szCs w:val="16"/>
              </w:rPr>
            </w:pPr>
            <w:r w:rsidRPr="00BD7731">
              <w:rPr>
                <w:rFonts w:ascii="Arial" w:hAnsi="Arial" w:cs="Arial"/>
                <w:w w:val="108"/>
                <w:sz w:val="16"/>
                <w:szCs w:val="16"/>
              </w:rPr>
              <w:t>-</w:t>
            </w:r>
          </w:p>
        </w:tc>
        <w:tc>
          <w:tcPr>
            <w:tcW w:w="1004" w:type="dxa"/>
          </w:tcPr>
          <w:p w14:paraId="09009B59" w14:textId="208B1CC1" w:rsidR="009D0109" w:rsidRPr="00BD7731" w:rsidRDefault="009D0109" w:rsidP="009D0109">
            <w:pPr>
              <w:jc w:val="center"/>
              <w:rPr>
                <w:rFonts w:ascii="Arial" w:hAnsi="Arial" w:cs="Arial"/>
                <w:w w:val="108"/>
                <w:sz w:val="16"/>
                <w:szCs w:val="16"/>
              </w:rPr>
            </w:pPr>
            <w:r w:rsidRPr="00BD7731">
              <w:rPr>
                <w:rFonts w:ascii="Arial" w:hAnsi="Arial" w:cs="Arial"/>
                <w:w w:val="108"/>
                <w:sz w:val="16"/>
                <w:szCs w:val="16"/>
              </w:rPr>
              <w:t>41.6</w:t>
            </w:r>
          </w:p>
        </w:tc>
      </w:tr>
      <w:tr w:rsidR="00BD7731" w:rsidRPr="00BD7731" w14:paraId="48ED1D6C" w14:textId="77777777" w:rsidTr="001F5DAA">
        <w:tc>
          <w:tcPr>
            <w:tcW w:w="851" w:type="dxa"/>
            <w:shd w:val="clear" w:color="auto" w:fill="auto"/>
          </w:tcPr>
          <w:p w14:paraId="34742B7D" w14:textId="2A5AA486" w:rsidR="009D0109" w:rsidRPr="00BD7731" w:rsidRDefault="009D0109" w:rsidP="009D0109">
            <w:pPr>
              <w:pStyle w:val="TableBody"/>
              <w:spacing w:line="240" w:lineRule="auto"/>
              <w:jc w:val="center"/>
              <w:rPr>
                <w:rFonts w:cs="Arial"/>
                <w:b/>
                <w:w w:val="108"/>
                <w:szCs w:val="16"/>
                <w:lang w:val="en-US"/>
              </w:rPr>
            </w:pPr>
            <w:r w:rsidRPr="00BD7731">
              <w:rPr>
                <w:rFonts w:cs="Arial"/>
                <w:b/>
                <w:w w:val="108"/>
                <w:szCs w:val="16"/>
                <w:lang w:val="en-US"/>
              </w:rPr>
              <w:t>RN</w:t>
            </w:r>
            <w:r w:rsidRPr="00BD7731">
              <w:rPr>
                <w:rFonts w:cs="Arial"/>
                <w:w w:val="108"/>
                <w:szCs w:val="16"/>
                <w:vertAlign w:val="subscript"/>
                <w:lang w:val="en-US"/>
              </w:rPr>
              <w:t>3200</w:t>
            </w:r>
            <w:r w:rsidRPr="00BD7731">
              <w:rPr>
                <w:rFonts w:cs="Arial"/>
                <w:w w:val="108"/>
                <w:szCs w:val="16"/>
                <w:vertAlign w:val="superscript"/>
                <w:lang w:val="en-US"/>
              </w:rPr>
              <w:t>a</w:t>
            </w:r>
          </w:p>
        </w:tc>
        <w:tc>
          <w:tcPr>
            <w:tcW w:w="1134" w:type="dxa"/>
            <w:shd w:val="clear" w:color="auto" w:fill="auto"/>
          </w:tcPr>
          <w:p w14:paraId="67B53093" w14:textId="3A4CB4A2" w:rsidR="009D0109" w:rsidRPr="00BD7731" w:rsidRDefault="009D0109" w:rsidP="009D0109">
            <w:pPr>
              <w:pStyle w:val="TableBody"/>
              <w:spacing w:line="240" w:lineRule="auto"/>
              <w:jc w:val="center"/>
              <w:rPr>
                <w:rFonts w:cs="Arial"/>
                <w:w w:val="108"/>
                <w:szCs w:val="16"/>
                <w:lang w:val="en-US"/>
              </w:rPr>
            </w:pPr>
            <w:r w:rsidRPr="00BD7731">
              <w:rPr>
                <w:rFonts w:cs="Arial"/>
                <w:w w:val="108"/>
                <w:szCs w:val="16"/>
                <w:lang w:val="en-US"/>
              </w:rPr>
              <w:t>3200 (1.14)</w:t>
            </w:r>
          </w:p>
        </w:tc>
        <w:tc>
          <w:tcPr>
            <w:tcW w:w="992" w:type="dxa"/>
            <w:shd w:val="clear" w:color="auto" w:fill="auto"/>
          </w:tcPr>
          <w:p w14:paraId="2D157343" w14:textId="2BBA6FCA" w:rsidR="009D0109" w:rsidRPr="00BD7731" w:rsidRDefault="009D0109" w:rsidP="009D0109">
            <w:pPr>
              <w:pStyle w:val="TableBody"/>
              <w:spacing w:line="240" w:lineRule="auto"/>
              <w:jc w:val="center"/>
              <w:rPr>
                <w:rFonts w:eastAsiaTheme="minorEastAsia" w:cs="Arial"/>
                <w:w w:val="108"/>
                <w:szCs w:val="16"/>
                <w:lang w:val="en-US"/>
              </w:rPr>
            </w:pPr>
            <w:r w:rsidRPr="00BD7731">
              <w:rPr>
                <w:rFonts w:eastAsiaTheme="minorEastAsia" w:cs="Arial"/>
                <w:w w:val="108"/>
                <w:szCs w:val="16"/>
                <w:lang w:val="en-US"/>
              </w:rPr>
              <w:t>446 ± 60</w:t>
            </w:r>
          </w:p>
        </w:tc>
        <w:tc>
          <w:tcPr>
            <w:tcW w:w="1552" w:type="dxa"/>
            <w:shd w:val="clear" w:color="auto" w:fill="auto"/>
          </w:tcPr>
          <w:p w14:paraId="2AF38E7C" w14:textId="2A5F500E" w:rsidR="009D0109" w:rsidRPr="00BD7731" w:rsidRDefault="009D0109" w:rsidP="009D0109">
            <w:pPr>
              <w:pStyle w:val="TableBody"/>
              <w:spacing w:line="240" w:lineRule="auto"/>
              <w:jc w:val="center"/>
              <w:rPr>
                <w:rFonts w:eastAsiaTheme="minorEastAsia" w:cs="Arial"/>
                <w:w w:val="108"/>
                <w:szCs w:val="16"/>
                <w:lang w:val="en-US"/>
              </w:rPr>
            </w:pPr>
            <w:r w:rsidRPr="00BD7731">
              <w:rPr>
                <w:rFonts w:eastAsiaTheme="minorEastAsia" w:cs="Arial"/>
                <w:w w:val="108"/>
                <w:szCs w:val="16"/>
                <w:lang w:val="en-US"/>
              </w:rPr>
              <w:t>1.48</w:t>
            </w:r>
          </w:p>
        </w:tc>
        <w:tc>
          <w:tcPr>
            <w:tcW w:w="1000" w:type="dxa"/>
            <w:shd w:val="clear" w:color="auto" w:fill="auto"/>
          </w:tcPr>
          <w:p w14:paraId="5CADE6EA" w14:textId="258F015A" w:rsidR="009D0109" w:rsidRPr="00BD7731" w:rsidRDefault="009D0109" w:rsidP="009D0109">
            <w:pPr>
              <w:pStyle w:val="TableBody"/>
              <w:spacing w:line="240" w:lineRule="auto"/>
              <w:jc w:val="center"/>
              <w:rPr>
                <w:rFonts w:cs="Arial"/>
                <w:w w:val="108"/>
                <w:szCs w:val="16"/>
                <w:lang w:val="en-US"/>
              </w:rPr>
            </w:pPr>
            <w:r w:rsidRPr="00BD7731">
              <w:rPr>
                <w:rFonts w:cs="Arial"/>
                <w:w w:val="108"/>
                <w:szCs w:val="16"/>
                <w:lang w:val="en-US"/>
              </w:rPr>
              <w:t>0.344</w:t>
            </w:r>
          </w:p>
        </w:tc>
        <w:tc>
          <w:tcPr>
            <w:tcW w:w="850" w:type="dxa"/>
          </w:tcPr>
          <w:p w14:paraId="16807DDF" w14:textId="7A33B27B" w:rsidR="009D0109" w:rsidRPr="00BD7731" w:rsidRDefault="009D0109" w:rsidP="009D0109">
            <w:pPr>
              <w:jc w:val="center"/>
              <w:rPr>
                <w:rFonts w:ascii="Arial" w:hAnsi="Arial" w:cs="Arial"/>
                <w:w w:val="108"/>
                <w:sz w:val="16"/>
                <w:szCs w:val="16"/>
              </w:rPr>
            </w:pPr>
            <w:r w:rsidRPr="00BD7731">
              <w:rPr>
                <w:rFonts w:ascii="Arial" w:hAnsi="Arial" w:cs="Arial"/>
                <w:w w:val="108"/>
                <w:sz w:val="16"/>
                <w:szCs w:val="16"/>
              </w:rPr>
              <w:t>-</w:t>
            </w:r>
          </w:p>
        </w:tc>
        <w:tc>
          <w:tcPr>
            <w:tcW w:w="992" w:type="dxa"/>
          </w:tcPr>
          <w:p w14:paraId="5A6985D6" w14:textId="2C532241" w:rsidR="009D0109" w:rsidRPr="00BD7731" w:rsidRDefault="009D0109" w:rsidP="009D0109">
            <w:pPr>
              <w:jc w:val="center"/>
              <w:rPr>
                <w:rFonts w:ascii="Arial" w:hAnsi="Arial" w:cs="Arial"/>
                <w:w w:val="108"/>
                <w:sz w:val="16"/>
                <w:szCs w:val="16"/>
              </w:rPr>
            </w:pPr>
            <w:r w:rsidRPr="00BD7731">
              <w:rPr>
                <w:rFonts w:ascii="Arial" w:hAnsi="Arial" w:cs="Arial"/>
                <w:w w:val="108"/>
                <w:sz w:val="16"/>
                <w:szCs w:val="16"/>
              </w:rPr>
              <w:t>5.18×10</w:t>
            </w:r>
            <w:r w:rsidRPr="00BD7731">
              <w:rPr>
                <w:rFonts w:ascii="Arial" w:hAnsi="Arial" w:cs="Arial"/>
                <w:w w:val="108"/>
                <w:sz w:val="16"/>
                <w:szCs w:val="16"/>
                <w:vertAlign w:val="superscript"/>
              </w:rPr>
              <w:t>4</w:t>
            </w:r>
          </w:p>
        </w:tc>
        <w:tc>
          <w:tcPr>
            <w:tcW w:w="1004" w:type="dxa"/>
          </w:tcPr>
          <w:p w14:paraId="1D405AEE" w14:textId="0C55DDF9" w:rsidR="009D0109" w:rsidRPr="00BD7731" w:rsidRDefault="009D0109" w:rsidP="009D0109">
            <w:pPr>
              <w:jc w:val="center"/>
              <w:rPr>
                <w:rFonts w:ascii="Arial" w:hAnsi="Arial" w:cs="Arial"/>
                <w:w w:val="108"/>
                <w:sz w:val="16"/>
                <w:szCs w:val="16"/>
              </w:rPr>
            </w:pPr>
            <w:r w:rsidRPr="00BD7731">
              <w:rPr>
                <w:rFonts w:ascii="Arial" w:hAnsi="Arial" w:cs="Arial"/>
                <w:w w:val="108"/>
                <w:sz w:val="16"/>
                <w:szCs w:val="16"/>
              </w:rPr>
              <w:t>193</w:t>
            </w:r>
          </w:p>
        </w:tc>
      </w:tr>
      <w:tr w:rsidR="00BD7731" w:rsidRPr="00BD7731" w14:paraId="1CDB541C" w14:textId="77777777" w:rsidTr="001F5DAA">
        <w:tc>
          <w:tcPr>
            <w:tcW w:w="851" w:type="dxa"/>
            <w:shd w:val="clear" w:color="auto" w:fill="auto"/>
          </w:tcPr>
          <w:p w14:paraId="0978D89B" w14:textId="7477934B" w:rsidR="009D0109" w:rsidRPr="00BD7731" w:rsidRDefault="009D0109" w:rsidP="009D0109">
            <w:pPr>
              <w:pStyle w:val="TableBody"/>
              <w:spacing w:line="240" w:lineRule="auto"/>
              <w:jc w:val="center"/>
              <w:rPr>
                <w:rFonts w:cs="Arial"/>
                <w:b/>
                <w:w w:val="108"/>
                <w:szCs w:val="16"/>
                <w:lang w:val="en-US"/>
              </w:rPr>
            </w:pPr>
            <w:r w:rsidRPr="00BD7731">
              <w:rPr>
                <w:rFonts w:cs="Arial"/>
                <w:b/>
                <w:w w:val="108"/>
                <w:szCs w:val="16"/>
                <w:lang w:val="en-US"/>
              </w:rPr>
              <w:t>RN</w:t>
            </w:r>
            <w:r w:rsidRPr="00BD7731">
              <w:rPr>
                <w:rFonts w:cs="Arial"/>
                <w:w w:val="108"/>
                <w:szCs w:val="16"/>
                <w:vertAlign w:val="subscript"/>
                <w:lang w:val="en-US"/>
              </w:rPr>
              <w:t>6000</w:t>
            </w:r>
            <w:r w:rsidR="001F5DAA" w:rsidRPr="00BD7731">
              <w:rPr>
                <w:rFonts w:cs="Arial"/>
                <w:w w:val="108"/>
                <w:szCs w:val="16"/>
                <w:vertAlign w:val="superscript"/>
                <w:lang w:val="en-US"/>
              </w:rPr>
              <w:t xml:space="preserve"> a</w:t>
            </w:r>
          </w:p>
        </w:tc>
        <w:tc>
          <w:tcPr>
            <w:tcW w:w="1134" w:type="dxa"/>
            <w:shd w:val="clear" w:color="auto" w:fill="auto"/>
          </w:tcPr>
          <w:p w14:paraId="7C1A5A18" w14:textId="37CFA551" w:rsidR="009D0109" w:rsidRPr="00BD7731" w:rsidRDefault="009D0109" w:rsidP="009D0109">
            <w:pPr>
              <w:pStyle w:val="TableBody"/>
              <w:spacing w:line="240" w:lineRule="auto"/>
              <w:jc w:val="center"/>
              <w:rPr>
                <w:rFonts w:cs="Arial"/>
                <w:w w:val="108"/>
                <w:szCs w:val="16"/>
                <w:lang w:val="en-US"/>
              </w:rPr>
            </w:pPr>
            <w:r w:rsidRPr="00BD7731">
              <w:rPr>
                <w:rFonts w:cs="Arial"/>
                <w:w w:val="108"/>
                <w:szCs w:val="16"/>
                <w:lang w:val="en-US"/>
              </w:rPr>
              <w:t>6000 (1.10)</w:t>
            </w:r>
          </w:p>
        </w:tc>
        <w:tc>
          <w:tcPr>
            <w:tcW w:w="992" w:type="dxa"/>
            <w:shd w:val="clear" w:color="auto" w:fill="auto"/>
          </w:tcPr>
          <w:p w14:paraId="19FF35DE" w14:textId="3405E43A" w:rsidR="009D0109" w:rsidRPr="00BD7731" w:rsidRDefault="009D0109" w:rsidP="009D0109">
            <w:pPr>
              <w:pStyle w:val="TableBody"/>
              <w:spacing w:line="240" w:lineRule="auto"/>
              <w:jc w:val="center"/>
              <w:rPr>
                <w:rFonts w:eastAsiaTheme="minorEastAsia" w:cs="Arial"/>
                <w:w w:val="108"/>
                <w:szCs w:val="16"/>
                <w:lang w:val="en-US"/>
              </w:rPr>
            </w:pPr>
            <w:r w:rsidRPr="00BD7731">
              <w:rPr>
                <w:rFonts w:eastAsiaTheme="minorEastAsia" w:cs="Arial"/>
                <w:w w:val="108"/>
                <w:szCs w:val="16"/>
                <w:lang w:val="en-US"/>
              </w:rPr>
              <w:t>517 ± 51</w:t>
            </w:r>
          </w:p>
        </w:tc>
        <w:tc>
          <w:tcPr>
            <w:tcW w:w="1552" w:type="dxa"/>
            <w:shd w:val="clear" w:color="auto" w:fill="auto"/>
          </w:tcPr>
          <w:p w14:paraId="6EC255E5" w14:textId="611149B4" w:rsidR="009D0109" w:rsidRPr="00BD7731" w:rsidRDefault="009D0109" w:rsidP="009D0109">
            <w:pPr>
              <w:pStyle w:val="TableBody"/>
              <w:spacing w:line="240" w:lineRule="auto"/>
              <w:jc w:val="center"/>
              <w:rPr>
                <w:rFonts w:eastAsiaTheme="minorEastAsia" w:cs="Arial"/>
                <w:w w:val="108"/>
                <w:szCs w:val="16"/>
                <w:lang w:val="en-US"/>
              </w:rPr>
            </w:pPr>
            <w:r w:rsidRPr="00BD7731">
              <w:rPr>
                <w:rFonts w:eastAsiaTheme="minorEastAsia" w:cs="Arial"/>
                <w:w w:val="108"/>
                <w:szCs w:val="16"/>
                <w:lang w:val="en-US"/>
              </w:rPr>
              <w:t>1.13</w:t>
            </w:r>
          </w:p>
        </w:tc>
        <w:tc>
          <w:tcPr>
            <w:tcW w:w="1000" w:type="dxa"/>
            <w:shd w:val="clear" w:color="auto" w:fill="auto"/>
          </w:tcPr>
          <w:p w14:paraId="306620A3" w14:textId="6F4566EA" w:rsidR="009D0109" w:rsidRPr="00BD7731" w:rsidRDefault="009D0109" w:rsidP="009D0109">
            <w:pPr>
              <w:pStyle w:val="TableBody"/>
              <w:spacing w:line="240" w:lineRule="auto"/>
              <w:jc w:val="center"/>
              <w:rPr>
                <w:rFonts w:cs="Arial"/>
                <w:w w:val="108"/>
                <w:szCs w:val="16"/>
                <w:lang w:val="en-US"/>
              </w:rPr>
            </w:pPr>
            <w:r w:rsidRPr="00BD7731">
              <w:rPr>
                <w:rFonts w:cs="Arial"/>
                <w:w w:val="108"/>
                <w:szCs w:val="16"/>
                <w:lang w:val="en-US"/>
              </w:rPr>
              <w:t>0.372</w:t>
            </w:r>
          </w:p>
        </w:tc>
        <w:tc>
          <w:tcPr>
            <w:tcW w:w="850" w:type="dxa"/>
          </w:tcPr>
          <w:p w14:paraId="58FEDD2A" w14:textId="548A07C2" w:rsidR="009D0109" w:rsidRPr="00BD7731" w:rsidRDefault="009D0109" w:rsidP="009D0109">
            <w:pPr>
              <w:jc w:val="center"/>
              <w:rPr>
                <w:rFonts w:ascii="Arial" w:hAnsi="Arial" w:cs="Arial"/>
                <w:w w:val="108"/>
                <w:sz w:val="16"/>
                <w:szCs w:val="16"/>
              </w:rPr>
            </w:pPr>
            <w:r w:rsidRPr="00BD7731">
              <w:rPr>
                <w:rFonts w:ascii="Arial" w:hAnsi="Arial" w:cs="Arial"/>
                <w:w w:val="108"/>
                <w:sz w:val="16"/>
                <w:szCs w:val="16"/>
              </w:rPr>
              <w:t>-</w:t>
            </w:r>
          </w:p>
        </w:tc>
        <w:tc>
          <w:tcPr>
            <w:tcW w:w="992" w:type="dxa"/>
          </w:tcPr>
          <w:p w14:paraId="447766D4" w14:textId="4E5874EB" w:rsidR="009D0109" w:rsidRPr="00BD7731" w:rsidRDefault="009D0109" w:rsidP="009D0109">
            <w:pPr>
              <w:jc w:val="center"/>
              <w:rPr>
                <w:rFonts w:ascii="Arial" w:hAnsi="Arial" w:cs="Arial"/>
                <w:w w:val="108"/>
                <w:sz w:val="16"/>
                <w:szCs w:val="16"/>
              </w:rPr>
            </w:pPr>
            <w:r w:rsidRPr="00BD7731">
              <w:rPr>
                <w:rFonts w:ascii="Arial" w:hAnsi="Arial" w:cs="Arial"/>
                <w:w w:val="108"/>
                <w:sz w:val="16"/>
                <w:szCs w:val="16"/>
              </w:rPr>
              <w:t>4.36×10</w:t>
            </w:r>
            <w:r w:rsidRPr="00BD7731">
              <w:rPr>
                <w:rFonts w:ascii="Arial" w:hAnsi="Arial" w:cs="Arial"/>
                <w:w w:val="108"/>
                <w:sz w:val="16"/>
                <w:szCs w:val="16"/>
                <w:vertAlign w:val="superscript"/>
              </w:rPr>
              <w:t>4</w:t>
            </w:r>
          </w:p>
        </w:tc>
        <w:tc>
          <w:tcPr>
            <w:tcW w:w="1004" w:type="dxa"/>
          </w:tcPr>
          <w:p w14:paraId="33B0B34D" w14:textId="328A343D" w:rsidR="009D0109" w:rsidRPr="00BD7731" w:rsidRDefault="009D0109" w:rsidP="009D0109">
            <w:pPr>
              <w:jc w:val="center"/>
              <w:rPr>
                <w:rFonts w:ascii="Arial" w:hAnsi="Arial" w:cs="Arial"/>
                <w:w w:val="108"/>
                <w:sz w:val="16"/>
                <w:szCs w:val="16"/>
              </w:rPr>
            </w:pPr>
            <w:r w:rsidRPr="00BD7731">
              <w:rPr>
                <w:rFonts w:ascii="Arial" w:hAnsi="Arial" w:cs="Arial"/>
                <w:w w:val="108"/>
                <w:sz w:val="16"/>
                <w:szCs w:val="16"/>
              </w:rPr>
              <w:t>172</w:t>
            </w:r>
          </w:p>
        </w:tc>
      </w:tr>
      <w:tr w:rsidR="00BD7731" w:rsidRPr="00BD7731" w14:paraId="207F007E" w14:textId="77777777" w:rsidTr="001F5DAA">
        <w:tc>
          <w:tcPr>
            <w:tcW w:w="851" w:type="dxa"/>
            <w:tcBorders>
              <w:bottom w:val="single" w:sz="4" w:space="0" w:color="auto"/>
            </w:tcBorders>
            <w:shd w:val="clear" w:color="auto" w:fill="auto"/>
          </w:tcPr>
          <w:p w14:paraId="54274E11" w14:textId="401804A9" w:rsidR="009D0109" w:rsidRPr="00BD7731" w:rsidRDefault="009D0109" w:rsidP="009D0109">
            <w:pPr>
              <w:pStyle w:val="TableBody"/>
              <w:spacing w:line="240" w:lineRule="auto"/>
              <w:jc w:val="center"/>
              <w:rPr>
                <w:rFonts w:cs="Arial"/>
                <w:b/>
                <w:w w:val="108"/>
                <w:szCs w:val="16"/>
                <w:lang w:val="en-US"/>
              </w:rPr>
            </w:pPr>
            <w:r w:rsidRPr="00BD7731">
              <w:rPr>
                <w:rFonts w:cs="Arial"/>
                <w:b/>
                <w:w w:val="108"/>
                <w:szCs w:val="16"/>
                <w:lang w:val="en-US"/>
              </w:rPr>
              <w:t>RN</w:t>
            </w:r>
            <w:r w:rsidRPr="00BD7731">
              <w:rPr>
                <w:rFonts w:cs="Arial"/>
                <w:w w:val="108"/>
                <w:szCs w:val="16"/>
                <w:vertAlign w:val="subscript"/>
                <w:lang w:val="en-US"/>
              </w:rPr>
              <w:t>8500</w:t>
            </w:r>
            <w:r w:rsidR="001F5DAA" w:rsidRPr="00BD7731">
              <w:rPr>
                <w:rFonts w:cs="Arial"/>
                <w:w w:val="108"/>
                <w:szCs w:val="16"/>
                <w:vertAlign w:val="superscript"/>
                <w:lang w:val="en-US"/>
              </w:rPr>
              <w:t xml:space="preserve"> a</w:t>
            </w:r>
          </w:p>
        </w:tc>
        <w:tc>
          <w:tcPr>
            <w:tcW w:w="1134" w:type="dxa"/>
            <w:tcBorders>
              <w:bottom w:val="single" w:sz="4" w:space="0" w:color="auto"/>
            </w:tcBorders>
            <w:shd w:val="clear" w:color="auto" w:fill="auto"/>
          </w:tcPr>
          <w:p w14:paraId="02EAB247" w14:textId="6F6CA700" w:rsidR="009D0109" w:rsidRPr="00BD7731" w:rsidRDefault="009D0109" w:rsidP="009D0109">
            <w:pPr>
              <w:pStyle w:val="TableBody"/>
              <w:spacing w:line="240" w:lineRule="auto"/>
              <w:jc w:val="center"/>
              <w:rPr>
                <w:rFonts w:cs="Arial"/>
                <w:w w:val="108"/>
                <w:szCs w:val="16"/>
                <w:lang w:val="en-US"/>
              </w:rPr>
            </w:pPr>
            <w:r w:rsidRPr="00BD7731">
              <w:rPr>
                <w:rFonts w:cs="Arial"/>
                <w:w w:val="108"/>
                <w:szCs w:val="16"/>
                <w:lang w:val="en-US"/>
              </w:rPr>
              <w:t>8500 (1.17)</w:t>
            </w:r>
          </w:p>
        </w:tc>
        <w:tc>
          <w:tcPr>
            <w:tcW w:w="992" w:type="dxa"/>
            <w:tcBorders>
              <w:bottom w:val="single" w:sz="4" w:space="0" w:color="auto"/>
            </w:tcBorders>
            <w:shd w:val="clear" w:color="auto" w:fill="auto"/>
          </w:tcPr>
          <w:p w14:paraId="00C607F1" w14:textId="364FAA9B" w:rsidR="009D0109" w:rsidRPr="00BD7731" w:rsidRDefault="009D0109" w:rsidP="009D0109">
            <w:pPr>
              <w:pStyle w:val="TableBody"/>
              <w:spacing w:line="240" w:lineRule="auto"/>
              <w:jc w:val="center"/>
              <w:rPr>
                <w:rFonts w:eastAsiaTheme="minorEastAsia" w:cs="Arial"/>
                <w:w w:val="108"/>
                <w:szCs w:val="16"/>
                <w:lang w:val="en-US"/>
              </w:rPr>
            </w:pPr>
            <w:r w:rsidRPr="00BD7731">
              <w:rPr>
                <w:rFonts w:eastAsiaTheme="minorEastAsia" w:cs="Arial"/>
                <w:w w:val="108"/>
                <w:szCs w:val="16"/>
                <w:lang w:val="en-US"/>
              </w:rPr>
              <w:t>613 ± 46</w:t>
            </w:r>
          </w:p>
        </w:tc>
        <w:tc>
          <w:tcPr>
            <w:tcW w:w="1552" w:type="dxa"/>
            <w:tcBorders>
              <w:bottom w:val="single" w:sz="4" w:space="0" w:color="auto"/>
            </w:tcBorders>
            <w:shd w:val="clear" w:color="auto" w:fill="auto"/>
          </w:tcPr>
          <w:p w14:paraId="482B5A3B" w14:textId="2950BCAC" w:rsidR="009D0109" w:rsidRPr="00BD7731" w:rsidRDefault="009D0109" w:rsidP="009D0109">
            <w:pPr>
              <w:pStyle w:val="TableBody"/>
              <w:spacing w:line="240" w:lineRule="auto"/>
              <w:jc w:val="center"/>
              <w:rPr>
                <w:rFonts w:eastAsiaTheme="minorEastAsia" w:cs="Arial"/>
                <w:w w:val="108"/>
                <w:szCs w:val="16"/>
                <w:lang w:val="en-US"/>
              </w:rPr>
            </w:pPr>
            <w:r w:rsidRPr="00BD7731">
              <w:rPr>
                <w:rFonts w:eastAsiaTheme="minorEastAsia" w:cs="Arial"/>
                <w:w w:val="108"/>
                <w:szCs w:val="16"/>
                <w:lang w:val="en-US"/>
              </w:rPr>
              <w:t>0.837</w:t>
            </w:r>
          </w:p>
        </w:tc>
        <w:tc>
          <w:tcPr>
            <w:tcW w:w="1000" w:type="dxa"/>
            <w:tcBorders>
              <w:bottom w:val="single" w:sz="4" w:space="0" w:color="auto"/>
            </w:tcBorders>
            <w:shd w:val="clear" w:color="auto" w:fill="auto"/>
          </w:tcPr>
          <w:p w14:paraId="42316451" w14:textId="1962ED73" w:rsidR="009D0109" w:rsidRPr="00BD7731" w:rsidRDefault="009D0109" w:rsidP="009D0109">
            <w:pPr>
              <w:pStyle w:val="TableBody"/>
              <w:spacing w:line="240" w:lineRule="auto"/>
              <w:jc w:val="center"/>
              <w:rPr>
                <w:rFonts w:cs="Arial"/>
                <w:w w:val="108"/>
                <w:szCs w:val="16"/>
                <w:lang w:val="en-US"/>
              </w:rPr>
            </w:pPr>
            <w:r w:rsidRPr="00BD7731">
              <w:rPr>
                <w:rFonts w:cs="Arial"/>
                <w:w w:val="108"/>
                <w:szCs w:val="16"/>
                <w:lang w:val="en-US"/>
              </w:rPr>
              <w:t>0.143</w:t>
            </w:r>
          </w:p>
        </w:tc>
        <w:tc>
          <w:tcPr>
            <w:tcW w:w="850" w:type="dxa"/>
            <w:tcBorders>
              <w:bottom w:val="single" w:sz="4" w:space="0" w:color="auto"/>
            </w:tcBorders>
          </w:tcPr>
          <w:p w14:paraId="7BE24AD1" w14:textId="033C1BE3" w:rsidR="009D0109" w:rsidRPr="00BD7731" w:rsidRDefault="009D0109" w:rsidP="009D0109">
            <w:pPr>
              <w:jc w:val="center"/>
              <w:rPr>
                <w:rFonts w:ascii="Arial" w:hAnsi="Arial" w:cs="Arial"/>
                <w:w w:val="108"/>
                <w:sz w:val="16"/>
                <w:szCs w:val="16"/>
              </w:rPr>
            </w:pPr>
            <w:r w:rsidRPr="00BD7731">
              <w:rPr>
                <w:rFonts w:ascii="Arial" w:hAnsi="Arial" w:cs="Arial"/>
                <w:w w:val="108"/>
                <w:sz w:val="16"/>
                <w:szCs w:val="16"/>
              </w:rPr>
              <w:t>-</w:t>
            </w:r>
          </w:p>
        </w:tc>
        <w:tc>
          <w:tcPr>
            <w:tcW w:w="992" w:type="dxa"/>
            <w:tcBorders>
              <w:bottom w:val="single" w:sz="4" w:space="0" w:color="auto"/>
            </w:tcBorders>
          </w:tcPr>
          <w:p w14:paraId="335D3A80" w14:textId="34069567" w:rsidR="009D0109" w:rsidRPr="00BD7731" w:rsidRDefault="009D0109" w:rsidP="009D0109">
            <w:pPr>
              <w:jc w:val="center"/>
              <w:rPr>
                <w:rFonts w:ascii="Arial" w:hAnsi="Arial" w:cs="Arial"/>
                <w:w w:val="108"/>
                <w:sz w:val="16"/>
                <w:szCs w:val="16"/>
              </w:rPr>
            </w:pPr>
            <w:r w:rsidRPr="00BD7731">
              <w:rPr>
                <w:rFonts w:ascii="Arial" w:hAnsi="Arial" w:cs="Arial"/>
                <w:w w:val="108"/>
                <w:sz w:val="16"/>
                <w:szCs w:val="16"/>
              </w:rPr>
              <w:t>1.78×10</w:t>
            </w:r>
            <w:r w:rsidRPr="00BD7731">
              <w:rPr>
                <w:rFonts w:ascii="Arial" w:hAnsi="Arial" w:cs="Arial"/>
                <w:w w:val="108"/>
                <w:sz w:val="16"/>
                <w:szCs w:val="16"/>
                <w:vertAlign w:val="superscript"/>
              </w:rPr>
              <w:t>4</w:t>
            </w:r>
          </w:p>
        </w:tc>
        <w:tc>
          <w:tcPr>
            <w:tcW w:w="1004" w:type="dxa"/>
            <w:tcBorders>
              <w:bottom w:val="single" w:sz="4" w:space="0" w:color="auto"/>
            </w:tcBorders>
          </w:tcPr>
          <w:p w14:paraId="1A99FCAC" w14:textId="7B9E6443" w:rsidR="009D0109" w:rsidRPr="00BD7731" w:rsidRDefault="009D0109" w:rsidP="009D0109">
            <w:pPr>
              <w:jc w:val="center"/>
              <w:rPr>
                <w:rFonts w:ascii="Arial" w:hAnsi="Arial" w:cs="Arial"/>
                <w:w w:val="108"/>
                <w:sz w:val="16"/>
                <w:szCs w:val="16"/>
              </w:rPr>
            </w:pPr>
            <w:r w:rsidRPr="00BD7731">
              <w:rPr>
                <w:rFonts w:ascii="Arial" w:hAnsi="Arial" w:cs="Arial"/>
                <w:w w:val="108"/>
                <w:sz w:val="16"/>
                <w:szCs w:val="16"/>
              </w:rPr>
              <w:t>166</w:t>
            </w:r>
          </w:p>
        </w:tc>
      </w:tr>
    </w:tbl>
    <w:p w14:paraId="3C585024" w14:textId="18AE6FEF" w:rsidR="00A85A0D" w:rsidRPr="00BD7731" w:rsidRDefault="00A85A0D" w:rsidP="008C6D5F">
      <w:pPr>
        <w:pStyle w:val="Legend"/>
        <w:spacing w:line="360" w:lineRule="auto"/>
      </w:pPr>
      <w:r w:rsidRPr="00BD7731">
        <w:rPr>
          <w:vertAlign w:val="superscript"/>
        </w:rPr>
        <w:t>a)</w:t>
      </w:r>
      <w:r w:rsidR="001F5DAA" w:rsidRPr="00BD7731">
        <w:t xml:space="preserve"> Average numbers of CO</w:t>
      </w:r>
      <w:r w:rsidR="001F5DAA" w:rsidRPr="00BD7731">
        <w:rPr>
          <w:vertAlign w:val="subscript"/>
        </w:rPr>
        <w:t>2</w:t>
      </w:r>
      <w:r w:rsidR="001F5DAA" w:rsidRPr="00BD7731">
        <w:t xml:space="preserve">H in one chain were 2.1, 2.0, and 2.2 in </w:t>
      </w:r>
      <w:r w:rsidR="001F5DAA" w:rsidRPr="00BD7731">
        <w:rPr>
          <w:b/>
          <w:bCs/>
        </w:rPr>
        <w:t>RN</w:t>
      </w:r>
      <w:r w:rsidR="001F5DAA" w:rsidRPr="00BD7731">
        <w:rPr>
          <w:vertAlign w:val="subscript"/>
        </w:rPr>
        <w:t>3200</w:t>
      </w:r>
      <w:r w:rsidR="001F5DAA" w:rsidRPr="00BD7731">
        <w:t xml:space="preserve">, </w:t>
      </w:r>
      <w:r w:rsidR="001F5DAA" w:rsidRPr="00BD7731">
        <w:rPr>
          <w:b/>
          <w:bCs/>
        </w:rPr>
        <w:t>RN</w:t>
      </w:r>
      <w:r w:rsidR="001F5DAA" w:rsidRPr="00BD7731">
        <w:rPr>
          <w:vertAlign w:val="subscript"/>
        </w:rPr>
        <w:t>6000</w:t>
      </w:r>
      <w:r w:rsidR="001F5DAA" w:rsidRPr="00BD7731">
        <w:t xml:space="preserve">, and </w:t>
      </w:r>
      <w:r w:rsidR="001F5DAA" w:rsidRPr="00BD7731">
        <w:rPr>
          <w:b/>
          <w:bCs/>
        </w:rPr>
        <w:t>RN</w:t>
      </w:r>
      <w:r w:rsidR="001F5DAA" w:rsidRPr="00BD7731">
        <w:rPr>
          <w:vertAlign w:val="subscript"/>
        </w:rPr>
        <w:t>8500</w:t>
      </w:r>
      <w:r w:rsidR="001F5DAA" w:rsidRPr="00BD7731">
        <w:t xml:space="preserve">, respectively, as determined by </w:t>
      </w:r>
      <w:r w:rsidR="001F5DAA" w:rsidRPr="00BD7731">
        <w:rPr>
          <w:vertAlign w:val="superscript"/>
        </w:rPr>
        <w:t>1</w:t>
      </w:r>
      <w:r w:rsidR="001F5DAA" w:rsidRPr="00BD7731">
        <w:t>H NMR analysis (</w:t>
      </w:r>
      <w:r w:rsidR="001F5DAA" w:rsidRPr="00BD7731">
        <w:rPr>
          <w:b/>
          <w:bCs/>
        </w:rPr>
        <w:t>Figure S</w:t>
      </w:r>
      <w:r w:rsidR="0009379D" w:rsidRPr="00BD7731">
        <w:rPr>
          <w:b/>
          <w:bCs/>
        </w:rPr>
        <w:t>1</w:t>
      </w:r>
      <w:r w:rsidR="001F5DAA" w:rsidRPr="00BD7731">
        <w:t xml:space="preserve"> in SI).</w:t>
      </w:r>
    </w:p>
    <w:p w14:paraId="4A025904" w14:textId="1335B674" w:rsidR="00A85A0D" w:rsidRPr="00BD7731" w:rsidRDefault="00A85A0D" w:rsidP="008C6D5F">
      <w:pPr>
        <w:pStyle w:val="MainText"/>
        <w:spacing w:line="360" w:lineRule="auto"/>
      </w:pPr>
    </w:p>
    <w:p w14:paraId="0EA5339F" w14:textId="77777777" w:rsidR="006E4C82" w:rsidRPr="00BD7731" w:rsidRDefault="006E4C82" w:rsidP="008C6D5F">
      <w:pPr>
        <w:pStyle w:val="MainText"/>
        <w:spacing w:line="360" w:lineRule="auto"/>
      </w:pPr>
    </w:p>
    <w:p w14:paraId="6A29D49B" w14:textId="3728B1E3" w:rsidR="00131D58" w:rsidRPr="00BD7731" w:rsidRDefault="00131D58" w:rsidP="008C6D5F">
      <w:pPr>
        <w:pStyle w:val="Acknowledgements"/>
        <w:spacing w:line="360" w:lineRule="auto"/>
        <w:rPr>
          <w:i/>
        </w:rPr>
      </w:pPr>
      <w:r w:rsidRPr="00BD7731">
        <w:rPr>
          <w:b/>
        </w:rPr>
        <w:t>Supporting Information</w:t>
      </w:r>
    </w:p>
    <w:p w14:paraId="61CE1F90" w14:textId="77777777" w:rsidR="00131D58" w:rsidRPr="00BD7731" w:rsidRDefault="00131D58" w:rsidP="008C6D5F">
      <w:pPr>
        <w:pStyle w:val="Acknowledgements"/>
        <w:spacing w:line="360" w:lineRule="auto"/>
      </w:pPr>
      <w:r w:rsidRPr="00BD7731">
        <w:t>Supporting Information is available from the Wiley Online Library or from the author.</w:t>
      </w:r>
    </w:p>
    <w:p w14:paraId="3B9DCEAD" w14:textId="77777777" w:rsidR="00004A23" w:rsidRPr="00BD7731" w:rsidRDefault="00004A23" w:rsidP="008C6D5F">
      <w:pPr>
        <w:pStyle w:val="MainText"/>
        <w:spacing w:line="360" w:lineRule="auto"/>
      </w:pPr>
    </w:p>
    <w:p w14:paraId="300E83E3" w14:textId="77777777" w:rsidR="002D16A0" w:rsidRPr="00BD7731" w:rsidRDefault="002D16A0" w:rsidP="008C6D5F">
      <w:pPr>
        <w:pStyle w:val="Head1"/>
      </w:pPr>
      <w:r w:rsidRPr="00BD7731">
        <w:t>Acknowledgements</w:t>
      </w:r>
    </w:p>
    <w:p w14:paraId="37E6686B" w14:textId="0C8A887B" w:rsidR="007B7A09" w:rsidRPr="00BD7731" w:rsidRDefault="001751B1" w:rsidP="008C6D5F">
      <w:pPr>
        <w:pStyle w:val="MainText"/>
        <w:spacing w:line="360" w:lineRule="auto"/>
      </w:pPr>
      <w:r w:rsidRPr="00BD7731">
        <w:t xml:space="preserve">The authors thank Dr. </w:t>
      </w:r>
      <w:proofErr w:type="spellStart"/>
      <w:r w:rsidRPr="00BD7731">
        <w:t>Keitaro</w:t>
      </w:r>
      <w:proofErr w:type="spellEnd"/>
      <w:r w:rsidRPr="00BD7731">
        <w:t xml:space="preserve"> </w:t>
      </w:r>
      <w:proofErr w:type="spellStart"/>
      <w:r w:rsidRPr="00BD7731">
        <w:t>Sodeyama</w:t>
      </w:r>
      <w:proofErr w:type="spellEnd"/>
      <w:r w:rsidRPr="00BD7731">
        <w:t xml:space="preserve"> and Dr. Masato Sumita for helpful discussions.</w:t>
      </w:r>
    </w:p>
    <w:p w14:paraId="1D409941" w14:textId="77777777" w:rsidR="00C56CD4" w:rsidRPr="00BD7731" w:rsidRDefault="00C56CD4" w:rsidP="008C6D5F">
      <w:pPr>
        <w:pStyle w:val="Acknowledgements"/>
        <w:spacing w:line="360" w:lineRule="auto"/>
        <w:rPr>
          <w:b/>
        </w:rPr>
      </w:pPr>
    </w:p>
    <w:p w14:paraId="524417EC" w14:textId="77777777" w:rsidR="00004A23" w:rsidRPr="00BD7731" w:rsidRDefault="00004A23" w:rsidP="008C6D5F">
      <w:pPr>
        <w:pStyle w:val="dates"/>
        <w:spacing w:line="360" w:lineRule="auto"/>
      </w:pPr>
      <w:r w:rsidRPr="00BD7731">
        <w:t>Received: ((will be filled in by the editorial staff))</w:t>
      </w:r>
      <w:r w:rsidRPr="00BD7731">
        <w:br/>
        <w:t>Revised: ((will be filled in by the editorial staff))</w:t>
      </w:r>
      <w:r w:rsidRPr="00BD7731">
        <w:br/>
        <w:t>Published online: ((will be filled in by the editorial staff))</w:t>
      </w:r>
    </w:p>
    <w:p w14:paraId="19569340" w14:textId="77777777" w:rsidR="00004A23" w:rsidRPr="00BD7731" w:rsidRDefault="00004A23" w:rsidP="008C6D5F">
      <w:pPr>
        <w:pStyle w:val="MainText"/>
        <w:spacing w:line="360" w:lineRule="auto"/>
      </w:pPr>
    </w:p>
    <w:p w14:paraId="295BC1E9" w14:textId="2B18EB0B" w:rsidR="00FE4D5F" w:rsidRPr="00BD7731" w:rsidRDefault="00FE4D5F" w:rsidP="008C6D5F">
      <w:pPr>
        <w:pStyle w:val="MainText"/>
        <w:spacing w:line="360" w:lineRule="auto"/>
      </w:pPr>
      <w:r w:rsidRPr="00BD7731">
        <w:t>References</w:t>
      </w:r>
    </w:p>
    <w:p w14:paraId="3A31D288" w14:textId="77777777" w:rsidR="001C3F85" w:rsidRPr="00BD7731" w:rsidRDefault="001751B1" w:rsidP="001C3F85">
      <w:pPr>
        <w:pStyle w:val="af0"/>
      </w:pPr>
      <w:r w:rsidRPr="00BD7731">
        <w:fldChar w:fldCharType="begin"/>
      </w:r>
      <w:r w:rsidR="001C3F85" w:rsidRPr="00BD7731">
        <w:instrText xml:space="preserve"> ADDIN ZOTERO_BIBL {"uncited":[],"omitted":[],"custom":[]} CSL_BIBLIOGRAPHY </w:instrText>
      </w:r>
      <w:r w:rsidRPr="00BD7731">
        <w:fldChar w:fldCharType="separate"/>
      </w:r>
      <w:r w:rsidR="001C3F85" w:rsidRPr="00BD7731">
        <w:t>[1]</w:t>
      </w:r>
      <w:r w:rsidR="001C3F85" w:rsidRPr="00BD7731">
        <w:tab/>
        <w:t xml:space="preserve">W. Zou, J. Dong, Y. Luo, Q. Zhao, T. Xie, </w:t>
      </w:r>
      <w:r w:rsidR="001C3F85" w:rsidRPr="00BD7731">
        <w:rPr>
          <w:i/>
          <w:iCs/>
        </w:rPr>
        <w:t>Adv. Mater.</w:t>
      </w:r>
      <w:r w:rsidR="001C3F85" w:rsidRPr="00BD7731">
        <w:t xml:space="preserve"> </w:t>
      </w:r>
      <w:r w:rsidR="001C3F85" w:rsidRPr="00BD7731">
        <w:rPr>
          <w:b/>
          <w:bCs/>
        </w:rPr>
        <w:t>2017</w:t>
      </w:r>
      <w:r w:rsidR="001C3F85" w:rsidRPr="00BD7731">
        <w:t xml:space="preserve">, </w:t>
      </w:r>
      <w:r w:rsidR="001C3F85" w:rsidRPr="00BD7731">
        <w:rPr>
          <w:i/>
          <w:iCs/>
        </w:rPr>
        <w:t>29</w:t>
      </w:r>
      <w:r w:rsidR="001C3F85" w:rsidRPr="00BD7731">
        <w:t>, 1606100.</w:t>
      </w:r>
    </w:p>
    <w:p w14:paraId="24668672" w14:textId="77777777" w:rsidR="001C3F85" w:rsidRPr="00BD7731" w:rsidRDefault="001C3F85" w:rsidP="001C3F85">
      <w:pPr>
        <w:pStyle w:val="af0"/>
      </w:pPr>
      <w:r w:rsidRPr="00BD7731">
        <w:t>[2]</w:t>
      </w:r>
      <w:r w:rsidRPr="00BD7731">
        <w:tab/>
        <w:t xml:space="preserve">P. Chakma, D. Konkolewicz, </w:t>
      </w:r>
      <w:r w:rsidRPr="00BD7731">
        <w:rPr>
          <w:i/>
          <w:iCs/>
        </w:rPr>
        <w:t>Angew. Chem. Int. Ed.</w:t>
      </w:r>
      <w:r w:rsidRPr="00BD7731">
        <w:t xml:space="preserve"> </w:t>
      </w:r>
      <w:r w:rsidRPr="00BD7731">
        <w:rPr>
          <w:b/>
          <w:bCs/>
        </w:rPr>
        <w:t>2019</w:t>
      </w:r>
      <w:r w:rsidRPr="00BD7731">
        <w:t xml:space="preserve">, </w:t>
      </w:r>
      <w:r w:rsidRPr="00BD7731">
        <w:rPr>
          <w:i/>
          <w:iCs/>
        </w:rPr>
        <w:t>58</w:t>
      </w:r>
      <w:r w:rsidRPr="00BD7731">
        <w:t>, 9682–9695.</w:t>
      </w:r>
    </w:p>
    <w:p w14:paraId="0C40917E" w14:textId="77777777" w:rsidR="001C3F85" w:rsidRPr="00BD7731" w:rsidRDefault="001C3F85" w:rsidP="001C3F85">
      <w:pPr>
        <w:pStyle w:val="af0"/>
      </w:pPr>
      <w:r w:rsidRPr="00BD7731">
        <w:t>[3]</w:t>
      </w:r>
      <w:r w:rsidRPr="00BD7731">
        <w:tab/>
        <w:t xml:space="preserve">J. M. Garcia, M. L. Robertson, </w:t>
      </w:r>
      <w:r w:rsidRPr="00BD7731">
        <w:rPr>
          <w:i/>
          <w:iCs/>
        </w:rPr>
        <w:t>Science</w:t>
      </w:r>
      <w:r w:rsidRPr="00BD7731">
        <w:t xml:space="preserve"> </w:t>
      </w:r>
      <w:r w:rsidRPr="00BD7731">
        <w:rPr>
          <w:b/>
          <w:bCs/>
        </w:rPr>
        <w:t>2017</w:t>
      </w:r>
      <w:r w:rsidRPr="00BD7731">
        <w:t xml:space="preserve">, </w:t>
      </w:r>
      <w:r w:rsidRPr="00BD7731">
        <w:rPr>
          <w:i/>
          <w:iCs/>
        </w:rPr>
        <w:t>358</w:t>
      </w:r>
      <w:r w:rsidRPr="00BD7731">
        <w:t>, 870–872.</w:t>
      </w:r>
    </w:p>
    <w:p w14:paraId="241A4C97" w14:textId="77777777" w:rsidR="001C3F85" w:rsidRPr="00BD7731" w:rsidRDefault="001C3F85" w:rsidP="001C3F85">
      <w:pPr>
        <w:pStyle w:val="af0"/>
      </w:pPr>
      <w:r w:rsidRPr="00BD7731">
        <w:t>[4]</w:t>
      </w:r>
      <w:r w:rsidRPr="00BD7731">
        <w:tab/>
        <w:t xml:space="preserve">G. M. Scheutz, J. J. Lessard, M. B. Sims, B. S. Sumerlin, </w:t>
      </w:r>
      <w:r w:rsidRPr="00BD7731">
        <w:rPr>
          <w:i/>
          <w:iCs/>
        </w:rPr>
        <w:t>J. Am. Chem. Soc.</w:t>
      </w:r>
      <w:r w:rsidRPr="00BD7731">
        <w:t xml:space="preserve"> </w:t>
      </w:r>
      <w:r w:rsidRPr="00BD7731">
        <w:rPr>
          <w:b/>
          <w:bCs/>
        </w:rPr>
        <w:t>2019</w:t>
      </w:r>
      <w:r w:rsidRPr="00BD7731">
        <w:t xml:space="preserve">, </w:t>
      </w:r>
      <w:r w:rsidRPr="00BD7731">
        <w:rPr>
          <w:i/>
          <w:iCs/>
        </w:rPr>
        <w:t>141</w:t>
      </w:r>
      <w:r w:rsidRPr="00BD7731">
        <w:t>, 16181–16196.</w:t>
      </w:r>
    </w:p>
    <w:p w14:paraId="1FF91114" w14:textId="77777777" w:rsidR="001C3F85" w:rsidRPr="00BD7731" w:rsidRDefault="001C3F85" w:rsidP="001C3F85">
      <w:pPr>
        <w:pStyle w:val="af0"/>
      </w:pPr>
      <w:r w:rsidRPr="00BD7731">
        <w:t>[5]</w:t>
      </w:r>
      <w:r w:rsidRPr="00BD7731">
        <w:tab/>
        <w:t xml:space="preserve">W. Denissen, J. M. Winne, F. E. Du Prez, </w:t>
      </w:r>
      <w:r w:rsidRPr="00BD7731">
        <w:rPr>
          <w:i/>
          <w:iCs/>
        </w:rPr>
        <w:t>Chem. Sci.</w:t>
      </w:r>
      <w:r w:rsidRPr="00BD7731">
        <w:t xml:space="preserve"> </w:t>
      </w:r>
      <w:r w:rsidRPr="00BD7731">
        <w:rPr>
          <w:b/>
          <w:bCs/>
        </w:rPr>
        <w:t>2016</w:t>
      </w:r>
      <w:r w:rsidRPr="00BD7731">
        <w:t xml:space="preserve">, </w:t>
      </w:r>
      <w:r w:rsidRPr="00BD7731">
        <w:rPr>
          <w:i/>
          <w:iCs/>
        </w:rPr>
        <w:t>7</w:t>
      </w:r>
      <w:r w:rsidRPr="00BD7731">
        <w:t>, 30–38.</w:t>
      </w:r>
    </w:p>
    <w:p w14:paraId="3110E609" w14:textId="77777777" w:rsidR="001C3F85" w:rsidRPr="00BD7731" w:rsidRDefault="001C3F85" w:rsidP="001C3F85">
      <w:pPr>
        <w:pStyle w:val="af0"/>
      </w:pPr>
      <w:r w:rsidRPr="00BD7731">
        <w:t>[6]</w:t>
      </w:r>
      <w:r w:rsidRPr="00BD7731">
        <w:tab/>
        <w:t xml:space="preserve">M. Guerre, C. Taplan, J. M. Winne, F. E. Du Prez, </w:t>
      </w:r>
      <w:r w:rsidRPr="00BD7731">
        <w:rPr>
          <w:i/>
          <w:iCs/>
        </w:rPr>
        <w:t>Chem. Sci.</w:t>
      </w:r>
      <w:r w:rsidRPr="00BD7731">
        <w:t xml:space="preserve"> </w:t>
      </w:r>
      <w:r w:rsidRPr="00BD7731">
        <w:rPr>
          <w:b/>
          <w:bCs/>
        </w:rPr>
        <w:t>2020</w:t>
      </w:r>
      <w:r w:rsidRPr="00BD7731">
        <w:t xml:space="preserve">, </w:t>
      </w:r>
      <w:r w:rsidRPr="00BD7731">
        <w:rPr>
          <w:i/>
          <w:iCs/>
        </w:rPr>
        <w:t>11</w:t>
      </w:r>
      <w:r w:rsidRPr="00BD7731">
        <w:t>, 4855–4870.</w:t>
      </w:r>
    </w:p>
    <w:p w14:paraId="7055C2D4" w14:textId="77777777" w:rsidR="001C3F85" w:rsidRPr="00BD7731" w:rsidRDefault="001C3F85" w:rsidP="001C3F85">
      <w:pPr>
        <w:pStyle w:val="af0"/>
      </w:pPr>
      <w:r w:rsidRPr="00BD7731">
        <w:t>[7]</w:t>
      </w:r>
      <w:r w:rsidRPr="00BD7731">
        <w:tab/>
        <w:t xml:space="preserve">D. Montarnal, M. Capelot, F. Tournilhac, L. Leibler, </w:t>
      </w:r>
      <w:r w:rsidRPr="00BD7731">
        <w:rPr>
          <w:i/>
          <w:iCs/>
        </w:rPr>
        <w:t>Science</w:t>
      </w:r>
      <w:r w:rsidRPr="00BD7731">
        <w:t xml:space="preserve"> </w:t>
      </w:r>
      <w:r w:rsidRPr="00BD7731">
        <w:rPr>
          <w:b/>
          <w:bCs/>
        </w:rPr>
        <w:t>2011</w:t>
      </w:r>
      <w:r w:rsidRPr="00BD7731">
        <w:t xml:space="preserve">, </w:t>
      </w:r>
      <w:r w:rsidRPr="00BD7731">
        <w:rPr>
          <w:i/>
          <w:iCs/>
        </w:rPr>
        <w:t>334</w:t>
      </w:r>
      <w:r w:rsidRPr="00BD7731">
        <w:t>, 965–968.</w:t>
      </w:r>
    </w:p>
    <w:p w14:paraId="25203DDF" w14:textId="77777777" w:rsidR="001C3F85" w:rsidRPr="00BD7731" w:rsidRDefault="001C3F85" w:rsidP="001C3F85">
      <w:pPr>
        <w:pStyle w:val="af0"/>
      </w:pPr>
      <w:r w:rsidRPr="00BD7731">
        <w:t>[8]</w:t>
      </w:r>
      <w:r w:rsidRPr="00BD7731">
        <w:tab/>
        <w:t xml:space="preserve">M. Capelot, M. M. Unterlass, F. Tournilhac, L. Leibler, </w:t>
      </w:r>
      <w:r w:rsidRPr="00BD7731">
        <w:rPr>
          <w:i/>
          <w:iCs/>
        </w:rPr>
        <w:t>ACS Macro Lett.</w:t>
      </w:r>
      <w:r w:rsidRPr="00BD7731">
        <w:t xml:space="preserve"> </w:t>
      </w:r>
      <w:r w:rsidRPr="00BD7731">
        <w:rPr>
          <w:b/>
          <w:bCs/>
        </w:rPr>
        <w:t>2012</w:t>
      </w:r>
      <w:r w:rsidRPr="00BD7731">
        <w:t xml:space="preserve">, </w:t>
      </w:r>
      <w:r w:rsidRPr="00BD7731">
        <w:rPr>
          <w:i/>
          <w:iCs/>
        </w:rPr>
        <w:t>1</w:t>
      </w:r>
      <w:r w:rsidRPr="00BD7731">
        <w:t>, 789–792.</w:t>
      </w:r>
    </w:p>
    <w:p w14:paraId="60F25B6B" w14:textId="77777777" w:rsidR="001C3F85" w:rsidRPr="00BD7731" w:rsidRDefault="001C3F85" w:rsidP="001C3F85">
      <w:pPr>
        <w:pStyle w:val="af0"/>
      </w:pPr>
      <w:r w:rsidRPr="00BD7731">
        <w:t>[9]</w:t>
      </w:r>
      <w:r w:rsidRPr="00BD7731">
        <w:tab/>
        <w:t xml:space="preserve">J. P. Brutman, P. A. Delgado, M. A. Hillmyer, </w:t>
      </w:r>
      <w:r w:rsidRPr="00BD7731">
        <w:rPr>
          <w:i/>
          <w:iCs/>
        </w:rPr>
        <w:t>ACS Macro Lett.</w:t>
      </w:r>
      <w:r w:rsidRPr="00BD7731">
        <w:t xml:space="preserve"> </w:t>
      </w:r>
      <w:r w:rsidRPr="00BD7731">
        <w:rPr>
          <w:b/>
          <w:bCs/>
        </w:rPr>
        <w:t>2014</w:t>
      </w:r>
      <w:r w:rsidRPr="00BD7731">
        <w:t xml:space="preserve">, </w:t>
      </w:r>
      <w:r w:rsidRPr="00BD7731">
        <w:rPr>
          <w:i/>
          <w:iCs/>
        </w:rPr>
        <w:t>3</w:t>
      </w:r>
      <w:r w:rsidRPr="00BD7731">
        <w:t>, 607–610.</w:t>
      </w:r>
    </w:p>
    <w:p w14:paraId="4CA9F5AE" w14:textId="77777777" w:rsidR="001C3F85" w:rsidRPr="00BD7731" w:rsidRDefault="001C3F85" w:rsidP="001C3F85">
      <w:pPr>
        <w:pStyle w:val="af0"/>
      </w:pPr>
      <w:r w:rsidRPr="00BD7731">
        <w:t>[10]</w:t>
      </w:r>
      <w:r w:rsidRPr="00BD7731">
        <w:tab/>
        <w:t xml:space="preserve">O. R. Cromwell, J. Chung, Z. Guan, </w:t>
      </w:r>
      <w:r w:rsidRPr="00BD7731">
        <w:rPr>
          <w:i/>
          <w:iCs/>
        </w:rPr>
        <w:t>J. Am. Chem. Soc.</w:t>
      </w:r>
      <w:r w:rsidRPr="00BD7731">
        <w:t xml:space="preserve"> </w:t>
      </w:r>
      <w:r w:rsidRPr="00BD7731">
        <w:rPr>
          <w:b/>
          <w:bCs/>
        </w:rPr>
        <w:t>2015</w:t>
      </w:r>
      <w:r w:rsidRPr="00BD7731">
        <w:t xml:space="preserve">, </w:t>
      </w:r>
      <w:r w:rsidRPr="00BD7731">
        <w:rPr>
          <w:i/>
          <w:iCs/>
        </w:rPr>
        <w:t>137</w:t>
      </w:r>
      <w:r w:rsidRPr="00BD7731">
        <w:t>, 6492–6495.</w:t>
      </w:r>
    </w:p>
    <w:p w14:paraId="2F42FDF0" w14:textId="77777777" w:rsidR="001C3F85" w:rsidRPr="00BD7731" w:rsidRDefault="001C3F85" w:rsidP="001C3F85">
      <w:pPr>
        <w:pStyle w:val="af0"/>
      </w:pPr>
      <w:r w:rsidRPr="00BD7731">
        <w:t>[11]</w:t>
      </w:r>
      <w:r w:rsidRPr="00BD7731">
        <w:tab/>
        <w:t xml:space="preserve">M. Röttger, T. Domenech, R. van der Weegen, A. Breuillac, R. Nicolaÿ, L. Leibler, </w:t>
      </w:r>
      <w:r w:rsidRPr="00BD7731">
        <w:rPr>
          <w:i/>
          <w:iCs/>
        </w:rPr>
        <w:t>Science</w:t>
      </w:r>
      <w:r w:rsidRPr="00BD7731">
        <w:t xml:space="preserve"> </w:t>
      </w:r>
      <w:r w:rsidRPr="00BD7731">
        <w:rPr>
          <w:b/>
          <w:bCs/>
        </w:rPr>
        <w:t>2017</w:t>
      </w:r>
      <w:r w:rsidRPr="00BD7731">
        <w:t xml:space="preserve">, </w:t>
      </w:r>
      <w:r w:rsidRPr="00BD7731">
        <w:rPr>
          <w:i/>
          <w:iCs/>
        </w:rPr>
        <w:t>356</w:t>
      </w:r>
      <w:r w:rsidRPr="00BD7731">
        <w:t>, 62–65.</w:t>
      </w:r>
    </w:p>
    <w:p w14:paraId="38149EFA" w14:textId="77777777" w:rsidR="001C3F85" w:rsidRPr="00BD7731" w:rsidRDefault="001C3F85" w:rsidP="001C3F85">
      <w:pPr>
        <w:pStyle w:val="af0"/>
      </w:pPr>
      <w:r w:rsidRPr="00BD7731">
        <w:t>[12]</w:t>
      </w:r>
      <w:r w:rsidRPr="00BD7731">
        <w:tab/>
        <w:t xml:space="preserve">Y.-X. Lu, F. Tournilhac, L. Leibler, Z. Guan, </w:t>
      </w:r>
      <w:r w:rsidRPr="00BD7731">
        <w:rPr>
          <w:i/>
          <w:iCs/>
        </w:rPr>
        <w:t>J. Am. Chem. Soc.</w:t>
      </w:r>
      <w:r w:rsidRPr="00BD7731">
        <w:t xml:space="preserve"> </w:t>
      </w:r>
      <w:r w:rsidRPr="00BD7731">
        <w:rPr>
          <w:b/>
          <w:bCs/>
        </w:rPr>
        <w:t>2012</w:t>
      </w:r>
      <w:r w:rsidRPr="00BD7731">
        <w:t xml:space="preserve">, </w:t>
      </w:r>
      <w:r w:rsidRPr="00BD7731">
        <w:rPr>
          <w:i/>
          <w:iCs/>
        </w:rPr>
        <w:t>134</w:t>
      </w:r>
      <w:r w:rsidRPr="00BD7731">
        <w:t>, 8424–8427.</w:t>
      </w:r>
    </w:p>
    <w:p w14:paraId="0A23BEE8" w14:textId="77777777" w:rsidR="001C3F85" w:rsidRPr="00BD7731" w:rsidRDefault="001C3F85" w:rsidP="001C3F85">
      <w:pPr>
        <w:pStyle w:val="af0"/>
      </w:pPr>
      <w:r w:rsidRPr="00BD7731">
        <w:t>[13]</w:t>
      </w:r>
      <w:r w:rsidRPr="00BD7731">
        <w:tab/>
        <w:t xml:space="preserve">Y.-X. Lu, Z. Guan, </w:t>
      </w:r>
      <w:r w:rsidRPr="00BD7731">
        <w:rPr>
          <w:i/>
          <w:iCs/>
        </w:rPr>
        <w:t>J. Am. Chem. Soc.</w:t>
      </w:r>
      <w:r w:rsidRPr="00BD7731">
        <w:t xml:space="preserve"> </w:t>
      </w:r>
      <w:r w:rsidRPr="00BD7731">
        <w:rPr>
          <w:b/>
          <w:bCs/>
        </w:rPr>
        <w:t>2012</w:t>
      </w:r>
      <w:r w:rsidRPr="00BD7731">
        <w:t xml:space="preserve">, </w:t>
      </w:r>
      <w:r w:rsidRPr="00BD7731">
        <w:rPr>
          <w:i/>
          <w:iCs/>
        </w:rPr>
        <w:t>134</w:t>
      </w:r>
      <w:r w:rsidRPr="00BD7731">
        <w:t>, 14226–14231.</w:t>
      </w:r>
    </w:p>
    <w:p w14:paraId="185F74D8" w14:textId="77777777" w:rsidR="001C3F85" w:rsidRPr="00BD7731" w:rsidRDefault="001C3F85" w:rsidP="001C3F85">
      <w:pPr>
        <w:pStyle w:val="af0"/>
      </w:pPr>
      <w:r w:rsidRPr="00BD7731">
        <w:t>[14]</w:t>
      </w:r>
      <w:r w:rsidRPr="00BD7731">
        <w:tab/>
        <w:t xml:space="preserve">Y. Nishimura, J. Chung, H. Muradyan, Z. Guan, </w:t>
      </w:r>
      <w:r w:rsidRPr="00BD7731">
        <w:rPr>
          <w:i/>
          <w:iCs/>
        </w:rPr>
        <w:t>J. Am. Chem. Soc.</w:t>
      </w:r>
      <w:r w:rsidRPr="00BD7731">
        <w:t xml:space="preserve"> </w:t>
      </w:r>
      <w:r w:rsidRPr="00BD7731">
        <w:rPr>
          <w:b/>
          <w:bCs/>
        </w:rPr>
        <w:t>2017</w:t>
      </w:r>
      <w:r w:rsidRPr="00BD7731">
        <w:t xml:space="preserve">, </w:t>
      </w:r>
      <w:r w:rsidRPr="00BD7731">
        <w:rPr>
          <w:i/>
          <w:iCs/>
        </w:rPr>
        <w:t>139</w:t>
      </w:r>
      <w:r w:rsidRPr="00BD7731">
        <w:t>, 14881–14884.</w:t>
      </w:r>
    </w:p>
    <w:p w14:paraId="21123C8A" w14:textId="77777777" w:rsidR="001C3F85" w:rsidRPr="00BD7731" w:rsidRDefault="001C3F85" w:rsidP="001C3F85">
      <w:pPr>
        <w:pStyle w:val="af0"/>
      </w:pPr>
      <w:r w:rsidRPr="00BD7731">
        <w:t>[15]</w:t>
      </w:r>
      <w:r w:rsidRPr="00BD7731">
        <w:tab/>
        <w:t xml:space="preserve">C. A. Tretbar, J. A. Neal, Z. Guan, </w:t>
      </w:r>
      <w:r w:rsidRPr="00BD7731">
        <w:rPr>
          <w:i/>
          <w:iCs/>
        </w:rPr>
        <w:t>J. Am. Chem. Soc.</w:t>
      </w:r>
      <w:r w:rsidRPr="00BD7731">
        <w:t xml:space="preserve"> </w:t>
      </w:r>
      <w:r w:rsidRPr="00BD7731">
        <w:rPr>
          <w:b/>
          <w:bCs/>
        </w:rPr>
        <w:t>2019</w:t>
      </w:r>
      <w:r w:rsidRPr="00BD7731">
        <w:t xml:space="preserve">, </w:t>
      </w:r>
      <w:r w:rsidRPr="00BD7731">
        <w:rPr>
          <w:i/>
          <w:iCs/>
        </w:rPr>
        <w:t>141</w:t>
      </w:r>
      <w:r w:rsidRPr="00BD7731">
        <w:t>, 16595–16599.</w:t>
      </w:r>
    </w:p>
    <w:p w14:paraId="53A94B34" w14:textId="77777777" w:rsidR="001C3F85" w:rsidRPr="00BD7731" w:rsidRDefault="001C3F85" w:rsidP="001C3F85">
      <w:pPr>
        <w:pStyle w:val="af0"/>
      </w:pPr>
      <w:r w:rsidRPr="00BD7731">
        <w:t>[16]</w:t>
      </w:r>
      <w:r w:rsidRPr="00BD7731">
        <w:tab/>
        <w:t xml:space="preserve">P. R. Christensen, A. M. Scheuermann, K. E. Loeffler, B. A. Helms, </w:t>
      </w:r>
      <w:r w:rsidRPr="00BD7731">
        <w:rPr>
          <w:i/>
          <w:iCs/>
        </w:rPr>
        <w:t>Nat. Chem.</w:t>
      </w:r>
      <w:r w:rsidRPr="00BD7731">
        <w:t xml:space="preserve"> </w:t>
      </w:r>
      <w:r w:rsidRPr="00BD7731">
        <w:rPr>
          <w:b/>
          <w:bCs/>
        </w:rPr>
        <w:t>2019</w:t>
      </w:r>
      <w:r w:rsidRPr="00BD7731">
        <w:t xml:space="preserve">, </w:t>
      </w:r>
      <w:r w:rsidRPr="00BD7731">
        <w:rPr>
          <w:i/>
          <w:iCs/>
        </w:rPr>
        <w:t>11</w:t>
      </w:r>
      <w:r w:rsidRPr="00BD7731">
        <w:t>, 442–448.</w:t>
      </w:r>
    </w:p>
    <w:p w14:paraId="20B6F843" w14:textId="77777777" w:rsidR="001C3F85" w:rsidRPr="00BD7731" w:rsidRDefault="001C3F85" w:rsidP="001C3F85">
      <w:pPr>
        <w:pStyle w:val="af0"/>
      </w:pPr>
      <w:r w:rsidRPr="00BD7731">
        <w:t>[17]</w:t>
      </w:r>
      <w:r w:rsidRPr="00BD7731">
        <w:tab/>
        <w:t xml:space="preserve">J. Canadell, H. Goossens, B. Klumperman, </w:t>
      </w:r>
      <w:r w:rsidRPr="00BD7731">
        <w:rPr>
          <w:i/>
          <w:iCs/>
        </w:rPr>
        <w:t>Macromolecules</w:t>
      </w:r>
      <w:r w:rsidRPr="00BD7731">
        <w:t xml:space="preserve"> </w:t>
      </w:r>
      <w:r w:rsidRPr="00BD7731">
        <w:rPr>
          <w:b/>
          <w:bCs/>
        </w:rPr>
        <w:t>2011</w:t>
      </w:r>
      <w:r w:rsidRPr="00BD7731">
        <w:t xml:space="preserve">, </w:t>
      </w:r>
      <w:r w:rsidRPr="00BD7731">
        <w:rPr>
          <w:i/>
          <w:iCs/>
        </w:rPr>
        <w:t>44</w:t>
      </w:r>
      <w:r w:rsidRPr="00BD7731">
        <w:t>, 2536–2541.</w:t>
      </w:r>
    </w:p>
    <w:p w14:paraId="265EEB2C" w14:textId="77777777" w:rsidR="001C3F85" w:rsidRPr="00BD7731" w:rsidRDefault="001C3F85" w:rsidP="001C3F85">
      <w:pPr>
        <w:pStyle w:val="af0"/>
      </w:pPr>
      <w:r w:rsidRPr="00BD7731">
        <w:t>[18]</w:t>
      </w:r>
      <w:r w:rsidRPr="00BD7731">
        <w:tab/>
        <w:t xml:space="preserve">T. Stukenbroeker, W. Wang, J. M. Winne, F. E. Du Prez, R. Nicolaÿ, L. Leibler, </w:t>
      </w:r>
      <w:r w:rsidRPr="00BD7731">
        <w:rPr>
          <w:i/>
          <w:iCs/>
        </w:rPr>
        <w:t>Polym. Chem.</w:t>
      </w:r>
      <w:r w:rsidRPr="00BD7731">
        <w:t xml:space="preserve"> </w:t>
      </w:r>
      <w:r w:rsidRPr="00BD7731">
        <w:rPr>
          <w:b/>
          <w:bCs/>
        </w:rPr>
        <w:t>2017</w:t>
      </w:r>
      <w:r w:rsidRPr="00BD7731">
        <w:t xml:space="preserve">, </w:t>
      </w:r>
      <w:r w:rsidRPr="00BD7731">
        <w:rPr>
          <w:i/>
          <w:iCs/>
        </w:rPr>
        <w:t>8</w:t>
      </w:r>
      <w:r w:rsidRPr="00BD7731">
        <w:t>, 6590–6593.</w:t>
      </w:r>
    </w:p>
    <w:p w14:paraId="2270BFBE" w14:textId="77777777" w:rsidR="001C3F85" w:rsidRPr="00BD7731" w:rsidRDefault="001C3F85" w:rsidP="001C3F85">
      <w:pPr>
        <w:pStyle w:val="af0"/>
      </w:pPr>
      <w:r w:rsidRPr="00BD7731">
        <w:t>[19]</w:t>
      </w:r>
      <w:r w:rsidRPr="00BD7731">
        <w:tab/>
        <w:t xml:space="preserve">J. J. Lessard, L. F. Garcia, C. P. Easterling, M. B. Sims, K. C. Bentz, S. Arencibia, D. A. Savin, B. S. Sumerlin, </w:t>
      </w:r>
      <w:r w:rsidRPr="00BD7731">
        <w:rPr>
          <w:i/>
          <w:iCs/>
        </w:rPr>
        <w:t>Macromolecules</w:t>
      </w:r>
      <w:r w:rsidRPr="00BD7731">
        <w:t xml:space="preserve"> </w:t>
      </w:r>
      <w:r w:rsidRPr="00BD7731">
        <w:rPr>
          <w:b/>
          <w:bCs/>
        </w:rPr>
        <w:t>2019</w:t>
      </w:r>
      <w:r w:rsidRPr="00BD7731">
        <w:t xml:space="preserve">, </w:t>
      </w:r>
      <w:r w:rsidRPr="00BD7731">
        <w:rPr>
          <w:i/>
          <w:iCs/>
        </w:rPr>
        <w:t>52</w:t>
      </w:r>
      <w:r w:rsidRPr="00BD7731">
        <w:t>, 2105–2111.</w:t>
      </w:r>
    </w:p>
    <w:p w14:paraId="5A789DCF" w14:textId="77777777" w:rsidR="001C3F85" w:rsidRPr="00BD7731" w:rsidRDefault="001C3F85" w:rsidP="001C3F85">
      <w:pPr>
        <w:pStyle w:val="af0"/>
      </w:pPr>
      <w:r w:rsidRPr="00BD7731">
        <w:t>[20]</w:t>
      </w:r>
      <w:r w:rsidRPr="00BD7731">
        <w:tab/>
        <w:t xml:space="preserve">F. Caffy, R. Nicolaÿ, </w:t>
      </w:r>
      <w:r w:rsidRPr="00BD7731">
        <w:rPr>
          <w:i/>
          <w:iCs/>
        </w:rPr>
        <w:t>Polym. Chem.</w:t>
      </w:r>
      <w:r w:rsidRPr="00BD7731">
        <w:t xml:space="preserve"> </w:t>
      </w:r>
      <w:r w:rsidRPr="00BD7731">
        <w:rPr>
          <w:b/>
          <w:bCs/>
        </w:rPr>
        <w:t>2019</w:t>
      </w:r>
      <w:r w:rsidRPr="00BD7731">
        <w:t xml:space="preserve">, </w:t>
      </w:r>
      <w:r w:rsidRPr="00BD7731">
        <w:rPr>
          <w:i/>
          <w:iCs/>
        </w:rPr>
        <w:t>10</w:t>
      </w:r>
      <w:r w:rsidRPr="00BD7731">
        <w:t>, 3107–3115.</w:t>
      </w:r>
    </w:p>
    <w:p w14:paraId="604AFA78" w14:textId="77777777" w:rsidR="001C3F85" w:rsidRPr="00BD7731" w:rsidRDefault="001C3F85" w:rsidP="001C3F85">
      <w:pPr>
        <w:pStyle w:val="af0"/>
      </w:pPr>
      <w:r w:rsidRPr="00BD7731">
        <w:t>[21]</w:t>
      </w:r>
      <w:r w:rsidRPr="00BD7731">
        <w:tab/>
        <w:t xml:space="preserve">J. J. Lessard, G. M. Scheutz, S. H. Sung, K. A. Lantz, T. H. Epps, B. S. Sumerlin, </w:t>
      </w:r>
      <w:r w:rsidRPr="00BD7731">
        <w:rPr>
          <w:i/>
          <w:iCs/>
        </w:rPr>
        <w:t>J. Am. Chem. Soc.</w:t>
      </w:r>
      <w:r w:rsidRPr="00BD7731">
        <w:t xml:space="preserve"> </w:t>
      </w:r>
      <w:r w:rsidRPr="00BD7731">
        <w:rPr>
          <w:b/>
          <w:bCs/>
        </w:rPr>
        <w:t>2020</w:t>
      </w:r>
      <w:r w:rsidRPr="00BD7731">
        <w:t xml:space="preserve">, </w:t>
      </w:r>
      <w:r w:rsidRPr="00BD7731">
        <w:rPr>
          <w:i/>
          <w:iCs/>
        </w:rPr>
        <w:t>142</w:t>
      </w:r>
      <w:r w:rsidRPr="00BD7731">
        <w:t>, 283–289.</w:t>
      </w:r>
    </w:p>
    <w:p w14:paraId="3777B97E" w14:textId="77777777" w:rsidR="001C3F85" w:rsidRPr="00BD7731" w:rsidRDefault="001C3F85" w:rsidP="001C3F85">
      <w:pPr>
        <w:pStyle w:val="af0"/>
      </w:pPr>
      <w:r w:rsidRPr="00BD7731">
        <w:t>[22]</w:t>
      </w:r>
      <w:r w:rsidRPr="00BD7731">
        <w:tab/>
        <w:t xml:space="preserve">W. Niu, X. Cao, Y. Wang, B. Yao, Y. Zhao, J. Cheng, S. Wu, S. Zhang, X. He, </w:t>
      </w:r>
      <w:r w:rsidRPr="00BD7731">
        <w:rPr>
          <w:i/>
          <w:iCs/>
        </w:rPr>
        <w:t>Adv. Funct. Mater.</w:t>
      </w:r>
      <w:r w:rsidRPr="00BD7731">
        <w:t xml:space="preserve"> </w:t>
      </w:r>
      <w:r w:rsidRPr="00BD7731">
        <w:rPr>
          <w:b/>
          <w:bCs/>
        </w:rPr>
        <w:t>2021</w:t>
      </w:r>
      <w:r w:rsidRPr="00BD7731">
        <w:t xml:space="preserve">, </w:t>
      </w:r>
      <w:r w:rsidRPr="00BD7731">
        <w:rPr>
          <w:i/>
          <w:iCs/>
        </w:rPr>
        <w:t>31</w:t>
      </w:r>
      <w:r w:rsidRPr="00BD7731">
        <w:t>, 2009017.</w:t>
      </w:r>
    </w:p>
    <w:p w14:paraId="0713DFD5" w14:textId="77777777" w:rsidR="001C3F85" w:rsidRPr="00BD7731" w:rsidRDefault="001C3F85" w:rsidP="001C3F85">
      <w:pPr>
        <w:pStyle w:val="af0"/>
      </w:pPr>
      <w:r w:rsidRPr="00BD7731">
        <w:t>[23]</w:t>
      </w:r>
      <w:r w:rsidRPr="00BD7731">
        <w:tab/>
        <w:t xml:space="preserve">G. Zhao, Y. Zhou, J. Wang, Z. Wu, H. Wang, H. Chen, </w:t>
      </w:r>
      <w:r w:rsidRPr="00BD7731">
        <w:rPr>
          <w:i/>
          <w:iCs/>
        </w:rPr>
        <w:t>Adv. Mater.</w:t>
      </w:r>
      <w:r w:rsidRPr="00BD7731">
        <w:t xml:space="preserve"> </w:t>
      </w:r>
      <w:r w:rsidRPr="00BD7731">
        <w:rPr>
          <w:b/>
          <w:bCs/>
        </w:rPr>
        <w:t>2019</w:t>
      </w:r>
      <w:r w:rsidRPr="00BD7731">
        <w:t xml:space="preserve">, </w:t>
      </w:r>
      <w:r w:rsidRPr="00BD7731">
        <w:rPr>
          <w:i/>
          <w:iCs/>
        </w:rPr>
        <w:t>31</w:t>
      </w:r>
      <w:r w:rsidRPr="00BD7731">
        <w:t>, 1900363.</w:t>
      </w:r>
    </w:p>
    <w:p w14:paraId="207EA5AE" w14:textId="77777777" w:rsidR="001C3F85" w:rsidRPr="00BD7731" w:rsidRDefault="001C3F85" w:rsidP="001C3F85">
      <w:pPr>
        <w:pStyle w:val="af0"/>
      </w:pPr>
      <w:r w:rsidRPr="00BD7731">
        <w:t>[24]</w:t>
      </w:r>
      <w:r w:rsidRPr="00BD7731">
        <w:tab/>
        <w:t xml:space="preserve">W. Miao, W. Zou, B. Jin, C. Ni, N. Zheng, Q. Zhao, T. Xie, </w:t>
      </w:r>
      <w:r w:rsidRPr="00BD7731">
        <w:rPr>
          <w:i/>
          <w:iCs/>
        </w:rPr>
        <w:t>Nat. Commun.</w:t>
      </w:r>
      <w:r w:rsidRPr="00BD7731">
        <w:t xml:space="preserve"> </w:t>
      </w:r>
      <w:r w:rsidRPr="00BD7731">
        <w:rPr>
          <w:b/>
          <w:bCs/>
        </w:rPr>
        <w:t>2020</w:t>
      </w:r>
      <w:r w:rsidRPr="00BD7731">
        <w:t xml:space="preserve">, </w:t>
      </w:r>
      <w:r w:rsidRPr="00BD7731">
        <w:rPr>
          <w:i/>
          <w:iCs/>
        </w:rPr>
        <w:t>11</w:t>
      </w:r>
      <w:r w:rsidRPr="00BD7731">
        <w:t>, 4257.</w:t>
      </w:r>
    </w:p>
    <w:p w14:paraId="35A6B9A3" w14:textId="77777777" w:rsidR="001C3F85" w:rsidRPr="00BD7731" w:rsidRDefault="001C3F85" w:rsidP="001C3F85">
      <w:pPr>
        <w:pStyle w:val="af0"/>
      </w:pPr>
      <w:r w:rsidRPr="00BD7731">
        <w:t>[25]</w:t>
      </w:r>
      <w:r w:rsidRPr="00BD7731">
        <w:tab/>
        <w:t xml:space="preserve">H.-Y. Tsai, Y. Nakamura, T. Fujita, M. Naito, </w:t>
      </w:r>
      <w:r w:rsidRPr="00BD7731">
        <w:rPr>
          <w:i/>
          <w:iCs/>
        </w:rPr>
        <w:t>Mater. Adv.</w:t>
      </w:r>
      <w:r w:rsidRPr="00BD7731">
        <w:t xml:space="preserve"> </w:t>
      </w:r>
      <w:r w:rsidRPr="00BD7731">
        <w:rPr>
          <w:b/>
          <w:bCs/>
        </w:rPr>
        <w:t>2020</w:t>
      </w:r>
      <w:r w:rsidRPr="00BD7731">
        <w:t xml:space="preserve">, </w:t>
      </w:r>
      <w:r w:rsidRPr="00BD7731">
        <w:rPr>
          <w:i/>
          <w:iCs/>
        </w:rPr>
        <w:t>1</w:t>
      </w:r>
      <w:r w:rsidRPr="00BD7731">
        <w:t>, 3182–3188.</w:t>
      </w:r>
    </w:p>
    <w:p w14:paraId="582C693F" w14:textId="77777777" w:rsidR="001C3F85" w:rsidRPr="00BD7731" w:rsidRDefault="001C3F85" w:rsidP="001C3F85">
      <w:pPr>
        <w:pStyle w:val="af0"/>
      </w:pPr>
      <w:r w:rsidRPr="00BD7731">
        <w:t>[26]</w:t>
      </w:r>
      <w:r w:rsidRPr="00BD7731">
        <w:tab/>
        <w:t xml:space="preserve">H.-Y. Tsai, Y. Nakamura, W.-H. Hu, T. Fujita, M. Naito, </w:t>
      </w:r>
      <w:r w:rsidRPr="00BD7731">
        <w:rPr>
          <w:i/>
          <w:iCs/>
        </w:rPr>
        <w:t>Mater. Adv.</w:t>
      </w:r>
      <w:r w:rsidRPr="00BD7731">
        <w:t xml:space="preserve"> </w:t>
      </w:r>
      <w:r w:rsidRPr="00BD7731">
        <w:rPr>
          <w:b/>
          <w:bCs/>
        </w:rPr>
        <w:t>2021</w:t>
      </w:r>
      <w:r w:rsidRPr="00BD7731">
        <w:t xml:space="preserve">, </w:t>
      </w:r>
      <w:r w:rsidRPr="00BD7731">
        <w:rPr>
          <w:i/>
          <w:iCs/>
        </w:rPr>
        <w:t>2</w:t>
      </w:r>
      <w:r w:rsidRPr="00BD7731">
        <w:t>, 5047–5051.</w:t>
      </w:r>
    </w:p>
    <w:p w14:paraId="3ACE7738" w14:textId="77777777" w:rsidR="001C3F85" w:rsidRPr="00BD7731" w:rsidRDefault="001C3F85" w:rsidP="001C3F85">
      <w:pPr>
        <w:pStyle w:val="af0"/>
      </w:pPr>
      <w:r w:rsidRPr="00BD7731">
        <w:t>[27]</w:t>
      </w:r>
      <w:r w:rsidRPr="00BD7731">
        <w:tab/>
        <w:t xml:space="preserve">K. Yu, P. Taynton, W. Zhang, M. L. Dunn, H. J. Qi, </w:t>
      </w:r>
      <w:r w:rsidRPr="00BD7731">
        <w:rPr>
          <w:i/>
          <w:iCs/>
        </w:rPr>
        <w:t>RSC Adv</w:t>
      </w:r>
      <w:r w:rsidRPr="00BD7731">
        <w:t xml:space="preserve"> </w:t>
      </w:r>
      <w:r w:rsidRPr="00BD7731">
        <w:rPr>
          <w:b/>
          <w:bCs/>
        </w:rPr>
        <w:t>2014</w:t>
      </w:r>
      <w:r w:rsidRPr="00BD7731">
        <w:t xml:space="preserve">, </w:t>
      </w:r>
      <w:r w:rsidRPr="00BD7731">
        <w:rPr>
          <w:i/>
          <w:iCs/>
        </w:rPr>
        <w:t>4</w:t>
      </w:r>
      <w:r w:rsidRPr="00BD7731">
        <w:t>, 48682–48690.</w:t>
      </w:r>
    </w:p>
    <w:p w14:paraId="1DC07750" w14:textId="77777777" w:rsidR="001C3F85" w:rsidRPr="00BD7731" w:rsidRDefault="001C3F85" w:rsidP="001C3F85">
      <w:pPr>
        <w:pStyle w:val="af0"/>
      </w:pPr>
      <w:r w:rsidRPr="00BD7731">
        <w:t>[28]</w:t>
      </w:r>
      <w:r w:rsidRPr="00BD7731">
        <w:tab/>
        <w:t xml:space="preserve">D. J. Fortman, J. P. Brutman, G. X. De Hoe, R. L. Snyder, W. R. Dichtel, M. A. Hillmyer, </w:t>
      </w:r>
      <w:r w:rsidRPr="00BD7731">
        <w:rPr>
          <w:i/>
          <w:iCs/>
        </w:rPr>
        <w:t>ACS Sustain. Chem. Eng.</w:t>
      </w:r>
      <w:r w:rsidRPr="00BD7731">
        <w:t xml:space="preserve"> </w:t>
      </w:r>
      <w:r w:rsidRPr="00BD7731">
        <w:rPr>
          <w:b/>
          <w:bCs/>
        </w:rPr>
        <w:t>2018</w:t>
      </w:r>
      <w:r w:rsidRPr="00BD7731">
        <w:t xml:space="preserve">, </w:t>
      </w:r>
      <w:r w:rsidRPr="00BD7731">
        <w:rPr>
          <w:i/>
          <w:iCs/>
        </w:rPr>
        <w:t>6</w:t>
      </w:r>
      <w:r w:rsidRPr="00BD7731">
        <w:t>, 11145–11159.</w:t>
      </w:r>
    </w:p>
    <w:p w14:paraId="7BADF4FA" w14:textId="77777777" w:rsidR="001C3F85" w:rsidRPr="00BD7731" w:rsidRDefault="001C3F85" w:rsidP="001C3F85">
      <w:pPr>
        <w:pStyle w:val="af0"/>
      </w:pPr>
      <w:r w:rsidRPr="00BD7731">
        <w:t>[29]</w:t>
      </w:r>
      <w:r w:rsidRPr="00BD7731">
        <w:tab/>
        <w:t xml:space="preserve">M. Hayashi, R. Yano, A. Takasu, </w:t>
      </w:r>
      <w:r w:rsidRPr="00BD7731">
        <w:rPr>
          <w:i/>
          <w:iCs/>
        </w:rPr>
        <w:t>Polym. Chem.</w:t>
      </w:r>
      <w:r w:rsidRPr="00BD7731">
        <w:t xml:space="preserve"> </w:t>
      </w:r>
      <w:r w:rsidRPr="00BD7731">
        <w:rPr>
          <w:b/>
          <w:bCs/>
        </w:rPr>
        <w:t>2019</w:t>
      </w:r>
      <w:r w:rsidRPr="00BD7731">
        <w:t xml:space="preserve">, </w:t>
      </w:r>
      <w:r w:rsidRPr="00BD7731">
        <w:rPr>
          <w:i/>
          <w:iCs/>
        </w:rPr>
        <w:t>10</w:t>
      </w:r>
      <w:r w:rsidRPr="00BD7731">
        <w:t>, 2047–2056.</w:t>
      </w:r>
    </w:p>
    <w:p w14:paraId="5B9C0E82" w14:textId="77777777" w:rsidR="001C3F85" w:rsidRPr="00BD7731" w:rsidRDefault="001C3F85" w:rsidP="001C3F85">
      <w:pPr>
        <w:pStyle w:val="af0"/>
      </w:pPr>
      <w:r w:rsidRPr="00BD7731">
        <w:t>[30]</w:t>
      </w:r>
      <w:r w:rsidRPr="00BD7731">
        <w:tab/>
        <w:t xml:space="preserve">J. P. Brutman, D. J. Fortman, G. X. De Hoe, W. R. Dichtel, M. A. Hillmyer, </w:t>
      </w:r>
      <w:r w:rsidRPr="00BD7731">
        <w:rPr>
          <w:i/>
          <w:iCs/>
        </w:rPr>
        <w:t>J. Phys. Chem. B</w:t>
      </w:r>
      <w:r w:rsidRPr="00BD7731">
        <w:t xml:space="preserve"> </w:t>
      </w:r>
      <w:r w:rsidRPr="00BD7731">
        <w:rPr>
          <w:b/>
          <w:bCs/>
        </w:rPr>
        <w:t>2019</w:t>
      </w:r>
      <w:r w:rsidRPr="00BD7731">
        <w:t xml:space="preserve">, </w:t>
      </w:r>
      <w:r w:rsidRPr="00BD7731">
        <w:rPr>
          <w:i/>
          <w:iCs/>
        </w:rPr>
        <w:t>123</w:t>
      </w:r>
      <w:r w:rsidRPr="00BD7731">
        <w:t>, 1432–1441.</w:t>
      </w:r>
    </w:p>
    <w:p w14:paraId="0CE57C74" w14:textId="77777777" w:rsidR="001C3F85" w:rsidRPr="00BD7731" w:rsidRDefault="001C3F85" w:rsidP="001C3F85">
      <w:pPr>
        <w:pStyle w:val="af0"/>
      </w:pPr>
      <w:r w:rsidRPr="00BD7731">
        <w:t>[31]</w:t>
      </w:r>
      <w:r w:rsidRPr="00BD7731">
        <w:tab/>
        <w:t xml:space="preserve">A. Breuillac, A. Kassalias, R. Nicolaÿ, </w:t>
      </w:r>
      <w:r w:rsidRPr="00BD7731">
        <w:rPr>
          <w:i/>
          <w:iCs/>
        </w:rPr>
        <w:t>Macromolecules</w:t>
      </w:r>
      <w:r w:rsidRPr="00BD7731">
        <w:t xml:space="preserve"> </w:t>
      </w:r>
      <w:r w:rsidRPr="00BD7731">
        <w:rPr>
          <w:b/>
          <w:bCs/>
        </w:rPr>
        <w:t>2019</w:t>
      </w:r>
      <w:r w:rsidRPr="00BD7731">
        <w:t xml:space="preserve">, </w:t>
      </w:r>
      <w:r w:rsidRPr="00BD7731">
        <w:rPr>
          <w:i/>
          <w:iCs/>
        </w:rPr>
        <w:t>52</w:t>
      </w:r>
      <w:r w:rsidRPr="00BD7731">
        <w:t>, 7102–7113.</w:t>
      </w:r>
    </w:p>
    <w:p w14:paraId="5AE41ED8" w14:textId="77777777" w:rsidR="001C3F85" w:rsidRPr="00BD7731" w:rsidRDefault="001C3F85" w:rsidP="001C3F85">
      <w:pPr>
        <w:pStyle w:val="af0"/>
      </w:pPr>
      <w:r w:rsidRPr="00BD7731">
        <w:t>[32]</w:t>
      </w:r>
      <w:r w:rsidRPr="00BD7731">
        <w:tab/>
        <w:t xml:space="preserve">M. Hayashi, R. Yano, </w:t>
      </w:r>
      <w:r w:rsidRPr="00BD7731">
        <w:rPr>
          <w:i/>
          <w:iCs/>
        </w:rPr>
        <w:t>Macromolecules</w:t>
      </w:r>
      <w:r w:rsidRPr="00BD7731">
        <w:t xml:space="preserve"> </w:t>
      </w:r>
      <w:r w:rsidRPr="00BD7731">
        <w:rPr>
          <w:b/>
          <w:bCs/>
        </w:rPr>
        <w:t>2020</w:t>
      </w:r>
      <w:r w:rsidRPr="00BD7731">
        <w:t xml:space="preserve">, </w:t>
      </w:r>
      <w:r w:rsidRPr="00BD7731">
        <w:rPr>
          <w:i/>
          <w:iCs/>
        </w:rPr>
        <w:t>53</w:t>
      </w:r>
      <w:r w:rsidRPr="00BD7731">
        <w:t>, 182–189.</w:t>
      </w:r>
    </w:p>
    <w:p w14:paraId="7C8020DA" w14:textId="77777777" w:rsidR="001C3F85" w:rsidRPr="00BD7731" w:rsidRDefault="001C3F85" w:rsidP="001C3F85">
      <w:pPr>
        <w:pStyle w:val="af0"/>
      </w:pPr>
      <w:r w:rsidRPr="00BD7731">
        <w:t>[33]</w:t>
      </w:r>
      <w:r w:rsidRPr="00BD7731">
        <w:tab/>
        <w:t xml:space="preserve">R. Hajj, A. Duval, S. Dhers, L. Avérous, </w:t>
      </w:r>
      <w:r w:rsidRPr="00BD7731">
        <w:rPr>
          <w:i/>
          <w:iCs/>
        </w:rPr>
        <w:t>Macromolecules</w:t>
      </w:r>
      <w:r w:rsidRPr="00BD7731">
        <w:t xml:space="preserve"> </w:t>
      </w:r>
      <w:r w:rsidRPr="00BD7731">
        <w:rPr>
          <w:b/>
          <w:bCs/>
        </w:rPr>
        <w:t>2020</w:t>
      </w:r>
      <w:r w:rsidRPr="00BD7731">
        <w:t xml:space="preserve">, </w:t>
      </w:r>
      <w:r w:rsidRPr="00BD7731">
        <w:rPr>
          <w:i/>
          <w:iCs/>
        </w:rPr>
        <w:t>53</w:t>
      </w:r>
      <w:r w:rsidRPr="00BD7731">
        <w:t>, 3796–3805.</w:t>
      </w:r>
    </w:p>
    <w:p w14:paraId="5A7949F9" w14:textId="77777777" w:rsidR="001C3F85" w:rsidRPr="00BD7731" w:rsidRDefault="001C3F85" w:rsidP="001C3F85">
      <w:pPr>
        <w:pStyle w:val="af0"/>
      </w:pPr>
      <w:r w:rsidRPr="00BD7731">
        <w:t>[34]</w:t>
      </w:r>
      <w:r w:rsidRPr="00BD7731">
        <w:tab/>
        <w:t xml:space="preserve">M. Guerre, C. Taplan, R. Nicolaÿ, J. M. Winne, F. E. Du Prez, </w:t>
      </w:r>
      <w:r w:rsidRPr="00BD7731">
        <w:rPr>
          <w:i/>
          <w:iCs/>
        </w:rPr>
        <w:t>J. Am. Chem. Soc.</w:t>
      </w:r>
      <w:r w:rsidRPr="00BD7731">
        <w:t xml:space="preserve"> </w:t>
      </w:r>
      <w:r w:rsidRPr="00BD7731">
        <w:rPr>
          <w:b/>
          <w:bCs/>
        </w:rPr>
        <w:t>2018</w:t>
      </w:r>
      <w:r w:rsidRPr="00BD7731">
        <w:t xml:space="preserve">, </w:t>
      </w:r>
      <w:r w:rsidRPr="00BD7731">
        <w:rPr>
          <w:i/>
          <w:iCs/>
        </w:rPr>
        <w:t>140</w:t>
      </w:r>
      <w:r w:rsidRPr="00BD7731">
        <w:t>, 13272–13284.</w:t>
      </w:r>
    </w:p>
    <w:p w14:paraId="7A17BC2E" w14:textId="77777777" w:rsidR="001C3F85" w:rsidRPr="00BD7731" w:rsidRDefault="001C3F85" w:rsidP="001C3F85">
      <w:pPr>
        <w:pStyle w:val="af0"/>
      </w:pPr>
      <w:r w:rsidRPr="00BD7731">
        <w:t>[35]</w:t>
      </w:r>
      <w:r w:rsidRPr="00BD7731">
        <w:tab/>
        <w:t xml:space="preserve">Y. Spiesschaert, C. Taplan, L. Stricker, M. Guerre, J. M. Winne, F. E. Du Prez, </w:t>
      </w:r>
      <w:r w:rsidRPr="00BD7731">
        <w:rPr>
          <w:i/>
          <w:iCs/>
        </w:rPr>
        <w:t>Polym. Chem.</w:t>
      </w:r>
      <w:r w:rsidRPr="00BD7731">
        <w:t xml:space="preserve"> </w:t>
      </w:r>
      <w:r w:rsidRPr="00BD7731">
        <w:rPr>
          <w:b/>
          <w:bCs/>
        </w:rPr>
        <w:t>2020</w:t>
      </w:r>
      <w:r w:rsidRPr="00BD7731">
        <w:t xml:space="preserve">, </w:t>
      </w:r>
      <w:r w:rsidRPr="00BD7731">
        <w:rPr>
          <w:i/>
          <w:iCs/>
        </w:rPr>
        <w:t>11</w:t>
      </w:r>
      <w:r w:rsidRPr="00BD7731">
        <w:t>, 5377–5385.</w:t>
      </w:r>
    </w:p>
    <w:p w14:paraId="7B9B3209" w14:textId="77777777" w:rsidR="001C3F85" w:rsidRPr="00BD7731" w:rsidRDefault="001C3F85" w:rsidP="001C3F85">
      <w:pPr>
        <w:pStyle w:val="af0"/>
      </w:pPr>
      <w:r w:rsidRPr="00BD7731">
        <w:t>[36]</w:t>
      </w:r>
      <w:r w:rsidRPr="00BD7731">
        <w:tab/>
        <w:t xml:space="preserve">P. Hiemenz C., T. Lodge P., </w:t>
      </w:r>
      <w:r w:rsidRPr="00BD7731">
        <w:rPr>
          <w:i/>
          <w:iCs/>
        </w:rPr>
        <w:t>Polymer Chemistry, Second Edition</w:t>
      </w:r>
      <w:r w:rsidRPr="00BD7731">
        <w:t xml:space="preserve">, CRC Press, Boca Raton, </w:t>
      </w:r>
      <w:r w:rsidRPr="00BD7731">
        <w:rPr>
          <w:b/>
          <w:bCs/>
        </w:rPr>
        <w:t>2007</w:t>
      </w:r>
      <w:r w:rsidRPr="00BD7731">
        <w:t>.</w:t>
      </w:r>
    </w:p>
    <w:p w14:paraId="0BDB70E5" w14:textId="77777777" w:rsidR="001C3F85" w:rsidRPr="00BD7731" w:rsidRDefault="001C3F85" w:rsidP="001C3F85">
      <w:pPr>
        <w:pStyle w:val="af0"/>
      </w:pPr>
      <w:r w:rsidRPr="00BD7731">
        <w:t>[37]</w:t>
      </w:r>
      <w:r w:rsidRPr="00BD7731">
        <w:tab/>
        <w:t xml:space="preserve">K. Matyjaszewski, T. P. Davis, </w:t>
      </w:r>
      <w:r w:rsidRPr="00BD7731">
        <w:rPr>
          <w:i/>
          <w:iCs/>
        </w:rPr>
        <w:t>Handbook of Radical Polymerization</w:t>
      </w:r>
      <w:r w:rsidRPr="00BD7731">
        <w:t xml:space="preserve">, Wiley-Interscience, New York, </w:t>
      </w:r>
      <w:r w:rsidRPr="00BD7731">
        <w:rPr>
          <w:b/>
          <w:bCs/>
        </w:rPr>
        <w:t>2002</w:t>
      </w:r>
      <w:r w:rsidRPr="00BD7731">
        <w:t>.</w:t>
      </w:r>
    </w:p>
    <w:p w14:paraId="7C86AAC6" w14:textId="77777777" w:rsidR="001C3F85" w:rsidRPr="00BD7731" w:rsidRDefault="001C3F85" w:rsidP="001C3F85">
      <w:pPr>
        <w:pStyle w:val="af0"/>
      </w:pPr>
      <w:r w:rsidRPr="00BD7731">
        <w:t>[38]</w:t>
      </w:r>
      <w:r w:rsidRPr="00BD7731">
        <w:tab/>
        <w:t xml:space="preserve">K. Matyjaszewski, M. Möller, </w:t>
      </w:r>
      <w:r w:rsidRPr="00BD7731">
        <w:rPr>
          <w:i/>
          <w:iCs/>
        </w:rPr>
        <w:t>Chain Polymerization of Vinyl Monomers</w:t>
      </w:r>
      <w:r w:rsidRPr="00BD7731">
        <w:t xml:space="preserve">, Elsevier BV, Amsterdam, </w:t>
      </w:r>
      <w:r w:rsidRPr="00BD7731">
        <w:rPr>
          <w:b/>
          <w:bCs/>
        </w:rPr>
        <w:t>2012</w:t>
      </w:r>
      <w:r w:rsidRPr="00BD7731">
        <w:t>.</w:t>
      </w:r>
    </w:p>
    <w:p w14:paraId="555266DD" w14:textId="77777777" w:rsidR="001C3F85" w:rsidRPr="00BD7731" w:rsidRDefault="001C3F85" w:rsidP="001C3F85">
      <w:pPr>
        <w:pStyle w:val="af0"/>
      </w:pPr>
      <w:r w:rsidRPr="00BD7731">
        <w:t>[39]</w:t>
      </w:r>
      <w:r w:rsidRPr="00BD7731">
        <w:tab/>
        <w:t xml:space="preserve">C. Boyer, N. A. Corrigan, K. Jung, D. Nguyen, T.-K. Nguyen, N. N. M. Adnan, S. Oliver, S. Shanmugam, J. Yeow, </w:t>
      </w:r>
      <w:r w:rsidRPr="00BD7731">
        <w:rPr>
          <w:i/>
          <w:iCs/>
        </w:rPr>
        <w:t>Chem. Rev.</w:t>
      </w:r>
      <w:r w:rsidRPr="00BD7731">
        <w:t xml:space="preserve"> </w:t>
      </w:r>
      <w:r w:rsidRPr="00BD7731">
        <w:rPr>
          <w:b/>
          <w:bCs/>
        </w:rPr>
        <w:t>2016</w:t>
      </w:r>
      <w:r w:rsidRPr="00BD7731">
        <w:t xml:space="preserve">, </w:t>
      </w:r>
      <w:r w:rsidRPr="00BD7731">
        <w:rPr>
          <w:i/>
          <w:iCs/>
        </w:rPr>
        <w:t>116</w:t>
      </w:r>
      <w:r w:rsidRPr="00BD7731">
        <w:t>, 1803–1949.</w:t>
      </w:r>
    </w:p>
    <w:p w14:paraId="55410CB8" w14:textId="77777777" w:rsidR="001C3F85" w:rsidRPr="00BD7731" w:rsidRDefault="001C3F85" w:rsidP="001C3F85">
      <w:pPr>
        <w:pStyle w:val="af0"/>
      </w:pPr>
      <w:r w:rsidRPr="00BD7731">
        <w:t>[40]</w:t>
      </w:r>
      <w:r w:rsidRPr="00BD7731">
        <w:tab/>
        <w:t xml:space="preserve">T. Sarbu, K.-Y. Lin, J. Ell, D. J. Siegwart, J. Spanswick, K. Matyjaszewski, </w:t>
      </w:r>
      <w:r w:rsidRPr="00BD7731">
        <w:rPr>
          <w:i/>
          <w:iCs/>
        </w:rPr>
        <w:t>Macromolecules</w:t>
      </w:r>
      <w:r w:rsidRPr="00BD7731">
        <w:t xml:space="preserve"> </w:t>
      </w:r>
      <w:r w:rsidRPr="00BD7731">
        <w:rPr>
          <w:b/>
          <w:bCs/>
        </w:rPr>
        <w:t>2004</w:t>
      </w:r>
      <w:r w:rsidRPr="00BD7731">
        <w:t xml:space="preserve">, </w:t>
      </w:r>
      <w:r w:rsidRPr="00BD7731">
        <w:rPr>
          <w:i/>
          <w:iCs/>
        </w:rPr>
        <w:t>37</w:t>
      </w:r>
      <w:r w:rsidRPr="00BD7731">
        <w:t>, 3120–3127.</w:t>
      </w:r>
    </w:p>
    <w:p w14:paraId="3B91BFEB" w14:textId="77777777" w:rsidR="001C3F85" w:rsidRPr="00BD7731" w:rsidRDefault="001C3F85" w:rsidP="001C3F85">
      <w:pPr>
        <w:pStyle w:val="af0"/>
      </w:pPr>
      <w:r w:rsidRPr="00BD7731">
        <w:t>[41]</w:t>
      </w:r>
      <w:r w:rsidRPr="00BD7731">
        <w:tab/>
        <w:t xml:space="preserve">C.-F. Huang, Y.-A. Hsieh, S.-C. Hsu, K. Matyjaszewski, </w:t>
      </w:r>
      <w:r w:rsidRPr="00BD7731">
        <w:rPr>
          <w:i/>
          <w:iCs/>
        </w:rPr>
        <w:t>Polymer</w:t>
      </w:r>
      <w:r w:rsidRPr="00BD7731">
        <w:t xml:space="preserve"> </w:t>
      </w:r>
      <w:r w:rsidRPr="00BD7731">
        <w:rPr>
          <w:b/>
          <w:bCs/>
        </w:rPr>
        <w:t>2014</w:t>
      </w:r>
      <w:r w:rsidRPr="00BD7731">
        <w:t xml:space="preserve">, </w:t>
      </w:r>
      <w:r w:rsidRPr="00BD7731">
        <w:rPr>
          <w:i/>
          <w:iCs/>
        </w:rPr>
        <w:t>55</w:t>
      </w:r>
      <w:r w:rsidRPr="00BD7731">
        <w:t>, 6051–6057.</w:t>
      </w:r>
    </w:p>
    <w:p w14:paraId="617C6260" w14:textId="77777777" w:rsidR="001C3F85" w:rsidRPr="00BD7731" w:rsidRDefault="001C3F85" w:rsidP="001C3F85">
      <w:pPr>
        <w:pStyle w:val="af0"/>
      </w:pPr>
      <w:r w:rsidRPr="00BD7731">
        <w:t>[42]</w:t>
      </w:r>
      <w:r w:rsidRPr="00BD7731">
        <w:tab/>
        <w:t xml:space="preserve">C.-F. Huang, J. Aimi, K.-Y. Lai, </w:t>
      </w:r>
      <w:r w:rsidRPr="00BD7731">
        <w:rPr>
          <w:i/>
          <w:iCs/>
        </w:rPr>
        <w:t>Macromol. Rapid Commun.</w:t>
      </w:r>
      <w:r w:rsidRPr="00BD7731">
        <w:t xml:space="preserve"> </w:t>
      </w:r>
      <w:r w:rsidRPr="00BD7731">
        <w:rPr>
          <w:b/>
          <w:bCs/>
        </w:rPr>
        <w:t>2017</w:t>
      </w:r>
      <w:r w:rsidRPr="00BD7731">
        <w:t xml:space="preserve">, </w:t>
      </w:r>
      <w:r w:rsidRPr="00BD7731">
        <w:rPr>
          <w:i/>
          <w:iCs/>
        </w:rPr>
        <w:t>38</w:t>
      </w:r>
      <w:r w:rsidRPr="00BD7731">
        <w:t>, 1600607.</w:t>
      </w:r>
    </w:p>
    <w:p w14:paraId="7BD6EC11" w14:textId="77777777" w:rsidR="001C3F85" w:rsidRPr="00BD7731" w:rsidRDefault="001C3F85" w:rsidP="001C3F85">
      <w:pPr>
        <w:pStyle w:val="af0"/>
      </w:pPr>
      <w:r w:rsidRPr="00BD7731">
        <w:t>[43]</w:t>
      </w:r>
      <w:r w:rsidRPr="00BD7731">
        <w:tab/>
        <w:t xml:space="preserve">A. Debuigne, M. Hurtgen, C. Detrembleur, C. Jérôme, C. Barner-Kowollik, T. Junkers, </w:t>
      </w:r>
      <w:r w:rsidRPr="00BD7731">
        <w:rPr>
          <w:i/>
          <w:iCs/>
        </w:rPr>
        <w:t>Prog Polym Sci</w:t>
      </w:r>
      <w:r w:rsidRPr="00BD7731">
        <w:t xml:space="preserve"> </w:t>
      </w:r>
      <w:r w:rsidRPr="00BD7731">
        <w:rPr>
          <w:b/>
          <w:bCs/>
        </w:rPr>
        <w:t>2012</w:t>
      </w:r>
      <w:r w:rsidRPr="00BD7731">
        <w:t xml:space="preserve">, </w:t>
      </w:r>
      <w:r w:rsidRPr="00BD7731">
        <w:rPr>
          <w:i/>
          <w:iCs/>
        </w:rPr>
        <w:t>37</w:t>
      </w:r>
      <w:r w:rsidRPr="00BD7731">
        <w:t>, 1004–1030.</w:t>
      </w:r>
    </w:p>
    <w:p w14:paraId="7F2B374A" w14:textId="77777777" w:rsidR="001C3F85" w:rsidRPr="00BD7731" w:rsidRDefault="001C3F85" w:rsidP="001C3F85">
      <w:pPr>
        <w:pStyle w:val="af0"/>
      </w:pPr>
      <w:r w:rsidRPr="00BD7731">
        <w:t>[44]</w:t>
      </w:r>
      <w:r w:rsidRPr="00BD7731">
        <w:tab/>
        <w:t xml:space="preserve">Y. Nakamura, T. Arima, S. Tomita, S. Yamago, </w:t>
      </w:r>
      <w:r w:rsidRPr="00BD7731">
        <w:rPr>
          <w:i/>
          <w:iCs/>
        </w:rPr>
        <w:t>J. Am. Chem. Soc.</w:t>
      </w:r>
      <w:r w:rsidRPr="00BD7731">
        <w:t xml:space="preserve"> </w:t>
      </w:r>
      <w:r w:rsidRPr="00BD7731">
        <w:rPr>
          <w:b/>
          <w:bCs/>
        </w:rPr>
        <w:t>2012</w:t>
      </w:r>
      <w:r w:rsidRPr="00BD7731">
        <w:t xml:space="preserve">, </w:t>
      </w:r>
      <w:r w:rsidRPr="00BD7731">
        <w:rPr>
          <w:i/>
          <w:iCs/>
        </w:rPr>
        <w:t>134</w:t>
      </w:r>
      <w:r w:rsidRPr="00BD7731">
        <w:t>, 5536–5539.</w:t>
      </w:r>
    </w:p>
    <w:p w14:paraId="37F52079" w14:textId="77777777" w:rsidR="001C3F85" w:rsidRPr="00BD7731" w:rsidRDefault="001C3F85" w:rsidP="001C3F85">
      <w:pPr>
        <w:pStyle w:val="af0"/>
      </w:pPr>
      <w:r w:rsidRPr="00BD7731">
        <w:t>[45]</w:t>
      </w:r>
      <w:r w:rsidRPr="00BD7731">
        <w:tab/>
        <w:t xml:space="preserve">Y. Nakamura, T. Arima, S. Yamago, </w:t>
      </w:r>
      <w:r w:rsidRPr="00BD7731">
        <w:rPr>
          <w:i/>
          <w:iCs/>
        </w:rPr>
        <w:t>Macromolecules</w:t>
      </w:r>
      <w:r w:rsidRPr="00BD7731">
        <w:t xml:space="preserve"> </w:t>
      </w:r>
      <w:r w:rsidRPr="00BD7731">
        <w:rPr>
          <w:b/>
          <w:bCs/>
        </w:rPr>
        <w:t>2014</w:t>
      </w:r>
      <w:r w:rsidRPr="00BD7731">
        <w:t xml:space="preserve">, </w:t>
      </w:r>
      <w:r w:rsidRPr="00BD7731">
        <w:rPr>
          <w:i/>
          <w:iCs/>
        </w:rPr>
        <w:t>47</w:t>
      </w:r>
      <w:r w:rsidRPr="00BD7731">
        <w:t>, 582–588.</w:t>
      </w:r>
    </w:p>
    <w:p w14:paraId="51EB8EE8" w14:textId="77777777" w:rsidR="001C3F85" w:rsidRPr="00BD7731" w:rsidRDefault="001C3F85" w:rsidP="001C3F85">
      <w:pPr>
        <w:pStyle w:val="af0"/>
      </w:pPr>
      <w:r w:rsidRPr="00BD7731">
        <w:t>[46]</w:t>
      </w:r>
      <w:r w:rsidRPr="00BD7731">
        <w:tab/>
        <w:t xml:space="preserve">Q.-A. Poutrel, J. J. Blaker, C. Soutis, F. Tournilhac, M. Gresil, </w:t>
      </w:r>
      <w:r w:rsidRPr="00BD7731">
        <w:rPr>
          <w:i/>
          <w:iCs/>
        </w:rPr>
        <w:t>Polym. Chem.</w:t>
      </w:r>
      <w:r w:rsidRPr="00BD7731">
        <w:t xml:space="preserve"> </w:t>
      </w:r>
      <w:r w:rsidRPr="00BD7731">
        <w:rPr>
          <w:b/>
          <w:bCs/>
        </w:rPr>
        <w:t>2020</w:t>
      </w:r>
      <w:r w:rsidRPr="00BD7731">
        <w:t xml:space="preserve">, </w:t>
      </w:r>
      <w:r w:rsidRPr="00BD7731">
        <w:rPr>
          <w:i/>
          <w:iCs/>
        </w:rPr>
        <w:t>11</w:t>
      </w:r>
      <w:r w:rsidRPr="00BD7731">
        <w:t>, 5327–5338.</w:t>
      </w:r>
    </w:p>
    <w:p w14:paraId="54D64906" w14:textId="013D35E5" w:rsidR="001C3F85" w:rsidRPr="00BD7731" w:rsidRDefault="001C3F85" w:rsidP="001C3F85">
      <w:pPr>
        <w:pStyle w:val="af0"/>
      </w:pPr>
      <w:r w:rsidRPr="00BD7731">
        <w:t>[47]</w:t>
      </w:r>
      <w:r w:rsidRPr="00BD7731">
        <w:tab/>
      </w:r>
      <w:r w:rsidRPr="00BD7731">
        <w:rPr>
          <w:lang w:val="en-GB"/>
        </w:rPr>
        <w:t>There are discussions about the state of TBD after the heating, however, the control experiment without the catalyst did not show reprocessability indicating the role and the activity of TBD.</w:t>
      </w:r>
    </w:p>
    <w:p w14:paraId="3BBC56DA" w14:textId="77777777" w:rsidR="001C3F85" w:rsidRPr="00BD7731" w:rsidRDefault="001C3F85" w:rsidP="001C3F85">
      <w:pPr>
        <w:pStyle w:val="af0"/>
      </w:pPr>
      <w:r w:rsidRPr="00BD7731">
        <w:t>[48]</w:t>
      </w:r>
      <w:r w:rsidRPr="00BD7731">
        <w:tab/>
        <w:t xml:space="preserve">D. Quéré, </w:t>
      </w:r>
      <w:r w:rsidRPr="00BD7731">
        <w:rPr>
          <w:i/>
          <w:iCs/>
        </w:rPr>
        <w:t>Annu. Rev. Mater. Res.</w:t>
      </w:r>
      <w:r w:rsidRPr="00BD7731">
        <w:t xml:space="preserve"> </w:t>
      </w:r>
      <w:r w:rsidRPr="00BD7731">
        <w:rPr>
          <w:b/>
          <w:bCs/>
        </w:rPr>
        <w:t>2008</w:t>
      </w:r>
      <w:r w:rsidRPr="00BD7731">
        <w:t xml:space="preserve">, </w:t>
      </w:r>
      <w:r w:rsidRPr="00BD7731">
        <w:rPr>
          <w:i/>
          <w:iCs/>
        </w:rPr>
        <w:t>38</w:t>
      </w:r>
      <w:r w:rsidRPr="00BD7731">
        <w:t>, 71–99.</w:t>
      </w:r>
    </w:p>
    <w:p w14:paraId="435CC3B5" w14:textId="77777777" w:rsidR="001C3F85" w:rsidRPr="00BD7731" w:rsidRDefault="001C3F85" w:rsidP="001C3F85">
      <w:pPr>
        <w:pStyle w:val="af0"/>
      </w:pPr>
      <w:r w:rsidRPr="00BD7731">
        <w:t>[49]</w:t>
      </w:r>
      <w:r w:rsidRPr="00BD7731">
        <w:tab/>
        <w:t xml:space="preserve">R. G. Ricarte, F. Tournilhac, M. Cloître, L. Leibler, </w:t>
      </w:r>
      <w:r w:rsidRPr="00BD7731">
        <w:rPr>
          <w:i/>
          <w:iCs/>
        </w:rPr>
        <w:t>Macromolecules</w:t>
      </w:r>
      <w:r w:rsidRPr="00BD7731">
        <w:t xml:space="preserve"> </w:t>
      </w:r>
      <w:r w:rsidRPr="00BD7731">
        <w:rPr>
          <w:b/>
          <w:bCs/>
        </w:rPr>
        <w:t>2020</w:t>
      </w:r>
      <w:r w:rsidRPr="00BD7731">
        <w:t xml:space="preserve">, </w:t>
      </w:r>
      <w:r w:rsidRPr="00BD7731">
        <w:rPr>
          <w:i/>
          <w:iCs/>
        </w:rPr>
        <w:t>53</w:t>
      </w:r>
      <w:r w:rsidRPr="00BD7731">
        <w:t>, 1852–1866.</w:t>
      </w:r>
    </w:p>
    <w:p w14:paraId="58CCE0C7" w14:textId="77777777" w:rsidR="001C3F85" w:rsidRPr="00BD7731" w:rsidRDefault="001C3F85" w:rsidP="001C3F85">
      <w:pPr>
        <w:pStyle w:val="af0"/>
      </w:pPr>
      <w:r w:rsidRPr="00BD7731">
        <w:t>[50]</w:t>
      </w:r>
      <w:r w:rsidRPr="00BD7731">
        <w:tab/>
        <w:t xml:space="preserve">R. G. Ricarte, S. Shanbhag, </w:t>
      </w:r>
      <w:r w:rsidRPr="00BD7731">
        <w:rPr>
          <w:i/>
          <w:iCs/>
        </w:rPr>
        <w:t>Macromolecules</w:t>
      </w:r>
      <w:r w:rsidRPr="00BD7731">
        <w:t xml:space="preserve"> </w:t>
      </w:r>
      <w:r w:rsidRPr="00BD7731">
        <w:rPr>
          <w:b/>
          <w:bCs/>
        </w:rPr>
        <w:t>2021</w:t>
      </w:r>
      <w:r w:rsidRPr="00BD7731">
        <w:t xml:space="preserve">, </w:t>
      </w:r>
      <w:r w:rsidRPr="00BD7731">
        <w:rPr>
          <w:i/>
          <w:iCs/>
        </w:rPr>
        <w:t>54</w:t>
      </w:r>
      <w:r w:rsidRPr="00BD7731">
        <w:t>, 3304–3320.</w:t>
      </w:r>
    </w:p>
    <w:p w14:paraId="46D80CF5" w14:textId="77777777" w:rsidR="001C3F85" w:rsidRPr="00BD7731" w:rsidRDefault="001C3F85" w:rsidP="001C3F85">
      <w:pPr>
        <w:pStyle w:val="af0"/>
      </w:pPr>
      <w:r w:rsidRPr="00BD7731">
        <w:t>[51]</w:t>
      </w:r>
      <w:r w:rsidRPr="00BD7731">
        <w:tab/>
        <w:t xml:space="preserve">R. L. Snyder, C. A. L. Lidston, G. X. De Hoe, M. J. S. Parvulescu, M. A. Hillmyer, G. W. Coates, </w:t>
      </w:r>
      <w:r w:rsidRPr="00BD7731">
        <w:rPr>
          <w:i/>
          <w:iCs/>
        </w:rPr>
        <w:t>Polym. Chem.</w:t>
      </w:r>
      <w:r w:rsidRPr="00BD7731">
        <w:t xml:space="preserve"> </w:t>
      </w:r>
      <w:r w:rsidRPr="00BD7731">
        <w:rPr>
          <w:b/>
          <w:bCs/>
        </w:rPr>
        <w:t>2020</w:t>
      </w:r>
      <w:r w:rsidRPr="00BD7731">
        <w:t xml:space="preserve">, </w:t>
      </w:r>
      <w:r w:rsidRPr="00BD7731">
        <w:rPr>
          <w:i/>
          <w:iCs/>
        </w:rPr>
        <w:t>11</w:t>
      </w:r>
      <w:r w:rsidRPr="00BD7731">
        <w:t>, 5346–5355.</w:t>
      </w:r>
    </w:p>
    <w:p w14:paraId="75FDD624" w14:textId="3E2D7A7F" w:rsidR="001751B1" w:rsidRPr="00BD7731" w:rsidRDefault="001751B1" w:rsidP="008C6D5F">
      <w:pPr>
        <w:pStyle w:val="MainText"/>
        <w:spacing w:line="360" w:lineRule="auto"/>
      </w:pPr>
      <w:r w:rsidRPr="00BD7731">
        <w:fldChar w:fldCharType="end"/>
      </w:r>
    </w:p>
    <w:p w14:paraId="353BA03D" w14:textId="77777777" w:rsidR="002D3D6D" w:rsidRPr="00BD7731" w:rsidRDefault="002D3D6D" w:rsidP="008C6D5F">
      <w:pPr>
        <w:pStyle w:val="Literature"/>
        <w:spacing w:line="360" w:lineRule="auto"/>
      </w:pPr>
    </w:p>
    <w:p w14:paraId="15681BB7" w14:textId="55FBECC8" w:rsidR="00404548" w:rsidRPr="00BD7731" w:rsidRDefault="00404548" w:rsidP="008C6D5F">
      <w:pPr>
        <w:pStyle w:val="Literature"/>
        <w:spacing w:line="360" w:lineRule="auto"/>
        <w:sectPr w:rsidR="00404548" w:rsidRPr="00BD7731">
          <w:headerReference w:type="default" r:id="rId20"/>
          <w:footerReference w:type="default" r:id="rId21"/>
          <w:pgSz w:w="11906" w:h="16838"/>
          <w:pgMar w:top="1417" w:right="1417" w:bottom="1134" w:left="1417" w:header="708" w:footer="708" w:gutter="0"/>
          <w:cols w:space="708"/>
          <w:docGrid w:linePitch="360"/>
        </w:sectPr>
      </w:pPr>
    </w:p>
    <w:p w14:paraId="483E2BFD" w14:textId="1EBF9370" w:rsidR="00C56CD4" w:rsidRPr="00BD7731" w:rsidRDefault="00004A23" w:rsidP="008C6D5F">
      <w:pPr>
        <w:spacing w:line="360" w:lineRule="auto"/>
      </w:pPr>
      <w:r w:rsidRPr="00BD7731">
        <w:br w:type="page"/>
      </w:r>
      <w:r w:rsidR="005D71B6" w:rsidRPr="00BD7731">
        <w:t xml:space="preserve">The selection of the precursor polymer structures, </w:t>
      </w:r>
      <w:proofErr w:type="spellStart"/>
      <w:r w:rsidR="005D71B6" w:rsidRPr="00BD7731">
        <w:t>telechelic</w:t>
      </w:r>
      <w:proofErr w:type="spellEnd"/>
      <w:r w:rsidR="005D71B6" w:rsidRPr="00BD7731">
        <w:t xml:space="preserve"> polymer or random copolymer, greatly affects the viscoelastic properties of </w:t>
      </w:r>
      <w:proofErr w:type="spellStart"/>
      <w:r w:rsidR="005D71B6" w:rsidRPr="00BD7731">
        <w:t>vitrimers</w:t>
      </w:r>
      <w:proofErr w:type="spellEnd"/>
      <w:r w:rsidR="005D71B6" w:rsidRPr="00BD7731">
        <w:t xml:space="preserve">. </w:t>
      </w:r>
      <w:proofErr w:type="spellStart"/>
      <w:r w:rsidR="005D71B6" w:rsidRPr="00BD7731">
        <w:t>Vitrimers</w:t>
      </w:r>
      <w:proofErr w:type="spellEnd"/>
      <w:r w:rsidR="005D71B6" w:rsidRPr="00BD7731">
        <w:t xml:space="preserve"> from </w:t>
      </w:r>
      <w:proofErr w:type="spellStart"/>
      <w:r w:rsidR="005D71B6" w:rsidRPr="00BD7731">
        <w:t>telechelic</w:t>
      </w:r>
      <w:proofErr w:type="spellEnd"/>
      <w:r w:rsidR="005D71B6" w:rsidRPr="00BD7731">
        <w:t xml:space="preserve"> polymers exhibited a sharp decrease </w:t>
      </w:r>
      <w:r w:rsidR="009C1C45" w:rsidRPr="00BD7731">
        <w:t>in</w:t>
      </w:r>
      <w:r w:rsidR="005D71B6" w:rsidRPr="00BD7731">
        <w:t xml:space="preserve"> elastic modulus and highly fluid-like behavior, which are largely different from </w:t>
      </w:r>
      <w:proofErr w:type="spellStart"/>
      <w:r w:rsidR="005D71B6" w:rsidRPr="00BD7731">
        <w:t>vitrimers</w:t>
      </w:r>
      <w:proofErr w:type="spellEnd"/>
      <w:r w:rsidR="005D71B6" w:rsidRPr="00BD7731">
        <w:t xml:space="preserve"> </w:t>
      </w:r>
      <w:r w:rsidR="009C1C45" w:rsidRPr="00BD7731">
        <w:t xml:space="preserve">prepared </w:t>
      </w:r>
      <w:r w:rsidR="005D71B6" w:rsidRPr="00BD7731">
        <w:t xml:space="preserve">from random copolymers that even have </w:t>
      </w:r>
      <w:r w:rsidR="009C1C45" w:rsidRPr="00BD7731">
        <w:t>similar</w:t>
      </w:r>
      <w:r w:rsidR="005D71B6" w:rsidRPr="00BD7731">
        <w:t xml:space="preserve"> chain length and number of crosslinking groups.</w:t>
      </w:r>
    </w:p>
    <w:p w14:paraId="142A5ABC" w14:textId="77777777" w:rsidR="00C56CD4" w:rsidRPr="00BD7731" w:rsidRDefault="00C56CD4">
      <w:pPr>
        <w:pStyle w:val="Tableofcontents"/>
      </w:pPr>
    </w:p>
    <w:p w14:paraId="177028F8" w14:textId="41E441B0" w:rsidR="002D16A0" w:rsidRPr="00BD7731" w:rsidRDefault="008B79EC">
      <w:pPr>
        <w:pStyle w:val="Tableofcontents"/>
      </w:pPr>
      <w:r w:rsidRPr="00BD7731">
        <w:t xml:space="preserve">Y. Nakamura*, M. </w:t>
      </w:r>
      <w:proofErr w:type="spellStart"/>
      <w:r w:rsidRPr="00BD7731">
        <w:t>Tenjimbayashi</w:t>
      </w:r>
      <w:proofErr w:type="spellEnd"/>
      <w:r w:rsidRPr="00BD7731">
        <w:t>, A. Moriya, M. Naito</w:t>
      </w:r>
    </w:p>
    <w:p w14:paraId="59F6913B" w14:textId="77777777" w:rsidR="008B79EC" w:rsidRPr="00BD7731" w:rsidRDefault="008B79EC">
      <w:pPr>
        <w:pStyle w:val="Tableofcontents"/>
      </w:pPr>
    </w:p>
    <w:p w14:paraId="44E069C4" w14:textId="75E1C3FE" w:rsidR="002D16A0" w:rsidRPr="00BD7731" w:rsidRDefault="0047209C">
      <w:pPr>
        <w:pStyle w:val="Tableofcontents"/>
      </w:pPr>
      <w:r w:rsidRPr="00BD7731">
        <w:t xml:space="preserve">Impact of </w:t>
      </w:r>
      <w:proofErr w:type="spellStart"/>
      <w:r w:rsidRPr="00BD7731">
        <w:t>telechelic</w:t>
      </w:r>
      <w:proofErr w:type="spellEnd"/>
      <w:r w:rsidRPr="00BD7731">
        <w:t xml:space="preserve"> polymer precursors on the viscoelastic properties of </w:t>
      </w:r>
      <w:proofErr w:type="spellStart"/>
      <w:r w:rsidRPr="00BD7731">
        <w:t>vitrimers</w:t>
      </w:r>
      <w:proofErr w:type="spellEnd"/>
      <w:r w:rsidR="008B79EC" w:rsidRPr="00BD7731">
        <w:t xml:space="preserve"> </w:t>
      </w:r>
    </w:p>
    <w:p w14:paraId="70465C77" w14:textId="77777777" w:rsidR="00004A23" w:rsidRPr="00BD7731" w:rsidRDefault="00004A23">
      <w:pPr>
        <w:pStyle w:val="Tableofcontents"/>
      </w:pPr>
    </w:p>
    <w:p w14:paraId="45F0D2E2" w14:textId="3F768BDA" w:rsidR="006256F5" w:rsidRPr="00BD7731" w:rsidRDefault="00286E23">
      <w:pPr>
        <w:pStyle w:val="Tableofcontents"/>
      </w:pPr>
      <w:r w:rsidRPr="00BD7731">
        <w:rPr>
          <w:noProof/>
          <w:lang w:val="en-IN" w:eastAsia="en-IN"/>
        </w:rPr>
        <w:drawing>
          <wp:inline distT="0" distB="0" distL="0" distR="0" wp14:anchorId="33BB9C26" wp14:editId="3AFAB821">
            <wp:extent cx="1981200" cy="1799590"/>
            <wp:effectExtent l="0" t="0" r="0" b="0"/>
            <wp:docPr id="8"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981200" cy="1799590"/>
                    </a:xfrm>
                    <a:prstGeom prst="rect">
                      <a:avLst/>
                    </a:prstGeom>
                    <a:noFill/>
                    <a:ln>
                      <a:noFill/>
                    </a:ln>
                  </pic:spPr>
                </pic:pic>
              </a:graphicData>
            </a:graphic>
          </wp:inline>
        </w:drawing>
      </w:r>
    </w:p>
    <w:p w14:paraId="42D6F56D" w14:textId="78325E67" w:rsidR="008F7113" w:rsidRPr="00BD7731" w:rsidRDefault="008F7113">
      <w:r w:rsidRPr="00BD7731">
        <w:br w:type="page"/>
      </w:r>
    </w:p>
    <w:p w14:paraId="34C63AF8" w14:textId="77777777" w:rsidR="008F7113" w:rsidRPr="00BD7731" w:rsidRDefault="008F7113" w:rsidP="008F7113">
      <w:pPr>
        <w:spacing w:line="360" w:lineRule="auto"/>
        <w:rPr>
          <w:b/>
        </w:rPr>
      </w:pPr>
    </w:p>
    <w:p w14:paraId="33D11C27" w14:textId="77777777" w:rsidR="008F7113" w:rsidRPr="00BD7731" w:rsidRDefault="008F7113" w:rsidP="008F7113">
      <w:pPr>
        <w:pStyle w:val="Title2"/>
        <w:spacing w:line="360" w:lineRule="auto"/>
        <w:rPr>
          <w:b w:val="0"/>
        </w:rPr>
      </w:pPr>
    </w:p>
    <w:p w14:paraId="7831D8C2" w14:textId="77777777" w:rsidR="008F7113" w:rsidRPr="00BD7731" w:rsidRDefault="008F7113" w:rsidP="008F7113">
      <w:pPr>
        <w:pStyle w:val="Title2"/>
        <w:spacing w:line="360" w:lineRule="auto"/>
        <w:rPr>
          <w:b w:val="0"/>
          <w:sz w:val="32"/>
          <w:szCs w:val="32"/>
        </w:rPr>
      </w:pPr>
      <w:r w:rsidRPr="00BD7731">
        <w:rPr>
          <w:b w:val="0"/>
          <w:sz w:val="32"/>
          <w:szCs w:val="32"/>
        </w:rPr>
        <w:t xml:space="preserve">Supporting Information </w:t>
      </w:r>
    </w:p>
    <w:p w14:paraId="2B558D74" w14:textId="77777777" w:rsidR="008F7113" w:rsidRPr="00BD7731" w:rsidRDefault="008F7113" w:rsidP="008F7113">
      <w:pPr>
        <w:pStyle w:val="Tableofcontents"/>
      </w:pPr>
    </w:p>
    <w:p w14:paraId="0C20621A" w14:textId="77777777" w:rsidR="008F7113" w:rsidRPr="00BD7731" w:rsidRDefault="008F7113" w:rsidP="008F7113">
      <w:pPr>
        <w:pStyle w:val="Tableofcontents"/>
      </w:pPr>
    </w:p>
    <w:p w14:paraId="51603372" w14:textId="77777777" w:rsidR="008F7113" w:rsidRPr="00BD7731" w:rsidRDefault="008F7113" w:rsidP="008F7113">
      <w:pPr>
        <w:pStyle w:val="Title2"/>
        <w:spacing w:line="360" w:lineRule="auto"/>
        <w:rPr>
          <w:b w:val="0"/>
        </w:rPr>
      </w:pPr>
      <w:r w:rsidRPr="00BD7731">
        <w:t xml:space="preserve">The impact of using </w:t>
      </w:r>
      <w:proofErr w:type="spellStart"/>
      <w:r w:rsidRPr="00BD7731">
        <w:t>telechelic</w:t>
      </w:r>
      <w:proofErr w:type="spellEnd"/>
      <w:r w:rsidRPr="00BD7731">
        <w:t xml:space="preserve"> polymers as the precursor on the viscoelastic properties of </w:t>
      </w:r>
      <w:proofErr w:type="spellStart"/>
      <w:r w:rsidRPr="00BD7731">
        <w:t>vitrimers</w:t>
      </w:r>
      <w:proofErr w:type="spellEnd"/>
    </w:p>
    <w:p w14:paraId="72A27880" w14:textId="77777777" w:rsidR="008F7113" w:rsidRPr="00BD7731" w:rsidRDefault="008F7113" w:rsidP="008F7113">
      <w:pPr>
        <w:pStyle w:val="Title2"/>
        <w:spacing w:line="360" w:lineRule="auto"/>
        <w:rPr>
          <w:b w:val="0"/>
        </w:rPr>
      </w:pPr>
    </w:p>
    <w:p w14:paraId="5DF5A967" w14:textId="77777777" w:rsidR="008F7113" w:rsidRPr="00BD7731" w:rsidRDefault="008F7113" w:rsidP="008F7113">
      <w:pPr>
        <w:pStyle w:val="AuthorsFull"/>
        <w:spacing w:line="360" w:lineRule="auto"/>
      </w:pPr>
      <w:r w:rsidRPr="00BD7731">
        <w:t xml:space="preserve">Yasuyuki Nakamura*, </w:t>
      </w:r>
      <w:proofErr w:type="spellStart"/>
      <w:r w:rsidRPr="00BD7731">
        <w:t>Mizuki</w:t>
      </w:r>
      <w:proofErr w:type="spellEnd"/>
      <w:r w:rsidRPr="00BD7731">
        <w:t xml:space="preserve"> </w:t>
      </w:r>
      <w:proofErr w:type="spellStart"/>
      <w:r w:rsidRPr="00BD7731">
        <w:t>Tenjimbayashi</w:t>
      </w:r>
      <w:proofErr w:type="spellEnd"/>
      <w:r w:rsidRPr="00BD7731">
        <w:t xml:space="preserve">, </w:t>
      </w:r>
      <w:proofErr w:type="spellStart"/>
      <w:r w:rsidRPr="00BD7731">
        <w:t>Akinori</w:t>
      </w:r>
      <w:proofErr w:type="spellEnd"/>
      <w:r w:rsidRPr="00BD7731">
        <w:t xml:space="preserve"> Moriya, and Masanobu Naito</w:t>
      </w:r>
    </w:p>
    <w:p w14:paraId="3470CBA1" w14:textId="77777777" w:rsidR="008F7113" w:rsidRPr="00BD7731" w:rsidRDefault="008F7113" w:rsidP="008F7113">
      <w:pPr>
        <w:pStyle w:val="Tableofcontents"/>
      </w:pPr>
    </w:p>
    <w:p w14:paraId="6640B8F3" w14:textId="77777777" w:rsidR="008F7113" w:rsidRPr="00BD7731" w:rsidRDefault="008F7113" w:rsidP="008F7113">
      <w:pPr>
        <w:adjustRightInd w:val="0"/>
        <w:snapToGrid w:val="0"/>
        <w:spacing w:line="300" w:lineRule="exact"/>
        <w:rPr>
          <w:b/>
        </w:rPr>
      </w:pPr>
      <w:r w:rsidRPr="00BD7731">
        <w:rPr>
          <w:b/>
        </w:rPr>
        <w:t>Table of contents</w:t>
      </w:r>
    </w:p>
    <w:p w14:paraId="5C043DD5" w14:textId="77777777" w:rsidR="008F7113" w:rsidRPr="00BD7731" w:rsidRDefault="008F7113" w:rsidP="008F7113">
      <w:pPr>
        <w:adjustRightInd w:val="0"/>
        <w:snapToGrid w:val="0"/>
        <w:spacing w:line="300" w:lineRule="exact"/>
      </w:pPr>
    </w:p>
    <w:p w14:paraId="29C50260" w14:textId="77777777" w:rsidR="008F7113" w:rsidRPr="00BD7731" w:rsidRDefault="008F7113" w:rsidP="008F7113">
      <w:pPr>
        <w:pStyle w:val="af1"/>
        <w:numPr>
          <w:ilvl w:val="0"/>
          <w:numId w:val="1"/>
        </w:numPr>
        <w:adjustRightInd w:val="0"/>
        <w:snapToGrid w:val="0"/>
        <w:spacing w:line="300" w:lineRule="exact"/>
        <w:ind w:leftChars="0"/>
        <w:jc w:val="left"/>
        <w:rPr>
          <w:rFonts w:ascii="Times New Roman" w:hAnsi="Times New Roman"/>
        </w:rPr>
      </w:pPr>
      <w:r w:rsidRPr="00BD7731">
        <w:rPr>
          <w:rFonts w:ascii="Times New Roman" w:hAnsi="Times New Roman"/>
        </w:rPr>
        <w:t>General information</w:t>
      </w:r>
    </w:p>
    <w:p w14:paraId="05F8E93B" w14:textId="77777777" w:rsidR="008F7113" w:rsidRPr="00BD7731" w:rsidRDefault="008F7113" w:rsidP="008F7113">
      <w:pPr>
        <w:pStyle w:val="af1"/>
        <w:numPr>
          <w:ilvl w:val="0"/>
          <w:numId w:val="1"/>
        </w:numPr>
        <w:adjustRightInd w:val="0"/>
        <w:snapToGrid w:val="0"/>
        <w:spacing w:line="300" w:lineRule="exact"/>
        <w:ind w:leftChars="0"/>
        <w:jc w:val="left"/>
        <w:rPr>
          <w:rFonts w:ascii="Times New Roman" w:hAnsi="Times New Roman"/>
        </w:rPr>
      </w:pPr>
      <w:r w:rsidRPr="00BD7731">
        <w:rPr>
          <w:rFonts w:ascii="Times New Roman" w:hAnsi="Times New Roman"/>
        </w:rPr>
        <w:t>Synthetic procedures</w:t>
      </w:r>
    </w:p>
    <w:p w14:paraId="3918336F" w14:textId="77777777" w:rsidR="008F7113" w:rsidRPr="00BD7731" w:rsidRDefault="008F7113" w:rsidP="008F7113">
      <w:pPr>
        <w:pStyle w:val="af1"/>
        <w:numPr>
          <w:ilvl w:val="0"/>
          <w:numId w:val="1"/>
        </w:numPr>
        <w:adjustRightInd w:val="0"/>
        <w:snapToGrid w:val="0"/>
        <w:spacing w:line="300" w:lineRule="exact"/>
        <w:ind w:leftChars="0"/>
        <w:jc w:val="left"/>
        <w:rPr>
          <w:rFonts w:ascii="Times New Roman" w:hAnsi="Times New Roman"/>
        </w:rPr>
      </w:pPr>
      <w:r w:rsidRPr="00BD7731">
        <w:rPr>
          <w:rFonts w:ascii="Times New Roman" w:hAnsi="Times New Roman"/>
        </w:rPr>
        <w:t>Swelling experiment and crosslink density</w:t>
      </w:r>
      <w:r w:rsidRPr="00BD7731">
        <w:rPr>
          <w:rFonts w:ascii="Times New Roman" w:hAnsi="Times New Roman" w:hint="eastAsia"/>
        </w:rPr>
        <w:t xml:space="preserve"> </w:t>
      </w:r>
    </w:p>
    <w:p w14:paraId="7079E93C" w14:textId="77777777" w:rsidR="008F7113" w:rsidRPr="00BD7731" w:rsidRDefault="008F7113" w:rsidP="008F7113">
      <w:pPr>
        <w:pStyle w:val="af1"/>
        <w:numPr>
          <w:ilvl w:val="0"/>
          <w:numId w:val="1"/>
        </w:numPr>
        <w:adjustRightInd w:val="0"/>
        <w:snapToGrid w:val="0"/>
        <w:spacing w:line="300" w:lineRule="exact"/>
        <w:ind w:leftChars="0"/>
        <w:jc w:val="left"/>
        <w:rPr>
          <w:rFonts w:ascii="Times New Roman" w:hAnsi="Times New Roman"/>
        </w:rPr>
      </w:pPr>
      <w:r w:rsidRPr="00BD7731">
        <w:rPr>
          <w:rFonts w:ascii="Times New Roman" w:hAnsi="Times New Roman" w:hint="eastAsia"/>
        </w:rPr>
        <w:t>I</w:t>
      </w:r>
      <w:r w:rsidRPr="00BD7731">
        <w:rPr>
          <w:rFonts w:ascii="Times New Roman" w:hAnsi="Times New Roman"/>
        </w:rPr>
        <w:t>R analysis of the network</w:t>
      </w:r>
    </w:p>
    <w:p w14:paraId="0FF5A0AE" w14:textId="77777777" w:rsidR="008F7113" w:rsidRPr="00BD7731" w:rsidRDefault="008F7113" w:rsidP="008F7113">
      <w:pPr>
        <w:pStyle w:val="af1"/>
        <w:numPr>
          <w:ilvl w:val="0"/>
          <w:numId w:val="1"/>
        </w:numPr>
        <w:ind w:leftChars="0"/>
        <w:rPr>
          <w:rFonts w:ascii="Times New Roman" w:hAnsi="Times New Roman"/>
        </w:rPr>
      </w:pPr>
      <w:r w:rsidRPr="00BD7731">
        <w:rPr>
          <w:rFonts w:ascii="Times New Roman" w:hAnsi="Times New Roman"/>
        </w:rPr>
        <w:t>Study of the network structure by the cleavage of crosslinks</w:t>
      </w:r>
    </w:p>
    <w:p w14:paraId="5D21ECAE" w14:textId="77777777" w:rsidR="008F7113" w:rsidRPr="00BD7731" w:rsidRDefault="008F7113" w:rsidP="008F7113">
      <w:pPr>
        <w:pStyle w:val="af1"/>
        <w:numPr>
          <w:ilvl w:val="0"/>
          <w:numId w:val="1"/>
        </w:numPr>
        <w:ind w:leftChars="0"/>
        <w:rPr>
          <w:rFonts w:ascii="Times New Roman" w:hAnsi="Times New Roman"/>
        </w:rPr>
      </w:pPr>
      <w:proofErr w:type="spellStart"/>
      <w:r w:rsidRPr="00BD7731">
        <w:rPr>
          <w:rFonts w:ascii="Times New Roman" w:hAnsi="Times New Roman"/>
        </w:rPr>
        <w:t>Dissolusion</w:t>
      </w:r>
      <w:proofErr w:type="spellEnd"/>
      <w:r w:rsidRPr="00BD7731">
        <w:rPr>
          <w:rFonts w:ascii="Times New Roman" w:hAnsi="Times New Roman"/>
        </w:rPr>
        <w:t xml:space="preserve"> of crosslinked polymers</w:t>
      </w:r>
    </w:p>
    <w:p w14:paraId="7981B543" w14:textId="77777777" w:rsidR="008F7113" w:rsidRPr="00BD7731" w:rsidRDefault="008F7113" w:rsidP="008F7113">
      <w:pPr>
        <w:pStyle w:val="af1"/>
        <w:numPr>
          <w:ilvl w:val="0"/>
          <w:numId w:val="1"/>
        </w:numPr>
        <w:adjustRightInd w:val="0"/>
        <w:snapToGrid w:val="0"/>
        <w:spacing w:line="300" w:lineRule="exact"/>
        <w:ind w:leftChars="0"/>
        <w:jc w:val="left"/>
        <w:rPr>
          <w:rFonts w:ascii="Times New Roman" w:hAnsi="Times New Roman"/>
        </w:rPr>
      </w:pPr>
      <w:r w:rsidRPr="00BD7731">
        <w:rPr>
          <w:rFonts w:ascii="Times New Roman" w:hAnsi="Times New Roman"/>
        </w:rPr>
        <w:t>DSC analysis of the network</w:t>
      </w:r>
    </w:p>
    <w:p w14:paraId="0013B452" w14:textId="77777777" w:rsidR="008F7113" w:rsidRPr="00BD7731" w:rsidRDefault="008F7113" w:rsidP="008F7113">
      <w:pPr>
        <w:pStyle w:val="af1"/>
        <w:numPr>
          <w:ilvl w:val="0"/>
          <w:numId w:val="1"/>
        </w:numPr>
        <w:adjustRightInd w:val="0"/>
        <w:snapToGrid w:val="0"/>
        <w:spacing w:line="300" w:lineRule="exact"/>
        <w:ind w:leftChars="0"/>
        <w:jc w:val="left"/>
        <w:rPr>
          <w:rFonts w:ascii="Times New Roman" w:hAnsi="Times New Roman"/>
        </w:rPr>
      </w:pPr>
      <w:r w:rsidRPr="00BD7731">
        <w:rPr>
          <w:rFonts w:ascii="Times New Roman" w:hAnsi="Times New Roman" w:hint="eastAsia"/>
        </w:rPr>
        <w:t>R</w:t>
      </w:r>
      <w:r w:rsidRPr="00BD7731">
        <w:rPr>
          <w:rFonts w:ascii="Times New Roman" w:hAnsi="Times New Roman"/>
        </w:rPr>
        <w:t>heological measurements</w:t>
      </w:r>
    </w:p>
    <w:p w14:paraId="0EF94D56" w14:textId="77777777" w:rsidR="008F7113" w:rsidRPr="00BD7731" w:rsidRDefault="008F7113" w:rsidP="008F7113">
      <w:pPr>
        <w:pBdr>
          <w:bottom w:val="single" w:sz="6" w:space="1" w:color="auto"/>
        </w:pBdr>
        <w:adjustRightInd w:val="0"/>
        <w:snapToGrid w:val="0"/>
        <w:spacing w:line="300" w:lineRule="exact"/>
      </w:pPr>
    </w:p>
    <w:p w14:paraId="0D18A1C8" w14:textId="77777777" w:rsidR="008F7113" w:rsidRPr="00BD7731" w:rsidRDefault="008F7113" w:rsidP="008F7113">
      <w:pPr>
        <w:adjustRightInd w:val="0"/>
        <w:snapToGrid w:val="0"/>
        <w:spacing w:line="300" w:lineRule="exact"/>
      </w:pPr>
    </w:p>
    <w:p w14:paraId="05032602" w14:textId="77777777" w:rsidR="008F7113" w:rsidRPr="00BD7731" w:rsidRDefault="008F7113" w:rsidP="008F7113">
      <w:pPr>
        <w:widowControl w:val="0"/>
        <w:numPr>
          <w:ilvl w:val="0"/>
          <w:numId w:val="2"/>
        </w:numPr>
        <w:jc w:val="both"/>
        <w:rPr>
          <w:b/>
          <w:bCs/>
        </w:rPr>
      </w:pPr>
      <w:r w:rsidRPr="00BD7731">
        <w:rPr>
          <w:rFonts w:hint="eastAsia"/>
          <w:b/>
          <w:bCs/>
        </w:rPr>
        <w:t>G</w:t>
      </w:r>
      <w:r w:rsidRPr="00BD7731">
        <w:rPr>
          <w:b/>
          <w:bCs/>
        </w:rPr>
        <w:t>eneral information</w:t>
      </w:r>
    </w:p>
    <w:p w14:paraId="64D5CC6C" w14:textId="77777777" w:rsidR="008F7113" w:rsidRPr="00BD7731" w:rsidRDefault="008F7113" w:rsidP="008F7113">
      <w:pPr>
        <w:rPr>
          <w:b/>
          <w:bCs/>
        </w:rPr>
      </w:pPr>
    </w:p>
    <w:p w14:paraId="79102DA1" w14:textId="77777777" w:rsidR="008F7113" w:rsidRPr="00BD7731" w:rsidRDefault="008F7113" w:rsidP="008F7113">
      <w:r w:rsidRPr="00BD7731">
        <w:rPr>
          <w:b/>
        </w:rPr>
        <w:t>Materials.</w:t>
      </w:r>
      <w:r w:rsidRPr="00BD7731">
        <w:t xml:space="preserve"> Unless otherwise noted, chemicals obtained from commercial suppliers were used as received. Styrene and </w:t>
      </w:r>
      <w:r w:rsidRPr="00BD7731">
        <w:rPr>
          <w:i/>
          <w:iCs/>
        </w:rPr>
        <w:t>tert</w:t>
      </w:r>
      <w:r w:rsidRPr="00BD7731">
        <w:t xml:space="preserve">-butyl methacrylate were passed through activated alumina short column before use. 1,4-Dioxane was dried over a molecular sieve 4A. CuBr was purified by washing with glacial acetic acid, followed by 2-propanol, and then dried under vacuum. </w:t>
      </w:r>
      <w:proofErr w:type="spellStart"/>
      <w:r w:rsidRPr="00BD7731">
        <w:t>Azobisisobutyronitrile</w:t>
      </w:r>
      <w:proofErr w:type="spellEnd"/>
      <w:r w:rsidRPr="00BD7731">
        <w:t xml:space="preserve"> (AIBN) was recrystallized from methanol.</w:t>
      </w:r>
    </w:p>
    <w:p w14:paraId="7CB384C7" w14:textId="77777777" w:rsidR="008F7113" w:rsidRPr="00BD7731" w:rsidRDefault="008F7113" w:rsidP="008F7113"/>
    <w:p w14:paraId="0DF9B9E9" w14:textId="77777777" w:rsidR="008F7113" w:rsidRPr="00BD7731" w:rsidRDefault="008F7113" w:rsidP="008F7113">
      <w:r w:rsidRPr="00BD7731">
        <w:rPr>
          <w:b/>
          <w:bCs/>
        </w:rPr>
        <w:t>Instrumental analyses</w:t>
      </w:r>
      <w:r w:rsidRPr="00BD7731">
        <w:t xml:space="preserve">. </w:t>
      </w:r>
      <w:r w:rsidRPr="00BD7731">
        <w:rPr>
          <w:vertAlign w:val="superscript"/>
        </w:rPr>
        <w:t>1</w:t>
      </w:r>
      <w:r w:rsidRPr="00BD7731">
        <w:t>H (400 MHz) NMR spectra were measured with JEOL ECS-400 for a CDCl</w:t>
      </w:r>
      <w:r w:rsidRPr="00BD7731">
        <w:rPr>
          <w:vertAlign w:val="subscript"/>
        </w:rPr>
        <w:t>3</w:t>
      </w:r>
      <w:r w:rsidRPr="00BD7731">
        <w:t xml:space="preserve"> solution of sample and are reported in ppm (δ) from internal Me</w:t>
      </w:r>
      <w:r w:rsidRPr="00BD7731">
        <w:rPr>
          <w:vertAlign w:val="subscript"/>
        </w:rPr>
        <w:t>4</w:t>
      </w:r>
      <w:r w:rsidRPr="00BD7731">
        <w:t xml:space="preserve">Si. Gel permeation chromatography (GPC) was performed with </w:t>
      </w:r>
      <w:proofErr w:type="spellStart"/>
      <w:r w:rsidRPr="00BD7731">
        <w:t>Viscotek</w:t>
      </w:r>
      <w:proofErr w:type="spellEnd"/>
      <w:r w:rsidRPr="00BD7731">
        <w:t xml:space="preserve"> TDA 302 equipped with polystyrene mixed gel columns at 40 °C using RI and viscosity detectors, and THF or DMF as eluents. The GPC was calibrated with </w:t>
      </w:r>
      <w:proofErr w:type="spellStart"/>
      <w:r w:rsidRPr="00BD7731">
        <w:t>PSt</w:t>
      </w:r>
      <w:proofErr w:type="spellEnd"/>
      <w:r w:rsidRPr="00BD7731">
        <w:t xml:space="preserve"> standards. IR spectra were recorded on JASCO FT/IR-6100 with ATR attachment. Differential scanning calorimetry (DSC) was measured on Shimadzu </w:t>
      </w:r>
      <w:r w:rsidRPr="00BD7731">
        <w:rPr>
          <w:rFonts w:hint="eastAsia"/>
        </w:rPr>
        <w:t>DSC-60</w:t>
      </w:r>
      <w:r w:rsidRPr="00BD7731">
        <w:t xml:space="preserve">Plus under nitrogen atmosphere. The sample was heated at 250 °C for 10 min to erase thermal history, then cooled down, and the temperature cycle was applied at a rate of 10 °C/min. Rheological measurements were carried out on Anton Paar MCR 302 </w:t>
      </w:r>
      <w:proofErr w:type="gramStart"/>
      <w:r w:rsidRPr="00BD7731">
        <w:t>rheometer</w:t>
      </w:r>
      <w:proofErr w:type="gramEnd"/>
      <w:r w:rsidRPr="00BD7731">
        <w:t xml:space="preserve"> equipped with 8 mm parallel plate geometry. </w:t>
      </w:r>
    </w:p>
    <w:p w14:paraId="405DDD9C" w14:textId="77777777" w:rsidR="008F7113" w:rsidRPr="00BD7731" w:rsidRDefault="008F7113" w:rsidP="008F7113">
      <w:pPr>
        <w:rPr>
          <w:b/>
          <w:bCs/>
        </w:rPr>
      </w:pPr>
    </w:p>
    <w:p w14:paraId="6C0B8BD3" w14:textId="7708E246" w:rsidR="008F7113" w:rsidRPr="00BD7731" w:rsidRDefault="008F7113" w:rsidP="008F7113">
      <w:pPr>
        <w:rPr>
          <w:b/>
          <w:bCs/>
        </w:rPr>
      </w:pPr>
      <w:r w:rsidRPr="00BD7731">
        <w:rPr>
          <w:b/>
          <w:bCs/>
        </w:rPr>
        <w:t>Contact angle measurement</w:t>
      </w:r>
    </w:p>
    <w:p w14:paraId="12001BE9" w14:textId="77777777" w:rsidR="008F7113" w:rsidRPr="00BD7731" w:rsidRDefault="008F7113" w:rsidP="008F7113">
      <w:pPr>
        <w:rPr>
          <w:vertAlign w:val="superscript"/>
        </w:rPr>
      </w:pPr>
      <w:r w:rsidRPr="00BD7731">
        <w:t xml:space="preserve">The contact angle was measured by tangent method one of the image analyses obtained from the time-lapsed side view images of our </w:t>
      </w:r>
      <w:proofErr w:type="spellStart"/>
      <w:r w:rsidRPr="00BD7731">
        <w:t>vitrimers</w:t>
      </w:r>
      <w:proofErr w:type="spellEnd"/>
      <w:r w:rsidRPr="00BD7731">
        <w:t xml:space="preserve"> on heated substrate.</w:t>
      </w:r>
      <w:r w:rsidRPr="00BD7731">
        <w:rPr>
          <w:vertAlign w:val="superscript"/>
        </w:rPr>
        <w:t>1</w:t>
      </w:r>
    </w:p>
    <w:p w14:paraId="293B6FAB" w14:textId="77777777" w:rsidR="008F7113" w:rsidRPr="00BD7731" w:rsidRDefault="008F7113" w:rsidP="008F7113"/>
    <w:p w14:paraId="6837CB89" w14:textId="77777777" w:rsidR="008F7113" w:rsidRPr="00BD7731" w:rsidRDefault="008F7113" w:rsidP="008F7113">
      <w:pPr>
        <w:rPr>
          <w:rFonts w:eastAsia="ＭＳ Ｐゴシック"/>
          <w:sz w:val="22"/>
          <w:szCs w:val="22"/>
        </w:rPr>
      </w:pPr>
      <w:r w:rsidRPr="00BD7731">
        <w:rPr>
          <w:sz w:val="22"/>
          <w:szCs w:val="22"/>
          <w:vertAlign w:val="superscript"/>
        </w:rPr>
        <w:t>1</w:t>
      </w:r>
      <w:r w:rsidRPr="00BD7731">
        <w:rPr>
          <w:sz w:val="22"/>
          <w:szCs w:val="22"/>
        </w:rPr>
        <w:t xml:space="preserve"> </w:t>
      </w:r>
      <w:r w:rsidRPr="00BD7731">
        <w:rPr>
          <w:rFonts w:eastAsia="ＭＳ Ｐゴシック"/>
          <w:sz w:val="22"/>
          <w:szCs w:val="22"/>
        </w:rPr>
        <w:t xml:space="preserve">K. Liu, M. </w:t>
      </w:r>
      <w:proofErr w:type="spellStart"/>
      <w:r w:rsidRPr="00BD7731">
        <w:rPr>
          <w:rFonts w:eastAsia="ＭＳ Ｐゴシック"/>
          <w:sz w:val="22"/>
          <w:szCs w:val="22"/>
        </w:rPr>
        <w:t>Vuckovac</w:t>
      </w:r>
      <w:proofErr w:type="spellEnd"/>
      <w:r w:rsidRPr="00BD7731">
        <w:rPr>
          <w:rFonts w:eastAsia="ＭＳ Ｐゴシック"/>
          <w:sz w:val="22"/>
          <w:szCs w:val="22"/>
        </w:rPr>
        <w:t xml:space="preserve">, M. </w:t>
      </w:r>
      <w:proofErr w:type="spellStart"/>
      <w:r w:rsidRPr="00BD7731">
        <w:rPr>
          <w:rFonts w:eastAsia="ＭＳ Ｐゴシック"/>
          <w:sz w:val="22"/>
          <w:szCs w:val="22"/>
        </w:rPr>
        <w:t>Latikka</w:t>
      </w:r>
      <w:proofErr w:type="spellEnd"/>
      <w:r w:rsidRPr="00BD7731">
        <w:rPr>
          <w:rFonts w:eastAsia="ＭＳ Ｐゴシック"/>
          <w:sz w:val="22"/>
          <w:szCs w:val="22"/>
        </w:rPr>
        <w:t xml:space="preserve">, T. Huhtamäki, R. H. A. Ras, </w:t>
      </w:r>
      <w:r w:rsidRPr="00BD7731">
        <w:rPr>
          <w:rFonts w:eastAsia="ＭＳ Ｐゴシック"/>
          <w:i/>
          <w:iCs/>
          <w:sz w:val="22"/>
          <w:szCs w:val="22"/>
        </w:rPr>
        <w:t>Science</w:t>
      </w:r>
      <w:r w:rsidRPr="00BD7731">
        <w:rPr>
          <w:rFonts w:eastAsia="ＭＳ Ｐゴシック"/>
          <w:sz w:val="22"/>
          <w:szCs w:val="22"/>
        </w:rPr>
        <w:t xml:space="preserve"> </w:t>
      </w:r>
      <w:r w:rsidRPr="00BD7731">
        <w:rPr>
          <w:rFonts w:eastAsia="ＭＳ Ｐゴシック"/>
          <w:b/>
          <w:bCs/>
          <w:sz w:val="22"/>
          <w:szCs w:val="22"/>
        </w:rPr>
        <w:t>2019</w:t>
      </w:r>
      <w:r w:rsidRPr="00BD7731">
        <w:rPr>
          <w:rFonts w:eastAsia="ＭＳ Ｐゴシック"/>
          <w:sz w:val="22"/>
          <w:szCs w:val="22"/>
        </w:rPr>
        <w:t xml:space="preserve">, </w:t>
      </w:r>
      <w:r w:rsidRPr="00BD7731">
        <w:rPr>
          <w:rFonts w:eastAsia="ＭＳ Ｐゴシック"/>
          <w:i/>
          <w:iCs/>
          <w:sz w:val="22"/>
          <w:szCs w:val="22"/>
        </w:rPr>
        <w:t>363</w:t>
      </w:r>
      <w:r w:rsidRPr="00BD7731">
        <w:rPr>
          <w:rFonts w:eastAsia="ＭＳ Ｐゴシック"/>
          <w:sz w:val="22"/>
          <w:szCs w:val="22"/>
        </w:rPr>
        <w:t>, 1147–1148.</w:t>
      </w:r>
    </w:p>
    <w:p w14:paraId="3F882D7F" w14:textId="77777777" w:rsidR="008F7113" w:rsidRPr="00BD7731" w:rsidRDefault="008F7113" w:rsidP="008F7113"/>
    <w:p w14:paraId="66463C19" w14:textId="2ADD93B3" w:rsidR="008F7113" w:rsidRPr="00BD7731" w:rsidRDefault="008F7113" w:rsidP="008F7113">
      <w:pPr>
        <w:rPr>
          <w:b/>
          <w:bCs/>
        </w:rPr>
      </w:pPr>
      <w:r w:rsidRPr="00BD7731">
        <w:rPr>
          <w:b/>
          <w:bCs/>
        </w:rPr>
        <w:t>Mending experiment</w:t>
      </w:r>
    </w:p>
    <w:p w14:paraId="2F7C788E" w14:textId="77777777" w:rsidR="008F7113" w:rsidRPr="00BD7731" w:rsidRDefault="008F7113" w:rsidP="008F7113">
      <w:r w:rsidRPr="00BD7731">
        <w:t xml:space="preserve">The specimen of </w:t>
      </w:r>
      <w:r w:rsidRPr="00BD7731">
        <w:rPr>
          <w:b/>
          <w:bCs/>
        </w:rPr>
        <w:t>TN</w:t>
      </w:r>
      <w:r w:rsidRPr="00BD7731">
        <w:rPr>
          <w:vertAlign w:val="subscript"/>
        </w:rPr>
        <w:t>5300</w:t>
      </w:r>
      <w:r w:rsidRPr="00BD7731">
        <w:t xml:space="preserve"> with the size of 15 × 4 × 0.4 mm</w:t>
      </w:r>
      <w:r w:rsidRPr="00BD7731">
        <w:rPr>
          <w:vertAlign w:val="superscript"/>
        </w:rPr>
        <w:t>3</w:t>
      </w:r>
      <w:r w:rsidRPr="00BD7731">
        <w:t xml:space="preserve"> was cut into two pieces. The pieces were brought into contacted on a stainless plate on a hot plate, and heated for 5 min at 160 °C. After heating, the mended specimen was fixed by binders, and a load of 55 g was applied. A higher temperature for repairing resulted in the deformation of the specimen because of the fluidic character of </w:t>
      </w:r>
      <w:r w:rsidRPr="00BD7731">
        <w:rPr>
          <w:b/>
          <w:bCs/>
        </w:rPr>
        <w:t>TN</w:t>
      </w:r>
      <w:r w:rsidRPr="00BD7731">
        <w:rPr>
          <w:vertAlign w:val="subscript"/>
        </w:rPr>
        <w:t>5300</w:t>
      </w:r>
      <w:r w:rsidRPr="00BD7731">
        <w:t>.</w:t>
      </w:r>
    </w:p>
    <w:p w14:paraId="5529A186" w14:textId="77777777" w:rsidR="008F7113" w:rsidRPr="00BD7731" w:rsidRDefault="008F7113" w:rsidP="008F7113"/>
    <w:p w14:paraId="39266586" w14:textId="77777777" w:rsidR="008F7113" w:rsidRPr="00BD7731" w:rsidRDefault="008F7113" w:rsidP="008F7113">
      <w:pPr>
        <w:widowControl w:val="0"/>
        <w:numPr>
          <w:ilvl w:val="0"/>
          <w:numId w:val="2"/>
        </w:numPr>
        <w:jc w:val="both"/>
        <w:rPr>
          <w:b/>
          <w:bCs/>
        </w:rPr>
      </w:pPr>
      <w:r w:rsidRPr="00BD7731">
        <w:rPr>
          <w:b/>
          <w:bCs/>
        </w:rPr>
        <w:t>Synthetic procedures</w:t>
      </w:r>
    </w:p>
    <w:p w14:paraId="1111A956" w14:textId="77777777" w:rsidR="008F7113" w:rsidRPr="00BD7731" w:rsidRDefault="008F7113" w:rsidP="008F7113">
      <w:pPr>
        <w:rPr>
          <w:b/>
          <w:bCs/>
        </w:rPr>
      </w:pPr>
    </w:p>
    <w:p w14:paraId="6D9A120B" w14:textId="77777777" w:rsidR="008F7113" w:rsidRPr="00BD7731" w:rsidRDefault="008F7113" w:rsidP="008F7113">
      <w:r w:rsidRPr="00BD7731">
        <w:rPr>
          <w:b/>
          <w:bCs/>
        </w:rPr>
        <w:t>Synthesis of polystyrene (</w:t>
      </w:r>
      <w:proofErr w:type="spellStart"/>
      <w:r w:rsidRPr="00BD7731">
        <w:rPr>
          <w:b/>
          <w:bCs/>
        </w:rPr>
        <w:t>PSt</w:t>
      </w:r>
      <w:proofErr w:type="spellEnd"/>
      <w:r w:rsidRPr="00BD7731">
        <w:rPr>
          <w:b/>
          <w:bCs/>
        </w:rPr>
        <w:t>) with chain end tert-butyl ester group</w:t>
      </w:r>
      <w:r w:rsidRPr="00BD7731">
        <w:t>.</w:t>
      </w:r>
    </w:p>
    <w:p w14:paraId="4AB32CFA" w14:textId="77777777" w:rsidR="008F7113" w:rsidRPr="00BD7731" w:rsidRDefault="008F7113" w:rsidP="008F7113">
      <w:r w:rsidRPr="00BD7731">
        <w:t xml:space="preserve">Styrene was bubbled with nitrogen gas prior to use. A solution of styrene (65 mL, 0.56 mol), </w:t>
      </w:r>
      <w:r w:rsidRPr="00BD7731">
        <w:rPr>
          <w:i/>
          <w:iCs/>
        </w:rPr>
        <w:t>tert</w:t>
      </w:r>
      <w:r w:rsidRPr="00BD7731">
        <w:t>-butyl 2-bromoisobutyrate (0.76 mL, 4.1 mmol), CuBr (0.58 g, 4.1 mmol), CuBr</w:t>
      </w:r>
      <w:r w:rsidRPr="00BD7731">
        <w:rPr>
          <w:vertAlign w:val="subscript"/>
        </w:rPr>
        <w:t>2</w:t>
      </w:r>
      <w:r w:rsidRPr="00BD7731">
        <w:t xml:space="preserve"> (45 mg, 0.20 mmol), and </w:t>
      </w:r>
      <w:proofErr w:type="gramStart"/>
      <w:r w:rsidRPr="00BD7731">
        <w:rPr>
          <w:i/>
          <w:iCs/>
        </w:rPr>
        <w:t>N</w:t>
      </w:r>
      <w:r w:rsidRPr="00BD7731">
        <w:t>,</w:t>
      </w:r>
      <w:r w:rsidRPr="00BD7731">
        <w:rPr>
          <w:i/>
          <w:iCs/>
        </w:rPr>
        <w:t>N</w:t>
      </w:r>
      <w:proofErr w:type="gramEnd"/>
      <w:r w:rsidRPr="00BD7731">
        <w:t>,</w:t>
      </w:r>
      <w:r w:rsidRPr="00BD7731">
        <w:rPr>
          <w:i/>
          <w:iCs/>
        </w:rPr>
        <w:t>N</w:t>
      </w:r>
      <w:r w:rsidRPr="00BD7731">
        <w:t>',</w:t>
      </w:r>
      <w:r w:rsidRPr="00BD7731">
        <w:rPr>
          <w:i/>
          <w:iCs/>
        </w:rPr>
        <w:t>N</w:t>
      </w:r>
      <w:r w:rsidRPr="00BD7731">
        <w:t>'',</w:t>
      </w:r>
      <w:r w:rsidRPr="00BD7731">
        <w:rPr>
          <w:i/>
          <w:iCs/>
        </w:rPr>
        <w:t>N</w:t>
      </w:r>
      <w:r w:rsidRPr="00BD7731">
        <w:t>''-</w:t>
      </w:r>
      <w:proofErr w:type="spellStart"/>
      <w:r w:rsidRPr="00BD7731">
        <w:t>pentamethyldiethylenetriamine</w:t>
      </w:r>
      <w:proofErr w:type="spellEnd"/>
      <w:r w:rsidRPr="00BD7731">
        <w:t xml:space="preserve"> (PMDETA, 0.85 mL, 4.1 mmol) was heated at 70 °C for 160 min under a nitrogen atmosphere. An aliquot of the reaction mixture was taken, and the copper was removed by passing through alumina. The conversion of the monomer (21%) was determined by </w:t>
      </w:r>
      <w:r w:rsidRPr="00BD7731">
        <w:rPr>
          <w:vertAlign w:val="superscript"/>
        </w:rPr>
        <w:t>1</w:t>
      </w:r>
      <w:r w:rsidRPr="00BD7731">
        <w:t xml:space="preserve">H NMR spectroscopy, and </w:t>
      </w:r>
      <w:r w:rsidRPr="00BD7731">
        <w:rPr>
          <w:i/>
          <w:iCs/>
        </w:rPr>
        <w:t>M</w:t>
      </w:r>
      <w:r w:rsidRPr="00BD7731">
        <w:rPr>
          <w:vertAlign w:val="subscript"/>
        </w:rPr>
        <w:t>n</w:t>
      </w:r>
      <w:r w:rsidRPr="00BD7731">
        <w:t xml:space="preserve"> (2900) and </w:t>
      </w:r>
      <w:r w:rsidRPr="00BD7731">
        <w:rPr>
          <w:i/>
          <w:iCs/>
        </w:rPr>
        <w:t>Ð</w:t>
      </w:r>
      <w:r w:rsidRPr="00BD7731">
        <w:t xml:space="preserve"> (</w:t>
      </w:r>
      <w:r w:rsidRPr="00BD7731">
        <w:rPr>
          <w:i/>
          <w:iCs/>
        </w:rPr>
        <w:t>M</w:t>
      </w:r>
      <w:r w:rsidRPr="00BD7731">
        <w:rPr>
          <w:vertAlign w:val="subscript"/>
        </w:rPr>
        <w:t>w</w:t>
      </w:r>
      <w:r w:rsidRPr="00BD7731">
        <w:t>/</w:t>
      </w:r>
      <w:r w:rsidRPr="00BD7731">
        <w:rPr>
          <w:i/>
          <w:iCs/>
        </w:rPr>
        <w:t>M</w:t>
      </w:r>
      <w:r w:rsidRPr="00BD7731">
        <w:rPr>
          <w:vertAlign w:val="subscript"/>
        </w:rPr>
        <w:t>n</w:t>
      </w:r>
      <w:r w:rsidRPr="00BD7731">
        <w:t xml:space="preserve">, 1.10) of the resulting </w:t>
      </w:r>
      <w:proofErr w:type="spellStart"/>
      <w:r w:rsidRPr="00BD7731">
        <w:t>PSt</w:t>
      </w:r>
      <w:proofErr w:type="spellEnd"/>
      <w:r w:rsidRPr="00BD7731">
        <w:t xml:space="preserve"> were determined by using GPC. The reaction mixture was passed through alumina to remove the copper, and washed with ethyl acetate and aqueous NH</w:t>
      </w:r>
      <w:r w:rsidRPr="00BD7731">
        <w:rPr>
          <w:vertAlign w:val="subscript"/>
        </w:rPr>
        <w:t>4</w:t>
      </w:r>
      <w:r w:rsidRPr="00BD7731">
        <w:t>Cl, and water. The organic phase was dried over MgSO</w:t>
      </w:r>
      <w:r w:rsidRPr="00BD7731">
        <w:rPr>
          <w:vertAlign w:val="subscript"/>
        </w:rPr>
        <w:t>4</w:t>
      </w:r>
      <w:r w:rsidRPr="00BD7731">
        <w:t xml:space="preserve">, and the solvent and remaining styrene monomer were removed under reduced pressure. The obtained </w:t>
      </w:r>
      <w:proofErr w:type="spellStart"/>
      <w:r w:rsidRPr="00BD7731">
        <w:t>PSt</w:t>
      </w:r>
      <w:proofErr w:type="spellEnd"/>
      <w:r w:rsidRPr="00BD7731">
        <w:t xml:space="preserve"> (11.5 g) was directly used in the next procedure.</w:t>
      </w:r>
    </w:p>
    <w:p w14:paraId="56D14BC2" w14:textId="77777777" w:rsidR="008F7113" w:rsidRPr="00BD7731" w:rsidRDefault="008F7113" w:rsidP="008F7113"/>
    <w:p w14:paraId="3654429F" w14:textId="77777777" w:rsidR="008F7113" w:rsidRPr="00BD7731" w:rsidRDefault="008F7113" w:rsidP="008F7113">
      <w:r w:rsidRPr="00BD7731">
        <w:rPr>
          <w:b/>
          <w:bCs/>
        </w:rPr>
        <w:t xml:space="preserve">Reductive radical coupling reaction of </w:t>
      </w:r>
      <w:proofErr w:type="spellStart"/>
      <w:r w:rsidRPr="00BD7731">
        <w:rPr>
          <w:b/>
          <w:bCs/>
        </w:rPr>
        <w:t>PSt</w:t>
      </w:r>
      <w:proofErr w:type="spellEnd"/>
      <w:r w:rsidRPr="00BD7731">
        <w:t>.</w:t>
      </w:r>
    </w:p>
    <w:p w14:paraId="598C8BE0" w14:textId="77777777" w:rsidR="008F7113" w:rsidRPr="00BD7731" w:rsidRDefault="008F7113" w:rsidP="008F7113">
      <w:r w:rsidRPr="00BD7731">
        <w:t xml:space="preserve">A solution of Br-terminated </w:t>
      </w:r>
      <w:proofErr w:type="spellStart"/>
      <w:r w:rsidRPr="00BD7731">
        <w:t>PSt</w:t>
      </w:r>
      <w:proofErr w:type="spellEnd"/>
      <w:r w:rsidRPr="00BD7731">
        <w:t xml:space="preserve"> (11.5 g, synthesized in the above procedure, ca. 4.1 mmol), CuBr (0.58 g, 4.1 mmol), </w:t>
      </w:r>
      <w:proofErr w:type="gramStart"/>
      <w:r w:rsidRPr="00BD7731">
        <w:t>Cu(</w:t>
      </w:r>
      <w:proofErr w:type="gramEnd"/>
      <w:r w:rsidRPr="00BD7731">
        <w:t>0) (1.3 g, 0.02 mol), tris(2-dimethylaminoethyl)amine (Me</w:t>
      </w:r>
      <w:r w:rsidRPr="00BD7731">
        <w:rPr>
          <w:vertAlign w:val="subscript"/>
        </w:rPr>
        <w:t>6</w:t>
      </w:r>
      <w:r w:rsidRPr="00BD7731">
        <w:t xml:space="preserve">-TREN) (2.2 g, 8.1 mmol) and toluene (100 mL, deoxygenated by a nitrogen bubbling) was heated at 70 °C for 6 h under nitrogen atmosphere. An aliquot of the reaction mixture was </w:t>
      </w:r>
      <w:proofErr w:type="gramStart"/>
      <w:r w:rsidRPr="00BD7731">
        <w:t>taken</w:t>
      </w:r>
      <w:proofErr w:type="gramEnd"/>
      <w:r w:rsidRPr="00BD7731">
        <w:t xml:space="preserve"> and the copper was removed by passing through alumina. </w:t>
      </w:r>
      <w:r w:rsidRPr="00BD7731">
        <w:rPr>
          <w:i/>
          <w:iCs/>
        </w:rPr>
        <w:t>M</w:t>
      </w:r>
      <w:r w:rsidRPr="00BD7731">
        <w:rPr>
          <w:vertAlign w:val="subscript"/>
        </w:rPr>
        <w:t>n</w:t>
      </w:r>
      <w:r w:rsidRPr="00BD7731">
        <w:t xml:space="preserve"> (5000) and </w:t>
      </w:r>
      <w:r w:rsidRPr="00BD7731">
        <w:rPr>
          <w:i/>
          <w:iCs/>
        </w:rPr>
        <w:t>Ð</w:t>
      </w:r>
      <w:r w:rsidRPr="00BD7731">
        <w:t xml:space="preserve"> (1.17) of the resulting </w:t>
      </w:r>
      <w:proofErr w:type="spellStart"/>
      <w:r w:rsidRPr="00BD7731">
        <w:t>PSt</w:t>
      </w:r>
      <w:proofErr w:type="spellEnd"/>
      <w:r w:rsidRPr="00BD7731">
        <w:t xml:space="preserve"> was determined by using GPC. The radical coupling efficiency (91%) was estimated by the peak resolution method. The reaction mixture was passed through alumina to remove the copper. The solvent and remaining styrene monomer were removed under reduced pressure. The obtained </w:t>
      </w:r>
      <w:proofErr w:type="spellStart"/>
      <w:r w:rsidRPr="00BD7731">
        <w:t>PSt</w:t>
      </w:r>
      <w:proofErr w:type="spellEnd"/>
      <w:r w:rsidRPr="00BD7731">
        <w:t xml:space="preserve"> was directly used in the next procedure.</w:t>
      </w:r>
    </w:p>
    <w:p w14:paraId="7FDF0077" w14:textId="77777777" w:rsidR="008F7113" w:rsidRPr="00BD7731" w:rsidRDefault="008F7113" w:rsidP="008F7113"/>
    <w:p w14:paraId="2921CB3F" w14:textId="77777777" w:rsidR="008F7113" w:rsidRPr="00BD7731" w:rsidRDefault="008F7113" w:rsidP="008F7113">
      <w:r w:rsidRPr="00BD7731">
        <w:rPr>
          <w:b/>
          <w:bCs/>
        </w:rPr>
        <w:t>Synthesis of CO</w:t>
      </w:r>
      <w:r w:rsidRPr="00BD7731">
        <w:rPr>
          <w:b/>
          <w:bCs/>
          <w:vertAlign w:val="subscript"/>
        </w:rPr>
        <w:t>2</w:t>
      </w:r>
      <w:r w:rsidRPr="00BD7731">
        <w:rPr>
          <w:b/>
          <w:bCs/>
        </w:rPr>
        <w:t xml:space="preserve">H </w:t>
      </w:r>
      <w:proofErr w:type="spellStart"/>
      <w:r w:rsidRPr="00BD7731">
        <w:rPr>
          <w:b/>
          <w:bCs/>
        </w:rPr>
        <w:t>telechelic</w:t>
      </w:r>
      <w:proofErr w:type="spellEnd"/>
      <w:r w:rsidRPr="00BD7731">
        <w:rPr>
          <w:b/>
          <w:bCs/>
        </w:rPr>
        <w:t xml:space="preserve"> </w:t>
      </w:r>
      <w:proofErr w:type="spellStart"/>
      <w:r w:rsidRPr="00BD7731">
        <w:rPr>
          <w:b/>
          <w:bCs/>
        </w:rPr>
        <w:t>PSt</w:t>
      </w:r>
      <w:proofErr w:type="spellEnd"/>
      <w:r w:rsidRPr="00BD7731">
        <w:t>.</w:t>
      </w:r>
    </w:p>
    <w:p w14:paraId="107EE6AA" w14:textId="77777777" w:rsidR="008F7113" w:rsidRPr="00BD7731" w:rsidRDefault="008F7113" w:rsidP="008F7113">
      <w:r w:rsidRPr="00BD7731">
        <w:t xml:space="preserve">A solution of </w:t>
      </w:r>
      <w:proofErr w:type="spellStart"/>
      <w:r w:rsidRPr="00BD7731">
        <w:t>telechelic</w:t>
      </w:r>
      <w:proofErr w:type="spellEnd"/>
      <w:r w:rsidRPr="00BD7731">
        <w:t xml:space="preserve"> </w:t>
      </w:r>
      <w:proofErr w:type="spellStart"/>
      <w:r w:rsidRPr="00BD7731">
        <w:t>PSt</w:t>
      </w:r>
      <w:proofErr w:type="spellEnd"/>
      <w:r w:rsidRPr="00BD7731">
        <w:t xml:space="preserve"> (11 g, synthesized in the above procedure) and 1,4-dioxane (120 mL) was added aqueous conc. HCl (2 mol/L, 70 mL). The resulting mixture was heated at 80 °C and stirred for 14 h. An aliquot of the reaction mixture was taken, and the disappearance of the signal of </w:t>
      </w:r>
      <w:r w:rsidRPr="00BD7731">
        <w:rPr>
          <w:i/>
          <w:iCs/>
        </w:rPr>
        <w:t>tert</w:t>
      </w:r>
      <w:r w:rsidRPr="00BD7731">
        <w:t xml:space="preserve">-butyl group on the chain ends was confirmed in </w:t>
      </w:r>
      <w:r w:rsidRPr="00BD7731">
        <w:rPr>
          <w:vertAlign w:val="superscript"/>
        </w:rPr>
        <w:t>1</w:t>
      </w:r>
      <w:r w:rsidRPr="00BD7731">
        <w:t>H NMR analysis. The resulting mixture was cooled down, added ethyl acetate, and washed with water for four times. The combined ethyl acetate phase was further washed with aqueous NaHCO</w:t>
      </w:r>
      <w:r w:rsidRPr="00BD7731">
        <w:rPr>
          <w:vertAlign w:val="subscript"/>
        </w:rPr>
        <w:t>3</w:t>
      </w:r>
      <w:r w:rsidRPr="00BD7731">
        <w:t xml:space="preserve"> solution and water. The organic phase was dried over MgSO</w:t>
      </w:r>
      <w:r w:rsidRPr="00BD7731">
        <w:rPr>
          <w:vertAlign w:val="subscript"/>
        </w:rPr>
        <w:t>4</w:t>
      </w:r>
      <w:r w:rsidRPr="00BD7731">
        <w:t>, and the solvent was removed under reduced pressure to afford CO</w:t>
      </w:r>
      <w:r w:rsidRPr="00BD7731">
        <w:rPr>
          <w:vertAlign w:val="subscript"/>
        </w:rPr>
        <w:t>2</w:t>
      </w:r>
      <w:r w:rsidRPr="00BD7731">
        <w:t xml:space="preserve">H </w:t>
      </w:r>
      <w:proofErr w:type="spellStart"/>
      <w:r w:rsidRPr="00BD7731">
        <w:t>telechelic</w:t>
      </w:r>
      <w:proofErr w:type="spellEnd"/>
      <w:r w:rsidRPr="00BD7731">
        <w:t xml:space="preserve"> </w:t>
      </w:r>
      <w:proofErr w:type="spellStart"/>
      <w:r w:rsidRPr="00BD7731">
        <w:t>PSt</w:t>
      </w:r>
      <w:proofErr w:type="spellEnd"/>
      <w:r w:rsidRPr="00BD7731">
        <w:t xml:space="preserve"> (10.7 g). </w:t>
      </w:r>
      <w:r w:rsidRPr="00BD7731">
        <w:rPr>
          <w:i/>
          <w:iCs/>
        </w:rPr>
        <w:t>M</w:t>
      </w:r>
      <w:r w:rsidRPr="00BD7731">
        <w:rPr>
          <w:vertAlign w:val="subscript"/>
        </w:rPr>
        <w:t>n</w:t>
      </w:r>
      <w:r w:rsidRPr="00BD7731">
        <w:t xml:space="preserve"> (5300) and </w:t>
      </w:r>
      <w:r w:rsidRPr="00BD7731">
        <w:rPr>
          <w:i/>
          <w:iCs/>
        </w:rPr>
        <w:t>Ð</w:t>
      </w:r>
      <w:r w:rsidRPr="00BD7731">
        <w:t xml:space="preserve"> (1.16) were determined by using GPC.</w:t>
      </w:r>
    </w:p>
    <w:p w14:paraId="6F63B2C4" w14:textId="77777777" w:rsidR="008F7113" w:rsidRPr="00BD7731" w:rsidRDefault="008F7113" w:rsidP="008F7113"/>
    <w:p w14:paraId="5ECDED15" w14:textId="77777777" w:rsidR="008F7113" w:rsidRPr="00BD7731" w:rsidRDefault="008F7113" w:rsidP="008F7113">
      <w:r w:rsidRPr="00BD7731">
        <w:rPr>
          <w:rFonts w:hint="eastAsia"/>
          <w:b/>
          <w:bCs/>
        </w:rPr>
        <w:t>S</w:t>
      </w:r>
      <w:r w:rsidRPr="00BD7731">
        <w:rPr>
          <w:b/>
          <w:bCs/>
        </w:rPr>
        <w:t>ynthesis of Poly(styrene-</w:t>
      </w:r>
      <w:r w:rsidRPr="00BD7731">
        <w:rPr>
          <w:b/>
          <w:bCs/>
          <w:i/>
          <w:iCs/>
        </w:rPr>
        <w:t>co</w:t>
      </w:r>
      <w:r w:rsidRPr="00BD7731">
        <w:rPr>
          <w:b/>
          <w:bCs/>
        </w:rPr>
        <w:t>-</w:t>
      </w:r>
      <w:r w:rsidRPr="00BD7731">
        <w:rPr>
          <w:b/>
          <w:bCs/>
          <w:i/>
          <w:iCs/>
        </w:rPr>
        <w:t>tert</w:t>
      </w:r>
      <w:r w:rsidRPr="00BD7731">
        <w:rPr>
          <w:b/>
          <w:bCs/>
        </w:rPr>
        <w:t>-</w:t>
      </w:r>
      <w:proofErr w:type="spellStart"/>
      <w:r w:rsidRPr="00BD7731">
        <w:rPr>
          <w:b/>
          <w:bCs/>
        </w:rPr>
        <w:t>butylmethacrylate</w:t>
      </w:r>
      <w:proofErr w:type="spellEnd"/>
      <w:r w:rsidRPr="00BD7731">
        <w:rPr>
          <w:b/>
          <w:bCs/>
        </w:rPr>
        <w:t>)</w:t>
      </w:r>
      <w:r w:rsidRPr="00BD7731">
        <w:t>.</w:t>
      </w:r>
    </w:p>
    <w:p w14:paraId="1D0D1D6A" w14:textId="77777777" w:rsidR="008F7113" w:rsidRPr="00BD7731" w:rsidRDefault="008F7113" w:rsidP="008F7113">
      <w:r w:rsidRPr="00BD7731">
        <w:t xml:space="preserve">Styrene and </w:t>
      </w:r>
      <w:r w:rsidRPr="00BD7731">
        <w:rPr>
          <w:i/>
          <w:iCs/>
        </w:rPr>
        <w:t>tert</w:t>
      </w:r>
      <w:r w:rsidRPr="00BD7731">
        <w:t xml:space="preserve">-butyl methacrylate were bubbled with nitrogen gas prior to use. </w:t>
      </w:r>
      <w:bookmarkStart w:id="7" w:name="_Hlk52140449"/>
      <w:r w:rsidRPr="00BD7731">
        <w:t xml:space="preserve">A solution of styrene (12 mL, 0.10 mol), </w:t>
      </w:r>
      <w:r w:rsidRPr="00BD7731">
        <w:rPr>
          <w:i/>
          <w:iCs/>
        </w:rPr>
        <w:t>tert</w:t>
      </w:r>
      <w:r w:rsidRPr="00BD7731">
        <w:t>-butyl methacrylate (0.58 mL, 3.6 mmol), (1-</w:t>
      </w:r>
      <w:proofErr w:type="gramStart"/>
      <w:r w:rsidRPr="00BD7731">
        <w:t>bromoethyl)benzene</w:t>
      </w:r>
      <w:proofErr w:type="gramEnd"/>
      <w:r w:rsidRPr="00BD7731">
        <w:t xml:space="preserve"> (0.10 mL, 0.73 mmol), CuBr (0.10 g, 0.73 mmol), CuBr</w:t>
      </w:r>
      <w:r w:rsidRPr="00BD7731">
        <w:rPr>
          <w:vertAlign w:val="subscript"/>
        </w:rPr>
        <w:t>2</w:t>
      </w:r>
      <w:r w:rsidRPr="00BD7731">
        <w:t xml:space="preserve"> (8.1 mg, 0.036 mmol), and PMDETA (0.15 mL, 0.73 mmol) was heated at 80 °C for 120 min under a nitrogen atmosphere. An aliquot of the reaction mixture was taken, and the copper was removed by passing through alumina. The conversion of the styrene monomer (36%) was determined by </w:t>
      </w:r>
      <w:r w:rsidRPr="00BD7731">
        <w:rPr>
          <w:vertAlign w:val="superscript"/>
        </w:rPr>
        <w:t>1</w:t>
      </w:r>
      <w:r w:rsidRPr="00BD7731">
        <w:t>H NMR spectroscopy,</w:t>
      </w:r>
      <w:bookmarkEnd w:id="7"/>
      <w:r w:rsidRPr="00BD7731">
        <w:t xml:space="preserve"> and </w:t>
      </w:r>
      <w:r w:rsidRPr="00BD7731">
        <w:rPr>
          <w:i/>
          <w:iCs/>
        </w:rPr>
        <w:t>M</w:t>
      </w:r>
      <w:r w:rsidRPr="00BD7731">
        <w:rPr>
          <w:vertAlign w:val="subscript"/>
        </w:rPr>
        <w:t>n</w:t>
      </w:r>
      <w:r w:rsidRPr="00BD7731">
        <w:t xml:space="preserve"> (6200) and </w:t>
      </w:r>
      <w:r w:rsidRPr="00BD7731">
        <w:rPr>
          <w:i/>
          <w:iCs/>
        </w:rPr>
        <w:t>Ð</w:t>
      </w:r>
      <w:r w:rsidRPr="00BD7731">
        <w:t xml:space="preserve"> (</w:t>
      </w:r>
      <w:r w:rsidRPr="00BD7731">
        <w:rPr>
          <w:i/>
          <w:iCs/>
        </w:rPr>
        <w:t>M</w:t>
      </w:r>
      <w:r w:rsidRPr="00BD7731">
        <w:rPr>
          <w:vertAlign w:val="subscript"/>
        </w:rPr>
        <w:t>w</w:t>
      </w:r>
      <w:r w:rsidRPr="00BD7731">
        <w:t>/</w:t>
      </w:r>
      <w:r w:rsidRPr="00BD7731">
        <w:rPr>
          <w:i/>
          <w:iCs/>
        </w:rPr>
        <w:t>M</w:t>
      </w:r>
      <w:r w:rsidRPr="00BD7731">
        <w:rPr>
          <w:vertAlign w:val="subscript"/>
        </w:rPr>
        <w:t>n</w:t>
      </w:r>
      <w:r w:rsidRPr="00BD7731">
        <w:t>, 1.09) of the resulting copolymer was determined by using GPC. The reaction mixture was passed through alumina to remove the copper, and washed with ethyl acetate and aqueous NH</w:t>
      </w:r>
      <w:r w:rsidRPr="00BD7731">
        <w:rPr>
          <w:vertAlign w:val="subscript"/>
        </w:rPr>
        <w:t>4</w:t>
      </w:r>
      <w:r w:rsidRPr="00BD7731">
        <w:t>Cl, and water. The organic phase was dried over MgSO</w:t>
      </w:r>
      <w:r w:rsidRPr="00BD7731">
        <w:rPr>
          <w:vertAlign w:val="subscript"/>
        </w:rPr>
        <w:t>4</w:t>
      </w:r>
      <w:r w:rsidRPr="00BD7731">
        <w:t>, and the solvent and remaining styrene monomer were removed under reduced pressure. The obtained copolymer (3.5 g) was directly used in the next procedure.</w:t>
      </w:r>
    </w:p>
    <w:p w14:paraId="1B2E3CBC" w14:textId="77777777" w:rsidR="008F7113" w:rsidRPr="00BD7731" w:rsidRDefault="008F7113" w:rsidP="008F7113"/>
    <w:p w14:paraId="57DCA7E0" w14:textId="77777777" w:rsidR="008F7113" w:rsidRPr="00BD7731" w:rsidRDefault="008F7113" w:rsidP="008F7113">
      <w:r w:rsidRPr="00BD7731">
        <w:rPr>
          <w:rFonts w:hint="eastAsia"/>
          <w:b/>
          <w:bCs/>
        </w:rPr>
        <w:t>H</w:t>
      </w:r>
      <w:r w:rsidRPr="00BD7731">
        <w:rPr>
          <w:b/>
          <w:bCs/>
        </w:rPr>
        <w:t>ydrolysis of poly(styrene-</w:t>
      </w:r>
      <w:r w:rsidRPr="00BD7731">
        <w:rPr>
          <w:b/>
          <w:bCs/>
          <w:i/>
          <w:iCs/>
        </w:rPr>
        <w:t>co</w:t>
      </w:r>
      <w:r w:rsidRPr="00BD7731">
        <w:rPr>
          <w:b/>
          <w:bCs/>
        </w:rPr>
        <w:t>-</w:t>
      </w:r>
      <w:r w:rsidRPr="00BD7731">
        <w:rPr>
          <w:b/>
          <w:bCs/>
          <w:i/>
          <w:iCs/>
        </w:rPr>
        <w:t>tert</w:t>
      </w:r>
      <w:r w:rsidRPr="00BD7731">
        <w:rPr>
          <w:b/>
          <w:bCs/>
        </w:rPr>
        <w:t>-</w:t>
      </w:r>
      <w:proofErr w:type="spellStart"/>
      <w:r w:rsidRPr="00BD7731">
        <w:rPr>
          <w:b/>
          <w:bCs/>
        </w:rPr>
        <w:t>butylmethacrylate</w:t>
      </w:r>
      <w:proofErr w:type="spellEnd"/>
      <w:r w:rsidRPr="00BD7731">
        <w:rPr>
          <w:b/>
          <w:bCs/>
        </w:rPr>
        <w:t>)</w:t>
      </w:r>
      <w:r w:rsidRPr="00BD7731">
        <w:t>.</w:t>
      </w:r>
    </w:p>
    <w:p w14:paraId="47212354" w14:textId="77777777" w:rsidR="008F7113" w:rsidRPr="00BD7731" w:rsidRDefault="008F7113" w:rsidP="008F7113">
      <w:r w:rsidRPr="00BD7731">
        <w:t>A solution of Br-terminated poly(styrene-</w:t>
      </w:r>
      <w:r w:rsidRPr="00BD7731">
        <w:rPr>
          <w:i/>
          <w:iCs/>
        </w:rPr>
        <w:t>co</w:t>
      </w:r>
      <w:r w:rsidRPr="00BD7731">
        <w:t>-</w:t>
      </w:r>
      <w:r w:rsidRPr="00BD7731">
        <w:rPr>
          <w:i/>
          <w:iCs/>
        </w:rPr>
        <w:t>tert</w:t>
      </w:r>
      <w:r w:rsidRPr="00BD7731">
        <w:t>-</w:t>
      </w:r>
      <w:proofErr w:type="spellStart"/>
      <w:r w:rsidRPr="00BD7731">
        <w:t>butylmethacrylate</w:t>
      </w:r>
      <w:proofErr w:type="spellEnd"/>
      <w:r w:rsidRPr="00BD7731">
        <w:t>) (3.1 g, 0.58 mmol), AIBN (9.5 mg, 0.058 mmol), Bu</w:t>
      </w:r>
      <w:r w:rsidRPr="00BD7731">
        <w:rPr>
          <w:vertAlign w:val="subscript"/>
        </w:rPr>
        <w:t>3</w:t>
      </w:r>
      <w:r w:rsidRPr="00BD7731">
        <w:t xml:space="preserve">SnH (0.17 mL, 0.64 mmol) and toluene (20 mL, deoxygenated by a nitrogen bubbling) was heated at 75 °C under a nitrogen atmosphere for 16 h. The resulting solution was slowly poured into a vigorously stirred methanol. The precipitated polymer was collected by a suction filtration and dried under reduced pressure. The obtained end-reduced copolymer was dissolved in 1,4-dioxane (30 mL). The solution was added aqueous conc. HCl (2 mol/L, 16 mL). The resulting mixture was heated at 80 °C for 14 h. An aliquot of the reaction mixture was taken, and the disappearance of the signal of </w:t>
      </w:r>
      <w:r w:rsidRPr="00BD7731">
        <w:rPr>
          <w:i/>
          <w:iCs/>
        </w:rPr>
        <w:t>tert</w:t>
      </w:r>
      <w:r w:rsidRPr="00BD7731">
        <w:t xml:space="preserve">-butyl group on the chain ends was confirmed in </w:t>
      </w:r>
      <w:r w:rsidRPr="00BD7731">
        <w:rPr>
          <w:vertAlign w:val="superscript"/>
        </w:rPr>
        <w:t>1</w:t>
      </w:r>
      <w:r w:rsidRPr="00BD7731">
        <w:t xml:space="preserve">H NMR analysis. The resulting mixture was added ethyl </w:t>
      </w:r>
      <w:proofErr w:type="gramStart"/>
      <w:r w:rsidRPr="00BD7731">
        <w:t>acetate, and</w:t>
      </w:r>
      <w:proofErr w:type="gramEnd"/>
      <w:r w:rsidRPr="00BD7731">
        <w:t xml:space="preserve"> washed with water for four times. The combined ethyl acetate phase was further washed with aqueous NaHCO</w:t>
      </w:r>
      <w:r w:rsidRPr="00BD7731">
        <w:rPr>
          <w:vertAlign w:val="subscript"/>
        </w:rPr>
        <w:t>3</w:t>
      </w:r>
      <w:r w:rsidRPr="00BD7731">
        <w:t xml:space="preserve"> solution and water. The organic phase was dried over MgSO</w:t>
      </w:r>
      <w:r w:rsidRPr="00BD7731">
        <w:rPr>
          <w:vertAlign w:val="subscript"/>
        </w:rPr>
        <w:t>4</w:t>
      </w:r>
      <w:r w:rsidRPr="00BD7731">
        <w:t xml:space="preserve">, and the solvent was removed under reduced pressure to afford </w:t>
      </w:r>
      <w:proofErr w:type="gramStart"/>
      <w:r w:rsidRPr="00BD7731">
        <w:t>poly(</w:t>
      </w:r>
      <w:proofErr w:type="gramEnd"/>
      <w:r w:rsidRPr="00BD7731">
        <w:t>styrene-</w:t>
      </w:r>
      <w:r w:rsidRPr="00BD7731">
        <w:rPr>
          <w:i/>
          <w:iCs/>
        </w:rPr>
        <w:t>co</w:t>
      </w:r>
      <w:r w:rsidRPr="00BD7731">
        <w:t xml:space="preserve">-methacrylic acid) (3.0 g). </w:t>
      </w:r>
      <w:r w:rsidRPr="00BD7731">
        <w:rPr>
          <w:i/>
          <w:iCs/>
        </w:rPr>
        <w:t>M</w:t>
      </w:r>
      <w:r w:rsidRPr="00BD7731">
        <w:rPr>
          <w:vertAlign w:val="subscript"/>
        </w:rPr>
        <w:t>n</w:t>
      </w:r>
      <w:r w:rsidRPr="00BD7731">
        <w:t xml:space="preserve"> (6000) and </w:t>
      </w:r>
      <w:r w:rsidRPr="00BD7731">
        <w:rPr>
          <w:i/>
          <w:iCs/>
        </w:rPr>
        <w:t>Ð</w:t>
      </w:r>
      <w:r w:rsidRPr="00BD7731">
        <w:t xml:space="preserve"> (1.10) were determined by using GPC.</w:t>
      </w:r>
    </w:p>
    <w:p w14:paraId="5D551705" w14:textId="77777777" w:rsidR="008F7113" w:rsidRPr="00BD7731" w:rsidRDefault="008F7113" w:rsidP="008F7113"/>
    <w:p w14:paraId="2460FBED" w14:textId="77777777" w:rsidR="008F7113" w:rsidRPr="00BD7731" w:rsidRDefault="008F7113" w:rsidP="008F7113">
      <w:pPr>
        <w:rPr>
          <w:b/>
          <w:bCs/>
        </w:rPr>
      </w:pPr>
      <w:r w:rsidRPr="00BD7731">
        <w:rPr>
          <w:b/>
          <w:bCs/>
        </w:rPr>
        <w:t>Determination of average number of CO</w:t>
      </w:r>
      <w:r w:rsidRPr="00BD7731">
        <w:rPr>
          <w:b/>
          <w:bCs/>
          <w:vertAlign w:val="subscript"/>
        </w:rPr>
        <w:t>2</w:t>
      </w:r>
      <w:r w:rsidRPr="00BD7731">
        <w:rPr>
          <w:b/>
          <w:bCs/>
        </w:rPr>
        <w:t xml:space="preserve">H group in </w:t>
      </w:r>
      <w:proofErr w:type="gramStart"/>
      <w:r w:rsidRPr="00BD7731">
        <w:rPr>
          <w:b/>
          <w:bCs/>
        </w:rPr>
        <w:t>poly(</w:t>
      </w:r>
      <w:proofErr w:type="gramEnd"/>
      <w:r w:rsidRPr="00BD7731">
        <w:rPr>
          <w:b/>
          <w:bCs/>
        </w:rPr>
        <w:t>styrene-</w:t>
      </w:r>
      <w:r w:rsidRPr="00BD7731">
        <w:rPr>
          <w:b/>
          <w:bCs/>
          <w:i/>
          <w:iCs/>
        </w:rPr>
        <w:t>co</w:t>
      </w:r>
      <w:r w:rsidRPr="00BD7731">
        <w:rPr>
          <w:b/>
          <w:bCs/>
        </w:rPr>
        <w:t>-methacrylic acid)</w:t>
      </w:r>
    </w:p>
    <w:p w14:paraId="37AD7629" w14:textId="77777777" w:rsidR="008F7113" w:rsidRPr="00BD7731" w:rsidRDefault="008F7113" w:rsidP="008F7113">
      <w:pPr>
        <w:jc w:val="center"/>
      </w:pPr>
      <w:r w:rsidRPr="00BD7731">
        <w:rPr>
          <w:noProof/>
        </w:rPr>
        <w:drawing>
          <wp:inline distT="0" distB="0" distL="0" distR="0" wp14:anchorId="767D0E04" wp14:editId="368FB8CC">
            <wp:extent cx="4415816" cy="3384534"/>
            <wp:effectExtent l="0" t="0" r="0" b="6985"/>
            <wp:docPr id="9"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417288" cy="3385662"/>
                    </a:xfrm>
                    <a:prstGeom prst="rect">
                      <a:avLst/>
                    </a:prstGeom>
                    <a:noFill/>
                    <a:ln>
                      <a:noFill/>
                    </a:ln>
                  </pic:spPr>
                </pic:pic>
              </a:graphicData>
            </a:graphic>
          </wp:inline>
        </w:drawing>
      </w:r>
    </w:p>
    <w:p w14:paraId="149ACC2D" w14:textId="2F70FA27" w:rsidR="008F7113" w:rsidRPr="00BD7731" w:rsidRDefault="008F7113" w:rsidP="008F7113">
      <w:r w:rsidRPr="00BD7731">
        <w:rPr>
          <w:rFonts w:hint="eastAsia"/>
          <w:b/>
          <w:bCs/>
        </w:rPr>
        <w:t>F</w:t>
      </w:r>
      <w:r w:rsidRPr="00BD7731">
        <w:rPr>
          <w:b/>
          <w:bCs/>
        </w:rPr>
        <w:t>igure S</w:t>
      </w:r>
      <w:r w:rsidRPr="00BD7731">
        <w:rPr>
          <w:b/>
          <w:bCs/>
        </w:rPr>
        <w:fldChar w:fldCharType="begin"/>
      </w:r>
      <w:r w:rsidRPr="00BD7731">
        <w:rPr>
          <w:b/>
          <w:bCs/>
        </w:rPr>
        <w:instrText xml:space="preserve"> SEQ FigureSI \* MERGEFORMAT </w:instrText>
      </w:r>
      <w:r w:rsidRPr="00BD7731">
        <w:rPr>
          <w:b/>
          <w:bCs/>
        </w:rPr>
        <w:fldChar w:fldCharType="separate"/>
      </w:r>
      <w:r w:rsidR="00CF7DF3" w:rsidRPr="00BD7731">
        <w:rPr>
          <w:b/>
          <w:bCs/>
          <w:noProof/>
        </w:rPr>
        <w:t>1</w:t>
      </w:r>
      <w:r w:rsidRPr="00BD7731">
        <w:rPr>
          <w:b/>
          <w:bCs/>
        </w:rPr>
        <w:fldChar w:fldCharType="end"/>
      </w:r>
      <w:r w:rsidRPr="00BD7731">
        <w:rPr>
          <w:b/>
          <w:bCs/>
        </w:rPr>
        <w:t>.</w:t>
      </w:r>
      <w:r w:rsidRPr="00BD7731">
        <w:t xml:space="preserve"> </w:t>
      </w:r>
      <w:r w:rsidRPr="00BD7731">
        <w:rPr>
          <w:vertAlign w:val="superscript"/>
        </w:rPr>
        <w:t>1</w:t>
      </w:r>
      <w:r w:rsidRPr="00BD7731">
        <w:t xml:space="preserve">H NMR spectra of (a) </w:t>
      </w:r>
      <w:proofErr w:type="gramStart"/>
      <w:r w:rsidRPr="00BD7731">
        <w:t>poly(</w:t>
      </w:r>
      <w:proofErr w:type="gramEnd"/>
      <w:r w:rsidRPr="00BD7731">
        <w:t>styrene-</w:t>
      </w:r>
      <w:r w:rsidRPr="00BD7731">
        <w:rPr>
          <w:i/>
          <w:iCs/>
        </w:rPr>
        <w:t>co</w:t>
      </w:r>
      <w:r w:rsidRPr="00BD7731">
        <w:t>-</w:t>
      </w:r>
      <w:r w:rsidRPr="00BD7731">
        <w:rPr>
          <w:i/>
          <w:iCs/>
        </w:rPr>
        <w:t>tert</w:t>
      </w:r>
      <w:r w:rsidRPr="00BD7731">
        <w:t>-butyl methacrylate) after the polymerization and (b) poly(styrene-</w:t>
      </w:r>
      <w:r w:rsidRPr="00BD7731">
        <w:rPr>
          <w:i/>
          <w:iCs/>
        </w:rPr>
        <w:t>co</w:t>
      </w:r>
      <w:r w:rsidRPr="00BD7731">
        <w:t xml:space="preserve">-methacrylic acid) after the chain end reduction and hydrolysis. In the spectrum (a), the number of </w:t>
      </w:r>
      <w:r w:rsidRPr="00BD7731">
        <w:rPr>
          <w:i/>
          <w:iCs/>
        </w:rPr>
        <w:t>tert</w:t>
      </w:r>
      <w:r w:rsidRPr="00BD7731">
        <w:t xml:space="preserve">-butyl methacrylate unit in an obtained polymer chain was calculated from the area of signals in aromatic region (5H, styrene unit) and aliphatic region (3H, styrene-derived unit, and 14H, </w:t>
      </w:r>
      <w:r w:rsidRPr="00BD7731">
        <w:rPr>
          <w:i/>
          <w:iCs/>
        </w:rPr>
        <w:t>tert</w:t>
      </w:r>
      <w:r w:rsidRPr="00BD7731">
        <w:t>-butyl methacrylate-derived unit). The influence of the solvent signals was removed before the calculation. The determined composition ratio was styrene/</w:t>
      </w:r>
      <w:r w:rsidRPr="00BD7731">
        <w:rPr>
          <w:i/>
          <w:iCs/>
        </w:rPr>
        <w:t>tert</w:t>
      </w:r>
      <w:r w:rsidRPr="00BD7731">
        <w:t xml:space="preserve">-butyl methacrylate = 96.6/3.6. Number of total monomer unit in a chain was estimated to be 59 from the determined </w:t>
      </w:r>
      <w:r w:rsidRPr="00BD7731">
        <w:rPr>
          <w:i/>
          <w:iCs/>
        </w:rPr>
        <w:t>M</w:t>
      </w:r>
      <w:r w:rsidRPr="00BD7731">
        <w:rPr>
          <w:vertAlign w:val="subscript"/>
        </w:rPr>
        <w:t>n</w:t>
      </w:r>
      <w:r w:rsidRPr="00BD7731">
        <w:t xml:space="preserve">, and thus the number of </w:t>
      </w:r>
      <w:r w:rsidRPr="00BD7731">
        <w:rPr>
          <w:i/>
          <w:iCs/>
        </w:rPr>
        <w:t>tert</w:t>
      </w:r>
      <w:r w:rsidRPr="00BD7731">
        <w:t xml:space="preserve">-butyl methacrylate unit in a chain was 2.01. The number of </w:t>
      </w:r>
      <w:r w:rsidRPr="00BD7731">
        <w:rPr>
          <w:i/>
          <w:iCs/>
        </w:rPr>
        <w:t>tert</w:t>
      </w:r>
      <w:r w:rsidRPr="00BD7731">
        <w:t>-butyl methacrylate unit in the copolymer is identical to the number of CO</w:t>
      </w:r>
      <w:r w:rsidRPr="00BD7731">
        <w:rPr>
          <w:vertAlign w:val="subscript"/>
        </w:rPr>
        <w:t>2</w:t>
      </w:r>
      <w:r w:rsidRPr="00BD7731">
        <w:t xml:space="preserve">H group in </w:t>
      </w:r>
      <w:proofErr w:type="gramStart"/>
      <w:r w:rsidRPr="00BD7731">
        <w:t>poly(</w:t>
      </w:r>
      <w:proofErr w:type="gramEnd"/>
      <w:r w:rsidRPr="00BD7731">
        <w:t>styrene-</w:t>
      </w:r>
      <w:r w:rsidRPr="00BD7731">
        <w:rPr>
          <w:i/>
          <w:iCs/>
        </w:rPr>
        <w:t>co</w:t>
      </w:r>
      <w:r w:rsidRPr="00BD7731">
        <w:t>-methacrylic acid) after hydrolysis.</w:t>
      </w:r>
    </w:p>
    <w:p w14:paraId="1197A68E" w14:textId="77777777" w:rsidR="008F7113" w:rsidRPr="00BD7731" w:rsidRDefault="008F7113" w:rsidP="008F7113"/>
    <w:p w14:paraId="01DD3EA7" w14:textId="77777777" w:rsidR="008F7113" w:rsidRPr="00BD7731" w:rsidRDefault="008F7113" w:rsidP="008F7113">
      <w:pPr>
        <w:rPr>
          <w:b/>
          <w:bCs/>
        </w:rPr>
      </w:pPr>
      <w:r w:rsidRPr="00BD7731">
        <w:rPr>
          <w:b/>
          <w:bCs/>
        </w:rPr>
        <w:t>Kinetics of the c</w:t>
      </w:r>
      <w:r w:rsidRPr="00BD7731">
        <w:rPr>
          <w:rFonts w:hint="eastAsia"/>
          <w:b/>
          <w:bCs/>
        </w:rPr>
        <w:t xml:space="preserve">opolymerization </w:t>
      </w:r>
      <w:r w:rsidRPr="00BD7731">
        <w:rPr>
          <w:b/>
          <w:bCs/>
        </w:rPr>
        <w:t xml:space="preserve">of styrene and </w:t>
      </w:r>
      <w:r w:rsidRPr="00BD7731">
        <w:rPr>
          <w:b/>
          <w:bCs/>
          <w:i/>
          <w:iCs/>
        </w:rPr>
        <w:t>tert</w:t>
      </w:r>
      <w:r w:rsidRPr="00BD7731">
        <w:rPr>
          <w:b/>
          <w:bCs/>
        </w:rPr>
        <w:t>-butyl methacrylate.</w:t>
      </w:r>
    </w:p>
    <w:p w14:paraId="1FB92E77" w14:textId="77777777" w:rsidR="008F7113" w:rsidRPr="00BD7731" w:rsidRDefault="008F7113" w:rsidP="008F7113">
      <w:r w:rsidRPr="00BD7731">
        <w:t xml:space="preserve">A solution of styrene (12 mL, 0.10 mol), </w:t>
      </w:r>
      <w:r w:rsidRPr="00BD7731">
        <w:rPr>
          <w:i/>
          <w:iCs/>
        </w:rPr>
        <w:t>tert</w:t>
      </w:r>
      <w:r w:rsidRPr="00BD7731">
        <w:t>-butyl methacrylate (0.58 mL, 3.6 mmol), (1-</w:t>
      </w:r>
      <w:proofErr w:type="gramStart"/>
      <w:r w:rsidRPr="00BD7731">
        <w:t>bromoethyl)benzene</w:t>
      </w:r>
      <w:proofErr w:type="gramEnd"/>
      <w:r w:rsidRPr="00BD7731">
        <w:t xml:space="preserve"> (0.10 mL, 0.73 mmol), CuBr (0.10 g, 0.73 mmol), CuBr</w:t>
      </w:r>
      <w:r w:rsidRPr="00BD7731">
        <w:rPr>
          <w:vertAlign w:val="subscript"/>
        </w:rPr>
        <w:t>2</w:t>
      </w:r>
      <w:r w:rsidRPr="00BD7731">
        <w:t xml:space="preserve"> (8.1 mg, 0.036 mmol), and PMDETA (0.15 mL, 0.73 mmol) was heated at 80 °C for 120 min under a nitrogen atmosphere. An aliquot of the reaction mixture was taken, and the copper was removed by passing through alumina. The conversions of both monomers were determined by </w:t>
      </w:r>
      <w:r w:rsidRPr="00BD7731">
        <w:rPr>
          <w:vertAlign w:val="superscript"/>
        </w:rPr>
        <w:t>1</w:t>
      </w:r>
      <w:r w:rsidRPr="00BD7731">
        <w:t xml:space="preserve">H NMR spectroscopy. The observed comparable rate of the conversion of both monomers indicated the random sequence of the monomer unit in the synthesis of </w:t>
      </w:r>
      <w:proofErr w:type="gramStart"/>
      <w:r w:rsidRPr="00BD7731">
        <w:t>poly(</w:t>
      </w:r>
      <w:proofErr w:type="gramEnd"/>
      <w:r w:rsidRPr="00BD7731">
        <w:t>styrene-</w:t>
      </w:r>
      <w:r w:rsidRPr="00BD7731">
        <w:rPr>
          <w:i/>
          <w:iCs/>
        </w:rPr>
        <w:t>co</w:t>
      </w:r>
      <w:r w:rsidRPr="00BD7731">
        <w:t>-</w:t>
      </w:r>
      <w:r w:rsidRPr="00BD7731">
        <w:rPr>
          <w:i/>
          <w:iCs/>
        </w:rPr>
        <w:t>tert</w:t>
      </w:r>
      <w:r w:rsidRPr="00BD7731">
        <w:t>-butyl methacrylate).</w:t>
      </w:r>
    </w:p>
    <w:p w14:paraId="1E383BA4" w14:textId="77777777" w:rsidR="008F7113" w:rsidRPr="00BD7731" w:rsidRDefault="008F7113" w:rsidP="008F7113">
      <w:pPr>
        <w:jc w:val="center"/>
      </w:pPr>
      <w:r w:rsidRPr="00BD7731">
        <w:rPr>
          <w:rFonts w:hint="eastAsia"/>
          <w:noProof/>
        </w:rPr>
        <w:drawing>
          <wp:inline distT="0" distB="0" distL="0" distR="0" wp14:anchorId="42B14200" wp14:editId="253DD650">
            <wp:extent cx="3782304" cy="2520146"/>
            <wp:effectExtent l="0" t="0" r="8890" b="0"/>
            <wp:docPr id="19" name="図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782499" cy="2520276"/>
                    </a:xfrm>
                    <a:prstGeom prst="rect">
                      <a:avLst/>
                    </a:prstGeom>
                    <a:noFill/>
                    <a:ln>
                      <a:noFill/>
                    </a:ln>
                  </pic:spPr>
                </pic:pic>
              </a:graphicData>
            </a:graphic>
          </wp:inline>
        </w:drawing>
      </w:r>
    </w:p>
    <w:p w14:paraId="6E54B3BB" w14:textId="61DB3CD1" w:rsidR="008F7113" w:rsidRPr="00BD7731" w:rsidRDefault="008F7113" w:rsidP="008F7113">
      <w:r w:rsidRPr="00BD7731">
        <w:rPr>
          <w:b/>
          <w:bCs/>
        </w:rPr>
        <w:t>Figure S</w:t>
      </w:r>
      <w:r w:rsidRPr="00BD7731">
        <w:rPr>
          <w:b/>
          <w:bCs/>
        </w:rPr>
        <w:fldChar w:fldCharType="begin"/>
      </w:r>
      <w:r w:rsidRPr="00BD7731">
        <w:rPr>
          <w:b/>
          <w:bCs/>
        </w:rPr>
        <w:instrText xml:space="preserve"> SEQ FigureSI \* MERGEFORMAT </w:instrText>
      </w:r>
      <w:r w:rsidRPr="00BD7731">
        <w:rPr>
          <w:b/>
          <w:bCs/>
        </w:rPr>
        <w:fldChar w:fldCharType="separate"/>
      </w:r>
      <w:r w:rsidR="00CF7DF3" w:rsidRPr="00BD7731">
        <w:rPr>
          <w:b/>
          <w:bCs/>
          <w:noProof/>
        </w:rPr>
        <w:t>2</w:t>
      </w:r>
      <w:r w:rsidRPr="00BD7731">
        <w:rPr>
          <w:b/>
          <w:bCs/>
        </w:rPr>
        <w:fldChar w:fldCharType="end"/>
      </w:r>
      <w:r w:rsidRPr="00BD7731">
        <w:rPr>
          <w:b/>
          <w:bCs/>
        </w:rPr>
        <w:t xml:space="preserve">. </w:t>
      </w:r>
      <w:r w:rsidRPr="00BD7731">
        <w:t xml:space="preserve">Kinetic plot of the copolymerization of styrene and </w:t>
      </w:r>
      <w:r w:rsidRPr="00BD7731">
        <w:rPr>
          <w:i/>
          <w:iCs/>
        </w:rPr>
        <w:t>tert</w:t>
      </w:r>
      <w:r w:rsidRPr="00BD7731">
        <w:t>-butyl methacrylate. The similar rate of the increase of monomer conversion for each monomer indicate the random (statistical) composition of resulting polymer based on the monomer feeding ratio.</w:t>
      </w:r>
    </w:p>
    <w:p w14:paraId="427FECC4" w14:textId="77777777" w:rsidR="008F7113" w:rsidRPr="00BD7731" w:rsidRDefault="008F7113" w:rsidP="008F7113"/>
    <w:p w14:paraId="40AB0155" w14:textId="77777777" w:rsidR="008F7113" w:rsidRPr="00BD7731" w:rsidRDefault="008F7113" w:rsidP="008F7113">
      <w:r w:rsidRPr="00BD7731">
        <w:rPr>
          <w:b/>
          <w:bCs/>
        </w:rPr>
        <w:t>Synthesis of crosslinked polymers</w:t>
      </w:r>
      <w:r w:rsidRPr="00BD7731">
        <w:t>.</w:t>
      </w:r>
    </w:p>
    <w:p w14:paraId="7B5EE375" w14:textId="77777777" w:rsidR="008F7113" w:rsidRPr="00BD7731" w:rsidRDefault="008F7113" w:rsidP="008F7113">
      <w:pPr>
        <w:ind w:firstLineChars="50" w:firstLine="120"/>
      </w:pPr>
      <w:r w:rsidRPr="00BD7731">
        <w:t>A solution of CO</w:t>
      </w:r>
      <w:r w:rsidRPr="00BD7731">
        <w:rPr>
          <w:vertAlign w:val="subscript"/>
        </w:rPr>
        <w:t>2</w:t>
      </w:r>
      <w:r w:rsidRPr="00BD7731">
        <w:t xml:space="preserve">H </w:t>
      </w:r>
      <w:proofErr w:type="spellStart"/>
      <w:r w:rsidRPr="00BD7731">
        <w:t>telechelic</w:t>
      </w:r>
      <w:proofErr w:type="spellEnd"/>
      <w:r w:rsidRPr="00BD7731">
        <w:t xml:space="preserve"> </w:t>
      </w:r>
      <w:proofErr w:type="spellStart"/>
      <w:r w:rsidRPr="00BD7731">
        <w:t>PSt</w:t>
      </w:r>
      <w:proofErr w:type="spellEnd"/>
      <w:r w:rsidRPr="00BD7731">
        <w:t xml:space="preserve"> (</w:t>
      </w:r>
      <w:r w:rsidRPr="00BD7731">
        <w:rPr>
          <w:rStyle w:val="af4"/>
        </w:rPr>
        <w:t>M</w:t>
      </w:r>
      <w:r w:rsidRPr="00BD7731">
        <w:t xml:space="preserve">n = 5300, 700 mg, 0.13 mmol), bisphenol A </w:t>
      </w:r>
      <w:proofErr w:type="spellStart"/>
      <w:r w:rsidRPr="00BD7731">
        <w:t>diglycidyl</w:t>
      </w:r>
      <w:proofErr w:type="spellEnd"/>
      <w:r w:rsidRPr="00BD7731">
        <w:t xml:space="preserve"> ether (BADGE, 64 mg, 0.19 mmol) in 1,4-dioxane was added a solution of 1,5,7-</w:t>
      </w:r>
      <w:proofErr w:type="gramStart"/>
      <w:r w:rsidRPr="00BD7731">
        <w:t>triazabicyclo[</w:t>
      </w:r>
      <w:proofErr w:type="gramEnd"/>
      <w:r w:rsidRPr="00BD7731">
        <w:t>4.4.0]dec-5-ene (TBD, 6.9 mg, 0.050 mmol) in dichloromethane. The resulting solution was poured on PTFE dish, and heated at 100 °C for 10 h, and was further heated at 170 °C for 24 h in an oven. The resulting crosslinked polymer was collected, and a portion (50 mg) was soaked in chloroform. The mixture was slowly stirred for 24 h. The resulting gel (solid fraction) was filtered by suction filtration, and the solvent of the filtrate was removed under reduced pressure. From the weight of the residue (3.7 mg) and the weight of the soaked crosslinked polymer, the yield of the crosslinked polymer (gel fraction) was determined to be 93% (</w:t>
      </w:r>
      <w:r w:rsidRPr="00BD7731">
        <w:rPr>
          <w:rStyle w:val="af3"/>
        </w:rPr>
        <w:t>TN</w:t>
      </w:r>
      <w:r w:rsidRPr="00BD7731">
        <w:rPr>
          <w:vertAlign w:val="subscript"/>
        </w:rPr>
        <w:t>5300</w:t>
      </w:r>
      <w:r w:rsidRPr="00BD7731">
        <w:t>).</w:t>
      </w:r>
    </w:p>
    <w:p w14:paraId="0248E795" w14:textId="77777777" w:rsidR="008F7113" w:rsidRPr="00BD7731" w:rsidRDefault="008F7113" w:rsidP="008F7113">
      <w:pPr>
        <w:ind w:firstLineChars="50" w:firstLine="120"/>
      </w:pPr>
      <w:r w:rsidRPr="00BD7731">
        <w:rPr>
          <w:rFonts w:hint="eastAsia"/>
        </w:rPr>
        <w:t>O</w:t>
      </w:r>
      <w:r w:rsidRPr="00BD7731">
        <w:t>ther crosslinked polymers</w:t>
      </w:r>
      <w:r w:rsidRPr="00BD7731" w:rsidDel="002B009B">
        <w:t xml:space="preserve"> </w:t>
      </w:r>
      <w:r w:rsidRPr="00BD7731">
        <w:t xml:space="preserve">from different molecular weights and polymer structures were prepared in the same manner, and the determined yields of crosslinked polymers were 91 and 89% for </w:t>
      </w:r>
      <w:r w:rsidRPr="00BD7731">
        <w:rPr>
          <w:b/>
          <w:bCs/>
        </w:rPr>
        <w:t>TN</w:t>
      </w:r>
      <w:r w:rsidRPr="00BD7731">
        <w:rPr>
          <w:vertAlign w:val="subscript"/>
        </w:rPr>
        <w:t>3500</w:t>
      </w:r>
      <w:r w:rsidRPr="00BD7731">
        <w:t xml:space="preserve"> and </w:t>
      </w:r>
      <w:r w:rsidRPr="00BD7731">
        <w:rPr>
          <w:b/>
          <w:bCs/>
        </w:rPr>
        <w:t>TN</w:t>
      </w:r>
      <w:r w:rsidRPr="00BD7731">
        <w:rPr>
          <w:vertAlign w:val="subscript"/>
        </w:rPr>
        <w:t>8600</w:t>
      </w:r>
      <w:r w:rsidRPr="00BD7731">
        <w:t xml:space="preserve">, and 88, 84, 84% for </w:t>
      </w:r>
      <w:r w:rsidRPr="00BD7731">
        <w:rPr>
          <w:b/>
          <w:bCs/>
        </w:rPr>
        <w:t>RN</w:t>
      </w:r>
      <w:r w:rsidRPr="00BD7731">
        <w:rPr>
          <w:vertAlign w:val="subscript"/>
        </w:rPr>
        <w:t>3200</w:t>
      </w:r>
      <w:r w:rsidRPr="00BD7731">
        <w:t xml:space="preserve">, </w:t>
      </w:r>
      <w:r w:rsidRPr="00BD7731">
        <w:rPr>
          <w:b/>
          <w:bCs/>
        </w:rPr>
        <w:t>RN</w:t>
      </w:r>
      <w:r w:rsidRPr="00BD7731">
        <w:rPr>
          <w:vertAlign w:val="subscript"/>
        </w:rPr>
        <w:t>6000</w:t>
      </w:r>
      <w:r w:rsidRPr="00BD7731">
        <w:t xml:space="preserve"> and </w:t>
      </w:r>
      <w:r w:rsidRPr="00BD7731">
        <w:rPr>
          <w:b/>
          <w:bCs/>
        </w:rPr>
        <w:t>RN</w:t>
      </w:r>
      <w:r w:rsidRPr="00BD7731">
        <w:rPr>
          <w:vertAlign w:val="subscript"/>
        </w:rPr>
        <w:t>8500</w:t>
      </w:r>
      <w:r w:rsidRPr="00BD7731">
        <w:t>, respectively.</w:t>
      </w:r>
    </w:p>
    <w:p w14:paraId="41E8FE25" w14:textId="77777777" w:rsidR="008F7113" w:rsidRPr="00BD7731" w:rsidRDefault="008F7113" w:rsidP="008F7113">
      <w:r w:rsidRPr="00BD7731">
        <w:br w:type="page"/>
      </w:r>
    </w:p>
    <w:p w14:paraId="226AA212" w14:textId="77777777" w:rsidR="008F7113" w:rsidRPr="00BD7731" w:rsidRDefault="008F7113" w:rsidP="008F7113">
      <w:r w:rsidRPr="00BD7731">
        <w:rPr>
          <w:rFonts w:hint="eastAsia"/>
          <w:b/>
          <w:bCs/>
        </w:rPr>
        <w:t>T</w:t>
      </w:r>
      <w:r w:rsidRPr="00BD7731">
        <w:rPr>
          <w:b/>
          <w:bCs/>
        </w:rPr>
        <w:t>able S1</w:t>
      </w:r>
      <w:r w:rsidRPr="00BD7731">
        <w:t>. Synthesis of crosslinked polymer</w:t>
      </w:r>
      <w:r w:rsidRPr="00BD7731" w:rsidDel="002B009B">
        <w:t xml:space="preserve"> </w:t>
      </w:r>
      <w:r w:rsidRPr="00BD7731">
        <w:t xml:space="preserve">from </w:t>
      </w:r>
      <w:proofErr w:type="spellStart"/>
      <w:r w:rsidRPr="00BD7731">
        <w:t>telechelic</w:t>
      </w:r>
      <w:proofErr w:type="spellEnd"/>
      <w:r w:rsidRPr="00BD7731">
        <w:t xml:space="preserve"> polymers (T) and random copolymers (R) as the precursor.</w:t>
      </w:r>
    </w:p>
    <w:tbl>
      <w:tblPr>
        <w:tblStyle w:val="af2"/>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86"/>
        <w:gridCol w:w="1917"/>
        <w:gridCol w:w="1699"/>
        <w:gridCol w:w="1699"/>
        <w:gridCol w:w="1699"/>
      </w:tblGrid>
      <w:tr w:rsidR="00BD7731" w:rsidRPr="00BD7731" w14:paraId="42C67BC2" w14:textId="77777777" w:rsidTr="002168A7">
        <w:trPr>
          <w:jc w:val="center"/>
        </w:trPr>
        <w:tc>
          <w:tcPr>
            <w:tcW w:w="786" w:type="dxa"/>
            <w:tcBorders>
              <w:top w:val="single" w:sz="4" w:space="0" w:color="auto"/>
            </w:tcBorders>
          </w:tcPr>
          <w:p w14:paraId="6FD841BC" w14:textId="77777777" w:rsidR="008F7113" w:rsidRPr="00BD7731" w:rsidRDefault="008F7113" w:rsidP="002168A7">
            <w:pPr>
              <w:jc w:val="center"/>
              <w:rPr>
                <w:rFonts w:ascii="Arial" w:hAnsi="Arial" w:cs="Arial"/>
                <w:sz w:val="21"/>
                <w:szCs w:val="21"/>
              </w:rPr>
            </w:pPr>
            <w:r w:rsidRPr="00BD7731">
              <w:rPr>
                <w:rFonts w:ascii="Arial" w:hAnsi="Arial" w:cs="Arial"/>
                <w:sz w:val="21"/>
                <w:szCs w:val="21"/>
              </w:rPr>
              <w:t>Run</w:t>
            </w:r>
          </w:p>
        </w:tc>
        <w:tc>
          <w:tcPr>
            <w:tcW w:w="1917" w:type="dxa"/>
            <w:tcBorders>
              <w:top w:val="single" w:sz="4" w:space="0" w:color="auto"/>
            </w:tcBorders>
          </w:tcPr>
          <w:p w14:paraId="565EC826" w14:textId="77777777" w:rsidR="008F7113" w:rsidRPr="00BD7731" w:rsidRDefault="008F7113" w:rsidP="002168A7">
            <w:pPr>
              <w:jc w:val="center"/>
              <w:rPr>
                <w:rFonts w:ascii="Arial" w:hAnsi="Arial" w:cs="Arial"/>
                <w:sz w:val="21"/>
                <w:szCs w:val="21"/>
              </w:rPr>
            </w:pPr>
            <w:r w:rsidRPr="00BD7731">
              <w:rPr>
                <w:rFonts w:ascii="Arial" w:hAnsi="Arial" w:cs="Arial"/>
                <w:sz w:val="21"/>
                <w:szCs w:val="21"/>
              </w:rPr>
              <w:t>Precursor (1 eq.)</w:t>
            </w:r>
          </w:p>
        </w:tc>
        <w:tc>
          <w:tcPr>
            <w:tcW w:w="1699" w:type="dxa"/>
            <w:tcBorders>
              <w:top w:val="single" w:sz="4" w:space="0" w:color="auto"/>
            </w:tcBorders>
          </w:tcPr>
          <w:p w14:paraId="0D314794" w14:textId="77777777" w:rsidR="008F7113" w:rsidRPr="00BD7731" w:rsidRDefault="008F7113" w:rsidP="002168A7">
            <w:pPr>
              <w:jc w:val="center"/>
              <w:rPr>
                <w:rFonts w:ascii="Arial" w:hAnsi="Arial" w:cs="Arial"/>
                <w:sz w:val="21"/>
                <w:szCs w:val="21"/>
              </w:rPr>
            </w:pPr>
            <w:r w:rsidRPr="00BD7731">
              <w:rPr>
                <w:rFonts w:ascii="Arial" w:hAnsi="Arial" w:cs="Arial"/>
                <w:sz w:val="21"/>
                <w:szCs w:val="21"/>
              </w:rPr>
              <w:t>BADGE (</w:t>
            </w:r>
            <w:proofErr w:type="spellStart"/>
            <w:r w:rsidRPr="00BD7731">
              <w:rPr>
                <w:rFonts w:ascii="Arial" w:hAnsi="Arial" w:cs="Arial"/>
                <w:sz w:val="21"/>
                <w:szCs w:val="21"/>
              </w:rPr>
              <w:t>equiv</w:t>
            </w:r>
            <w:proofErr w:type="spellEnd"/>
            <w:r w:rsidRPr="00BD7731">
              <w:rPr>
                <w:rFonts w:ascii="Arial" w:hAnsi="Arial" w:cs="Arial"/>
                <w:sz w:val="21"/>
                <w:szCs w:val="21"/>
              </w:rPr>
              <w:t>)</w:t>
            </w:r>
          </w:p>
        </w:tc>
        <w:tc>
          <w:tcPr>
            <w:tcW w:w="1699" w:type="dxa"/>
            <w:tcBorders>
              <w:top w:val="single" w:sz="4" w:space="0" w:color="auto"/>
            </w:tcBorders>
          </w:tcPr>
          <w:p w14:paraId="3693B037" w14:textId="77777777" w:rsidR="008F7113" w:rsidRPr="00BD7731" w:rsidRDefault="008F7113" w:rsidP="002168A7">
            <w:pPr>
              <w:jc w:val="center"/>
              <w:rPr>
                <w:rFonts w:ascii="Arial" w:hAnsi="Arial" w:cs="Arial"/>
                <w:sz w:val="21"/>
                <w:szCs w:val="21"/>
              </w:rPr>
            </w:pPr>
            <w:r w:rsidRPr="00BD7731">
              <w:rPr>
                <w:rFonts w:ascii="Arial" w:hAnsi="Arial" w:cs="Arial"/>
                <w:sz w:val="21"/>
                <w:szCs w:val="21"/>
              </w:rPr>
              <w:t>TBD (</w:t>
            </w:r>
            <w:proofErr w:type="spellStart"/>
            <w:r w:rsidRPr="00BD7731">
              <w:rPr>
                <w:rFonts w:ascii="Arial" w:hAnsi="Arial" w:cs="Arial"/>
                <w:sz w:val="21"/>
                <w:szCs w:val="21"/>
              </w:rPr>
              <w:t>equiv</w:t>
            </w:r>
            <w:proofErr w:type="spellEnd"/>
            <w:r w:rsidRPr="00BD7731">
              <w:rPr>
                <w:rFonts w:ascii="Arial" w:hAnsi="Arial" w:cs="Arial"/>
                <w:sz w:val="21"/>
                <w:szCs w:val="21"/>
              </w:rPr>
              <w:t>)</w:t>
            </w:r>
          </w:p>
        </w:tc>
        <w:tc>
          <w:tcPr>
            <w:tcW w:w="1699" w:type="dxa"/>
            <w:tcBorders>
              <w:top w:val="single" w:sz="4" w:space="0" w:color="auto"/>
            </w:tcBorders>
          </w:tcPr>
          <w:p w14:paraId="5ADBF157" w14:textId="77777777" w:rsidR="008F7113" w:rsidRPr="00BD7731" w:rsidRDefault="008F7113" w:rsidP="002168A7">
            <w:pPr>
              <w:jc w:val="center"/>
              <w:rPr>
                <w:rFonts w:ascii="Arial" w:hAnsi="Arial" w:cs="Arial"/>
                <w:sz w:val="21"/>
                <w:szCs w:val="21"/>
              </w:rPr>
            </w:pPr>
            <w:r w:rsidRPr="00BD7731">
              <w:rPr>
                <w:rFonts w:ascii="Arial" w:hAnsi="Arial" w:cs="Arial"/>
                <w:sz w:val="21"/>
                <w:szCs w:val="21"/>
              </w:rPr>
              <w:t>Yield (%)</w:t>
            </w:r>
          </w:p>
        </w:tc>
      </w:tr>
      <w:tr w:rsidR="00BD7731" w:rsidRPr="00BD7731" w14:paraId="374E6498" w14:textId="77777777" w:rsidTr="002168A7">
        <w:trPr>
          <w:jc w:val="center"/>
        </w:trPr>
        <w:tc>
          <w:tcPr>
            <w:tcW w:w="786" w:type="dxa"/>
            <w:tcBorders>
              <w:bottom w:val="single" w:sz="4" w:space="0" w:color="auto"/>
            </w:tcBorders>
          </w:tcPr>
          <w:p w14:paraId="5386A38F" w14:textId="77777777" w:rsidR="008F7113" w:rsidRPr="00BD7731" w:rsidRDefault="008F7113" w:rsidP="002168A7">
            <w:pPr>
              <w:jc w:val="center"/>
              <w:rPr>
                <w:rFonts w:ascii="Arial" w:hAnsi="Arial" w:cs="Arial"/>
                <w:sz w:val="21"/>
                <w:szCs w:val="21"/>
              </w:rPr>
            </w:pPr>
          </w:p>
        </w:tc>
        <w:tc>
          <w:tcPr>
            <w:tcW w:w="1917" w:type="dxa"/>
            <w:tcBorders>
              <w:bottom w:val="single" w:sz="4" w:space="0" w:color="auto"/>
            </w:tcBorders>
          </w:tcPr>
          <w:p w14:paraId="6F3D75DF" w14:textId="77777777" w:rsidR="008F7113" w:rsidRPr="00BD7731" w:rsidRDefault="008F7113" w:rsidP="002168A7">
            <w:pPr>
              <w:jc w:val="center"/>
              <w:rPr>
                <w:rFonts w:ascii="Arial" w:hAnsi="Arial" w:cs="Arial"/>
                <w:sz w:val="21"/>
                <w:szCs w:val="21"/>
              </w:rPr>
            </w:pPr>
            <w:r w:rsidRPr="00BD7731">
              <w:rPr>
                <w:rFonts w:ascii="Arial" w:hAnsi="Arial" w:cs="Arial"/>
                <w:i/>
                <w:iCs/>
                <w:sz w:val="21"/>
                <w:szCs w:val="21"/>
              </w:rPr>
              <w:t>M</w:t>
            </w:r>
            <w:r w:rsidRPr="00BD7731">
              <w:rPr>
                <w:rFonts w:ascii="Arial" w:hAnsi="Arial" w:cs="Arial"/>
                <w:sz w:val="21"/>
                <w:szCs w:val="21"/>
                <w:vertAlign w:val="subscript"/>
              </w:rPr>
              <w:t>n</w:t>
            </w:r>
            <w:r w:rsidRPr="00BD7731">
              <w:rPr>
                <w:rFonts w:ascii="Arial" w:hAnsi="Arial" w:cs="Arial"/>
                <w:sz w:val="21"/>
                <w:szCs w:val="21"/>
              </w:rPr>
              <w:t xml:space="preserve"> (</w:t>
            </w:r>
            <w:r w:rsidRPr="00BD7731">
              <w:rPr>
                <w:rFonts w:ascii="Arial" w:hAnsi="Arial" w:cs="Arial"/>
                <w:i/>
                <w:iCs/>
                <w:sz w:val="21"/>
                <w:szCs w:val="21"/>
              </w:rPr>
              <w:t>Ð</w:t>
            </w:r>
            <w:r w:rsidRPr="00BD7731">
              <w:rPr>
                <w:rFonts w:ascii="Arial" w:hAnsi="Arial" w:cs="Arial"/>
                <w:sz w:val="21"/>
                <w:szCs w:val="21"/>
              </w:rPr>
              <w:t>)</w:t>
            </w:r>
          </w:p>
        </w:tc>
        <w:tc>
          <w:tcPr>
            <w:tcW w:w="1699" w:type="dxa"/>
            <w:tcBorders>
              <w:bottom w:val="single" w:sz="4" w:space="0" w:color="auto"/>
            </w:tcBorders>
          </w:tcPr>
          <w:p w14:paraId="23DFCC72" w14:textId="77777777" w:rsidR="008F7113" w:rsidRPr="00BD7731" w:rsidRDefault="008F7113" w:rsidP="002168A7">
            <w:pPr>
              <w:jc w:val="center"/>
              <w:rPr>
                <w:rFonts w:ascii="Arial" w:hAnsi="Arial" w:cs="Arial"/>
                <w:sz w:val="21"/>
                <w:szCs w:val="21"/>
              </w:rPr>
            </w:pPr>
          </w:p>
        </w:tc>
        <w:tc>
          <w:tcPr>
            <w:tcW w:w="1699" w:type="dxa"/>
            <w:tcBorders>
              <w:bottom w:val="single" w:sz="4" w:space="0" w:color="auto"/>
            </w:tcBorders>
          </w:tcPr>
          <w:p w14:paraId="5BB3028F" w14:textId="77777777" w:rsidR="008F7113" w:rsidRPr="00BD7731" w:rsidRDefault="008F7113" w:rsidP="002168A7">
            <w:pPr>
              <w:jc w:val="center"/>
              <w:rPr>
                <w:rFonts w:ascii="Arial" w:hAnsi="Arial" w:cs="Arial"/>
                <w:sz w:val="21"/>
                <w:szCs w:val="21"/>
              </w:rPr>
            </w:pPr>
          </w:p>
        </w:tc>
        <w:tc>
          <w:tcPr>
            <w:tcW w:w="1699" w:type="dxa"/>
            <w:tcBorders>
              <w:bottom w:val="single" w:sz="4" w:space="0" w:color="auto"/>
            </w:tcBorders>
          </w:tcPr>
          <w:p w14:paraId="7D761D49" w14:textId="77777777" w:rsidR="008F7113" w:rsidRPr="00BD7731" w:rsidRDefault="008F7113" w:rsidP="002168A7">
            <w:pPr>
              <w:jc w:val="center"/>
              <w:rPr>
                <w:rFonts w:ascii="Arial" w:hAnsi="Arial" w:cs="Arial"/>
                <w:sz w:val="21"/>
                <w:szCs w:val="21"/>
              </w:rPr>
            </w:pPr>
          </w:p>
        </w:tc>
      </w:tr>
      <w:tr w:rsidR="00BD7731" w:rsidRPr="00BD7731" w14:paraId="320AD2BD" w14:textId="77777777" w:rsidTr="002168A7">
        <w:trPr>
          <w:jc w:val="center"/>
        </w:trPr>
        <w:tc>
          <w:tcPr>
            <w:tcW w:w="786" w:type="dxa"/>
            <w:tcBorders>
              <w:top w:val="single" w:sz="4" w:space="0" w:color="auto"/>
            </w:tcBorders>
          </w:tcPr>
          <w:p w14:paraId="5575E46C" w14:textId="7E4D9D21" w:rsidR="008F7113" w:rsidRPr="00BD7731" w:rsidRDefault="008F7113" w:rsidP="002168A7">
            <w:pPr>
              <w:jc w:val="center"/>
              <w:rPr>
                <w:rFonts w:ascii="Arial" w:hAnsi="Arial" w:cs="Arial"/>
                <w:sz w:val="21"/>
                <w:szCs w:val="21"/>
              </w:rPr>
            </w:pPr>
            <w:r w:rsidRPr="00BD7731">
              <w:rPr>
                <w:rFonts w:ascii="Arial" w:hAnsi="Arial" w:cs="Arial"/>
                <w:sz w:val="21"/>
                <w:szCs w:val="21"/>
              </w:rPr>
              <w:fldChar w:fldCharType="begin"/>
            </w:r>
            <w:r w:rsidRPr="00BD7731">
              <w:rPr>
                <w:rFonts w:ascii="Arial" w:hAnsi="Arial" w:cs="Arial"/>
                <w:sz w:val="21"/>
                <w:szCs w:val="21"/>
              </w:rPr>
              <w:instrText xml:space="preserve"> SEQ table2 \* MERGEFORMAT </w:instrText>
            </w:r>
            <w:r w:rsidRPr="00BD7731">
              <w:rPr>
                <w:rFonts w:ascii="Arial" w:hAnsi="Arial" w:cs="Arial"/>
                <w:sz w:val="21"/>
                <w:szCs w:val="21"/>
              </w:rPr>
              <w:fldChar w:fldCharType="separate"/>
            </w:r>
            <w:r w:rsidR="00CF7DF3" w:rsidRPr="00BD7731">
              <w:rPr>
                <w:rFonts w:ascii="Arial" w:hAnsi="Arial" w:cs="Arial"/>
                <w:noProof/>
                <w:sz w:val="21"/>
                <w:szCs w:val="21"/>
              </w:rPr>
              <w:t>1</w:t>
            </w:r>
            <w:r w:rsidRPr="00BD7731">
              <w:rPr>
                <w:rFonts w:ascii="Arial" w:hAnsi="Arial" w:cs="Arial"/>
                <w:noProof/>
                <w:sz w:val="21"/>
                <w:szCs w:val="21"/>
              </w:rPr>
              <w:fldChar w:fldCharType="end"/>
            </w:r>
          </w:p>
        </w:tc>
        <w:tc>
          <w:tcPr>
            <w:tcW w:w="1917" w:type="dxa"/>
            <w:tcBorders>
              <w:top w:val="single" w:sz="4" w:space="0" w:color="auto"/>
            </w:tcBorders>
          </w:tcPr>
          <w:p w14:paraId="26C8EED5" w14:textId="77777777" w:rsidR="008F7113" w:rsidRPr="00BD7731" w:rsidRDefault="008F7113" w:rsidP="002168A7">
            <w:pPr>
              <w:jc w:val="center"/>
              <w:rPr>
                <w:rFonts w:ascii="Arial" w:hAnsi="Arial" w:cs="Arial"/>
                <w:sz w:val="21"/>
                <w:szCs w:val="21"/>
              </w:rPr>
            </w:pPr>
            <w:r w:rsidRPr="00BD7731">
              <w:rPr>
                <w:rFonts w:ascii="Arial" w:hAnsi="Arial" w:cs="Arial"/>
                <w:sz w:val="21"/>
                <w:szCs w:val="21"/>
              </w:rPr>
              <w:t>T, 5300 (1.16)</w:t>
            </w:r>
          </w:p>
        </w:tc>
        <w:tc>
          <w:tcPr>
            <w:tcW w:w="1699" w:type="dxa"/>
            <w:tcBorders>
              <w:top w:val="single" w:sz="4" w:space="0" w:color="auto"/>
            </w:tcBorders>
          </w:tcPr>
          <w:p w14:paraId="057F34EE" w14:textId="77777777" w:rsidR="008F7113" w:rsidRPr="00BD7731" w:rsidRDefault="008F7113" w:rsidP="002168A7">
            <w:pPr>
              <w:jc w:val="center"/>
              <w:rPr>
                <w:rFonts w:ascii="Arial" w:hAnsi="Arial" w:cs="Arial"/>
                <w:sz w:val="21"/>
                <w:szCs w:val="21"/>
              </w:rPr>
            </w:pPr>
            <w:r w:rsidRPr="00BD7731">
              <w:rPr>
                <w:rFonts w:ascii="Arial" w:hAnsi="Arial" w:cs="Arial"/>
                <w:sz w:val="21"/>
                <w:szCs w:val="21"/>
              </w:rPr>
              <w:t>1</w:t>
            </w:r>
          </w:p>
        </w:tc>
        <w:tc>
          <w:tcPr>
            <w:tcW w:w="1699" w:type="dxa"/>
            <w:tcBorders>
              <w:top w:val="single" w:sz="4" w:space="0" w:color="auto"/>
            </w:tcBorders>
          </w:tcPr>
          <w:p w14:paraId="7C1E2FE0" w14:textId="77777777" w:rsidR="008F7113" w:rsidRPr="00BD7731" w:rsidRDefault="008F7113" w:rsidP="002168A7">
            <w:pPr>
              <w:jc w:val="center"/>
              <w:rPr>
                <w:rFonts w:ascii="Arial" w:hAnsi="Arial" w:cs="Arial"/>
                <w:sz w:val="21"/>
                <w:szCs w:val="21"/>
              </w:rPr>
            </w:pPr>
            <w:r w:rsidRPr="00BD7731">
              <w:rPr>
                <w:rFonts w:ascii="Arial" w:hAnsi="Arial" w:cs="Arial"/>
                <w:sz w:val="21"/>
                <w:szCs w:val="21"/>
              </w:rPr>
              <w:t>0.2</w:t>
            </w:r>
          </w:p>
        </w:tc>
        <w:tc>
          <w:tcPr>
            <w:tcW w:w="1699" w:type="dxa"/>
            <w:tcBorders>
              <w:top w:val="single" w:sz="4" w:space="0" w:color="auto"/>
            </w:tcBorders>
          </w:tcPr>
          <w:p w14:paraId="2D1FA507" w14:textId="77777777" w:rsidR="008F7113" w:rsidRPr="00BD7731" w:rsidRDefault="008F7113" w:rsidP="002168A7">
            <w:pPr>
              <w:jc w:val="center"/>
              <w:rPr>
                <w:rFonts w:ascii="Arial" w:hAnsi="Arial" w:cs="Arial"/>
                <w:sz w:val="21"/>
                <w:szCs w:val="21"/>
              </w:rPr>
            </w:pPr>
            <w:r w:rsidRPr="00BD7731">
              <w:rPr>
                <w:rFonts w:ascii="Arial" w:hAnsi="Arial" w:cs="Arial"/>
                <w:sz w:val="21"/>
                <w:szCs w:val="21"/>
              </w:rPr>
              <w:t>&lt;10</w:t>
            </w:r>
          </w:p>
        </w:tc>
      </w:tr>
      <w:tr w:rsidR="00BD7731" w:rsidRPr="00BD7731" w14:paraId="0CC5273E" w14:textId="77777777" w:rsidTr="002168A7">
        <w:trPr>
          <w:jc w:val="center"/>
        </w:trPr>
        <w:tc>
          <w:tcPr>
            <w:tcW w:w="786" w:type="dxa"/>
          </w:tcPr>
          <w:p w14:paraId="6443644A" w14:textId="33E2E99F" w:rsidR="008F7113" w:rsidRPr="00BD7731" w:rsidRDefault="008F7113" w:rsidP="002168A7">
            <w:pPr>
              <w:jc w:val="center"/>
              <w:rPr>
                <w:rFonts w:ascii="Arial" w:hAnsi="Arial" w:cs="Arial"/>
                <w:sz w:val="21"/>
                <w:szCs w:val="21"/>
              </w:rPr>
            </w:pPr>
            <w:r w:rsidRPr="00BD7731">
              <w:rPr>
                <w:rFonts w:ascii="Arial" w:hAnsi="Arial" w:cs="Arial"/>
                <w:sz w:val="21"/>
                <w:szCs w:val="21"/>
              </w:rPr>
              <w:fldChar w:fldCharType="begin"/>
            </w:r>
            <w:r w:rsidRPr="00BD7731">
              <w:rPr>
                <w:rFonts w:ascii="Arial" w:hAnsi="Arial" w:cs="Arial"/>
                <w:sz w:val="21"/>
                <w:szCs w:val="21"/>
              </w:rPr>
              <w:instrText xml:space="preserve"> SEQ table2 \* MERGEFORMAT </w:instrText>
            </w:r>
            <w:r w:rsidRPr="00BD7731">
              <w:rPr>
                <w:rFonts w:ascii="Arial" w:hAnsi="Arial" w:cs="Arial"/>
                <w:sz w:val="21"/>
                <w:szCs w:val="21"/>
              </w:rPr>
              <w:fldChar w:fldCharType="separate"/>
            </w:r>
            <w:r w:rsidR="00CF7DF3" w:rsidRPr="00BD7731">
              <w:rPr>
                <w:rFonts w:ascii="Arial" w:hAnsi="Arial" w:cs="Arial"/>
                <w:noProof/>
                <w:sz w:val="21"/>
                <w:szCs w:val="21"/>
              </w:rPr>
              <w:t>2</w:t>
            </w:r>
            <w:r w:rsidRPr="00BD7731">
              <w:rPr>
                <w:rFonts w:ascii="Arial" w:hAnsi="Arial" w:cs="Arial"/>
                <w:noProof/>
                <w:sz w:val="21"/>
                <w:szCs w:val="21"/>
              </w:rPr>
              <w:fldChar w:fldCharType="end"/>
            </w:r>
          </w:p>
        </w:tc>
        <w:tc>
          <w:tcPr>
            <w:tcW w:w="1917" w:type="dxa"/>
          </w:tcPr>
          <w:p w14:paraId="086B5D9A" w14:textId="77777777" w:rsidR="008F7113" w:rsidRPr="00BD7731" w:rsidRDefault="008F7113" w:rsidP="002168A7">
            <w:pPr>
              <w:jc w:val="center"/>
              <w:rPr>
                <w:rFonts w:ascii="Arial" w:hAnsi="Arial" w:cs="Arial"/>
                <w:sz w:val="21"/>
                <w:szCs w:val="21"/>
              </w:rPr>
            </w:pPr>
          </w:p>
        </w:tc>
        <w:tc>
          <w:tcPr>
            <w:tcW w:w="1699" w:type="dxa"/>
          </w:tcPr>
          <w:p w14:paraId="19F293F2" w14:textId="77777777" w:rsidR="008F7113" w:rsidRPr="00BD7731" w:rsidRDefault="008F7113" w:rsidP="002168A7">
            <w:pPr>
              <w:jc w:val="center"/>
              <w:rPr>
                <w:rFonts w:ascii="Arial" w:hAnsi="Arial" w:cs="Arial"/>
                <w:sz w:val="21"/>
                <w:szCs w:val="21"/>
              </w:rPr>
            </w:pPr>
            <w:r w:rsidRPr="00BD7731">
              <w:rPr>
                <w:rFonts w:ascii="Arial" w:hAnsi="Arial" w:cs="Arial"/>
                <w:sz w:val="21"/>
                <w:szCs w:val="21"/>
              </w:rPr>
              <w:t>1.5</w:t>
            </w:r>
          </w:p>
        </w:tc>
        <w:tc>
          <w:tcPr>
            <w:tcW w:w="1699" w:type="dxa"/>
          </w:tcPr>
          <w:p w14:paraId="0A226AD5" w14:textId="77777777" w:rsidR="008F7113" w:rsidRPr="00BD7731" w:rsidRDefault="008F7113" w:rsidP="002168A7">
            <w:pPr>
              <w:jc w:val="center"/>
              <w:rPr>
                <w:rFonts w:ascii="Arial" w:hAnsi="Arial" w:cs="Arial"/>
                <w:sz w:val="21"/>
                <w:szCs w:val="21"/>
              </w:rPr>
            </w:pPr>
            <w:r w:rsidRPr="00BD7731">
              <w:rPr>
                <w:rFonts w:ascii="Arial" w:hAnsi="Arial" w:cs="Arial"/>
                <w:sz w:val="21"/>
                <w:szCs w:val="21"/>
              </w:rPr>
              <w:t>0.1</w:t>
            </w:r>
          </w:p>
        </w:tc>
        <w:tc>
          <w:tcPr>
            <w:tcW w:w="1699" w:type="dxa"/>
          </w:tcPr>
          <w:p w14:paraId="65691E88" w14:textId="77777777" w:rsidR="008F7113" w:rsidRPr="00BD7731" w:rsidRDefault="008F7113" w:rsidP="002168A7">
            <w:pPr>
              <w:jc w:val="center"/>
              <w:rPr>
                <w:rFonts w:ascii="Arial" w:hAnsi="Arial" w:cs="Arial"/>
                <w:sz w:val="21"/>
                <w:szCs w:val="21"/>
              </w:rPr>
            </w:pPr>
            <w:r w:rsidRPr="00BD7731">
              <w:rPr>
                <w:rFonts w:ascii="Arial" w:hAnsi="Arial" w:cs="Arial"/>
                <w:sz w:val="21"/>
                <w:szCs w:val="21"/>
              </w:rPr>
              <w:t>49</w:t>
            </w:r>
          </w:p>
        </w:tc>
      </w:tr>
      <w:tr w:rsidR="00BD7731" w:rsidRPr="00BD7731" w14:paraId="44C43FEE" w14:textId="77777777" w:rsidTr="002168A7">
        <w:trPr>
          <w:jc w:val="center"/>
        </w:trPr>
        <w:tc>
          <w:tcPr>
            <w:tcW w:w="786" w:type="dxa"/>
          </w:tcPr>
          <w:p w14:paraId="027F3537" w14:textId="7F9591AF" w:rsidR="008F7113" w:rsidRPr="00BD7731" w:rsidRDefault="008F7113" w:rsidP="002168A7">
            <w:pPr>
              <w:jc w:val="center"/>
              <w:rPr>
                <w:rFonts w:ascii="Arial" w:hAnsi="Arial" w:cs="Arial"/>
                <w:sz w:val="21"/>
                <w:szCs w:val="21"/>
              </w:rPr>
            </w:pPr>
            <w:r w:rsidRPr="00BD7731">
              <w:rPr>
                <w:rFonts w:ascii="Arial" w:hAnsi="Arial" w:cs="Arial"/>
                <w:sz w:val="21"/>
                <w:szCs w:val="21"/>
              </w:rPr>
              <w:fldChar w:fldCharType="begin"/>
            </w:r>
            <w:r w:rsidRPr="00BD7731">
              <w:rPr>
                <w:rFonts w:ascii="Arial" w:hAnsi="Arial" w:cs="Arial"/>
                <w:sz w:val="21"/>
                <w:szCs w:val="21"/>
              </w:rPr>
              <w:instrText xml:space="preserve"> SEQ table2 \* MERGEFORMAT </w:instrText>
            </w:r>
            <w:r w:rsidRPr="00BD7731">
              <w:rPr>
                <w:rFonts w:ascii="Arial" w:hAnsi="Arial" w:cs="Arial"/>
                <w:sz w:val="21"/>
                <w:szCs w:val="21"/>
              </w:rPr>
              <w:fldChar w:fldCharType="separate"/>
            </w:r>
            <w:r w:rsidR="00CF7DF3" w:rsidRPr="00BD7731">
              <w:rPr>
                <w:rFonts w:ascii="Arial" w:hAnsi="Arial" w:cs="Arial"/>
                <w:noProof/>
                <w:sz w:val="21"/>
                <w:szCs w:val="21"/>
              </w:rPr>
              <w:t>3</w:t>
            </w:r>
            <w:r w:rsidRPr="00BD7731">
              <w:rPr>
                <w:rFonts w:ascii="Arial" w:hAnsi="Arial" w:cs="Arial"/>
                <w:noProof/>
                <w:sz w:val="21"/>
                <w:szCs w:val="21"/>
              </w:rPr>
              <w:fldChar w:fldCharType="end"/>
            </w:r>
          </w:p>
        </w:tc>
        <w:tc>
          <w:tcPr>
            <w:tcW w:w="1917" w:type="dxa"/>
          </w:tcPr>
          <w:p w14:paraId="65294197" w14:textId="77777777" w:rsidR="008F7113" w:rsidRPr="00BD7731" w:rsidRDefault="008F7113" w:rsidP="002168A7">
            <w:pPr>
              <w:jc w:val="center"/>
              <w:rPr>
                <w:rFonts w:ascii="Arial" w:hAnsi="Arial" w:cs="Arial"/>
                <w:sz w:val="21"/>
                <w:szCs w:val="21"/>
              </w:rPr>
            </w:pPr>
          </w:p>
        </w:tc>
        <w:tc>
          <w:tcPr>
            <w:tcW w:w="1699" w:type="dxa"/>
          </w:tcPr>
          <w:p w14:paraId="7AC62A0D" w14:textId="77777777" w:rsidR="008F7113" w:rsidRPr="00BD7731" w:rsidRDefault="008F7113" w:rsidP="002168A7">
            <w:pPr>
              <w:jc w:val="center"/>
              <w:rPr>
                <w:rFonts w:ascii="Arial" w:hAnsi="Arial" w:cs="Arial"/>
                <w:sz w:val="21"/>
                <w:szCs w:val="21"/>
              </w:rPr>
            </w:pPr>
            <w:r w:rsidRPr="00BD7731">
              <w:rPr>
                <w:rFonts w:ascii="Arial" w:hAnsi="Arial" w:cs="Arial"/>
                <w:sz w:val="21"/>
                <w:szCs w:val="21"/>
              </w:rPr>
              <w:t>1.5</w:t>
            </w:r>
          </w:p>
        </w:tc>
        <w:tc>
          <w:tcPr>
            <w:tcW w:w="1699" w:type="dxa"/>
          </w:tcPr>
          <w:p w14:paraId="1F4830A8" w14:textId="77777777" w:rsidR="008F7113" w:rsidRPr="00BD7731" w:rsidRDefault="008F7113" w:rsidP="002168A7">
            <w:pPr>
              <w:jc w:val="center"/>
              <w:rPr>
                <w:rFonts w:ascii="Arial" w:hAnsi="Arial" w:cs="Arial"/>
                <w:sz w:val="21"/>
                <w:szCs w:val="21"/>
              </w:rPr>
            </w:pPr>
            <w:r w:rsidRPr="00BD7731">
              <w:rPr>
                <w:rFonts w:ascii="Arial" w:hAnsi="Arial" w:cs="Arial"/>
                <w:sz w:val="21"/>
                <w:szCs w:val="21"/>
              </w:rPr>
              <w:t>0.2</w:t>
            </w:r>
          </w:p>
        </w:tc>
        <w:tc>
          <w:tcPr>
            <w:tcW w:w="1699" w:type="dxa"/>
          </w:tcPr>
          <w:p w14:paraId="2F7F614B" w14:textId="77777777" w:rsidR="008F7113" w:rsidRPr="00BD7731" w:rsidRDefault="008F7113" w:rsidP="002168A7">
            <w:pPr>
              <w:jc w:val="center"/>
              <w:rPr>
                <w:rFonts w:ascii="Arial" w:hAnsi="Arial" w:cs="Arial"/>
                <w:sz w:val="21"/>
                <w:szCs w:val="21"/>
              </w:rPr>
            </w:pPr>
            <w:r w:rsidRPr="00BD7731">
              <w:rPr>
                <w:rFonts w:ascii="Arial" w:hAnsi="Arial" w:cs="Arial"/>
                <w:sz w:val="21"/>
                <w:szCs w:val="21"/>
              </w:rPr>
              <w:t>91</w:t>
            </w:r>
          </w:p>
        </w:tc>
      </w:tr>
      <w:tr w:rsidR="00BD7731" w:rsidRPr="00BD7731" w14:paraId="49F6F496" w14:textId="77777777" w:rsidTr="002168A7">
        <w:trPr>
          <w:jc w:val="center"/>
        </w:trPr>
        <w:tc>
          <w:tcPr>
            <w:tcW w:w="786" w:type="dxa"/>
          </w:tcPr>
          <w:p w14:paraId="37D56474" w14:textId="0F9ED199" w:rsidR="008F7113" w:rsidRPr="00BD7731" w:rsidRDefault="008F7113" w:rsidP="002168A7">
            <w:pPr>
              <w:jc w:val="center"/>
              <w:rPr>
                <w:rFonts w:ascii="Arial" w:hAnsi="Arial" w:cs="Arial"/>
                <w:sz w:val="21"/>
                <w:szCs w:val="21"/>
              </w:rPr>
            </w:pPr>
            <w:r w:rsidRPr="00BD7731">
              <w:rPr>
                <w:rFonts w:ascii="Arial" w:hAnsi="Arial" w:cs="Arial"/>
                <w:sz w:val="21"/>
                <w:szCs w:val="21"/>
              </w:rPr>
              <w:fldChar w:fldCharType="begin"/>
            </w:r>
            <w:r w:rsidRPr="00BD7731">
              <w:rPr>
                <w:rFonts w:ascii="Arial" w:hAnsi="Arial" w:cs="Arial"/>
                <w:sz w:val="21"/>
                <w:szCs w:val="21"/>
              </w:rPr>
              <w:instrText xml:space="preserve"> SEQ table2 \* MERGEFORMAT </w:instrText>
            </w:r>
            <w:r w:rsidRPr="00BD7731">
              <w:rPr>
                <w:rFonts w:ascii="Arial" w:hAnsi="Arial" w:cs="Arial"/>
                <w:sz w:val="21"/>
                <w:szCs w:val="21"/>
              </w:rPr>
              <w:fldChar w:fldCharType="separate"/>
            </w:r>
            <w:r w:rsidR="00CF7DF3" w:rsidRPr="00BD7731">
              <w:rPr>
                <w:rFonts w:ascii="Arial" w:hAnsi="Arial" w:cs="Arial"/>
                <w:noProof/>
                <w:sz w:val="21"/>
                <w:szCs w:val="21"/>
              </w:rPr>
              <w:t>4</w:t>
            </w:r>
            <w:r w:rsidRPr="00BD7731">
              <w:rPr>
                <w:rFonts w:ascii="Arial" w:hAnsi="Arial" w:cs="Arial"/>
                <w:noProof/>
                <w:sz w:val="21"/>
                <w:szCs w:val="21"/>
              </w:rPr>
              <w:fldChar w:fldCharType="end"/>
            </w:r>
          </w:p>
        </w:tc>
        <w:tc>
          <w:tcPr>
            <w:tcW w:w="1917" w:type="dxa"/>
          </w:tcPr>
          <w:p w14:paraId="107B8B90" w14:textId="77777777" w:rsidR="008F7113" w:rsidRPr="00BD7731" w:rsidRDefault="008F7113" w:rsidP="002168A7">
            <w:pPr>
              <w:jc w:val="center"/>
              <w:rPr>
                <w:rFonts w:ascii="Arial" w:hAnsi="Arial" w:cs="Arial"/>
                <w:sz w:val="21"/>
                <w:szCs w:val="21"/>
              </w:rPr>
            </w:pPr>
          </w:p>
        </w:tc>
        <w:tc>
          <w:tcPr>
            <w:tcW w:w="1699" w:type="dxa"/>
          </w:tcPr>
          <w:p w14:paraId="6EA5C97C" w14:textId="77777777" w:rsidR="008F7113" w:rsidRPr="00BD7731" w:rsidRDefault="008F7113" w:rsidP="002168A7">
            <w:pPr>
              <w:jc w:val="center"/>
              <w:rPr>
                <w:rFonts w:ascii="Arial" w:hAnsi="Arial" w:cs="Arial"/>
                <w:sz w:val="21"/>
                <w:szCs w:val="21"/>
              </w:rPr>
            </w:pPr>
            <w:r w:rsidRPr="00BD7731">
              <w:rPr>
                <w:rFonts w:ascii="Arial" w:hAnsi="Arial" w:cs="Arial"/>
                <w:sz w:val="21"/>
                <w:szCs w:val="21"/>
              </w:rPr>
              <w:t>1.5</w:t>
            </w:r>
          </w:p>
        </w:tc>
        <w:tc>
          <w:tcPr>
            <w:tcW w:w="1699" w:type="dxa"/>
          </w:tcPr>
          <w:p w14:paraId="692F8066" w14:textId="77777777" w:rsidR="008F7113" w:rsidRPr="00BD7731" w:rsidRDefault="008F7113" w:rsidP="002168A7">
            <w:pPr>
              <w:jc w:val="center"/>
              <w:rPr>
                <w:rFonts w:ascii="Arial" w:hAnsi="Arial" w:cs="Arial"/>
                <w:sz w:val="21"/>
                <w:szCs w:val="21"/>
              </w:rPr>
            </w:pPr>
            <w:r w:rsidRPr="00BD7731">
              <w:rPr>
                <w:rFonts w:ascii="Arial" w:hAnsi="Arial" w:cs="Arial"/>
                <w:sz w:val="21"/>
                <w:szCs w:val="21"/>
              </w:rPr>
              <w:t>0.4</w:t>
            </w:r>
          </w:p>
        </w:tc>
        <w:tc>
          <w:tcPr>
            <w:tcW w:w="1699" w:type="dxa"/>
          </w:tcPr>
          <w:p w14:paraId="5E5DA7B0" w14:textId="77777777" w:rsidR="008F7113" w:rsidRPr="00BD7731" w:rsidRDefault="008F7113" w:rsidP="002168A7">
            <w:pPr>
              <w:jc w:val="center"/>
              <w:rPr>
                <w:rFonts w:ascii="Arial" w:hAnsi="Arial" w:cs="Arial"/>
                <w:sz w:val="21"/>
                <w:szCs w:val="21"/>
              </w:rPr>
            </w:pPr>
            <w:r w:rsidRPr="00BD7731">
              <w:rPr>
                <w:rFonts w:ascii="Arial" w:hAnsi="Arial" w:cs="Arial"/>
                <w:sz w:val="21"/>
                <w:szCs w:val="21"/>
              </w:rPr>
              <w:t>93</w:t>
            </w:r>
          </w:p>
        </w:tc>
      </w:tr>
      <w:tr w:rsidR="00BD7731" w:rsidRPr="00BD7731" w14:paraId="604E7058" w14:textId="77777777" w:rsidTr="002168A7">
        <w:trPr>
          <w:jc w:val="center"/>
        </w:trPr>
        <w:tc>
          <w:tcPr>
            <w:tcW w:w="786" w:type="dxa"/>
          </w:tcPr>
          <w:p w14:paraId="2211FCAE" w14:textId="36162DE7" w:rsidR="008F7113" w:rsidRPr="00BD7731" w:rsidRDefault="008F7113" w:rsidP="002168A7">
            <w:pPr>
              <w:jc w:val="center"/>
              <w:rPr>
                <w:rFonts w:ascii="Arial" w:hAnsi="Arial" w:cs="Arial"/>
                <w:sz w:val="21"/>
                <w:szCs w:val="21"/>
              </w:rPr>
            </w:pPr>
            <w:r w:rsidRPr="00BD7731">
              <w:rPr>
                <w:rFonts w:ascii="Arial" w:hAnsi="Arial" w:cs="Arial"/>
                <w:sz w:val="21"/>
                <w:szCs w:val="21"/>
              </w:rPr>
              <w:fldChar w:fldCharType="begin"/>
            </w:r>
            <w:r w:rsidRPr="00BD7731">
              <w:rPr>
                <w:rFonts w:ascii="Arial" w:hAnsi="Arial" w:cs="Arial"/>
                <w:sz w:val="21"/>
                <w:szCs w:val="21"/>
              </w:rPr>
              <w:instrText xml:space="preserve"> SEQ table2 \* MERGEFORMAT </w:instrText>
            </w:r>
            <w:r w:rsidRPr="00BD7731">
              <w:rPr>
                <w:rFonts w:ascii="Arial" w:hAnsi="Arial" w:cs="Arial"/>
                <w:sz w:val="21"/>
                <w:szCs w:val="21"/>
              </w:rPr>
              <w:fldChar w:fldCharType="separate"/>
            </w:r>
            <w:r w:rsidR="00CF7DF3" w:rsidRPr="00BD7731">
              <w:rPr>
                <w:rFonts w:ascii="Arial" w:hAnsi="Arial" w:cs="Arial"/>
                <w:noProof/>
                <w:sz w:val="21"/>
                <w:szCs w:val="21"/>
              </w:rPr>
              <w:t>5</w:t>
            </w:r>
            <w:r w:rsidRPr="00BD7731">
              <w:rPr>
                <w:rFonts w:ascii="Arial" w:hAnsi="Arial" w:cs="Arial"/>
                <w:noProof/>
                <w:sz w:val="21"/>
                <w:szCs w:val="21"/>
              </w:rPr>
              <w:fldChar w:fldCharType="end"/>
            </w:r>
          </w:p>
        </w:tc>
        <w:tc>
          <w:tcPr>
            <w:tcW w:w="1917" w:type="dxa"/>
          </w:tcPr>
          <w:p w14:paraId="27175F0D" w14:textId="77777777" w:rsidR="008F7113" w:rsidRPr="00BD7731" w:rsidRDefault="008F7113" w:rsidP="002168A7">
            <w:pPr>
              <w:jc w:val="center"/>
              <w:rPr>
                <w:rFonts w:ascii="Arial" w:hAnsi="Arial" w:cs="Arial"/>
                <w:sz w:val="21"/>
                <w:szCs w:val="21"/>
              </w:rPr>
            </w:pPr>
          </w:p>
        </w:tc>
        <w:tc>
          <w:tcPr>
            <w:tcW w:w="1699" w:type="dxa"/>
          </w:tcPr>
          <w:p w14:paraId="46A64645" w14:textId="77777777" w:rsidR="008F7113" w:rsidRPr="00BD7731" w:rsidRDefault="008F7113" w:rsidP="002168A7">
            <w:pPr>
              <w:jc w:val="center"/>
              <w:rPr>
                <w:rFonts w:ascii="Arial" w:hAnsi="Arial" w:cs="Arial"/>
                <w:sz w:val="21"/>
                <w:szCs w:val="21"/>
              </w:rPr>
            </w:pPr>
            <w:r w:rsidRPr="00BD7731">
              <w:rPr>
                <w:rFonts w:ascii="Arial" w:hAnsi="Arial" w:cs="Arial"/>
                <w:sz w:val="21"/>
                <w:szCs w:val="21"/>
              </w:rPr>
              <w:t>1.5</w:t>
            </w:r>
          </w:p>
        </w:tc>
        <w:tc>
          <w:tcPr>
            <w:tcW w:w="1699" w:type="dxa"/>
          </w:tcPr>
          <w:p w14:paraId="73E2A905" w14:textId="77777777" w:rsidR="008F7113" w:rsidRPr="00BD7731" w:rsidRDefault="008F7113" w:rsidP="002168A7">
            <w:pPr>
              <w:jc w:val="center"/>
              <w:rPr>
                <w:rFonts w:ascii="Arial" w:hAnsi="Arial" w:cs="Arial"/>
                <w:sz w:val="21"/>
                <w:szCs w:val="21"/>
              </w:rPr>
            </w:pPr>
            <w:r w:rsidRPr="00BD7731">
              <w:rPr>
                <w:rFonts w:ascii="Arial" w:hAnsi="Arial" w:cs="Arial"/>
                <w:sz w:val="21"/>
                <w:szCs w:val="21"/>
              </w:rPr>
              <w:t>0.8</w:t>
            </w:r>
          </w:p>
        </w:tc>
        <w:tc>
          <w:tcPr>
            <w:tcW w:w="1699" w:type="dxa"/>
          </w:tcPr>
          <w:p w14:paraId="597B0A7E" w14:textId="77777777" w:rsidR="008F7113" w:rsidRPr="00BD7731" w:rsidRDefault="008F7113" w:rsidP="002168A7">
            <w:pPr>
              <w:jc w:val="center"/>
              <w:rPr>
                <w:rFonts w:ascii="Arial" w:hAnsi="Arial" w:cs="Arial"/>
                <w:sz w:val="21"/>
                <w:szCs w:val="21"/>
              </w:rPr>
            </w:pPr>
            <w:r w:rsidRPr="00BD7731">
              <w:rPr>
                <w:rFonts w:ascii="Arial" w:hAnsi="Arial" w:cs="Arial"/>
                <w:sz w:val="21"/>
                <w:szCs w:val="21"/>
              </w:rPr>
              <w:t>80</w:t>
            </w:r>
          </w:p>
        </w:tc>
      </w:tr>
      <w:tr w:rsidR="00BD7731" w:rsidRPr="00BD7731" w14:paraId="305E6331" w14:textId="77777777" w:rsidTr="002168A7">
        <w:trPr>
          <w:jc w:val="center"/>
        </w:trPr>
        <w:tc>
          <w:tcPr>
            <w:tcW w:w="786" w:type="dxa"/>
          </w:tcPr>
          <w:p w14:paraId="3C38C160" w14:textId="70F0D16E" w:rsidR="008F7113" w:rsidRPr="00BD7731" w:rsidRDefault="008F7113" w:rsidP="002168A7">
            <w:pPr>
              <w:jc w:val="center"/>
              <w:rPr>
                <w:rFonts w:ascii="Arial" w:hAnsi="Arial" w:cs="Arial"/>
                <w:sz w:val="21"/>
                <w:szCs w:val="21"/>
              </w:rPr>
            </w:pPr>
            <w:r w:rsidRPr="00BD7731">
              <w:rPr>
                <w:rFonts w:ascii="Arial" w:hAnsi="Arial" w:cs="Arial"/>
                <w:sz w:val="21"/>
                <w:szCs w:val="21"/>
              </w:rPr>
              <w:fldChar w:fldCharType="begin"/>
            </w:r>
            <w:r w:rsidRPr="00BD7731">
              <w:rPr>
                <w:rFonts w:ascii="Arial" w:hAnsi="Arial" w:cs="Arial"/>
                <w:sz w:val="21"/>
                <w:szCs w:val="21"/>
              </w:rPr>
              <w:instrText xml:space="preserve"> SEQ table2 \* MERGEFORMAT </w:instrText>
            </w:r>
            <w:r w:rsidRPr="00BD7731">
              <w:rPr>
                <w:rFonts w:ascii="Arial" w:hAnsi="Arial" w:cs="Arial"/>
                <w:sz w:val="21"/>
                <w:szCs w:val="21"/>
              </w:rPr>
              <w:fldChar w:fldCharType="separate"/>
            </w:r>
            <w:r w:rsidR="00CF7DF3" w:rsidRPr="00BD7731">
              <w:rPr>
                <w:rFonts w:ascii="Arial" w:hAnsi="Arial" w:cs="Arial"/>
                <w:noProof/>
                <w:sz w:val="21"/>
                <w:szCs w:val="21"/>
              </w:rPr>
              <w:t>6</w:t>
            </w:r>
            <w:r w:rsidRPr="00BD7731">
              <w:rPr>
                <w:rFonts w:ascii="Arial" w:hAnsi="Arial" w:cs="Arial"/>
                <w:noProof/>
                <w:sz w:val="21"/>
                <w:szCs w:val="21"/>
              </w:rPr>
              <w:fldChar w:fldCharType="end"/>
            </w:r>
          </w:p>
        </w:tc>
        <w:tc>
          <w:tcPr>
            <w:tcW w:w="1917" w:type="dxa"/>
          </w:tcPr>
          <w:p w14:paraId="685F5ECF" w14:textId="77777777" w:rsidR="008F7113" w:rsidRPr="00BD7731" w:rsidRDefault="008F7113" w:rsidP="002168A7">
            <w:pPr>
              <w:jc w:val="center"/>
              <w:rPr>
                <w:rFonts w:ascii="Arial" w:hAnsi="Arial" w:cs="Arial"/>
                <w:sz w:val="21"/>
                <w:szCs w:val="21"/>
              </w:rPr>
            </w:pPr>
          </w:p>
        </w:tc>
        <w:tc>
          <w:tcPr>
            <w:tcW w:w="1699" w:type="dxa"/>
          </w:tcPr>
          <w:p w14:paraId="2DC50A5C" w14:textId="77777777" w:rsidR="008F7113" w:rsidRPr="00BD7731" w:rsidRDefault="008F7113" w:rsidP="002168A7">
            <w:pPr>
              <w:jc w:val="center"/>
              <w:rPr>
                <w:rFonts w:ascii="Arial" w:hAnsi="Arial" w:cs="Arial"/>
                <w:sz w:val="21"/>
                <w:szCs w:val="21"/>
              </w:rPr>
            </w:pPr>
            <w:r w:rsidRPr="00BD7731">
              <w:rPr>
                <w:rFonts w:ascii="Arial" w:hAnsi="Arial" w:cs="Arial"/>
                <w:sz w:val="21"/>
                <w:szCs w:val="21"/>
              </w:rPr>
              <w:t>3</w:t>
            </w:r>
          </w:p>
        </w:tc>
        <w:tc>
          <w:tcPr>
            <w:tcW w:w="1699" w:type="dxa"/>
          </w:tcPr>
          <w:p w14:paraId="7B2B391F" w14:textId="77777777" w:rsidR="008F7113" w:rsidRPr="00BD7731" w:rsidRDefault="008F7113" w:rsidP="002168A7">
            <w:pPr>
              <w:jc w:val="center"/>
              <w:rPr>
                <w:rFonts w:ascii="Arial" w:hAnsi="Arial" w:cs="Arial"/>
                <w:sz w:val="21"/>
                <w:szCs w:val="21"/>
              </w:rPr>
            </w:pPr>
            <w:r w:rsidRPr="00BD7731">
              <w:rPr>
                <w:rFonts w:ascii="Arial" w:hAnsi="Arial" w:cs="Arial"/>
                <w:sz w:val="21"/>
                <w:szCs w:val="21"/>
              </w:rPr>
              <w:t>0.2</w:t>
            </w:r>
          </w:p>
        </w:tc>
        <w:tc>
          <w:tcPr>
            <w:tcW w:w="1699" w:type="dxa"/>
          </w:tcPr>
          <w:p w14:paraId="443B41F6" w14:textId="77777777" w:rsidR="008F7113" w:rsidRPr="00BD7731" w:rsidRDefault="008F7113" w:rsidP="002168A7">
            <w:pPr>
              <w:jc w:val="center"/>
              <w:rPr>
                <w:rFonts w:ascii="Arial" w:hAnsi="Arial" w:cs="Arial"/>
                <w:sz w:val="21"/>
                <w:szCs w:val="21"/>
              </w:rPr>
            </w:pPr>
            <w:r w:rsidRPr="00BD7731">
              <w:rPr>
                <w:rFonts w:ascii="Arial" w:hAnsi="Arial" w:cs="Arial"/>
                <w:sz w:val="21"/>
                <w:szCs w:val="21"/>
              </w:rPr>
              <w:t>88</w:t>
            </w:r>
          </w:p>
        </w:tc>
      </w:tr>
      <w:tr w:rsidR="00BD7731" w:rsidRPr="00BD7731" w14:paraId="2D36502F" w14:textId="77777777" w:rsidTr="002168A7">
        <w:trPr>
          <w:jc w:val="center"/>
        </w:trPr>
        <w:tc>
          <w:tcPr>
            <w:tcW w:w="786" w:type="dxa"/>
          </w:tcPr>
          <w:p w14:paraId="30102D10" w14:textId="3A0873CC" w:rsidR="008F7113" w:rsidRPr="00BD7731" w:rsidRDefault="008F7113" w:rsidP="002168A7">
            <w:pPr>
              <w:jc w:val="center"/>
              <w:rPr>
                <w:rFonts w:ascii="Arial" w:hAnsi="Arial" w:cs="Arial"/>
                <w:sz w:val="21"/>
                <w:szCs w:val="21"/>
              </w:rPr>
            </w:pPr>
            <w:r w:rsidRPr="00BD7731">
              <w:rPr>
                <w:rFonts w:ascii="Arial" w:hAnsi="Arial" w:cs="Arial"/>
                <w:sz w:val="21"/>
                <w:szCs w:val="21"/>
              </w:rPr>
              <w:fldChar w:fldCharType="begin"/>
            </w:r>
            <w:r w:rsidRPr="00BD7731">
              <w:rPr>
                <w:rFonts w:ascii="Arial" w:hAnsi="Arial" w:cs="Arial"/>
                <w:sz w:val="21"/>
                <w:szCs w:val="21"/>
              </w:rPr>
              <w:instrText xml:space="preserve"> SEQ table2 \* MERGEFORMAT </w:instrText>
            </w:r>
            <w:r w:rsidRPr="00BD7731">
              <w:rPr>
                <w:rFonts w:ascii="Arial" w:hAnsi="Arial" w:cs="Arial"/>
                <w:sz w:val="21"/>
                <w:szCs w:val="21"/>
              </w:rPr>
              <w:fldChar w:fldCharType="separate"/>
            </w:r>
            <w:r w:rsidR="00CF7DF3" w:rsidRPr="00BD7731">
              <w:rPr>
                <w:rFonts w:ascii="Arial" w:hAnsi="Arial" w:cs="Arial"/>
                <w:noProof/>
                <w:sz w:val="21"/>
                <w:szCs w:val="21"/>
              </w:rPr>
              <w:t>7</w:t>
            </w:r>
            <w:r w:rsidRPr="00BD7731">
              <w:rPr>
                <w:rFonts w:ascii="Arial" w:hAnsi="Arial" w:cs="Arial"/>
                <w:noProof/>
                <w:sz w:val="21"/>
                <w:szCs w:val="21"/>
              </w:rPr>
              <w:fldChar w:fldCharType="end"/>
            </w:r>
          </w:p>
        </w:tc>
        <w:tc>
          <w:tcPr>
            <w:tcW w:w="1917" w:type="dxa"/>
          </w:tcPr>
          <w:p w14:paraId="779D859E" w14:textId="77777777" w:rsidR="008F7113" w:rsidRPr="00BD7731" w:rsidRDefault="008F7113" w:rsidP="002168A7">
            <w:pPr>
              <w:jc w:val="center"/>
              <w:rPr>
                <w:rFonts w:ascii="Arial" w:hAnsi="Arial" w:cs="Arial"/>
                <w:sz w:val="21"/>
                <w:szCs w:val="21"/>
              </w:rPr>
            </w:pPr>
          </w:p>
        </w:tc>
        <w:tc>
          <w:tcPr>
            <w:tcW w:w="1699" w:type="dxa"/>
          </w:tcPr>
          <w:p w14:paraId="711BF130" w14:textId="77777777" w:rsidR="008F7113" w:rsidRPr="00BD7731" w:rsidRDefault="008F7113" w:rsidP="002168A7">
            <w:pPr>
              <w:jc w:val="center"/>
              <w:rPr>
                <w:rFonts w:ascii="Arial" w:hAnsi="Arial" w:cs="Arial"/>
                <w:sz w:val="21"/>
                <w:szCs w:val="21"/>
              </w:rPr>
            </w:pPr>
            <w:r w:rsidRPr="00BD7731">
              <w:rPr>
                <w:rFonts w:ascii="Arial" w:hAnsi="Arial" w:cs="Arial"/>
                <w:sz w:val="21"/>
                <w:szCs w:val="21"/>
              </w:rPr>
              <w:t>8</w:t>
            </w:r>
          </w:p>
        </w:tc>
        <w:tc>
          <w:tcPr>
            <w:tcW w:w="1699" w:type="dxa"/>
          </w:tcPr>
          <w:p w14:paraId="5800A2C4" w14:textId="77777777" w:rsidR="008F7113" w:rsidRPr="00BD7731" w:rsidRDefault="008F7113" w:rsidP="002168A7">
            <w:pPr>
              <w:jc w:val="center"/>
              <w:rPr>
                <w:rFonts w:ascii="Arial" w:hAnsi="Arial" w:cs="Arial"/>
                <w:sz w:val="21"/>
                <w:szCs w:val="21"/>
              </w:rPr>
            </w:pPr>
            <w:r w:rsidRPr="00BD7731">
              <w:rPr>
                <w:rFonts w:ascii="Arial" w:hAnsi="Arial" w:cs="Arial"/>
                <w:sz w:val="21"/>
                <w:szCs w:val="21"/>
              </w:rPr>
              <w:t>0.2</w:t>
            </w:r>
          </w:p>
        </w:tc>
        <w:tc>
          <w:tcPr>
            <w:tcW w:w="1699" w:type="dxa"/>
          </w:tcPr>
          <w:p w14:paraId="2B711B70" w14:textId="77777777" w:rsidR="008F7113" w:rsidRPr="00BD7731" w:rsidRDefault="008F7113" w:rsidP="002168A7">
            <w:pPr>
              <w:jc w:val="center"/>
              <w:rPr>
                <w:rFonts w:ascii="Arial" w:hAnsi="Arial" w:cs="Arial"/>
                <w:sz w:val="21"/>
                <w:szCs w:val="21"/>
              </w:rPr>
            </w:pPr>
            <w:r w:rsidRPr="00BD7731">
              <w:rPr>
                <w:rFonts w:ascii="Arial" w:hAnsi="Arial" w:cs="Arial"/>
                <w:sz w:val="21"/>
                <w:szCs w:val="21"/>
              </w:rPr>
              <w:t>49</w:t>
            </w:r>
          </w:p>
        </w:tc>
      </w:tr>
      <w:tr w:rsidR="00BD7731" w:rsidRPr="00BD7731" w14:paraId="6E78896F" w14:textId="77777777" w:rsidTr="002168A7">
        <w:trPr>
          <w:jc w:val="center"/>
        </w:trPr>
        <w:tc>
          <w:tcPr>
            <w:tcW w:w="786" w:type="dxa"/>
          </w:tcPr>
          <w:p w14:paraId="17AEF345" w14:textId="06C7016D" w:rsidR="008F7113" w:rsidRPr="00BD7731" w:rsidRDefault="008F7113" w:rsidP="002168A7">
            <w:pPr>
              <w:jc w:val="center"/>
              <w:rPr>
                <w:rFonts w:ascii="Arial" w:hAnsi="Arial" w:cs="Arial"/>
                <w:sz w:val="21"/>
                <w:szCs w:val="21"/>
              </w:rPr>
            </w:pPr>
            <w:r w:rsidRPr="00BD7731">
              <w:rPr>
                <w:rFonts w:ascii="Arial" w:hAnsi="Arial" w:cs="Arial"/>
                <w:sz w:val="21"/>
                <w:szCs w:val="21"/>
              </w:rPr>
              <w:fldChar w:fldCharType="begin"/>
            </w:r>
            <w:r w:rsidRPr="00BD7731">
              <w:rPr>
                <w:rFonts w:ascii="Arial" w:hAnsi="Arial" w:cs="Arial"/>
                <w:sz w:val="21"/>
                <w:szCs w:val="21"/>
              </w:rPr>
              <w:instrText xml:space="preserve"> SEQ table2 \* MERGEFORMAT </w:instrText>
            </w:r>
            <w:r w:rsidRPr="00BD7731">
              <w:rPr>
                <w:rFonts w:ascii="Arial" w:hAnsi="Arial" w:cs="Arial"/>
                <w:sz w:val="21"/>
                <w:szCs w:val="21"/>
              </w:rPr>
              <w:fldChar w:fldCharType="separate"/>
            </w:r>
            <w:r w:rsidR="00CF7DF3" w:rsidRPr="00BD7731">
              <w:rPr>
                <w:rFonts w:ascii="Arial" w:hAnsi="Arial" w:cs="Arial"/>
                <w:noProof/>
                <w:sz w:val="21"/>
                <w:szCs w:val="21"/>
              </w:rPr>
              <w:t>8</w:t>
            </w:r>
            <w:r w:rsidRPr="00BD7731">
              <w:rPr>
                <w:rFonts w:ascii="Arial" w:hAnsi="Arial" w:cs="Arial"/>
                <w:noProof/>
                <w:sz w:val="21"/>
                <w:szCs w:val="21"/>
              </w:rPr>
              <w:fldChar w:fldCharType="end"/>
            </w:r>
          </w:p>
        </w:tc>
        <w:tc>
          <w:tcPr>
            <w:tcW w:w="1917" w:type="dxa"/>
          </w:tcPr>
          <w:p w14:paraId="2DB74987" w14:textId="77777777" w:rsidR="008F7113" w:rsidRPr="00BD7731" w:rsidRDefault="008F7113" w:rsidP="002168A7">
            <w:pPr>
              <w:jc w:val="center"/>
              <w:rPr>
                <w:rFonts w:ascii="Arial" w:hAnsi="Arial" w:cs="Arial"/>
                <w:sz w:val="21"/>
                <w:szCs w:val="21"/>
              </w:rPr>
            </w:pPr>
            <w:r w:rsidRPr="00BD7731">
              <w:rPr>
                <w:rFonts w:ascii="Arial" w:hAnsi="Arial" w:cs="Arial"/>
                <w:sz w:val="21"/>
                <w:szCs w:val="21"/>
              </w:rPr>
              <w:t>T, 3500 (1.13)</w:t>
            </w:r>
          </w:p>
        </w:tc>
        <w:tc>
          <w:tcPr>
            <w:tcW w:w="1699" w:type="dxa"/>
          </w:tcPr>
          <w:p w14:paraId="6B8C8101" w14:textId="77777777" w:rsidR="008F7113" w:rsidRPr="00BD7731" w:rsidRDefault="008F7113" w:rsidP="002168A7">
            <w:pPr>
              <w:jc w:val="center"/>
              <w:rPr>
                <w:rFonts w:ascii="Arial" w:hAnsi="Arial" w:cs="Arial"/>
                <w:sz w:val="21"/>
                <w:szCs w:val="21"/>
              </w:rPr>
            </w:pPr>
            <w:r w:rsidRPr="00BD7731">
              <w:rPr>
                <w:rFonts w:ascii="Arial" w:hAnsi="Arial" w:cs="Arial"/>
                <w:sz w:val="21"/>
                <w:szCs w:val="21"/>
              </w:rPr>
              <w:t>1.5</w:t>
            </w:r>
          </w:p>
        </w:tc>
        <w:tc>
          <w:tcPr>
            <w:tcW w:w="1699" w:type="dxa"/>
          </w:tcPr>
          <w:p w14:paraId="083DEFB7" w14:textId="77777777" w:rsidR="008F7113" w:rsidRPr="00BD7731" w:rsidRDefault="008F7113" w:rsidP="002168A7">
            <w:pPr>
              <w:jc w:val="center"/>
              <w:rPr>
                <w:rFonts w:ascii="Arial" w:hAnsi="Arial" w:cs="Arial"/>
                <w:sz w:val="21"/>
                <w:szCs w:val="21"/>
              </w:rPr>
            </w:pPr>
            <w:r w:rsidRPr="00BD7731">
              <w:rPr>
                <w:rFonts w:ascii="Arial" w:hAnsi="Arial" w:cs="Arial"/>
                <w:sz w:val="21"/>
                <w:szCs w:val="21"/>
              </w:rPr>
              <w:t>0.4</w:t>
            </w:r>
          </w:p>
        </w:tc>
        <w:tc>
          <w:tcPr>
            <w:tcW w:w="1699" w:type="dxa"/>
          </w:tcPr>
          <w:p w14:paraId="4B21E5C5" w14:textId="77777777" w:rsidR="008F7113" w:rsidRPr="00BD7731" w:rsidRDefault="008F7113" w:rsidP="002168A7">
            <w:pPr>
              <w:jc w:val="center"/>
              <w:rPr>
                <w:rFonts w:ascii="Arial" w:hAnsi="Arial" w:cs="Arial"/>
                <w:sz w:val="21"/>
                <w:szCs w:val="21"/>
              </w:rPr>
            </w:pPr>
            <w:r w:rsidRPr="00BD7731">
              <w:rPr>
                <w:rFonts w:ascii="Arial" w:hAnsi="Arial" w:cs="Arial"/>
                <w:sz w:val="21"/>
                <w:szCs w:val="21"/>
              </w:rPr>
              <w:t>91</w:t>
            </w:r>
          </w:p>
        </w:tc>
      </w:tr>
      <w:tr w:rsidR="00BD7731" w:rsidRPr="00BD7731" w14:paraId="210CAB69" w14:textId="77777777" w:rsidTr="002168A7">
        <w:trPr>
          <w:jc w:val="center"/>
        </w:trPr>
        <w:tc>
          <w:tcPr>
            <w:tcW w:w="786" w:type="dxa"/>
          </w:tcPr>
          <w:p w14:paraId="213D637C" w14:textId="4241E950" w:rsidR="008F7113" w:rsidRPr="00BD7731" w:rsidRDefault="008F7113" w:rsidP="002168A7">
            <w:pPr>
              <w:jc w:val="center"/>
              <w:rPr>
                <w:rFonts w:ascii="Arial" w:hAnsi="Arial" w:cs="Arial"/>
                <w:sz w:val="21"/>
                <w:szCs w:val="21"/>
              </w:rPr>
            </w:pPr>
            <w:r w:rsidRPr="00BD7731">
              <w:rPr>
                <w:rFonts w:ascii="Arial" w:hAnsi="Arial" w:cs="Arial"/>
                <w:sz w:val="21"/>
                <w:szCs w:val="21"/>
              </w:rPr>
              <w:fldChar w:fldCharType="begin"/>
            </w:r>
            <w:r w:rsidRPr="00BD7731">
              <w:rPr>
                <w:rFonts w:ascii="Arial" w:hAnsi="Arial" w:cs="Arial"/>
                <w:sz w:val="21"/>
                <w:szCs w:val="21"/>
              </w:rPr>
              <w:instrText xml:space="preserve"> SEQ table2 \* MERGEFORMAT </w:instrText>
            </w:r>
            <w:r w:rsidRPr="00BD7731">
              <w:rPr>
                <w:rFonts w:ascii="Arial" w:hAnsi="Arial" w:cs="Arial"/>
                <w:sz w:val="21"/>
                <w:szCs w:val="21"/>
              </w:rPr>
              <w:fldChar w:fldCharType="separate"/>
            </w:r>
            <w:r w:rsidR="00CF7DF3" w:rsidRPr="00BD7731">
              <w:rPr>
                <w:rFonts w:ascii="Arial" w:hAnsi="Arial" w:cs="Arial"/>
                <w:noProof/>
                <w:sz w:val="21"/>
                <w:szCs w:val="21"/>
              </w:rPr>
              <w:t>9</w:t>
            </w:r>
            <w:r w:rsidRPr="00BD7731">
              <w:rPr>
                <w:rFonts w:ascii="Arial" w:hAnsi="Arial" w:cs="Arial"/>
                <w:noProof/>
                <w:sz w:val="21"/>
                <w:szCs w:val="21"/>
              </w:rPr>
              <w:fldChar w:fldCharType="end"/>
            </w:r>
          </w:p>
        </w:tc>
        <w:tc>
          <w:tcPr>
            <w:tcW w:w="1917" w:type="dxa"/>
          </w:tcPr>
          <w:p w14:paraId="4B1E3EC6" w14:textId="77777777" w:rsidR="008F7113" w:rsidRPr="00BD7731" w:rsidRDefault="008F7113" w:rsidP="002168A7">
            <w:pPr>
              <w:jc w:val="center"/>
              <w:rPr>
                <w:rFonts w:ascii="Arial" w:hAnsi="Arial" w:cs="Arial"/>
                <w:sz w:val="21"/>
                <w:szCs w:val="21"/>
              </w:rPr>
            </w:pPr>
            <w:r w:rsidRPr="00BD7731">
              <w:rPr>
                <w:rFonts w:ascii="Arial" w:hAnsi="Arial" w:cs="Arial"/>
                <w:sz w:val="21"/>
                <w:szCs w:val="21"/>
              </w:rPr>
              <w:t>T, 8600 (1.12)</w:t>
            </w:r>
          </w:p>
        </w:tc>
        <w:tc>
          <w:tcPr>
            <w:tcW w:w="1699" w:type="dxa"/>
          </w:tcPr>
          <w:p w14:paraId="625B0AA5" w14:textId="77777777" w:rsidR="008F7113" w:rsidRPr="00BD7731" w:rsidRDefault="008F7113" w:rsidP="002168A7">
            <w:pPr>
              <w:jc w:val="center"/>
              <w:rPr>
                <w:rFonts w:ascii="Arial" w:hAnsi="Arial" w:cs="Arial"/>
                <w:sz w:val="21"/>
                <w:szCs w:val="21"/>
              </w:rPr>
            </w:pPr>
            <w:r w:rsidRPr="00BD7731">
              <w:rPr>
                <w:rFonts w:ascii="Arial" w:hAnsi="Arial" w:cs="Arial"/>
                <w:sz w:val="21"/>
                <w:szCs w:val="21"/>
              </w:rPr>
              <w:t>1.5</w:t>
            </w:r>
          </w:p>
        </w:tc>
        <w:tc>
          <w:tcPr>
            <w:tcW w:w="1699" w:type="dxa"/>
          </w:tcPr>
          <w:p w14:paraId="59B4382D" w14:textId="77777777" w:rsidR="008F7113" w:rsidRPr="00BD7731" w:rsidRDefault="008F7113" w:rsidP="002168A7">
            <w:pPr>
              <w:jc w:val="center"/>
              <w:rPr>
                <w:rFonts w:ascii="Arial" w:hAnsi="Arial" w:cs="Arial"/>
                <w:sz w:val="21"/>
                <w:szCs w:val="21"/>
              </w:rPr>
            </w:pPr>
            <w:r w:rsidRPr="00BD7731">
              <w:rPr>
                <w:rFonts w:ascii="Arial" w:hAnsi="Arial" w:cs="Arial"/>
                <w:sz w:val="21"/>
                <w:szCs w:val="21"/>
              </w:rPr>
              <w:t>0.4</w:t>
            </w:r>
          </w:p>
        </w:tc>
        <w:tc>
          <w:tcPr>
            <w:tcW w:w="1699" w:type="dxa"/>
          </w:tcPr>
          <w:p w14:paraId="71DC0730" w14:textId="77777777" w:rsidR="008F7113" w:rsidRPr="00BD7731" w:rsidRDefault="008F7113" w:rsidP="002168A7">
            <w:pPr>
              <w:jc w:val="center"/>
              <w:rPr>
                <w:rFonts w:ascii="Arial" w:hAnsi="Arial" w:cs="Arial"/>
                <w:sz w:val="21"/>
                <w:szCs w:val="21"/>
              </w:rPr>
            </w:pPr>
            <w:r w:rsidRPr="00BD7731">
              <w:rPr>
                <w:rFonts w:ascii="Arial" w:hAnsi="Arial" w:cs="Arial"/>
                <w:sz w:val="21"/>
                <w:szCs w:val="21"/>
              </w:rPr>
              <w:t>89</w:t>
            </w:r>
          </w:p>
        </w:tc>
      </w:tr>
      <w:tr w:rsidR="00BD7731" w:rsidRPr="00BD7731" w14:paraId="244C53A5" w14:textId="77777777" w:rsidTr="002168A7">
        <w:trPr>
          <w:jc w:val="center"/>
        </w:trPr>
        <w:tc>
          <w:tcPr>
            <w:tcW w:w="786" w:type="dxa"/>
          </w:tcPr>
          <w:p w14:paraId="7E188F11" w14:textId="2A8A09E6" w:rsidR="008F7113" w:rsidRPr="00BD7731" w:rsidRDefault="008F7113" w:rsidP="002168A7">
            <w:pPr>
              <w:jc w:val="center"/>
              <w:rPr>
                <w:rFonts w:ascii="Arial" w:hAnsi="Arial" w:cs="Arial"/>
                <w:sz w:val="21"/>
                <w:szCs w:val="21"/>
              </w:rPr>
            </w:pPr>
            <w:r w:rsidRPr="00BD7731">
              <w:rPr>
                <w:rFonts w:ascii="Arial" w:hAnsi="Arial" w:cs="Arial"/>
                <w:sz w:val="21"/>
                <w:szCs w:val="21"/>
              </w:rPr>
              <w:fldChar w:fldCharType="begin"/>
            </w:r>
            <w:r w:rsidRPr="00BD7731">
              <w:rPr>
                <w:rFonts w:ascii="Arial" w:hAnsi="Arial" w:cs="Arial"/>
                <w:sz w:val="21"/>
                <w:szCs w:val="21"/>
              </w:rPr>
              <w:instrText xml:space="preserve"> SEQ table2 \* MERGEFORMAT </w:instrText>
            </w:r>
            <w:r w:rsidRPr="00BD7731">
              <w:rPr>
                <w:rFonts w:ascii="Arial" w:hAnsi="Arial" w:cs="Arial"/>
                <w:sz w:val="21"/>
                <w:szCs w:val="21"/>
              </w:rPr>
              <w:fldChar w:fldCharType="separate"/>
            </w:r>
            <w:r w:rsidR="00CF7DF3" w:rsidRPr="00BD7731">
              <w:rPr>
                <w:rFonts w:ascii="Arial" w:hAnsi="Arial" w:cs="Arial"/>
                <w:noProof/>
                <w:sz w:val="21"/>
                <w:szCs w:val="21"/>
              </w:rPr>
              <w:t>10</w:t>
            </w:r>
            <w:r w:rsidRPr="00BD7731">
              <w:rPr>
                <w:rFonts w:ascii="Arial" w:hAnsi="Arial" w:cs="Arial"/>
                <w:noProof/>
                <w:sz w:val="21"/>
                <w:szCs w:val="21"/>
              </w:rPr>
              <w:fldChar w:fldCharType="end"/>
            </w:r>
          </w:p>
        </w:tc>
        <w:tc>
          <w:tcPr>
            <w:tcW w:w="1917" w:type="dxa"/>
          </w:tcPr>
          <w:p w14:paraId="0F357AA9" w14:textId="77777777" w:rsidR="008F7113" w:rsidRPr="00BD7731" w:rsidRDefault="008F7113" w:rsidP="002168A7">
            <w:pPr>
              <w:jc w:val="center"/>
              <w:rPr>
                <w:rFonts w:ascii="Arial" w:hAnsi="Arial" w:cs="Arial"/>
                <w:sz w:val="21"/>
                <w:szCs w:val="21"/>
              </w:rPr>
            </w:pPr>
            <w:r w:rsidRPr="00BD7731">
              <w:rPr>
                <w:rFonts w:ascii="Arial" w:hAnsi="Arial" w:cs="Arial"/>
                <w:sz w:val="21"/>
                <w:szCs w:val="21"/>
              </w:rPr>
              <w:t>R, 3200 (1.14)</w:t>
            </w:r>
          </w:p>
        </w:tc>
        <w:tc>
          <w:tcPr>
            <w:tcW w:w="1699" w:type="dxa"/>
          </w:tcPr>
          <w:p w14:paraId="11AF6610" w14:textId="77777777" w:rsidR="008F7113" w:rsidRPr="00BD7731" w:rsidRDefault="008F7113" w:rsidP="002168A7">
            <w:pPr>
              <w:jc w:val="center"/>
              <w:rPr>
                <w:rFonts w:ascii="Arial" w:hAnsi="Arial" w:cs="Arial"/>
                <w:sz w:val="21"/>
                <w:szCs w:val="21"/>
              </w:rPr>
            </w:pPr>
            <w:r w:rsidRPr="00BD7731">
              <w:rPr>
                <w:rFonts w:ascii="Arial" w:hAnsi="Arial" w:cs="Arial"/>
                <w:sz w:val="21"/>
                <w:szCs w:val="21"/>
              </w:rPr>
              <w:t>1.5</w:t>
            </w:r>
          </w:p>
        </w:tc>
        <w:tc>
          <w:tcPr>
            <w:tcW w:w="1699" w:type="dxa"/>
          </w:tcPr>
          <w:p w14:paraId="10EB1DED" w14:textId="77777777" w:rsidR="008F7113" w:rsidRPr="00BD7731" w:rsidRDefault="008F7113" w:rsidP="002168A7">
            <w:pPr>
              <w:jc w:val="center"/>
              <w:rPr>
                <w:rFonts w:ascii="Arial" w:hAnsi="Arial" w:cs="Arial"/>
                <w:sz w:val="21"/>
                <w:szCs w:val="21"/>
              </w:rPr>
            </w:pPr>
            <w:r w:rsidRPr="00BD7731">
              <w:rPr>
                <w:rFonts w:ascii="Arial" w:hAnsi="Arial" w:cs="Arial"/>
                <w:sz w:val="21"/>
                <w:szCs w:val="21"/>
              </w:rPr>
              <w:t>0.4</w:t>
            </w:r>
          </w:p>
        </w:tc>
        <w:tc>
          <w:tcPr>
            <w:tcW w:w="1699" w:type="dxa"/>
          </w:tcPr>
          <w:p w14:paraId="26E7C3B9" w14:textId="77777777" w:rsidR="008F7113" w:rsidRPr="00BD7731" w:rsidRDefault="008F7113" w:rsidP="002168A7">
            <w:pPr>
              <w:jc w:val="center"/>
              <w:rPr>
                <w:rFonts w:ascii="Arial" w:hAnsi="Arial" w:cs="Arial"/>
                <w:sz w:val="21"/>
                <w:szCs w:val="21"/>
              </w:rPr>
            </w:pPr>
            <w:r w:rsidRPr="00BD7731">
              <w:rPr>
                <w:rFonts w:ascii="Arial" w:hAnsi="Arial" w:cs="Arial"/>
                <w:sz w:val="21"/>
                <w:szCs w:val="21"/>
              </w:rPr>
              <w:t>88</w:t>
            </w:r>
          </w:p>
        </w:tc>
      </w:tr>
      <w:tr w:rsidR="00BD7731" w:rsidRPr="00BD7731" w14:paraId="3472B53C" w14:textId="77777777" w:rsidTr="002168A7">
        <w:trPr>
          <w:jc w:val="center"/>
        </w:trPr>
        <w:tc>
          <w:tcPr>
            <w:tcW w:w="786" w:type="dxa"/>
          </w:tcPr>
          <w:p w14:paraId="1F31A6B4" w14:textId="0638FF4D" w:rsidR="008F7113" w:rsidRPr="00BD7731" w:rsidRDefault="008F7113" w:rsidP="002168A7">
            <w:pPr>
              <w:jc w:val="center"/>
              <w:rPr>
                <w:rFonts w:ascii="Arial" w:hAnsi="Arial" w:cs="Arial"/>
                <w:sz w:val="21"/>
                <w:szCs w:val="21"/>
              </w:rPr>
            </w:pPr>
            <w:r w:rsidRPr="00BD7731">
              <w:rPr>
                <w:rFonts w:ascii="Arial" w:hAnsi="Arial" w:cs="Arial"/>
                <w:sz w:val="21"/>
                <w:szCs w:val="21"/>
              </w:rPr>
              <w:fldChar w:fldCharType="begin"/>
            </w:r>
            <w:r w:rsidRPr="00BD7731">
              <w:rPr>
                <w:rFonts w:ascii="Arial" w:hAnsi="Arial" w:cs="Arial"/>
                <w:sz w:val="21"/>
                <w:szCs w:val="21"/>
              </w:rPr>
              <w:instrText xml:space="preserve"> SEQ table2 \* MERGEFORMAT </w:instrText>
            </w:r>
            <w:r w:rsidRPr="00BD7731">
              <w:rPr>
                <w:rFonts w:ascii="Arial" w:hAnsi="Arial" w:cs="Arial"/>
                <w:sz w:val="21"/>
                <w:szCs w:val="21"/>
              </w:rPr>
              <w:fldChar w:fldCharType="separate"/>
            </w:r>
            <w:r w:rsidR="00CF7DF3" w:rsidRPr="00BD7731">
              <w:rPr>
                <w:rFonts w:ascii="Arial" w:hAnsi="Arial" w:cs="Arial"/>
                <w:noProof/>
                <w:sz w:val="21"/>
                <w:szCs w:val="21"/>
              </w:rPr>
              <w:t>11</w:t>
            </w:r>
            <w:r w:rsidRPr="00BD7731">
              <w:rPr>
                <w:rFonts w:ascii="Arial" w:hAnsi="Arial" w:cs="Arial"/>
                <w:noProof/>
                <w:sz w:val="21"/>
                <w:szCs w:val="21"/>
              </w:rPr>
              <w:fldChar w:fldCharType="end"/>
            </w:r>
          </w:p>
        </w:tc>
        <w:tc>
          <w:tcPr>
            <w:tcW w:w="1917" w:type="dxa"/>
          </w:tcPr>
          <w:p w14:paraId="4ED4FEFD" w14:textId="77777777" w:rsidR="008F7113" w:rsidRPr="00BD7731" w:rsidRDefault="008F7113" w:rsidP="002168A7">
            <w:pPr>
              <w:jc w:val="center"/>
              <w:rPr>
                <w:rFonts w:ascii="Arial" w:hAnsi="Arial" w:cs="Arial"/>
                <w:sz w:val="21"/>
                <w:szCs w:val="21"/>
              </w:rPr>
            </w:pPr>
            <w:r w:rsidRPr="00BD7731">
              <w:rPr>
                <w:rFonts w:ascii="Arial" w:hAnsi="Arial" w:cs="Arial"/>
                <w:sz w:val="21"/>
                <w:szCs w:val="21"/>
              </w:rPr>
              <w:t>R, 6000 (1.10)</w:t>
            </w:r>
          </w:p>
        </w:tc>
        <w:tc>
          <w:tcPr>
            <w:tcW w:w="1699" w:type="dxa"/>
          </w:tcPr>
          <w:p w14:paraId="5C470135" w14:textId="77777777" w:rsidR="008F7113" w:rsidRPr="00BD7731" w:rsidRDefault="008F7113" w:rsidP="002168A7">
            <w:pPr>
              <w:jc w:val="center"/>
              <w:rPr>
                <w:rFonts w:ascii="Arial" w:hAnsi="Arial" w:cs="Arial"/>
                <w:sz w:val="21"/>
                <w:szCs w:val="21"/>
              </w:rPr>
            </w:pPr>
            <w:r w:rsidRPr="00BD7731">
              <w:rPr>
                <w:rFonts w:ascii="Arial" w:hAnsi="Arial" w:cs="Arial"/>
                <w:sz w:val="21"/>
                <w:szCs w:val="21"/>
              </w:rPr>
              <w:t>1.5</w:t>
            </w:r>
          </w:p>
        </w:tc>
        <w:tc>
          <w:tcPr>
            <w:tcW w:w="1699" w:type="dxa"/>
          </w:tcPr>
          <w:p w14:paraId="2B062B2B" w14:textId="77777777" w:rsidR="008F7113" w:rsidRPr="00BD7731" w:rsidRDefault="008F7113" w:rsidP="002168A7">
            <w:pPr>
              <w:jc w:val="center"/>
              <w:rPr>
                <w:rFonts w:ascii="Arial" w:hAnsi="Arial" w:cs="Arial"/>
                <w:sz w:val="21"/>
                <w:szCs w:val="21"/>
              </w:rPr>
            </w:pPr>
            <w:r w:rsidRPr="00BD7731">
              <w:rPr>
                <w:rFonts w:ascii="Arial" w:hAnsi="Arial" w:cs="Arial"/>
                <w:sz w:val="21"/>
                <w:szCs w:val="21"/>
              </w:rPr>
              <w:t>0.4</w:t>
            </w:r>
          </w:p>
        </w:tc>
        <w:tc>
          <w:tcPr>
            <w:tcW w:w="1699" w:type="dxa"/>
          </w:tcPr>
          <w:p w14:paraId="26B2CD17" w14:textId="77777777" w:rsidR="008F7113" w:rsidRPr="00BD7731" w:rsidRDefault="008F7113" w:rsidP="002168A7">
            <w:pPr>
              <w:jc w:val="center"/>
              <w:rPr>
                <w:rFonts w:ascii="Arial" w:hAnsi="Arial" w:cs="Arial"/>
                <w:sz w:val="21"/>
                <w:szCs w:val="21"/>
              </w:rPr>
            </w:pPr>
            <w:r w:rsidRPr="00BD7731">
              <w:rPr>
                <w:rFonts w:ascii="Arial" w:hAnsi="Arial" w:cs="Arial"/>
                <w:sz w:val="21"/>
                <w:szCs w:val="21"/>
              </w:rPr>
              <w:t>84</w:t>
            </w:r>
          </w:p>
        </w:tc>
      </w:tr>
      <w:tr w:rsidR="008F7113" w:rsidRPr="00BD7731" w14:paraId="6DF7093A" w14:textId="77777777" w:rsidTr="002168A7">
        <w:trPr>
          <w:jc w:val="center"/>
        </w:trPr>
        <w:tc>
          <w:tcPr>
            <w:tcW w:w="786" w:type="dxa"/>
            <w:tcBorders>
              <w:bottom w:val="single" w:sz="4" w:space="0" w:color="auto"/>
            </w:tcBorders>
          </w:tcPr>
          <w:p w14:paraId="2F9F9C62" w14:textId="4270BF4C" w:rsidR="008F7113" w:rsidRPr="00BD7731" w:rsidRDefault="008F7113" w:rsidP="002168A7">
            <w:pPr>
              <w:jc w:val="center"/>
              <w:rPr>
                <w:rFonts w:ascii="Arial" w:hAnsi="Arial" w:cs="Arial"/>
                <w:sz w:val="21"/>
                <w:szCs w:val="21"/>
              </w:rPr>
            </w:pPr>
            <w:r w:rsidRPr="00BD7731">
              <w:rPr>
                <w:rFonts w:ascii="Arial" w:hAnsi="Arial" w:cs="Arial"/>
                <w:sz w:val="21"/>
                <w:szCs w:val="21"/>
              </w:rPr>
              <w:fldChar w:fldCharType="begin"/>
            </w:r>
            <w:r w:rsidRPr="00BD7731">
              <w:rPr>
                <w:rFonts w:ascii="Arial" w:hAnsi="Arial" w:cs="Arial"/>
                <w:sz w:val="21"/>
                <w:szCs w:val="21"/>
              </w:rPr>
              <w:instrText xml:space="preserve"> SEQ table2 \* MERGEFORMAT </w:instrText>
            </w:r>
            <w:r w:rsidRPr="00BD7731">
              <w:rPr>
                <w:rFonts w:ascii="Arial" w:hAnsi="Arial" w:cs="Arial"/>
                <w:sz w:val="21"/>
                <w:szCs w:val="21"/>
              </w:rPr>
              <w:fldChar w:fldCharType="separate"/>
            </w:r>
            <w:r w:rsidR="00CF7DF3" w:rsidRPr="00BD7731">
              <w:rPr>
                <w:rFonts w:ascii="Arial" w:hAnsi="Arial" w:cs="Arial"/>
                <w:noProof/>
                <w:sz w:val="21"/>
                <w:szCs w:val="21"/>
              </w:rPr>
              <w:t>12</w:t>
            </w:r>
            <w:r w:rsidRPr="00BD7731">
              <w:rPr>
                <w:rFonts w:ascii="Arial" w:hAnsi="Arial" w:cs="Arial"/>
                <w:noProof/>
                <w:sz w:val="21"/>
                <w:szCs w:val="21"/>
              </w:rPr>
              <w:fldChar w:fldCharType="end"/>
            </w:r>
          </w:p>
        </w:tc>
        <w:tc>
          <w:tcPr>
            <w:tcW w:w="1917" w:type="dxa"/>
            <w:tcBorders>
              <w:bottom w:val="single" w:sz="4" w:space="0" w:color="auto"/>
            </w:tcBorders>
          </w:tcPr>
          <w:p w14:paraId="193F306C" w14:textId="77777777" w:rsidR="008F7113" w:rsidRPr="00BD7731" w:rsidRDefault="008F7113" w:rsidP="002168A7">
            <w:pPr>
              <w:jc w:val="center"/>
              <w:rPr>
                <w:rFonts w:ascii="Arial" w:hAnsi="Arial" w:cs="Arial"/>
                <w:sz w:val="21"/>
                <w:szCs w:val="21"/>
              </w:rPr>
            </w:pPr>
            <w:r w:rsidRPr="00BD7731">
              <w:rPr>
                <w:rFonts w:ascii="Arial" w:hAnsi="Arial" w:cs="Arial"/>
                <w:sz w:val="21"/>
                <w:szCs w:val="21"/>
              </w:rPr>
              <w:t>R, 8500 (1.17)</w:t>
            </w:r>
          </w:p>
        </w:tc>
        <w:tc>
          <w:tcPr>
            <w:tcW w:w="1699" w:type="dxa"/>
            <w:tcBorders>
              <w:bottom w:val="single" w:sz="4" w:space="0" w:color="auto"/>
            </w:tcBorders>
          </w:tcPr>
          <w:p w14:paraId="28316A64" w14:textId="77777777" w:rsidR="008F7113" w:rsidRPr="00BD7731" w:rsidRDefault="008F7113" w:rsidP="002168A7">
            <w:pPr>
              <w:jc w:val="center"/>
              <w:rPr>
                <w:rFonts w:ascii="Arial" w:hAnsi="Arial" w:cs="Arial"/>
                <w:sz w:val="21"/>
                <w:szCs w:val="21"/>
              </w:rPr>
            </w:pPr>
            <w:r w:rsidRPr="00BD7731">
              <w:rPr>
                <w:rFonts w:ascii="Arial" w:hAnsi="Arial" w:cs="Arial"/>
                <w:sz w:val="21"/>
                <w:szCs w:val="21"/>
              </w:rPr>
              <w:t>1.5</w:t>
            </w:r>
          </w:p>
        </w:tc>
        <w:tc>
          <w:tcPr>
            <w:tcW w:w="1699" w:type="dxa"/>
            <w:tcBorders>
              <w:bottom w:val="single" w:sz="4" w:space="0" w:color="auto"/>
            </w:tcBorders>
          </w:tcPr>
          <w:p w14:paraId="0ACB38ED" w14:textId="77777777" w:rsidR="008F7113" w:rsidRPr="00BD7731" w:rsidRDefault="008F7113" w:rsidP="002168A7">
            <w:pPr>
              <w:jc w:val="center"/>
              <w:rPr>
                <w:rFonts w:ascii="Arial" w:hAnsi="Arial" w:cs="Arial"/>
                <w:sz w:val="21"/>
                <w:szCs w:val="21"/>
              </w:rPr>
            </w:pPr>
            <w:r w:rsidRPr="00BD7731">
              <w:rPr>
                <w:rFonts w:ascii="Arial" w:hAnsi="Arial" w:cs="Arial"/>
                <w:sz w:val="21"/>
                <w:szCs w:val="21"/>
              </w:rPr>
              <w:t>0.4</w:t>
            </w:r>
          </w:p>
        </w:tc>
        <w:tc>
          <w:tcPr>
            <w:tcW w:w="1699" w:type="dxa"/>
            <w:tcBorders>
              <w:bottom w:val="single" w:sz="4" w:space="0" w:color="auto"/>
            </w:tcBorders>
          </w:tcPr>
          <w:p w14:paraId="31539139" w14:textId="77777777" w:rsidR="008F7113" w:rsidRPr="00BD7731" w:rsidRDefault="008F7113" w:rsidP="002168A7">
            <w:pPr>
              <w:jc w:val="center"/>
              <w:rPr>
                <w:rFonts w:ascii="Arial" w:hAnsi="Arial" w:cs="Arial"/>
                <w:sz w:val="21"/>
                <w:szCs w:val="21"/>
              </w:rPr>
            </w:pPr>
            <w:r w:rsidRPr="00BD7731">
              <w:rPr>
                <w:rFonts w:ascii="Arial" w:hAnsi="Arial" w:cs="Arial"/>
                <w:sz w:val="21"/>
                <w:szCs w:val="21"/>
              </w:rPr>
              <w:t>84</w:t>
            </w:r>
          </w:p>
        </w:tc>
      </w:tr>
    </w:tbl>
    <w:p w14:paraId="3929E7E3" w14:textId="77777777" w:rsidR="008F7113" w:rsidRPr="00BD7731" w:rsidRDefault="008F7113" w:rsidP="008F7113"/>
    <w:p w14:paraId="17B1C603" w14:textId="77777777" w:rsidR="008F7113" w:rsidRPr="00BD7731" w:rsidRDefault="008F7113" w:rsidP="008F7113"/>
    <w:p w14:paraId="1A060CB3" w14:textId="77777777" w:rsidR="008F7113" w:rsidRPr="00BD7731" w:rsidRDefault="008F7113" w:rsidP="008F7113"/>
    <w:p w14:paraId="7521FDED" w14:textId="77777777" w:rsidR="008F7113" w:rsidRPr="00BD7731" w:rsidRDefault="008F7113" w:rsidP="008F7113">
      <w:pPr>
        <w:widowControl w:val="0"/>
        <w:numPr>
          <w:ilvl w:val="0"/>
          <w:numId w:val="2"/>
        </w:numPr>
        <w:jc w:val="both"/>
        <w:rPr>
          <w:b/>
          <w:bCs/>
        </w:rPr>
      </w:pPr>
      <w:r w:rsidRPr="00BD7731">
        <w:rPr>
          <w:b/>
          <w:bCs/>
        </w:rPr>
        <w:t>ATR-IR analysis of polymer networks</w:t>
      </w:r>
    </w:p>
    <w:p w14:paraId="34175134" w14:textId="77777777" w:rsidR="008F7113" w:rsidRPr="00BD7731" w:rsidRDefault="008F7113" w:rsidP="008F7113">
      <w:r w:rsidRPr="00BD7731">
        <w:rPr>
          <w:noProof/>
        </w:rPr>
        <w:drawing>
          <wp:inline distT="0" distB="0" distL="0" distR="0" wp14:anchorId="50538C82" wp14:editId="30424213">
            <wp:extent cx="5755005" cy="1989455"/>
            <wp:effectExtent l="0" t="0" r="0" b="0"/>
            <wp:docPr id="44" name="図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755005" cy="1989455"/>
                    </a:xfrm>
                    <a:prstGeom prst="rect">
                      <a:avLst/>
                    </a:prstGeom>
                    <a:noFill/>
                    <a:ln>
                      <a:noFill/>
                    </a:ln>
                  </pic:spPr>
                </pic:pic>
              </a:graphicData>
            </a:graphic>
          </wp:inline>
        </w:drawing>
      </w:r>
    </w:p>
    <w:p w14:paraId="7D930523" w14:textId="736F39DD" w:rsidR="008F7113" w:rsidRPr="00BD7731" w:rsidRDefault="008F7113" w:rsidP="008F7113">
      <w:r w:rsidRPr="00BD7731">
        <w:rPr>
          <w:rFonts w:hint="eastAsia"/>
          <w:b/>
          <w:bCs/>
        </w:rPr>
        <w:t>F</w:t>
      </w:r>
      <w:r w:rsidRPr="00BD7731">
        <w:rPr>
          <w:b/>
          <w:bCs/>
        </w:rPr>
        <w:t>igure S</w:t>
      </w:r>
      <w:r w:rsidRPr="00BD7731">
        <w:rPr>
          <w:b/>
          <w:bCs/>
        </w:rPr>
        <w:fldChar w:fldCharType="begin"/>
      </w:r>
      <w:r w:rsidRPr="00BD7731">
        <w:rPr>
          <w:b/>
          <w:bCs/>
        </w:rPr>
        <w:instrText xml:space="preserve"> SEQ FigureSI \* MERGEFORMAT </w:instrText>
      </w:r>
      <w:r w:rsidRPr="00BD7731">
        <w:rPr>
          <w:b/>
          <w:bCs/>
        </w:rPr>
        <w:fldChar w:fldCharType="separate"/>
      </w:r>
      <w:r w:rsidR="00CF7DF3" w:rsidRPr="00BD7731">
        <w:rPr>
          <w:b/>
          <w:bCs/>
          <w:noProof/>
        </w:rPr>
        <w:t>3</w:t>
      </w:r>
      <w:r w:rsidRPr="00BD7731">
        <w:rPr>
          <w:b/>
          <w:bCs/>
        </w:rPr>
        <w:fldChar w:fldCharType="end"/>
      </w:r>
      <w:r w:rsidRPr="00BD7731">
        <w:rPr>
          <w:b/>
          <w:bCs/>
        </w:rPr>
        <w:t>.</w:t>
      </w:r>
      <w:r w:rsidRPr="00BD7731">
        <w:t xml:space="preserve"> IR spectra of the precursor polymer </w:t>
      </w:r>
      <w:proofErr w:type="gramStart"/>
      <w:r w:rsidRPr="00BD7731">
        <w:t>poly(</w:t>
      </w:r>
      <w:proofErr w:type="gramEnd"/>
      <w:r w:rsidRPr="00BD7731">
        <w:t>St-</w:t>
      </w:r>
      <w:r w:rsidRPr="00BD7731">
        <w:rPr>
          <w:i/>
          <w:iCs/>
        </w:rPr>
        <w:t>co</w:t>
      </w:r>
      <w:r w:rsidRPr="00BD7731">
        <w:t>-methacrylic acid) (a) and resulting crosslinked polymer</w:t>
      </w:r>
      <w:r w:rsidRPr="00BD7731" w:rsidDel="0076639E">
        <w:t xml:space="preserve"> </w:t>
      </w:r>
      <w:r w:rsidRPr="00BD7731">
        <w:rPr>
          <w:b/>
          <w:bCs/>
        </w:rPr>
        <w:t>RN</w:t>
      </w:r>
      <w:r w:rsidRPr="00BD7731">
        <w:rPr>
          <w:vertAlign w:val="subscript"/>
        </w:rPr>
        <w:t>6000</w:t>
      </w:r>
      <w:r w:rsidRPr="00BD7731">
        <w:t>. After the network formation, C=O vibration signal of carbonyl group shifted higher wavenumber.</w:t>
      </w:r>
    </w:p>
    <w:p w14:paraId="0C391A56" w14:textId="77777777" w:rsidR="008F7113" w:rsidRPr="00BD7731" w:rsidRDefault="008F7113" w:rsidP="008F7113"/>
    <w:p w14:paraId="05B40A38" w14:textId="77777777" w:rsidR="008F7113" w:rsidRPr="00BD7731" w:rsidRDefault="008F7113" w:rsidP="008F7113">
      <w:r w:rsidRPr="00BD7731">
        <w:rPr>
          <w:noProof/>
        </w:rPr>
        <w:drawing>
          <wp:inline distT="0" distB="0" distL="0" distR="0" wp14:anchorId="78EDAD7D" wp14:editId="51258567">
            <wp:extent cx="5755005" cy="1989455"/>
            <wp:effectExtent l="0" t="0" r="0" b="0"/>
            <wp:docPr id="45" name="図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755005" cy="1989455"/>
                    </a:xfrm>
                    <a:prstGeom prst="rect">
                      <a:avLst/>
                    </a:prstGeom>
                    <a:noFill/>
                    <a:ln>
                      <a:noFill/>
                    </a:ln>
                  </pic:spPr>
                </pic:pic>
              </a:graphicData>
            </a:graphic>
          </wp:inline>
        </w:drawing>
      </w:r>
    </w:p>
    <w:p w14:paraId="66F8C9ED" w14:textId="15BDE233" w:rsidR="008F7113" w:rsidRPr="00BD7731" w:rsidRDefault="008F7113" w:rsidP="008F7113">
      <w:r w:rsidRPr="00BD7731">
        <w:rPr>
          <w:rFonts w:hint="eastAsia"/>
          <w:b/>
          <w:bCs/>
        </w:rPr>
        <w:t>F</w:t>
      </w:r>
      <w:r w:rsidRPr="00BD7731">
        <w:rPr>
          <w:b/>
          <w:bCs/>
        </w:rPr>
        <w:t>igure S</w:t>
      </w:r>
      <w:r w:rsidRPr="00BD7731">
        <w:rPr>
          <w:b/>
          <w:bCs/>
        </w:rPr>
        <w:fldChar w:fldCharType="begin"/>
      </w:r>
      <w:r w:rsidRPr="00BD7731">
        <w:rPr>
          <w:b/>
          <w:bCs/>
        </w:rPr>
        <w:instrText xml:space="preserve"> SEQ FigureSI \* MERGEFORMAT </w:instrText>
      </w:r>
      <w:r w:rsidRPr="00BD7731">
        <w:rPr>
          <w:b/>
          <w:bCs/>
        </w:rPr>
        <w:fldChar w:fldCharType="separate"/>
      </w:r>
      <w:r w:rsidR="00CF7DF3" w:rsidRPr="00BD7731">
        <w:rPr>
          <w:b/>
          <w:bCs/>
          <w:noProof/>
        </w:rPr>
        <w:t>4</w:t>
      </w:r>
      <w:r w:rsidRPr="00BD7731">
        <w:rPr>
          <w:b/>
          <w:bCs/>
        </w:rPr>
        <w:fldChar w:fldCharType="end"/>
      </w:r>
      <w:r w:rsidRPr="00BD7731">
        <w:t>. IR spectra of the precursor polymer CO</w:t>
      </w:r>
      <w:r w:rsidRPr="00BD7731">
        <w:rPr>
          <w:vertAlign w:val="subscript"/>
        </w:rPr>
        <w:t>2</w:t>
      </w:r>
      <w:r w:rsidRPr="00BD7731">
        <w:t xml:space="preserve">H </w:t>
      </w:r>
      <w:proofErr w:type="spellStart"/>
      <w:r w:rsidRPr="00BD7731">
        <w:t>telechelic</w:t>
      </w:r>
      <w:proofErr w:type="spellEnd"/>
      <w:r w:rsidRPr="00BD7731">
        <w:t xml:space="preserve"> </w:t>
      </w:r>
      <w:proofErr w:type="spellStart"/>
      <w:r w:rsidRPr="00BD7731">
        <w:t>PSt</w:t>
      </w:r>
      <w:proofErr w:type="spellEnd"/>
      <w:r w:rsidRPr="00BD7731">
        <w:t xml:space="preserve"> (a), resulting crosslinked polymer</w:t>
      </w:r>
      <w:r w:rsidRPr="00BD7731" w:rsidDel="0076639E">
        <w:t xml:space="preserve"> </w:t>
      </w:r>
      <w:r w:rsidRPr="00BD7731">
        <w:rPr>
          <w:b/>
          <w:bCs/>
        </w:rPr>
        <w:t>TN</w:t>
      </w:r>
      <w:r w:rsidRPr="00BD7731">
        <w:rPr>
          <w:vertAlign w:val="subscript"/>
        </w:rPr>
        <w:t xml:space="preserve">5300 </w:t>
      </w:r>
      <w:r w:rsidRPr="00BD7731">
        <w:t xml:space="preserve">(b) </w:t>
      </w:r>
    </w:p>
    <w:p w14:paraId="71678327" w14:textId="77777777" w:rsidR="008F7113" w:rsidRPr="00BD7731" w:rsidRDefault="008F7113" w:rsidP="008F7113"/>
    <w:p w14:paraId="2B1F6B40" w14:textId="77777777" w:rsidR="008F7113" w:rsidRPr="00BD7731" w:rsidRDefault="008F7113" w:rsidP="008F7113">
      <w:pPr>
        <w:jc w:val="center"/>
      </w:pPr>
      <w:r w:rsidRPr="00BD7731">
        <w:rPr>
          <w:noProof/>
        </w:rPr>
        <w:drawing>
          <wp:inline distT="0" distB="0" distL="0" distR="0" wp14:anchorId="277B96F6" wp14:editId="4B5B2D57">
            <wp:extent cx="5040000" cy="2209415"/>
            <wp:effectExtent l="0" t="0" r="0" b="0"/>
            <wp:docPr id="48" name="図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040000" cy="2209415"/>
                    </a:xfrm>
                    <a:prstGeom prst="rect">
                      <a:avLst/>
                    </a:prstGeom>
                    <a:noFill/>
                    <a:ln>
                      <a:noFill/>
                    </a:ln>
                  </pic:spPr>
                </pic:pic>
              </a:graphicData>
            </a:graphic>
          </wp:inline>
        </w:drawing>
      </w:r>
    </w:p>
    <w:p w14:paraId="6F62484B" w14:textId="77777777" w:rsidR="008F7113" w:rsidRPr="00BD7731" w:rsidRDefault="008F7113" w:rsidP="008F7113">
      <w:pPr>
        <w:jc w:val="center"/>
      </w:pPr>
      <w:r w:rsidRPr="00BD7731">
        <w:rPr>
          <w:rFonts w:hint="eastAsia"/>
          <w:noProof/>
        </w:rPr>
        <w:drawing>
          <wp:inline distT="0" distB="0" distL="0" distR="0" wp14:anchorId="03E73182" wp14:editId="576305F7">
            <wp:extent cx="5040000" cy="2572517"/>
            <wp:effectExtent l="0" t="0" r="0" b="0"/>
            <wp:docPr id="49" name="図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040000" cy="2572517"/>
                    </a:xfrm>
                    <a:prstGeom prst="rect">
                      <a:avLst/>
                    </a:prstGeom>
                    <a:noFill/>
                    <a:ln>
                      <a:noFill/>
                    </a:ln>
                  </pic:spPr>
                </pic:pic>
              </a:graphicData>
            </a:graphic>
          </wp:inline>
        </w:drawing>
      </w:r>
    </w:p>
    <w:p w14:paraId="287C617B" w14:textId="58CFE6BF" w:rsidR="008F7113" w:rsidRPr="00BD7731" w:rsidRDefault="008F7113" w:rsidP="008F7113">
      <w:pPr>
        <w:rPr>
          <w:noProof/>
        </w:rPr>
      </w:pPr>
      <w:r w:rsidRPr="00BD7731">
        <w:rPr>
          <w:rFonts w:hint="eastAsia"/>
          <w:b/>
          <w:bCs/>
        </w:rPr>
        <w:t>F</w:t>
      </w:r>
      <w:r w:rsidRPr="00BD7731">
        <w:rPr>
          <w:b/>
          <w:bCs/>
        </w:rPr>
        <w:t>igure S</w:t>
      </w:r>
      <w:r w:rsidRPr="00BD7731">
        <w:rPr>
          <w:b/>
          <w:bCs/>
        </w:rPr>
        <w:fldChar w:fldCharType="begin"/>
      </w:r>
      <w:r w:rsidRPr="00BD7731">
        <w:rPr>
          <w:b/>
          <w:bCs/>
        </w:rPr>
        <w:instrText xml:space="preserve"> SEQ FigureSI \* MERGEFORMAT </w:instrText>
      </w:r>
      <w:r w:rsidRPr="00BD7731">
        <w:rPr>
          <w:b/>
          <w:bCs/>
        </w:rPr>
        <w:fldChar w:fldCharType="separate"/>
      </w:r>
      <w:r w:rsidR="00CF7DF3" w:rsidRPr="00BD7731">
        <w:rPr>
          <w:b/>
          <w:bCs/>
          <w:noProof/>
        </w:rPr>
        <w:t>5</w:t>
      </w:r>
      <w:r w:rsidRPr="00BD7731">
        <w:rPr>
          <w:b/>
          <w:bCs/>
        </w:rPr>
        <w:fldChar w:fldCharType="end"/>
      </w:r>
      <w:r w:rsidRPr="00BD7731">
        <w:rPr>
          <w:noProof/>
        </w:rPr>
        <w:t xml:space="preserve">. Comparison of the IR spectra of BADGE, precursor polymer, and the sample before (i.e. the reaction mixture) and after crosslinking in the preparation of </w:t>
      </w:r>
      <w:r w:rsidRPr="00BD7731">
        <w:rPr>
          <w:b/>
          <w:bCs/>
          <w:noProof/>
        </w:rPr>
        <w:t>TN</w:t>
      </w:r>
      <w:r w:rsidRPr="00BD7731">
        <w:rPr>
          <w:b/>
          <w:bCs/>
          <w:noProof/>
          <w:vertAlign w:val="subscript"/>
        </w:rPr>
        <w:t>5300</w:t>
      </w:r>
      <w:r w:rsidRPr="00BD7731">
        <w:rPr>
          <w:noProof/>
        </w:rPr>
        <w:t xml:space="preserve"> (the experiment batch is different from that in Figure S4). (a) 800-3200 cm</w:t>
      </w:r>
      <w:r w:rsidRPr="00BD7731">
        <w:rPr>
          <w:noProof/>
          <w:vertAlign w:val="superscript"/>
        </w:rPr>
        <w:t>-1</w:t>
      </w:r>
      <w:r w:rsidRPr="00BD7731">
        <w:rPr>
          <w:noProof/>
        </w:rPr>
        <w:t xml:space="preserve"> and (b) 800-1800 cm</w:t>
      </w:r>
      <w:r w:rsidRPr="00BD7731">
        <w:rPr>
          <w:noProof/>
          <w:vertAlign w:val="superscript"/>
        </w:rPr>
        <w:t>-1</w:t>
      </w:r>
      <w:r w:rsidRPr="00BD7731">
        <w:rPr>
          <w:noProof/>
        </w:rPr>
        <w:t xml:space="preserve"> range. The signal of C=O stretching of carboxylic acid group at 1698 cm</w:t>
      </w:r>
      <w:r w:rsidRPr="00BD7731">
        <w:rPr>
          <w:noProof/>
          <w:vertAlign w:val="superscript"/>
        </w:rPr>
        <w:t>-1</w:t>
      </w:r>
      <w:r w:rsidRPr="00BD7731">
        <w:rPr>
          <w:noProof/>
        </w:rPr>
        <w:t xml:space="preserve"> in the reaction mixture was disappered and C=O stretching of ester group at 1730 cm</w:t>
      </w:r>
      <w:r w:rsidRPr="00BD7731">
        <w:rPr>
          <w:noProof/>
          <w:vertAlign w:val="superscript"/>
        </w:rPr>
        <w:t>-1</w:t>
      </w:r>
      <w:r w:rsidRPr="00BD7731">
        <w:rPr>
          <w:noProof/>
        </w:rPr>
        <w:t xml:space="preserve"> was observed in TN5300. The signal of epoxide ring deformation at 914 cm</w:t>
      </w:r>
      <w:r w:rsidRPr="00BD7731">
        <w:rPr>
          <w:noProof/>
          <w:vertAlign w:val="superscript"/>
        </w:rPr>
        <w:t>-1</w:t>
      </w:r>
      <w:r w:rsidRPr="00BD7731">
        <w:rPr>
          <w:noProof/>
        </w:rPr>
        <w:t xml:space="preserve"> overlapped to a signal of polystyrene at 907 cm</w:t>
      </w:r>
      <w:r w:rsidRPr="00BD7731">
        <w:rPr>
          <w:noProof/>
          <w:vertAlign w:val="superscript"/>
        </w:rPr>
        <w:t>-1</w:t>
      </w:r>
      <w:r w:rsidRPr="00BD7731">
        <w:rPr>
          <w:noProof/>
        </w:rPr>
        <w:t>.</w:t>
      </w:r>
    </w:p>
    <w:p w14:paraId="46B46574" w14:textId="77777777" w:rsidR="008F7113" w:rsidRPr="00BD7731" w:rsidRDefault="008F7113" w:rsidP="008F7113">
      <w:r w:rsidRPr="00BD7731">
        <w:br w:type="page"/>
      </w:r>
    </w:p>
    <w:p w14:paraId="11A4EEB5" w14:textId="77777777" w:rsidR="008F7113" w:rsidRPr="00BD7731" w:rsidRDefault="008F7113" w:rsidP="008F7113">
      <w:pPr>
        <w:widowControl w:val="0"/>
        <w:numPr>
          <w:ilvl w:val="0"/>
          <w:numId w:val="2"/>
        </w:numPr>
        <w:jc w:val="both"/>
        <w:rPr>
          <w:b/>
          <w:bCs/>
        </w:rPr>
      </w:pPr>
      <w:bookmarkStart w:id="8" w:name="_Hlk87297088"/>
      <w:r w:rsidRPr="00BD7731">
        <w:rPr>
          <w:b/>
          <w:bCs/>
        </w:rPr>
        <w:t>Study of the network structure by the cleavage of crosslinks</w:t>
      </w:r>
    </w:p>
    <w:bookmarkEnd w:id="8"/>
    <w:p w14:paraId="7F6647E1" w14:textId="77777777" w:rsidR="008F7113" w:rsidRPr="00BD7731" w:rsidRDefault="008F7113" w:rsidP="008F7113">
      <w:pPr>
        <w:jc w:val="center"/>
      </w:pPr>
      <w:r w:rsidRPr="00BD7731">
        <w:rPr>
          <w:noProof/>
        </w:rPr>
        <w:drawing>
          <wp:inline distT="0" distB="0" distL="0" distR="0" wp14:anchorId="0CE8C859" wp14:editId="595ABC39">
            <wp:extent cx="4891951" cy="2883568"/>
            <wp:effectExtent l="0" t="0" r="4445" b="0"/>
            <wp:docPr id="50" name="図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4892376" cy="2883819"/>
                    </a:xfrm>
                    <a:prstGeom prst="rect">
                      <a:avLst/>
                    </a:prstGeom>
                    <a:noFill/>
                    <a:ln>
                      <a:noFill/>
                    </a:ln>
                  </pic:spPr>
                </pic:pic>
              </a:graphicData>
            </a:graphic>
          </wp:inline>
        </w:drawing>
      </w:r>
    </w:p>
    <w:p w14:paraId="11E07070" w14:textId="75005867" w:rsidR="008F7113" w:rsidRPr="00BD7731" w:rsidRDefault="008F7113" w:rsidP="008F7113">
      <w:r w:rsidRPr="00BD7731">
        <w:rPr>
          <w:rFonts w:hint="eastAsia"/>
          <w:b/>
          <w:bCs/>
        </w:rPr>
        <w:t>S</w:t>
      </w:r>
      <w:r w:rsidRPr="00BD7731">
        <w:rPr>
          <w:b/>
          <w:bCs/>
        </w:rPr>
        <w:t>cheme S</w:t>
      </w:r>
      <w:r w:rsidRPr="00BD7731">
        <w:rPr>
          <w:b/>
          <w:bCs/>
        </w:rPr>
        <w:fldChar w:fldCharType="begin"/>
      </w:r>
      <w:r w:rsidRPr="00BD7731">
        <w:rPr>
          <w:b/>
          <w:bCs/>
        </w:rPr>
        <w:instrText xml:space="preserve"> SEQ SchemeS \* MERGEFORMAT </w:instrText>
      </w:r>
      <w:r w:rsidRPr="00BD7731">
        <w:rPr>
          <w:b/>
          <w:bCs/>
        </w:rPr>
        <w:fldChar w:fldCharType="separate"/>
      </w:r>
      <w:r w:rsidR="00CF7DF3" w:rsidRPr="00BD7731">
        <w:rPr>
          <w:b/>
          <w:bCs/>
          <w:noProof/>
        </w:rPr>
        <w:t>1</w:t>
      </w:r>
      <w:r w:rsidRPr="00BD7731">
        <w:rPr>
          <w:b/>
          <w:bCs/>
        </w:rPr>
        <w:fldChar w:fldCharType="end"/>
      </w:r>
      <w:r w:rsidRPr="00BD7731">
        <w:t xml:space="preserve">. Cleavage of crosslinked network </w:t>
      </w:r>
      <w:r w:rsidRPr="00BD7731">
        <w:rPr>
          <w:b/>
          <w:bCs/>
        </w:rPr>
        <w:t>TN</w:t>
      </w:r>
      <w:r w:rsidRPr="00BD7731">
        <w:t xml:space="preserve"> by </w:t>
      </w:r>
      <w:proofErr w:type="spellStart"/>
      <w:r w:rsidRPr="00BD7731">
        <w:t>methanolysis</w:t>
      </w:r>
      <w:proofErr w:type="spellEnd"/>
      <w:r w:rsidRPr="00BD7731">
        <w:t xml:space="preserve">. The reaction of </w:t>
      </w:r>
      <w:r w:rsidRPr="00BD7731">
        <w:rPr>
          <w:b/>
          <w:bCs/>
        </w:rPr>
        <w:t>RN</w:t>
      </w:r>
      <w:r w:rsidRPr="00BD7731">
        <w:t xml:space="preserve"> is the same manner.</w:t>
      </w:r>
    </w:p>
    <w:p w14:paraId="6A46292A" w14:textId="77777777" w:rsidR="008F7113" w:rsidRPr="00BD7731" w:rsidRDefault="008F7113" w:rsidP="008F7113"/>
    <w:p w14:paraId="20A61E1B" w14:textId="77777777" w:rsidR="008F7113" w:rsidRPr="00BD7731" w:rsidRDefault="008F7113" w:rsidP="008F7113">
      <w:pPr>
        <w:jc w:val="center"/>
      </w:pPr>
      <w:r w:rsidRPr="00BD7731">
        <w:rPr>
          <w:noProof/>
        </w:rPr>
        <w:drawing>
          <wp:inline distT="0" distB="0" distL="0" distR="0" wp14:anchorId="08F3B1E6" wp14:editId="07FC7A35">
            <wp:extent cx="5393341" cy="1126958"/>
            <wp:effectExtent l="0" t="0" r="0" b="0"/>
            <wp:docPr id="51" name="図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396358" cy="1127588"/>
                    </a:xfrm>
                    <a:prstGeom prst="rect">
                      <a:avLst/>
                    </a:prstGeom>
                    <a:noFill/>
                    <a:ln>
                      <a:noFill/>
                    </a:ln>
                  </pic:spPr>
                </pic:pic>
              </a:graphicData>
            </a:graphic>
          </wp:inline>
        </w:drawing>
      </w:r>
    </w:p>
    <w:p w14:paraId="1FDDB03A" w14:textId="6EF46156" w:rsidR="008F7113" w:rsidRPr="00BD7731" w:rsidRDefault="008F7113" w:rsidP="008F7113">
      <w:pPr>
        <w:rPr>
          <w:b/>
          <w:bCs/>
        </w:rPr>
      </w:pPr>
      <w:r w:rsidRPr="00BD7731">
        <w:rPr>
          <w:rFonts w:hint="eastAsia"/>
          <w:b/>
          <w:bCs/>
        </w:rPr>
        <w:t>S</w:t>
      </w:r>
      <w:r w:rsidRPr="00BD7731">
        <w:rPr>
          <w:b/>
          <w:bCs/>
        </w:rPr>
        <w:t>cheme S</w:t>
      </w:r>
      <w:r w:rsidRPr="00BD7731">
        <w:rPr>
          <w:b/>
          <w:bCs/>
        </w:rPr>
        <w:fldChar w:fldCharType="begin"/>
      </w:r>
      <w:r w:rsidRPr="00BD7731">
        <w:rPr>
          <w:b/>
          <w:bCs/>
        </w:rPr>
        <w:instrText xml:space="preserve"> SEQ SchemeS \* MERGEFORMAT </w:instrText>
      </w:r>
      <w:r w:rsidRPr="00BD7731">
        <w:rPr>
          <w:b/>
          <w:bCs/>
        </w:rPr>
        <w:fldChar w:fldCharType="separate"/>
      </w:r>
      <w:r w:rsidR="00CF7DF3" w:rsidRPr="00BD7731">
        <w:rPr>
          <w:b/>
          <w:bCs/>
          <w:noProof/>
        </w:rPr>
        <w:t>2</w:t>
      </w:r>
      <w:r w:rsidRPr="00BD7731">
        <w:rPr>
          <w:b/>
          <w:bCs/>
        </w:rPr>
        <w:fldChar w:fldCharType="end"/>
      </w:r>
      <w:r w:rsidRPr="00BD7731">
        <w:t xml:space="preserve">. Experimental procedure of the separation of polystyrene and epoxy fraction from the decomposition reaction mixture. To avoid a loss of any compounds, separated </w:t>
      </w:r>
      <w:proofErr w:type="spellStart"/>
      <w:r w:rsidRPr="00BD7731">
        <w:t>PSt</w:t>
      </w:r>
      <w:proofErr w:type="spellEnd"/>
      <w:r w:rsidRPr="00BD7731">
        <w:t xml:space="preserve"> and the epoxy fraction was analyzed without further purification.</w:t>
      </w:r>
    </w:p>
    <w:p w14:paraId="16BE6050" w14:textId="77777777" w:rsidR="008F7113" w:rsidRPr="00BD7731" w:rsidRDefault="008F7113" w:rsidP="008F7113"/>
    <w:p w14:paraId="20819C3B" w14:textId="77777777" w:rsidR="008F7113" w:rsidRPr="00BD7731" w:rsidRDefault="008F7113" w:rsidP="008F7113">
      <w:pPr>
        <w:jc w:val="center"/>
        <w:rPr>
          <w:b/>
          <w:bCs/>
        </w:rPr>
      </w:pPr>
      <w:r w:rsidRPr="00BD7731">
        <w:rPr>
          <w:noProof/>
        </w:rPr>
        <w:drawing>
          <wp:inline distT="0" distB="0" distL="0" distR="0" wp14:anchorId="7BE8F8D3" wp14:editId="339EB1FC">
            <wp:extent cx="5135273" cy="4597400"/>
            <wp:effectExtent l="0" t="0" r="0" b="0"/>
            <wp:docPr id="11"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135273" cy="4597400"/>
                    </a:xfrm>
                    <a:prstGeom prst="rect">
                      <a:avLst/>
                    </a:prstGeom>
                    <a:noFill/>
                    <a:ln>
                      <a:noFill/>
                    </a:ln>
                  </pic:spPr>
                </pic:pic>
              </a:graphicData>
            </a:graphic>
          </wp:inline>
        </w:drawing>
      </w:r>
    </w:p>
    <w:p w14:paraId="27533BA2" w14:textId="32D73132" w:rsidR="008F7113" w:rsidRPr="00BD7731" w:rsidRDefault="008F7113" w:rsidP="008F7113">
      <w:pPr>
        <w:rPr>
          <w:noProof/>
        </w:rPr>
      </w:pPr>
      <w:r w:rsidRPr="00BD7731">
        <w:rPr>
          <w:rFonts w:hint="eastAsia"/>
          <w:b/>
          <w:bCs/>
        </w:rPr>
        <w:t>F</w:t>
      </w:r>
      <w:r w:rsidRPr="00BD7731">
        <w:rPr>
          <w:b/>
          <w:bCs/>
        </w:rPr>
        <w:t>igure S</w:t>
      </w:r>
      <w:r w:rsidRPr="00BD7731">
        <w:rPr>
          <w:b/>
          <w:bCs/>
        </w:rPr>
        <w:fldChar w:fldCharType="begin"/>
      </w:r>
      <w:r w:rsidRPr="00BD7731">
        <w:rPr>
          <w:b/>
          <w:bCs/>
        </w:rPr>
        <w:instrText xml:space="preserve"> SEQ FigureSI \* MERGEFORMAT </w:instrText>
      </w:r>
      <w:r w:rsidRPr="00BD7731">
        <w:rPr>
          <w:b/>
          <w:bCs/>
        </w:rPr>
        <w:fldChar w:fldCharType="separate"/>
      </w:r>
      <w:r w:rsidR="00CF7DF3" w:rsidRPr="00BD7731">
        <w:rPr>
          <w:b/>
          <w:bCs/>
          <w:noProof/>
        </w:rPr>
        <w:t>6</w:t>
      </w:r>
      <w:r w:rsidRPr="00BD7731">
        <w:rPr>
          <w:b/>
          <w:bCs/>
        </w:rPr>
        <w:fldChar w:fldCharType="end"/>
      </w:r>
      <w:r w:rsidRPr="00BD7731">
        <w:rPr>
          <w:noProof/>
        </w:rPr>
        <w:t xml:space="preserve">. </w:t>
      </w:r>
      <w:r w:rsidRPr="00BD7731">
        <w:rPr>
          <w:noProof/>
          <w:vertAlign w:val="superscript"/>
        </w:rPr>
        <w:t>1</w:t>
      </w:r>
      <w:r w:rsidRPr="00BD7731">
        <w:rPr>
          <w:noProof/>
        </w:rPr>
        <w:t>H NMR spectra of recovered polystyrene (a), the epoxy fraction (b) and a commercial BADGE oligomer (c, jER834 from Mitsubishi Chemical, epoxy equivalent =230~270) as a reference. In the spectrum of the epoxy fraction, the presence of signals corresponding to BADGE oligomeric structure and the absence of epoxide signals (2.7-3.3 ppm in the spectrum of jER834) were confirmed. In addition, the epoxy fraction was found to still include little PSt after repeated separation of PSt using MeOH.</w:t>
      </w:r>
    </w:p>
    <w:p w14:paraId="3F23722B" w14:textId="77777777" w:rsidR="008F7113" w:rsidRPr="00BD7731" w:rsidRDefault="008F7113" w:rsidP="008F7113"/>
    <w:p w14:paraId="4DDFBDED" w14:textId="77777777" w:rsidR="008F7113" w:rsidRPr="00BD7731" w:rsidRDefault="008F7113" w:rsidP="008F7113">
      <w:pPr>
        <w:jc w:val="center"/>
      </w:pPr>
      <w:r w:rsidRPr="00BD7731">
        <w:rPr>
          <w:noProof/>
        </w:rPr>
        <w:drawing>
          <wp:inline distT="0" distB="0" distL="0" distR="0" wp14:anchorId="6A1EE9C9" wp14:editId="3EFBAAAC">
            <wp:extent cx="3737031" cy="2243455"/>
            <wp:effectExtent l="0" t="0" r="0" b="4445"/>
            <wp:docPr id="12"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737192" cy="2243552"/>
                    </a:xfrm>
                    <a:prstGeom prst="rect">
                      <a:avLst/>
                    </a:prstGeom>
                    <a:noFill/>
                    <a:ln>
                      <a:noFill/>
                    </a:ln>
                  </pic:spPr>
                </pic:pic>
              </a:graphicData>
            </a:graphic>
          </wp:inline>
        </w:drawing>
      </w:r>
    </w:p>
    <w:p w14:paraId="1B8612EE" w14:textId="4D78A1FF" w:rsidR="008F7113" w:rsidRPr="00BD7731" w:rsidRDefault="008F7113" w:rsidP="008F7113">
      <w:pPr>
        <w:rPr>
          <w:noProof/>
        </w:rPr>
      </w:pPr>
      <w:r w:rsidRPr="00BD7731">
        <w:rPr>
          <w:rFonts w:hint="eastAsia"/>
          <w:b/>
          <w:bCs/>
        </w:rPr>
        <w:t>F</w:t>
      </w:r>
      <w:r w:rsidRPr="00BD7731">
        <w:rPr>
          <w:b/>
          <w:bCs/>
        </w:rPr>
        <w:t>igure S</w:t>
      </w:r>
      <w:r w:rsidRPr="00BD7731">
        <w:rPr>
          <w:b/>
          <w:bCs/>
        </w:rPr>
        <w:fldChar w:fldCharType="begin"/>
      </w:r>
      <w:r w:rsidRPr="00BD7731">
        <w:rPr>
          <w:b/>
          <w:bCs/>
        </w:rPr>
        <w:instrText xml:space="preserve"> SEQ FigureSI \* MERGEFORMAT </w:instrText>
      </w:r>
      <w:r w:rsidRPr="00BD7731">
        <w:rPr>
          <w:b/>
          <w:bCs/>
        </w:rPr>
        <w:fldChar w:fldCharType="separate"/>
      </w:r>
      <w:r w:rsidR="00CF7DF3" w:rsidRPr="00BD7731">
        <w:rPr>
          <w:b/>
          <w:bCs/>
          <w:noProof/>
        </w:rPr>
        <w:t>7</w:t>
      </w:r>
      <w:r w:rsidRPr="00BD7731">
        <w:rPr>
          <w:b/>
          <w:bCs/>
        </w:rPr>
        <w:fldChar w:fldCharType="end"/>
      </w:r>
      <w:r w:rsidRPr="00BD7731">
        <w:rPr>
          <w:noProof/>
        </w:rPr>
        <w:t>. GPC analysis of the recovered polystyrene fraction. Essentially identical polystyrene was recovered through the cleavage of the network. A little difference of the retention time should be due to the functional group of chain ends (CO</w:t>
      </w:r>
      <w:r w:rsidRPr="00BD7731">
        <w:rPr>
          <w:noProof/>
          <w:vertAlign w:val="subscript"/>
        </w:rPr>
        <w:t>2</w:t>
      </w:r>
      <w:r w:rsidRPr="00BD7731">
        <w:rPr>
          <w:noProof/>
        </w:rPr>
        <w:t>H for the precursor, and CO</w:t>
      </w:r>
      <w:r w:rsidRPr="00BD7731">
        <w:rPr>
          <w:noProof/>
          <w:vertAlign w:val="subscript"/>
        </w:rPr>
        <w:t>2</w:t>
      </w:r>
      <w:r w:rsidRPr="00BD7731">
        <w:rPr>
          <w:noProof/>
        </w:rPr>
        <w:t>Me for the recovered PSt).</w:t>
      </w:r>
    </w:p>
    <w:p w14:paraId="0190E22C" w14:textId="77777777" w:rsidR="008F7113" w:rsidRPr="00BD7731" w:rsidRDefault="008F7113" w:rsidP="008F7113">
      <w:pPr>
        <w:rPr>
          <w:noProof/>
        </w:rPr>
      </w:pPr>
    </w:p>
    <w:p w14:paraId="2E415DD2" w14:textId="77777777" w:rsidR="008F7113" w:rsidRPr="00BD7731" w:rsidRDefault="008F7113" w:rsidP="008F7113">
      <w:pPr>
        <w:rPr>
          <w:noProof/>
        </w:rPr>
      </w:pPr>
      <w:r w:rsidRPr="00BD7731">
        <w:rPr>
          <w:rFonts w:hint="eastAsia"/>
          <w:noProof/>
        </w:rPr>
        <w:drawing>
          <wp:inline distT="0" distB="0" distL="0" distR="0" wp14:anchorId="57CF5C7A" wp14:editId="491BA5E9">
            <wp:extent cx="5756275" cy="2760980"/>
            <wp:effectExtent l="0" t="0" r="0" b="0"/>
            <wp:docPr id="13"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756275" cy="2760980"/>
                    </a:xfrm>
                    <a:prstGeom prst="rect">
                      <a:avLst/>
                    </a:prstGeom>
                    <a:noFill/>
                    <a:ln>
                      <a:noFill/>
                    </a:ln>
                  </pic:spPr>
                </pic:pic>
              </a:graphicData>
            </a:graphic>
          </wp:inline>
        </w:drawing>
      </w:r>
    </w:p>
    <w:p w14:paraId="1CB8FEBC" w14:textId="1104457D" w:rsidR="008F7113" w:rsidRPr="00BD7731" w:rsidRDefault="008F7113" w:rsidP="008F7113">
      <w:pPr>
        <w:jc w:val="both"/>
      </w:pPr>
      <w:r w:rsidRPr="00BD7731">
        <w:rPr>
          <w:rFonts w:hint="eastAsia"/>
          <w:b/>
          <w:bCs/>
        </w:rPr>
        <w:t>F</w:t>
      </w:r>
      <w:r w:rsidRPr="00BD7731">
        <w:rPr>
          <w:b/>
          <w:bCs/>
        </w:rPr>
        <w:t>igure S</w:t>
      </w:r>
      <w:r w:rsidRPr="00BD7731">
        <w:rPr>
          <w:b/>
          <w:bCs/>
        </w:rPr>
        <w:fldChar w:fldCharType="begin"/>
      </w:r>
      <w:r w:rsidRPr="00BD7731">
        <w:rPr>
          <w:b/>
          <w:bCs/>
        </w:rPr>
        <w:instrText xml:space="preserve"> SEQ FigureSI \* MERGEFORMAT </w:instrText>
      </w:r>
      <w:r w:rsidRPr="00BD7731">
        <w:rPr>
          <w:b/>
          <w:bCs/>
        </w:rPr>
        <w:fldChar w:fldCharType="separate"/>
      </w:r>
      <w:r w:rsidR="00CF7DF3" w:rsidRPr="00BD7731">
        <w:rPr>
          <w:b/>
          <w:bCs/>
          <w:noProof/>
        </w:rPr>
        <w:t>8</w:t>
      </w:r>
      <w:r w:rsidRPr="00BD7731">
        <w:rPr>
          <w:b/>
          <w:bCs/>
        </w:rPr>
        <w:fldChar w:fldCharType="end"/>
      </w:r>
      <w:r w:rsidRPr="00BD7731">
        <w:rPr>
          <w:noProof/>
        </w:rPr>
        <w:t xml:space="preserve">. GPC analysis of the recovered epoxy fraction (bottom), and BADGE and a commercial BADGE oligomer (jER834) (top). Even after the fractionation of polystyrene, a signal of residual polystyrene overlapped. In the analysis of the epoxy fractions from </w:t>
      </w:r>
      <w:r w:rsidRPr="00BD7731">
        <w:rPr>
          <w:b/>
          <w:bCs/>
          <w:noProof/>
        </w:rPr>
        <w:t>TN</w:t>
      </w:r>
      <w:r w:rsidRPr="00BD7731">
        <w:rPr>
          <w:noProof/>
        </w:rPr>
        <w:t xml:space="preserve">, dimeric compound was observed as the main component, along with higher oligomers in a small amount. In the analysis of those from </w:t>
      </w:r>
      <w:r w:rsidRPr="00BD7731">
        <w:rPr>
          <w:b/>
          <w:bCs/>
          <w:noProof/>
        </w:rPr>
        <w:t>RN</w:t>
      </w:r>
      <w:r w:rsidRPr="00BD7731">
        <w:rPr>
          <w:noProof/>
        </w:rPr>
        <w:t xml:space="preserve">, the dimeric compound was the main component, and a signal at the longer retention time besides the signal identical to that in </w:t>
      </w:r>
      <w:r w:rsidRPr="00BD7731">
        <w:rPr>
          <w:b/>
          <w:bCs/>
          <w:noProof/>
        </w:rPr>
        <w:t>TN</w:t>
      </w:r>
      <w:r w:rsidRPr="00BD7731">
        <w:rPr>
          <w:noProof/>
        </w:rPr>
        <w:t xml:space="preserve"> was observed. Although the identification of the signal is unclear, these results might reflect the difference of the network structures in </w:t>
      </w:r>
      <w:r w:rsidRPr="00BD7731">
        <w:rPr>
          <w:b/>
          <w:bCs/>
          <w:noProof/>
        </w:rPr>
        <w:t>TN</w:t>
      </w:r>
      <w:r w:rsidRPr="00BD7731">
        <w:rPr>
          <w:noProof/>
        </w:rPr>
        <w:t xml:space="preserve"> and </w:t>
      </w:r>
      <w:r w:rsidRPr="00BD7731">
        <w:rPr>
          <w:b/>
          <w:bCs/>
          <w:noProof/>
        </w:rPr>
        <w:t>RN</w:t>
      </w:r>
      <w:r w:rsidRPr="00BD7731">
        <w:rPr>
          <w:noProof/>
        </w:rPr>
        <w:t xml:space="preserve"> depending on the precursor polymer structures.</w:t>
      </w:r>
    </w:p>
    <w:p w14:paraId="00112F2E" w14:textId="77777777" w:rsidR="008F7113" w:rsidRPr="00BD7731" w:rsidRDefault="008F7113" w:rsidP="008F7113"/>
    <w:p w14:paraId="2E4BAE5F" w14:textId="77777777" w:rsidR="008F7113" w:rsidRPr="00BD7731" w:rsidRDefault="008F7113" w:rsidP="008F7113"/>
    <w:p w14:paraId="286D4C9E" w14:textId="77777777" w:rsidR="008F7113" w:rsidRPr="00BD7731" w:rsidRDefault="008F7113" w:rsidP="008F7113"/>
    <w:p w14:paraId="0421078E" w14:textId="77777777" w:rsidR="008F7113" w:rsidRPr="00BD7731" w:rsidRDefault="008F7113" w:rsidP="008F7113">
      <w:pPr>
        <w:widowControl w:val="0"/>
        <w:numPr>
          <w:ilvl w:val="0"/>
          <w:numId w:val="2"/>
        </w:numPr>
        <w:jc w:val="both"/>
        <w:rPr>
          <w:b/>
          <w:bCs/>
        </w:rPr>
      </w:pPr>
      <w:proofErr w:type="spellStart"/>
      <w:r w:rsidRPr="00BD7731">
        <w:rPr>
          <w:rFonts w:hint="eastAsia"/>
          <w:b/>
          <w:bCs/>
        </w:rPr>
        <w:t>Dissolusion</w:t>
      </w:r>
      <w:proofErr w:type="spellEnd"/>
      <w:r w:rsidRPr="00BD7731">
        <w:rPr>
          <w:b/>
          <w:bCs/>
        </w:rPr>
        <w:t xml:space="preserve"> of crosslinked polymers</w:t>
      </w:r>
    </w:p>
    <w:p w14:paraId="022B8C9F" w14:textId="77777777" w:rsidR="008F7113" w:rsidRPr="00BD7731" w:rsidRDefault="008F7113" w:rsidP="008F7113">
      <w:pPr>
        <w:jc w:val="center"/>
      </w:pPr>
      <w:r w:rsidRPr="00BD7731">
        <w:rPr>
          <w:noProof/>
        </w:rPr>
        <w:drawing>
          <wp:inline distT="0" distB="0" distL="0" distR="0" wp14:anchorId="44B8C392" wp14:editId="7F338F67">
            <wp:extent cx="3810098" cy="2285051"/>
            <wp:effectExtent l="0" t="0" r="0" b="1270"/>
            <wp:docPr id="14"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810098" cy="2285051"/>
                    </a:xfrm>
                    <a:prstGeom prst="rect">
                      <a:avLst/>
                    </a:prstGeom>
                    <a:noFill/>
                    <a:ln>
                      <a:noFill/>
                    </a:ln>
                  </pic:spPr>
                </pic:pic>
              </a:graphicData>
            </a:graphic>
          </wp:inline>
        </w:drawing>
      </w:r>
    </w:p>
    <w:p w14:paraId="5BBE6A2B" w14:textId="203B81FD" w:rsidR="008F7113" w:rsidRPr="00BD7731" w:rsidRDefault="008F7113" w:rsidP="008F7113">
      <w:r w:rsidRPr="00BD7731">
        <w:rPr>
          <w:rFonts w:hint="eastAsia"/>
          <w:b/>
          <w:bCs/>
        </w:rPr>
        <w:t>F</w:t>
      </w:r>
      <w:r w:rsidRPr="00BD7731">
        <w:rPr>
          <w:b/>
          <w:bCs/>
        </w:rPr>
        <w:t>igure S</w:t>
      </w:r>
      <w:r w:rsidRPr="00BD7731">
        <w:rPr>
          <w:b/>
          <w:bCs/>
        </w:rPr>
        <w:fldChar w:fldCharType="begin"/>
      </w:r>
      <w:r w:rsidRPr="00BD7731">
        <w:rPr>
          <w:b/>
          <w:bCs/>
        </w:rPr>
        <w:instrText xml:space="preserve"> SEQ FigureSI \* MERGEFORMAT </w:instrText>
      </w:r>
      <w:r w:rsidRPr="00BD7731">
        <w:rPr>
          <w:b/>
          <w:bCs/>
        </w:rPr>
        <w:fldChar w:fldCharType="separate"/>
      </w:r>
      <w:r w:rsidR="00CF7DF3" w:rsidRPr="00BD7731">
        <w:rPr>
          <w:b/>
          <w:bCs/>
          <w:noProof/>
        </w:rPr>
        <w:t>9</w:t>
      </w:r>
      <w:r w:rsidRPr="00BD7731">
        <w:rPr>
          <w:b/>
          <w:bCs/>
        </w:rPr>
        <w:fldChar w:fldCharType="end"/>
      </w:r>
      <w:r w:rsidRPr="00BD7731">
        <w:rPr>
          <w:noProof/>
        </w:rPr>
        <w:t xml:space="preserve">. GPC analysis of the dissolution of </w:t>
      </w:r>
      <w:r w:rsidRPr="00BD7731">
        <w:rPr>
          <w:b/>
          <w:bCs/>
          <w:noProof/>
        </w:rPr>
        <w:t>TN</w:t>
      </w:r>
      <w:r w:rsidRPr="00BD7731">
        <w:rPr>
          <w:noProof/>
          <w:vertAlign w:val="subscript"/>
        </w:rPr>
        <w:t>8600</w:t>
      </w:r>
      <w:r w:rsidRPr="00BD7731">
        <w:rPr>
          <w:noProof/>
        </w:rPr>
        <w:t xml:space="preserve"> in 1,2-dichlorobenzene at high temperature.</w:t>
      </w:r>
    </w:p>
    <w:p w14:paraId="32FBD0DF" w14:textId="77777777" w:rsidR="008F7113" w:rsidRPr="00BD7731" w:rsidRDefault="008F7113" w:rsidP="008F7113">
      <w:r w:rsidRPr="00BD7731">
        <w:br w:type="page"/>
      </w:r>
    </w:p>
    <w:p w14:paraId="0188DAA0" w14:textId="77777777" w:rsidR="008F7113" w:rsidRPr="00BD7731" w:rsidRDefault="008F7113" w:rsidP="008F7113">
      <w:pPr>
        <w:widowControl w:val="0"/>
        <w:numPr>
          <w:ilvl w:val="0"/>
          <w:numId w:val="2"/>
        </w:numPr>
        <w:jc w:val="both"/>
        <w:rPr>
          <w:b/>
          <w:bCs/>
        </w:rPr>
      </w:pPr>
      <w:r w:rsidRPr="00BD7731">
        <w:rPr>
          <w:rFonts w:hint="eastAsia"/>
          <w:b/>
          <w:bCs/>
        </w:rPr>
        <w:t>S</w:t>
      </w:r>
      <w:r w:rsidRPr="00BD7731">
        <w:rPr>
          <w:b/>
          <w:bCs/>
        </w:rPr>
        <w:t>welling experiment and crosslink density</w:t>
      </w:r>
    </w:p>
    <w:p w14:paraId="7A37D6E8" w14:textId="77777777" w:rsidR="008F7113" w:rsidRPr="00BD7731" w:rsidRDefault="008F7113" w:rsidP="008F7113">
      <w:pPr>
        <w:rPr>
          <w:b/>
          <w:bCs/>
        </w:rPr>
      </w:pPr>
    </w:p>
    <w:p w14:paraId="4B3C779F" w14:textId="77777777" w:rsidR="008F7113" w:rsidRPr="00BD7731" w:rsidRDefault="008F7113" w:rsidP="008F7113">
      <w:r w:rsidRPr="00BD7731">
        <w:rPr>
          <w:rFonts w:hint="eastAsia"/>
        </w:rPr>
        <w:t>T</w:t>
      </w:r>
      <w:r w:rsidRPr="00BD7731">
        <w:t>he swelling ratio was calculated from the weight of the swollen sample and the initial dry sample after a swelling in 1,4-dioxane for 36 h at room temperature. The crosslink density (</w:t>
      </w:r>
      <w:r w:rsidRPr="00BD7731">
        <w:rPr>
          <w:rFonts w:ascii="Symbol" w:hAnsi="Symbol"/>
        </w:rPr>
        <w:t>n</w:t>
      </w:r>
      <w:r w:rsidRPr="00BD7731">
        <w:t>) was calculated based on Flory-Rehner equation:</w:t>
      </w:r>
    </w:p>
    <w:p w14:paraId="69C5DF02" w14:textId="77777777" w:rsidR="008F7113" w:rsidRPr="00BD7731" w:rsidRDefault="008F7113" w:rsidP="008F7113">
      <w:pPr>
        <w:jc w:val="center"/>
      </w:pPr>
      <m:oMath>
        <m:r>
          <m:rPr>
            <m:nor/>
          </m:rPr>
          <w:rPr>
            <w:rFonts w:ascii="Symbol" w:hAnsi="Symbol" w:cs="XITS Math"/>
          </w:rPr>
          <m:t>n</m:t>
        </m:r>
        <m:r>
          <w:rPr>
            <w:rFonts w:ascii="XITS Math" w:hAnsi="XITS Math" w:cs="XITS Math"/>
          </w:rPr>
          <m:t>=</m:t>
        </m:r>
        <m:f>
          <m:fPr>
            <m:type m:val="skw"/>
            <m:ctrlPr>
              <w:rPr>
                <w:rFonts w:ascii="XITS Math" w:hAnsi="XITS Math" w:cs="XITS Math"/>
                <w:i/>
              </w:rPr>
            </m:ctrlPr>
          </m:fPr>
          <m:num>
            <m:r>
              <w:rPr>
                <w:rFonts w:ascii="XITS Math" w:hAnsi="XITS Math" w:cs="XITS Math"/>
              </w:rPr>
              <m:t>-</m:t>
            </m:r>
            <m:d>
              <m:dPr>
                <m:begChr m:val="["/>
                <m:endChr m:val="]"/>
                <m:ctrlPr>
                  <w:rPr>
                    <w:rFonts w:ascii="XITS Math" w:hAnsi="XITS Math" w:cs="XITS Math"/>
                    <w:i/>
                  </w:rPr>
                </m:ctrlPr>
              </m:dPr>
              <m:e>
                <m:r>
                  <m:rPr>
                    <m:nor/>
                  </m:rPr>
                  <w:rPr>
                    <w:rFonts w:ascii="XITS Math" w:hAnsi="XITS Math" w:cs="XITS Math"/>
                  </w:rPr>
                  <m:t>ln</m:t>
                </m:r>
                <m:d>
                  <m:dPr>
                    <m:ctrlPr>
                      <w:rPr>
                        <w:rFonts w:ascii="XITS Math" w:hAnsi="XITS Math" w:cs="XITS Math"/>
                        <w:i/>
                      </w:rPr>
                    </m:ctrlPr>
                  </m:dPr>
                  <m:e>
                    <m:r>
                      <w:rPr>
                        <w:rFonts w:ascii="XITS Math" w:hAnsi="XITS Math" w:cs="XITS Math"/>
                      </w:rPr>
                      <m:t>1-</m:t>
                    </m:r>
                    <m:sSub>
                      <m:sSubPr>
                        <m:ctrlPr>
                          <w:rPr>
                            <w:rFonts w:ascii="XITS Math" w:hAnsi="XITS Math" w:cs="XITS Math"/>
                            <w:i/>
                          </w:rPr>
                        </m:ctrlPr>
                      </m:sSubPr>
                      <m:e>
                        <m:r>
                          <w:rPr>
                            <w:rFonts w:ascii="XITS Math" w:hAnsi="XITS Math" w:cs="XITS Math"/>
                          </w:rPr>
                          <m:t>V</m:t>
                        </m:r>
                      </m:e>
                      <m:sub>
                        <m:r>
                          <m:rPr>
                            <m:nor/>
                          </m:rPr>
                          <w:rPr>
                            <w:rFonts w:ascii="XITS Math" w:hAnsi="XITS Math" w:cs="XITS Math"/>
                          </w:rPr>
                          <m:t>r</m:t>
                        </m:r>
                      </m:sub>
                    </m:sSub>
                  </m:e>
                </m:d>
                <m:r>
                  <w:rPr>
                    <w:rFonts w:ascii="XITS Math" w:hAnsi="XITS Math" w:cs="XITS Math"/>
                  </w:rPr>
                  <m:t>+</m:t>
                </m:r>
                <m:sSub>
                  <m:sSubPr>
                    <m:ctrlPr>
                      <w:rPr>
                        <w:rFonts w:ascii="XITS Math" w:hAnsi="XITS Math" w:cs="XITS Math"/>
                        <w:i/>
                      </w:rPr>
                    </m:ctrlPr>
                  </m:sSubPr>
                  <m:e>
                    <m:r>
                      <w:rPr>
                        <w:rFonts w:ascii="XITS Math" w:hAnsi="XITS Math" w:cs="XITS Math"/>
                      </w:rPr>
                      <m:t>V</m:t>
                    </m:r>
                  </m:e>
                  <m:sub>
                    <m:r>
                      <m:rPr>
                        <m:nor/>
                      </m:rPr>
                      <w:rPr>
                        <w:rFonts w:ascii="XITS Math" w:hAnsi="XITS Math" w:cs="XITS Math"/>
                      </w:rPr>
                      <m:t>r</m:t>
                    </m:r>
                  </m:sub>
                </m:sSub>
                <m:r>
                  <w:rPr>
                    <w:rFonts w:ascii="XITS Math" w:hAnsi="XITS Math" w:cs="XITS Math"/>
                  </w:rPr>
                  <m:t>+χ</m:t>
                </m:r>
                <m:sSub>
                  <m:sSubPr>
                    <m:ctrlPr>
                      <w:rPr>
                        <w:rFonts w:ascii="XITS Math" w:hAnsi="XITS Math" w:cs="XITS Math"/>
                        <w:i/>
                      </w:rPr>
                    </m:ctrlPr>
                  </m:sSubPr>
                  <m:e>
                    <m:r>
                      <w:rPr>
                        <w:rFonts w:ascii="XITS Math" w:hAnsi="XITS Math" w:cs="XITS Math"/>
                      </w:rPr>
                      <m:t>V</m:t>
                    </m:r>
                  </m:e>
                  <m:sub>
                    <m:r>
                      <m:rPr>
                        <m:nor/>
                      </m:rPr>
                      <w:rPr>
                        <w:rFonts w:ascii="XITS Math" w:hAnsi="XITS Math" w:cs="XITS Math"/>
                      </w:rPr>
                      <m:t>r</m:t>
                    </m:r>
                  </m:sub>
                </m:sSub>
              </m:e>
            </m:d>
          </m:num>
          <m:den>
            <m:sSub>
              <m:sSubPr>
                <m:ctrlPr>
                  <w:rPr>
                    <w:rFonts w:ascii="XITS Math" w:hAnsi="XITS Math" w:cs="XITS Math"/>
                    <w:i/>
                  </w:rPr>
                </m:ctrlPr>
              </m:sSubPr>
              <m:e>
                <m:r>
                  <w:rPr>
                    <w:rFonts w:ascii="XITS Math" w:hAnsi="XITS Math" w:cs="XITS Math"/>
                  </w:rPr>
                  <m:t>V</m:t>
                </m:r>
              </m:e>
              <m:sub>
                <m:r>
                  <m:rPr>
                    <m:nor/>
                  </m:rPr>
                  <w:rPr>
                    <w:rFonts w:ascii="XITS Math" w:hAnsi="XITS Math" w:cs="XITS Math"/>
                  </w:rPr>
                  <m:t>slv</m:t>
                </m:r>
              </m:sub>
            </m:sSub>
            <m:d>
              <m:dPr>
                <m:ctrlPr>
                  <w:rPr>
                    <w:rFonts w:ascii="XITS Math" w:hAnsi="XITS Math" w:cs="XITS Math"/>
                    <w:i/>
                  </w:rPr>
                </m:ctrlPr>
              </m:dPr>
              <m:e>
                <m:sSup>
                  <m:sSupPr>
                    <m:ctrlPr>
                      <w:rPr>
                        <w:rFonts w:ascii="XITS Math" w:hAnsi="XITS Math" w:cs="XITS Math"/>
                        <w:i/>
                      </w:rPr>
                    </m:ctrlPr>
                  </m:sSupPr>
                  <m:e>
                    <m:sSub>
                      <m:sSubPr>
                        <m:ctrlPr>
                          <w:rPr>
                            <w:rFonts w:ascii="XITS Math" w:hAnsi="XITS Math" w:cs="XITS Math"/>
                            <w:i/>
                          </w:rPr>
                        </m:ctrlPr>
                      </m:sSubPr>
                      <m:e>
                        <m:r>
                          <w:rPr>
                            <w:rFonts w:ascii="XITS Math" w:hAnsi="XITS Math" w:cs="XITS Math"/>
                          </w:rPr>
                          <m:t>V</m:t>
                        </m:r>
                      </m:e>
                      <m:sub>
                        <m:r>
                          <m:rPr>
                            <m:nor/>
                          </m:rPr>
                          <w:rPr>
                            <w:rFonts w:ascii="XITS Math" w:hAnsi="XITS Math" w:cs="XITS Math"/>
                          </w:rPr>
                          <m:t>r</m:t>
                        </m:r>
                      </m:sub>
                    </m:sSub>
                  </m:e>
                  <m:sup>
                    <m:f>
                      <m:fPr>
                        <m:ctrlPr>
                          <w:rPr>
                            <w:rFonts w:ascii="XITS Math" w:hAnsi="XITS Math" w:cs="XITS Math"/>
                            <w:i/>
                          </w:rPr>
                        </m:ctrlPr>
                      </m:fPr>
                      <m:num>
                        <m:r>
                          <w:rPr>
                            <w:rFonts w:ascii="XITS Math" w:hAnsi="XITS Math" w:cs="XITS Math"/>
                          </w:rPr>
                          <m:t>1</m:t>
                        </m:r>
                      </m:num>
                      <m:den>
                        <m:r>
                          <w:rPr>
                            <w:rFonts w:ascii="XITS Math" w:hAnsi="XITS Math" w:cs="XITS Math"/>
                          </w:rPr>
                          <m:t>3</m:t>
                        </m:r>
                      </m:den>
                    </m:f>
                  </m:sup>
                </m:sSup>
                <m:r>
                  <w:rPr>
                    <w:rFonts w:ascii="XITS Math" w:hAnsi="XITS Math" w:cs="XITS Math"/>
                  </w:rPr>
                  <m:t>-</m:t>
                </m:r>
                <m:f>
                  <m:fPr>
                    <m:ctrlPr>
                      <w:rPr>
                        <w:rFonts w:ascii="XITS Math" w:hAnsi="XITS Math" w:cs="XITS Math"/>
                        <w:i/>
                      </w:rPr>
                    </m:ctrlPr>
                  </m:fPr>
                  <m:num>
                    <m:r>
                      <w:rPr>
                        <w:rFonts w:ascii="XITS Math" w:hAnsi="XITS Math" w:cs="XITS Math"/>
                      </w:rPr>
                      <m:t>2</m:t>
                    </m:r>
                    <m:sSub>
                      <m:sSubPr>
                        <m:ctrlPr>
                          <w:rPr>
                            <w:rFonts w:ascii="XITS Math" w:hAnsi="XITS Math" w:cs="XITS Math"/>
                            <w:i/>
                          </w:rPr>
                        </m:ctrlPr>
                      </m:sSubPr>
                      <m:e>
                        <m:r>
                          <w:rPr>
                            <w:rFonts w:ascii="XITS Math" w:hAnsi="XITS Math" w:cs="XITS Math"/>
                          </w:rPr>
                          <m:t>V</m:t>
                        </m:r>
                      </m:e>
                      <m:sub>
                        <m:r>
                          <m:rPr>
                            <m:nor/>
                          </m:rPr>
                          <w:rPr>
                            <w:rFonts w:ascii="XITS Math" w:hAnsi="XITS Math" w:cs="XITS Math"/>
                          </w:rPr>
                          <m:t>r</m:t>
                        </m:r>
                      </m:sub>
                    </m:sSub>
                  </m:num>
                  <m:den>
                    <m:r>
                      <w:rPr>
                        <w:rFonts w:ascii="XITS Math" w:hAnsi="XITS Math" w:cs="XITS Math"/>
                      </w:rPr>
                      <m:t>f</m:t>
                    </m:r>
                  </m:den>
                </m:f>
              </m:e>
            </m:d>
          </m:den>
        </m:f>
      </m:oMath>
      <w:r w:rsidRPr="00BD7731">
        <w:rPr>
          <w:rFonts w:hint="eastAsia"/>
        </w:rPr>
        <w:t xml:space="preserve">　…</w:t>
      </w:r>
      <w:r w:rsidRPr="00BD7731">
        <w:rPr>
          <w:rFonts w:hint="eastAsia"/>
        </w:rPr>
        <w:t xml:space="preserve"> </w:t>
      </w:r>
      <w:r w:rsidRPr="00BD7731">
        <w:t>(1)</w:t>
      </w:r>
    </w:p>
    <w:p w14:paraId="67093E2B" w14:textId="77777777" w:rsidR="008F7113" w:rsidRPr="00BD7731" w:rsidRDefault="00CA0E30" w:rsidP="008F7113">
      <m:oMathPara>
        <m:oMath>
          <m:sSub>
            <m:sSubPr>
              <m:ctrlPr>
                <w:rPr>
                  <w:rFonts w:ascii="XITS Math" w:hAnsi="XITS Math" w:cs="XITS Math"/>
                  <w:i/>
                </w:rPr>
              </m:ctrlPr>
            </m:sSubPr>
            <m:e>
              <m:r>
                <w:rPr>
                  <w:rFonts w:ascii="XITS Math" w:hAnsi="XITS Math" w:cs="XITS Math"/>
                </w:rPr>
                <m:t>V</m:t>
              </m:r>
            </m:e>
            <m:sub>
              <m:r>
                <m:rPr>
                  <m:nor/>
                </m:rPr>
                <w:rPr>
                  <w:rFonts w:ascii="XITS Math" w:hAnsi="XITS Math" w:cs="XITS Math"/>
                </w:rPr>
                <m:t>r</m:t>
              </m:r>
            </m:sub>
          </m:sSub>
          <m:r>
            <w:rPr>
              <w:rFonts w:ascii="XITS Math" w:hAnsi="XITS Math" w:cs="XITS Math"/>
            </w:rPr>
            <m:t>=</m:t>
          </m:r>
          <m:f>
            <m:fPr>
              <m:type m:val="skw"/>
              <m:ctrlPr>
                <w:rPr>
                  <w:rFonts w:ascii="XITS Math" w:hAnsi="XITS Math" w:cs="XITS Math"/>
                  <w:i/>
                </w:rPr>
              </m:ctrlPr>
            </m:fPr>
            <m:num>
              <m:sSub>
                <m:sSubPr>
                  <m:ctrlPr>
                    <w:rPr>
                      <w:rFonts w:ascii="XITS Math" w:hAnsi="XITS Math" w:cs="XITS Math"/>
                      <w:i/>
                    </w:rPr>
                  </m:ctrlPr>
                </m:sSubPr>
                <m:e>
                  <m:r>
                    <w:rPr>
                      <w:rFonts w:ascii="XITS Math" w:hAnsi="XITS Math" w:cs="XITS Math"/>
                    </w:rPr>
                    <m:t>V</m:t>
                  </m:r>
                </m:e>
                <m:sub>
                  <m:r>
                    <m:rPr>
                      <m:nor/>
                    </m:rPr>
                    <w:rPr>
                      <w:rFonts w:ascii="XITS Math" w:hAnsi="XITS Math" w:cs="XITS Math"/>
                    </w:rPr>
                    <m:t>pol</m:t>
                  </m:r>
                </m:sub>
              </m:sSub>
            </m:num>
            <m:den>
              <m:sSub>
                <m:sSubPr>
                  <m:ctrlPr>
                    <w:rPr>
                      <w:rFonts w:ascii="XITS Math" w:hAnsi="XITS Math" w:cs="XITS Math"/>
                      <w:i/>
                    </w:rPr>
                  </m:ctrlPr>
                </m:sSubPr>
                <m:e>
                  <m:r>
                    <w:rPr>
                      <w:rFonts w:ascii="XITS Math" w:hAnsi="XITS Math" w:cs="XITS Math"/>
                    </w:rPr>
                    <m:t>V</m:t>
                  </m:r>
                </m:e>
                <m:sub>
                  <m:r>
                    <m:rPr>
                      <m:nor/>
                    </m:rPr>
                    <w:rPr>
                      <w:rFonts w:ascii="XITS Math" w:hAnsi="XITS Math" w:cs="XITS Math"/>
                    </w:rPr>
                    <m:t>pol</m:t>
                  </m:r>
                </m:sub>
              </m:sSub>
              <m:r>
                <w:rPr>
                  <w:rFonts w:ascii="XITS Math" w:hAnsi="XITS Math" w:cs="XITS Math"/>
                </w:rPr>
                <m:t>+</m:t>
              </m:r>
              <m:sSub>
                <m:sSubPr>
                  <m:ctrlPr>
                    <w:rPr>
                      <w:rFonts w:ascii="XITS Math" w:hAnsi="XITS Math" w:cs="XITS Math"/>
                      <w:i/>
                    </w:rPr>
                  </m:ctrlPr>
                </m:sSubPr>
                <m:e>
                  <m:r>
                    <w:rPr>
                      <w:rFonts w:ascii="XITS Math" w:hAnsi="XITS Math" w:cs="XITS Math"/>
                    </w:rPr>
                    <m:t>V</m:t>
                  </m:r>
                </m:e>
                <m:sub>
                  <m:r>
                    <m:rPr>
                      <m:nor/>
                    </m:rPr>
                    <w:rPr>
                      <w:rFonts w:ascii="XITS Math" w:hAnsi="XITS Math" w:cs="XITS Math"/>
                    </w:rPr>
                    <m:t>slv</m:t>
                  </m:r>
                </m:sub>
              </m:sSub>
            </m:den>
          </m:f>
          <m:r>
            <w:rPr>
              <w:rFonts w:ascii="XITS Math" w:hAnsi="XITS Math" w:cs="XITS Math"/>
            </w:rPr>
            <m:t>=</m:t>
          </m:r>
          <m:f>
            <m:fPr>
              <m:type m:val="skw"/>
              <m:ctrlPr>
                <w:rPr>
                  <w:rFonts w:ascii="XITS Math" w:hAnsi="XITS Math" w:cs="XITS Math"/>
                  <w:i/>
                </w:rPr>
              </m:ctrlPr>
            </m:fPr>
            <m:num>
              <m:f>
                <m:fPr>
                  <m:ctrlPr>
                    <w:rPr>
                      <w:rFonts w:ascii="XITS Math" w:hAnsi="XITS Math" w:cs="XITS Math"/>
                      <w:i/>
                    </w:rPr>
                  </m:ctrlPr>
                </m:fPr>
                <m:num>
                  <m:sSub>
                    <m:sSubPr>
                      <m:ctrlPr>
                        <w:rPr>
                          <w:rFonts w:ascii="XITS Math" w:hAnsi="XITS Math" w:cs="XITS Math"/>
                          <w:i/>
                        </w:rPr>
                      </m:ctrlPr>
                    </m:sSubPr>
                    <m:e>
                      <m:r>
                        <w:rPr>
                          <w:rFonts w:ascii="XITS Math" w:hAnsi="XITS Math" w:cs="XITS Math"/>
                        </w:rPr>
                        <m:t>W</m:t>
                      </m:r>
                    </m:e>
                    <m:sub>
                      <m:r>
                        <m:rPr>
                          <m:nor/>
                        </m:rPr>
                        <w:rPr>
                          <w:rFonts w:ascii="XITS Math" w:hAnsi="XITS Math" w:cs="XITS Math"/>
                        </w:rPr>
                        <m:t>dry</m:t>
                      </m:r>
                    </m:sub>
                  </m:sSub>
                </m:num>
                <m:den>
                  <m:sSub>
                    <m:sSubPr>
                      <m:ctrlPr>
                        <w:rPr>
                          <w:rFonts w:ascii="XITS Math" w:hAnsi="XITS Math" w:cs="XITS Math"/>
                          <w:i/>
                        </w:rPr>
                      </m:ctrlPr>
                    </m:sSubPr>
                    <m:e>
                      <m:r>
                        <w:rPr>
                          <w:rFonts w:ascii="XITS Math" w:hAnsi="XITS Math" w:cs="XITS Math"/>
                        </w:rPr>
                        <m:t>ρ</m:t>
                      </m:r>
                    </m:e>
                    <m:sub>
                      <m:r>
                        <m:rPr>
                          <m:nor/>
                        </m:rPr>
                        <w:rPr>
                          <w:rFonts w:ascii="XITS Math" w:hAnsi="XITS Math" w:cs="XITS Math"/>
                        </w:rPr>
                        <m:t>pol</m:t>
                      </m:r>
                    </m:sub>
                  </m:sSub>
                </m:den>
              </m:f>
            </m:num>
            <m:den>
              <m:d>
                <m:dPr>
                  <m:begChr m:val="{"/>
                  <m:endChr m:val="}"/>
                  <m:ctrlPr>
                    <w:rPr>
                      <w:rFonts w:ascii="XITS Math" w:hAnsi="XITS Math" w:cs="XITS Math"/>
                      <w:i/>
                    </w:rPr>
                  </m:ctrlPr>
                </m:dPr>
                <m:e>
                  <m:f>
                    <m:fPr>
                      <m:ctrlPr>
                        <w:rPr>
                          <w:rFonts w:ascii="XITS Math" w:hAnsi="XITS Math" w:cs="XITS Math"/>
                          <w:i/>
                        </w:rPr>
                      </m:ctrlPr>
                    </m:fPr>
                    <m:num>
                      <m:sSub>
                        <m:sSubPr>
                          <m:ctrlPr>
                            <w:rPr>
                              <w:rFonts w:ascii="XITS Math" w:hAnsi="XITS Math" w:cs="XITS Math"/>
                              <w:i/>
                            </w:rPr>
                          </m:ctrlPr>
                        </m:sSubPr>
                        <m:e>
                          <m:r>
                            <w:rPr>
                              <w:rFonts w:ascii="XITS Math" w:hAnsi="XITS Math" w:cs="XITS Math"/>
                            </w:rPr>
                            <m:t>W</m:t>
                          </m:r>
                        </m:e>
                        <m:sub>
                          <m:r>
                            <m:rPr>
                              <m:nor/>
                            </m:rPr>
                            <w:rPr>
                              <w:rFonts w:ascii="XITS Math" w:hAnsi="XITS Math" w:cs="XITS Math"/>
                            </w:rPr>
                            <m:t>dry</m:t>
                          </m:r>
                        </m:sub>
                      </m:sSub>
                    </m:num>
                    <m:den>
                      <m:sSub>
                        <m:sSubPr>
                          <m:ctrlPr>
                            <w:rPr>
                              <w:rFonts w:ascii="XITS Math" w:hAnsi="XITS Math" w:cs="XITS Math"/>
                              <w:i/>
                            </w:rPr>
                          </m:ctrlPr>
                        </m:sSubPr>
                        <m:e>
                          <m:r>
                            <w:rPr>
                              <w:rFonts w:ascii="XITS Math" w:hAnsi="XITS Math" w:cs="XITS Math"/>
                            </w:rPr>
                            <m:t>ρ</m:t>
                          </m:r>
                        </m:e>
                        <m:sub>
                          <m:r>
                            <m:rPr>
                              <m:nor/>
                            </m:rPr>
                            <w:rPr>
                              <w:rFonts w:ascii="XITS Math" w:hAnsi="XITS Math" w:cs="XITS Math"/>
                            </w:rPr>
                            <m:t>pol</m:t>
                          </m:r>
                        </m:sub>
                      </m:sSub>
                    </m:den>
                  </m:f>
                  <m:r>
                    <w:rPr>
                      <w:rFonts w:ascii="XITS Math" w:hAnsi="XITS Math" w:cs="XITS Math"/>
                    </w:rPr>
                    <m:t>+</m:t>
                  </m:r>
                  <m:f>
                    <m:fPr>
                      <m:ctrlPr>
                        <w:rPr>
                          <w:rFonts w:ascii="XITS Math" w:hAnsi="XITS Math" w:cs="XITS Math"/>
                          <w:i/>
                        </w:rPr>
                      </m:ctrlPr>
                    </m:fPr>
                    <m:num>
                      <m:sSub>
                        <m:sSubPr>
                          <m:ctrlPr>
                            <w:rPr>
                              <w:rFonts w:ascii="XITS Math" w:hAnsi="XITS Math" w:cs="XITS Math"/>
                              <w:i/>
                            </w:rPr>
                          </m:ctrlPr>
                        </m:sSubPr>
                        <m:e>
                          <m:r>
                            <w:rPr>
                              <w:rFonts w:ascii="XITS Math" w:hAnsi="XITS Math" w:cs="XITS Math"/>
                            </w:rPr>
                            <m:t>W</m:t>
                          </m:r>
                        </m:e>
                        <m:sub>
                          <m:r>
                            <m:rPr>
                              <m:nor/>
                            </m:rPr>
                            <w:rPr>
                              <w:rFonts w:ascii="XITS Math" w:hAnsi="XITS Math" w:cs="XITS Math"/>
                            </w:rPr>
                            <m:t>swol</m:t>
                          </m:r>
                        </m:sub>
                      </m:sSub>
                      <m:r>
                        <w:rPr>
                          <w:rFonts w:ascii="XITS Math" w:hAnsi="XITS Math" w:cs="XITS Math"/>
                        </w:rPr>
                        <m:t>-</m:t>
                      </m:r>
                      <m:sSub>
                        <m:sSubPr>
                          <m:ctrlPr>
                            <w:rPr>
                              <w:rFonts w:ascii="XITS Math" w:hAnsi="XITS Math" w:cs="XITS Math"/>
                              <w:i/>
                            </w:rPr>
                          </m:ctrlPr>
                        </m:sSubPr>
                        <m:e>
                          <m:r>
                            <w:rPr>
                              <w:rFonts w:ascii="XITS Math" w:hAnsi="XITS Math" w:cs="XITS Math"/>
                            </w:rPr>
                            <m:t>W</m:t>
                          </m:r>
                        </m:e>
                        <m:sub>
                          <m:r>
                            <m:rPr>
                              <m:nor/>
                            </m:rPr>
                            <w:rPr>
                              <w:rFonts w:ascii="XITS Math" w:hAnsi="XITS Math" w:cs="XITS Math"/>
                            </w:rPr>
                            <m:t>dry</m:t>
                          </m:r>
                        </m:sub>
                      </m:sSub>
                    </m:num>
                    <m:den>
                      <m:sSub>
                        <m:sSubPr>
                          <m:ctrlPr>
                            <w:rPr>
                              <w:rFonts w:ascii="XITS Math" w:hAnsi="XITS Math" w:cs="XITS Math"/>
                              <w:i/>
                            </w:rPr>
                          </m:ctrlPr>
                        </m:sSubPr>
                        <m:e>
                          <m:r>
                            <w:rPr>
                              <w:rFonts w:ascii="XITS Math" w:hAnsi="XITS Math" w:cs="XITS Math"/>
                            </w:rPr>
                            <m:t>ρ</m:t>
                          </m:r>
                        </m:e>
                        <m:sub>
                          <m:r>
                            <m:rPr>
                              <m:nor/>
                            </m:rPr>
                            <w:rPr>
                              <w:rFonts w:ascii="XITS Math" w:hAnsi="XITS Math" w:cs="XITS Math"/>
                            </w:rPr>
                            <m:t>slv</m:t>
                          </m:r>
                        </m:sub>
                      </m:sSub>
                    </m:den>
                  </m:f>
                </m:e>
              </m:d>
            </m:den>
          </m:f>
        </m:oMath>
      </m:oMathPara>
    </w:p>
    <w:p w14:paraId="68A2EDC8" w14:textId="77777777" w:rsidR="008F7113" w:rsidRPr="00BD7731" w:rsidRDefault="008F7113" w:rsidP="008F7113">
      <w:pPr>
        <w:spacing w:afterLines="50" w:after="120"/>
      </w:pPr>
      <m:oMath>
        <m:r>
          <w:rPr>
            <w:rFonts w:ascii="XITS Math" w:hAnsi="XITS Math" w:cs="XITS Math"/>
          </w:rPr>
          <m:t>=</m:t>
        </m:r>
        <m:f>
          <m:fPr>
            <m:type m:val="skw"/>
            <m:ctrlPr>
              <w:rPr>
                <w:rFonts w:ascii="XITS Math" w:hAnsi="XITS Math" w:cs="XITS Math"/>
                <w:i/>
              </w:rPr>
            </m:ctrlPr>
          </m:fPr>
          <m:num>
            <m:r>
              <w:rPr>
                <w:rFonts w:ascii="XITS Math" w:hAnsi="XITS Math" w:cs="XITS Math"/>
              </w:rPr>
              <m:t>1</m:t>
            </m:r>
          </m:num>
          <m:den>
            <m:d>
              <m:dPr>
                <m:begChr m:val="{"/>
                <m:endChr m:val="}"/>
                <m:ctrlPr>
                  <w:rPr>
                    <w:rFonts w:ascii="XITS Math" w:hAnsi="XITS Math" w:cs="XITS Math"/>
                    <w:i/>
                  </w:rPr>
                </m:ctrlPr>
              </m:dPr>
              <m:e>
                <m:f>
                  <m:fPr>
                    <m:ctrlPr>
                      <w:rPr>
                        <w:rFonts w:ascii="XITS Math" w:hAnsi="XITS Math" w:cs="XITS Math"/>
                        <w:i/>
                      </w:rPr>
                    </m:ctrlPr>
                  </m:fPr>
                  <m:num>
                    <m:sSub>
                      <m:sSubPr>
                        <m:ctrlPr>
                          <w:rPr>
                            <w:rFonts w:ascii="XITS Math" w:hAnsi="XITS Math" w:cs="XITS Math"/>
                            <w:i/>
                          </w:rPr>
                        </m:ctrlPr>
                      </m:sSubPr>
                      <m:e>
                        <m:r>
                          <w:rPr>
                            <w:rFonts w:ascii="XITS Math" w:hAnsi="XITS Math" w:cs="XITS Math"/>
                          </w:rPr>
                          <m:t>W</m:t>
                        </m:r>
                      </m:e>
                      <m:sub>
                        <m:r>
                          <m:rPr>
                            <m:nor/>
                          </m:rPr>
                          <w:rPr>
                            <w:rFonts w:ascii="XITS Math" w:hAnsi="XITS Math" w:cs="XITS Math"/>
                          </w:rPr>
                          <m:t>dry</m:t>
                        </m:r>
                      </m:sub>
                    </m:sSub>
                  </m:num>
                  <m:den>
                    <m:sSub>
                      <m:sSubPr>
                        <m:ctrlPr>
                          <w:rPr>
                            <w:rFonts w:ascii="XITS Math" w:hAnsi="XITS Math" w:cs="XITS Math"/>
                            <w:i/>
                          </w:rPr>
                        </m:ctrlPr>
                      </m:sSubPr>
                      <m:e>
                        <m:r>
                          <w:rPr>
                            <w:rFonts w:ascii="XITS Math" w:hAnsi="XITS Math" w:cs="XITS Math"/>
                          </w:rPr>
                          <m:t>ρ</m:t>
                        </m:r>
                      </m:e>
                      <m:sub>
                        <m:r>
                          <m:rPr>
                            <m:nor/>
                          </m:rPr>
                          <w:rPr>
                            <w:rFonts w:ascii="XITS Math" w:hAnsi="XITS Math" w:cs="XITS Math"/>
                          </w:rPr>
                          <m:t>pol</m:t>
                        </m:r>
                      </m:sub>
                    </m:sSub>
                  </m:den>
                </m:f>
                <m:r>
                  <w:rPr>
                    <w:rFonts w:ascii="XITS Math" w:hAnsi="XITS Math" w:cs="XITS Math"/>
                  </w:rPr>
                  <m:t>+</m:t>
                </m:r>
                <m:f>
                  <m:fPr>
                    <m:ctrlPr>
                      <w:rPr>
                        <w:rFonts w:ascii="XITS Math" w:hAnsi="XITS Math" w:cs="XITS Math"/>
                        <w:i/>
                      </w:rPr>
                    </m:ctrlPr>
                  </m:fPr>
                  <m:num>
                    <m:sSub>
                      <m:sSubPr>
                        <m:ctrlPr>
                          <w:rPr>
                            <w:rFonts w:ascii="XITS Math" w:hAnsi="XITS Math" w:cs="XITS Math"/>
                            <w:i/>
                          </w:rPr>
                        </m:ctrlPr>
                      </m:sSubPr>
                      <m:e>
                        <m:r>
                          <w:rPr>
                            <w:rFonts w:ascii="XITS Math" w:hAnsi="XITS Math" w:cs="XITS Math"/>
                          </w:rPr>
                          <m:t>W</m:t>
                        </m:r>
                      </m:e>
                      <m:sub>
                        <m:r>
                          <m:rPr>
                            <m:nor/>
                          </m:rPr>
                          <w:rPr>
                            <w:rFonts w:ascii="XITS Math" w:hAnsi="XITS Math" w:cs="XITS Math"/>
                          </w:rPr>
                          <m:t>swol</m:t>
                        </m:r>
                      </m:sub>
                    </m:sSub>
                    <m:r>
                      <w:rPr>
                        <w:rFonts w:ascii="XITS Math" w:hAnsi="XITS Math" w:cs="XITS Math"/>
                      </w:rPr>
                      <m:t>-</m:t>
                    </m:r>
                    <m:sSub>
                      <m:sSubPr>
                        <m:ctrlPr>
                          <w:rPr>
                            <w:rFonts w:ascii="XITS Math" w:hAnsi="XITS Math" w:cs="XITS Math"/>
                            <w:i/>
                          </w:rPr>
                        </m:ctrlPr>
                      </m:sSubPr>
                      <m:e>
                        <m:r>
                          <w:rPr>
                            <w:rFonts w:ascii="XITS Math" w:hAnsi="XITS Math" w:cs="XITS Math"/>
                          </w:rPr>
                          <m:t>W</m:t>
                        </m:r>
                      </m:e>
                      <m:sub>
                        <m:r>
                          <m:rPr>
                            <m:nor/>
                          </m:rPr>
                          <w:rPr>
                            <w:rFonts w:ascii="XITS Math" w:hAnsi="XITS Math" w:cs="XITS Math"/>
                          </w:rPr>
                          <m:t>dry</m:t>
                        </m:r>
                      </m:sub>
                    </m:sSub>
                  </m:num>
                  <m:den>
                    <m:sSub>
                      <m:sSubPr>
                        <m:ctrlPr>
                          <w:rPr>
                            <w:rFonts w:ascii="XITS Math" w:hAnsi="XITS Math" w:cs="XITS Math"/>
                            <w:i/>
                          </w:rPr>
                        </m:ctrlPr>
                      </m:sSubPr>
                      <m:e>
                        <m:r>
                          <w:rPr>
                            <w:rFonts w:ascii="XITS Math" w:hAnsi="XITS Math" w:cs="XITS Math"/>
                          </w:rPr>
                          <m:t>ρ</m:t>
                        </m:r>
                      </m:e>
                      <m:sub>
                        <m:r>
                          <m:rPr>
                            <m:nor/>
                          </m:rPr>
                          <w:rPr>
                            <w:rFonts w:ascii="XITS Math" w:hAnsi="XITS Math" w:cs="XITS Math"/>
                          </w:rPr>
                          <m:t>slv</m:t>
                        </m:r>
                      </m:sub>
                    </m:sSub>
                  </m:den>
                </m:f>
              </m:e>
            </m:d>
            <m:f>
              <m:fPr>
                <m:ctrlPr>
                  <w:rPr>
                    <w:rFonts w:ascii="XITS Math" w:hAnsi="XITS Math" w:cs="XITS Math"/>
                    <w:i/>
                  </w:rPr>
                </m:ctrlPr>
              </m:fPr>
              <m:num>
                <m:sSub>
                  <m:sSubPr>
                    <m:ctrlPr>
                      <w:rPr>
                        <w:rFonts w:ascii="XITS Math" w:hAnsi="XITS Math" w:cs="XITS Math"/>
                        <w:i/>
                      </w:rPr>
                    </m:ctrlPr>
                  </m:sSubPr>
                  <m:e>
                    <m:r>
                      <w:rPr>
                        <w:rFonts w:ascii="XITS Math" w:hAnsi="XITS Math" w:cs="XITS Math"/>
                      </w:rPr>
                      <m:t>ρ</m:t>
                    </m:r>
                  </m:e>
                  <m:sub>
                    <m:r>
                      <m:rPr>
                        <m:nor/>
                      </m:rPr>
                      <w:rPr>
                        <w:rFonts w:ascii="XITS Math" w:hAnsi="XITS Math" w:cs="XITS Math"/>
                      </w:rPr>
                      <m:t>pol</m:t>
                    </m:r>
                  </m:sub>
                </m:sSub>
              </m:num>
              <m:den>
                <m:sSub>
                  <m:sSubPr>
                    <m:ctrlPr>
                      <w:rPr>
                        <w:rFonts w:ascii="XITS Math" w:hAnsi="XITS Math" w:cs="XITS Math"/>
                        <w:i/>
                      </w:rPr>
                    </m:ctrlPr>
                  </m:sSubPr>
                  <m:e>
                    <m:r>
                      <w:rPr>
                        <w:rFonts w:ascii="XITS Math" w:hAnsi="XITS Math" w:cs="XITS Math"/>
                      </w:rPr>
                      <m:t>W</m:t>
                    </m:r>
                  </m:e>
                  <m:sub>
                    <m:r>
                      <m:rPr>
                        <m:nor/>
                      </m:rPr>
                      <w:rPr>
                        <w:rFonts w:ascii="XITS Math" w:hAnsi="XITS Math" w:cs="XITS Math"/>
                      </w:rPr>
                      <m:t>dry</m:t>
                    </m:r>
                  </m:sub>
                </m:sSub>
              </m:den>
            </m:f>
          </m:den>
        </m:f>
        <m:r>
          <w:rPr>
            <w:rFonts w:ascii="XITS Math" w:hAnsi="XITS Math" w:cs="XITS Math"/>
          </w:rPr>
          <m:t>=</m:t>
        </m:r>
        <m:f>
          <m:fPr>
            <m:type m:val="skw"/>
            <m:ctrlPr>
              <w:rPr>
                <w:rFonts w:ascii="XITS Math" w:hAnsi="XITS Math" w:cs="XITS Math"/>
                <w:i/>
              </w:rPr>
            </m:ctrlPr>
          </m:fPr>
          <m:num>
            <m:r>
              <w:rPr>
                <w:rFonts w:ascii="XITS Math" w:hAnsi="XITS Math" w:cs="XITS Math"/>
              </w:rPr>
              <m:t>1</m:t>
            </m:r>
          </m:num>
          <m:den>
            <m:d>
              <m:dPr>
                <m:begChr m:val="{"/>
                <m:endChr m:val="}"/>
                <m:ctrlPr>
                  <w:rPr>
                    <w:rFonts w:ascii="XITS Math" w:hAnsi="XITS Math" w:cs="XITS Math"/>
                    <w:i/>
                  </w:rPr>
                </m:ctrlPr>
              </m:dPr>
              <m:e>
                <m:r>
                  <w:rPr>
                    <w:rFonts w:ascii="XITS Math" w:hAnsi="XITS Math" w:cs="XITS Math"/>
                  </w:rPr>
                  <m:t>1+</m:t>
                </m:r>
                <m:d>
                  <m:dPr>
                    <m:ctrlPr>
                      <w:rPr>
                        <w:rFonts w:ascii="XITS Math" w:hAnsi="XITS Math" w:cs="XITS Math"/>
                        <w:i/>
                      </w:rPr>
                    </m:ctrlPr>
                  </m:dPr>
                  <m:e>
                    <m:f>
                      <m:fPr>
                        <m:ctrlPr>
                          <w:rPr>
                            <w:rFonts w:ascii="XITS Math" w:hAnsi="XITS Math" w:cs="XITS Math"/>
                            <w:i/>
                          </w:rPr>
                        </m:ctrlPr>
                      </m:fPr>
                      <m:num>
                        <m:sSub>
                          <m:sSubPr>
                            <m:ctrlPr>
                              <w:rPr>
                                <w:rFonts w:ascii="XITS Math" w:hAnsi="XITS Math" w:cs="XITS Math"/>
                                <w:i/>
                              </w:rPr>
                            </m:ctrlPr>
                          </m:sSubPr>
                          <m:e>
                            <m:r>
                              <w:rPr>
                                <w:rFonts w:ascii="XITS Math" w:hAnsi="XITS Math" w:cs="XITS Math"/>
                              </w:rPr>
                              <m:t>W</m:t>
                            </m:r>
                          </m:e>
                          <m:sub>
                            <m:r>
                              <m:rPr>
                                <m:nor/>
                              </m:rPr>
                              <w:rPr>
                                <w:rFonts w:ascii="XITS Math" w:hAnsi="XITS Math" w:cs="XITS Math"/>
                              </w:rPr>
                              <m:t>swol</m:t>
                            </m:r>
                          </m:sub>
                        </m:sSub>
                        <m:r>
                          <w:rPr>
                            <w:rFonts w:ascii="XITS Math" w:hAnsi="XITS Math" w:cs="XITS Math"/>
                          </w:rPr>
                          <m:t>-</m:t>
                        </m:r>
                        <m:sSub>
                          <m:sSubPr>
                            <m:ctrlPr>
                              <w:rPr>
                                <w:rFonts w:ascii="XITS Math" w:hAnsi="XITS Math" w:cs="XITS Math"/>
                                <w:i/>
                              </w:rPr>
                            </m:ctrlPr>
                          </m:sSubPr>
                          <m:e>
                            <m:r>
                              <w:rPr>
                                <w:rFonts w:ascii="XITS Math" w:hAnsi="XITS Math" w:cs="XITS Math"/>
                              </w:rPr>
                              <m:t>W</m:t>
                            </m:r>
                          </m:e>
                          <m:sub>
                            <m:r>
                              <m:rPr>
                                <m:nor/>
                              </m:rPr>
                              <w:rPr>
                                <w:rFonts w:ascii="XITS Math" w:hAnsi="XITS Math" w:cs="XITS Math"/>
                              </w:rPr>
                              <m:t>dry</m:t>
                            </m:r>
                          </m:sub>
                        </m:sSub>
                      </m:num>
                      <m:den>
                        <m:sSub>
                          <m:sSubPr>
                            <m:ctrlPr>
                              <w:rPr>
                                <w:rFonts w:ascii="XITS Math" w:hAnsi="XITS Math" w:cs="XITS Math"/>
                                <w:i/>
                              </w:rPr>
                            </m:ctrlPr>
                          </m:sSubPr>
                          <m:e>
                            <m:r>
                              <w:rPr>
                                <w:rFonts w:ascii="XITS Math" w:hAnsi="XITS Math" w:cs="XITS Math"/>
                              </w:rPr>
                              <m:t>W</m:t>
                            </m:r>
                          </m:e>
                          <m:sub>
                            <m:r>
                              <m:rPr>
                                <m:nor/>
                              </m:rPr>
                              <w:rPr>
                                <w:rFonts w:ascii="XITS Math" w:hAnsi="XITS Math" w:cs="XITS Math"/>
                              </w:rPr>
                              <m:t>dry</m:t>
                            </m:r>
                          </m:sub>
                        </m:sSub>
                      </m:den>
                    </m:f>
                  </m:e>
                </m:d>
                <m:f>
                  <m:fPr>
                    <m:ctrlPr>
                      <w:rPr>
                        <w:rFonts w:ascii="XITS Math" w:hAnsi="XITS Math" w:cs="XITS Math"/>
                        <w:i/>
                      </w:rPr>
                    </m:ctrlPr>
                  </m:fPr>
                  <m:num>
                    <m:sSub>
                      <m:sSubPr>
                        <m:ctrlPr>
                          <w:rPr>
                            <w:rFonts w:ascii="XITS Math" w:hAnsi="XITS Math" w:cs="XITS Math"/>
                            <w:i/>
                          </w:rPr>
                        </m:ctrlPr>
                      </m:sSubPr>
                      <m:e>
                        <m:r>
                          <w:rPr>
                            <w:rFonts w:ascii="XITS Math" w:hAnsi="XITS Math" w:cs="XITS Math"/>
                          </w:rPr>
                          <m:t>ρ</m:t>
                        </m:r>
                      </m:e>
                      <m:sub>
                        <m:r>
                          <m:rPr>
                            <m:nor/>
                          </m:rPr>
                          <w:rPr>
                            <w:rFonts w:ascii="XITS Math" w:hAnsi="XITS Math" w:cs="XITS Math"/>
                          </w:rPr>
                          <m:t>pol</m:t>
                        </m:r>
                      </m:sub>
                    </m:sSub>
                  </m:num>
                  <m:den>
                    <m:sSub>
                      <m:sSubPr>
                        <m:ctrlPr>
                          <w:rPr>
                            <w:rFonts w:ascii="XITS Math" w:hAnsi="XITS Math" w:cs="XITS Math"/>
                            <w:i/>
                          </w:rPr>
                        </m:ctrlPr>
                      </m:sSubPr>
                      <m:e>
                        <m:r>
                          <w:rPr>
                            <w:rFonts w:ascii="XITS Math" w:hAnsi="XITS Math" w:cs="XITS Math"/>
                          </w:rPr>
                          <m:t>ρ</m:t>
                        </m:r>
                      </m:e>
                      <m:sub>
                        <m:r>
                          <m:rPr>
                            <m:nor/>
                          </m:rPr>
                          <w:rPr>
                            <w:rFonts w:ascii="XITS Math" w:hAnsi="XITS Math" w:cs="XITS Math"/>
                          </w:rPr>
                          <m:t>slv</m:t>
                        </m:r>
                      </m:sub>
                    </m:sSub>
                  </m:den>
                </m:f>
              </m:e>
            </m:d>
          </m:den>
        </m:f>
        <m:r>
          <w:rPr>
            <w:rFonts w:ascii="XITS Math" w:hAnsi="XITS Math" w:cs="XITS Math"/>
          </w:rPr>
          <m:t>=</m:t>
        </m:r>
        <m:f>
          <m:fPr>
            <m:type m:val="skw"/>
            <m:ctrlPr>
              <w:rPr>
                <w:rFonts w:ascii="XITS Math" w:hAnsi="XITS Math" w:cs="XITS Math"/>
                <w:i/>
              </w:rPr>
            </m:ctrlPr>
          </m:fPr>
          <m:num>
            <m:r>
              <w:rPr>
                <w:rFonts w:ascii="XITS Math" w:hAnsi="XITS Math" w:cs="XITS Math"/>
              </w:rPr>
              <m:t>1</m:t>
            </m:r>
          </m:num>
          <m:den>
            <m:d>
              <m:dPr>
                <m:begChr m:val="{"/>
                <m:endChr m:val="}"/>
                <m:ctrlPr>
                  <w:rPr>
                    <w:rFonts w:ascii="XITS Math" w:hAnsi="XITS Math" w:cs="XITS Math"/>
                    <w:i/>
                  </w:rPr>
                </m:ctrlPr>
              </m:dPr>
              <m:e>
                <m:r>
                  <w:rPr>
                    <w:rFonts w:ascii="XITS Math" w:hAnsi="XITS Math" w:cs="XITS Math"/>
                  </w:rPr>
                  <m:t>1+</m:t>
                </m:r>
                <m:d>
                  <m:dPr>
                    <m:ctrlPr>
                      <w:rPr>
                        <w:rFonts w:ascii="XITS Math" w:hAnsi="XITS Math" w:cs="XITS Math"/>
                        <w:i/>
                      </w:rPr>
                    </m:ctrlPr>
                  </m:dPr>
                  <m:e>
                    <m:f>
                      <m:fPr>
                        <m:ctrlPr>
                          <w:rPr>
                            <w:rFonts w:ascii="XITS Math" w:hAnsi="XITS Math" w:cs="XITS Math"/>
                            <w:i/>
                          </w:rPr>
                        </m:ctrlPr>
                      </m:fPr>
                      <m:num>
                        <m:sSub>
                          <m:sSubPr>
                            <m:ctrlPr>
                              <w:rPr>
                                <w:rFonts w:ascii="XITS Math" w:hAnsi="XITS Math" w:cs="XITS Math"/>
                                <w:i/>
                              </w:rPr>
                            </m:ctrlPr>
                          </m:sSubPr>
                          <m:e>
                            <m:r>
                              <w:rPr>
                                <w:rFonts w:ascii="XITS Math" w:hAnsi="XITS Math" w:cs="XITS Math"/>
                              </w:rPr>
                              <m:t>W</m:t>
                            </m:r>
                          </m:e>
                          <m:sub>
                            <m:r>
                              <m:rPr>
                                <m:nor/>
                              </m:rPr>
                              <w:rPr>
                                <w:rFonts w:ascii="XITS Math" w:hAnsi="XITS Math" w:cs="XITS Math"/>
                              </w:rPr>
                              <m:t>swol</m:t>
                            </m:r>
                          </m:sub>
                        </m:sSub>
                      </m:num>
                      <m:den>
                        <m:sSub>
                          <m:sSubPr>
                            <m:ctrlPr>
                              <w:rPr>
                                <w:rFonts w:ascii="XITS Math" w:hAnsi="XITS Math" w:cs="XITS Math"/>
                                <w:i/>
                              </w:rPr>
                            </m:ctrlPr>
                          </m:sSubPr>
                          <m:e>
                            <m:r>
                              <w:rPr>
                                <w:rFonts w:ascii="XITS Math" w:hAnsi="XITS Math" w:cs="XITS Math"/>
                              </w:rPr>
                              <m:t>W</m:t>
                            </m:r>
                          </m:e>
                          <m:sub>
                            <m:r>
                              <m:rPr>
                                <m:nor/>
                              </m:rPr>
                              <w:rPr>
                                <w:rFonts w:ascii="XITS Math" w:hAnsi="XITS Math" w:cs="XITS Math"/>
                              </w:rPr>
                              <m:t>dry</m:t>
                            </m:r>
                          </m:sub>
                        </m:sSub>
                      </m:den>
                    </m:f>
                    <m:r>
                      <w:rPr>
                        <w:rFonts w:ascii="XITS Math" w:hAnsi="XITS Math" w:cs="XITS Math"/>
                      </w:rPr>
                      <m:t>-1</m:t>
                    </m:r>
                  </m:e>
                </m:d>
                <m:f>
                  <m:fPr>
                    <m:ctrlPr>
                      <w:rPr>
                        <w:rFonts w:ascii="XITS Math" w:hAnsi="XITS Math" w:cs="XITS Math"/>
                        <w:i/>
                      </w:rPr>
                    </m:ctrlPr>
                  </m:fPr>
                  <m:num>
                    <m:sSub>
                      <m:sSubPr>
                        <m:ctrlPr>
                          <w:rPr>
                            <w:rFonts w:ascii="XITS Math" w:hAnsi="XITS Math" w:cs="XITS Math"/>
                            <w:i/>
                          </w:rPr>
                        </m:ctrlPr>
                      </m:sSubPr>
                      <m:e>
                        <m:r>
                          <w:rPr>
                            <w:rFonts w:ascii="XITS Math" w:hAnsi="XITS Math" w:cs="XITS Math"/>
                          </w:rPr>
                          <m:t>ρ</m:t>
                        </m:r>
                      </m:e>
                      <m:sub>
                        <m:r>
                          <m:rPr>
                            <m:nor/>
                          </m:rPr>
                          <w:rPr>
                            <w:rFonts w:ascii="XITS Math" w:hAnsi="XITS Math" w:cs="XITS Math"/>
                          </w:rPr>
                          <m:t>pol</m:t>
                        </m:r>
                      </m:sub>
                    </m:sSub>
                  </m:num>
                  <m:den>
                    <m:sSub>
                      <m:sSubPr>
                        <m:ctrlPr>
                          <w:rPr>
                            <w:rFonts w:ascii="XITS Math" w:hAnsi="XITS Math" w:cs="XITS Math"/>
                            <w:i/>
                          </w:rPr>
                        </m:ctrlPr>
                      </m:sSubPr>
                      <m:e>
                        <m:r>
                          <w:rPr>
                            <w:rFonts w:ascii="XITS Math" w:hAnsi="XITS Math" w:cs="XITS Math"/>
                          </w:rPr>
                          <m:t>ρ</m:t>
                        </m:r>
                      </m:e>
                      <m:sub>
                        <m:r>
                          <m:rPr>
                            <m:nor/>
                          </m:rPr>
                          <w:rPr>
                            <w:rFonts w:ascii="XITS Math" w:hAnsi="XITS Math" w:cs="XITS Math"/>
                          </w:rPr>
                          <m:t>slv</m:t>
                        </m:r>
                      </m:sub>
                    </m:sSub>
                  </m:den>
                </m:f>
              </m:e>
            </m:d>
          </m:den>
        </m:f>
      </m:oMath>
      <w:r w:rsidRPr="00BD7731">
        <w:rPr>
          <w:rFonts w:hint="eastAsia"/>
        </w:rPr>
        <w:t xml:space="preserve">　…</w:t>
      </w:r>
      <w:r w:rsidRPr="00BD7731">
        <w:rPr>
          <w:rFonts w:hint="eastAsia"/>
        </w:rPr>
        <w:t>(</w:t>
      </w:r>
      <w:r w:rsidRPr="00BD7731">
        <w:t>2)</w:t>
      </w:r>
    </w:p>
    <w:p w14:paraId="4D88FCA7" w14:textId="77777777" w:rsidR="008F7113" w:rsidRPr="00BD7731" w:rsidRDefault="008F7113" w:rsidP="008F7113">
      <w:pPr>
        <w:jc w:val="center"/>
      </w:pPr>
      <m:oMath>
        <m:r>
          <w:rPr>
            <w:rFonts w:ascii="Cambria Math" w:hAnsi="Cambria Math"/>
          </w:rPr>
          <m:t>χ=β+</m:t>
        </m:r>
        <m:d>
          <m:dPr>
            <m:ctrlPr>
              <w:rPr>
                <w:rFonts w:ascii="Cambria Math" w:hAnsi="Cambria Math"/>
                <w:i/>
              </w:rPr>
            </m:ctrlPr>
          </m:dPr>
          <m:e>
            <m:sSub>
              <m:sSubPr>
                <m:ctrlPr>
                  <w:rPr>
                    <w:rFonts w:ascii="Cambria Math" w:hAnsi="Cambria Math"/>
                    <w:i/>
                  </w:rPr>
                </m:ctrlPr>
              </m:sSubPr>
              <m:e>
                <m:r>
                  <w:rPr>
                    <w:rFonts w:ascii="Cambria Math" w:hAnsi="Cambria Math"/>
                  </w:rPr>
                  <m:t>V</m:t>
                </m:r>
              </m:e>
              <m:sub>
                <m:r>
                  <m:rPr>
                    <m:nor/>
                  </m:rPr>
                  <w:rPr>
                    <w:rFonts w:ascii="Cambria Math" w:hAnsi="Cambria Math"/>
                  </w:rPr>
                  <m:t>slv</m:t>
                </m:r>
              </m:sub>
            </m:sSub>
            <m:r>
              <w:rPr>
                <w:rFonts w:ascii="Cambria Math" w:hAnsi="Cambria Math"/>
              </w:rPr>
              <m:t>/RT</m:t>
            </m:r>
          </m:e>
        </m:d>
        <m:r>
          <w:rPr>
            <w:rFonts w:ascii="Cambria Math" w:hAnsi="Cambria Math"/>
          </w:rPr>
          <m:t>∙</m:t>
        </m:r>
        <m:d>
          <m:dPr>
            <m:ctrlPr>
              <w:rPr>
                <w:rFonts w:ascii="Cambria Math" w:hAnsi="Cambria Math"/>
                <w:i/>
              </w:rPr>
            </m:ctrlPr>
          </m:dPr>
          <m:e>
            <m:sSub>
              <m:sSubPr>
                <m:ctrlPr>
                  <w:rPr>
                    <w:rFonts w:ascii="Cambria Math" w:hAnsi="Cambria Math"/>
                    <w:i/>
                  </w:rPr>
                </m:ctrlPr>
              </m:sSubPr>
              <m:e>
                <m:r>
                  <w:rPr>
                    <w:rFonts w:ascii="Cambria Math" w:hAnsi="Cambria Math"/>
                  </w:rPr>
                  <m:t>δ</m:t>
                </m:r>
              </m:e>
              <m:sub>
                <m:r>
                  <m:rPr>
                    <m:nor/>
                  </m:rPr>
                  <w:rPr>
                    <w:rFonts w:ascii="Cambria Math" w:hAnsi="Cambria Math"/>
                  </w:rPr>
                  <m:t>slv</m:t>
                </m:r>
              </m:sub>
            </m:sSub>
            <m:r>
              <w:rPr>
                <w:rFonts w:ascii="Cambria Math" w:hAnsi="Cambria Math"/>
              </w:rPr>
              <m:t>-</m:t>
            </m:r>
            <m:sSub>
              <m:sSubPr>
                <m:ctrlPr>
                  <w:rPr>
                    <w:rFonts w:ascii="Cambria Math" w:hAnsi="Cambria Math"/>
                    <w:i/>
                  </w:rPr>
                </m:ctrlPr>
              </m:sSubPr>
              <m:e>
                <m:r>
                  <w:rPr>
                    <w:rFonts w:ascii="Cambria Math" w:hAnsi="Cambria Math"/>
                  </w:rPr>
                  <m:t>δ</m:t>
                </m:r>
              </m:e>
              <m:sub>
                <m:r>
                  <m:rPr>
                    <m:nor/>
                  </m:rPr>
                  <w:rPr>
                    <w:rFonts w:ascii="Cambria Math" w:hAnsi="Cambria Math"/>
                  </w:rPr>
                  <m:t>pol</m:t>
                </m:r>
              </m:sub>
            </m:sSub>
          </m:e>
        </m:d>
      </m:oMath>
      <w:r w:rsidRPr="00BD7731">
        <w:rPr>
          <w:rFonts w:hint="eastAsia"/>
        </w:rPr>
        <w:t xml:space="preserve"> </w:t>
      </w:r>
      <w:r w:rsidRPr="00BD7731">
        <w:rPr>
          <w:rFonts w:hint="eastAsia"/>
        </w:rPr>
        <w:t>…</w:t>
      </w:r>
      <w:r w:rsidRPr="00BD7731">
        <w:t>(3)</w:t>
      </w:r>
    </w:p>
    <w:p w14:paraId="1B517B32" w14:textId="77777777" w:rsidR="008F7113" w:rsidRPr="00BD7731" w:rsidRDefault="008F7113" w:rsidP="008F7113"/>
    <w:p w14:paraId="1FEFEF8E" w14:textId="77777777" w:rsidR="008F7113" w:rsidRPr="00BD7731" w:rsidRDefault="008F7113" w:rsidP="008F7113">
      <w:r w:rsidRPr="00BD7731">
        <w:rPr>
          <w:rFonts w:hint="eastAsia"/>
        </w:rPr>
        <w:t>w</w:t>
      </w:r>
      <w:r w:rsidRPr="00BD7731">
        <w:t xml:space="preserve">here </w:t>
      </w:r>
      <w:r w:rsidRPr="00BD7731">
        <w:rPr>
          <w:i/>
          <w:iCs/>
        </w:rPr>
        <w:t>f</w:t>
      </w:r>
      <w:r w:rsidRPr="00BD7731">
        <w:t xml:space="preserve"> is the junction functionality, </w:t>
      </w:r>
      <w:proofErr w:type="spellStart"/>
      <w:r w:rsidRPr="00BD7731">
        <w:rPr>
          <w:i/>
          <w:iCs/>
        </w:rPr>
        <w:t>W</w:t>
      </w:r>
      <w:r w:rsidRPr="00BD7731">
        <w:rPr>
          <w:vertAlign w:val="subscript"/>
        </w:rPr>
        <w:t>dry</w:t>
      </w:r>
      <w:proofErr w:type="spellEnd"/>
      <w:r w:rsidRPr="00BD7731">
        <w:t xml:space="preserve"> and </w:t>
      </w:r>
      <w:proofErr w:type="spellStart"/>
      <w:r w:rsidRPr="00BD7731">
        <w:rPr>
          <w:i/>
          <w:iCs/>
        </w:rPr>
        <w:t>W</w:t>
      </w:r>
      <w:r w:rsidRPr="00BD7731">
        <w:rPr>
          <w:noProof/>
          <w:vertAlign w:val="subscript"/>
        </w:rPr>
        <w:t>swol</w:t>
      </w:r>
      <w:proofErr w:type="spellEnd"/>
      <w:r w:rsidRPr="00BD7731">
        <w:t xml:space="preserve"> is the weights of dry and swollen polymer samples, </w:t>
      </w:r>
      <w:r w:rsidRPr="00BD7731">
        <w:rPr>
          <w:rFonts w:ascii="Symbol" w:hAnsi="Symbol"/>
          <w:i/>
          <w:iCs/>
        </w:rPr>
        <w:t>r</w:t>
      </w:r>
      <w:r w:rsidRPr="00BD7731">
        <w:rPr>
          <w:vertAlign w:val="subscript"/>
        </w:rPr>
        <w:t>pol</w:t>
      </w:r>
      <w:r w:rsidRPr="00BD7731">
        <w:t xml:space="preserve"> and </w:t>
      </w:r>
      <w:r w:rsidRPr="00BD7731">
        <w:rPr>
          <w:rFonts w:ascii="Symbol" w:hAnsi="Symbol"/>
          <w:i/>
          <w:iCs/>
        </w:rPr>
        <w:t>r</w:t>
      </w:r>
      <w:r w:rsidRPr="00BD7731">
        <w:rPr>
          <w:noProof/>
          <w:vertAlign w:val="subscript"/>
        </w:rPr>
        <w:t>slv</w:t>
      </w:r>
      <w:r w:rsidRPr="00BD7731">
        <w:t xml:space="preserve"> are the densities of polymer (polystyrene) and solvent (1,4-dioxane), </w:t>
      </w:r>
      <w:r w:rsidRPr="00BD7731">
        <w:rPr>
          <w:i/>
          <w:iCs/>
        </w:rPr>
        <w:t>β</w:t>
      </w:r>
      <w:r w:rsidRPr="00BD7731">
        <w:t xml:space="preserve"> is the entropic contribution, </w:t>
      </w:r>
      <w:r w:rsidRPr="00BD7731">
        <w:rPr>
          <w:i/>
          <w:iCs/>
        </w:rPr>
        <w:t>R</w:t>
      </w:r>
      <w:r w:rsidRPr="00BD7731">
        <w:t xml:space="preserve"> is the gas constant, </w:t>
      </w:r>
      <w:proofErr w:type="spellStart"/>
      <w:r w:rsidRPr="00BD7731">
        <w:rPr>
          <w:i/>
          <w:iCs/>
        </w:rPr>
        <w:t>δ</w:t>
      </w:r>
      <w:r w:rsidRPr="00BD7731">
        <w:rPr>
          <w:vertAlign w:val="subscript"/>
        </w:rPr>
        <w:t>pol</w:t>
      </w:r>
      <w:proofErr w:type="spellEnd"/>
      <w:r w:rsidRPr="00BD7731">
        <w:t xml:space="preserve"> and </w:t>
      </w:r>
      <w:proofErr w:type="spellStart"/>
      <w:r w:rsidRPr="00BD7731">
        <w:rPr>
          <w:i/>
          <w:iCs/>
        </w:rPr>
        <w:t>δ</w:t>
      </w:r>
      <w:r w:rsidRPr="00BD7731">
        <w:rPr>
          <w:vertAlign w:val="subscript"/>
        </w:rPr>
        <w:t>slv</w:t>
      </w:r>
      <w:proofErr w:type="spellEnd"/>
      <w:r w:rsidRPr="00BD7731">
        <w:t xml:space="preserve"> are the solubility parameters of polymer and solvent. </w:t>
      </w:r>
      <w:r w:rsidRPr="00BD7731">
        <w:rPr>
          <w:i/>
          <w:iCs/>
        </w:rPr>
        <w:t>f</w:t>
      </w:r>
      <w:r w:rsidRPr="00BD7731">
        <w:t xml:space="preserve"> = 3 and </w:t>
      </w:r>
      <w:r w:rsidRPr="00BD7731">
        <w:rPr>
          <w:i/>
          <w:iCs/>
        </w:rPr>
        <w:t>f</w:t>
      </w:r>
      <w:r w:rsidRPr="00BD7731">
        <w:t xml:space="preserve"> = 6 were used for </w:t>
      </w:r>
      <w:r w:rsidRPr="00BD7731">
        <w:rPr>
          <w:b/>
          <w:bCs/>
        </w:rPr>
        <w:t>TN</w:t>
      </w:r>
      <w:r w:rsidRPr="00BD7731">
        <w:t xml:space="preserve"> and </w:t>
      </w:r>
      <w:r w:rsidRPr="00BD7731">
        <w:rPr>
          <w:b/>
          <w:bCs/>
        </w:rPr>
        <w:t>RN</w:t>
      </w:r>
      <w:r w:rsidRPr="00BD7731">
        <w:t xml:space="preserve">, respectively, depending on their ideal structures based on the feeding ratio of carboxylic acid functionalized polystyrenes and BADGE. Because the polymer composing the network are considered as the copolymer of styrene and BADGE (epoxy), we used the solubility parameter of the copolymer calculated as </w:t>
      </w:r>
      <w:r w:rsidRPr="00BD7731">
        <w:rPr>
          <w:i/>
          <w:iCs/>
        </w:rPr>
        <w:t>δ</w:t>
      </w:r>
      <w:r w:rsidRPr="00BD7731">
        <w:rPr>
          <w:vertAlign w:val="subscript"/>
        </w:rPr>
        <w:t>pol</w:t>
      </w:r>
      <w:r w:rsidRPr="00BD7731">
        <w:rPr>
          <w:vertAlign w:val="superscript"/>
        </w:rPr>
        <w:t>2</w:t>
      </w:r>
      <w:r w:rsidRPr="00BD7731">
        <w:t xml:space="preserve"> = </w:t>
      </w:r>
      <w:proofErr w:type="spellStart"/>
      <w:r w:rsidRPr="00BD7731">
        <w:rPr>
          <w:i/>
          <w:iCs/>
        </w:rPr>
        <w:t>p</w:t>
      </w:r>
      <w:r w:rsidRPr="00BD7731">
        <w:rPr>
          <w:noProof/>
          <w:vertAlign w:val="subscript"/>
        </w:rPr>
        <w:t>PSt</w:t>
      </w:r>
      <w:proofErr w:type="spellEnd"/>
      <w:r w:rsidRPr="00BD7731">
        <w:rPr>
          <w:noProof/>
          <w:vertAlign w:val="subscript"/>
        </w:rPr>
        <w:t xml:space="preserve"> </w:t>
      </w:r>
      <w:r w:rsidRPr="00BD7731">
        <w:rPr>
          <w:i/>
          <w:iCs/>
          <w:noProof/>
        </w:rPr>
        <w:t>δ</w:t>
      </w:r>
      <w:r w:rsidRPr="00BD7731">
        <w:rPr>
          <w:noProof/>
          <w:vertAlign w:val="subscript"/>
        </w:rPr>
        <w:t>PSt</w:t>
      </w:r>
      <w:r w:rsidRPr="00BD7731">
        <w:rPr>
          <w:noProof/>
          <w:vertAlign w:val="superscript"/>
        </w:rPr>
        <w:t>2</w:t>
      </w:r>
      <w:r w:rsidRPr="00BD7731">
        <w:t xml:space="preserve"> + </w:t>
      </w:r>
      <w:proofErr w:type="spellStart"/>
      <w:r w:rsidRPr="00BD7731">
        <w:rPr>
          <w:i/>
          <w:iCs/>
        </w:rPr>
        <w:t>p</w:t>
      </w:r>
      <w:r w:rsidRPr="00BD7731">
        <w:rPr>
          <w:noProof/>
          <w:vertAlign w:val="subscript"/>
        </w:rPr>
        <w:t>epoxy</w:t>
      </w:r>
      <w:proofErr w:type="spellEnd"/>
      <w:r w:rsidRPr="00BD7731">
        <w:rPr>
          <w:noProof/>
          <w:vertAlign w:val="subscript"/>
        </w:rPr>
        <w:t xml:space="preserve"> </w:t>
      </w:r>
      <w:r w:rsidRPr="00BD7731">
        <w:rPr>
          <w:i/>
          <w:iCs/>
          <w:noProof/>
        </w:rPr>
        <w:t>δ</w:t>
      </w:r>
      <w:r w:rsidRPr="00BD7731">
        <w:rPr>
          <w:noProof/>
          <w:vertAlign w:val="subscript"/>
        </w:rPr>
        <w:t>epoxy</w:t>
      </w:r>
      <w:r w:rsidRPr="00BD7731">
        <w:rPr>
          <w:noProof/>
          <w:vertAlign w:val="superscript"/>
        </w:rPr>
        <w:t>2</w:t>
      </w:r>
      <w:r w:rsidRPr="00BD7731">
        <w:rPr>
          <w:noProof/>
        </w:rPr>
        <w:t xml:space="preserve">. The solubility parameters of each polymer are referring Mark, J. E. </w:t>
      </w:r>
      <w:r w:rsidRPr="00BD7731">
        <w:rPr>
          <w:i/>
          <w:iCs/>
          <w:noProof/>
        </w:rPr>
        <w:t xml:space="preserve">Polymer Data Handbook, </w:t>
      </w:r>
      <w:r w:rsidRPr="00BD7731">
        <w:rPr>
          <w:noProof/>
        </w:rPr>
        <w:t>Oxford Univ Press, 1999.</w:t>
      </w:r>
    </w:p>
    <w:p w14:paraId="52C5CB83" w14:textId="77777777" w:rsidR="008F7113" w:rsidRPr="00BD7731" w:rsidRDefault="008F7113" w:rsidP="008F7113"/>
    <w:p w14:paraId="091D51E3" w14:textId="77777777" w:rsidR="008F7113" w:rsidRPr="00BD7731" w:rsidRDefault="008F7113" w:rsidP="008F7113"/>
    <w:p w14:paraId="44DB1727" w14:textId="77777777" w:rsidR="008F7113" w:rsidRPr="00BD7731" w:rsidRDefault="008F7113" w:rsidP="008F7113"/>
    <w:p w14:paraId="24141B05" w14:textId="77777777" w:rsidR="008F7113" w:rsidRPr="00BD7731" w:rsidRDefault="008F7113" w:rsidP="008F7113">
      <w:pPr>
        <w:widowControl w:val="0"/>
        <w:numPr>
          <w:ilvl w:val="0"/>
          <w:numId w:val="2"/>
        </w:numPr>
        <w:jc w:val="both"/>
      </w:pPr>
      <w:r w:rsidRPr="00BD7731">
        <w:rPr>
          <w:b/>
          <w:bCs/>
        </w:rPr>
        <w:t>DSC analysis of crosslinked polymers</w:t>
      </w:r>
    </w:p>
    <w:p w14:paraId="325D5F37" w14:textId="77777777" w:rsidR="008F7113" w:rsidRPr="00BD7731" w:rsidRDefault="008F7113" w:rsidP="008F7113">
      <w:pPr>
        <w:widowControl w:val="0"/>
        <w:jc w:val="center"/>
      </w:pPr>
      <w:r w:rsidRPr="00BD7731">
        <w:rPr>
          <w:noProof/>
        </w:rPr>
        <w:drawing>
          <wp:inline distT="0" distB="0" distL="0" distR="0" wp14:anchorId="78115AAD" wp14:editId="4CD08D37">
            <wp:extent cx="5201552" cy="1826828"/>
            <wp:effectExtent l="0" t="0" r="0" b="2540"/>
            <wp:docPr id="56" name="図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201552" cy="1826828"/>
                    </a:xfrm>
                    <a:prstGeom prst="rect">
                      <a:avLst/>
                    </a:prstGeom>
                    <a:noFill/>
                    <a:ln>
                      <a:noFill/>
                    </a:ln>
                  </pic:spPr>
                </pic:pic>
              </a:graphicData>
            </a:graphic>
          </wp:inline>
        </w:drawing>
      </w:r>
    </w:p>
    <w:p w14:paraId="431A9700" w14:textId="00230734" w:rsidR="008F7113" w:rsidRPr="00BD7731" w:rsidRDefault="008F7113" w:rsidP="008F7113">
      <w:r w:rsidRPr="00BD7731">
        <w:rPr>
          <w:rFonts w:hint="eastAsia"/>
          <w:b/>
          <w:bCs/>
        </w:rPr>
        <w:t>F</w:t>
      </w:r>
      <w:r w:rsidRPr="00BD7731">
        <w:rPr>
          <w:b/>
          <w:bCs/>
        </w:rPr>
        <w:t>igure S</w:t>
      </w:r>
      <w:r w:rsidRPr="00BD7731">
        <w:rPr>
          <w:b/>
          <w:bCs/>
        </w:rPr>
        <w:fldChar w:fldCharType="begin"/>
      </w:r>
      <w:r w:rsidRPr="00BD7731">
        <w:rPr>
          <w:b/>
          <w:bCs/>
        </w:rPr>
        <w:instrText xml:space="preserve"> SEQ FigureSI \* MERGEFORMAT </w:instrText>
      </w:r>
      <w:r w:rsidRPr="00BD7731">
        <w:rPr>
          <w:b/>
          <w:bCs/>
        </w:rPr>
        <w:fldChar w:fldCharType="separate"/>
      </w:r>
      <w:r w:rsidR="00CF7DF3" w:rsidRPr="00BD7731">
        <w:rPr>
          <w:b/>
          <w:bCs/>
          <w:noProof/>
        </w:rPr>
        <w:t>10</w:t>
      </w:r>
      <w:r w:rsidRPr="00BD7731">
        <w:rPr>
          <w:b/>
          <w:bCs/>
        </w:rPr>
        <w:fldChar w:fldCharType="end"/>
      </w:r>
      <w:r w:rsidRPr="00BD7731">
        <w:t>. DSC analyses of synthesized crosslinked polymers. The observed DSC signals are corresponding to the glass transition of polystyrene.</w:t>
      </w:r>
    </w:p>
    <w:p w14:paraId="6E1FA28E" w14:textId="77777777" w:rsidR="008F7113" w:rsidRPr="00BD7731" w:rsidRDefault="008F7113" w:rsidP="008F7113">
      <w:pPr>
        <w:rPr>
          <w:b/>
          <w:bCs/>
        </w:rPr>
      </w:pPr>
    </w:p>
    <w:p w14:paraId="4EAC0D55" w14:textId="77777777" w:rsidR="008F7113" w:rsidRPr="00BD7731" w:rsidRDefault="008F7113" w:rsidP="008F7113">
      <w:r w:rsidRPr="00BD7731">
        <w:rPr>
          <w:rFonts w:hint="eastAsia"/>
          <w:b/>
          <w:bCs/>
        </w:rPr>
        <w:t>T</w:t>
      </w:r>
      <w:r w:rsidRPr="00BD7731">
        <w:rPr>
          <w:b/>
          <w:bCs/>
        </w:rPr>
        <w:t>able S2</w:t>
      </w:r>
      <w:r w:rsidRPr="00BD7731">
        <w:t>. Glass transition temperature of synthesized crosslinked polymers</w:t>
      </w:r>
    </w:p>
    <w:tbl>
      <w:tblPr>
        <w:tblStyle w:val="af2"/>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1276"/>
        <w:gridCol w:w="1275"/>
        <w:gridCol w:w="1560"/>
        <w:gridCol w:w="1417"/>
      </w:tblGrid>
      <w:tr w:rsidR="00BD7731" w:rsidRPr="00BD7731" w14:paraId="0BB4109F" w14:textId="77777777" w:rsidTr="002168A7">
        <w:trPr>
          <w:jc w:val="center"/>
        </w:trPr>
        <w:tc>
          <w:tcPr>
            <w:tcW w:w="1418" w:type="dxa"/>
            <w:tcBorders>
              <w:top w:val="single" w:sz="4" w:space="0" w:color="auto"/>
              <w:bottom w:val="single" w:sz="4" w:space="0" w:color="auto"/>
            </w:tcBorders>
          </w:tcPr>
          <w:p w14:paraId="39885783" w14:textId="77777777" w:rsidR="008F7113" w:rsidRPr="00BD7731" w:rsidRDefault="008F7113" w:rsidP="002168A7">
            <w:pPr>
              <w:jc w:val="center"/>
              <w:rPr>
                <w:sz w:val="22"/>
                <w:szCs w:val="22"/>
              </w:rPr>
            </w:pPr>
            <w:r w:rsidRPr="00BD7731">
              <w:rPr>
                <w:sz w:val="22"/>
                <w:szCs w:val="22"/>
              </w:rPr>
              <w:t>Crosslinked polymer</w:t>
            </w:r>
          </w:p>
        </w:tc>
        <w:tc>
          <w:tcPr>
            <w:tcW w:w="1276" w:type="dxa"/>
            <w:tcBorders>
              <w:top w:val="single" w:sz="4" w:space="0" w:color="auto"/>
              <w:bottom w:val="single" w:sz="4" w:space="0" w:color="auto"/>
            </w:tcBorders>
          </w:tcPr>
          <w:p w14:paraId="3E920A11" w14:textId="77777777" w:rsidR="008F7113" w:rsidRPr="00BD7731" w:rsidRDefault="008F7113" w:rsidP="002168A7">
            <w:pPr>
              <w:jc w:val="center"/>
              <w:rPr>
                <w:sz w:val="22"/>
                <w:szCs w:val="22"/>
              </w:rPr>
            </w:pPr>
            <w:r w:rsidRPr="00BD7731">
              <w:rPr>
                <w:rFonts w:hint="eastAsia"/>
                <w:sz w:val="22"/>
                <w:szCs w:val="22"/>
              </w:rPr>
              <w:t>T</w:t>
            </w:r>
            <w:r w:rsidRPr="00BD7731">
              <w:rPr>
                <w:sz w:val="22"/>
                <w:szCs w:val="22"/>
                <w:vertAlign w:val="subscript"/>
              </w:rPr>
              <w:t>g</w:t>
            </w:r>
            <w:r w:rsidRPr="00BD7731">
              <w:rPr>
                <w:sz w:val="22"/>
                <w:szCs w:val="22"/>
              </w:rPr>
              <w:t xml:space="preserve"> (°C)</w:t>
            </w:r>
          </w:p>
        </w:tc>
        <w:tc>
          <w:tcPr>
            <w:tcW w:w="1275" w:type="dxa"/>
            <w:tcBorders>
              <w:top w:val="single" w:sz="4" w:space="0" w:color="auto"/>
              <w:bottom w:val="single" w:sz="4" w:space="0" w:color="auto"/>
            </w:tcBorders>
          </w:tcPr>
          <w:p w14:paraId="039900FA" w14:textId="77777777" w:rsidR="008F7113" w:rsidRPr="00BD7731" w:rsidRDefault="008F7113" w:rsidP="002168A7">
            <w:pPr>
              <w:jc w:val="center"/>
              <w:rPr>
                <w:sz w:val="22"/>
                <w:szCs w:val="22"/>
              </w:rPr>
            </w:pPr>
          </w:p>
        </w:tc>
        <w:tc>
          <w:tcPr>
            <w:tcW w:w="1560" w:type="dxa"/>
            <w:tcBorders>
              <w:top w:val="single" w:sz="4" w:space="0" w:color="auto"/>
              <w:bottom w:val="single" w:sz="4" w:space="0" w:color="auto"/>
            </w:tcBorders>
          </w:tcPr>
          <w:p w14:paraId="1FC71F49" w14:textId="77777777" w:rsidR="008F7113" w:rsidRPr="00BD7731" w:rsidRDefault="008F7113" w:rsidP="002168A7">
            <w:pPr>
              <w:jc w:val="center"/>
              <w:rPr>
                <w:sz w:val="22"/>
                <w:szCs w:val="22"/>
              </w:rPr>
            </w:pPr>
            <w:r w:rsidRPr="00BD7731">
              <w:rPr>
                <w:sz w:val="22"/>
                <w:szCs w:val="22"/>
              </w:rPr>
              <w:t>Crosslinked polymer</w:t>
            </w:r>
          </w:p>
        </w:tc>
        <w:tc>
          <w:tcPr>
            <w:tcW w:w="1417" w:type="dxa"/>
            <w:tcBorders>
              <w:top w:val="single" w:sz="4" w:space="0" w:color="auto"/>
              <w:bottom w:val="single" w:sz="4" w:space="0" w:color="auto"/>
            </w:tcBorders>
          </w:tcPr>
          <w:p w14:paraId="3507EA4B" w14:textId="77777777" w:rsidR="008F7113" w:rsidRPr="00BD7731" w:rsidRDefault="008F7113" w:rsidP="002168A7">
            <w:pPr>
              <w:jc w:val="center"/>
              <w:rPr>
                <w:sz w:val="22"/>
                <w:szCs w:val="22"/>
              </w:rPr>
            </w:pPr>
            <w:r w:rsidRPr="00BD7731">
              <w:rPr>
                <w:rFonts w:hint="eastAsia"/>
                <w:sz w:val="22"/>
                <w:szCs w:val="22"/>
              </w:rPr>
              <w:t>T</w:t>
            </w:r>
            <w:r w:rsidRPr="00BD7731">
              <w:rPr>
                <w:sz w:val="22"/>
                <w:szCs w:val="22"/>
                <w:vertAlign w:val="subscript"/>
              </w:rPr>
              <w:t>g</w:t>
            </w:r>
            <w:r w:rsidRPr="00BD7731">
              <w:rPr>
                <w:sz w:val="22"/>
                <w:szCs w:val="22"/>
              </w:rPr>
              <w:t xml:space="preserve"> (°C)</w:t>
            </w:r>
          </w:p>
        </w:tc>
      </w:tr>
      <w:tr w:rsidR="00BD7731" w:rsidRPr="00BD7731" w14:paraId="4F56F3FB" w14:textId="77777777" w:rsidTr="002168A7">
        <w:trPr>
          <w:jc w:val="center"/>
        </w:trPr>
        <w:tc>
          <w:tcPr>
            <w:tcW w:w="1418" w:type="dxa"/>
            <w:tcBorders>
              <w:top w:val="single" w:sz="4" w:space="0" w:color="auto"/>
            </w:tcBorders>
          </w:tcPr>
          <w:p w14:paraId="15EE6148" w14:textId="77777777" w:rsidR="008F7113" w:rsidRPr="00BD7731" w:rsidRDefault="008F7113" w:rsidP="002168A7">
            <w:pPr>
              <w:jc w:val="center"/>
              <w:rPr>
                <w:sz w:val="22"/>
                <w:szCs w:val="22"/>
              </w:rPr>
            </w:pPr>
            <w:r w:rsidRPr="00BD7731">
              <w:rPr>
                <w:rFonts w:hint="eastAsia"/>
                <w:b/>
                <w:bCs/>
                <w:sz w:val="22"/>
                <w:szCs w:val="22"/>
              </w:rPr>
              <w:t>R</w:t>
            </w:r>
            <w:r w:rsidRPr="00BD7731">
              <w:rPr>
                <w:b/>
                <w:bCs/>
                <w:sz w:val="22"/>
                <w:szCs w:val="22"/>
              </w:rPr>
              <w:t>N</w:t>
            </w:r>
            <w:r w:rsidRPr="00BD7731">
              <w:rPr>
                <w:sz w:val="22"/>
                <w:szCs w:val="22"/>
                <w:vertAlign w:val="subscript"/>
              </w:rPr>
              <w:t>3200</w:t>
            </w:r>
          </w:p>
        </w:tc>
        <w:tc>
          <w:tcPr>
            <w:tcW w:w="1276" w:type="dxa"/>
            <w:tcBorders>
              <w:top w:val="single" w:sz="4" w:space="0" w:color="auto"/>
            </w:tcBorders>
          </w:tcPr>
          <w:p w14:paraId="7516BF80" w14:textId="77777777" w:rsidR="008F7113" w:rsidRPr="00BD7731" w:rsidRDefault="008F7113" w:rsidP="002168A7">
            <w:pPr>
              <w:jc w:val="center"/>
              <w:rPr>
                <w:sz w:val="22"/>
                <w:szCs w:val="22"/>
              </w:rPr>
            </w:pPr>
            <w:r w:rsidRPr="00BD7731">
              <w:rPr>
                <w:rFonts w:hint="eastAsia"/>
                <w:sz w:val="22"/>
                <w:szCs w:val="22"/>
              </w:rPr>
              <w:t>9</w:t>
            </w:r>
            <w:r w:rsidRPr="00BD7731">
              <w:rPr>
                <w:sz w:val="22"/>
                <w:szCs w:val="22"/>
              </w:rPr>
              <w:t>8</w:t>
            </w:r>
          </w:p>
        </w:tc>
        <w:tc>
          <w:tcPr>
            <w:tcW w:w="1275" w:type="dxa"/>
            <w:tcBorders>
              <w:top w:val="single" w:sz="4" w:space="0" w:color="auto"/>
            </w:tcBorders>
          </w:tcPr>
          <w:p w14:paraId="04BD821F" w14:textId="77777777" w:rsidR="008F7113" w:rsidRPr="00BD7731" w:rsidRDefault="008F7113" w:rsidP="002168A7">
            <w:pPr>
              <w:jc w:val="center"/>
              <w:rPr>
                <w:sz w:val="22"/>
                <w:szCs w:val="22"/>
              </w:rPr>
            </w:pPr>
          </w:p>
        </w:tc>
        <w:tc>
          <w:tcPr>
            <w:tcW w:w="1560" w:type="dxa"/>
            <w:tcBorders>
              <w:top w:val="single" w:sz="4" w:space="0" w:color="auto"/>
            </w:tcBorders>
          </w:tcPr>
          <w:p w14:paraId="75359309" w14:textId="77777777" w:rsidR="008F7113" w:rsidRPr="00BD7731" w:rsidRDefault="008F7113" w:rsidP="002168A7">
            <w:pPr>
              <w:jc w:val="center"/>
              <w:rPr>
                <w:sz w:val="22"/>
                <w:szCs w:val="22"/>
              </w:rPr>
            </w:pPr>
            <w:r w:rsidRPr="00BD7731">
              <w:rPr>
                <w:rFonts w:hint="eastAsia"/>
                <w:b/>
                <w:bCs/>
                <w:sz w:val="22"/>
                <w:szCs w:val="22"/>
              </w:rPr>
              <w:t>T</w:t>
            </w:r>
            <w:r w:rsidRPr="00BD7731">
              <w:rPr>
                <w:b/>
                <w:bCs/>
                <w:sz w:val="22"/>
                <w:szCs w:val="22"/>
              </w:rPr>
              <w:t>N</w:t>
            </w:r>
            <w:r w:rsidRPr="00BD7731">
              <w:rPr>
                <w:sz w:val="22"/>
                <w:szCs w:val="22"/>
                <w:vertAlign w:val="subscript"/>
              </w:rPr>
              <w:t>3500</w:t>
            </w:r>
          </w:p>
        </w:tc>
        <w:tc>
          <w:tcPr>
            <w:tcW w:w="1417" w:type="dxa"/>
            <w:tcBorders>
              <w:top w:val="single" w:sz="4" w:space="0" w:color="auto"/>
            </w:tcBorders>
          </w:tcPr>
          <w:p w14:paraId="2356ADD1" w14:textId="77777777" w:rsidR="008F7113" w:rsidRPr="00BD7731" w:rsidRDefault="008F7113" w:rsidP="002168A7">
            <w:pPr>
              <w:jc w:val="center"/>
              <w:rPr>
                <w:sz w:val="22"/>
                <w:szCs w:val="22"/>
              </w:rPr>
            </w:pPr>
            <w:r w:rsidRPr="00BD7731">
              <w:rPr>
                <w:rFonts w:hint="eastAsia"/>
                <w:sz w:val="22"/>
                <w:szCs w:val="22"/>
              </w:rPr>
              <w:t>1</w:t>
            </w:r>
            <w:r w:rsidRPr="00BD7731">
              <w:rPr>
                <w:sz w:val="22"/>
                <w:szCs w:val="22"/>
              </w:rPr>
              <w:t>00</w:t>
            </w:r>
          </w:p>
        </w:tc>
      </w:tr>
      <w:tr w:rsidR="00BD7731" w:rsidRPr="00BD7731" w14:paraId="16DD9CF1" w14:textId="77777777" w:rsidTr="002168A7">
        <w:trPr>
          <w:jc w:val="center"/>
        </w:trPr>
        <w:tc>
          <w:tcPr>
            <w:tcW w:w="1418" w:type="dxa"/>
          </w:tcPr>
          <w:p w14:paraId="55DAC1D8" w14:textId="77777777" w:rsidR="008F7113" w:rsidRPr="00BD7731" w:rsidRDefault="008F7113" w:rsidP="002168A7">
            <w:pPr>
              <w:jc w:val="center"/>
              <w:rPr>
                <w:sz w:val="22"/>
                <w:szCs w:val="22"/>
              </w:rPr>
            </w:pPr>
            <w:r w:rsidRPr="00BD7731">
              <w:rPr>
                <w:rFonts w:hint="eastAsia"/>
                <w:b/>
                <w:bCs/>
                <w:sz w:val="22"/>
                <w:szCs w:val="22"/>
              </w:rPr>
              <w:t>R</w:t>
            </w:r>
            <w:r w:rsidRPr="00BD7731">
              <w:rPr>
                <w:b/>
                <w:bCs/>
                <w:sz w:val="22"/>
                <w:szCs w:val="22"/>
              </w:rPr>
              <w:t>N</w:t>
            </w:r>
            <w:r w:rsidRPr="00BD7731">
              <w:rPr>
                <w:sz w:val="22"/>
                <w:szCs w:val="22"/>
                <w:vertAlign w:val="subscript"/>
              </w:rPr>
              <w:t>6000</w:t>
            </w:r>
          </w:p>
        </w:tc>
        <w:tc>
          <w:tcPr>
            <w:tcW w:w="1276" w:type="dxa"/>
          </w:tcPr>
          <w:p w14:paraId="444B5742" w14:textId="77777777" w:rsidR="008F7113" w:rsidRPr="00BD7731" w:rsidRDefault="008F7113" w:rsidP="002168A7">
            <w:pPr>
              <w:jc w:val="center"/>
              <w:rPr>
                <w:sz w:val="22"/>
                <w:szCs w:val="22"/>
              </w:rPr>
            </w:pPr>
            <w:r w:rsidRPr="00BD7731">
              <w:rPr>
                <w:rFonts w:hint="eastAsia"/>
                <w:sz w:val="22"/>
                <w:szCs w:val="22"/>
              </w:rPr>
              <w:t>1</w:t>
            </w:r>
            <w:r w:rsidRPr="00BD7731">
              <w:rPr>
                <w:sz w:val="22"/>
                <w:szCs w:val="22"/>
              </w:rPr>
              <w:t>01</w:t>
            </w:r>
          </w:p>
        </w:tc>
        <w:tc>
          <w:tcPr>
            <w:tcW w:w="1275" w:type="dxa"/>
          </w:tcPr>
          <w:p w14:paraId="195F4603" w14:textId="77777777" w:rsidR="008F7113" w:rsidRPr="00BD7731" w:rsidRDefault="008F7113" w:rsidP="002168A7">
            <w:pPr>
              <w:jc w:val="center"/>
              <w:rPr>
                <w:sz w:val="22"/>
                <w:szCs w:val="22"/>
              </w:rPr>
            </w:pPr>
          </w:p>
        </w:tc>
        <w:tc>
          <w:tcPr>
            <w:tcW w:w="1560" w:type="dxa"/>
          </w:tcPr>
          <w:p w14:paraId="770D9C0E" w14:textId="77777777" w:rsidR="008F7113" w:rsidRPr="00BD7731" w:rsidRDefault="008F7113" w:rsidP="002168A7">
            <w:pPr>
              <w:jc w:val="center"/>
              <w:rPr>
                <w:sz w:val="22"/>
                <w:szCs w:val="22"/>
              </w:rPr>
            </w:pPr>
            <w:r w:rsidRPr="00BD7731">
              <w:rPr>
                <w:rFonts w:hint="eastAsia"/>
                <w:b/>
                <w:bCs/>
                <w:sz w:val="22"/>
                <w:szCs w:val="22"/>
              </w:rPr>
              <w:t>T</w:t>
            </w:r>
            <w:r w:rsidRPr="00BD7731">
              <w:rPr>
                <w:b/>
                <w:bCs/>
                <w:sz w:val="22"/>
                <w:szCs w:val="22"/>
              </w:rPr>
              <w:t>N</w:t>
            </w:r>
            <w:r w:rsidRPr="00BD7731">
              <w:rPr>
                <w:sz w:val="22"/>
                <w:szCs w:val="22"/>
                <w:vertAlign w:val="subscript"/>
              </w:rPr>
              <w:t>5300</w:t>
            </w:r>
          </w:p>
        </w:tc>
        <w:tc>
          <w:tcPr>
            <w:tcW w:w="1417" w:type="dxa"/>
          </w:tcPr>
          <w:p w14:paraId="6028C36A" w14:textId="77777777" w:rsidR="008F7113" w:rsidRPr="00BD7731" w:rsidRDefault="008F7113" w:rsidP="002168A7">
            <w:pPr>
              <w:jc w:val="center"/>
              <w:rPr>
                <w:sz w:val="22"/>
                <w:szCs w:val="22"/>
              </w:rPr>
            </w:pPr>
            <w:r w:rsidRPr="00BD7731">
              <w:rPr>
                <w:rFonts w:hint="eastAsia"/>
                <w:sz w:val="22"/>
                <w:szCs w:val="22"/>
              </w:rPr>
              <w:t>1</w:t>
            </w:r>
            <w:r w:rsidRPr="00BD7731">
              <w:rPr>
                <w:sz w:val="22"/>
                <w:szCs w:val="22"/>
              </w:rPr>
              <w:t>03</w:t>
            </w:r>
          </w:p>
        </w:tc>
      </w:tr>
      <w:tr w:rsidR="00BD7731" w:rsidRPr="00BD7731" w14:paraId="72CBCFB4" w14:textId="77777777" w:rsidTr="002168A7">
        <w:trPr>
          <w:jc w:val="center"/>
        </w:trPr>
        <w:tc>
          <w:tcPr>
            <w:tcW w:w="1418" w:type="dxa"/>
            <w:tcBorders>
              <w:bottom w:val="single" w:sz="4" w:space="0" w:color="auto"/>
            </w:tcBorders>
          </w:tcPr>
          <w:p w14:paraId="4EDA7E73" w14:textId="77777777" w:rsidR="008F7113" w:rsidRPr="00BD7731" w:rsidRDefault="008F7113" w:rsidP="002168A7">
            <w:pPr>
              <w:jc w:val="center"/>
              <w:rPr>
                <w:sz w:val="22"/>
                <w:szCs w:val="22"/>
              </w:rPr>
            </w:pPr>
            <w:r w:rsidRPr="00BD7731">
              <w:rPr>
                <w:rFonts w:hint="eastAsia"/>
                <w:b/>
                <w:bCs/>
                <w:sz w:val="22"/>
                <w:szCs w:val="22"/>
              </w:rPr>
              <w:t>R</w:t>
            </w:r>
            <w:r w:rsidRPr="00BD7731">
              <w:rPr>
                <w:b/>
                <w:bCs/>
                <w:sz w:val="22"/>
                <w:szCs w:val="22"/>
              </w:rPr>
              <w:t>N</w:t>
            </w:r>
            <w:r w:rsidRPr="00BD7731">
              <w:rPr>
                <w:sz w:val="22"/>
                <w:szCs w:val="22"/>
                <w:vertAlign w:val="subscript"/>
              </w:rPr>
              <w:t>8500</w:t>
            </w:r>
          </w:p>
        </w:tc>
        <w:tc>
          <w:tcPr>
            <w:tcW w:w="1276" w:type="dxa"/>
            <w:tcBorders>
              <w:bottom w:val="single" w:sz="4" w:space="0" w:color="auto"/>
            </w:tcBorders>
          </w:tcPr>
          <w:p w14:paraId="2F31E4C2" w14:textId="77777777" w:rsidR="008F7113" w:rsidRPr="00BD7731" w:rsidRDefault="008F7113" w:rsidP="002168A7">
            <w:pPr>
              <w:jc w:val="center"/>
              <w:rPr>
                <w:sz w:val="22"/>
                <w:szCs w:val="22"/>
              </w:rPr>
            </w:pPr>
            <w:r w:rsidRPr="00BD7731">
              <w:rPr>
                <w:rFonts w:hint="eastAsia"/>
                <w:sz w:val="22"/>
                <w:szCs w:val="22"/>
              </w:rPr>
              <w:t>9</w:t>
            </w:r>
            <w:r w:rsidRPr="00BD7731">
              <w:rPr>
                <w:sz w:val="22"/>
                <w:szCs w:val="22"/>
              </w:rPr>
              <w:t>9</w:t>
            </w:r>
          </w:p>
        </w:tc>
        <w:tc>
          <w:tcPr>
            <w:tcW w:w="1275" w:type="dxa"/>
            <w:tcBorders>
              <w:bottom w:val="single" w:sz="4" w:space="0" w:color="auto"/>
            </w:tcBorders>
          </w:tcPr>
          <w:p w14:paraId="2821BE4B" w14:textId="77777777" w:rsidR="008F7113" w:rsidRPr="00BD7731" w:rsidRDefault="008F7113" w:rsidP="002168A7">
            <w:pPr>
              <w:jc w:val="center"/>
              <w:rPr>
                <w:sz w:val="22"/>
                <w:szCs w:val="22"/>
              </w:rPr>
            </w:pPr>
          </w:p>
        </w:tc>
        <w:tc>
          <w:tcPr>
            <w:tcW w:w="1560" w:type="dxa"/>
            <w:tcBorders>
              <w:bottom w:val="single" w:sz="4" w:space="0" w:color="auto"/>
            </w:tcBorders>
          </w:tcPr>
          <w:p w14:paraId="318E1897" w14:textId="77777777" w:rsidR="008F7113" w:rsidRPr="00BD7731" w:rsidRDefault="008F7113" w:rsidP="002168A7">
            <w:pPr>
              <w:jc w:val="center"/>
              <w:rPr>
                <w:sz w:val="22"/>
                <w:szCs w:val="22"/>
              </w:rPr>
            </w:pPr>
            <w:r w:rsidRPr="00BD7731">
              <w:rPr>
                <w:rFonts w:hint="eastAsia"/>
                <w:b/>
                <w:bCs/>
                <w:sz w:val="22"/>
                <w:szCs w:val="22"/>
              </w:rPr>
              <w:t>T</w:t>
            </w:r>
            <w:r w:rsidRPr="00BD7731">
              <w:rPr>
                <w:b/>
                <w:bCs/>
                <w:sz w:val="22"/>
                <w:szCs w:val="22"/>
              </w:rPr>
              <w:t>N</w:t>
            </w:r>
            <w:r w:rsidRPr="00BD7731">
              <w:rPr>
                <w:sz w:val="22"/>
                <w:szCs w:val="22"/>
                <w:vertAlign w:val="subscript"/>
              </w:rPr>
              <w:t>8600</w:t>
            </w:r>
          </w:p>
        </w:tc>
        <w:tc>
          <w:tcPr>
            <w:tcW w:w="1417" w:type="dxa"/>
            <w:tcBorders>
              <w:bottom w:val="single" w:sz="4" w:space="0" w:color="auto"/>
            </w:tcBorders>
          </w:tcPr>
          <w:p w14:paraId="33522E6D" w14:textId="77777777" w:rsidR="008F7113" w:rsidRPr="00BD7731" w:rsidRDefault="008F7113" w:rsidP="002168A7">
            <w:pPr>
              <w:jc w:val="center"/>
              <w:rPr>
                <w:sz w:val="22"/>
                <w:szCs w:val="22"/>
              </w:rPr>
            </w:pPr>
            <w:r w:rsidRPr="00BD7731">
              <w:rPr>
                <w:rFonts w:hint="eastAsia"/>
                <w:sz w:val="22"/>
                <w:szCs w:val="22"/>
              </w:rPr>
              <w:t>1</w:t>
            </w:r>
            <w:r w:rsidRPr="00BD7731">
              <w:rPr>
                <w:sz w:val="22"/>
                <w:szCs w:val="22"/>
              </w:rPr>
              <w:t>02</w:t>
            </w:r>
          </w:p>
        </w:tc>
      </w:tr>
    </w:tbl>
    <w:p w14:paraId="0FEC30DE" w14:textId="77777777" w:rsidR="008F7113" w:rsidRPr="00BD7731" w:rsidRDefault="008F7113" w:rsidP="008F7113">
      <w:pPr>
        <w:rPr>
          <w:b/>
          <w:bCs/>
        </w:rPr>
      </w:pPr>
      <w:r w:rsidRPr="00BD7731">
        <w:rPr>
          <w:b/>
          <w:bCs/>
        </w:rPr>
        <w:br w:type="page"/>
      </w:r>
    </w:p>
    <w:p w14:paraId="731B6D84" w14:textId="77777777" w:rsidR="008F7113" w:rsidRPr="00BD7731" w:rsidRDefault="008F7113" w:rsidP="008F7113">
      <w:pPr>
        <w:widowControl w:val="0"/>
        <w:numPr>
          <w:ilvl w:val="0"/>
          <w:numId w:val="2"/>
        </w:numPr>
        <w:jc w:val="both"/>
        <w:rPr>
          <w:b/>
          <w:bCs/>
        </w:rPr>
      </w:pPr>
      <w:r w:rsidRPr="00BD7731">
        <w:rPr>
          <w:b/>
          <w:bCs/>
        </w:rPr>
        <w:t>Rheological measurements</w:t>
      </w:r>
    </w:p>
    <w:p w14:paraId="7E455BFB" w14:textId="77777777" w:rsidR="008F7113" w:rsidRPr="00BD7731" w:rsidRDefault="008F7113" w:rsidP="008F7113"/>
    <w:p w14:paraId="45E6B647" w14:textId="11780A6E" w:rsidR="008F7113" w:rsidRPr="00BD7731" w:rsidRDefault="008F7113" w:rsidP="008F7113">
      <w:pPr>
        <w:jc w:val="both"/>
      </w:pPr>
      <w:r w:rsidRPr="00BD7731">
        <w:t xml:space="preserve">The temperature sweep measurements were performed in the linear viscoelastic range with dynamic oscillatory mode with a frequency of 1 Hz and a temperature rate of 3 °C/min. The stress relaxation measurements were carried out with 3% strain and the evolution of stress was monitored. </w:t>
      </w:r>
      <w:bookmarkStart w:id="9" w:name="_Hlk82298325"/>
      <w:r w:rsidRPr="00BD7731">
        <w:t xml:space="preserve">The relaxation modulus </w:t>
      </w:r>
      <w:r w:rsidRPr="00BD7731">
        <w:rPr>
          <w:i/>
          <w:iCs/>
        </w:rPr>
        <w:t>G</w:t>
      </w:r>
      <w:r w:rsidRPr="00BD7731">
        <w:t xml:space="preserve">(t) was normalized by the initial relaxation modulus </w:t>
      </w:r>
      <w:r w:rsidRPr="00BD7731">
        <w:rPr>
          <w:i/>
          <w:iCs/>
        </w:rPr>
        <w:t>G</w:t>
      </w:r>
      <w:r w:rsidRPr="00BD7731">
        <w:rPr>
          <w:vertAlign w:val="subscript"/>
        </w:rPr>
        <w:t>0</w:t>
      </w:r>
      <w:r w:rsidRPr="00BD7731">
        <w:t xml:space="preserve"> which is at 1 sec after the application of the strain for </w:t>
      </w:r>
      <w:r w:rsidRPr="00BD7731">
        <w:rPr>
          <w:b/>
          <w:bCs/>
        </w:rPr>
        <w:t>RN</w:t>
      </w:r>
      <w:r w:rsidRPr="00BD7731">
        <w:t xml:space="preserve">. In the </w:t>
      </w:r>
      <w:proofErr w:type="spellStart"/>
      <w:r w:rsidRPr="00BD7731">
        <w:t>meareument</w:t>
      </w:r>
      <w:proofErr w:type="spellEnd"/>
      <w:r w:rsidRPr="00BD7731">
        <w:t xml:space="preserve"> of </w:t>
      </w:r>
      <w:r w:rsidRPr="00BD7731">
        <w:rPr>
          <w:b/>
          <w:bCs/>
        </w:rPr>
        <w:t>TN</w:t>
      </w:r>
      <w:r w:rsidRPr="00BD7731">
        <w:t>, because the decay started just after the imposition of the strain (which needs ~0.1 sec</w:t>
      </w:r>
      <w:proofErr w:type="gramStart"/>
      <w:r w:rsidRPr="00BD7731">
        <w:t xml:space="preserve">), </w:t>
      </w:r>
      <w:r w:rsidRPr="00BD7731">
        <w:rPr>
          <w:szCs w:val="21"/>
        </w:rPr>
        <w:t xml:space="preserve"> the</w:t>
      </w:r>
      <w:proofErr w:type="gramEnd"/>
      <w:r w:rsidRPr="00BD7731">
        <w:rPr>
          <w:szCs w:val="21"/>
        </w:rPr>
        <w:t xml:space="preserve"> initial modulus was taken at the time of t ~ 0.1 sec</w:t>
      </w:r>
      <w:r w:rsidRPr="00BD7731">
        <w:t>.</w:t>
      </w:r>
      <w:r w:rsidRPr="00BD7731">
        <w:rPr>
          <w:szCs w:val="21"/>
        </w:rPr>
        <w:t xml:space="preserve"> </w:t>
      </w:r>
      <w:bookmarkStart w:id="10" w:name="_Hlk92381750"/>
      <w:bookmarkEnd w:id="9"/>
      <w:r w:rsidRPr="00BD7731">
        <w:rPr>
          <w:szCs w:val="21"/>
        </w:rPr>
        <w:t>For measurements of RN, the modulus at 1 sec was determined after a noise reduction treatment to diminish the noise in the early time region. For measurements of TN, the modulus at ~0.1 sec (0.107 or 0.109 sec, depending on the machine recording timing) was determined based on the power-law fitting of the relaxation decay curve.</w:t>
      </w:r>
      <w:bookmarkEnd w:id="10"/>
      <w:r w:rsidRPr="00BD7731">
        <w:rPr>
          <w:szCs w:val="21"/>
        </w:rPr>
        <w:t xml:space="preserve"> </w:t>
      </w:r>
      <w:r w:rsidRPr="00BD7731">
        <w:t xml:space="preserve">The </w:t>
      </w:r>
      <w:r w:rsidRPr="00BD7731">
        <w:rPr>
          <w:i/>
          <w:iCs/>
        </w:rPr>
        <w:t>G</w:t>
      </w:r>
      <w:r w:rsidRPr="00BD7731">
        <w:t xml:space="preserve">(t) values in 0.1-1 sec range for </w:t>
      </w:r>
      <w:r w:rsidRPr="00BD7731">
        <w:rPr>
          <w:b/>
          <w:bCs/>
        </w:rPr>
        <w:t>RN</w:t>
      </w:r>
      <w:r w:rsidRPr="00BD7731">
        <w:t xml:space="preserve"> were identical. The relaxation times constant (τ) were obtained at the time </w:t>
      </w:r>
      <w:r w:rsidRPr="00BD7731">
        <w:rPr>
          <w:i/>
          <w:iCs/>
        </w:rPr>
        <w:t>G</w:t>
      </w:r>
      <w:r w:rsidRPr="00BD7731">
        <w:t xml:space="preserve">(τ) = </w:t>
      </w:r>
      <w:r w:rsidRPr="00BD7731">
        <w:rPr>
          <w:i/>
          <w:iCs/>
        </w:rPr>
        <w:t>G</w:t>
      </w:r>
      <w:r w:rsidRPr="00BD7731">
        <w:rPr>
          <w:vertAlign w:val="subscript"/>
        </w:rPr>
        <w:t>0</w:t>
      </w:r>
      <w:r w:rsidRPr="00BD7731">
        <w:t>/</w:t>
      </w:r>
      <w:r w:rsidRPr="00BD7731">
        <w:rPr>
          <w:i/>
          <w:iCs/>
        </w:rPr>
        <w:t xml:space="preserve">e </w:t>
      </w:r>
      <w:r w:rsidRPr="00BD7731">
        <w:t xml:space="preserve">following the equation </w:t>
      </w:r>
      <w:r w:rsidRPr="00BD7731">
        <w:rPr>
          <w:i/>
          <w:iCs/>
        </w:rPr>
        <w:t>G</w:t>
      </w:r>
      <w:r w:rsidRPr="00BD7731">
        <w:t xml:space="preserve">(t) = </w:t>
      </w:r>
      <w:r w:rsidRPr="00BD7731">
        <w:rPr>
          <w:i/>
          <w:iCs/>
        </w:rPr>
        <w:t>G</w:t>
      </w:r>
      <w:r w:rsidRPr="00BD7731">
        <w:rPr>
          <w:vertAlign w:val="subscript"/>
        </w:rPr>
        <w:t xml:space="preserve">0 </w:t>
      </w:r>
      <w:r w:rsidRPr="00BD7731">
        <w:t xml:space="preserve">exp(-t/τ). For the estimation of τ for TN, exponential fitting was used. For the measurements in which the relaxation was slow, the τ was estimated using a fitting curve based on Kohlrausch-Williams-Watt equation. </w:t>
      </w:r>
    </w:p>
    <w:p w14:paraId="3EEB92A4" w14:textId="77777777" w:rsidR="008F7113" w:rsidRPr="00BD7731" w:rsidRDefault="008F7113" w:rsidP="008F7113">
      <w:pPr>
        <w:jc w:val="center"/>
      </w:pPr>
      <w:r w:rsidRPr="00BD7731">
        <w:rPr>
          <w:noProof/>
        </w:rPr>
        <w:drawing>
          <wp:inline distT="0" distB="0" distL="0" distR="0" wp14:anchorId="77C6663F" wp14:editId="114D74FA">
            <wp:extent cx="4287813" cy="2501618"/>
            <wp:effectExtent l="0" t="0" r="0" b="0"/>
            <wp:docPr id="15" name="図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4287813" cy="2501618"/>
                    </a:xfrm>
                    <a:prstGeom prst="rect">
                      <a:avLst/>
                    </a:prstGeom>
                    <a:noFill/>
                    <a:ln>
                      <a:noFill/>
                    </a:ln>
                  </pic:spPr>
                </pic:pic>
              </a:graphicData>
            </a:graphic>
          </wp:inline>
        </w:drawing>
      </w:r>
    </w:p>
    <w:p w14:paraId="6E65770A" w14:textId="2D76269E" w:rsidR="008F7113" w:rsidRPr="00BD7731" w:rsidRDefault="008F7113" w:rsidP="008F7113">
      <w:pPr>
        <w:rPr>
          <w:lang w:val="en-GB"/>
        </w:rPr>
      </w:pPr>
      <w:r w:rsidRPr="00BD7731">
        <w:rPr>
          <w:rFonts w:hint="eastAsia"/>
          <w:b/>
          <w:bCs/>
        </w:rPr>
        <w:t>F</w:t>
      </w:r>
      <w:r w:rsidRPr="00BD7731">
        <w:rPr>
          <w:b/>
          <w:bCs/>
        </w:rPr>
        <w:t>igure S</w:t>
      </w:r>
      <w:r w:rsidRPr="00BD7731">
        <w:rPr>
          <w:b/>
          <w:bCs/>
        </w:rPr>
        <w:fldChar w:fldCharType="begin"/>
      </w:r>
      <w:r w:rsidRPr="00BD7731">
        <w:rPr>
          <w:b/>
          <w:bCs/>
        </w:rPr>
        <w:instrText xml:space="preserve"> SEQ FigureSI \* MERGEFORMAT </w:instrText>
      </w:r>
      <w:r w:rsidRPr="00BD7731">
        <w:rPr>
          <w:b/>
          <w:bCs/>
        </w:rPr>
        <w:fldChar w:fldCharType="separate"/>
      </w:r>
      <w:r w:rsidR="00CF7DF3" w:rsidRPr="00BD7731">
        <w:rPr>
          <w:b/>
          <w:bCs/>
          <w:noProof/>
        </w:rPr>
        <w:t>11</w:t>
      </w:r>
      <w:r w:rsidRPr="00BD7731">
        <w:rPr>
          <w:b/>
          <w:bCs/>
        </w:rPr>
        <w:fldChar w:fldCharType="end"/>
      </w:r>
      <w:r w:rsidRPr="00BD7731">
        <w:t xml:space="preserve">. </w:t>
      </w:r>
      <w:r w:rsidRPr="00BD7731">
        <w:rPr>
          <w:lang w:val="en-GB"/>
        </w:rPr>
        <w:t xml:space="preserve">Rheological analysis of crosslinked polymer networks </w:t>
      </w:r>
      <w:r w:rsidRPr="00BD7731">
        <w:rPr>
          <w:b/>
          <w:lang w:val="en-GB"/>
        </w:rPr>
        <w:t xml:space="preserve">RN </w:t>
      </w:r>
      <w:r w:rsidRPr="00BD7731">
        <w:rPr>
          <w:lang w:val="en-GB"/>
        </w:rPr>
        <w:t>with temperature-sweep up to 230 °C.</w:t>
      </w:r>
    </w:p>
    <w:p w14:paraId="4594B631" w14:textId="77777777" w:rsidR="008F7113" w:rsidRPr="00BD7731" w:rsidRDefault="008F7113" w:rsidP="008F7113">
      <w:pPr>
        <w:rPr>
          <w:lang w:val="en-GB"/>
        </w:rPr>
      </w:pPr>
    </w:p>
    <w:p w14:paraId="751E3D81" w14:textId="77777777" w:rsidR="008F7113" w:rsidRPr="00BD7731" w:rsidRDefault="008F7113" w:rsidP="008F7113">
      <w:pPr>
        <w:rPr>
          <w:lang w:val="en-GB"/>
        </w:rPr>
      </w:pPr>
    </w:p>
    <w:p w14:paraId="242A778D" w14:textId="4534CD9E" w:rsidR="008F7113" w:rsidRPr="00BD7731" w:rsidRDefault="008F7113" w:rsidP="008F7113">
      <w:pPr>
        <w:rPr>
          <w:lang w:val="en-GB"/>
        </w:rPr>
      </w:pPr>
      <w:r w:rsidRPr="00BD7731">
        <w:rPr>
          <w:b/>
          <w:bCs/>
          <w:lang w:val="en-GB"/>
        </w:rPr>
        <w:t>Table S3</w:t>
      </w:r>
      <w:r w:rsidRPr="00BD7731">
        <w:rPr>
          <w:lang w:val="en-GB"/>
        </w:rPr>
        <w:t>. Parameters for KWW fitting</w:t>
      </w:r>
    </w:p>
    <w:p w14:paraId="0C390F1A" w14:textId="77777777" w:rsidR="008F7113" w:rsidRPr="00BD7731" w:rsidRDefault="008F7113" w:rsidP="008F7113">
      <w:pPr>
        <w:jc w:val="center"/>
      </w:pPr>
      <m:oMathPara>
        <m:oMath>
          <m:r>
            <w:rPr>
              <w:rFonts w:ascii="Cambria Math" w:hAnsi="Cambria Math"/>
            </w:rPr>
            <m:t>G</m:t>
          </m:r>
          <m:d>
            <m:dPr>
              <m:ctrlPr>
                <w:rPr>
                  <w:rFonts w:ascii="Cambria Math" w:hAnsi="Cambria Math"/>
                  <w:i/>
                </w:rPr>
              </m:ctrlPr>
            </m:dPr>
            <m:e>
              <m:r>
                <w:rPr>
                  <w:rFonts w:ascii="Cambria Math" w:hAnsi="Cambria Math"/>
                </w:rPr>
                <m:t>t</m:t>
              </m:r>
            </m:e>
          </m:d>
          <m:r>
            <w:rPr>
              <w:rFonts w:ascii="Cambria Math" w:hAnsi="Cambria Math"/>
            </w:rPr>
            <m:t>=</m:t>
          </m:r>
          <m:r>
            <m:rPr>
              <m:nor/>
            </m:rPr>
            <w:rPr>
              <w:rFonts w:ascii="Cambria Math" w:hAnsi="Cambria Math"/>
            </w:rPr>
            <m:t>exp</m:t>
          </m:r>
          <m:d>
            <m:dPr>
              <m:begChr m:val="["/>
              <m:endChr m:val="]"/>
              <m:ctrlPr>
                <w:rPr>
                  <w:rFonts w:ascii="Cambria Math" w:hAnsi="Cambria Math"/>
                  <w:i/>
                </w:rPr>
              </m:ctrlPr>
            </m:dPr>
            <m:e>
              <m:r>
                <w:rPr>
                  <w:rFonts w:ascii="Cambria Math" w:hAnsi="Cambria Math"/>
                </w:rPr>
                <m:t>-</m:t>
              </m:r>
              <m:sSup>
                <m:sSupPr>
                  <m:ctrlPr>
                    <w:rPr>
                      <w:rFonts w:ascii="Cambria Math" w:hAnsi="Cambria Math"/>
                      <w:i/>
                    </w:rPr>
                  </m:ctrlPr>
                </m:sSupPr>
                <m:e>
                  <m:d>
                    <m:dPr>
                      <m:ctrlPr>
                        <w:rPr>
                          <w:rFonts w:ascii="Cambria Math" w:hAnsi="Cambria Math"/>
                          <w:i/>
                        </w:rPr>
                      </m:ctrlPr>
                    </m:dPr>
                    <m:e>
                      <m:f>
                        <m:fPr>
                          <m:type m:val="skw"/>
                          <m:ctrlPr>
                            <w:rPr>
                              <w:rFonts w:ascii="Cambria Math" w:hAnsi="Cambria Math"/>
                              <w:i/>
                            </w:rPr>
                          </m:ctrlPr>
                        </m:fPr>
                        <m:num>
                          <m:r>
                            <w:rPr>
                              <w:rFonts w:ascii="Cambria Math" w:hAnsi="Cambria Math"/>
                            </w:rPr>
                            <m:t>t</m:t>
                          </m:r>
                        </m:num>
                        <m:den>
                          <m:r>
                            <w:rPr>
                              <w:rFonts w:ascii="Cambria Math" w:hAnsi="Cambria Math"/>
                            </w:rPr>
                            <m:t>τ</m:t>
                          </m:r>
                        </m:den>
                      </m:f>
                    </m:e>
                  </m:d>
                </m:e>
                <m:sup>
                  <m:r>
                    <w:rPr>
                      <w:rFonts w:ascii="Cambria Math" w:hAnsi="Cambria Math"/>
                    </w:rPr>
                    <m:t>β</m:t>
                  </m:r>
                </m:sup>
              </m:sSup>
            </m:e>
          </m:d>
        </m:oMath>
      </m:oMathPara>
    </w:p>
    <w:p w14:paraId="040518BD" w14:textId="77777777" w:rsidR="008F7113" w:rsidRPr="00BD7731" w:rsidRDefault="008F7113" w:rsidP="008F7113">
      <w:pPr>
        <w:rPr>
          <w:lang w:val="en-GB"/>
        </w:rPr>
      </w:pPr>
    </w:p>
    <w:tbl>
      <w:tblPr>
        <w:tblStyle w:val="af2"/>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41"/>
        <w:gridCol w:w="1378"/>
        <w:gridCol w:w="1242"/>
        <w:gridCol w:w="434"/>
        <w:gridCol w:w="1364"/>
        <w:gridCol w:w="1230"/>
      </w:tblGrid>
      <w:tr w:rsidR="00BD7731" w:rsidRPr="00BD7731" w14:paraId="2D7FFFA4" w14:textId="77777777" w:rsidTr="002168A7">
        <w:trPr>
          <w:jc w:val="center"/>
        </w:trPr>
        <w:tc>
          <w:tcPr>
            <w:tcW w:w="1341" w:type="dxa"/>
            <w:tcBorders>
              <w:top w:val="single" w:sz="4" w:space="0" w:color="auto"/>
            </w:tcBorders>
          </w:tcPr>
          <w:p w14:paraId="5292B84A" w14:textId="77777777" w:rsidR="008F7113" w:rsidRPr="00BD7731" w:rsidRDefault="008F7113" w:rsidP="002168A7">
            <w:pPr>
              <w:jc w:val="center"/>
              <w:rPr>
                <w:rFonts w:ascii="Times New Roman" w:hAnsi="Times New Roman" w:cs="Times New Roman"/>
              </w:rPr>
            </w:pPr>
          </w:p>
        </w:tc>
        <w:tc>
          <w:tcPr>
            <w:tcW w:w="2620" w:type="dxa"/>
            <w:gridSpan w:val="2"/>
            <w:tcBorders>
              <w:top w:val="single" w:sz="4" w:space="0" w:color="auto"/>
              <w:bottom w:val="single" w:sz="4" w:space="0" w:color="auto"/>
            </w:tcBorders>
          </w:tcPr>
          <w:p w14:paraId="61B4E079" w14:textId="77777777" w:rsidR="008F7113" w:rsidRPr="00BD7731" w:rsidRDefault="008F7113" w:rsidP="002168A7">
            <w:pPr>
              <w:jc w:val="center"/>
              <w:rPr>
                <w:rFonts w:ascii="Times New Roman" w:hAnsi="Times New Roman" w:cs="Times New Roman"/>
              </w:rPr>
            </w:pPr>
            <w:r w:rsidRPr="00BD7731">
              <w:rPr>
                <w:b/>
                <w:bCs/>
              </w:rPr>
              <w:t>RN</w:t>
            </w:r>
            <w:r w:rsidRPr="00BD7731">
              <w:rPr>
                <w:vertAlign w:val="subscript"/>
              </w:rPr>
              <w:t>3200</w:t>
            </w:r>
          </w:p>
        </w:tc>
        <w:tc>
          <w:tcPr>
            <w:tcW w:w="434" w:type="dxa"/>
            <w:tcBorders>
              <w:top w:val="single" w:sz="4" w:space="0" w:color="auto"/>
            </w:tcBorders>
          </w:tcPr>
          <w:p w14:paraId="731469E1" w14:textId="77777777" w:rsidR="008F7113" w:rsidRPr="00BD7731" w:rsidRDefault="008F7113" w:rsidP="002168A7">
            <w:pPr>
              <w:jc w:val="center"/>
              <w:rPr>
                <w:rFonts w:ascii="Times New Roman" w:hAnsi="Times New Roman" w:cs="Times New Roman"/>
              </w:rPr>
            </w:pPr>
          </w:p>
        </w:tc>
        <w:tc>
          <w:tcPr>
            <w:tcW w:w="2594" w:type="dxa"/>
            <w:gridSpan w:val="2"/>
            <w:tcBorders>
              <w:top w:val="single" w:sz="4" w:space="0" w:color="auto"/>
              <w:bottom w:val="single" w:sz="4" w:space="0" w:color="auto"/>
            </w:tcBorders>
          </w:tcPr>
          <w:p w14:paraId="712EDA77" w14:textId="77777777" w:rsidR="008F7113" w:rsidRPr="00BD7731" w:rsidRDefault="008F7113" w:rsidP="002168A7">
            <w:pPr>
              <w:jc w:val="center"/>
              <w:rPr>
                <w:rFonts w:ascii="Times New Roman" w:hAnsi="Times New Roman" w:cs="Times New Roman"/>
              </w:rPr>
            </w:pPr>
            <w:r w:rsidRPr="00BD7731">
              <w:rPr>
                <w:b/>
                <w:bCs/>
              </w:rPr>
              <w:t>RN</w:t>
            </w:r>
            <w:r w:rsidRPr="00BD7731">
              <w:rPr>
                <w:vertAlign w:val="subscript"/>
              </w:rPr>
              <w:t>6000</w:t>
            </w:r>
          </w:p>
        </w:tc>
      </w:tr>
      <w:tr w:rsidR="00BD7731" w:rsidRPr="00BD7731" w14:paraId="163EDADE" w14:textId="77777777" w:rsidTr="002168A7">
        <w:trPr>
          <w:jc w:val="center"/>
        </w:trPr>
        <w:tc>
          <w:tcPr>
            <w:tcW w:w="1341" w:type="dxa"/>
            <w:tcBorders>
              <w:bottom w:val="single" w:sz="4" w:space="0" w:color="auto"/>
            </w:tcBorders>
          </w:tcPr>
          <w:p w14:paraId="227F0C86" w14:textId="77777777" w:rsidR="008F7113" w:rsidRPr="00BD7731" w:rsidRDefault="008F7113" w:rsidP="002168A7">
            <w:pPr>
              <w:jc w:val="center"/>
              <w:rPr>
                <w:rFonts w:ascii="Times New Roman" w:hAnsi="Times New Roman" w:cs="Times New Roman"/>
              </w:rPr>
            </w:pPr>
            <w:r w:rsidRPr="00BD7731">
              <w:t>Temp (°C)</w:t>
            </w:r>
          </w:p>
        </w:tc>
        <w:tc>
          <w:tcPr>
            <w:tcW w:w="1378" w:type="dxa"/>
            <w:tcBorders>
              <w:top w:val="single" w:sz="4" w:space="0" w:color="auto"/>
              <w:bottom w:val="single" w:sz="4" w:space="0" w:color="auto"/>
            </w:tcBorders>
          </w:tcPr>
          <w:p w14:paraId="7F103144" w14:textId="77777777" w:rsidR="008F7113" w:rsidRPr="00BD7731" w:rsidRDefault="008F7113" w:rsidP="002168A7">
            <w:pPr>
              <w:jc w:val="center"/>
              <w:rPr>
                <w:rFonts w:ascii="Times New Roman" w:hAnsi="Times New Roman" w:cs="Times New Roman"/>
                <w:i/>
                <w:iCs/>
              </w:rPr>
            </w:pPr>
            <w:r w:rsidRPr="00BD7731">
              <w:rPr>
                <w:i/>
                <w:iCs/>
              </w:rPr>
              <w:t>τ</w:t>
            </w:r>
          </w:p>
        </w:tc>
        <w:tc>
          <w:tcPr>
            <w:tcW w:w="1242" w:type="dxa"/>
            <w:tcBorders>
              <w:top w:val="single" w:sz="4" w:space="0" w:color="auto"/>
              <w:bottom w:val="single" w:sz="4" w:space="0" w:color="auto"/>
            </w:tcBorders>
          </w:tcPr>
          <w:p w14:paraId="2B3EED93" w14:textId="77777777" w:rsidR="008F7113" w:rsidRPr="00BD7731" w:rsidRDefault="008F7113" w:rsidP="002168A7">
            <w:pPr>
              <w:jc w:val="center"/>
              <w:rPr>
                <w:rFonts w:ascii="Times New Roman" w:hAnsi="Times New Roman" w:cs="Times New Roman"/>
                <w:i/>
                <w:iCs/>
              </w:rPr>
            </w:pPr>
            <w:r w:rsidRPr="00BD7731">
              <w:rPr>
                <w:i/>
                <w:iCs/>
              </w:rPr>
              <w:t>β</w:t>
            </w:r>
          </w:p>
        </w:tc>
        <w:tc>
          <w:tcPr>
            <w:tcW w:w="434" w:type="dxa"/>
            <w:tcBorders>
              <w:bottom w:val="single" w:sz="4" w:space="0" w:color="auto"/>
            </w:tcBorders>
          </w:tcPr>
          <w:p w14:paraId="282CDB39" w14:textId="77777777" w:rsidR="008F7113" w:rsidRPr="00BD7731" w:rsidRDefault="008F7113" w:rsidP="002168A7">
            <w:pPr>
              <w:jc w:val="center"/>
              <w:rPr>
                <w:rFonts w:ascii="Times New Roman" w:hAnsi="Times New Roman" w:cs="Times New Roman"/>
                <w:i/>
                <w:iCs/>
              </w:rPr>
            </w:pPr>
          </w:p>
        </w:tc>
        <w:tc>
          <w:tcPr>
            <w:tcW w:w="1364" w:type="dxa"/>
            <w:tcBorders>
              <w:top w:val="single" w:sz="4" w:space="0" w:color="auto"/>
              <w:bottom w:val="single" w:sz="4" w:space="0" w:color="auto"/>
            </w:tcBorders>
          </w:tcPr>
          <w:p w14:paraId="5BE2E3BC" w14:textId="77777777" w:rsidR="008F7113" w:rsidRPr="00BD7731" w:rsidRDefault="008F7113" w:rsidP="002168A7">
            <w:pPr>
              <w:jc w:val="center"/>
              <w:rPr>
                <w:rFonts w:ascii="Times New Roman" w:hAnsi="Times New Roman" w:cs="Times New Roman"/>
              </w:rPr>
            </w:pPr>
            <w:r w:rsidRPr="00BD7731">
              <w:rPr>
                <w:i/>
                <w:iCs/>
              </w:rPr>
              <w:t>τ</w:t>
            </w:r>
          </w:p>
        </w:tc>
        <w:tc>
          <w:tcPr>
            <w:tcW w:w="1230" w:type="dxa"/>
            <w:tcBorders>
              <w:top w:val="single" w:sz="4" w:space="0" w:color="auto"/>
              <w:bottom w:val="single" w:sz="4" w:space="0" w:color="auto"/>
            </w:tcBorders>
          </w:tcPr>
          <w:p w14:paraId="2A478ED2" w14:textId="77777777" w:rsidR="008F7113" w:rsidRPr="00BD7731" w:rsidRDefault="008F7113" w:rsidP="002168A7">
            <w:pPr>
              <w:jc w:val="center"/>
              <w:rPr>
                <w:rFonts w:ascii="Times New Roman" w:hAnsi="Times New Roman" w:cs="Times New Roman"/>
              </w:rPr>
            </w:pPr>
            <w:r w:rsidRPr="00BD7731">
              <w:rPr>
                <w:i/>
                <w:iCs/>
              </w:rPr>
              <w:t>β</w:t>
            </w:r>
          </w:p>
        </w:tc>
      </w:tr>
      <w:tr w:rsidR="00BD7731" w:rsidRPr="00BD7731" w14:paraId="0DD75006" w14:textId="77777777" w:rsidTr="002168A7">
        <w:trPr>
          <w:jc w:val="center"/>
        </w:trPr>
        <w:tc>
          <w:tcPr>
            <w:tcW w:w="1341" w:type="dxa"/>
            <w:tcBorders>
              <w:top w:val="single" w:sz="4" w:space="0" w:color="auto"/>
            </w:tcBorders>
          </w:tcPr>
          <w:p w14:paraId="045F428E" w14:textId="77777777" w:rsidR="008F7113" w:rsidRPr="00BD7731" w:rsidRDefault="008F7113" w:rsidP="002168A7">
            <w:pPr>
              <w:jc w:val="center"/>
              <w:rPr>
                <w:rFonts w:ascii="Times New Roman" w:hAnsi="Times New Roman" w:cs="Times New Roman"/>
              </w:rPr>
            </w:pPr>
            <w:r w:rsidRPr="00BD7731">
              <w:t>200</w:t>
            </w:r>
          </w:p>
        </w:tc>
        <w:tc>
          <w:tcPr>
            <w:tcW w:w="1378" w:type="dxa"/>
            <w:tcBorders>
              <w:top w:val="single" w:sz="4" w:space="0" w:color="auto"/>
            </w:tcBorders>
          </w:tcPr>
          <w:p w14:paraId="5588F523" w14:textId="77777777" w:rsidR="008F7113" w:rsidRPr="00BD7731" w:rsidRDefault="008F7113" w:rsidP="002168A7">
            <w:pPr>
              <w:jc w:val="center"/>
              <w:rPr>
                <w:rFonts w:ascii="Times New Roman" w:hAnsi="Times New Roman" w:cs="Times New Roman"/>
              </w:rPr>
            </w:pPr>
            <w:r w:rsidRPr="00BD7731">
              <w:t>5.18×10</w:t>
            </w:r>
            <w:r w:rsidRPr="00BD7731">
              <w:rPr>
                <w:vertAlign w:val="superscript"/>
              </w:rPr>
              <w:t>4</w:t>
            </w:r>
          </w:p>
        </w:tc>
        <w:tc>
          <w:tcPr>
            <w:tcW w:w="1242" w:type="dxa"/>
            <w:tcBorders>
              <w:top w:val="single" w:sz="4" w:space="0" w:color="auto"/>
            </w:tcBorders>
          </w:tcPr>
          <w:p w14:paraId="0231185C" w14:textId="77777777" w:rsidR="008F7113" w:rsidRPr="00BD7731" w:rsidRDefault="008F7113" w:rsidP="002168A7">
            <w:pPr>
              <w:jc w:val="center"/>
              <w:rPr>
                <w:rFonts w:ascii="Times New Roman" w:hAnsi="Times New Roman" w:cs="Times New Roman"/>
              </w:rPr>
            </w:pPr>
            <w:r w:rsidRPr="00BD7731">
              <w:t>0.665</w:t>
            </w:r>
          </w:p>
        </w:tc>
        <w:tc>
          <w:tcPr>
            <w:tcW w:w="434" w:type="dxa"/>
            <w:tcBorders>
              <w:top w:val="single" w:sz="4" w:space="0" w:color="auto"/>
            </w:tcBorders>
          </w:tcPr>
          <w:p w14:paraId="30803054" w14:textId="77777777" w:rsidR="008F7113" w:rsidRPr="00BD7731" w:rsidRDefault="008F7113" w:rsidP="002168A7">
            <w:pPr>
              <w:jc w:val="center"/>
              <w:rPr>
                <w:rFonts w:ascii="Times New Roman" w:hAnsi="Times New Roman" w:cs="Times New Roman"/>
              </w:rPr>
            </w:pPr>
          </w:p>
        </w:tc>
        <w:tc>
          <w:tcPr>
            <w:tcW w:w="1364" w:type="dxa"/>
            <w:tcBorders>
              <w:top w:val="single" w:sz="4" w:space="0" w:color="auto"/>
            </w:tcBorders>
          </w:tcPr>
          <w:p w14:paraId="40CAD51E" w14:textId="77777777" w:rsidR="008F7113" w:rsidRPr="00BD7731" w:rsidRDefault="008F7113" w:rsidP="002168A7">
            <w:pPr>
              <w:jc w:val="center"/>
              <w:rPr>
                <w:rFonts w:ascii="Times New Roman" w:hAnsi="Times New Roman" w:cs="Times New Roman"/>
              </w:rPr>
            </w:pPr>
            <w:r w:rsidRPr="00BD7731">
              <w:t>4.36×10</w:t>
            </w:r>
            <w:r w:rsidRPr="00BD7731">
              <w:rPr>
                <w:vertAlign w:val="superscript"/>
              </w:rPr>
              <w:t>4</w:t>
            </w:r>
          </w:p>
        </w:tc>
        <w:tc>
          <w:tcPr>
            <w:tcW w:w="1230" w:type="dxa"/>
            <w:tcBorders>
              <w:top w:val="single" w:sz="4" w:space="0" w:color="auto"/>
            </w:tcBorders>
          </w:tcPr>
          <w:p w14:paraId="405EBF22" w14:textId="77777777" w:rsidR="008F7113" w:rsidRPr="00BD7731" w:rsidRDefault="008F7113" w:rsidP="002168A7">
            <w:pPr>
              <w:jc w:val="center"/>
              <w:rPr>
                <w:rFonts w:ascii="Times New Roman" w:hAnsi="Times New Roman" w:cs="Times New Roman"/>
              </w:rPr>
            </w:pPr>
            <w:r w:rsidRPr="00BD7731">
              <w:t>0.507</w:t>
            </w:r>
          </w:p>
        </w:tc>
      </w:tr>
      <w:tr w:rsidR="00BD7731" w:rsidRPr="00BD7731" w14:paraId="17BD67D4" w14:textId="77777777" w:rsidTr="002168A7">
        <w:trPr>
          <w:jc w:val="center"/>
        </w:trPr>
        <w:tc>
          <w:tcPr>
            <w:tcW w:w="1341" w:type="dxa"/>
          </w:tcPr>
          <w:p w14:paraId="1825B366" w14:textId="77777777" w:rsidR="008F7113" w:rsidRPr="00BD7731" w:rsidRDefault="008F7113" w:rsidP="002168A7">
            <w:pPr>
              <w:jc w:val="center"/>
              <w:rPr>
                <w:rFonts w:ascii="Times New Roman" w:hAnsi="Times New Roman" w:cs="Times New Roman"/>
              </w:rPr>
            </w:pPr>
            <w:r w:rsidRPr="00BD7731">
              <w:t>210</w:t>
            </w:r>
          </w:p>
        </w:tc>
        <w:tc>
          <w:tcPr>
            <w:tcW w:w="1378" w:type="dxa"/>
          </w:tcPr>
          <w:p w14:paraId="796012E3" w14:textId="77777777" w:rsidR="008F7113" w:rsidRPr="00BD7731" w:rsidRDefault="008F7113" w:rsidP="002168A7">
            <w:pPr>
              <w:jc w:val="center"/>
              <w:rPr>
                <w:rFonts w:ascii="Times New Roman" w:hAnsi="Times New Roman" w:cs="Times New Roman"/>
              </w:rPr>
            </w:pPr>
            <w:r w:rsidRPr="00BD7731">
              <w:t>2.36×10</w:t>
            </w:r>
            <w:r w:rsidRPr="00BD7731">
              <w:rPr>
                <w:vertAlign w:val="superscript"/>
              </w:rPr>
              <w:t>4</w:t>
            </w:r>
          </w:p>
        </w:tc>
        <w:tc>
          <w:tcPr>
            <w:tcW w:w="1242" w:type="dxa"/>
          </w:tcPr>
          <w:p w14:paraId="75C18F90" w14:textId="77777777" w:rsidR="008F7113" w:rsidRPr="00BD7731" w:rsidRDefault="008F7113" w:rsidP="002168A7">
            <w:pPr>
              <w:jc w:val="center"/>
              <w:rPr>
                <w:rFonts w:ascii="Times New Roman" w:hAnsi="Times New Roman" w:cs="Times New Roman"/>
              </w:rPr>
            </w:pPr>
            <w:r w:rsidRPr="00BD7731">
              <w:t>0.523</w:t>
            </w:r>
          </w:p>
        </w:tc>
        <w:tc>
          <w:tcPr>
            <w:tcW w:w="434" w:type="dxa"/>
          </w:tcPr>
          <w:p w14:paraId="1DAD8652" w14:textId="77777777" w:rsidR="008F7113" w:rsidRPr="00BD7731" w:rsidRDefault="008F7113" w:rsidP="002168A7">
            <w:pPr>
              <w:jc w:val="center"/>
              <w:rPr>
                <w:rFonts w:ascii="Times New Roman" w:hAnsi="Times New Roman" w:cs="Times New Roman"/>
              </w:rPr>
            </w:pPr>
          </w:p>
        </w:tc>
        <w:tc>
          <w:tcPr>
            <w:tcW w:w="1364" w:type="dxa"/>
          </w:tcPr>
          <w:p w14:paraId="2506A6C5" w14:textId="77777777" w:rsidR="008F7113" w:rsidRPr="00BD7731" w:rsidRDefault="008F7113" w:rsidP="002168A7">
            <w:pPr>
              <w:jc w:val="center"/>
              <w:rPr>
                <w:rFonts w:ascii="Times New Roman" w:hAnsi="Times New Roman" w:cs="Times New Roman"/>
              </w:rPr>
            </w:pPr>
            <w:r w:rsidRPr="00BD7731">
              <w:t>-</w:t>
            </w:r>
          </w:p>
        </w:tc>
        <w:tc>
          <w:tcPr>
            <w:tcW w:w="1230" w:type="dxa"/>
          </w:tcPr>
          <w:p w14:paraId="0B38A923" w14:textId="77777777" w:rsidR="008F7113" w:rsidRPr="00BD7731" w:rsidRDefault="008F7113" w:rsidP="002168A7">
            <w:pPr>
              <w:jc w:val="center"/>
              <w:rPr>
                <w:rFonts w:ascii="Times New Roman" w:hAnsi="Times New Roman" w:cs="Times New Roman"/>
              </w:rPr>
            </w:pPr>
            <w:r w:rsidRPr="00BD7731">
              <w:t>-</w:t>
            </w:r>
          </w:p>
        </w:tc>
      </w:tr>
      <w:tr w:rsidR="00BD7731" w:rsidRPr="00BD7731" w14:paraId="4378685B" w14:textId="77777777" w:rsidTr="002168A7">
        <w:trPr>
          <w:jc w:val="center"/>
        </w:trPr>
        <w:tc>
          <w:tcPr>
            <w:tcW w:w="1341" w:type="dxa"/>
            <w:tcBorders>
              <w:bottom w:val="single" w:sz="4" w:space="0" w:color="auto"/>
            </w:tcBorders>
          </w:tcPr>
          <w:p w14:paraId="5844E7C3" w14:textId="77777777" w:rsidR="008F7113" w:rsidRPr="00BD7731" w:rsidRDefault="008F7113" w:rsidP="002168A7">
            <w:pPr>
              <w:jc w:val="center"/>
              <w:rPr>
                <w:rFonts w:ascii="Times New Roman" w:hAnsi="Times New Roman" w:cs="Times New Roman"/>
              </w:rPr>
            </w:pPr>
            <w:r w:rsidRPr="00BD7731">
              <w:t>220</w:t>
            </w:r>
          </w:p>
        </w:tc>
        <w:tc>
          <w:tcPr>
            <w:tcW w:w="1378" w:type="dxa"/>
            <w:tcBorders>
              <w:bottom w:val="single" w:sz="4" w:space="0" w:color="auto"/>
            </w:tcBorders>
          </w:tcPr>
          <w:p w14:paraId="667C0312" w14:textId="77777777" w:rsidR="008F7113" w:rsidRPr="00BD7731" w:rsidRDefault="008F7113" w:rsidP="002168A7">
            <w:pPr>
              <w:jc w:val="center"/>
              <w:rPr>
                <w:rFonts w:ascii="Times New Roman" w:hAnsi="Times New Roman" w:cs="Times New Roman"/>
              </w:rPr>
            </w:pPr>
            <w:r w:rsidRPr="00BD7731">
              <w:t>-</w:t>
            </w:r>
          </w:p>
        </w:tc>
        <w:tc>
          <w:tcPr>
            <w:tcW w:w="1242" w:type="dxa"/>
            <w:tcBorders>
              <w:bottom w:val="single" w:sz="4" w:space="0" w:color="auto"/>
            </w:tcBorders>
          </w:tcPr>
          <w:p w14:paraId="3E8EC492" w14:textId="77777777" w:rsidR="008F7113" w:rsidRPr="00BD7731" w:rsidRDefault="008F7113" w:rsidP="002168A7">
            <w:pPr>
              <w:jc w:val="center"/>
              <w:rPr>
                <w:rFonts w:ascii="Times New Roman" w:hAnsi="Times New Roman" w:cs="Times New Roman"/>
              </w:rPr>
            </w:pPr>
            <w:r w:rsidRPr="00BD7731">
              <w:t>-</w:t>
            </w:r>
          </w:p>
        </w:tc>
        <w:tc>
          <w:tcPr>
            <w:tcW w:w="434" w:type="dxa"/>
            <w:tcBorders>
              <w:bottom w:val="single" w:sz="4" w:space="0" w:color="auto"/>
            </w:tcBorders>
          </w:tcPr>
          <w:p w14:paraId="0617F89F" w14:textId="77777777" w:rsidR="008F7113" w:rsidRPr="00BD7731" w:rsidRDefault="008F7113" w:rsidP="002168A7">
            <w:pPr>
              <w:jc w:val="center"/>
              <w:rPr>
                <w:rFonts w:ascii="Times New Roman" w:hAnsi="Times New Roman" w:cs="Times New Roman"/>
              </w:rPr>
            </w:pPr>
          </w:p>
        </w:tc>
        <w:tc>
          <w:tcPr>
            <w:tcW w:w="1364" w:type="dxa"/>
            <w:tcBorders>
              <w:bottom w:val="single" w:sz="4" w:space="0" w:color="auto"/>
            </w:tcBorders>
          </w:tcPr>
          <w:p w14:paraId="60A9AE99" w14:textId="77777777" w:rsidR="008F7113" w:rsidRPr="00BD7731" w:rsidRDefault="008F7113" w:rsidP="002168A7">
            <w:pPr>
              <w:jc w:val="center"/>
              <w:rPr>
                <w:rFonts w:ascii="Times New Roman" w:hAnsi="Times New Roman" w:cs="Times New Roman"/>
              </w:rPr>
            </w:pPr>
            <w:r w:rsidRPr="00BD7731">
              <w:t>1.49×10</w:t>
            </w:r>
            <w:r w:rsidRPr="00BD7731">
              <w:rPr>
                <w:vertAlign w:val="superscript"/>
              </w:rPr>
              <w:t>4</w:t>
            </w:r>
          </w:p>
        </w:tc>
        <w:tc>
          <w:tcPr>
            <w:tcW w:w="1230" w:type="dxa"/>
            <w:tcBorders>
              <w:bottom w:val="single" w:sz="4" w:space="0" w:color="auto"/>
            </w:tcBorders>
          </w:tcPr>
          <w:p w14:paraId="689BFE51" w14:textId="77777777" w:rsidR="008F7113" w:rsidRPr="00BD7731" w:rsidRDefault="008F7113" w:rsidP="002168A7">
            <w:pPr>
              <w:jc w:val="center"/>
              <w:rPr>
                <w:rFonts w:ascii="Times New Roman" w:hAnsi="Times New Roman" w:cs="Times New Roman"/>
              </w:rPr>
            </w:pPr>
            <w:r w:rsidRPr="00BD7731">
              <w:t>0.433</w:t>
            </w:r>
          </w:p>
        </w:tc>
      </w:tr>
    </w:tbl>
    <w:p w14:paraId="7D48395B" w14:textId="77777777" w:rsidR="008F7113" w:rsidRPr="00BD7731" w:rsidRDefault="008F7113" w:rsidP="008F7113">
      <w:pPr>
        <w:rPr>
          <w:lang w:val="en-GB"/>
        </w:rPr>
      </w:pPr>
      <w:r w:rsidRPr="00BD7731">
        <w:rPr>
          <w:lang w:val="en-GB"/>
        </w:rPr>
        <w:br w:type="page"/>
      </w:r>
    </w:p>
    <w:p w14:paraId="56CD5124" w14:textId="77777777" w:rsidR="008F7113" w:rsidRPr="00BD7731" w:rsidRDefault="008F7113" w:rsidP="008F7113">
      <w:r w:rsidRPr="00BD7731">
        <w:rPr>
          <w:noProof/>
        </w:rPr>
        <w:drawing>
          <wp:inline distT="0" distB="0" distL="0" distR="0" wp14:anchorId="638D587C" wp14:editId="408879B1">
            <wp:extent cx="5594350" cy="4315977"/>
            <wp:effectExtent l="0" t="0" r="0" b="8890"/>
            <wp:docPr id="58" name="図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594350" cy="4315977"/>
                    </a:xfrm>
                    <a:prstGeom prst="rect">
                      <a:avLst/>
                    </a:prstGeom>
                    <a:noFill/>
                    <a:ln>
                      <a:noFill/>
                    </a:ln>
                  </pic:spPr>
                </pic:pic>
              </a:graphicData>
            </a:graphic>
          </wp:inline>
        </w:drawing>
      </w:r>
    </w:p>
    <w:p w14:paraId="1DAEC04D" w14:textId="24A7CB57" w:rsidR="008F7113" w:rsidRPr="00BD7731" w:rsidRDefault="008F7113" w:rsidP="008F7113">
      <w:r w:rsidRPr="00BD7731">
        <w:rPr>
          <w:rFonts w:hint="eastAsia"/>
          <w:b/>
          <w:bCs/>
        </w:rPr>
        <w:t>F</w:t>
      </w:r>
      <w:r w:rsidRPr="00BD7731">
        <w:rPr>
          <w:b/>
          <w:bCs/>
        </w:rPr>
        <w:t>igure S</w:t>
      </w:r>
      <w:r w:rsidRPr="00BD7731">
        <w:rPr>
          <w:b/>
          <w:bCs/>
        </w:rPr>
        <w:fldChar w:fldCharType="begin"/>
      </w:r>
      <w:r w:rsidRPr="00BD7731">
        <w:rPr>
          <w:b/>
          <w:bCs/>
        </w:rPr>
        <w:instrText xml:space="preserve"> SEQ FigureSI \* MERGEFORMAT </w:instrText>
      </w:r>
      <w:r w:rsidRPr="00BD7731">
        <w:rPr>
          <w:b/>
          <w:bCs/>
        </w:rPr>
        <w:fldChar w:fldCharType="separate"/>
      </w:r>
      <w:r w:rsidR="00CF7DF3" w:rsidRPr="00BD7731">
        <w:rPr>
          <w:b/>
          <w:bCs/>
          <w:noProof/>
        </w:rPr>
        <w:t>12</w:t>
      </w:r>
      <w:r w:rsidRPr="00BD7731">
        <w:rPr>
          <w:b/>
          <w:bCs/>
        </w:rPr>
        <w:fldChar w:fldCharType="end"/>
      </w:r>
      <w:r w:rsidRPr="00BD7731">
        <w:t xml:space="preserve">. Normalized stress-relaxation curves at different temperatures for </w:t>
      </w:r>
      <w:r w:rsidRPr="00BD7731">
        <w:rPr>
          <w:b/>
          <w:bCs/>
        </w:rPr>
        <w:t>RN</w:t>
      </w:r>
      <w:r w:rsidRPr="00BD7731">
        <w:t xml:space="preserve">s. (a) </w:t>
      </w:r>
      <w:r w:rsidRPr="00BD7731">
        <w:rPr>
          <w:b/>
          <w:bCs/>
        </w:rPr>
        <w:t>RN</w:t>
      </w:r>
      <w:r w:rsidRPr="00BD7731">
        <w:rPr>
          <w:vertAlign w:val="subscript"/>
        </w:rPr>
        <w:t>3200</w:t>
      </w:r>
      <w:r w:rsidRPr="00BD7731">
        <w:t xml:space="preserve">, (b) </w:t>
      </w:r>
      <w:r w:rsidRPr="00BD7731">
        <w:rPr>
          <w:b/>
          <w:bCs/>
        </w:rPr>
        <w:t>RN</w:t>
      </w:r>
      <w:r w:rsidRPr="00BD7731">
        <w:rPr>
          <w:vertAlign w:val="subscript"/>
        </w:rPr>
        <w:t>6000</w:t>
      </w:r>
      <w:r w:rsidRPr="00BD7731">
        <w:t xml:space="preserve">, (c) </w:t>
      </w:r>
      <w:r w:rsidRPr="00BD7731">
        <w:rPr>
          <w:b/>
          <w:bCs/>
        </w:rPr>
        <w:t>RN</w:t>
      </w:r>
      <w:r w:rsidRPr="00BD7731">
        <w:rPr>
          <w:vertAlign w:val="subscript"/>
        </w:rPr>
        <w:t>8500</w:t>
      </w:r>
      <w:r w:rsidRPr="00BD7731">
        <w:t>.</w:t>
      </w:r>
    </w:p>
    <w:p w14:paraId="541404DE" w14:textId="77777777" w:rsidR="008F7113" w:rsidRPr="00BD7731" w:rsidRDefault="008F7113" w:rsidP="008F7113"/>
    <w:p w14:paraId="1F0B89A6" w14:textId="77777777" w:rsidR="008F7113" w:rsidRPr="00BD7731" w:rsidRDefault="008F7113" w:rsidP="008F7113">
      <w:pPr>
        <w:jc w:val="center"/>
      </w:pPr>
      <w:r w:rsidRPr="00BD7731">
        <w:rPr>
          <w:noProof/>
        </w:rPr>
        <w:drawing>
          <wp:inline distT="0" distB="0" distL="0" distR="0" wp14:anchorId="4EB163AD" wp14:editId="0649BEAA">
            <wp:extent cx="5400260" cy="2178251"/>
            <wp:effectExtent l="0" t="0" r="0" b="0"/>
            <wp:docPr id="59" name="図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401215" cy="2178636"/>
                    </a:xfrm>
                    <a:prstGeom prst="rect">
                      <a:avLst/>
                    </a:prstGeom>
                    <a:noFill/>
                    <a:ln>
                      <a:noFill/>
                    </a:ln>
                  </pic:spPr>
                </pic:pic>
              </a:graphicData>
            </a:graphic>
          </wp:inline>
        </w:drawing>
      </w:r>
    </w:p>
    <w:p w14:paraId="18AC6658" w14:textId="668A5B77" w:rsidR="008F7113" w:rsidRPr="00BD7731" w:rsidRDefault="008F7113" w:rsidP="008F7113">
      <w:r w:rsidRPr="00BD7731">
        <w:rPr>
          <w:b/>
          <w:bCs/>
        </w:rPr>
        <w:t>Figure S</w:t>
      </w:r>
      <w:r w:rsidRPr="00BD7731">
        <w:rPr>
          <w:b/>
          <w:bCs/>
        </w:rPr>
        <w:fldChar w:fldCharType="begin"/>
      </w:r>
      <w:r w:rsidRPr="00BD7731">
        <w:rPr>
          <w:b/>
          <w:bCs/>
        </w:rPr>
        <w:instrText xml:space="preserve"> SEQ FigureSI \* MERGEFORMAT </w:instrText>
      </w:r>
      <w:r w:rsidRPr="00BD7731">
        <w:rPr>
          <w:b/>
          <w:bCs/>
        </w:rPr>
        <w:fldChar w:fldCharType="separate"/>
      </w:r>
      <w:r w:rsidR="00CF7DF3" w:rsidRPr="00BD7731">
        <w:rPr>
          <w:b/>
          <w:bCs/>
          <w:noProof/>
        </w:rPr>
        <w:t>13</w:t>
      </w:r>
      <w:r w:rsidRPr="00BD7731">
        <w:rPr>
          <w:b/>
          <w:bCs/>
        </w:rPr>
        <w:fldChar w:fldCharType="end"/>
      </w:r>
      <w:r w:rsidRPr="00BD7731">
        <w:rPr>
          <w:b/>
          <w:bCs/>
        </w:rPr>
        <w:t>.</w:t>
      </w:r>
      <w:r w:rsidRPr="00BD7731">
        <w:t xml:space="preserve"> The effect of the molecular weight (</w:t>
      </w:r>
      <w:r w:rsidRPr="00BD7731">
        <w:rPr>
          <w:i/>
          <w:iCs/>
        </w:rPr>
        <w:t>M</w:t>
      </w:r>
      <w:r w:rsidRPr="00BD7731">
        <w:rPr>
          <w:vertAlign w:val="subscript"/>
        </w:rPr>
        <w:t>n</w:t>
      </w:r>
      <w:r w:rsidRPr="00BD7731">
        <w:t xml:space="preserve">) of precursor in the correlation between the temperature and the relaxation time (τ). (a) </w:t>
      </w:r>
      <w:r w:rsidRPr="00BD7731">
        <w:rPr>
          <w:b/>
          <w:bCs/>
        </w:rPr>
        <w:t>RN</w:t>
      </w:r>
      <w:r w:rsidRPr="00BD7731">
        <w:t xml:space="preserve"> and (b) </w:t>
      </w:r>
      <w:r w:rsidRPr="00BD7731">
        <w:rPr>
          <w:b/>
          <w:bCs/>
        </w:rPr>
        <w:t>TN</w:t>
      </w:r>
      <w:r w:rsidRPr="00BD7731">
        <w:t>.</w:t>
      </w:r>
    </w:p>
    <w:p w14:paraId="28DF0AEC" w14:textId="77777777" w:rsidR="008F7113" w:rsidRPr="00BD7731" w:rsidRDefault="008F7113" w:rsidP="008F7113"/>
    <w:p w14:paraId="0FB2C81E" w14:textId="77777777" w:rsidR="008F7113" w:rsidRPr="00BD7731" w:rsidRDefault="008F7113" w:rsidP="008F7113">
      <w:pPr>
        <w:ind w:leftChars="-118" w:left="-283"/>
        <w:jc w:val="center"/>
      </w:pPr>
      <w:r w:rsidRPr="00BD7731">
        <w:rPr>
          <w:noProof/>
        </w:rPr>
        <w:drawing>
          <wp:inline distT="0" distB="0" distL="0" distR="0" wp14:anchorId="562438ED" wp14:editId="46A8CCA4">
            <wp:extent cx="6240726" cy="1477433"/>
            <wp:effectExtent l="0" t="0" r="0" b="0"/>
            <wp:docPr id="60" name="図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6242545" cy="1477864"/>
                    </a:xfrm>
                    <a:prstGeom prst="rect">
                      <a:avLst/>
                    </a:prstGeom>
                    <a:noFill/>
                    <a:ln>
                      <a:noFill/>
                    </a:ln>
                  </pic:spPr>
                </pic:pic>
              </a:graphicData>
            </a:graphic>
          </wp:inline>
        </w:drawing>
      </w:r>
    </w:p>
    <w:p w14:paraId="58B3EC35" w14:textId="152F8E77" w:rsidR="008F7113" w:rsidRPr="00BD7731" w:rsidRDefault="008F7113" w:rsidP="008F7113">
      <w:r w:rsidRPr="00BD7731">
        <w:rPr>
          <w:b/>
          <w:bCs/>
        </w:rPr>
        <w:t>Figure S</w:t>
      </w:r>
      <w:r w:rsidRPr="00BD7731">
        <w:rPr>
          <w:b/>
          <w:bCs/>
        </w:rPr>
        <w:fldChar w:fldCharType="begin"/>
      </w:r>
      <w:r w:rsidRPr="00BD7731">
        <w:rPr>
          <w:b/>
          <w:bCs/>
        </w:rPr>
        <w:instrText xml:space="preserve"> SEQ FigureSI \* MERGEFORMAT </w:instrText>
      </w:r>
      <w:r w:rsidRPr="00BD7731">
        <w:rPr>
          <w:b/>
          <w:bCs/>
        </w:rPr>
        <w:fldChar w:fldCharType="separate"/>
      </w:r>
      <w:r w:rsidR="00CF7DF3" w:rsidRPr="00BD7731">
        <w:rPr>
          <w:b/>
          <w:bCs/>
          <w:noProof/>
        </w:rPr>
        <w:t>14</w:t>
      </w:r>
      <w:r w:rsidRPr="00BD7731">
        <w:rPr>
          <w:b/>
          <w:bCs/>
        </w:rPr>
        <w:fldChar w:fldCharType="end"/>
      </w:r>
      <w:r w:rsidRPr="00BD7731">
        <w:t>. Correlation between ln(τ) versus 1000/</w:t>
      </w:r>
      <w:r w:rsidRPr="00BD7731">
        <w:rPr>
          <w:i/>
          <w:iCs/>
        </w:rPr>
        <w:t>T</w:t>
      </w:r>
      <w:r w:rsidRPr="00BD7731">
        <w:t xml:space="preserve"> </w:t>
      </w:r>
      <w:bookmarkStart w:id="11" w:name="_Hlk26381450"/>
      <w:r w:rsidRPr="00BD7731">
        <w:t xml:space="preserve">(τ: relaxation time, </w:t>
      </w:r>
      <w:r w:rsidRPr="00BD7731">
        <w:rPr>
          <w:i/>
          <w:iCs/>
        </w:rPr>
        <w:t>T</w:t>
      </w:r>
      <w:r w:rsidRPr="00BD7731">
        <w:t>: temperature in Kelvin)</w:t>
      </w:r>
      <w:bookmarkEnd w:id="11"/>
      <w:r w:rsidRPr="00BD7731">
        <w:t xml:space="preserve"> for </w:t>
      </w:r>
      <w:r w:rsidRPr="00BD7731">
        <w:rPr>
          <w:b/>
          <w:bCs/>
        </w:rPr>
        <w:t>RN</w:t>
      </w:r>
      <w:r w:rsidRPr="00BD7731">
        <w:t xml:space="preserve">s. (a) </w:t>
      </w:r>
      <w:r w:rsidRPr="00BD7731">
        <w:rPr>
          <w:b/>
          <w:bCs/>
        </w:rPr>
        <w:t>RN</w:t>
      </w:r>
      <w:r w:rsidRPr="00BD7731">
        <w:rPr>
          <w:vertAlign w:val="subscript"/>
        </w:rPr>
        <w:t>3200</w:t>
      </w:r>
      <w:r w:rsidRPr="00BD7731">
        <w:t xml:space="preserve">, (b) </w:t>
      </w:r>
      <w:r w:rsidRPr="00BD7731">
        <w:rPr>
          <w:b/>
          <w:bCs/>
        </w:rPr>
        <w:t>RN</w:t>
      </w:r>
      <w:r w:rsidRPr="00BD7731">
        <w:rPr>
          <w:vertAlign w:val="subscript"/>
        </w:rPr>
        <w:t>6000</w:t>
      </w:r>
      <w:r w:rsidRPr="00BD7731">
        <w:t xml:space="preserve">, (c) </w:t>
      </w:r>
      <w:r w:rsidRPr="00BD7731">
        <w:rPr>
          <w:b/>
          <w:bCs/>
        </w:rPr>
        <w:t>RN</w:t>
      </w:r>
      <w:r w:rsidRPr="00BD7731">
        <w:rPr>
          <w:vertAlign w:val="subscript"/>
        </w:rPr>
        <w:t>8500</w:t>
      </w:r>
      <w:r w:rsidRPr="00BD7731">
        <w:t>. Arrhenius activation energy of relaxation and the correlation factor are shown. Pre-exponential factors (ln</w:t>
      </w:r>
      <w:r w:rsidRPr="00BD7731">
        <w:rPr>
          <w:i/>
          <w:iCs/>
        </w:rPr>
        <w:t>τ</w:t>
      </w:r>
      <w:r w:rsidRPr="00BD7731">
        <w:rPr>
          <w:vertAlign w:val="subscript"/>
        </w:rPr>
        <w:t>0</w:t>
      </w:r>
      <w:r w:rsidRPr="00BD7731">
        <w:rPr>
          <w:i/>
          <w:iCs/>
        </w:rPr>
        <w:t xml:space="preserve">, </w:t>
      </w:r>
      <w:r w:rsidRPr="00BD7731">
        <w:t xml:space="preserve">y-intercept) in the analysis were -39, -34, -33 for </w:t>
      </w:r>
      <w:r w:rsidRPr="00BD7731">
        <w:rPr>
          <w:b/>
          <w:bCs/>
        </w:rPr>
        <w:t>RN</w:t>
      </w:r>
      <w:r w:rsidRPr="00BD7731">
        <w:rPr>
          <w:vertAlign w:val="subscript"/>
        </w:rPr>
        <w:t>3200</w:t>
      </w:r>
      <w:r w:rsidRPr="00BD7731">
        <w:t xml:space="preserve">, </w:t>
      </w:r>
      <w:r w:rsidRPr="00BD7731">
        <w:rPr>
          <w:b/>
          <w:bCs/>
        </w:rPr>
        <w:t>RN</w:t>
      </w:r>
      <w:r w:rsidRPr="00BD7731">
        <w:rPr>
          <w:vertAlign w:val="subscript"/>
        </w:rPr>
        <w:t>6000</w:t>
      </w:r>
      <w:r w:rsidRPr="00BD7731">
        <w:t xml:space="preserve">, </w:t>
      </w:r>
      <w:r w:rsidRPr="00BD7731">
        <w:rPr>
          <w:b/>
          <w:bCs/>
        </w:rPr>
        <w:t>RN</w:t>
      </w:r>
      <w:r w:rsidRPr="00BD7731">
        <w:rPr>
          <w:vertAlign w:val="subscript"/>
        </w:rPr>
        <w:t>8500</w:t>
      </w:r>
      <w:r w:rsidRPr="00BD7731">
        <w:t>, respectively.</w:t>
      </w:r>
    </w:p>
    <w:p w14:paraId="097987C5" w14:textId="77777777" w:rsidR="008F7113" w:rsidRPr="00BD7731" w:rsidRDefault="008F7113" w:rsidP="008F7113"/>
    <w:p w14:paraId="165A543B" w14:textId="77777777" w:rsidR="008F7113" w:rsidRPr="00BD7731" w:rsidRDefault="008F7113" w:rsidP="008F7113">
      <w:pPr>
        <w:jc w:val="center"/>
      </w:pPr>
      <w:r w:rsidRPr="00BD7731" w:rsidDel="00E47219">
        <w:t xml:space="preserve"> </w:t>
      </w:r>
      <w:r w:rsidRPr="00BD7731">
        <w:rPr>
          <w:noProof/>
        </w:rPr>
        <w:drawing>
          <wp:inline distT="0" distB="0" distL="0" distR="0" wp14:anchorId="54BF82AC" wp14:editId="5204EB2E">
            <wp:extent cx="5755640" cy="4271645"/>
            <wp:effectExtent l="0" t="0" r="0" b="0"/>
            <wp:docPr id="17" name="図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5755640" cy="4271645"/>
                    </a:xfrm>
                    <a:prstGeom prst="rect">
                      <a:avLst/>
                    </a:prstGeom>
                    <a:noFill/>
                    <a:ln>
                      <a:noFill/>
                    </a:ln>
                  </pic:spPr>
                </pic:pic>
              </a:graphicData>
            </a:graphic>
          </wp:inline>
        </w:drawing>
      </w:r>
    </w:p>
    <w:p w14:paraId="225E0FBC" w14:textId="15C0EDF5" w:rsidR="008F7113" w:rsidRPr="00BD7731" w:rsidRDefault="008F7113" w:rsidP="008F7113">
      <w:r w:rsidRPr="00BD7731">
        <w:rPr>
          <w:b/>
          <w:bCs/>
        </w:rPr>
        <w:t>Figure S</w:t>
      </w:r>
      <w:r w:rsidRPr="00BD7731">
        <w:rPr>
          <w:b/>
          <w:bCs/>
        </w:rPr>
        <w:fldChar w:fldCharType="begin"/>
      </w:r>
      <w:r w:rsidRPr="00BD7731">
        <w:rPr>
          <w:b/>
          <w:bCs/>
        </w:rPr>
        <w:instrText xml:space="preserve"> SEQ FigureSI \* MERGEFORMAT </w:instrText>
      </w:r>
      <w:r w:rsidRPr="00BD7731">
        <w:rPr>
          <w:b/>
          <w:bCs/>
        </w:rPr>
        <w:fldChar w:fldCharType="separate"/>
      </w:r>
      <w:r w:rsidR="00CF7DF3" w:rsidRPr="00BD7731">
        <w:rPr>
          <w:b/>
          <w:bCs/>
          <w:noProof/>
        </w:rPr>
        <w:t>15</w:t>
      </w:r>
      <w:r w:rsidRPr="00BD7731">
        <w:rPr>
          <w:b/>
          <w:bCs/>
        </w:rPr>
        <w:fldChar w:fldCharType="end"/>
      </w:r>
      <w:r w:rsidRPr="00BD7731">
        <w:t xml:space="preserve">. Normalized stress-relaxation curves at different temperatures for </w:t>
      </w:r>
      <w:r w:rsidRPr="00BD7731">
        <w:rPr>
          <w:b/>
          <w:bCs/>
        </w:rPr>
        <w:t>TN</w:t>
      </w:r>
      <w:r w:rsidRPr="00BD7731">
        <w:t xml:space="preserve">s. (a) </w:t>
      </w:r>
      <w:r w:rsidRPr="00BD7731">
        <w:rPr>
          <w:b/>
          <w:bCs/>
        </w:rPr>
        <w:t>TN</w:t>
      </w:r>
      <w:r w:rsidRPr="00BD7731">
        <w:rPr>
          <w:vertAlign w:val="subscript"/>
        </w:rPr>
        <w:t>3200</w:t>
      </w:r>
      <w:r w:rsidRPr="00BD7731">
        <w:t xml:space="preserve">, (b) </w:t>
      </w:r>
      <w:r w:rsidRPr="00BD7731">
        <w:rPr>
          <w:b/>
          <w:bCs/>
        </w:rPr>
        <w:t>TN</w:t>
      </w:r>
      <w:r w:rsidRPr="00BD7731">
        <w:rPr>
          <w:vertAlign w:val="subscript"/>
        </w:rPr>
        <w:t>5300</w:t>
      </w:r>
      <w:r w:rsidRPr="00BD7731">
        <w:t xml:space="preserve">, (c) </w:t>
      </w:r>
      <w:r w:rsidRPr="00BD7731">
        <w:rPr>
          <w:b/>
          <w:bCs/>
        </w:rPr>
        <w:t>TN</w:t>
      </w:r>
      <w:r w:rsidRPr="00BD7731">
        <w:rPr>
          <w:vertAlign w:val="subscript"/>
        </w:rPr>
        <w:t>8600</w:t>
      </w:r>
      <w:r w:rsidRPr="00BD7731">
        <w:t>.</w:t>
      </w:r>
    </w:p>
    <w:p w14:paraId="0D8E70E6" w14:textId="77777777" w:rsidR="008F7113" w:rsidRPr="00BD7731" w:rsidRDefault="008F7113" w:rsidP="008F7113">
      <w:r w:rsidRPr="00BD7731">
        <w:br w:type="page"/>
      </w:r>
    </w:p>
    <w:p w14:paraId="2C8DD39D" w14:textId="77777777" w:rsidR="008F7113" w:rsidRPr="00BD7731" w:rsidRDefault="008F7113" w:rsidP="008F7113"/>
    <w:p w14:paraId="57FC0061" w14:textId="77777777" w:rsidR="008F7113" w:rsidRPr="00BD7731" w:rsidRDefault="008F7113" w:rsidP="008F7113">
      <w:pPr>
        <w:ind w:leftChars="-118" w:left="-283"/>
        <w:jc w:val="center"/>
      </w:pPr>
      <w:r w:rsidRPr="00BD7731">
        <w:rPr>
          <w:noProof/>
        </w:rPr>
        <w:drawing>
          <wp:inline distT="0" distB="0" distL="0" distR="0" wp14:anchorId="21BF36BA" wp14:editId="3FA35071">
            <wp:extent cx="6154558" cy="1443779"/>
            <wp:effectExtent l="0" t="0" r="0" b="0"/>
            <wp:docPr id="62" name="図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6154558" cy="1443779"/>
                    </a:xfrm>
                    <a:prstGeom prst="rect">
                      <a:avLst/>
                    </a:prstGeom>
                    <a:noFill/>
                    <a:ln>
                      <a:noFill/>
                    </a:ln>
                  </pic:spPr>
                </pic:pic>
              </a:graphicData>
            </a:graphic>
          </wp:inline>
        </w:drawing>
      </w:r>
    </w:p>
    <w:p w14:paraId="79A77AFA" w14:textId="6E90E271" w:rsidR="008F7113" w:rsidRPr="00BD7731" w:rsidRDefault="008F7113" w:rsidP="008F7113">
      <w:r w:rsidRPr="00BD7731">
        <w:rPr>
          <w:b/>
          <w:bCs/>
        </w:rPr>
        <w:t>Figure S</w:t>
      </w:r>
      <w:r w:rsidRPr="00BD7731">
        <w:rPr>
          <w:b/>
          <w:bCs/>
        </w:rPr>
        <w:fldChar w:fldCharType="begin"/>
      </w:r>
      <w:r w:rsidRPr="00BD7731">
        <w:rPr>
          <w:b/>
          <w:bCs/>
        </w:rPr>
        <w:instrText xml:space="preserve"> SEQ FigureSI \* MERGEFORMAT </w:instrText>
      </w:r>
      <w:r w:rsidRPr="00BD7731">
        <w:rPr>
          <w:b/>
          <w:bCs/>
        </w:rPr>
        <w:fldChar w:fldCharType="separate"/>
      </w:r>
      <w:r w:rsidR="00CF7DF3" w:rsidRPr="00BD7731">
        <w:rPr>
          <w:b/>
          <w:bCs/>
          <w:noProof/>
        </w:rPr>
        <w:t>16</w:t>
      </w:r>
      <w:r w:rsidRPr="00BD7731">
        <w:rPr>
          <w:b/>
          <w:bCs/>
        </w:rPr>
        <w:fldChar w:fldCharType="end"/>
      </w:r>
      <w:r w:rsidRPr="00BD7731">
        <w:rPr>
          <w:b/>
          <w:bCs/>
        </w:rPr>
        <w:t>.</w:t>
      </w:r>
      <w:r w:rsidRPr="00BD7731">
        <w:t xml:space="preserve"> Correlation between ln(τ) versus 1000/</w:t>
      </w:r>
      <w:r w:rsidRPr="00BD7731">
        <w:rPr>
          <w:i/>
          <w:iCs/>
        </w:rPr>
        <w:t>T</w:t>
      </w:r>
      <w:r w:rsidRPr="00BD7731">
        <w:t xml:space="preserve"> (τ: relaxation time, </w:t>
      </w:r>
      <w:r w:rsidRPr="00BD7731">
        <w:rPr>
          <w:i/>
          <w:iCs/>
        </w:rPr>
        <w:t>T</w:t>
      </w:r>
      <w:r w:rsidRPr="00BD7731">
        <w:t xml:space="preserve">: temperature in Kelvin) for </w:t>
      </w:r>
      <w:r w:rsidRPr="00BD7731">
        <w:rPr>
          <w:b/>
          <w:bCs/>
        </w:rPr>
        <w:t>TN</w:t>
      </w:r>
      <w:r w:rsidRPr="00BD7731">
        <w:t xml:space="preserve">s. (a) </w:t>
      </w:r>
      <w:r w:rsidRPr="00BD7731">
        <w:rPr>
          <w:b/>
          <w:bCs/>
        </w:rPr>
        <w:t>TN</w:t>
      </w:r>
      <w:r w:rsidRPr="00BD7731">
        <w:rPr>
          <w:vertAlign w:val="subscript"/>
        </w:rPr>
        <w:t>3200</w:t>
      </w:r>
      <w:r w:rsidRPr="00BD7731">
        <w:t xml:space="preserve">, (b) </w:t>
      </w:r>
      <w:r w:rsidRPr="00BD7731">
        <w:rPr>
          <w:b/>
          <w:bCs/>
        </w:rPr>
        <w:t>TN</w:t>
      </w:r>
      <w:r w:rsidRPr="00BD7731">
        <w:rPr>
          <w:vertAlign w:val="subscript"/>
        </w:rPr>
        <w:t>5300</w:t>
      </w:r>
      <w:r w:rsidRPr="00BD7731">
        <w:t xml:space="preserve">, (c) </w:t>
      </w:r>
      <w:r w:rsidRPr="00BD7731">
        <w:rPr>
          <w:b/>
          <w:bCs/>
        </w:rPr>
        <w:t>TN</w:t>
      </w:r>
      <w:r w:rsidRPr="00BD7731">
        <w:rPr>
          <w:vertAlign w:val="subscript"/>
        </w:rPr>
        <w:t>8600</w:t>
      </w:r>
      <w:r w:rsidRPr="00BD7731">
        <w:t>. Arrhenius activation energy of relaxation and the correlation factor are shown. Pre-exponential factors (ln</w:t>
      </w:r>
      <w:r w:rsidRPr="00BD7731">
        <w:rPr>
          <w:i/>
          <w:iCs/>
        </w:rPr>
        <w:t>τ</w:t>
      </w:r>
      <w:r w:rsidRPr="00BD7731">
        <w:rPr>
          <w:vertAlign w:val="subscript"/>
        </w:rPr>
        <w:t>0</w:t>
      </w:r>
      <w:r w:rsidRPr="00BD7731">
        <w:rPr>
          <w:i/>
          <w:iCs/>
        </w:rPr>
        <w:t xml:space="preserve">, </w:t>
      </w:r>
      <w:r w:rsidRPr="00BD7731">
        <w:t xml:space="preserve">y-intercept) in the analysis were -3.6, -7.7, -13 for </w:t>
      </w:r>
      <w:r w:rsidRPr="00BD7731">
        <w:rPr>
          <w:b/>
          <w:bCs/>
        </w:rPr>
        <w:t>TN</w:t>
      </w:r>
      <w:r w:rsidRPr="00BD7731">
        <w:rPr>
          <w:vertAlign w:val="subscript"/>
        </w:rPr>
        <w:t>3200</w:t>
      </w:r>
      <w:r w:rsidRPr="00BD7731">
        <w:t xml:space="preserve">, </w:t>
      </w:r>
      <w:r w:rsidRPr="00BD7731">
        <w:rPr>
          <w:b/>
          <w:bCs/>
        </w:rPr>
        <w:t>TN</w:t>
      </w:r>
      <w:r w:rsidRPr="00BD7731">
        <w:rPr>
          <w:vertAlign w:val="subscript"/>
        </w:rPr>
        <w:t>5300</w:t>
      </w:r>
      <w:r w:rsidRPr="00BD7731">
        <w:t xml:space="preserve">, </w:t>
      </w:r>
      <w:r w:rsidRPr="00BD7731">
        <w:rPr>
          <w:b/>
          <w:bCs/>
        </w:rPr>
        <w:t>TN</w:t>
      </w:r>
      <w:r w:rsidRPr="00BD7731">
        <w:rPr>
          <w:vertAlign w:val="subscript"/>
        </w:rPr>
        <w:t>8600</w:t>
      </w:r>
      <w:r w:rsidRPr="00BD7731">
        <w:t>, respectively.</w:t>
      </w:r>
    </w:p>
    <w:p w14:paraId="2925BEAF" w14:textId="77777777" w:rsidR="008F7113" w:rsidRPr="00BD7731" w:rsidRDefault="008F7113" w:rsidP="008F7113">
      <w:pPr>
        <w:spacing w:line="360" w:lineRule="auto"/>
      </w:pPr>
    </w:p>
    <w:p w14:paraId="28110EC6" w14:textId="77777777" w:rsidR="008F7113" w:rsidRPr="00BD7731" w:rsidRDefault="008F7113" w:rsidP="008F7113">
      <w:pPr>
        <w:spacing w:line="360" w:lineRule="auto"/>
      </w:pPr>
      <w:r w:rsidRPr="00BD7731">
        <w:rPr>
          <w:noProof/>
        </w:rPr>
        <w:drawing>
          <wp:inline distT="0" distB="0" distL="0" distR="0" wp14:anchorId="7751D4D7" wp14:editId="195F3B7C">
            <wp:extent cx="5759450" cy="4641850"/>
            <wp:effectExtent l="0" t="0" r="0" b="6350"/>
            <wp:docPr id="23" name="図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5759450" cy="4641850"/>
                    </a:xfrm>
                    <a:prstGeom prst="rect">
                      <a:avLst/>
                    </a:prstGeom>
                    <a:noFill/>
                    <a:ln>
                      <a:noFill/>
                    </a:ln>
                  </pic:spPr>
                </pic:pic>
              </a:graphicData>
            </a:graphic>
          </wp:inline>
        </w:drawing>
      </w:r>
    </w:p>
    <w:p w14:paraId="31709B8C" w14:textId="25759564" w:rsidR="008F7113" w:rsidRPr="00BD7731" w:rsidRDefault="008F7113" w:rsidP="008F7113">
      <w:r w:rsidRPr="00BD7731">
        <w:rPr>
          <w:b/>
          <w:bCs/>
        </w:rPr>
        <w:t>Figure S</w:t>
      </w:r>
      <w:r w:rsidRPr="00BD7731">
        <w:rPr>
          <w:b/>
          <w:bCs/>
        </w:rPr>
        <w:fldChar w:fldCharType="begin"/>
      </w:r>
      <w:r w:rsidRPr="00BD7731">
        <w:rPr>
          <w:b/>
          <w:bCs/>
        </w:rPr>
        <w:instrText xml:space="preserve"> SEQ FigureSI \* MERGEFORMAT </w:instrText>
      </w:r>
      <w:r w:rsidRPr="00BD7731">
        <w:rPr>
          <w:b/>
          <w:bCs/>
        </w:rPr>
        <w:fldChar w:fldCharType="separate"/>
      </w:r>
      <w:r w:rsidR="00CF7DF3" w:rsidRPr="00BD7731">
        <w:rPr>
          <w:b/>
          <w:bCs/>
          <w:noProof/>
        </w:rPr>
        <w:t>17</w:t>
      </w:r>
      <w:r w:rsidRPr="00BD7731">
        <w:rPr>
          <w:b/>
          <w:bCs/>
        </w:rPr>
        <w:fldChar w:fldCharType="end"/>
      </w:r>
      <w:r w:rsidRPr="00BD7731">
        <w:rPr>
          <w:b/>
          <w:bCs/>
        </w:rPr>
        <w:t>.</w:t>
      </w:r>
      <w:r w:rsidRPr="00BD7731">
        <w:t xml:space="preserve"> Preliminary result of the preparation of master curves for </w:t>
      </w:r>
      <w:r w:rsidRPr="00BD7731">
        <w:rPr>
          <w:b/>
          <w:bCs/>
        </w:rPr>
        <w:t>TN</w:t>
      </w:r>
      <w:r w:rsidRPr="00BD7731">
        <w:rPr>
          <w:vertAlign w:val="subscript"/>
        </w:rPr>
        <w:t>8500</w:t>
      </w:r>
      <w:r w:rsidRPr="00BD7731">
        <w:t xml:space="preserve"> and </w:t>
      </w:r>
      <w:r w:rsidRPr="00BD7731">
        <w:rPr>
          <w:b/>
          <w:bCs/>
        </w:rPr>
        <w:t>RN</w:t>
      </w:r>
      <w:r w:rsidRPr="00BD7731">
        <w:rPr>
          <w:vertAlign w:val="subscript"/>
        </w:rPr>
        <w:t>8500</w:t>
      </w:r>
      <w:r w:rsidRPr="00BD7731">
        <w:t xml:space="preserve"> by frequency sweep measurements at </w:t>
      </w:r>
      <w:proofErr w:type="spellStart"/>
      <w:r w:rsidRPr="00BD7731">
        <w:t>differente</w:t>
      </w:r>
      <w:proofErr w:type="spellEnd"/>
      <w:r w:rsidRPr="00BD7731">
        <w:t xml:space="preserve"> temperatures.</w:t>
      </w:r>
    </w:p>
    <w:p w14:paraId="480C06A0" w14:textId="77777777" w:rsidR="008F7113" w:rsidRPr="00BD7731" w:rsidRDefault="008F7113" w:rsidP="008F7113">
      <w:r w:rsidRPr="00BD7731">
        <w:br w:type="page"/>
      </w:r>
    </w:p>
    <w:p w14:paraId="10670DE1" w14:textId="77777777" w:rsidR="008F7113" w:rsidRPr="00BD7731" w:rsidRDefault="008F7113" w:rsidP="008F7113">
      <w:pPr>
        <w:spacing w:line="360" w:lineRule="auto"/>
      </w:pPr>
      <w:r w:rsidRPr="00BD7731">
        <w:rPr>
          <w:rFonts w:hint="eastAsia"/>
          <w:noProof/>
        </w:rPr>
        <w:drawing>
          <wp:inline distT="0" distB="0" distL="0" distR="0" wp14:anchorId="7579D5CA" wp14:editId="5E0BAD1A">
            <wp:extent cx="5759450" cy="3695700"/>
            <wp:effectExtent l="0" t="0" r="0" b="0"/>
            <wp:docPr id="24" name="図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5759450" cy="3695700"/>
                    </a:xfrm>
                    <a:prstGeom prst="rect">
                      <a:avLst/>
                    </a:prstGeom>
                    <a:noFill/>
                    <a:ln>
                      <a:noFill/>
                    </a:ln>
                  </pic:spPr>
                </pic:pic>
              </a:graphicData>
            </a:graphic>
          </wp:inline>
        </w:drawing>
      </w:r>
    </w:p>
    <w:p w14:paraId="5C8C3DD7" w14:textId="77777777" w:rsidR="008F7113" w:rsidRPr="00BD7731" w:rsidRDefault="008F7113" w:rsidP="008F7113">
      <w:pPr>
        <w:spacing w:line="360" w:lineRule="auto"/>
      </w:pPr>
      <w:r w:rsidRPr="00BD7731">
        <w:rPr>
          <w:noProof/>
        </w:rPr>
        <w:drawing>
          <wp:inline distT="0" distB="0" distL="0" distR="0" wp14:anchorId="00FCAF11" wp14:editId="78D4D2E0">
            <wp:extent cx="5759450" cy="1797050"/>
            <wp:effectExtent l="0" t="0" r="0" b="0"/>
            <wp:docPr id="25" name="図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5759450" cy="1797050"/>
                    </a:xfrm>
                    <a:prstGeom prst="rect">
                      <a:avLst/>
                    </a:prstGeom>
                    <a:noFill/>
                    <a:ln>
                      <a:noFill/>
                    </a:ln>
                  </pic:spPr>
                </pic:pic>
              </a:graphicData>
            </a:graphic>
          </wp:inline>
        </w:drawing>
      </w:r>
    </w:p>
    <w:p w14:paraId="0B2D376D" w14:textId="2AF0D873" w:rsidR="008F7113" w:rsidRPr="00BD7731" w:rsidRDefault="008F7113" w:rsidP="008F7113">
      <w:r w:rsidRPr="00BD7731">
        <w:rPr>
          <w:b/>
          <w:bCs/>
        </w:rPr>
        <w:t>Figure S</w:t>
      </w:r>
      <w:r w:rsidRPr="00BD7731">
        <w:rPr>
          <w:b/>
          <w:bCs/>
        </w:rPr>
        <w:fldChar w:fldCharType="begin"/>
      </w:r>
      <w:r w:rsidRPr="00BD7731">
        <w:rPr>
          <w:b/>
          <w:bCs/>
        </w:rPr>
        <w:instrText xml:space="preserve"> SEQ FigureSI \* MERGEFORMAT </w:instrText>
      </w:r>
      <w:r w:rsidRPr="00BD7731">
        <w:rPr>
          <w:b/>
          <w:bCs/>
        </w:rPr>
        <w:fldChar w:fldCharType="separate"/>
      </w:r>
      <w:r w:rsidR="00CF7DF3" w:rsidRPr="00BD7731">
        <w:rPr>
          <w:b/>
          <w:bCs/>
          <w:noProof/>
        </w:rPr>
        <w:t>18</w:t>
      </w:r>
      <w:r w:rsidRPr="00BD7731">
        <w:rPr>
          <w:b/>
          <w:bCs/>
        </w:rPr>
        <w:fldChar w:fldCharType="end"/>
      </w:r>
      <w:r w:rsidRPr="00BD7731">
        <w:rPr>
          <w:b/>
          <w:bCs/>
        </w:rPr>
        <w:t>.</w:t>
      </w:r>
      <w:r w:rsidRPr="00BD7731">
        <w:t xml:space="preserve"> Preliminary result of the preparation of master curves for </w:t>
      </w:r>
      <w:r w:rsidRPr="00BD7731">
        <w:rPr>
          <w:b/>
          <w:bCs/>
        </w:rPr>
        <w:t>TN</w:t>
      </w:r>
      <w:r w:rsidRPr="00BD7731">
        <w:t xml:space="preserve"> by stress relaxation measurements at </w:t>
      </w:r>
      <w:proofErr w:type="spellStart"/>
      <w:r w:rsidRPr="00BD7731">
        <w:t>differente</w:t>
      </w:r>
      <w:proofErr w:type="spellEnd"/>
      <w:r w:rsidRPr="00BD7731">
        <w:t xml:space="preserve"> temperatures.</w:t>
      </w:r>
    </w:p>
    <w:p w14:paraId="60B40DAA" w14:textId="77777777" w:rsidR="008F7113" w:rsidRPr="00BD7731" w:rsidRDefault="008F7113" w:rsidP="008F7113">
      <w:pPr>
        <w:spacing w:line="360" w:lineRule="auto"/>
      </w:pPr>
    </w:p>
    <w:p w14:paraId="3F5C94A6" w14:textId="77777777" w:rsidR="0059526F" w:rsidRPr="00BD7731" w:rsidRDefault="0059526F" w:rsidP="008C6D5F">
      <w:pPr>
        <w:spacing w:line="360" w:lineRule="auto"/>
      </w:pPr>
    </w:p>
    <w:sectPr w:rsidR="0059526F" w:rsidRPr="00BD7731" w:rsidSect="00404548">
      <w:type w:val="continuous"/>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6F71DD" w14:textId="77777777" w:rsidR="009B0166" w:rsidRDefault="009B0166">
      <w:r>
        <w:separator/>
      </w:r>
    </w:p>
  </w:endnote>
  <w:endnote w:type="continuationSeparator" w:id="0">
    <w:p w14:paraId="78BFFD69" w14:textId="77777777" w:rsidR="009B0166" w:rsidRDefault="009B01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default"/>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entury">
    <w:panose1 w:val="02040604050505020304"/>
    <w:charset w:val="00"/>
    <w:family w:val="roman"/>
    <w:pitch w:val="variable"/>
    <w:sig w:usb0="00000287" w:usb1="00000000" w:usb2="00000000" w:usb3="00000000" w:csb0="0000009F" w:csb1="00000000"/>
  </w:font>
  <w:font w:name="游明朝">
    <w:panose1 w:val="02020400000000000000"/>
    <w:charset w:val="80"/>
    <w:family w:val="roman"/>
    <w:pitch w:val="variable"/>
    <w:sig w:usb0="800002E7" w:usb1="2AC7FCFF"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ＭＳ Ｐゴシック">
    <w:panose1 w:val="020B0600070205080204"/>
    <w:charset w:val="80"/>
    <w:family w:val="modern"/>
    <w:pitch w:val="variable"/>
    <w:sig w:usb0="E00002FF" w:usb1="6AC7FDFB" w:usb2="08000012" w:usb3="00000000" w:csb0="0002009F" w:csb1="00000000"/>
  </w:font>
  <w:font w:name="XITS Math">
    <w:altName w:val="Calibri"/>
    <w:panose1 w:val="00000000000000000000"/>
    <w:charset w:val="00"/>
    <w:family w:val="modern"/>
    <w:notTrueType/>
    <w:pitch w:val="variable"/>
    <w:sig w:usb0="A00022FF" w:usb1="0203FDFF" w:usb2="0A000020" w:usb3="00000000" w:csb0="0000009F" w:csb1="00000000"/>
  </w:font>
  <w:font w:name="Cambria Math">
    <w:panose1 w:val="02040503050406030204"/>
    <w:charset w:val="00"/>
    <w:family w:val="roman"/>
    <w:pitch w:val="variable"/>
    <w:sig w:usb0="E00006FF" w:usb1="420024FF" w:usb2="02000000" w:usb3="00000000" w:csb0="0000019F" w:csb1="00000000"/>
  </w:font>
  <w:font w:name="游ゴシック Light">
    <w:panose1 w:val="020B0300000000000000"/>
    <w:charset w:val="80"/>
    <w:family w:val="modern"/>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5B96A1" w14:textId="77777777" w:rsidR="00B044D5" w:rsidRDefault="00B044D5">
    <w:pPr>
      <w:pStyle w:val="a9"/>
      <w:jc w:val="center"/>
    </w:pPr>
    <w:r>
      <w:fldChar w:fldCharType="begin"/>
    </w:r>
    <w:r>
      <w:instrText>PAGE   \* MERGEFORMAT</w:instrText>
    </w:r>
    <w:r>
      <w:fldChar w:fldCharType="separate"/>
    </w:r>
    <w:r w:rsidR="000110FD">
      <w:rPr>
        <w:noProof/>
      </w:rPr>
      <w:t>20</w:t>
    </w:r>
    <w:r>
      <w:fldChar w:fldCharType="end"/>
    </w:r>
  </w:p>
  <w:p w14:paraId="76AE581B" w14:textId="77777777" w:rsidR="00B044D5" w:rsidRDefault="00B044D5" w:rsidP="00881456">
    <w:pPr>
      <w:pStyle w:val="a9"/>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951111" w14:textId="77777777" w:rsidR="009B0166" w:rsidRDefault="009B0166">
      <w:r>
        <w:separator/>
      </w:r>
    </w:p>
  </w:footnote>
  <w:footnote w:type="continuationSeparator" w:id="0">
    <w:p w14:paraId="3C46FEC1" w14:textId="77777777" w:rsidR="009B0166" w:rsidRDefault="009B01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7A9236" w14:textId="366833C5" w:rsidR="00B044D5" w:rsidRPr="009B44CC" w:rsidRDefault="00B044D5" w:rsidP="009B44CC">
    <w:pPr>
      <w:pStyle w:val="a7"/>
      <w:tabs>
        <w:tab w:val="left" w:pos="5003"/>
      </w:tabs>
      <w:jc w:val="right"/>
      <w:rPr>
        <w:lang w:val="en-US"/>
      </w:rPr>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E577B"/>
    <w:multiLevelType w:val="multilevel"/>
    <w:tmpl w:val="C0565ABE"/>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 w15:restartNumberingAfterBreak="0">
    <w:nsid w:val="46114751"/>
    <w:multiLevelType w:val="hybridMultilevel"/>
    <w:tmpl w:val="CFD6FBA0"/>
    <w:lvl w:ilvl="0" w:tplc="F36C3F46">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576861960">
    <w:abstractNumId w:val="1"/>
  </w:num>
  <w:num w:numId="2" w16cid:durableId="17986001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removePersonalInformation/>
  <w:removeDateAndTime/>
  <w:bordersDoNotSurroundHeader/>
  <w:bordersDoNotSurroundFooter/>
  <w:hideSpellingErrors/>
  <w:activeWritingStyle w:appName="MSWord" w:lang="en-US" w:vendorID="64" w:dllVersion="6" w:nlCheck="1" w:checkStyle="0"/>
  <w:activeWritingStyle w:appName="MSWord" w:lang="en-GB" w:vendorID="64" w:dllVersion="6" w:nlCheck="1" w:checkStyle="1"/>
  <w:activeWritingStyle w:appName="MSWord" w:lang="en-IN" w:vendorID="64" w:dllVersion="6" w:nlCheck="1" w:checkStyle="1"/>
  <w:activeWritingStyle w:appName="MSWord" w:lang="en-US" w:vendorID="64" w:dllVersion="0" w:nlCheck="1" w:checkStyle="0"/>
  <w:activeWritingStyle w:appName="MSWord" w:lang="en-GB" w:vendorID="64" w:dllVersion="0" w:nlCheck="1" w:checkStyle="0"/>
  <w:activeWritingStyle w:appName="MSWord" w:lang="ja-JP" w:vendorID="64" w:dllVersion="0" w:nlCheck="1" w:checkStyle="1"/>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noPunctuationKerning/>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16A0"/>
    <w:rsid w:val="000003BB"/>
    <w:rsid w:val="0000374D"/>
    <w:rsid w:val="00004A23"/>
    <w:rsid w:val="00006A0A"/>
    <w:rsid w:val="0000703E"/>
    <w:rsid w:val="00007EE0"/>
    <w:rsid w:val="000110FD"/>
    <w:rsid w:val="000112FC"/>
    <w:rsid w:val="000118B0"/>
    <w:rsid w:val="00011F40"/>
    <w:rsid w:val="0001454A"/>
    <w:rsid w:val="0001683C"/>
    <w:rsid w:val="000172E7"/>
    <w:rsid w:val="000214A8"/>
    <w:rsid w:val="00023F64"/>
    <w:rsid w:val="00026295"/>
    <w:rsid w:val="00027FB5"/>
    <w:rsid w:val="000314D2"/>
    <w:rsid w:val="0003318F"/>
    <w:rsid w:val="000359D3"/>
    <w:rsid w:val="0004094E"/>
    <w:rsid w:val="00040B7B"/>
    <w:rsid w:val="00041C1B"/>
    <w:rsid w:val="000437F7"/>
    <w:rsid w:val="00043EAB"/>
    <w:rsid w:val="00044229"/>
    <w:rsid w:val="00050835"/>
    <w:rsid w:val="00050985"/>
    <w:rsid w:val="0005501E"/>
    <w:rsid w:val="00055883"/>
    <w:rsid w:val="0006044D"/>
    <w:rsid w:val="00060D37"/>
    <w:rsid w:val="00062324"/>
    <w:rsid w:val="00063C0E"/>
    <w:rsid w:val="00072EA7"/>
    <w:rsid w:val="00076EAD"/>
    <w:rsid w:val="0008287E"/>
    <w:rsid w:val="00083031"/>
    <w:rsid w:val="000852E2"/>
    <w:rsid w:val="0008740B"/>
    <w:rsid w:val="000904D3"/>
    <w:rsid w:val="0009309C"/>
    <w:rsid w:val="000936B0"/>
    <w:rsid w:val="0009379D"/>
    <w:rsid w:val="00093F1B"/>
    <w:rsid w:val="000A1F4B"/>
    <w:rsid w:val="000A21A9"/>
    <w:rsid w:val="000A35CB"/>
    <w:rsid w:val="000A3E93"/>
    <w:rsid w:val="000A472C"/>
    <w:rsid w:val="000A5773"/>
    <w:rsid w:val="000A682F"/>
    <w:rsid w:val="000B05A0"/>
    <w:rsid w:val="000B33EE"/>
    <w:rsid w:val="000B4293"/>
    <w:rsid w:val="000C259E"/>
    <w:rsid w:val="000C3E0C"/>
    <w:rsid w:val="000C4C44"/>
    <w:rsid w:val="000C6252"/>
    <w:rsid w:val="000C6F8A"/>
    <w:rsid w:val="000D2D4B"/>
    <w:rsid w:val="000D45F4"/>
    <w:rsid w:val="000D5AB4"/>
    <w:rsid w:val="000D66DB"/>
    <w:rsid w:val="000D7EBA"/>
    <w:rsid w:val="000E2E0A"/>
    <w:rsid w:val="000E62B5"/>
    <w:rsid w:val="000E788B"/>
    <w:rsid w:val="000E7A5B"/>
    <w:rsid w:val="000E7BBA"/>
    <w:rsid w:val="000F512F"/>
    <w:rsid w:val="001013F4"/>
    <w:rsid w:val="00103807"/>
    <w:rsid w:val="00104D1B"/>
    <w:rsid w:val="001054D4"/>
    <w:rsid w:val="0010686C"/>
    <w:rsid w:val="00107C5F"/>
    <w:rsid w:val="00107CCC"/>
    <w:rsid w:val="00110011"/>
    <w:rsid w:val="001105BD"/>
    <w:rsid w:val="00116C82"/>
    <w:rsid w:val="00120BE6"/>
    <w:rsid w:val="00120E85"/>
    <w:rsid w:val="00123ADA"/>
    <w:rsid w:val="00125573"/>
    <w:rsid w:val="0012642A"/>
    <w:rsid w:val="001266F2"/>
    <w:rsid w:val="00126D17"/>
    <w:rsid w:val="0012791F"/>
    <w:rsid w:val="00127CF4"/>
    <w:rsid w:val="001305BF"/>
    <w:rsid w:val="00131996"/>
    <w:rsid w:val="00131D58"/>
    <w:rsid w:val="00132BE1"/>
    <w:rsid w:val="001370B1"/>
    <w:rsid w:val="001377CA"/>
    <w:rsid w:val="00140B94"/>
    <w:rsid w:val="001422EF"/>
    <w:rsid w:val="001432DD"/>
    <w:rsid w:val="001450FB"/>
    <w:rsid w:val="00146550"/>
    <w:rsid w:val="0014658A"/>
    <w:rsid w:val="00147366"/>
    <w:rsid w:val="00147DB8"/>
    <w:rsid w:val="00151683"/>
    <w:rsid w:val="0015392F"/>
    <w:rsid w:val="0015563E"/>
    <w:rsid w:val="00155F66"/>
    <w:rsid w:val="00156017"/>
    <w:rsid w:val="0016390D"/>
    <w:rsid w:val="00164057"/>
    <w:rsid w:val="00164D03"/>
    <w:rsid w:val="00165B37"/>
    <w:rsid w:val="00170369"/>
    <w:rsid w:val="00170AC8"/>
    <w:rsid w:val="00173757"/>
    <w:rsid w:val="00174176"/>
    <w:rsid w:val="001751B1"/>
    <w:rsid w:val="00181D92"/>
    <w:rsid w:val="001823B6"/>
    <w:rsid w:val="001848EB"/>
    <w:rsid w:val="00187DB9"/>
    <w:rsid w:val="0019077D"/>
    <w:rsid w:val="0019194D"/>
    <w:rsid w:val="0019723B"/>
    <w:rsid w:val="001A4240"/>
    <w:rsid w:val="001A6821"/>
    <w:rsid w:val="001A6E12"/>
    <w:rsid w:val="001A7333"/>
    <w:rsid w:val="001A734D"/>
    <w:rsid w:val="001B4224"/>
    <w:rsid w:val="001B5790"/>
    <w:rsid w:val="001B7472"/>
    <w:rsid w:val="001C10AC"/>
    <w:rsid w:val="001C1CAF"/>
    <w:rsid w:val="001C3F85"/>
    <w:rsid w:val="001C55FB"/>
    <w:rsid w:val="001D12BC"/>
    <w:rsid w:val="001D2A2B"/>
    <w:rsid w:val="001D561D"/>
    <w:rsid w:val="001D7065"/>
    <w:rsid w:val="001E18CC"/>
    <w:rsid w:val="001E3D2D"/>
    <w:rsid w:val="001E4605"/>
    <w:rsid w:val="001E56E5"/>
    <w:rsid w:val="001E5F4E"/>
    <w:rsid w:val="001E7BCE"/>
    <w:rsid w:val="001F2689"/>
    <w:rsid w:val="001F2AB7"/>
    <w:rsid w:val="001F3C9B"/>
    <w:rsid w:val="001F3E77"/>
    <w:rsid w:val="001F4BD1"/>
    <w:rsid w:val="001F5110"/>
    <w:rsid w:val="001F5702"/>
    <w:rsid w:val="001F5DAA"/>
    <w:rsid w:val="001F65A2"/>
    <w:rsid w:val="002002FC"/>
    <w:rsid w:val="00201090"/>
    <w:rsid w:val="00201F71"/>
    <w:rsid w:val="00203934"/>
    <w:rsid w:val="00203B4F"/>
    <w:rsid w:val="0020446B"/>
    <w:rsid w:val="00204BA7"/>
    <w:rsid w:val="002072AB"/>
    <w:rsid w:val="00207EE1"/>
    <w:rsid w:val="00210140"/>
    <w:rsid w:val="0021034A"/>
    <w:rsid w:val="00211942"/>
    <w:rsid w:val="0021239C"/>
    <w:rsid w:val="00214D95"/>
    <w:rsid w:val="00215531"/>
    <w:rsid w:val="002162B2"/>
    <w:rsid w:val="00216F54"/>
    <w:rsid w:val="00220933"/>
    <w:rsid w:val="00220C72"/>
    <w:rsid w:val="00223F2A"/>
    <w:rsid w:val="0022540C"/>
    <w:rsid w:val="00226AA4"/>
    <w:rsid w:val="00232A9B"/>
    <w:rsid w:val="00233C8A"/>
    <w:rsid w:val="00236036"/>
    <w:rsid w:val="00240D90"/>
    <w:rsid w:val="00245E66"/>
    <w:rsid w:val="00253CB1"/>
    <w:rsid w:val="002543F9"/>
    <w:rsid w:val="00257ADD"/>
    <w:rsid w:val="00262307"/>
    <w:rsid w:val="00263723"/>
    <w:rsid w:val="00263CF8"/>
    <w:rsid w:val="00265635"/>
    <w:rsid w:val="00266389"/>
    <w:rsid w:val="002675F7"/>
    <w:rsid w:val="002725A5"/>
    <w:rsid w:val="0027314F"/>
    <w:rsid w:val="0028102B"/>
    <w:rsid w:val="0028289F"/>
    <w:rsid w:val="00284157"/>
    <w:rsid w:val="00285631"/>
    <w:rsid w:val="00286E23"/>
    <w:rsid w:val="00290D94"/>
    <w:rsid w:val="002918D7"/>
    <w:rsid w:val="0029203C"/>
    <w:rsid w:val="00294873"/>
    <w:rsid w:val="00294B88"/>
    <w:rsid w:val="00297F20"/>
    <w:rsid w:val="002A4A81"/>
    <w:rsid w:val="002A5F88"/>
    <w:rsid w:val="002A638A"/>
    <w:rsid w:val="002A73A2"/>
    <w:rsid w:val="002A7CE8"/>
    <w:rsid w:val="002B0671"/>
    <w:rsid w:val="002B262F"/>
    <w:rsid w:val="002B3553"/>
    <w:rsid w:val="002B5E06"/>
    <w:rsid w:val="002C0CFF"/>
    <w:rsid w:val="002C7005"/>
    <w:rsid w:val="002D09B9"/>
    <w:rsid w:val="002D16A0"/>
    <w:rsid w:val="002D2930"/>
    <w:rsid w:val="002D2DFF"/>
    <w:rsid w:val="002D3D6D"/>
    <w:rsid w:val="002D5BF8"/>
    <w:rsid w:val="002D7ECC"/>
    <w:rsid w:val="002E1B8F"/>
    <w:rsid w:val="002E1BA6"/>
    <w:rsid w:val="002E2DEF"/>
    <w:rsid w:val="002E38F2"/>
    <w:rsid w:val="002E4E3E"/>
    <w:rsid w:val="002E76B2"/>
    <w:rsid w:val="002E79A2"/>
    <w:rsid w:val="002F1B47"/>
    <w:rsid w:val="002F4F4B"/>
    <w:rsid w:val="002F55FD"/>
    <w:rsid w:val="002F594C"/>
    <w:rsid w:val="002F60A6"/>
    <w:rsid w:val="002F6191"/>
    <w:rsid w:val="00300E35"/>
    <w:rsid w:val="00301984"/>
    <w:rsid w:val="00301B0B"/>
    <w:rsid w:val="00301E84"/>
    <w:rsid w:val="00302E7A"/>
    <w:rsid w:val="00303D1B"/>
    <w:rsid w:val="003046B7"/>
    <w:rsid w:val="00317A57"/>
    <w:rsid w:val="00320A99"/>
    <w:rsid w:val="0032144B"/>
    <w:rsid w:val="00321E38"/>
    <w:rsid w:val="00322D5B"/>
    <w:rsid w:val="00324BF5"/>
    <w:rsid w:val="00325AC2"/>
    <w:rsid w:val="00326A1C"/>
    <w:rsid w:val="00327FDC"/>
    <w:rsid w:val="003360E3"/>
    <w:rsid w:val="003371D5"/>
    <w:rsid w:val="00337624"/>
    <w:rsid w:val="003376CD"/>
    <w:rsid w:val="00342439"/>
    <w:rsid w:val="003452C3"/>
    <w:rsid w:val="003501A7"/>
    <w:rsid w:val="0035048A"/>
    <w:rsid w:val="0036263B"/>
    <w:rsid w:val="00363B62"/>
    <w:rsid w:val="003645B0"/>
    <w:rsid w:val="00364B2C"/>
    <w:rsid w:val="003664F1"/>
    <w:rsid w:val="00367E3F"/>
    <w:rsid w:val="003703ED"/>
    <w:rsid w:val="0037386B"/>
    <w:rsid w:val="00377EA5"/>
    <w:rsid w:val="00377F77"/>
    <w:rsid w:val="00383073"/>
    <w:rsid w:val="00383FEC"/>
    <w:rsid w:val="0038438F"/>
    <w:rsid w:val="003855F6"/>
    <w:rsid w:val="00387C67"/>
    <w:rsid w:val="00387D98"/>
    <w:rsid w:val="00390B0F"/>
    <w:rsid w:val="00390B38"/>
    <w:rsid w:val="00390B6B"/>
    <w:rsid w:val="00391CFE"/>
    <w:rsid w:val="0039353B"/>
    <w:rsid w:val="00394A11"/>
    <w:rsid w:val="00394F9E"/>
    <w:rsid w:val="00395426"/>
    <w:rsid w:val="00395B91"/>
    <w:rsid w:val="00396615"/>
    <w:rsid w:val="0039700D"/>
    <w:rsid w:val="00397089"/>
    <w:rsid w:val="003978A8"/>
    <w:rsid w:val="003A0F30"/>
    <w:rsid w:val="003A4C44"/>
    <w:rsid w:val="003A5AD0"/>
    <w:rsid w:val="003A6CE3"/>
    <w:rsid w:val="003A7899"/>
    <w:rsid w:val="003B15EE"/>
    <w:rsid w:val="003B517D"/>
    <w:rsid w:val="003B60EC"/>
    <w:rsid w:val="003C00ED"/>
    <w:rsid w:val="003C1C0A"/>
    <w:rsid w:val="003C35DF"/>
    <w:rsid w:val="003C4A68"/>
    <w:rsid w:val="003C554F"/>
    <w:rsid w:val="003C61DD"/>
    <w:rsid w:val="003D63E7"/>
    <w:rsid w:val="003E05F1"/>
    <w:rsid w:val="003E113B"/>
    <w:rsid w:val="003E5092"/>
    <w:rsid w:val="003E715D"/>
    <w:rsid w:val="003F103E"/>
    <w:rsid w:val="003F2E48"/>
    <w:rsid w:val="003F440C"/>
    <w:rsid w:val="003F525A"/>
    <w:rsid w:val="003F7BE6"/>
    <w:rsid w:val="003F7E09"/>
    <w:rsid w:val="004006A9"/>
    <w:rsid w:val="00404548"/>
    <w:rsid w:val="004052AE"/>
    <w:rsid w:val="004118A5"/>
    <w:rsid w:val="00413672"/>
    <w:rsid w:val="00414041"/>
    <w:rsid w:val="00414465"/>
    <w:rsid w:val="00414729"/>
    <w:rsid w:val="00414C80"/>
    <w:rsid w:val="00414F4B"/>
    <w:rsid w:val="00415EF9"/>
    <w:rsid w:val="00416629"/>
    <w:rsid w:val="00417DA1"/>
    <w:rsid w:val="00422E9D"/>
    <w:rsid w:val="00423478"/>
    <w:rsid w:val="00425B76"/>
    <w:rsid w:val="00425E4D"/>
    <w:rsid w:val="00425FFE"/>
    <w:rsid w:val="004260A2"/>
    <w:rsid w:val="00426FC6"/>
    <w:rsid w:val="004273BC"/>
    <w:rsid w:val="00427C5F"/>
    <w:rsid w:val="00441EAC"/>
    <w:rsid w:val="004462F5"/>
    <w:rsid w:val="004507E5"/>
    <w:rsid w:val="004519AD"/>
    <w:rsid w:val="00452D0D"/>
    <w:rsid w:val="0045459A"/>
    <w:rsid w:val="004545DB"/>
    <w:rsid w:val="0045786A"/>
    <w:rsid w:val="00460F76"/>
    <w:rsid w:val="00462F12"/>
    <w:rsid w:val="00463050"/>
    <w:rsid w:val="0046340F"/>
    <w:rsid w:val="00466168"/>
    <w:rsid w:val="0046778B"/>
    <w:rsid w:val="004714D4"/>
    <w:rsid w:val="0047209C"/>
    <w:rsid w:val="00475712"/>
    <w:rsid w:val="00480CCE"/>
    <w:rsid w:val="00482FAA"/>
    <w:rsid w:val="0048379B"/>
    <w:rsid w:val="00484B90"/>
    <w:rsid w:val="00487211"/>
    <w:rsid w:val="0049075F"/>
    <w:rsid w:val="00492DA8"/>
    <w:rsid w:val="00497023"/>
    <w:rsid w:val="004A0888"/>
    <w:rsid w:val="004A43B6"/>
    <w:rsid w:val="004A70EE"/>
    <w:rsid w:val="004A774E"/>
    <w:rsid w:val="004A7D3E"/>
    <w:rsid w:val="004A7FF9"/>
    <w:rsid w:val="004B2C21"/>
    <w:rsid w:val="004B379D"/>
    <w:rsid w:val="004B5F0C"/>
    <w:rsid w:val="004B6031"/>
    <w:rsid w:val="004C046E"/>
    <w:rsid w:val="004C1609"/>
    <w:rsid w:val="004C216B"/>
    <w:rsid w:val="004C5DD3"/>
    <w:rsid w:val="004D30F9"/>
    <w:rsid w:val="004D4A32"/>
    <w:rsid w:val="004D64AB"/>
    <w:rsid w:val="004E7CE8"/>
    <w:rsid w:val="004F1A52"/>
    <w:rsid w:val="004F271D"/>
    <w:rsid w:val="004F5114"/>
    <w:rsid w:val="004F756C"/>
    <w:rsid w:val="00500148"/>
    <w:rsid w:val="005001FA"/>
    <w:rsid w:val="005019AF"/>
    <w:rsid w:val="0050488D"/>
    <w:rsid w:val="00504D12"/>
    <w:rsid w:val="0050527A"/>
    <w:rsid w:val="0050535A"/>
    <w:rsid w:val="0050703F"/>
    <w:rsid w:val="005106F5"/>
    <w:rsid w:val="00511192"/>
    <w:rsid w:val="005118AD"/>
    <w:rsid w:val="00512353"/>
    <w:rsid w:val="005125B8"/>
    <w:rsid w:val="005220C2"/>
    <w:rsid w:val="00522E88"/>
    <w:rsid w:val="00523369"/>
    <w:rsid w:val="0052398F"/>
    <w:rsid w:val="00532960"/>
    <w:rsid w:val="00540814"/>
    <w:rsid w:val="00545A73"/>
    <w:rsid w:val="00546DEB"/>
    <w:rsid w:val="00546F0F"/>
    <w:rsid w:val="005477E7"/>
    <w:rsid w:val="00550159"/>
    <w:rsid w:val="00551897"/>
    <w:rsid w:val="00551FFD"/>
    <w:rsid w:val="00552A0F"/>
    <w:rsid w:val="00552E6D"/>
    <w:rsid w:val="00553E0B"/>
    <w:rsid w:val="005551ED"/>
    <w:rsid w:val="00556419"/>
    <w:rsid w:val="005572B4"/>
    <w:rsid w:val="005572DD"/>
    <w:rsid w:val="005573C2"/>
    <w:rsid w:val="00560564"/>
    <w:rsid w:val="00562E2B"/>
    <w:rsid w:val="00564668"/>
    <w:rsid w:val="00567B82"/>
    <w:rsid w:val="00570353"/>
    <w:rsid w:val="005715F5"/>
    <w:rsid w:val="0057171E"/>
    <w:rsid w:val="00571EEC"/>
    <w:rsid w:val="00572666"/>
    <w:rsid w:val="0057267E"/>
    <w:rsid w:val="005726BD"/>
    <w:rsid w:val="00574A5A"/>
    <w:rsid w:val="005753B8"/>
    <w:rsid w:val="00583ED5"/>
    <w:rsid w:val="00587437"/>
    <w:rsid w:val="00592678"/>
    <w:rsid w:val="00594644"/>
    <w:rsid w:val="0059526F"/>
    <w:rsid w:val="00596289"/>
    <w:rsid w:val="00596F36"/>
    <w:rsid w:val="005A1741"/>
    <w:rsid w:val="005A235F"/>
    <w:rsid w:val="005A751F"/>
    <w:rsid w:val="005A7719"/>
    <w:rsid w:val="005A77C2"/>
    <w:rsid w:val="005B1ABE"/>
    <w:rsid w:val="005B291B"/>
    <w:rsid w:val="005B76C5"/>
    <w:rsid w:val="005B7AF0"/>
    <w:rsid w:val="005B7B8A"/>
    <w:rsid w:val="005C09C6"/>
    <w:rsid w:val="005C458D"/>
    <w:rsid w:val="005C491E"/>
    <w:rsid w:val="005C5E0A"/>
    <w:rsid w:val="005C6C0C"/>
    <w:rsid w:val="005D2041"/>
    <w:rsid w:val="005D2276"/>
    <w:rsid w:val="005D25FD"/>
    <w:rsid w:val="005D2808"/>
    <w:rsid w:val="005D71B6"/>
    <w:rsid w:val="005E0858"/>
    <w:rsid w:val="005E2794"/>
    <w:rsid w:val="005E3CBF"/>
    <w:rsid w:val="005E51DB"/>
    <w:rsid w:val="005E6F9D"/>
    <w:rsid w:val="005E7B5A"/>
    <w:rsid w:val="005F01FC"/>
    <w:rsid w:val="005F0C89"/>
    <w:rsid w:val="005F3701"/>
    <w:rsid w:val="005F41DF"/>
    <w:rsid w:val="005F4521"/>
    <w:rsid w:val="005F5478"/>
    <w:rsid w:val="005F5DE0"/>
    <w:rsid w:val="006006FC"/>
    <w:rsid w:val="00602DBD"/>
    <w:rsid w:val="006045BA"/>
    <w:rsid w:val="0060583A"/>
    <w:rsid w:val="006074AA"/>
    <w:rsid w:val="00611649"/>
    <w:rsid w:val="00611A0E"/>
    <w:rsid w:val="006140B2"/>
    <w:rsid w:val="00614154"/>
    <w:rsid w:val="00614BD3"/>
    <w:rsid w:val="00623A77"/>
    <w:rsid w:val="0062517A"/>
    <w:rsid w:val="006256F5"/>
    <w:rsid w:val="0063097B"/>
    <w:rsid w:val="00630AB8"/>
    <w:rsid w:val="006364B8"/>
    <w:rsid w:val="00636A64"/>
    <w:rsid w:val="00636B93"/>
    <w:rsid w:val="00640550"/>
    <w:rsid w:val="0064326A"/>
    <w:rsid w:val="006449D2"/>
    <w:rsid w:val="00644D5D"/>
    <w:rsid w:val="0064695B"/>
    <w:rsid w:val="00646DC7"/>
    <w:rsid w:val="00647A1D"/>
    <w:rsid w:val="00647D18"/>
    <w:rsid w:val="006511FB"/>
    <w:rsid w:val="00651A9D"/>
    <w:rsid w:val="00654C93"/>
    <w:rsid w:val="00656092"/>
    <w:rsid w:val="0065741C"/>
    <w:rsid w:val="00660B85"/>
    <w:rsid w:val="006622E0"/>
    <w:rsid w:val="00662DCE"/>
    <w:rsid w:val="00664F6D"/>
    <w:rsid w:val="006650B8"/>
    <w:rsid w:val="00666329"/>
    <w:rsid w:val="006672EE"/>
    <w:rsid w:val="00667F9D"/>
    <w:rsid w:val="0067011F"/>
    <w:rsid w:val="0067015E"/>
    <w:rsid w:val="00680453"/>
    <w:rsid w:val="00680E64"/>
    <w:rsid w:val="00681795"/>
    <w:rsid w:val="00682526"/>
    <w:rsid w:val="00683555"/>
    <w:rsid w:val="00686F1D"/>
    <w:rsid w:val="00692F7A"/>
    <w:rsid w:val="00695E06"/>
    <w:rsid w:val="00696315"/>
    <w:rsid w:val="006A0D51"/>
    <w:rsid w:val="006A1C05"/>
    <w:rsid w:val="006A225B"/>
    <w:rsid w:val="006A30D2"/>
    <w:rsid w:val="006A5A6A"/>
    <w:rsid w:val="006A5FE3"/>
    <w:rsid w:val="006B23B2"/>
    <w:rsid w:val="006B3A9E"/>
    <w:rsid w:val="006B4845"/>
    <w:rsid w:val="006B635C"/>
    <w:rsid w:val="006C1708"/>
    <w:rsid w:val="006C1C29"/>
    <w:rsid w:val="006C3782"/>
    <w:rsid w:val="006C3CDE"/>
    <w:rsid w:val="006C4745"/>
    <w:rsid w:val="006D0EE8"/>
    <w:rsid w:val="006D2797"/>
    <w:rsid w:val="006D3162"/>
    <w:rsid w:val="006D37E7"/>
    <w:rsid w:val="006D5146"/>
    <w:rsid w:val="006D59D6"/>
    <w:rsid w:val="006D5C04"/>
    <w:rsid w:val="006D7508"/>
    <w:rsid w:val="006E0F2F"/>
    <w:rsid w:val="006E19D7"/>
    <w:rsid w:val="006E4C82"/>
    <w:rsid w:val="006E71B9"/>
    <w:rsid w:val="006F39B2"/>
    <w:rsid w:val="006F44E0"/>
    <w:rsid w:val="006F5229"/>
    <w:rsid w:val="006F5384"/>
    <w:rsid w:val="006F6604"/>
    <w:rsid w:val="006F6896"/>
    <w:rsid w:val="006F71D8"/>
    <w:rsid w:val="006F7D1A"/>
    <w:rsid w:val="00701243"/>
    <w:rsid w:val="00702F6F"/>
    <w:rsid w:val="0070346C"/>
    <w:rsid w:val="007051A0"/>
    <w:rsid w:val="00706496"/>
    <w:rsid w:val="00711A12"/>
    <w:rsid w:val="00711F11"/>
    <w:rsid w:val="00714937"/>
    <w:rsid w:val="007154C4"/>
    <w:rsid w:val="00715DB9"/>
    <w:rsid w:val="007174BE"/>
    <w:rsid w:val="007218A0"/>
    <w:rsid w:val="00721F59"/>
    <w:rsid w:val="007238AF"/>
    <w:rsid w:val="007262D8"/>
    <w:rsid w:val="00726908"/>
    <w:rsid w:val="007270C7"/>
    <w:rsid w:val="00730F3A"/>
    <w:rsid w:val="007347A0"/>
    <w:rsid w:val="00735F34"/>
    <w:rsid w:val="00736944"/>
    <w:rsid w:val="007409D9"/>
    <w:rsid w:val="00741200"/>
    <w:rsid w:val="00741333"/>
    <w:rsid w:val="00742FF2"/>
    <w:rsid w:val="00744D6A"/>
    <w:rsid w:val="00746138"/>
    <w:rsid w:val="0074620A"/>
    <w:rsid w:val="00751D50"/>
    <w:rsid w:val="007527D5"/>
    <w:rsid w:val="00752F3C"/>
    <w:rsid w:val="007561FC"/>
    <w:rsid w:val="00761D34"/>
    <w:rsid w:val="00762D2D"/>
    <w:rsid w:val="00764622"/>
    <w:rsid w:val="00764CAD"/>
    <w:rsid w:val="00770FA1"/>
    <w:rsid w:val="00773884"/>
    <w:rsid w:val="00774813"/>
    <w:rsid w:val="0078052A"/>
    <w:rsid w:val="007812FB"/>
    <w:rsid w:val="007831D8"/>
    <w:rsid w:val="00784032"/>
    <w:rsid w:val="007855A3"/>
    <w:rsid w:val="00786E79"/>
    <w:rsid w:val="00787925"/>
    <w:rsid w:val="00790E31"/>
    <w:rsid w:val="00791578"/>
    <w:rsid w:val="00793B87"/>
    <w:rsid w:val="0079566E"/>
    <w:rsid w:val="00796509"/>
    <w:rsid w:val="0079691E"/>
    <w:rsid w:val="00797723"/>
    <w:rsid w:val="007B1EEE"/>
    <w:rsid w:val="007B249B"/>
    <w:rsid w:val="007B6D4D"/>
    <w:rsid w:val="007B6FAF"/>
    <w:rsid w:val="007B7A09"/>
    <w:rsid w:val="007C0B69"/>
    <w:rsid w:val="007C0F7A"/>
    <w:rsid w:val="007C6D3E"/>
    <w:rsid w:val="007D24A9"/>
    <w:rsid w:val="007D27FA"/>
    <w:rsid w:val="007D30B5"/>
    <w:rsid w:val="007D6218"/>
    <w:rsid w:val="007D6699"/>
    <w:rsid w:val="007D7E30"/>
    <w:rsid w:val="007E0A75"/>
    <w:rsid w:val="007E6419"/>
    <w:rsid w:val="007F02D2"/>
    <w:rsid w:val="007F2F6B"/>
    <w:rsid w:val="007F6815"/>
    <w:rsid w:val="007F6BA8"/>
    <w:rsid w:val="0080681B"/>
    <w:rsid w:val="0080738C"/>
    <w:rsid w:val="00810B77"/>
    <w:rsid w:val="00816ABC"/>
    <w:rsid w:val="00817436"/>
    <w:rsid w:val="00822217"/>
    <w:rsid w:val="00824F14"/>
    <w:rsid w:val="0082542D"/>
    <w:rsid w:val="00827834"/>
    <w:rsid w:val="00832835"/>
    <w:rsid w:val="00835110"/>
    <w:rsid w:val="008351FC"/>
    <w:rsid w:val="00841F50"/>
    <w:rsid w:val="00843A0E"/>
    <w:rsid w:val="008440AF"/>
    <w:rsid w:val="00844F2E"/>
    <w:rsid w:val="00845DFE"/>
    <w:rsid w:val="00846E17"/>
    <w:rsid w:val="0085200A"/>
    <w:rsid w:val="00854283"/>
    <w:rsid w:val="008573E3"/>
    <w:rsid w:val="00861E81"/>
    <w:rsid w:val="008638E1"/>
    <w:rsid w:val="00863E80"/>
    <w:rsid w:val="008645FF"/>
    <w:rsid w:val="00866D42"/>
    <w:rsid w:val="008701B3"/>
    <w:rsid w:val="0087030E"/>
    <w:rsid w:val="00870AAC"/>
    <w:rsid w:val="008723D5"/>
    <w:rsid w:val="008734F7"/>
    <w:rsid w:val="00874E9F"/>
    <w:rsid w:val="00877842"/>
    <w:rsid w:val="008806F8"/>
    <w:rsid w:val="008808E2"/>
    <w:rsid w:val="008812AD"/>
    <w:rsid w:val="00881456"/>
    <w:rsid w:val="00881ACB"/>
    <w:rsid w:val="00885FC9"/>
    <w:rsid w:val="00886930"/>
    <w:rsid w:val="00886D31"/>
    <w:rsid w:val="00891328"/>
    <w:rsid w:val="00891A47"/>
    <w:rsid w:val="00892809"/>
    <w:rsid w:val="0089370F"/>
    <w:rsid w:val="008939AF"/>
    <w:rsid w:val="00893FED"/>
    <w:rsid w:val="0089449A"/>
    <w:rsid w:val="00895E48"/>
    <w:rsid w:val="00896687"/>
    <w:rsid w:val="008971F4"/>
    <w:rsid w:val="008A0E7D"/>
    <w:rsid w:val="008A12BA"/>
    <w:rsid w:val="008A1A4A"/>
    <w:rsid w:val="008A3023"/>
    <w:rsid w:val="008A403F"/>
    <w:rsid w:val="008A6815"/>
    <w:rsid w:val="008B1031"/>
    <w:rsid w:val="008B2303"/>
    <w:rsid w:val="008B2400"/>
    <w:rsid w:val="008B34A0"/>
    <w:rsid w:val="008B5740"/>
    <w:rsid w:val="008B772D"/>
    <w:rsid w:val="008B79EC"/>
    <w:rsid w:val="008C003A"/>
    <w:rsid w:val="008C0B84"/>
    <w:rsid w:val="008C3911"/>
    <w:rsid w:val="008C41DA"/>
    <w:rsid w:val="008C553A"/>
    <w:rsid w:val="008C588E"/>
    <w:rsid w:val="008C5F4E"/>
    <w:rsid w:val="008C6D5F"/>
    <w:rsid w:val="008C7226"/>
    <w:rsid w:val="008D7B80"/>
    <w:rsid w:val="008E243B"/>
    <w:rsid w:val="008E4184"/>
    <w:rsid w:val="008E549F"/>
    <w:rsid w:val="008E6301"/>
    <w:rsid w:val="008F10BC"/>
    <w:rsid w:val="008F2052"/>
    <w:rsid w:val="008F26ED"/>
    <w:rsid w:val="008F2A38"/>
    <w:rsid w:val="008F2D6D"/>
    <w:rsid w:val="008F3012"/>
    <w:rsid w:val="008F592B"/>
    <w:rsid w:val="008F7113"/>
    <w:rsid w:val="00901D14"/>
    <w:rsid w:val="00903775"/>
    <w:rsid w:val="009109F7"/>
    <w:rsid w:val="00910FD4"/>
    <w:rsid w:val="00912137"/>
    <w:rsid w:val="00915BED"/>
    <w:rsid w:val="00916B64"/>
    <w:rsid w:val="0092142D"/>
    <w:rsid w:val="0092145D"/>
    <w:rsid w:val="009245DE"/>
    <w:rsid w:val="0092720D"/>
    <w:rsid w:val="00930185"/>
    <w:rsid w:val="00930762"/>
    <w:rsid w:val="00930C0C"/>
    <w:rsid w:val="00936B81"/>
    <w:rsid w:val="00937558"/>
    <w:rsid w:val="00944701"/>
    <w:rsid w:val="00950ED1"/>
    <w:rsid w:val="00952A7A"/>
    <w:rsid w:val="00953A02"/>
    <w:rsid w:val="0095444E"/>
    <w:rsid w:val="00955C67"/>
    <w:rsid w:val="00957B65"/>
    <w:rsid w:val="0096039E"/>
    <w:rsid w:val="00960AFF"/>
    <w:rsid w:val="009632FC"/>
    <w:rsid w:val="0096379F"/>
    <w:rsid w:val="00963F62"/>
    <w:rsid w:val="00965EFC"/>
    <w:rsid w:val="00970A33"/>
    <w:rsid w:val="0097161B"/>
    <w:rsid w:val="009739C1"/>
    <w:rsid w:val="009762D2"/>
    <w:rsid w:val="009762F1"/>
    <w:rsid w:val="0097692D"/>
    <w:rsid w:val="009776D2"/>
    <w:rsid w:val="00977EA8"/>
    <w:rsid w:val="0098140D"/>
    <w:rsid w:val="00981CED"/>
    <w:rsid w:val="00987225"/>
    <w:rsid w:val="00990870"/>
    <w:rsid w:val="00990DCF"/>
    <w:rsid w:val="009920F5"/>
    <w:rsid w:val="00992B56"/>
    <w:rsid w:val="00992CDA"/>
    <w:rsid w:val="00993342"/>
    <w:rsid w:val="00996A3C"/>
    <w:rsid w:val="00996CE4"/>
    <w:rsid w:val="009A0FB3"/>
    <w:rsid w:val="009A2696"/>
    <w:rsid w:val="009A3F36"/>
    <w:rsid w:val="009A48D8"/>
    <w:rsid w:val="009A6C59"/>
    <w:rsid w:val="009A7878"/>
    <w:rsid w:val="009B0166"/>
    <w:rsid w:val="009B0888"/>
    <w:rsid w:val="009B33DF"/>
    <w:rsid w:val="009B4270"/>
    <w:rsid w:val="009B44CC"/>
    <w:rsid w:val="009B5651"/>
    <w:rsid w:val="009B62E4"/>
    <w:rsid w:val="009B706A"/>
    <w:rsid w:val="009C0C87"/>
    <w:rsid w:val="009C1C45"/>
    <w:rsid w:val="009C4319"/>
    <w:rsid w:val="009D0109"/>
    <w:rsid w:val="009D109E"/>
    <w:rsid w:val="009D1CD9"/>
    <w:rsid w:val="009D1F28"/>
    <w:rsid w:val="009D28E5"/>
    <w:rsid w:val="009D4830"/>
    <w:rsid w:val="009D520D"/>
    <w:rsid w:val="009D6A78"/>
    <w:rsid w:val="009D797A"/>
    <w:rsid w:val="009E026A"/>
    <w:rsid w:val="009E2DB6"/>
    <w:rsid w:val="009E3B56"/>
    <w:rsid w:val="009E3F1B"/>
    <w:rsid w:val="009E483A"/>
    <w:rsid w:val="009E49B5"/>
    <w:rsid w:val="009E551E"/>
    <w:rsid w:val="009E7066"/>
    <w:rsid w:val="009F033A"/>
    <w:rsid w:val="009F1EF8"/>
    <w:rsid w:val="009F4604"/>
    <w:rsid w:val="009F4B78"/>
    <w:rsid w:val="009F606B"/>
    <w:rsid w:val="009F6E66"/>
    <w:rsid w:val="009F7888"/>
    <w:rsid w:val="00A02AC3"/>
    <w:rsid w:val="00A06840"/>
    <w:rsid w:val="00A06EAD"/>
    <w:rsid w:val="00A121F9"/>
    <w:rsid w:val="00A1293C"/>
    <w:rsid w:val="00A14F9B"/>
    <w:rsid w:val="00A167F1"/>
    <w:rsid w:val="00A2085F"/>
    <w:rsid w:val="00A20EC0"/>
    <w:rsid w:val="00A2150B"/>
    <w:rsid w:val="00A215D9"/>
    <w:rsid w:val="00A2292C"/>
    <w:rsid w:val="00A232EA"/>
    <w:rsid w:val="00A23FC3"/>
    <w:rsid w:val="00A25F1B"/>
    <w:rsid w:val="00A30C98"/>
    <w:rsid w:val="00A3288D"/>
    <w:rsid w:val="00A329DC"/>
    <w:rsid w:val="00A341E4"/>
    <w:rsid w:val="00A41135"/>
    <w:rsid w:val="00A41FEB"/>
    <w:rsid w:val="00A42FBA"/>
    <w:rsid w:val="00A44DA6"/>
    <w:rsid w:val="00A50921"/>
    <w:rsid w:val="00A5160D"/>
    <w:rsid w:val="00A56CA4"/>
    <w:rsid w:val="00A65F04"/>
    <w:rsid w:val="00A65F2E"/>
    <w:rsid w:val="00A7086D"/>
    <w:rsid w:val="00A71AD5"/>
    <w:rsid w:val="00A8073E"/>
    <w:rsid w:val="00A80883"/>
    <w:rsid w:val="00A81BED"/>
    <w:rsid w:val="00A82FC6"/>
    <w:rsid w:val="00A85396"/>
    <w:rsid w:val="00A85A0D"/>
    <w:rsid w:val="00A92270"/>
    <w:rsid w:val="00AA10AE"/>
    <w:rsid w:val="00AA329F"/>
    <w:rsid w:val="00AA7B6A"/>
    <w:rsid w:val="00AB2749"/>
    <w:rsid w:val="00AB593E"/>
    <w:rsid w:val="00AB5D37"/>
    <w:rsid w:val="00AB683F"/>
    <w:rsid w:val="00AC0B91"/>
    <w:rsid w:val="00AC1AF7"/>
    <w:rsid w:val="00AC289E"/>
    <w:rsid w:val="00AC3DB5"/>
    <w:rsid w:val="00AC4A2E"/>
    <w:rsid w:val="00AD1885"/>
    <w:rsid w:val="00AD50BA"/>
    <w:rsid w:val="00AE02E7"/>
    <w:rsid w:val="00AE0F75"/>
    <w:rsid w:val="00AE319E"/>
    <w:rsid w:val="00AE3B2C"/>
    <w:rsid w:val="00AE3B4E"/>
    <w:rsid w:val="00AE676F"/>
    <w:rsid w:val="00AE709C"/>
    <w:rsid w:val="00AE7DD9"/>
    <w:rsid w:val="00AF0939"/>
    <w:rsid w:val="00AF2B38"/>
    <w:rsid w:val="00AF6ACD"/>
    <w:rsid w:val="00AF7490"/>
    <w:rsid w:val="00B004C1"/>
    <w:rsid w:val="00B0168B"/>
    <w:rsid w:val="00B03458"/>
    <w:rsid w:val="00B044D5"/>
    <w:rsid w:val="00B04B8E"/>
    <w:rsid w:val="00B1072F"/>
    <w:rsid w:val="00B15820"/>
    <w:rsid w:val="00B215D8"/>
    <w:rsid w:val="00B2218A"/>
    <w:rsid w:val="00B246ED"/>
    <w:rsid w:val="00B25D13"/>
    <w:rsid w:val="00B26DD0"/>
    <w:rsid w:val="00B338C8"/>
    <w:rsid w:val="00B341CC"/>
    <w:rsid w:val="00B35321"/>
    <w:rsid w:val="00B35505"/>
    <w:rsid w:val="00B35CB3"/>
    <w:rsid w:val="00B35E0A"/>
    <w:rsid w:val="00B40124"/>
    <w:rsid w:val="00B40B86"/>
    <w:rsid w:val="00B42E03"/>
    <w:rsid w:val="00B443E2"/>
    <w:rsid w:val="00B46222"/>
    <w:rsid w:val="00B54092"/>
    <w:rsid w:val="00B5444C"/>
    <w:rsid w:val="00B5568B"/>
    <w:rsid w:val="00B557BF"/>
    <w:rsid w:val="00B55BD6"/>
    <w:rsid w:val="00B56147"/>
    <w:rsid w:val="00B56532"/>
    <w:rsid w:val="00B5720A"/>
    <w:rsid w:val="00B604A0"/>
    <w:rsid w:val="00B60761"/>
    <w:rsid w:val="00B620A5"/>
    <w:rsid w:val="00B62BB1"/>
    <w:rsid w:val="00B63559"/>
    <w:rsid w:val="00B73979"/>
    <w:rsid w:val="00B7515A"/>
    <w:rsid w:val="00B751B0"/>
    <w:rsid w:val="00B762E0"/>
    <w:rsid w:val="00B83F64"/>
    <w:rsid w:val="00B86188"/>
    <w:rsid w:val="00B86C54"/>
    <w:rsid w:val="00B874C4"/>
    <w:rsid w:val="00B97AA2"/>
    <w:rsid w:val="00B97B8E"/>
    <w:rsid w:val="00BA00A8"/>
    <w:rsid w:val="00BA0378"/>
    <w:rsid w:val="00BA3559"/>
    <w:rsid w:val="00BA37A4"/>
    <w:rsid w:val="00BA4FB0"/>
    <w:rsid w:val="00BA6138"/>
    <w:rsid w:val="00BB1930"/>
    <w:rsid w:val="00BB1BAB"/>
    <w:rsid w:val="00BB3478"/>
    <w:rsid w:val="00BB57CD"/>
    <w:rsid w:val="00BB662E"/>
    <w:rsid w:val="00BB7D6A"/>
    <w:rsid w:val="00BC2247"/>
    <w:rsid w:val="00BC5572"/>
    <w:rsid w:val="00BD1474"/>
    <w:rsid w:val="00BD473E"/>
    <w:rsid w:val="00BD497C"/>
    <w:rsid w:val="00BD501F"/>
    <w:rsid w:val="00BD57EE"/>
    <w:rsid w:val="00BD7731"/>
    <w:rsid w:val="00BE40A9"/>
    <w:rsid w:val="00BE4464"/>
    <w:rsid w:val="00BE4E8A"/>
    <w:rsid w:val="00BF134B"/>
    <w:rsid w:val="00BF2A79"/>
    <w:rsid w:val="00BF375F"/>
    <w:rsid w:val="00BF4E7E"/>
    <w:rsid w:val="00C02372"/>
    <w:rsid w:val="00C044C3"/>
    <w:rsid w:val="00C10453"/>
    <w:rsid w:val="00C12E60"/>
    <w:rsid w:val="00C13BCA"/>
    <w:rsid w:val="00C141B9"/>
    <w:rsid w:val="00C158CF"/>
    <w:rsid w:val="00C16518"/>
    <w:rsid w:val="00C1787D"/>
    <w:rsid w:val="00C20F14"/>
    <w:rsid w:val="00C22B7C"/>
    <w:rsid w:val="00C238D5"/>
    <w:rsid w:val="00C23B8E"/>
    <w:rsid w:val="00C2426B"/>
    <w:rsid w:val="00C3184D"/>
    <w:rsid w:val="00C331FD"/>
    <w:rsid w:val="00C34DCB"/>
    <w:rsid w:val="00C35EB1"/>
    <w:rsid w:val="00C36D0C"/>
    <w:rsid w:val="00C3708D"/>
    <w:rsid w:val="00C378D4"/>
    <w:rsid w:val="00C4138A"/>
    <w:rsid w:val="00C440B4"/>
    <w:rsid w:val="00C446F9"/>
    <w:rsid w:val="00C461C2"/>
    <w:rsid w:val="00C462CB"/>
    <w:rsid w:val="00C46F39"/>
    <w:rsid w:val="00C47AFE"/>
    <w:rsid w:val="00C5067F"/>
    <w:rsid w:val="00C515C3"/>
    <w:rsid w:val="00C51AA2"/>
    <w:rsid w:val="00C52756"/>
    <w:rsid w:val="00C52E43"/>
    <w:rsid w:val="00C547B6"/>
    <w:rsid w:val="00C56CD4"/>
    <w:rsid w:val="00C609C3"/>
    <w:rsid w:val="00C60C53"/>
    <w:rsid w:val="00C60E16"/>
    <w:rsid w:val="00C659E5"/>
    <w:rsid w:val="00C65E4E"/>
    <w:rsid w:val="00C66610"/>
    <w:rsid w:val="00C66648"/>
    <w:rsid w:val="00C66FEF"/>
    <w:rsid w:val="00C6741D"/>
    <w:rsid w:val="00C70CB4"/>
    <w:rsid w:val="00C727A7"/>
    <w:rsid w:val="00C728D5"/>
    <w:rsid w:val="00C72CF7"/>
    <w:rsid w:val="00C75119"/>
    <w:rsid w:val="00C76DD6"/>
    <w:rsid w:val="00C90B62"/>
    <w:rsid w:val="00C90E45"/>
    <w:rsid w:val="00C90F4A"/>
    <w:rsid w:val="00C91C08"/>
    <w:rsid w:val="00C959F3"/>
    <w:rsid w:val="00C97F0E"/>
    <w:rsid w:val="00CA06AC"/>
    <w:rsid w:val="00CA0E30"/>
    <w:rsid w:val="00CA1D9E"/>
    <w:rsid w:val="00CA242A"/>
    <w:rsid w:val="00CA27BD"/>
    <w:rsid w:val="00CA2AB6"/>
    <w:rsid w:val="00CA36DE"/>
    <w:rsid w:val="00CA445B"/>
    <w:rsid w:val="00CA4BCC"/>
    <w:rsid w:val="00CA5313"/>
    <w:rsid w:val="00CB01D6"/>
    <w:rsid w:val="00CB311E"/>
    <w:rsid w:val="00CB71E1"/>
    <w:rsid w:val="00CC0ED3"/>
    <w:rsid w:val="00CC1894"/>
    <w:rsid w:val="00CC2EE2"/>
    <w:rsid w:val="00CC3D03"/>
    <w:rsid w:val="00CC45DB"/>
    <w:rsid w:val="00CC5651"/>
    <w:rsid w:val="00CC73FF"/>
    <w:rsid w:val="00CD141E"/>
    <w:rsid w:val="00CD2B75"/>
    <w:rsid w:val="00CD45DA"/>
    <w:rsid w:val="00CE2EA4"/>
    <w:rsid w:val="00CE5714"/>
    <w:rsid w:val="00CE6138"/>
    <w:rsid w:val="00CE6F59"/>
    <w:rsid w:val="00CE7AAB"/>
    <w:rsid w:val="00CF2673"/>
    <w:rsid w:val="00CF2DA1"/>
    <w:rsid w:val="00CF43B1"/>
    <w:rsid w:val="00CF7DF3"/>
    <w:rsid w:val="00D00E5C"/>
    <w:rsid w:val="00D0614B"/>
    <w:rsid w:val="00D06AD1"/>
    <w:rsid w:val="00D17549"/>
    <w:rsid w:val="00D24D97"/>
    <w:rsid w:val="00D273C6"/>
    <w:rsid w:val="00D275F5"/>
    <w:rsid w:val="00D33D3B"/>
    <w:rsid w:val="00D33E05"/>
    <w:rsid w:val="00D353BA"/>
    <w:rsid w:val="00D376F1"/>
    <w:rsid w:val="00D43CA8"/>
    <w:rsid w:val="00D4523D"/>
    <w:rsid w:val="00D4593F"/>
    <w:rsid w:val="00D45BD4"/>
    <w:rsid w:val="00D4775B"/>
    <w:rsid w:val="00D47AB8"/>
    <w:rsid w:val="00D54947"/>
    <w:rsid w:val="00D55D94"/>
    <w:rsid w:val="00D56566"/>
    <w:rsid w:val="00D647A4"/>
    <w:rsid w:val="00D6487A"/>
    <w:rsid w:val="00D648BB"/>
    <w:rsid w:val="00D64E04"/>
    <w:rsid w:val="00D65A5E"/>
    <w:rsid w:val="00D669D1"/>
    <w:rsid w:val="00D7049A"/>
    <w:rsid w:val="00D704F6"/>
    <w:rsid w:val="00D722B1"/>
    <w:rsid w:val="00D74A82"/>
    <w:rsid w:val="00D753F6"/>
    <w:rsid w:val="00D7737D"/>
    <w:rsid w:val="00D80897"/>
    <w:rsid w:val="00D81375"/>
    <w:rsid w:val="00D8540E"/>
    <w:rsid w:val="00D85C4D"/>
    <w:rsid w:val="00D8730B"/>
    <w:rsid w:val="00D9072A"/>
    <w:rsid w:val="00D94852"/>
    <w:rsid w:val="00D95E18"/>
    <w:rsid w:val="00D96285"/>
    <w:rsid w:val="00DA039C"/>
    <w:rsid w:val="00DA10B4"/>
    <w:rsid w:val="00DA4E09"/>
    <w:rsid w:val="00DA6EBE"/>
    <w:rsid w:val="00DB27CC"/>
    <w:rsid w:val="00DB2A54"/>
    <w:rsid w:val="00DB4EF9"/>
    <w:rsid w:val="00DC29FE"/>
    <w:rsid w:val="00DC430C"/>
    <w:rsid w:val="00DC60FB"/>
    <w:rsid w:val="00DC7319"/>
    <w:rsid w:val="00DC742E"/>
    <w:rsid w:val="00DD0B91"/>
    <w:rsid w:val="00DD38DC"/>
    <w:rsid w:val="00DD63FF"/>
    <w:rsid w:val="00DE59F2"/>
    <w:rsid w:val="00DF1BBF"/>
    <w:rsid w:val="00DF3145"/>
    <w:rsid w:val="00DF4B0E"/>
    <w:rsid w:val="00DF7885"/>
    <w:rsid w:val="00E0006B"/>
    <w:rsid w:val="00E01E4B"/>
    <w:rsid w:val="00E045C3"/>
    <w:rsid w:val="00E062B0"/>
    <w:rsid w:val="00E06EE0"/>
    <w:rsid w:val="00E0711E"/>
    <w:rsid w:val="00E0770C"/>
    <w:rsid w:val="00E14DFA"/>
    <w:rsid w:val="00E17EA5"/>
    <w:rsid w:val="00E229DB"/>
    <w:rsid w:val="00E2571A"/>
    <w:rsid w:val="00E26EDC"/>
    <w:rsid w:val="00E2713C"/>
    <w:rsid w:val="00E30B42"/>
    <w:rsid w:val="00E33C91"/>
    <w:rsid w:val="00E342D7"/>
    <w:rsid w:val="00E3448D"/>
    <w:rsid w:val="00E34D1F"/>
    <w:rsid w:val="00E35C26"/>
    <w:rsid w:val="00E410EA"/>
    <w:rsid w:val="00E41D5C"/>
    <w:rsid w:val="00E41E2A"/>
    <w:rsid w:val="00E437F7"/>
    <w:rsid w:val="00E47219"/>
    <w:rsid w:val="00E529F9"/>
    <w:rsid w:val="00E55017"/>
    <w:rsid w:val="00E55416"/>
    <w:rsid w:val="00E557D1"/>
    <w:rsid w:val="00E56282"/>
    <w:rsid w:val="00E60647"/>
    <w:rsid w:val="00E616BF"/>
    <w:rsid w:val="00E658AA"/>
    <w:rsid w:val="00E6656A"/>
    <w:rsid w:val="00E70D30"/>
    <w:rsid w:val="00E716BA"/>
    <w:rsid w:val="00E75977"/>
    <w:rsid w:val="00E76431"/>
    <w:rsid w:val="00E7686D"/>
    <w:rsid w:val="00E77274"/>
    <w:rsid w:val="00E813BA"/>
    <w:rsid w:val="00E851A5"/>
    <w:rsid w:val="00E8590C"/>
    <w:rsid w:val="00E85F76"/>
    <w:rsid w:val="00E93590"/>
    <w:rsid w:val="00E94506"/>
    <w:rsid w:val="00E95A7B"/>
    <w:rsid w:val="00E969E9"/>
    <w:rsid w:val="00EA01A0"/>
    <w:rsid w:val="00EA155A"/>
    <w:rsid w:val="00EA24D4"/>
    <w:rsid w:val="00EA2851"/>
    <w:rsid w:val="00EA3515"/>
    <w:rsid w:val="00EA4254"/>
    <w:rsid w:val="00EA55FE"/>
    <w:rsid w:val="00EB0B4F"/>
    <w:rsid w:val="00EB1B59"/>
    <w:rsid w:val="00EB4384"/>
    <w:rsid w:val="00EB6065"/>
    <w:rsid w:val="00EC0826"/>
    <w:rsid w:val="00EC4E99"/>
    <w:rsid w:val="00EC595A"/>
    <w:rsid w:val="00EC6A5D"/>
    <w:rsid w:val="00EC7E23"/>
    <w:rsid w:val="00ED3A21"/>
    <w:rsid w:val="00ED54F9"/>
    <w:rsid w:val="00ED6982"/>
    <w:rsid w:val="00EE0218"/>
    <w:rsid w:val="00EE0E54"/>
    <w:rsid w:val="00EE1033"/>
    <w:rsid w:val="00EE114E"/>
    <w:rsid w:val="00EF24BB"/>
    <w:rsid w:val="00EF2B90"/>
    <w:rsid w:val="00EF32F6"/>
    <w:rsid w:val="00EF4114"/>
    <w:rsid w:val="00EF448F"/>
    <w:rsid w:val="00EF4634"/>
    <w:rsid w:val="00EF472E"/>
    <w:rsid w:val="00EF4A5A"/>
    <w:rsid w:val="00EF4EC4"/>
    <w:rsid w:val="00EF5B31"/>
    <w:rsid w:val="00EF66A9"/>
    <w:rsid w:val="00EF74D8"/>
    <w:rsid w:val="00F01898"/>
    <w:rsid w:val="00F05EE0"/>
    <w:rsid w:val="00F06985"/>
    <w:rsid w:val="00F07DE8"/>
    <w:rsid w:val="00F141AB"/>
    <w:rsid w:val="00F156B3"/>
    <w:rsid w:val="00F15FD8"/>
    <w:rsid w:val="00F218A2"/>
    <w:rsid w:val="00F21A1A"/>
    <w:rsid w:val="00F22813"/>
    <w:rsid w:val="00F22FC8"/>
    <w:rsid w:val="00F27F36"/>
    <w:rsid w:val="00F32B8C"/>
    <w:rsid w:val="00F33383"/>
    <w:rsid w:val="00F33D5B"/>
    <w:rsid w:val="00F4030B"/>
    <w:rsid w:val="00F42F65"/>
    <w:rsid w:val="00F444F5"/>
    <w:rsid w:val="00F4602E"/>
    <w:rsid w:val="00F4646B"/>
    <w:rsid w:val="00F46BCF"/>
    <w:rsid w:val="00F515AF"/>
    <w:rsid w:val="00F53673"/>
    <w:rsid w:val="00F53E05"/>
    <w:rsid w:val="00F5550A"/>
    <w:rsid w:val="00F55A56"/>
    <w:rsid w:val="00F56088"/>
    <w:rsid w:val="00F575A1"/>
    <w:rsid w:val="00F6031D"/>
    <w:rsid w:val="00F61303"/>
    <w:rsid w:val="00F65606"/>
    <w:rsid w:val="00F66614"/>
    <w:rsid w:val="00F67764"/>
    <w:rsid w:val="00F71232"/>
    <w:rsid w:val="00F74722"/>
    <w:rsid w:val="00F74DF3"/>
    <w:rsid w:val="00F75F45"/>
    <w:rsid w:val="00F82957"/>
    <w:rsid w:val="00F83BD2"/>
    <w:rsid w:val="00F857CA"/>
    <w:rsid w:val="00F9209A"/>
    <w:rsid w:val="00F92C2B"/>
    <w:rsid w:val="00F94241"/>
    <w:rsid w:val="00F945CD"/>
    <w:rsid w:val="00F95ECF"/>
    <w:rsid w:val="00F9792C"/>
    <w:rsid w:val="00F97AAA"/>
    <w:rsid w:val="00FA4AD8"/>
    <w:rsid w:val="00FB3597"/>
    <w:rsid w:val="00FB53CA"/>
    <w:rsid w:val="00FC3750"/>
    <w:rsid w:val="00FC487C"/>
    <w:rsid w:val="00FC51A5"/>
    <w:rsid w:val="00FC557F"/>
    <w:rsid w:val="00FC7FAA"/>
    <w:rsid w:val="00FD0B36"/>
    <w:rsid w:val="00FD168A"/>
    <w:rsid w:val="00FD3643"/>
    <w:rsid w:val="00FD553C"/>
    <w:rsid w:val="00FD6F5E"/>
    <w:rsid w:val="00FE087D"/>
    <w:rsid w:val="00FE1310"/>
    <w:rsid w:val="00FE133D"/>
    <w:rsid w:val="00FE2090"/>
    <w:rsid w:val="00FE359D"/>
    <w:rsid w:val="00FE47EA"/>
    <w:rsid w:val="00FE4D5F"/>
    <w:rsid w:val="00FE7BC4"/>
    <w:rsid w:val="00FF29D4"/>
    <w:rsid w:val="00FF388D"/>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B6A4608"/>
  <w14:discardImageEditingDat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ＭＳ 明朝"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25D13"/>
    <w:rPr>
      <w:sz w:val="24"/>
      <w:szCs w:val="24"/>
      <w:lang w:val="en-US" w:eastAsia="ja-JP"/>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istory">
    <w:name w:val="History"/>
    <w:basedOn w:val="a"/>
    <w:rsid w:val="005B291B"/>
    <w:pPr>
      <w:spacing w:before="230" w:after="460" w:line="180" w:lineRule="exact"/>
      <w:jc w:val="right"/>
    </w:pPr>
    <w:rPr>
      <w:rFonts w:ascii="Arial" w:hAnsi="Arial"/>
      <w:sz w:val="14"/>
      <w:szCs w:val="16"/>
    </w:rPr>
  </w:style>
  <w:style w:type="paragraph" w:customStyle="1" w:styleId="References">
    <w:name w:val="References"/>
    <w:basedOn w:val="a"/>
    <w:rsid w:val="005B291B"/>
    <w:pPr>
      <w:spacing w:line="200" w:lineRule="exact"/>
      <w:ind w:left="425" w:hanging="425"/>
      <w:jc w:val="both"/>
    </w:pPr>
    <w:rPr>
      <w:sz w:val="15"/>
      <w:szCs w:val="14"/>
      <w:lang w:val="en-GB"/>
    </w:rPr>
  </w:style>
  <w:style w:type="paragraph" w:customStyle="1" w:styleId="HExperimentalSection">
    <w:name w:val="HExperimental_Section"/>
    <w:basedOn w:val="a"/>
    <w:rsid w:val="005B291B"/>
    <w:pPr>
      <w:spacing w:before="460" w:after="230" w:line="230" w:lineRule="atLeast"/>
    </w:pPr>
    <w:rPr>
      <w:i/>
      <w:szCs w:val="20"/>
    </w:rPr>
  </w:style>
  <w:style w:type="paragraph" w:customStyle="1" w:styleId="ExperimentalSection">
    <w:name w:val="ExperimentalSection"/>
    <w:basedOn w:val="a"/>
    <w:rsid w:val="005B291B"/>
    <w:pPr>
      <w:spacing w:after="240" w:line="200" w:lineRule="exact"/>
      <w:ind w:firstLine="170"/>
      <w:jc w:val="both"/>
    </w:pPr>
    <w:rPr>
      <w:sz w:val="16"/>
      <w:szCs w:val="14"/>
      <w:lang w:val="en-GB"/>
    </w:rPr>
  </w:style>
  <w:style w:type="paragraph" w:customStyle="1" w:styleId="FNB">
    <w:name w:val="FNB"/>
    <w:basedOn w:val="a"/>
    <w:link w:val="FNBChar"/>
    <w:rsid w:val="005B291B"/>
    <w:pPr>
      <w:widowControl w:val="0"/>
      <w:spacing w:after="40" w:line="160" w:lineRule="exact"/>
      <w:ind w:left="567" w:right="4434" w:hanging="567"/>
      <w:jc w:val="both"/>
    </w:pPr>
    <w:rPr>
      <w:rFonts w:ascii="Times" w:hAnsi="Times"/>
      <w:sz w:val="14"/>
      <w:szCs w:val="3276"/>
      <w:lang w:val="en-GB" w:eastAsia="de-DE"/>
    </w:rPr>
  </w:style>
  <w:style w:type="character" w:customStyle="1" w:styleId="FNBChar">
    <w:name w:val="FNB Char"/>
    <w:link w:val="FNB"/>
    <w:rsid w:val="005B291B"/>
    <w:rPr>
      <w:rFonts w:ascii="Times" w:hAnsi="Times"/>
      <w:sz w:val="14"/>
      <w:szCs w:val="3276"/>
      <w:lang w:val="en-GB" w:eastAsia="de-DE" w:bidi="ar-SA"/>
    </w:rPr>
  </w:style>
  <w:style w:type="paragraph" w:customStyle="1" w:styleId="Ack">
    <w:name w:val="Ack"/>
    <w:basedOn w:val="a"/>
    <w:rsid w:val="005B291B"/>
  </w:style>
  <w:style w:type="paragraph" w:customStyle="1" w:styleId="TableCaption">
    <w:name w:val="TableCaption"/>
    <w:basedOn w:val="a"/>
    <w:rsid w:val="006511FB"/>
    <w:pPr>
      <w:spacing w:after="120" w:line="190" w:lineRule="exact"/>
      <w:jc w:val="both"/>
    </w:pPr>
    <w:rPr>
      <w:rFonts w:ascii="Arial" w:hAnsi="Arial"/>
      <w:sz w:val="16"/>
      <w:szCs w:val="14"/>
      <w:lang w:val="en-GB"/>
    </w:rPr>
  </w:style>
  <w:style w:type="paragraph" w:customStyle="1" w:styleId="TableHead">
    <w:name w:val="TableHead"/>
    <w:basedOn w:val="TableCaption"/>
    <w:rsid w:val="006511FB"/>
    <w:pPr>
      <w:pBdr>
        <w:top w:val="single" w:sz="4" w:space="4" w:color="FFFFFF"/>
        <w:left w:val="single" w:sz="4" w:space="4" w:color="FFFFFF"/>
        <w:bottom w:val="single" w:sz="4" w:space="4" w:color="FFFFFF"/>
        <w:right w:val="single" w:sz="4" w:space="4" w:color="FFFFFF"/>
      </w:pBdr>
      <w:spacing w:after="0"/>
    </w:pPr>
  </w:style>
  <w:style w:type="paragraph" w:customStyle="1" w:styleId="TableBody">
    <w:name w:val="TableBody"/>
    <w:basedOn w:val="TableHead"/>
    <w:rsid w:val="006511FB"/>
  </w:style>
  <w:style w:type="paragraph" w:customStyle="1" w:styleId="TableFoot">
    <w:name w:val="TableFoot"/>
    <w:basedOn w:val="TableBody"/>
    <w:rsid w:val="006511FB"/>
    <w:pPr>
      <w:spacing w:before="60" w:after="60"/>
    </w:pPr>
  </w:style>
  <w:style w:type="paragraph" w:customStyle="1" w:styleId="SchemeCaption">
    <w:name w:val="SchemeCaption"/>
    <w:basedOn w:val="a"/>
    <w:rsid w:val="006511FB"/>
    <w:pPr>
      <w:spacing w:before="230" w:after="460" w:line="190" w:lineRule="exact"/>
      <w:jc w:val="both"/>
    </w:pPr>
    <w:rPr>
      <w:rFonts w:ascii="Arial" w:hAnsi="Arial"/>
      <w:sz w:val="16"/>
      <w:szCs w:val="14"/>
      <w:lang w:val="en-GB"/>
    </w:rPr>
  </w:style>
  <w:style w:type="paragraph" w:styleId="a3">
    <w:name w:val="footnote text"/>
    <w:basedOn w:val="a"/>
    <w:link w:val="a4"/>
    <w:semiHidden/>
    <w:rsid w:val="00D81375"/>
    <w:pPr>
      <w:keepLines/>
      <w:widowControl w:val="0"/>
      <w:jc w:val="both"/>
    </w:pPr>
    <w:rPr>
      <w:rFonts w:eastAsia="Times New Roman"/>
      <w:sz w:val="20"/>
      <w:szCs w:val="20"/>
      <w:lang w:val="en-GB" w:eastAsia="ro-RO"/>
    </w:rPr>
  </w:style>
  <w:style w:type="paragraph" w:customStyle="1" w:styleId="STOE">
    <w:name w:val="STOE"/>
    <w:basedOn w:val="a"/>
    <w:link w:val="STOEChar1"/>
    <w:rsid w:val="00D81375"/>
    <w:pPr>
      <w:widowControl w:val="0"/>
      <w:spacing w:line="236" w:lineRule="exact"/>
      <w:ind w:right="4434"/>
      <w:jc w:val="both"/>
    </w:pPr>
    <w:rPr>
      <w:rFonts w:ascii="Times" w:hAnsi="Times"/>
      <w:sz w:val="18"/>
      <w:szCs w:val="3276"/>
      <w:lang w:val="en-GB" w:eastAsia="de-DE"/>
    </w:rPr>
  </w:style>
  <w:style w:type="character" w:customStyle="1" w:styleId="STOEChar1">
    <w:name w:val="STOE Char1"/>
    <w:link w:val="STOE"/>
    <w:rsid w:val="00D81375"/>
    <w:rPr>
      <w:rFonts w:ascii="Times" w:hAnsi="Times"/>
      <w:sz w:val="18"/>
      <w:szCs w:val="3276"/>
      <w:lang w:val="en-GB" w:eastAsia="de-DE" w:bidi="ar-SA"/>
    </w:rPr>
  </w:style>
  <w:style w:type="paragraph" w:styleId="a5">
    <w:name w:val="Balloon Text"/>
    <w:basedOn w:val="a"/>
    <w:link w:val="a6"/>
    <w:semiHidden/>
    <w:rsid w:val="00D81375"/>
    <w:rPr>
      <w:rFonts w:ascii="Tahoma" w:hAnsi="Tahoma" w:cs="Tahoma"/>
      <w:sz w:val="16"/>
      <w:szCs w:val="16"/>
    </w:rPr>
  </w:style>
  <w:style w:type="paragraph" w:styleId="a7">
    <w:name w:val="header"/>
    <w:basedOn w:val="a"/>
    <w:link w:val="a8"/>
    <w:rsid w:val="00881456"/>
    <w:pPr>
      <w:tabs>
        <w:tab w:val="center" w:pos="4536"/>
        <w:tab w:val="right" w:pos="9072"/>
      </w:tabs>
    </w:pPr>
    <w:rPr>
      <w:lang w:val="x-none"/>
    </w:rPr>
  </w:style>
  <w:style w:type="paragraph" w:styleId="a9">
    <w:name w:val="footer"/>
    <w:basedOn w:val="a"/>
    <w:link w:val="aa"/>
    <w:uiPriority w:val="99"/>
    <w:rsid w:val="00881456"/>
    <w:pPr>
      <w:tabs>
        <w:tab w:val="center" w:pos="4536"/>
        <w:tab w:val="right" w:pos="9072"/>
      </w:tabs>
    </w:pPr>
  </w:style>
  <w:style w:type="paragraph" w:customStyle="1" w:styleId="Title1">
    <w:name w:val="Title1"/>
    <w:basedOn w:val="a"/>
    <w:rsid w:val="00004A23"/>
    <w:rPr>
      <w:b/>
    </w:rPr>
  </w:style>
  <w:style w:type="paragraph" w:customStyle="1" w:styleId="AuthorsFull">
    <w:name w:val="Authors Full"/>
    <w:basedOn w:val="a"/>
    <w:rsid w:val="00004A23"/>
    <w:rPr>
      <w:i/>
    </w:rPr>
  </w:style>
  <w:style w:type="paragraph" w:customStyle="1" w:styleId="dedication">
    <w:name w:val="dedication"/>
    <w:basedOn w:val="a"/>
    <w:rsid w:val="00004A23"/>
    <w:rPr>
      <w:i/>
    </w:rPr>
  </w:style>
  <w:style w:type="paragraph" w:customStyle="1" w:styleId="Addresses">
    <w:name w:val="Addresses"/>
    <w:basedOn w:val="a"/>
    <w:rsid w:val="00004A23"/>
  </w:style>
  <w:style w:type="paragraph" w:customStyle="1" w:styleId="Acknowledgements">
    <w:name w:val="Acknowledgements"/>
    <w:basedOn w:val="a"/>
    <w:rsid w:val="00004A23"/>
  </w:style>
  <w:style w:type="paragraph" w:customStyle="1" w:styleId="Abstract">
    <w:name w:val="Abstract"/>
    <w:basedOn w:val="a"/>
    <w:autoRedefine/>
    <w:rsid w:val="00004A23"/>
    <w:pPr>
      <w:spacing w:line="480" w:lineRule="auto"/>
    </w:pPr>
  </w:style>
  <w:style w:type="paragraph" w:customStyle="1" w:styleId="Head1">
    <w:name w:val="Head 1"/>
    <w:basedOn w:val="a"/>
    <w:autoRedefine/>
    <w:rsid w:val="00004A23"/>
    <w:pPr>
      <w:spacing w:line="360" w:lineRule="auto"/>
    </w:pPr>
    <w:rPr>
      <w:b/>
    </w:rPr>
  </w:style>
  <w:style w:type="paragraph" w:customStyle="1" w:styleId="Head2">
    <w:name w:val="Head 2"/>
    <w:basedOn w:val="a"/>
    <w:autoRedefine/>
    <w:rsid w:val="00004A23"/>
    <w:pPr>
      <w:spacing w:line="360" w:lineRule="auto"/>
    </w:pPr>
    <w:rPr>
      <w:i/>
    </w:rPr>
  </w:style>
  <w:style w:type="paragraph" w:customStyle="1" w:styleId="dates">
    <w:name w:val="dates"/>
    <w:basedOn w:val="a"/>
    <w:rsid w:val="00004A23"/>
    <w:pPr>
      <w:jc w:val="right"/>
    </w:pPr>
  </w:style>
  <w:style w:type="paragraph" w:customStyle="1" w:styleId="Literature">
    <w:name w:val="Literature"/>
    <w:basedOn w:val="a"/>
    <w:rsid w:val="00004A23"/>
    <w:pPr>
      <w:spacing w:line="480" w:lineRule="auto"/>
    </w:pPr>
  </w:style>
  <w:style w:type="paragraph" w:customStyle="1" w:styleId="Legend">
    <w:name w:val="Legend"/>
    <w:basedOn w:val="a"/>
    <w:rsid w:val="00004A23"/>
  </w:style>
  <w:style w:type="paragraph" w:customStyle="1" w:styleId="MainText">
    <w:name w:val="Main Text"/>
    <w:basedOn w:val="a"/>
    <w:link w:val="MainTextChar"/>
    <w:rsid w:val="00004A23"/>
    <w:pPr>
      <w:spacing w:line="480" w:lineRule="auto"/>
    </w:pPr>
  </w:style>
  <w:style w:type="paragraph" w:customStyle="1" w:styleId="Tableofcontents">
    <w:name w:val="Table of contents"/>
    <w:basedOn w:val="a"/>
    <w:autoRedefine/>
    <w:rsid w:val="008F7113"/>
    <w:pPr>
      <w:spacing w:line="360" w:lineRule="auto"/>
    </w:pPr>
  </w:style>
  <w:style w:type="paragraph" w:customStyle="1" w:styleId="ExperimentalText">
    <w:name w:val="Experimental Text"/>
    <w:basedOn w:val="a"/>
    <w:link w:val="ExperimentalTextChar"/>
    <w:rsid w:val="00004A23"/>
    <w:pPr>
      <w:spacing w:line="480" w:lineRule="auto"/>
    </w:pPr>
  </w:style>
  <w:style w:type="character" w:customStyle="1" w:styleId="ExperimentalTextChar">
    <w:name w:val="Experimental Text Char"/>
    <w:link w:val="ExperimentalText"/>
    <w:rsid w:val="00004A23"/>
    <w:rPr>
      <w:rFonts w:eastAsia="ＭＳ 明朝"/>
      <w:sz w:val="24"/>
      <w:szCs w:val="24"/>
      <w:lang w:val="en-US" w:eastAsia="ja-JP" w:bidi="ar-SA"/>
    </w:rPr>
  </w:style>
  <w:style w:type="character" w:customStyle="1" w:styleId="MainTextChar">
    <w:name w:val="Main Text Char"/>
    <w:link w:val="MainText"/>
    <w:rsid w:val="00004A23"/>
    <w:rPr>
      <w:rFonts w:eastAsia="ＭＳ 明朝"/>
      <w:sz w:val="24"/>
      <w:szCs w:val="24"/>
      <w:lang w:val="en-US" w:eastAsia="ja-JP" w:bidi="ar-SA"/>
    </w:rPr>
  </w:style>
  <w:style w:type="paragraph" w:customStyle="1" w:styleId="Title2">
    <w:name w:val="Title2"/>
    <w:basedOn w:val="a"/>
    <w:rsid w:val="002D16A0"/>
    <w:rPr>
      <w:b/>
    </w:rPr>
  </w:style>
  <w:style w:type="paragraph" w:customStyle="1" w:styleId="Dedication0">
    <w:name w:val="Dedication"/>
    <w:basedOn w:val="a"/>
    <w:autoRedefine/>
    <w:rsid w:val="00322D5B"/>
  </w:style>
  <w:style w:type="paragraph" w:customStyle="1" w:styleId="Maintext0">
    <w:name w:val="Main text"/>
    <w:basedOn w:val="a"/>
    <w:link w:val="MaintextChar0"/>
    <w:autoRedefine/>
    <w:rsid w:val="0019723B"/>
    <w:pPr>
      <w:spacing w:line="480" w:lineRule="auto"/>
    </w:pPr>
  </w:style>
  <w:style w:type="character" w:customStyle="1" w:styleId="MaintextChar0">
    <w:name w:val="Main text Char"/>
    <w:link w:val="Maintext0"/>
    <w:rsid w:val="0019723B"/>
    <w:rPr>
      <w:sz w:val="24"/>
      <w:szCs w:val="24"/>
      <w:lang w:val="en-US" w:eastAsia="ja-JP"/>
    </w:rPr>
  </w:style>
  <w:style w:type="paragraph" w:customStyle="1" w:styleId="Biography">
    <w:name w:val="Biography"/>
    <w:basedOn w:val="a"/>
    <w:autoRedefine/>
    <w:rsid w:val="00562E2B"/>
    <w:rPr>
      <w:i/>
    </w:rPr>
  </w:style>
  <w:style w:type="character" w:customStyle="1" w:styleId="a8">
    <w:name w:val="ヘッダー (文字)"/>
    <w:link w:val="a7"/>
    <w:rsid w:val="00414465"/>
    <w:rPr>
      <w:sz w:val="24"/>
      <w:szCs w:val="24"/>
      <w:lang w:eastAsia="ja-JP"/>
    </w:rPr>
  </w:style>
  <w:style w:type="character" w:styleId="ab">
    <w:name w:val="annotation reference"/>
    <w:uiPriority w:val="99"/>
    <w:semiHidden/>
    <w:unhideWhenUsed/>
    <w:rsid w:val="00664F6D"/>
    <w:rPr>
      <w:sz w:val="16"/>
      <w:szCs w:val="16"/>
    </w:rPr>
  </w:style>
  <w:style w:type="paragraph" w:styleId="ac">
    <w:name w:val="annotation text"/>
    <w:basedOn w:val="a"/>
    <w:link w:val="ad"/>
    <w:uiPriority w:val="99"/>
    <w:unhideWhenUsed/>
    <w:rsid w:val="00664F6D"/>
    <w:rPr>
      <w:sz w:val="20"/>
      <w:szCs w:val="20"/>
      <w:lang w:val="x-none"/>
    </w:rPr>
  </w:style>
  <w:style w:type="character" w:customStyle="1" w:styleId="ad">
    <w:name w:val="コメント文字列 (文字)"/>
    <w:link w:val="ac"/>
    <w:uiPriority w:val="99"/>
    <w:rsid w:val="00664F6D"/>
    <w:rPr>
      <w:lang w:eastAsia="ja-JP"/>
    </w:rPr>
  </w:style>
  <w:style w:type="paragraph" w:styleId="ae">
    <w:name w:val="annotation subject"/>
    <w:basedOn w:val="ac"/>
    <w:next w:val="ac"/>
    <w:link w:val="af"/>
    <w:uiPriority w:val="99"/>
    <w:semiHidden/>
    <w:unhideWhenUsed/>
    <w:rsid w:val="00664F6D"/>
    <w:rPr>
      <w:b/>
      <w:bCs/>
    </w:rPr>
  </w:style>
  <w:style w:type="character" w:customStyle="1" w:styleId="af">
    <w:name w:val="コメント内容 (文字)"/>
    <w:link w:val="ae"/>
    <w:uiPriority w:val="99"/>
    <w:semiHidden/>
    <w:rsid w:val="00664F6D"/>
    <w:rPr>
      <w:b/>
      <w:bCs/>
      <w:lang w:eastAsia="ja-JP"/>
    </w:rPr>
  </w:style>
  <w:style w:type="character" w:customStyle="1" w:styleId="aa">
    <w:name w:val="フッター (文字)"/>
    <w:link w:val="a9"/>
    <w:uiPriority w:val="99"/>
    <w:rsid w:val="007B7A09"/>
    <w:rPr>
      <w:sz w:val="24"/>
      <w:szCs w:val="24"/>
      <w:lang w:eastAsia="ja-JP"/>
    </w:rPr>
  </w:style>
  <w:style w:type="paragraph" w:styleId="af0">
    <w:name w:val="Bibliography"/>
    <w:basedOn w:val="a"/>
    <w:next w:val="a"/>
    <w:uiPriority w:val="37"/>
    <w:unhideWhenUsed/>
    <w:rsid w:val="001751B1"/>
    <w:pPr>
      <w:tabs>
        <w:tab w:val="left" w:pos="504"/>
      </w:tabs>
      <w:ind w:left="504" w:hanging="504"/>
    </w:pPr>
  </w:style>
  <w:style w:type="paragraph" w:customStyle="1" w:styleId="RSCT03TableBody">
    <w:name w:val="RSC T03 Table Body"/>
    <w:basedOn w:val="a"/>
    <w:link w:val="RSCT03TableBodyChar"/>
    <w:qFormat/>
    <w:rsid w:val="009D0109"/>
    <w:pPr>
      <w:keepNext/>
      <w:keepLines/>
      <w:spacing w:line="220" w:lineRule="exact"/>
      <w:jc w:val="center"/>
    </w:pPr>
    <w:rPr>
      <w:rFonts w:asciiTheme="minorHAnsi" w:eastAsia="Times New Roman" w:hAnsiTheme="minorHAnsi"/>
      <w:sz w:val="16"/>
      <w:szCs w:val="16"/>
      <w:lang w:val="en-GB" w:eastAsia="en-GB"/>
    </w:rPr>
  </w:style>
  <w:style w:type="character" w:customStyle="1" w:styleId="RSCT03TableBodyChar">
    <w:name w:val="RSC T03 Table Body Char"/>
    <w:basedOn w:val="a0"/>
    <w:link w:val="RSCT03TableBody"/>
    <w:rsid w:val="009D0109"/>
    <w:rPr>
      <w:rFonts w:asciiTheme="minorHAnsi" w:eastAsia="Times New Roman" w:hAnsiTheme="minorHAnsi"/>
      <w:sz w:val="16"/>
      <w:szCs w:val="16"/>
    </w:rPr>
  </w:style>
  <w:style w:type="paragraph" w:styleId="af1">
    <w:name w:val="List Paragraph"/>
    <w:basedOn w:val="a"/>
    <w:uiPriority w:val="34"/>
    <w:qFormat/>
    <w:rsid w:val="000936B0"/>
    <w:pPr>
      <w:widowControl w:val="0"/>
      <w:ind w:leftChars="400" w:left="840"/>
      <w:jc w:val="both"/>
    </w:pPr>
    <w:rPr>
      <w:rFonts w:ascii="Century" w:hAnsi="Century"/>
      <w:kern w:val="2"/>
      <w:sz w:val="21"/>
    </w:rPr>
  </w:style>
  <w:style w:type="table" w:styleId="af2">
    <w:name w:val="Table Grid"/>
    <w:basedOn w:val="a1"/>
    <w:uiPriority w:val="39"/>
    <w:rsid w:val="000936B0"/>
    <w:rPr>
      <w:rFonts w:asciiTheme="minorHAnsi" w:eastAsiaTheme="minorEastAsia" w:hAnsiTheme="minorHAnsi" w:cstheme="minorBidi"/>
      <w:kern w:val="2"/>
      <w:sz w:val="21"/>
      <w:szCs w:val="22"/>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Strong"/>
    <w:basedOn w:val="a0"/>
    <w:uiPriority w:val="22"/>
    <w:qFormat/>
    <w:rsid w:val="000936B0"/>
    <w:rPr>
      <w:b/>
      <w:bCs/>
    </w:rPr>
  </w:style>
  <w:style w:type="character" w:styleId="af4">
    <w:name w:val="Emphasis"/>
    <w:basedOn w:val="a0"/>
    <w:uiPriority w:val="20"/>
    <w:qFormat/>
    <w:rsid w:val="000936B0"/>
    <w:rPr>
      <w:i/>
      <w:iCs/>
    </w:rPr>
  </w:style>
  <w:style w:type="paragraph" w:styleId="Web">
    <w:name w:val="Normal (Web)"/>
    <w:basedOn w:val="a"/>
    <w:uiPriority w:val="99"/>
    <w:semiHidden/>
    <w:unhideWhenUsed/>
    <w:rsid w:val="002F1B47"/>
  </w:style>
  <w:style w:type="paragraph" w:styleId="af5">
    <w:name w:val="Revision"/>
    <w:hidden/>
    <w:uiPriority w:val="99"/>
    <w:semiHidden/>
    <w:rsid w:val="000E62B5"/>
    <w:rPr>
      <w:sz w:val="24"/>
      <w:szCs w:val="24"/>
      <w:lang w:val="en-US" w:eastAsia="ja-JP"/>
    </w:rPr>
  </w:style>
  <w:style w:type="character" w:customStyle="1" w:styleId="a4">
    <w:name w:val="脚注文字列 (文字)"/>
    <w:basedOn w:val="a0"/>
    <w:link w:val="a3"/>
    <w:semiHidden/>
    <w:rsid w:val="008F7113"/>
    <w:rPr>
      <w:rFonts w:eastAsia="Times New Roman"/>
      <w:lang w:eastAsia="ro-RO"/>
    </w:rPr>
  </w:style>
  <w:style w:type="character" w:customStyle="1" w:styleId="a6">
    <w:name w:val="吹き出し (文字)"/>
    <w:basedOn w:val="a0"/>
    <w:link w:val="a5"/>
    <w:semiHidden/>
    <w:rsid w:val="008F7113"/>
    <w:rPr>
      <w:rFonts w:ascii="Tahoma" w:hAnsi="Tahoma" w:cs="Tahoma"/>
      <w:sz w:val="16"/>
      <w:szCs w:val="16"/>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818840">
      <w:bodyDiv w:val="1"/>
      <w:marLeft w:val="0"/>
      <w:marRight w:val="0"/>
      <w:marTop w:val="0"/>
      <w:marBottom w:val="0"/>
      <w:divBdr>
        <w:top w:val="none" w:sz="0" w:space="0" w:color="auto"/>
        <w:left w:val="none" w:sz="0" w:space="0" w:color="auto"/>
        <w:bottom w:val="none" w:sz="0" w:space="0" w:color="auto"/>
        <w:right w:val="none" w:sz="0" w:space="0" w:color="auto"/>
      </w:divBdr>
    </w:div>
    <w:div w:id="145779794">
      <w:bodyDiv w:val="1"/>
      <w:marLeft w:val="0"/>
      <w:marRight w:val="0"/>
      <w:marTop w:val="0"/>
      <w:marBottom w:val="0"/>
      <w:divBdr>
        <w:top w:val="none" w:sz="0" w:space="0" w:color="auto"/>
        <w:left w:val="none" w:sz="0" w:space="0" w:color="auto"/>
        <w:bottom w:val="none" w:sz="0" w:space="0" w:color="auto"/>
        <w:right w:val="none" w:sz="0" w:space="0" w:color="auto"/>
      </w:divBdr>
    </w:div>
    <w:div w:id="282350033">
      <w:bodyDiv w:val="1"/>
      <w:marLeft w:val="0"/>
      <w:marRight w:val="0"/>
      <w:marTop w:val="0"/>
      <w:marBottom w:val="0"/>
      <w:divBdr>
        <w:top w:val="none" w:sz="0" w:space="0" w:color="auto"/>
        <w:left w:val="none" w:sz="0" w:space="0" w:color="auto"/>
        <w:bottom w:val="none" w:sz="0" w:space="0" w:color="auto"/>
        <w:right w:val="none" w:sz="0" w:space="0" w:color="auto"/>
      </w:divBdr>
    </w:div>
    <w:div w:id="350568789">
      <w:bodyDiv w:val="1"/>
      <w:marLeft w:val="0"/>
      <w:marRight w:val="0"/>
      <w:marTop w:val="0"/>
      <w:marBottom w:val="0"/>
      <w:divBdr>
        <w:top w:val="none" w:sz="0" w:space="0" w:color="auto"/>
        <w:left w:val="none" w:sz="0" w:space="0" w:color="auto"/>
        <w:bottom w:val="none" w:sz="0" w:space="0" w:color="auto"/>
        <w:right w:val="none" w:sz="0" w:space="0" w:color="auto"/>
      </w:divBdr>
    </w:div>
    <w:div w:id="544294886">
      <w:bodyDiv w:val="1"/>
      <w:marLeft w:val="0"/>
      <w:marRight w:val="0"/>
      <w:marTop w:val="0"/>
      <w:marBottom w:val="0"/>
      <w:divBdr>
        <w:top w:val="none" w:sz="0" w:space="0" w:color="auto"/>
        <w:left w:val="none" w:sz="0" w:space="0" w:color="auto"/>
        <w:bottom w:val="none" w:sz="0" w:space="0" w:color="auto"/>
        <w:right w:val="none" w:sz="0" w:space="0" w:color="auto"/>
      </w:divBdr>
    </w:div>
    <w:div w:id="555091113">
      <w:bodyDiv w:val="1"/>
      <w:marLeft w:val="0"/>
      <w:marRight w:val="0"/>
      <w:marTop w:val="0"/>
      <w:marBottom w:val="0"/>
      <w:divBdr>
        <w:top w:val="none" w:sz="0" w:space="0" w:color="auto"/>
        <w:left w:val="none" w:sz="0" w:space="0" w:color="auto"/>
        <w:bottom w:val="none" w:sz="0" w:space="0" w:color="auto"/>
        <w:right w:val="none" w:sz="0" w:space="0" w:color="auto"/>
      </w:divBdr>
    </w:div>
    <w:div w:id="1518735674">
      <w:bodyDiv w:val="1"/>
      <w:marLeft w:val="0"/>
      <w:marRight w:val="0"/>
      <w:marTop w:val="0"/>
      <w:marBottom w:val="0"/>
      <w:divBdr>
        <w:top w:val="none" w:sz="0" w:space="0" w:color="auto"/>
        <w:left w:val="none" w:sz="0" w:space="0" w:color="auto"/>
        <w:bottom w:val="none" w:sz="0" w:space="0" w:color="auto"/>
        <w:right w:val="none" w:sz="0" w:space="0" w:color="auto"/>
      </w:divBdr>
    </w:div>
    <w:div w:id="1919049981">
      <w:bodyDiv w:val="1"/>
      <w:marLeft w:val="0"/>
      <w:marRight w:val="0"/>
      <w:marTop w:val="0"/>
      <w:marBottom w:val="0"/>
      <w:divBdr>
        <w:top w:val="none" w:sz="0" w:space="0" w:color="auto"/>
        <w:left w:val="none" w:sz="0" w:space="0" w:color="auto"/>
        <w:bottom w:val="none" w:sz="0" w:space="0" w:color="auto"/>
        <w:right w:val="none" w:sz="0" w:space="0" w:color="auto"/>
      </w:divBdr>
    </w:div>
    <w:div w:id="2079858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image" Target="media/image13.png"/><Relationship Id="rId39" Type="http://schemas.openxmlformats.org/officeDocument/2006/relationships/image" Target="media/image26.png"/><Relationship Id="rId21" Type="http://schemas.openxmlformats.org/officeDocument/2006/relationships/footer" Target="footer1.xml"/><Relationship Id="rId34" Type="http://schemas.openxmlformats.org/officeDocument/2006/relationships/image" Target="media/image21.png"/><Relationship Id="rId42" Type="http://schemas.openxmlformats.org/officeDocument/2006/relationships/image" Target="media/image29.png"/><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image" Target="media/image5.png"/><Relationship Id="rId29" Type="http://schemas.openxmlformats.org/officeDocument/2006/relationships/image" Target="media/image16.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11.png"/><Relationship Id="rId32" Type="http://schemas.openxmlformats.org/officeDocument/2006/relationships/image" Target="media/image19.png"/><Relationship Id="rId37" Type="http://schemas.openxmlformats.org/officeDocument/2006/relationships/image" Target="media/image24.png"/><Relationship Id="rId40" Type="http://schemas.openxmlformats.org/officeDocument/2006/relationships/image" Target="media/image27.png"/><Relationship Id="rId45"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image" Target="media/image4.png"/><Relationship Id="rId23" Type="http://schemas.openxmlformats.org/officeDocument/2006/relationships/image" Target="media/image10.png"/><Relationship Id="rId28" Type="http://schemas.openxmlformats.org/officeDocument/2006/relationships/image" Target="media/image15.png"/><Relationship Id="rId36" Type="http://schemas.openxmlformats.org/officeDocument/2006/relationships/image" Target="media/image23.png"/><Relationship Id="rId10" Type="http://schemas.openxmlformats.org/officeDocument/2006/relationships/footnotes" Target="footnotes.xml"/><Relationship Id="rId19" Type="http://schemas.openxmlformats.org/officeDocument/2006/relationships/image" Target="media/image8.png"/><Relationship Id="rId31" Type="http://schemas.openxmlformats.org/officeDocument/2006/relationships/image" Target="media/image18.png"/><Relationship Id="rId44" Type="http://schemas.openxmlformats.org/officeDocument/2006/relationships/image" Target="media/image31.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image" Target="media/image17.png"/><Relationship Id="rId35" Type="http://schemas.openxmlformats.org/officeDocument/2006/relationships/image" Target="media/image22.png"/><Relationship Id="rId43" Type="http://schemas.openxmlformats.org/officeDocument/2006/relationships/image" Target="media/image30.png"/><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image" Target="media/image12.png"/><Relationship Id="rId33" Type="http://schemas.openxmlformats.org/officeDocument/2006/relationships/image" Target="media/image20.png"/><Relationship Id="rId38" Type="http://schemas.openxmlformats.org/officeDocument/2006/relationships/image" Target="media/image25.png"/><Relationship Id="rId46" Type="http://schemas.openxmlformats.org/officeDocument/2006/relationships/theme" Target="theme/theme1.xml"/><Relationship Id="rId20" Type="http://schemas.openxmlformats.org/officeDocument/2006/relationships/header" Target="header1.xml"/><Relationship Id="rId41" Type="http://schemas.openxmlformats.org/officeDocument/2006/relationships/image" Target="media/image2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70446C3525B3CB46BD92ABA5C2617223" ma:contentTypeVersion="12" ma:contentTypeDescription="Ein neues Dokument erstellen." ma:contentTypeScope="" ma:versionID="ace6bbd061d3e3241e07436f437a906c">
  <xsd:schema xmlns:xsd="http://www.w3.org/2001/XMLSchema" xmlns:xs="http://www.w3.org/2001/XMLSchema" xmlns:p="http://schemas.microsoft.com/office/2006/metadata/properties" xmlns:ns2="981f2fdf-0e4d-4708-9882-12f25bf7d4fe" xmlns:ns3="4fe7dd48-639f-4daa-8770-f50527565b0b" targetNamespace="http://schemas.microsoft.com/office/2006/metadata/properties" ma:root="true" ma:fieldsID="645148a839964f4ba651d3ea90aa0208" ns2:_="" ns3:_="">
    <xsd:import namespace="981f2fdf-0e4d-4708-9882-12f25bf7d4fe"/>
    <xsd:import namespace="4fe7dd48-639f-4daa-8770-f50527565b0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1f2fdf-0e4d-4708-9882-12f25bf7d4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fe7dd48-639f-4daa-8770-f50527565b0b" elementFormDefault="qualified">
    <xsd:import namespace="http://schemas.microsoft.com/office/2006/documentManagement/types"/>
    <xsd:import namespace="http://schemas.microsoft.com/office/infopath/2007/PartnerControls"/>
    <xsd:element name="SharedWithUsers" ma:index="17"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ontrolsStorage xmlns="urn:schemas-microsoft-com.VSTO2008Demos.ControlsStorage">
  <Controls>AAEAAAD/////AQAAAAAAAAAMAgAAAEVDaGVtNFdvcmQuQ29yZSwgVmVyc2lvbj0xLjAuMC4wLCBDdWx0dXJlPW5ldXRyYWwsIFB1YmxpY0tleVRva2VuPW51bGwHAQAAAAABAAAAAAAAAAQgQ2hlbTRXb3JkLkNvcmUuQ29udHJvbFByb3BlcnRpZXMCAAAACw==</Controls>
</ControlsStorage>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6C925C-E763-4769-9959-2FEDA6D7CE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1f2fdf-0e4d-4708-9882-12f25bf7d4fe"/>
    <ds:schemaRef ds:uri="4fe7dd48-639f-4daa-8770-f50527565b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6D19C85-73BE-4F5D-979F-58BFDE5BBE1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5886F76-A765-4714-B899-7AC2DC4334A1}">
  <ds:schemaRefs>
    <ds:schemaRef ds:uri="http://schemas.microsoft.com/sharepoint/v3/contenttype/forms"/>
  </ds:schemaRefs>
</ds:datastoreItem>
</file>

<file path=customXml/itemProps4.xml><?xml version="1.0" encoding="utf-8"?>
<ds:datastoreItem xmlns:ds="http://schemas.openxmlformats.org/officeDocument/2006/customXml" ds:itemID="{E3F19EBF-8207-4BE7-AD18-240ED1895C11}">
  <ds:schemaRefs>
    <ds:schemaRef ds:uri="urn:schemas-microsoft-com.VSTO2008Demos.ControlsStorage"/>
  </ds:schemaRefs>
</ds:datastoreItem>
</file>

<file path=customXml/itemProps5.xml><?xml version="1.0" encoding="utf-8"?>
<ds:datastoreItem xmlns:ds="http://schemas.openxmlformats.org/officeDocument/2006/customXml" ds:itemID="{25DEFDA1-1C89-4A7A-B7FD-FC23FA8F42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34</Pages>
  <Words>8066</Words>
  <Characters>154404</Characters>
  <Application>Microsoft Office Word</Application>
  <DocSecurity>0</DocSecurity>
  <Lines>1286</Lines>
  <Paragraphs>324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162146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2022-01-07T01:14:00Z</dcterms:created>
  <dcterms:modified xsi:type="dcterms:W3CDTF">2023-02-06T03:33:00Z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0x01010070446C3525B3CB46BD92ABA5C2617223</vt:lpwstr>
  </property>
  <property fmtid="{D5CDD505-2E9C-101B-9397-08002B2CF9AE}" pid="3" name="ZOTERO_PREF_1">
    <vt:lpwstr>&lt;data data-version="3" zotero-version="5.0.97-beta.63+035aac30f"&gt;&lt;session id="0eyrvTng"/&gt;&lt;style id="http://www.zotero.org/styles/angewandte-chemie-international-edition" hasBibliography="1" bibliographyStyleHasBeenSet="1"/&gt;&lt;prefs&gt;&lt;pref name="fieldType" va</vt:lpwstr>
  </property>
  <property fmtid="{D5CDD505-2E9C-101B-9397-08002B2CF9AE}" pid="4" name="ZOTERO_PREF_2">
    <vt:lpwstr>lue="Field"/&gt;&lt;pref name="automaticJournalAbbreviations" value="true"/&gt;&lt;/prefs&gt;&lt;/data&gt;</vt:lpwstr>
  </property>
</Properties>
</file>