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FBA16" w14:textId="77777777" w:rsidR="000C12BB" w:rsidRPr="00217C3B" w:rsidRDefault="000C12BB" w:rsidP="00217C3B">
      <w:pPr>
        <w:pStyle w:val="BATitle"/>
      </w:pPr>
      <w:bookmarkStart w:id="0" w:name="OLE_LINK3"/>
      <w:bookmarkStart w:id="1" w:name="OLE_LINK4"/>
      <w:bookmarkStart w:id="2" w:name="OLE_LINK9"/>
      <w:r w:rsidRPr="00217C3B">
        <w:t xml:space="preserve">Multifunctional in-memory logics based on a dual-gate </w:t>
      </w:r>
      <w:proofErr w:type="spellStart"/>
      <w:r w:rsidRPr="00217C3B">
        <w:t>antiambipolar</w:t>
      </w:r>
      <w:proofErr w:type="spellEnd"/>
      <w:r w:rsidRPr="00217C3B">
        <w:t xml:space="preserve"> transistor toward non-von Neumann computing architecture</w:t>
      </w:r>
    </w:p>
    <w:bookmarkEnd w:id="0"/>
    <w:bookmarkEnd w:id="1"/>
    <w:bookmarkEnd w:id="2"/>
    <w:p w14:paraId="3342B1EA" w14:textId="77777777" w:rsidR="000C12BB" w:rsidRPr="00805392" w:rsidRDefault="000C12BB" w:rsidP="00D45293">
      <w:pPr>
        <w:rPr>
          <w:rFonts w:ascii="Times New Roman" w:hAnsi="Times New Roman" w:cs="Times New Roman"/>
          <w:b/>
          <w:bCs/>
          <w:sz w:val="28"/>
          <w:szCs w:val="28"/>
        </w:rPr>
      </w:pPr>
    </w:p>
    <w:p w14:paraId="20B02245" w14:textId="77777777" w:rsidR="000C12BB" w:rsidRPr="004E3960" w:rsidRDefault="000C12BB" w:rsidP="003B1AA3">
      <w:pPr>
        <w:pStyle w:val="BBAuthorName"/>
        <w:rPr>
          <w:vertAlign w:val="superscript"/>
        </w:rPr>
      </w:pPr>
      <w:r w:rsidRPr="004E3960">
        <w:t xml:space="preserve">Yoshitaka </w:t>
      </w:r>
      <w:proofErr w:type="spellStart"/>
      <w:r w:rsidRPr="004E3960">
        <w:t>Shingaya</w:t>
      </w:r>
      <w:proofErr w:type="spellEnd"/>
      <w:r w:rsidRPr="003B1AA3">
        <w:rPr>
          <w:vertAlign w:val="superscript"/>
        </w:rPr>
        <w:t>†</w:t>
      </w:r>
      <w:r w:rsidRPr="004E3960">
        <w:t>, Takuya Iwasaki</w:t>
      </w:r>
      <w:r w:rsidRPr="003B1AA3">
        <w:rPr>
          <w:vertAlign w:val="superscript"/>
        </w:rPr>
        <w:t>†</w:t>
      </w:r>
      <w:r w:rsidRPr="004E3960">
        <w:t xml:space="preserve">, </w:t>
      </w:r>
      <w:proofErr w:type="spellStart"/>
      <w:r w:rsidRPr="004E3960">
        <w:t>Ryoma</w:t>
      </w:r>
      <w:proofErr w:type="spellEnd"/>
      <w:r w:rsidRPr="004E3960">
        <w:t xml:space="preserve"> Hayakawa</w:t>
      </w:r>
      <w:r w:rsidRPr="003B1AA3">
        <w:rPr>
          <w:vertAlign w:val="superscript"/>
        </w:rPr>
        <w:t>†</w:t>
      </w:r>
      <w:r w:rsidRPr="004E3960">
        <w:t xml:space="preserve">*, Shu </w:t>
      </w:r>
      <w:proofErr w:type="spellStart"/>
      <w:r w:rsidRPr="004E3960">
        <w:t>Nakaharai</w:t>
      </w:r>
      <w:proofErr w:type="spellEnd"/>
      <w:r w:rsidRPr="003B1AA3">
        <w:rPr>
          <w:vertAlign w:val="superscript"/>
        </w:rPr>
        <w:t>†</w:t>
      </w:r>
      <w:r w:rsidRPr="004E3960">
        <w:t>, Kenji Watana</w:t>
      </w:r>
      <w:r w:rsidRPr="003B1AA3">
        <w:rPr>
          <w:szCs w:val="24"/>
        </w:rPr>
        <w:t>be</w:t>
      </w:r>
      <w:r w:rsidRPr="003B1AA3">
        <w:rPr>
          <w:rFonts w:ascii="Times New Roman" w:hAnsi="Times New Roman"/>
          <w:szCs w:val="24"/>
          <w:vertAlign w:val="superscript"/>
        </w:rPr>
        <w:t>‡</w:t>
      </w:r>
      <w:r w:rsidRPr="004E3960">
        <w:t>, Takashi Taniguchi</w:t>
      </w:r>
      <w:r w:rsidRPr="003B1AA3">
        <w:rPr>
          <w:vertAlign w:val="superscript"/>
        </w:rPr>
        <w:t>†</w:t>
      </w:r>
      <w:r w:rsidRPr="004E3960">
        <w:t>, Junko Aim</w:t>
      </w:r>
      <w:r w:rsidRPr="003B1AA3">
        <w:rPr>
          <w:szCs w:val="24"/>
        </w:rPr>
        <w:t>i</w:t>
      </w:r>
      <w:r w:rsidRPr="003B1AA3">
        <w:rPr>
          <w:rFonts w:ascii="Times New Roman" w:hAnsi="Times New Roman"/>
          <w:szCs w:val="24"/>
          <w:vertAlign w:val="superscript"/>
        </w:rPr>
        <w:t>§</w:t>
      </w:r>
      <w:r w:rsidRPr="004E3960">
        <w:t>*, Yutaka Wakayama</w:t>
      </w:r>
      <w:r w:rsidRPr="003B1AA3">
        <w:rPr>
          <w:vertAlign w:val="superscript"/>
        </w:rPr>
        <w:t>†</w:t>
      </w:r>
      <w:r w:rsidRPr="004E3960">
        <w:t>*</w:t>
      </w:r>
    </w:p>
    <w:p w14:paraId="201F76C1" w14:textId="77777777" w:rsidR="000C12BB" w:rsidRPr="004E3960" w:rsidRDefault="000C12BB" w:rsidP="00D45293">
      <w:pPr>
        <w:rPr>
          <w:rFonts w:ascii="Times New Roman" w:hAnsi="Times New Roman" w:cs="Times New Roman"/>
          <w:sz w:val="24"/>
          <w:vertAlign w:val="superscript"/>
        </w:rPr>
      </w:pPr>
    </w:p>
    <w:p w14:paraId="721B7ABD" w14:textId="594AC224" w:rsidR="000C12BB" w:rsidRPr="00897AFB" w:rsidRDefault="000C12BB" w:rsidP="00217C3B">
      <w:pPr>
        <w:pStyle w:val="BCAuthorAddress"/>
      </w:pPr>
      <w:r w:rsidRPr="00897AFB">
        <w:rPr>
          <w:vertAlign w:val="superscript"/>
        </w:rPr>
        <w:t>†</w:t>
      </w:r>
      <w:r w:rsidRPr="00897AFB">
        <w:t xml:space="preserve">Research Center for Materials </w:t>
      </w:r>
      <w:proofErr w:type="spellStart"/>
      <w:r w:rsidRPr="00897AFB">
        <w:t>Nanoarchitectonics</w:t>
      </w:r>
      <w:proofErr w:type="spellEnd"/>
      <w:r w:rsidRPr="00897AFB">
        <w:t xml:space="preserve"> (MANA), National Institute for Materials Science (NIMS), 1-1 </w:t>
      </w:r>
      <w:proofErr w:type="spellStart"/>
      <w:r w:rsidRPr="00897AFB">
        <w:t>Namiki</w:t>
      </w:r>
      <w:proofErr w:type="spellEnd"/>
      <w:r w:rsidRPr="00897AFB">
        <w:t>, Tsukuba, Ibaraki 305</w:t>
      </w:r>
      <w:r w:rsidR="005D6407">
        <w:t>-</w:t>
      </w:r>
      <w:r w:rsidRPr="00897AFB">
        <w:t>0044, Japan</w:t>
      </w:r>
    </w:p>
    <w:p w14:paraId="2340A072" w14:textId="1FE4DE36" w:rsidR="000C12BB" w:rsidRPr="00897AFB" w:rsidRDefault="000C12BB" w:rsidP="00217C3B">
      <w:pPr>
        <w:pStyle w:val="BCAuthorAddress"/>
      </w:pPr>
      <w:bookmarkStart w:id="3" w:name="OLE_LINK31"/>
      <w:bookmarkStart w:id="4" w:name="OLE_LINK32"/>
      <w:r w:rsidRPr="00897AFB">
        <w:rPr>
          <w:vertAlign w:val="superscript"/>
        </w:rPr>
        <w:t>‡</w:t>
      </w:r>
      <w:r w:rsidRPr="00897AFB">
        <w:t>Research Center for Functional Materials, National Institute for Materials Science (NIMS)</w:t>
      </w:r>
      <w:bookmarkEnd w:id="3"/>
      <w:bookmarkEnd w:id="4"/>
      <w:r w:rsidRPr="00897AFB">
        <w:t xml:space="preserve">, 1-1 </w:t>
      </w:r>
      <w:proofErr w:type="spellStart"/>
      <w:r w:rsidRPr="00897AFB">
        <w:t>Namiki</w:t>
      </w:r>
      <w:proofErr w:type="spellEnd"/>
      <w:r w:rsidRPr="00897AFB">
        <w:t>, Tsukuba, Ibaraki 305</w:t>
      </w:r>
      <w:r w:rsidR="005D6407">
        <w:t>-</w:t>
      </w:r>
      <w:r w:rsidRPr="00897AFB">
        <w:t>0044, Japan</w:t>
      </w:r>
    </w:p>
    <w:p w14:paraId="0157EB97" w14:textId="713C38F7" w:rsidR="000C12BB" w:rsidRPr="00897AFB" w:rsidRDefault="000C12BB" w:rsidP="00217C3B">
      <w:pPr>
        <w:pStyle w:val="BCAuthorAddress"/>
      </w:pPr>
      <w:r w:rsidRPr="00897AFB">
        <w:rPr>
          <w:szCs w:val="24"/>
          <w:vertAlign w:val="superscript"/>
        </w:rPr>
        <w:t>§</w:t>
      </w:r>
      <w:r w:rsidRPr="00897AFB">
        <w:t xml:space="preserve">Research Center for Macromolecules and Biomaterials, National Institute for Materials Science (NIMS), 1-2-1 </w:t>
      </w:r>
      <w:proofErr w:type="spellStart"/>
      <w:r w:rsidRPr="00897AFB">
        <w:t>Sengen</w:t>
      </w:r>
      <w:proofErr w:type="spellEnd"/>
      <w:r w:rsidRPr="00897AFB">
        <w:t>, Tsukuba, Ibaraki 305</w:t>
      </w:r>
      <w:r w:rsidR="005D6407">
        <w:t>-</w:t>
      </w:r>
      <w:r w:rsidRPr="00897AFB">
        <w:t>0047, Japan</w:t>
      </w:r>
    </w:p>
    <w:p w14:paraId="24F5BFD9" w14:textId="77777777" w:rsidR="000C12BB" w:rsidRDefault="000C12BB" w:rsidP="00B047C6">
      <w:pPr>
        <w:pStyle w:val="BGKeywords"/>
        <w:rPr>
          <w:snapToGrid w:val="0"/>
        </w:rPr>
      </w:pPr>
    </w:p>
    <w:p w14:paraId="02CD9FF5" w14:textId="70721719" w:rsidR="000C12BB" w:rsidRPr="0074469E" w:rsidRDefault="00835AA5" w:rsidP="00835AA5">
      <w:pPr>
        <w:pStyle w:val="BGKeywords"/>
        <w:rPr>
          <w:color w:val="000000" w:themeColor="text1"/>
        </w:rPr>
      </w:pPr>
      <w:r w:rsidRPr="0074469E">
        <w:rPr>
          <w:color w:val="000000" w:themeColor="text1"/>
        </w:rPr>
        <w:lastRenderedPageBreak/>
        <w:t xml:space="preserve">KEYWORDS: </w:t>
      </w:r>
      <w:r w:rsidR="000C12BB" w:rsidRPr="0074469E">
        <w:rPr>
          <w:rFonts w:hint="eastAsia"/>
          <w:color w:val="000000" w:themeColor="text1"/>
        </w:rPr>
        <w:t>2</w:t>
      </w:r>
      <w:r w:rsidR="000C12BB" w:rsidRPr="0074469E">
        <w:rPr>
          <w:color w:val="000000" w:themeColor="text1"/>
        </w:rPr>
        <w:t xml:space="preserve">D materials, </w:t>
      </w:r>
      <w:proofErr w:type="spellStart"/>
      <w:r w:rsidR="000C12BB" w:rsidRPr="0074469E">
        <w:rPr>
          <w:color w:val="000000" w:themeColor="text1"/>
        </w:rPr>
        <w:t>antiambipolar</w:t>
      </w:r>
      <w:proofErr w:type="spellEnd"/>
      <w:r w:rsidR="000C12BB" w:rsidRPr="0074469E">
        <w:rPr>
          <w:color w:val="000000" w:themeColor="text1"/>
        </w:rPr>
        <w:t xml:space="preserve"> transistor, in-memory</w:t>
      </w:r>
      <w:r w:rsidR="001729FF" w:rsidRPr="0074469E">
        <w:rPr>
          <w:color w:val="000000" w:themeColor="text1"/>
        </w:rPr>
        <w:t xml:space="preserve"> logic</w:t>
      </w:r>
      <w:r w:rsidR="000C12BB" w:rsidRPr="0074469E">
        <w:rPr>
          <w:color w:val="000000" w:themeColor="text1"/>
        </w:rPr>
        <w:t>, neuromorphic device</w:t>
      </w:r>
      <w:r w:rsidR="009F71BB" w:rsidRPr="0074469E">
        <w:rPr>
          <w:color w:val="000000" w:themeColor="text1"/>
        </w:rPr>
        <w:t>, nano-floating gate, non-von Neumann computing</w:t>
      </w:r>
    </w:p>
    <w:p w14:paraId="257E3ADB" w14:textId="77777777" w:rsidR="000C12BB" w:rsidRPr="004E3960" w:rsidRDefault="000C12BB" w:rsidP="001C7002">
      <w:pPr>
        <w:rPr>
          <w:lang w:eastAsia="en-US"/>
        </w:rPr>
      </w:pPr>
    </w:p>
    <w:p w14:paraId="76A4B245" w14:textId="77777777" w:rsidR="000C12BB" w:rsidRDefault="000C12BB" w:rsidP="00D45293">
      <w:pPr>
        <w:rPr>
          <w:rFonts w:ascii="Times New Roman" w:hAnsi="Times New Roman" w:cs="Times New Roman"/>
          <w:sz w:val="24"/>
          <w:lang w:val="de-DE"/>
        </w:rPr>
      </w:pPr>
    </w:p>
    <w:p w14:paraId="2757FDF0" w14:textId="77777777" w:rsidR="000C12BB" w:rsidRPr="007F3791" w:rsidRDefault="000C12BB" w:rsidP="00D45293">
      <w:pPr>
        <w:rPr>
          <w:lang w:eastAsia="en-US"/>
        </w:rPr>
      </w:pPr>
    </w:p>
    <w:p w14:paraId="75B59B9A" w14:textId="52F22E9A" w:rsidR="000C12BB" w:rsidRPr="00217C3B" w:rsidRDefault="005D6407" w:rsidP="00217C3B">
      <w:pPr>
        <w:pStyle w:val="BDAbstract"/>
      </w:pPr>
      <w:r w:rsidRPr="00217C3B">
        <w:t>ABSTR</w:t>
      </w:r>
      <w:r>
        <w:t>A</w:t>
      </w:r>
      <w:r w:rsidRPr="00217C3B">
        <w:t>CT</w:t>
      </w:r>
      <w:r w:rsidR="00835AA5" w:rsidRPr="00217C3B">
        <w:t xml:space="preserve">: </w:t>
      </w:r>
      <w:bookmarkStart w:id="5" w:name="OLE_LINK74"/>
      <w:bookmarkStart w:id="6" w:name="OLE_LINK75"/>
      <w:bookmarkStart w:id="7" w:name="OLE_LINK5"/>
      <w:bookmarkStart w:id="8" w:name="OLE_LINK6"/>
      <w:r w:rsidR="000C12BB" w:rsidRPr="00217C3B">
        <w:t>In-memory computing may make it possible to realize non-von Neumann computing because the logic</w:t>
      </w:r>
      <w:r w:rsidR="000C12BB" w:rsidRPr="00217C3B">
        <w:rPr>
          <w:rFonts w:hint="eastAsia"/>
        </w:rPr>
        <w:t xml:space="preserve"> </w:t>
      </w:r>
      <w:r w:rsidR="000C12BB" w:rsidRPr="00217C3B">
        <w:t xml:space="preserve">circuits are unified in the memory units. We investigated two types of in-memory logic operation, namely two-input logic circuits and multifunctional artificial synapses. These were realized in a dual-gate </w:t>
      </w:r>
      <w:proofErr w:type="spellStart"/>
      <w:r w:rsidR="000C12BB" w:rsidRPr="00217C3B">
        <w:t>antiambipolar</w:t>
      </w:r>
      <w:proofErr w:type="spellEnd"/>
      <w:r w:rsidR="000C12BB" w:rsidRPr="00217C3B">
        <w:t xml:space="preserve"> transistor (AAT) with an ReS</w:t>
      </w:r>
      <w:r w:rsidR="000C12BB" w:rsidRPr="00703D3C">
        <w:rPr>
          <w:vertAlign w:val="subscript"/>
        </w:rPr>
        <w:t>2</w:t>
      </w:r>
      <w:r w:rsidR="000C12BB" w:rsidRPr="00217C3B">
        <w:t>/WSe</w:t>
      </w:r>
      <w:r w:rsidR="000C12BB" w:rsidRPr="00703D3C">
        <w:rPr>
          <w:vertAlign w:val="subscript"/>
        </w:rPr>
        <w:t>2</w:t>
      </w:r>
      <w:r w:rsidR="000C12BB" w:rsidRPr="00217C3B">
        <w:t xml:space="preserve"> heterojunction, in which polystyrene </w:t>
      </w:r>
      <w:r w:rsidR="00E8699E">
        <w:t xml:space="preserve">with a </w:t>
      </w:r>
      <w:r w:rsidR="00E8699E" w:rsidRPr="00217C3B">
        <w:t>zinc phthalocyanine</w:t>
      </w:r>
      <w:r w:rsidR="00E8699E">
        <w:t xml:space="preserve"> </w:t>
      </w:r>
      <w:r w:rsidR="00E8699E" w:rsidRPr="00217C3B">
        <w:t xml:space="preserve">core </w:t>
      </w:r>
      <w:r w:rsidR="000C12BB" w:rsidRPr="00217C3B">
        <w:t>(ZnPc-PS</w:t>
      </w:r>
      <w:r w:rsidR="000C12BB" w:rsidRPr="00703D3C">
        <w:rPr>
          <w:vertAlign w:val="subscript"/>
        </w:rPr>
        <w:t>4</w:t>
      </w:r>
      <w:r w:rsidR="000C12BB" w:rsidRPr="00217C3B">
        <w:t xml:space="preserve">) was incorporated as a memory layer. Here, reconfigurability is a key concept for both </w:t>
      </w:r>
      <w:r w:rsidR="008C1A18">
        <w:t xml:space="preserve">types of </w:t>
      </w:r>
      <w:r w:rsidR="000C12BB" w:rsidRPr="00217C3B">
        <w:t xml:space="preserve">device operation and was achieved by merging the Λ-shaped transfer curve of the AAT and </w:t>
      </w:r>
      <w:r w:rsidR="008C1A18">
        <w:t xml:space="preserve">the </w:t>
      </w:r>
      <w:r w:rsidR="000C12BB" w:rsidRPr="00217C3B">
        <w:t>nonvolatile memory effect of ZnPc-PS</w:t>
      </w:r>
      <w:r w:rsidR="000C12BB" w:rsidRPr="00703D3C">
        <w:rPr>
          <w:vertAlign w:val="subscript"/>
        </w:rPr>
        <w:t>4</w:t>
      </w:r>
      <w:r w:rsidR="000C12BB" w:rsidRPr="00217C3B">
        <w:t xml:space="preserve">. </w:t>
      </w:r>
      <w:r w:rsidR="000C12BB" w:rsidRPr="00217C3B">
        <w:rPr>
          <w:rFonts w:hint="eastAsia"/>
        </w:rPr>
        <w:t>F</w:t>
      </w:r>
      <w:r w:rsidR="000C12BB" w:rsidRPr="00217C3B">
        <w:t xml:space="preserve">irst, we achieved electrically reconfigurable two-input logic circuits. Versatile logic circuits such as AND, OR, NAND, NOR, and XOR circuits were demonstrated by taking advantage of the Λ-shaped transfer curve of the dual-gate AAT. Importantly, the nonvolatile memory function provided the electrical switching of the individual circuits between AND/OR, NAND/NOR, and XOR/NAND circuits with constant input signals. Second, the memory effect was applied to multifunctional artificial synapses. The inhibitory/excitatory and long-term potentiation/depression synaptic </w:t>
      </w:r>
      <w:r w:rsidR="000C12BB" w:rsidRPr="00217C3B">
        <w:lastRenderedPageBreak/>
        <w:t>operations were electrically reconfigured simply by controlling one parameter (readout voltage), making three distinct responses possible even with the same presynaptic signals. These findings provide hints that may lead to the realization of new in-memory computing architectures beyond the current von Neumann computers.</w:t>
      </w:r>
      <w:bookmarkEnd w:id="5"/>
      <w:bookmarkEnd w:id="6"/>
    </w:p>
    <w:bookmarkEnd w:id="7"/>
    <w:bookmarkEnd w:id="8"/>
    <w:p w14:paraId="531F64B8" w14:textId="0E8E31D6" w:rsidR="000C12BB" w:rsidRPr="00897AFB" w:rsidRDefault="000C12BB" w:rsidP="004130A7">
      <w:pPr>
        <w:pStyle w:val="TAMainText"/>
        <w:numPr>
          <w:ilvl w:val="0"/>
          <w:numId w:val="4"/>
        </w:numPr>
      </w:pPr>
      <w:r>
        <w:t>INTRODUCTION</w:t>
      </w:r>
    </w:p>
    <w:p w14:paraId="7667D7C2" w14:textId="1826A20D" w:rsidR="000C12BB" w:rsidRPr="00897AFB" w:rsidRDefault="000C12BB" w:rsidP="00897AFB">
      <w:pPr>
        <w:pStyle w:val="TAMainText"/>
      </w:pPr>
      <w:r w:rsidRPr="00897AFB">
        <w:t>The development of high-performance edge computers such as artificial intelligence (AI) and neuromorphic devices has attracted considerable attention</w:t>
      </w:r>
      <w:r w:rsidRPr="00897AFB">
        <w:rPr>
          <w:noProof/>
          <w:vertAlign w:val="superscript"/>
        </w:rPr>
        <w:t>1, 2</w:t>
      </w:r>
      <w:r w:rsidRPr="00897AFB">
        <w:t>. This trend has been further accelerated by the emergence of data-intensive applications represented by the Internet of Things and cloud computing systems</w:t>
      </w:r>
      <w:r w:rsidRPr="00897AFB">
        <w:rPr>
          <w:noProof/>
          <w:vertAlign w:val="superscript"/>
        </w:rPr>
        <w:t>3</w:t>
      </w:r>
      <w:r w:rsidRPr="00897AFB">
        <w:t>. However, the current technology based on von Neumann computing suffers from serious drawbacks related to long data latency and high</w:t>
      </w:r>
      <w:r w:rsidR="008C1A18">
        <w:rPr>
          <w:color w:val="FF0000"/>
          <w:lang w:eastAsia="ja-JP"/>
        </w:rPr>
        <w:t xml:space="preserve"> </w:t>
      </w:r>
      <w:r w:rsidRPr="00897AFB">
        <w:t>power consumption, which hinder the realization of state-of-the-art edge computers. The drawbacks originate from the device architecture of modern computers where the processor and memory units are physically isolated from each other. This data-transfer problem between logic and memory devices is referred to as a “von Neumann bottleneck” or “memory wall”</w:t>
      </w:r>
      <w:bookmarkStart w:id="9" w:name="OLE_LINK139"/>
      <w:bookmarkStart w:id="10" w:name="OLE_LINK140"/>
      <w:r w:rsidRPr="00897AFB">
        <w:t xml:space="preserve"> </w:t>
      </w:r>
      <w:r w:rsidRPr="00897AFB">
        <w:rPr>
          <w:noProof/>
          <w:vertAlign w:val="superscript"/>
        </w:rPr>
        <w:t>4, 5</w:t>
      </w:r>
      <w:r w:rsidRPr="00897AFB">
        <w:t>.</w:t>
      </w:r>
    </w:p>
    <w:p w14:paraId="08CD236B" w14:textId="046D7599" w:rsidR="000C12BB" w:rsidRPr="00897AFB" w:rsidRDefault="000C12BB" w:rsidP="00897AFB">
      <w:pPr>
        <w:pStyle w:val="TAMainText"/>
      </w:pPr>
      <w:r w:rsidRPr="00897AFB">
        <w:t>In-memory computing</w:t>
      </w:r>
      <w:bookmarkEnd w:id="9"/>
      <w:bookmarkEnd w:id="10"/>
      <w:r w:rsidRPr="00897AFB">
        <w:t xml:space="preserve">, where the </w:t>
      </w:r>
      <w:r w:rsidRPr="00897AFB">
        <w:rPr>
          <w:noProof/>
        </w:rPr>
        <w:t>logic circuits are integrated in the memory units</w:t>
      </w:r>
      <w:r w:rsidRPr="00897AFB">
        <w:rPr>
          <w:noProof/>
          <w:vertAlign w:val="superscript"/>
        </w:rPr>
        <w:t>6-9</w:t>
      </w:r>
      <w:r w:rsidRPr="00897AFB">
        <w:rPr>
          <w:noProof/>
        </w:rPr>
        <w:t xml:space="preserve">, </w:t>
      </w:r>
      <w:r w:rsidRPr="00897AFB">
        <w:t xml:space="preserve">has the potential to overcome the drawbacks of current computers. </w:t>
      </w:r>
      <w:r w:rsidRPr="00897AFB">
        <w:rPr>
          <w:noProof/>
        </w:rPr>
        <w:t>The</w:t>
      </w:r>
      <w:r w:rsidRPr="00897AFB">
        <w:t xml:space="preserve"> integration of logic and memory </w:t>
      </w:r>
      <w:r w:rsidRPr="00897AFB">
        <w:lastRenderedPageBreak/>
        <w:t>devices is expected to achieve high throughput data processing and low power consumption.</w:t>
      </w:r>
      <w:bookmarkStart w:id="11" w:name="OLE_LINK143"/>
      <w:bookmarkStart w:id="12" w:name="OLE_LINK144"/>
      <w:r w:rsidRPr="00897AFB">
        <w:t xml:space="preserve"> Then, the nonvolatile memory function will play a critical role in the realization of reconfigurable and energy-efficient AI computing systems. </w:t>
      </w:r>
      <w:r w:rsidR="008C1A18">
        <w:t>I</w:t>
      </w:r>
      <w:r w:rsidR="008C1A18" w:rsidRPr="00897AFB">
        <w:t xml:space="preserve">ndividual </w:t>
      </w:r>
      <w:r w:rsidRPr="00897AFB">
        <w:t>logic circuits such as NAND and NOR circuits can be electrically reconfigured at the hardware level even after the integrated circuits have been manufactured</w:t>
      </w:r>
      <w:r w:rsidRPr="00897AFB">
        <w:rPr>
          <w:noProof/>
          <w:vertAlign w:val="superscript"/>
        </w:rPr>
        <w:t>10-12</w:t>
      </w:r>
      <w:r w:rsidRPr="00897AFB">
        <w:t>.</w:t>
      </w:r>
      <w:bookmarkEnd w:id="11"/>
      <w:bookmarkEnd w:id="12"/>
      <w:r w:rsidRPr="00897AFB">
        <w:t xml:space="preserve"> </w:t>
      </w:r>
      <w:bookmarkStart w:id="13" w:name="OLE_LINK141"/>
      <w:bookmarkStart w:id="14" w:name="OLE_LINK142"/>
      <w:r w:rsidRPr="00897AFB">
        <w:t>The in-memory functions can also be applied to neuromorphic devices</w:t>
      </w:r>
      <w:r w:rsidRPr="00897AFB">
        <w:rPr>
          <w:noProof/>
          <w:vertAlign w:val="superscript"/>
        </w:rPr>
        <w:t>7, 13</w:t>
      </w:r>
      <w:r w:rsidRPr="00897AFB">
        <w:t>.</w:t>
      </w:r>
      <w:bookmarkEnd w:id="13"/>
      <w:bookmarkEnd w:id="14"/>
      <w:r w:rsidRPr="00897AFB">
        <w:t xml:space="preserve"> Recently, versatile synaptic devices have been developed using emerging nonvolatile memories such as two-terminal memories</w:t>
      </w:r>
      <w:r w:rsidRPr="00897AFB">
        <w:rPr>
          <w:noProof/>
          <w:vertAlign w:val="superscript"/>
        </w:rPr>
        <w:t>14-18</w:t>
      </w:r>
      <w:r w:rsidRPr="00897AFB">
        <w:t xml:space="preserve"> and transistor-based memories</w:t>
      </w:r>
      <w:r w:rsidRPr="00897AFB">
        <w:rPr>
          <w:noProof/>
          <w:vertAlign w:val="superscript"/>
        </w:rPr>
        <w:t>19-23</w:t>
      </w:r>
      <w:r w:rsidRPr="00897AFB">
        <w:t xml:space="preserve">. As a result, human-brain-like operations have been demonstrated, including complex pattern recognition, and long-term </w:t>
      </w:r>
      <w:r w:rsidRPr="00016130">
        <w:rPr>
          <w:color w:val="000000" w:themeColor="text1"/>
        </w:rPr>
        <w:t xml:space="preserve">potentiation and </w:t>
      </w:r>
      <w:r w:rsidR="006D56EC" w:rsidRPr="00016130">
        <w:rPr>
          <w:color w:val="000000" w:themeColor="text1"/>
        </w:rPr>
        <w:t>depression</w:t>
      </w:r>
      <w:r w:rsidRPr="00016130">
        <w:rPr>
          <w:color w:val="000000" w:themeColor="text1"/>
        </w:rPr>
        <w:t>. Ho</w:t>
      </w:r>
      <w:r w:rsidRPr="00897AFB">
        <w:t>wever, it should be noted that biological synapses exhibit diverse responses even for the same external stimulus. And the roles of respective synapses, e.g., inhibitory or excitatory synapses, are varied by commands from neuromodulators</w:t>
      </w:r>
      <w:r w:rsidRPr="00897AFB">
        <w:rPr>
          <w:noProof/>
          <w:vertAlign w:val="superscript"/>
        </w:rPr>
        <w:t>24-27</w:t>
      </w:r>
      <w:r w:rsidRPr="00897AFB">
        <w:t xml:space="preserve">. Meanwhile, conventional artificial neuromorphic devices show only unipolar carrier transport and so individual synaptic functions are operated by a simple external stimulus. Therefore, there is a strong need for the development of reconfigurable and multifunctional artificial synapses for the further evolution of AI systems that </w:t>
      </w:r>
      <w:r w:rsidR="008C1A18">
        <w:t xml:space="preserve">truly </w:t>
      </w:r>
      <w:r w:rsidRPr="00897AFB">
        <w:t>mimic the human brain.</w:t>
      </w:r>
    </w:p>
    <w:p w14:paraId="40D46FC0" w14:textId="7CD9B510" w:rsidR="000C12BB" w:rsidRPr="00897AFB" w:rsidRDefault="000C12BB" w:rsidP="00897AFB">
      <w:pPr>
        <w:pStyle w:val="TAMainText"/>
      </w:pPr>
      <w:r w:rsidRPr="00897AFB">
        <w:t xml:space="preserve">We developed two types of unique in-memory logic operation: electrically reconfigurable two-input logic circuits and multifunctional artificial synapses. A dual-gate </w:t>
      </w:r>
      <w:proofErr w:type="spellStart"/>
      <w:r w:rsidRPr="00897AFB">
        <w:t>antiambipolar</w:t>
      </w:r>
      <w:proofErr w:type="spellEnd"/>
      <w:r w:rsidRPr="00897AFB">
        <w:t xml:space="preserve"> transistor </w:t>
      </w:r>
      <w:r w:rsidRPr="0074469E">
        <w:rPr>
          <w:color w:val="000000" w:themeColor="text1"/>
        </w:rPr>
        <w:lastRenderedPageBreak/>
        <w:t xml:space="preserve">(AAT) </w:t>
      </w:r>
      <w:bookmarkStart w:id="15" w:name="OLE_LINK155"/>
      <w:bookmarkStart w:id="16" w:name="OLE_LINK156"/>
      <w:r w:rsidRPr="0074469E">
        <w:rPr>
          <w:color w:val="000000" w:themeColor="text1"/>
        </w:rPr>
        <w:t xml:space="preserve">performed a central role. AATs are unique heterojunction transistors, where </w:t>
      </w:r>
      <w:bookmarkStart w:id="17" w:name="OLE_LINK145"/>
      <w:bookmarkStart w:id="18" w:name="OLE_LINK146"/>
      <w:r w:rsidRPr="0074469E">
        <w:rPr>
          <w:color w:val="000000" w:themeColor="text1"/>
        </w:rPr>
        <w:t>p-type and n-type semiconductors</w:t>
      </w:r>
      <w:bookmarkEnd w:id="17"/>
      <w:bookmarkEnd w:id="18"/>
      <w:r w:rsidRPr="0074469E">
        <w:rPr>
          <w:color w:val="000000" w:themeColor="text1"/>
        </w:rPr>
        <w:t xml:space="preserve"> partially overlap in the transistor channel</w:t>
      </w:r>
      <w:r w:rsidRPr="0074469E">
        <w:rPr>
          <w:noProof/>
          <w:color w:val="000000" w:themeColor="text1"/>
          <w:vertAlign w:val="superscript"/>
        </w:rPr>
        <w:t>28-30</w:t>
      </w:r>
      <w:r w:rsidRPr="0074469E">
        <w:rPr>
          <w:color w:val="000000" w:themeColor="text1"/>
        </w:rPr>
        <w:t xml:space="preserve">. </w:t>
      </w:r>
      <w:r w:rsidR="008C1A18" w:rsidRPr="0074469E">
        <w:rPr>
          <w:color w:val="000000" w:themeColor="text1"/>
        </w:rPr>
        <w:t>An important characteristic</w:t>
      </w:r>
      <w:r w:rsidRPr="0074469E">
        <w:rPr>
          <w:color w:val="000000" w:themeColor="text1"/>
        </w:rPr>
        <w:t xml:space="preserve"> is that the AAT exhibits a Λ-shaped transfer curve. The drain current increases and then decreases in response to the monotonical increase in the gate voltage. The AAT was produced by stacking two-dimensional (2D) materials, namely rhenium disulfide (ReS</w:t>
      </w:r>
      <w:r w:rsidRPr="0074469E">
        <w:rPr>
          <w:color w:val="000000" w:themeColor="text1"/>
          <w:vertAlign w:val="subscript"/>
        </w:rPr>
        <w:t>2</w:t>
      </w:r>
      <w:r w:rsidRPr="0074469E">
        <w:rPr>
          <w:color w:val="000000" w:themeColor="text1"/>
        </w:rPr>
        <w:t xml:space="preserve">), tungsten </w:t>
      </w:r>
      <w:proofErr w:type="spellStart"/>
      <w:r w:rsidRPr="0074469E">
        <w:rPr>
          <w:color w:val="000000" w:themeColor="text1"/>
        </w:rPr>
        <w:t>diselenide</w:t>
      </w:r>
      <w:proofErr w:type="spellEnd"/>
      <w:r w:rsidRPr="0074469E">
        <w:rPr>
          <w:color w:val="000000" w:themeColor="text1"/>
        </w:rPr>
        <w:t xml:space="preserve"> (WSe</w:t>
      </w:r>
      <w:r w:rsidRPr="0074469E">
        <w:rPr>
          <w:color w:val="000000" w:themeColor="text1"/>
          <w:vertAlign w:val="subscript"/>
        </w:rPr>
        <w:t>2</w:t>
      </w:r>
      <w:r w:rsidRPr="0074469E">
        <w:rPr>
          <w:color w:val="000000" w:themeColor="text1"/>
        </w:rPr>
        <w:t xml:space="preserve">) and hexagonal boron nitride (h-BN). These were selected as the </w:t>
      </w:r>
      <w:r w:rsidR="000E398A" w:rsidRPr="0074469E">
        <w:rPr>
          <w:color w:val="000000" w:themeColor="text1"/>
        </w:rPr>
        <w:t>n</w:t>
      </w:r>
      <w:r w:rsidRPr="0074469E">
        <w:rPr>
          <w:color w:val="000000" w:themeColor="text1"/>
        </w:rPr>
        <w:t xml:space="preserve">-type </w:t>
      </w:r>
      <w:r w:rsidR="008C1A18" w:rsidRPr="0074469E">
        <w:rPr>
          <w:color w:val="000000" w:themeColor="text1"/>
        </w:rPr>
        <w:t xml:space="preserve">and </w:t>
      </w:r>
      <w:r w:rsidR="000E398A" w:rsidRPr="0074469E">
        <w:rPr>
          <w:color w:val="000000" w:themeColor="text1"/>
        </w:rPr>
        <w:t>p</w:t>
      </w:r>
      <w:r w:rsidRPr="0074469E">
        <w:rPr>
          <w:color w:val="000000" w:themeColor="text1"/>
        </w:rPr>
        <w:t xml:space="preserve">-type semiconductors and </w:t>
      </w:r>
      <w:r w:rsidR="008C1A18">
        <w:t xml:space="preserve">the </w:t>
      </w:r>
      <w:r w:rsidRPr="00897AFB">
        <w:t xml:space="preserve">gate insulator, respectively. The 2D materials have advantages as regards producing the AAT because the 2D materials have surfaces that are atomically flat and free of dangling bonds </w:t>
      </w:r>
      <w:r w:rsidRPr="00897AFB">
        <w:rPr>
          <w:noProof/>
          <w:vertAlign w:val="superscript"/>
        </w:rPr>
        <w:t>31, 32</w:t>
      </w:r>
      <w:r w:rsidRPr="00897AFB">
        <w:t>. The van der Waals stacking thus makes it possible to form an ideal p</w:t>
      </w:r>
      <w:r w:rsidRPr="00897AFB">
        <w:rPr>
          <w:rFonts w:eastAsia="Yu Gothic UI"/>
        </w:rPr>
        <w:t>–</w:t>
      </w:r>
      <w:r w:rsidRPr="00897AFB">
        <w:t>n heterojunction regardless of the lattice mismatch</w:t>
      </w:r>
      <w:r w:rsidRPr="00897AFB">
        <w:rPr>
          <w:noProof/>
          <w:vertAlign w:val="superscript"/>
        </w:rPr>
        <w:t>9, 33, 34</w:t>
      </w:r>
      <w:r w:rsidRPr="00897AFB">
        <w:t>. As a result, large peak-to-valley ratios (PVRs) of 10</w:t>
      </w:r>
      <w:r w:rsidRPr="00897AFB">
        <w:rPr>
          <w:vertAlign w:val="superscript"/>
        </w:rPr>
        <w:t>3</w:t>
      </w:r>
      <w:r w:rsidRPr="00897AFB">
        <w:rPr>
          <w:rFonts w:eastAsia="游明朝"/>
        </w:rPr>
        <w:t>−</w:t>
      </w:r>
      <w:r w:rsidRPr="00897AFB">
        <w:t>10</w:t>
      </w:r>
      <w:r w:rsidRPr="00897AFB">
        <w:rPr>
          <w:vertAlign w:val="superscript"/>
        </w:rPr>
        <w:t>5</w:t>
      </w:r>
      <w:r w:rsidRPr="00897AFB">
        <w:t xml:space="preserve"> </w:t>
      </w:r>
      <w:r w:rsidRPr="00897AFB">
        <w:rPr>
          <w:noProof/>
        </w:rPr>
        <w:t>have been achieved</w:t>
      </w:r>
      <w:r w:rsidRPr="00897AFB">
        <w:t xml:space="preserve"> in 2D material-based AATs</w:t>
      </w:r>
      <w:r w:rsidRPr="00897AFB">
        <w:rPr>
          <w:noProof/>
          <w:vertAlign w:val="superscript"/>
        </w:rPr>
        <w:t xml:space="preserve"> 35-37</w:t>
      </w:r>
      <w:r w:rsidRPr="00897AFB">
        <w:t>. These advantages have enabled the development of multivalued logic circuits</w:t>
      </w:r>
      <w:r w:rsidRPr="00897AFB">
        <w:rPr>
          <w:noProof/>
          <w:vertAlign w:val="superscript"/>
        </w:rPr>
        <w:t>38, 39</w:t>
      </w:r>
      <w:r w:rsidRPr="00897AFB">
        <w:t xml:space="preserve"> and two-input logic circuits</w:t>
      </w:r>
      <w:r w:rsidRPr="00897AFB">
        <w:rPr>
          <w:noProof/>
          <w:vertAlign w:val="superscript"/>
        </w:rPr>
        <w:t>40-43</w:t>
      </w:r>
      <w:r w:rsidRPr="00897AFB">
        <w:t xml:space="preserve">. </w:t>
      </w:r>
      <w:bookmarkEnd w:id="15"/>
      <w:bookmarkEnd w:id="16"/>
      <w:r w:rsidRPr="00897AFB">
        <w:t xml:space="preserve">Another important constituent of our device is </w:t>
      </w:r>
      <w:r w:rsidR="0076228B" w:rsidRPr="00897AFB">
        <w:t>polystyrene</w:t>
      </w:r>
      <w:r w:rsidR="0076228B">
        <w:t xml:space="preserve"> with a</w:t>
      </w:r>
      <w:r w:rsidR="0076228B" w:rsidRPr="00897AFB">
        <w:t xml:space="preserve"> </w:t>
      </w:r>
      <w:r w:rsidRPr="00897AFB">
        <w:t>zinc phthalocyanine</w:t>
      </w:r>
      <w:r w:rsidR="0076228B">
        <w:t xml:space="preserve"> </w:t>
      </w:r>
      <w:r w:rsidRPr="00897AFB">
        <w:t>core (ZnPc-PS</w:t>
      </w:r>
      <w:r w:rsidRPr="00897AFB">
        <w:rPr>
          <w:vertAlign w:val="subscript"/>
        </w:rPr>
        <w:t>4</w:t>
      </w:r>
      <w:r w:rsidRPr="00897AFB">
        <w:t xml:space="preserve">), which works as a nano-floating gate. This material </w:t>
      </w:r>
      <w:r w:rsidRPr="00897AFB">
        <w:rPr>
          <w:rFonts w:eastAsia="ＭＳ Ｐゴシック"/>
        </w:rPr>
        <w:t xml:space="preserve">has a three-dimensional structure where a </w:t>
      </w:r>
      <w:proofErr w:type="spellStart"/>
      <w:r w:rsidRPr="00897AFB">
        <w:rPr>
          <w:rFonts w:eastAsia="ＭＳ Ｐゴシック"/>
        </w:rPr>
        <w:t>ZnPc</w:t>
      </w:r>
      <w:proofErr w:type="spellEnd"/>
      <w:r w:rsidRPr="00897AFB">
        <w:rPr>
          <w:rFonts w:eastAsia="ＭＳ Ｐゴシック"/>
        </w:rPr>
        <w:t xml:space="preserve"> core (semiconductor) is surrounded by four PS chains (insulator) to form a star-shaped polymer</w:t>
      </w:r>
      <w:r w:rsidRPr="00897AFB">
        <w:rPr>
          <w:noProof/>
          <w:vertAlign w:val="superscript"/>
        </w:rPr>
        <w:t xml:space="preserve"> 44-46</w:t>
      </w:r>
      <w:r w:rsidRPr="00897AFB">
        <w:rPr>
          <w:rFonts w:eastAsia="ＭＳ Ｐゴシック"/>
        </w:rPr>
        <w:t xml:space="preserve">. Hence, carriers can be stably stored in the </w:t>
      </w:r>
      <w:proofErr w:type="spellStart"/>
      <w:r w:rsidRPr="00897AFB">
        <w:rPr>
          <w:rFonts w:eastAsia="ＭＳ Ｐゴシック"/>
        </w:rPr>
        <w:t>ZnPc</w:t>
      </w:r>
      <w:proofErr w:type="spellEnd"/>
      <w:r w:rsidRPr="00897AFB">
        <w:rPr>
          <w:rFonts w:eastAsia="ＭＳ Ｐゴシック"/>
        </w:rPr>
        <w:t xml:space="preserve"> core to provide a nonvolatile memory function. </w:t>
      </w:r>
    </w:p>
    <w:p w14:paraId="30CFF536" w14:textId="553923DC" w:rsidR="000C12BB" w:rsidRPr="00897AFB" w:rsidRDefault="000C12BB" w:rsidP="00897AFB">
      <w:pPr>
        <w:pStyle w:val="TAMainText"/>
      </w:pPr>
      <w:r w:rsidRPr="00897AFB">
        <w:lastRenderedPageBreak/>
        <w:t xml:space="preserve">First, we demonstrate electrically reconfigurable two-input logic circuits based on the dual-gate AAT. Various types of two-input logic circuits including AND, OR, NAND, NOR, and XOR circuits were successfully reconfigured in a single dual-gate AAT. The top-gate and bottom-gate voltages worked as two input signals, and the drain current was monitored as </w:t>
      </w:r>
      <w:r w:rsidR="00FC4843">
        <w:t xml:space="preserve">the </w:t>
      </w:r>
      <w:r w:rsidRPr="00897AFB">
        <w:t xml:space="preserve">output signal. Notably, the logic circuits were electrically switchable, e.g., the AND/OR, NAND/NOR, and XOR/NAND circuits, without any changes </w:t>
      </w:r>
      <w:r w:rsidR="005F4877">
        <w:t>in</w:t>
      </w:r>
      <w:r w:rsidR="005F4877" w:rsidRPr="00897AFB">
        <w:t xml:space="preserve"> </w:t>
      </w:r>
      <w:r w:rsidRPr="00897AFB">
        <w:t>the input signals. These operations were enabled by a carrier-trapping process in the ZnPc-PS</w:t>
      </w:r>
      <w:r w:rsidRPr="00897AFB">
        <w:rPr>
          <w:vertAlign w:val="subscript"/>
        </w:rPr>
        <w:t>4</w:t>
      </w:r>
      <w:r w:rsidRPr="00897AFB">
        <w:t xml:space="preserve"> nano-floating gate. Second, the non-volatile memory function was applied to multifunctional artificial synapses. The two synaptic operations, namely inhibitory and excitatory synaptic operations, were reconfigured by controlling the carrier-trapping process in the ZnPc-PS</w:t>
      </w:r>
      <w:r w:rsidRPr="00897AFB">
        <w:rPr>
          <w:vertAlign w:val="subscript"/>
        </w:rPr>
        <w:t>4</w:t>
      </w:r>
      <w:r w:rsidRPr="00897AFB">
        <w:t xml:space="preserve"> layer. Consequently, we achieved conversion between the inhibitory/excitatory and </w:t>
      </w:r>
      <w:r w:rsidRPr="00897AFB">
        <w:rPr>
          <w:rFonts w:eastAsia="ＭＳ Ｐゴシック"/>
        </w:rPr>
        <w:t>long-term potentiation/depression</w:t>
      </w:r>
      <w:r w:rsidRPr="00897AFB">
        <w:t xml:space="preserve"> synaptic operations without changing the presynaptic signals. These logic concepts are expected to allow us explore new in-memory computing architectures with a view to realizing non-von Neumann-type computers. </w:t>
      </w:r>
    </w:p>
    <w:p w14:paraId="34FEF800" w14:textId="77777777" w:rsidR="000C12BB" w:rsidRPr="00897AFB" w:rsidRDefault="000C12BB" w:rsidP="00897AFB">
      <w:pPr>
        <w:pStyle w:val="TAMainText"/>
      </w:pPr>
    </w:p>
    <w:p w14:paraId="347CFA9B" w14:textId="5E62B55F" w:rsidR="000C12BB" w:rsidRPr="00897AFB" w:rsidRDefault="000C12BB" w:rsidP="004130A7">
      <w:pPr>
        <w:pStyle w:val="TAMainText"/>
        <w:numPr>
          <w:ilvl w:val="0"/>
          <w:numId w:val="4"/>
        </w:numPr>
      </w:pPr>
      <w:r>
        <w:t>RESULTS and DISCUSSION</w:t>
      </w:r>
    </w:p>
    <w:p w14:paraId="39A6E7A6" w14:textId="57198BC5" w:rsidR="000C12BB" w:rsidRPr="0074469E" w:rsidRDefault="004130A7" w:rsidP="00897AFB">
      <w:pPr>
        <w:pStyle w:val="TAMainText"/>
        <w:rPr>
          <w:b/>
          <w:bCs/>
          <w:color w:val="000000" w:themeColor="text1"/>
        </w:rPr>
      </w:pPr>
      <w:r w:rsidRPr="0074469E">
        <w:rPr>
          <w:b/>
          <w:bCs/>
          <w:color w:val="000000" w:themeColor="text1"/>
        </w:rPr>
        <w:t xml:space="preserve">2.1 </w:t>
      </w:r>
      <w:r w:rsidR="000C12BB" w:rsidRPr="0074469E">
        <w:rPr>
          <w:b/>
          <w:bCs/>
          <w:color w:val="000000" w:themeColor="text1"/>
        </w:rPr>
        <w:t>Fundamentals of Dual-Gate AAT Operation</w:t>
      </w:r>
    </w:p>
    <w:p w14:paraId="53118EE4" w14:textId="52B25E4C" w:rsidR="000C12BB" w:rsidRPr="00897AFB" w:rsidRDefault="000C12BB" w:rsidP="00897AFB">
      <w:pPr>
        <w:pStyle w:val="TAMainText"/>
      </w:pPr>
      <w:bookmarkStart w:id="19" w:name="OLE_LINK19"/>
      <w:bookmarkStart w:id="20" w:name="OLE_LINK20"/>
      <w:r w:rsidRPr="0074469E">
        <w:rPr>
          <w:rFonts w:eastAsia="ＭＳ Ｐゴシック"/>
          <w:color w:val="000000" w:themeColor="text1"/>
        </w:rPr>
        <w:lastRenderedPageBreak/>
        <w:t xml:space="preserve">Figure 1a shows a schematic illustration of a </w:t>
      </w:r>
      <w:r w:rsidRPr="0074469E">
        <w:rPr>
          <w:color w:val="000000" w:themeColor="text1"/>
        </w:rPr>
        <w:t xml:space="preserve">dual-gate </w:t>
      </w:r>
      <w:r w:rsidRPr="0074469E">
        <w:rPr>
          <w:rFonts w:eastAsia="ＭＳ Ｐゴシック"/>
          <w:color w:val="000000" w:themeColor="text1"/>
        </w:rPr>
        <w:t xml:space="preserve">AAT and the molecular structure of </w:t>
      </w:r>
      <w:r w:rsidRPr="0074469E">
        <w:rPr>
          <w:color w:val="000000" w:themeColor="text1"/>
        </w:rPr>
        <w:t>ZnPc-PS</w:t>
      </w:r>
      <w:r w:rsidRPr="0074469E">
        <w:rPr>
          <w:color w:val="000000" w:themeColor="text1"/>
          <w:vertAlign w:val="subscript"/>
        </w:rPr>
        <w:t>4</w:t>
      </w:r>
      <w:r w:rsidRPr="0074469E">
        <w:rPr>
          <w:rFonts w:eastAsia="ＭＳ Ｐゴシック"/>
          <w:color w:val="000000" w:themeColor="text1"/>
        </w:rPr>
        <w:t>. The AAT was prepared by</w:t>
      </w:r>
      <w:r w:rsidRPr="0074469E">
        <w:rPr>
          <w:color w:val="000000" w:themeColor="text1"/>
        </w:rPr>
        <w:t xml:space="preserve"> a bubble-free dry transfer technique </w:t>
      </w:r>
      <w:r w:rsidRPr="0074469E">
        <w:rPr>
          <w:noProof/>
          <w:color w:val="000000" w:themeColor="text1"/>
          <w:vertAlign w:val="superscript"/>
        </w:rPr>
        <w:t>47-49</w:t>
      </w:r>
      <w:r w:rsidRPr="0074469E">
        <w:rPr>
          <w:rFonts w:eastAsia="ＭＳ Ｐゴシック"/>
          <w:color w:val="000000" w:themeColor="text1"/>
        </w:rPr>
        <w:t>. The film thicknesses of the WSe</w:t>
      </w:r>
      <w:r w:rsidRPr="0074469E">
        <w:rPr>
          <w:rFonts w:eastAsia="ＭＳ Ｐゴシック"/>
          <w:color w:val="000000" w:themeColor="text1"/>
          <w:vertAlign w:val="subscript"/>
        </w:rPr>
        <w:t>2</w:t>
      </w:r>
      <w:r w:rsidRPr="0074469E">
        <w:rPr>
          <w:rFonts w:eastAsia="ＭＳ Ｐゴシック"/>
          <w:color w:val="000000" w:themeColor="text1"/>
        </w:rPr>
        <w:t xml:space="preserve"> (p-type) and ReS</w:t>
      </w:r>
      <w:r w:rsidRPr="0074469E">
        <w:rPr>
          <w:rFonts w:eastAsia="ＭＳ Ｐゴシック"/>
          <w:color w:val="000000" w:themeColor="text1"/>
          <w:vertAlign w:val="subscript"/>
        </w:rPr>
        <w:t>2</w:t>
      </w:r>
      <w:r w:rsidRPr="0074469E">
        <w:rPr>
          <w:rFonts w:eastAsia="ＭＳ Ｐゴシック"/>
          <w:color w:val="000000" w:themeColor="text1"/>
        </w:rPr>
        <w:t xml:space="preserve"> (n-type)</w:t>
      </w:r>
      <w:r w:rsidR="001729FF" w:rsidRPr="0074469E">
        <w:rPr>
          <w:rFonts w:eastAsia="ＭＳ Ｐゴシック"/>
          <w:color w:val="000000" w:themeColor="text1"/>
        </w:rPr>
        <w:t xml:space="preserve"> </w:t>
      </w:r>
      <w:r w:rsidR="00453E81" w:rsidRPr="0074469E">
        <w:rPr>
          <w:rFonts w:eastAsia="ＭＳ Ｐゴシック" w:hint="eastAsia"/>
          <w:color w:val="000000" w:themeColor="text1"/>
          <w:lang w:eastAsia="ja-JP"/>
        </w:rPr>
        <w:t xml:space="preserve">were estimated </w:t>
      </w:r>
      <w:r w:rsidR="0029347D" w:rsidRPr="0074469E">
        <w:rPr>
          <w:rFonts w:eastAsia="ＭＳ Ｐゴシック"/>
          <w:color w:val="000000" w:themeColor="text1"/>
          <w:lang w:eastAsia="ja-JP"/>
        </w:rPr>
        <w:t>to be</w:t>
      </w:r>
      <w:r w:rsidR="0029347D" w:rsidRPr="0074469E">
        <w:rPr>
          <w:rFonts w:eastAsia="ＭＳ Ｐゴシック" w:hint="eastAsia"/>
          <w:color w:val="000000" w:themeColor="text1"/>
          <w:lang w:eastAsia="ja-JP"/>
        </w:rPr>
        <w:t xml:space="preserve"> </w:t>
      </w:r>
      <w:r w:rsidRPr="0074469E">
        <w:rPr>
          <w:rFonts w:eastAsia="ＭＳ Ｐゴシック"/>
          <w:color w:val="000000" w:themeColor="text1"/>
        </w:rPr>
        <w:t>13 nm and 11 nm, respectively</w:t>
      </w:r>
      <w:r w:rsidR="00453E81" w:rsidRPr="0074469E">
        <w:rPr>
          <w:rFonts w:eastAsia="ＭＳ Ｐゴシック" w:hint="eastAsia"/>
          <w:color w:val="000000" w:themeColor="text1"/>
          <w:lang w:eastAsia="ja-JP"/>
        </w:rPr>
        <w:t xml:space="preserve">, by atomic </w:t>
      </w:r>
      <w:r w:rsidR="00453E81" w:rsidRPr="0074469E">
        <w:rPr>
          <w:rFonts w:eastAsia="ＭＳ Ｐゴシック"/>
          <w:color w:val="000000" w:themeColor="text1"/>
          <w:lang w:eastAsia="ja-JP"/>
        </w:rPr>
        <w:t>force</w:t>
      </w:r>
      <w:r w:rsidR="00453E81" w:rsidRPr="0074469E">
        <w:rPr>
          <w:rFonts w:eastAsia="ＭＳ Ｐゴシック" w:hint="eastAsia"/>
          <w:color w:val="000000" w:themeColor="text1"/>
          <w:lang w:eastAsia="ja-JP"/>
        </w:rPr>
        <w:t xml:space="preserve"> microscope measurements (</w:t>
      </w:r>
      <w:r w:rsidR="00874EEC" w:rsidRPr="0074469E">
        <w:rPr>
          <w:rFonts w:eastAsia="ＭＳ Ｐゴシック" w:hint="eastAsia"/>
          <w:color w:val="000000" w:themeColor="text1"/>
          <w:lang w:eastAsia="ja-JP"/>
        </w:rPr>
        <w:t>Figure S2 in the supporting information</w:t>
      </w:r>
      <w:r w:rsidR="00453E81" w:rsidRPr="0074469E">
        <w:rPr>
          <w:rFonts w:eastAsia="ＭＳ Ｐゴシック" w:hint="eastAsia"/>
          <w:color w:val="000000" w:themeColor="text1"/>
          <w:lang w:eastAsia="ja-JP"/>
        </w:rPr>
        <w:t>)</w:t>
      </w:r>
      <w:r w:rsidRPr="0074469E">
        <w:rPr>
          <w:rFonts w:eastAsia="ＭＳ Ｐゴシック"/>
          <w:color w:val="000000" w:themeColor="text1"/>
        </w:rPr>
        <w:t>. These transition metal dichalcogenide (TMDC) layers were partially overlapped around the center of the transistor channel to form a p</w:t>
      </w:r>
      <w:r w:rsidRPr="0074469E">
        <w:rPr>
          <w:rFonts w:eastAsia="Yu Gothic UI"/>
          <w:color w:val="000000" w:themeColor="text1"/>
        </w:rPr>
        <w:t>–</w:t>
      </w:r>
      <w:r w:rsidRPr="0074469E">
        <w:rPr>
          <w:rFonts w:eastAsia="ＭＳ Ｐゴシック"/>
          <w:color w:val="000000" w:themeColor="text1"/>
        </w:rPr>
        <w:t xml:space="preserve">n junction as illustrated in </w:t>
      </w:r>
      <w:r w:rsidR="00217C3B" w:rsidRPr="0074469E">
        <w:rPr>
          <w:rFonts w:eastAsia="ＭＳ Ｐゴシック"/>
          <w:color w:val="000000" w:themeColor="text1"/>
        </w:rPr>
        <w:t xml:space="preserve">Figure </w:t>
      </w:r>
      <w:r w:rsidRPr="0074469E">
        <w:rPr>
          <w:rFonts w:eastAsia="ＭＳ Ｐゴシック"/>
          <w:color w:val="000000" w:themeColor="text1"/>
        </w:rPr>
        <w:t xml:space="preserve">1a and depicted in the optical microscope image in the inset of </w:t>
      </w:r>
      <w:r w:rsidR="00217C3B" w:rsidRPr="0074469E">
        <w:rPr>
          <w:rFonts w:eastAsia="ＭＳ Ｐゴシック"/>
          <w:color w:val="000000" w:themeColor="text1"/>
        </w:rPr>
        <w:t>Figure</w:t>
      </w:r>
      <w:r w:rsidRPr="0074469E">
        <w:rPr>
          <w:rFonts w:eastAsia="ＭＳ Ｐゴシック"/>
          <w:color w:val="000000" w:themeColor="text1"/>
        </w:rPr>
        <w:t xml:space="preserve"> 1b. The AAT channel was 7.1 µm long. The flake widths were 5.1 µm </w:t>
      </w:r>
      <w:r w:rsidRPr="00897AFB">
        <w:rPr>
          <w:rFonts w:eastAsia="ＭＳ Ｐゴシック"/>
        </w:rPr>
        <w:t>for the WSe</w:t>
      </w:r>
      <w:r w:rsidRPr="00897AFB">
        <w:rPr>
          <w:rFonts w:eastAsia="ＭＳ Ｐゴシック"/>
          <w:vertAlign w:val="subscript"/>
        </w:rPr>
        <w:t>2</w:t>
      </w:r>
      <w:r w:rsidRPr="00897AFB">
        <w:rPr>
          <w:rFonts w:eastAsia="ＭＳ Ｐゴシック"/>
        </w:rPr>
        <w:t xml:space="preserve"> channel and 1.6 µm for the ReS</w:t>
      </w:r>
      <w:r w:rsidRPr="00897AFB">
        <w:rPr>
          <w:rFonts w:eastAsia="ＭＳ Ｐゴシック"/>
          <w:vertAlign w:val="subscript"/>
        </w:rPr>
        <w:t>2</w:t>
      </w:r>
      <w:r w:rsidRPr="00897AFB">
        <w:rPr>
          <w:rFonts w:eastAsia="ＭＳ Ｐゴシック"/>
        </w:rPr>
        <w:t xml:space="preserve"> channel. The </w:t>
      </w:r>
      <w:r w:rsidRPr="00897AFB">
        <w:t>ZnPc-PS</w:t>
      </w:r>
      <w:r w:rsidRPr="00897AFB">
        <w:rPr>
          <w:vertAlign w:val="subscript"/>
        </w:rPr>
        <w:t>4</w:t>
      </w:r>
      <w:r w:rsidRPr="00897AFB">
        <w:rPr>
          <w:noProof/>
        </w:rPr>
        <w:t xml:space="preserve"> </w:t>
      </w:r>
      <w:r w:rsidRPr="00897AFB">
        <w:t xml:space="preserve">layer was spin-coated on all the </w:t>
      </w:r>
      <w:r w:rsidRPr="00897AFB">
        <w:rPr>
          <w:rFonts w:eastAsia="ＭＳ Ｐゴシック"/>
        </w:rPr>
        <w:t>TMDC layers to work as</w:t>
      </w:r>
      <w:r w:rsidRPr="00897AFB">
        <w:t xml:space="preserve"> nano-floating gates. Finally,</w:t>
      </w:r>
      <w:r w:rsidRPr="00897AFB">
        <w:rPr>
          <w:rFonts w:eastAsia="ＭＳ Ｐゴシック"/>
        </w:rPr>
        <w:t xml:space="preserve"> h-BN gate insulator and top-gate electrodes (</w:t>
      </w:r>
      <w:proofErr w:type="spellStart"/>
      <w:r w:rsidRPr="00897AFB">
        <w:rPr>
          <w:rFonts w:eastAsia="ＭＳ Ｐゴシック"/>
        </w:rPr>
        <w:t>Ti</w:t>
      </w:r>
      <w:proofErr w:type="spellEnd"/>
      <w:r w:rsidRPr="00897AFB">
        <w:rPr>
          <w:rFonts w:eastAsia="ＭＳ Ｐゴシック"/>
        </w:rPr>
        <w:t>/Au) were stacked to form a dual-gate AAT. Figure 1c shows a top view image of a dual-gate AAT prepared in this way.</w:t>
      </w:r>
    </w:p>
    <w:p w14:paraId="63A39485" w14:textId="01369DF6" w:rsidR="000C12BB" w:rsidRPr="0074469E" w:rsidRDefault="000C12BB" w:rsidP="00897AFB">
      <w:pPr>
        <w:pStyle w:val="TAMainText"/>
        <w:rPr>
          <w:rFonts w:eastAsia="ＭＳ Ｐゴシック"/>
          <w:color w:val="000000" w:themeColor="text1"/>
        </w:rPr>
      </w:pPr>
      <w:bookmarkStart w:id="21" w:name="OLE_LINK153"/>
      <w:bookmarkStart w:id="22" w:name="OLE_LINK154"/>
      <w:bookmarkEnd w:id="19"/>
      <w:bookmarkEnd w:id="20"/>
      <w:r w:rsidRPr="00897AFB">
        <w:rPr>
          <w:rFonts w:eastAsia="ＭＳ Ｐゴシック"/>
        </w:rPr>
        <w:t>Figure 1d shows drain current (</w:t>
      </w:r>
      <w:r w:rsidRPr="00897AFB">
        <w:rPr>
          <w:rFonts w:eastAsia="ＭＳ Ｐゴシック"/>
          <w:i/>
          <w:iCs/>
        </w:rPr>
        <w:t>I</w:t>
      </w:r>
      <w:r w:rsidRPr="00897AFB">
        <w:rPr>
          <w:rFonts w:eastAsia="ＭＳ Ｐゴシック"/>
          <w:vertAlign w:val="subscript"/>
        </w:rPr>
        <w:t>d</w:t>
      </w:r>
      <w:r w:rsidRPr="00897AFB">
        <w:rPr>
          <w:rFonts w:eastAsia="ＭＳ Ｐゴシック"/>
        </w:rPr>
        <w:t>)</w:t>
      </w:r>
      <w:r w:rsidRPr="00897AFB">
        <w:rPr>
          <w:rFonts w:eastAsia="游明朝"/>
        </w:rPr>
        <w:t>−bottom-gate voltage (</w:t>
      </w:r>
      <w:proofErr w:type="spellStart"/>
      <w:r w:rsidRPr="00897AFB">
        <w:rPr>
          <w:rFonts w:eastAsia="ＭＳ Ｐゴシック"/>
          <w:i/>
          <w:iCs/>
        </w:rPr>
        <w:t>V</w:t>
      </w:r>
      <w:r w:rsidRPr="00897AFB">
        <w:rPr>
          <w:rFonts w:eastAsia="ＭＳ Ｐゴシック"/>
          <w:vertAlign w:val="subscript"/>
        </w:rPr>
        <w:t>bg</w:t>
      </w:r>
      <w:proofErr w:type="spellEnd"/>
      <w:r w:rsidRPr="00897AFB">
        <w:rPr>
          <w:rFonts w:eastAsia="游明朝"/>
        </w:rPr>
        <w:t xml:space="preserve">) </w:t>
      </w:r>
      <w:r w:rsidRPr="00897AFB">
        <w:rPr>
          <w:rFonts w:eastAsia="ＭＳ Ｐゴシック"/>
        </w:rPr>
        <w:t>curves of the dual-gate AAT (black line) and the separately formed ReS</w:t>
      </w:r>
      <w:r w:rsidRPr="00897AFB">
        <w:rPr>
          <w:rFonts w:eastAsia="ＭＳ Ｐゴシック"/>
          <w:vertAlign w:val="subscript"/>
        </w:rPr>
        <w:t>2</w:t>
      </w:r>
      <w:r w:rsidRPr="00897AFB">
        <w:rPr>
          <w:rFonts w:eastAsia="ＭＳ Ｐゴシック"/>
        </w:rPr>
        <w:t xml:space="preserve"> (blue line) and WSe</w:t>
      </w:r>
      <w:r w:rsidRPr="00897AFB">
        <w:rPr>
          <w:rFonts w:eastAsia="ＭＳ Ｐゴシック"/>
          <w:vertAlign w:val="subscript"/>
        </w:rPr>
        <w:t>2</w:t>
      </w:r>
      <w:r w:rsidRPr="00897AFB">
        <w:rPr>
          <w:rFonts w:eastAsia="ＭＳ Ｐゴシック"/>
        </w:rPr>
        <w:t xml:space="preserve"> (red line) transistors. The drain voltages (</w:t>
      </w:r>
      <w:proofErr w:type="spellStart"/>
      <w:r w:rsidRPr="00897AFB">
        <w:rPr>
          <w:rFonts w:eastAsia="ＭＳ Ｐゴシック"/>
          <w:i/>
          <w:iCs/>
        </w:rPr>
        <w:t>V</w:t>
      </w:r>
      <w:r w:rsidRPr="00897AFB">
        <w:rPr>
          <w:rFonts w:eastAsia="ＭＳ Ｐゴシック"/>
          <w:vertAlign w:val="subscript"/>
        </w:rPr>
        <w:t>d</w:t>
      </w:r>
      <w:proofErr w:type="spellEnd"/>
      <w:r w:rsidRPr="00897AFB">
        <w:rPr>
          <w:rFonts w:eastAsia="ＭＳ Ｐゴシック"/>
        </w:rPr>
        <w:t xml:space="preserve">) were </w:t>
      </w:r>
      <w:r w:rsidRPr="00897AFB">
        <w:t>−</w:t>
      </w:r>
      <w:r w:rsidRPr="00897AFB">
        <w:rPr>
          <w:rFonts w:eastAsia="ＭＳ Ｐゴシック"/>
        </w:rPr>
        <w:t xml:space="preserve">1.0 V for the dual-gate AAT, </w:t>
      </w:r>
      <w:r w:rsidRPr="00897AFB">
        <w:t>−</w:t>
      </w:r>
      <w:r w:rsidRPr="00897AFB">
        <w:rPr>
          <w:rFonts w:eastAsia="ＭＳ Ｐゴシック"/>
        </w:rPr>
        <w:t>1.0 V for the WSe</w:t>
      </w:r>
      <w:r w:rsidRPr="00897AFB">
        <w:rPr>
          <w:rFonts w:eastAsia="ＭＳ Ｐゴシック"/>
          <w:vertAlign w:val="subscript"/>
        </w:rPr>
        <w:t>2</w:t>
      </w:r>
      <w:r w:rsidRPr="00897AFB">
        <w:rPr>
          <w:rFonts w:eastAsia="ＭＳ Ｐゴシック"/>
        </w:rPr>
        <w:t xml:space="preserve"> transistor and 1.0 V for the ReS</w:t>
      </w:r>
      <w:r w:rsidRPr="00897AFB">
        <w:rPr>
          <w:rFonts w:eastAsia="ＭＳ Ｐゴシック"/>
          <w:vertAlign w:val="subscript"/>
        </w:rPr>
        <w:t>2</w:t>
      </w:r>
      <w:r w:rsidRPr="00897AFB">
        <w:rPr>
          <w:rFonts w:eastAsia="ＭＳ Ｐゴシック"/>
        </w:rPr>
        <w:t xml:space="preserve"> transistor.</w:t>
      </w:r>
      <w:bookmarkEnd w:id="21"/>
      <w:bookmarkEnd w:id="22"/>
      <w:r w:rsidRPr="00897AFB">
        <w:rPr>
          <w:rFonts w:eastAsia="ＭＳ Ｐゴシック"/>
        </w:rPr>
        <w:t xml:space="preserve"> No top-gate voltage was applied (</w:t>
      </w:r>
      <w:proofErr w:type="spellStart"/>
      <w:r w:rsidRPr="00897AFB">
        <w:rPr>
          <w:rFonts w:eastAsia="ＭＳ Ｐゴシック"/>
          <w:i/>
          <w:iCs/>
        </w:rPr>
        <w:t>V</w:t>
      </w:r>
      <w:r w:rsidRPr="00897AFB">
        <w:rPr>
          <w:rFonts w:eastAsia="ＭＳ Ｐゴシック"/>
          <w:vertAlign w:val="subscript"/>
        </w:rPr>
        <w:t>tg</w:t>
      </w:r>
      <w:proofErr w:type="spellEnd"/>
      <w:r w:rsidRPr="00897AFB">
        <w:rPr>
          <w:rFonts w:eastAsia="游明朝"/>
        </w:rPr>
        <w:t>= 0 V) for any of the measurements</w:t>
      </w:r>
      <w:r w:rsidRPr="00897AFB">
        <w:rPr>
          <w:rFonts w:eastAsia="ＭＳ Ｐゴシック"/>
        </w:rPr>
        <w:t>. The ReS</w:t>
      </w:r>
      <w:r w:rsidRPr="00897AFB">
        <w:rPr>
          <w:rFonts w:eastAsia="ＭＳ Ｐゴシック"/>
          <w:vertAlign w:val="subscript"/>
        </w:rPr>
        <w:t>2</w:t>
      </w:r>
      <w:r w:rsidRPr="00897AFB">
        <w:rPr>
          <w:rFonts w:eastAsia="ＭＳ Ｐゴシック"/>
        </w:rPr>
        <w:t xml:space="preserve"> transistor exhibited a typical n-type characteristic; </w:t>
      </w:r>
      <w:r w:rsidRPr="00897AFB">
        <w:rPr>
          <w:rFonts w:eastAsia="ＭＳ Ｐゴシック"/>
          <w:i/>
          <w:iCs/>
        </w:rPr>
        <w:t>I</w:t>
      </w:r>
      <w:r w:rsidRPr="00897AFB">
        <w:rPr>
          <w:rFonts w:eastAsia="ＭＳ Ｐゴシック"/>
          <w:vertAlign w:val="subscript"/>
        </w:rPr>
        <w:t>d</w:t>
      </w:r>
      <w:r w:rsidRPr="00897AFB">
        <w:rPr>
          <w:rFonts w:eastAsia="ＭＳ Ｐゴシック"/>
        </w:rPr>
        <w:t xml:space="preserve"> increased monotonically as </w:t>
      </w:r>
      <w:proofErr w:type="spellStart"/>
      <w:r w:rsidRPr="00897AFB">
        <w:rPr>
          <w:rFonts w:eastAsia="ＭＳ Ｐゴシック"/>
          <w:i/>
          <w:iCs/>
        </w:rPr>
        <w:t>V</w:t>
      </w:r>
      <w:r w:rsidRPr="00897AFB">
        <w:rPr>
          <w:rFonts w:eastAsia="ＭＳ Ｐゴシック"/>
          <w:vertAlign w:val="subscript"/>
        </w:rPr>
        <w:t>bg</w:t>
      </w:r>
      <w:proofErr w:type="spellEnd"/>
      <w:r w:rsidRPr="00897AFB">
        <w:rPr>
          <w:rFonts w:eastAsia="ＭＳ Ｐゴシック"/>
        </w:rPr>
        <w:t xml:space="preserve"> increased. The electron mobility was estimated to be 4.7 cm</w:t>
      </w:r>
      <w:r w:rsidRPr="00897AFB">
        <w:rPr>
          <w:rFonts w:eastAsia="ＭＳ Ｐゴシック"/>
          <w:vertAlign w:val="superscript"/>
        </w:rPr>
        <w:t>2</w:t>
      </w:r>
      <w:r w:rsidRPr="00897AFB">
        <w:rPr>
          <w:rFonts w:eastAsia="ＭＳ Ｐゴシック"/>
        </w:rPr>
        <w:t>V</w:t>
      </w:r>
      <w:r w:rsidRPr="00897AFB">
        <w:rPr>
          <w:rFonts w:eastAsia="ＭＳ Ｐゴシック"/>
          <w:vertAlign w:val="superscript"/>
        </w:rPr>
        <w:t>-1</w:t>
      </w:r>
      <w:r w:rsidRPr="00897AFB">
        <w:rPr>
          <w:rFonts w:eastAsia="ＭＳ Ｐゴシック"/>
        </w:rPr>
        <w:t>s</w:t>
      </w:r>
      <w:r w:rsidRPr="00897AFB">
        <w:rPr>
          <w:rFonts w:eastAsia="ＭＳ Ｐゴシック"/>
          <w:vertAlign w:val="superscript"/>
        </w:rPr>
        <w:t>-1</w:t>
      </w:r>
      <w:r w:rsidRPr="00897AFB">
        <w:rPr>
          <w:rFonts w:eastAsia="ＭＳ Ｐゴシック"/>
        </w:rPr>
        <w:t>.</w:t>
      </w:r>
      <w:r w:rsidRPr="00897AFB">
        <w:t xml:space="preserve"> </w:t>
      </w:r>
      <w:r w:rsidRPr="00897AFB">
        <w:rPr>
          <w:rFonts w:eastAsia="ＭＳ Ｐゴシック"/>
        </w:rPr>
        <w:t>The WSe</w:t>
      </w:r>
      <w:r w:rsidRPr="00897AFB">
        <w:rPr>
          <w:rFonts w:eastAsia="ＭＳ Ｐゴシック"/>
          <w:vertAlign w:val="subscript"/>
        </w:rPr>
        <w:t>2</w:t>
      </w:r>
      <w:r w:rsidRPr="00897AFB">
        <w:rPr>
          <w:rFonts w:eastAsia="ＭＳ Ｐゴシック"/>
        </w:rPr>
        <w:t xml:space="preserve"> transistor exhibited an ambipolar </w:t>
      </w:r>
      <w:r w:rsidRPr="0074469E">
        <w:rPr>
          <w:rFonts w:eastAsia="ＭＳ Ｐゴシック"/>
          <w:color w:val="000000" w:themeColor="text1"/>
        </w:rPr>
        <w:lastRenderedPageBreak/>
        <w:t xml:space="preserve">characteristic, although the hole conduction was dominant.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ＭＳ Ｐゴシック"/>
          <w:color w:val="000000" w:themeColor="text1"/>
        </w:rPr>
        <w:t xml:space="preserve"> decreased and thereafter increased with increasing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rFonts w:eastAsia="ＭＳ Ｐゴシック"/>
          <w:color w:val="000000" w:themeColor="text1"/>
        </w:rPr>
        <w:t xml:space="preserve">. The hole and electron mobilities were calculated to be 4.9 </w:t>
      </w:r>
      <w:bookmarkStart w:id="23" w:name="OLE_LINK29"/>
      <w:bookmarkStart w:id="24" w:name="OLE_LINK30"/>
      <w:r w:rsidRPr="0074469E">
        <w:rPr>
          <w:rFonts w:eastAsia="ＭＳ Ｐゴシック"/>
          <w:color w:val="000000" w:themeColor="text1"/>
        </w:rPr>
        <w:t>cm</w:t>
      </w:r>
      <w:r w:rsidRPr="0074469E">
        <w:rPr>
          <w:rFonts w:eastAsia="ＭＳ Ｐゴシック"/>
          <w:color w:val="000000" w:themeColor="text1"/>
          <w:vertAlign w:val="superscript"/>
        </w:rPr>
        <w:t>2</w:t>
      </w:r>
      <w:r w:rsidRPr="0074469E">
        <w:rPr>
          <w:rFonts w:eastAsia="ＭＳ Ｐゴシック"/>
          <w:color w:val="000000" w:themeColor="text1"/>
        </w:rPr>
        <w:t>V</w:t>
      </w:r>
      <w:r w:rsidRPr="0074469E">
        <w:rPr>
          <w:rFonts w:eastAsia="ＭＳ Ｐゴシック"/>
          <w:color w:val="000000" w:themeColor="text1"/>
          <w:vertAlign w:val="superscript"/>
        </w:rPr>
        <w:t>-1</w:t>
      </w:r>
      <w:r w:rsidRPr="0074469E">
        <w:rPr>
          <w:rFonts w:eastAsia="ＭＳ Ｐゴシック"/>
          <w:color w:val="000000" w:themeColor="text1"/>
        </w:rPr>
        <w:t>s</w:t>
      </w:r>
      <w:r w:rsidRPr="0074469E">
        <w:rPr>
          <w:rFonts w:eastAsia="ＭＳ Ｐゴシック"/>
          <w:color w:val="000000" w:themeColor="text1"/>
          <w:vertAlign w:val="superscript"/>
        </w:rPr>
        <w:t>-1</w:t>
      </w:r>
      <w:bookmarkEnd w:id="23"/>
      <w:bookmarkEnd w:id="24"/>
      <w:r w:rsidRPr="0074469E">
        <w:rPr>
          <w:rFonts w:eastAsia="ＭＳ Ｐゴシック"/>
          <w:color w:val="000000" w:themeColor="text1"/>
        </w:rPr>
        <w:t xml:space="preserve"> and 2.4×10</w:t>
      </w:r>
      <w:r w:rsidRPr="0074469E">
        <w:rPr>
          <w:rFonts w:eastAsia="ＭＳ Ｐゴシック"/>
          <w:color w:val="000000" w:themeColor="text1"/>
          <w:vertAlign w:val="superscript"/>
        </w:rPr>
        <w:t>-2</w:t>
      </w:r>
      <w:r w:rsidRPr="0074469E">
        <w:rPr>
          <w:rFonts w:eastAsia="ＭＳ Ｐゴシック"/>
          <w:color w:val="000000" w:themeColor="text1"/>
        </w:rPr>
        <w:t xml:space="preserve"> cm</w:t>
      </w:r>
      <w:r w:rsidRPr="0074469E">
        <w:rPr>
          <w:rFonts w:eastAsia="ＭＳ Ｐゴシック"/>
          <w:color w:val="000000" w:themeColor="text1"/>
          <w:vertAlign w:val="superscript"/>
        </w:rPr>
        <w:t>2</w:t>
      </w:r>
      <w:r w:rsidRPr="0074469E">
        <w:rPr>
          <w:rFonts w:eastAsia="ＭＳ Ｐゴシック"/>
          <w:color w:val="000000" w:themeColor="text1"/>
        </w:rPr>
        <w:t>V</w:t>
      </w:r>
      <w:r w:rsidRPr="0074469E">
        <w:rPr>
          <w:rFonts w:eastAsia="ＭＳ Ｐゴシック"/>
          <w:color w:val="000000" w:themeColor="text1"/>
          <w:vertAlign w:val="superscript"/>
        </w:rPr>
        <w:t>-1</w:t>
      </w:r>
      <w:r w:rsidRPr="0074469E">
        <w:rPr>
          <w:rFonts w:eastAsia="ＭＳ Ｐゴシック"/>
          <w:color w:val="000000" w:themeColor="text1"/>
        </w:rPr>
        <w:t>s</w:t>
      </w:r>
      <w:r w:rsidRPr="0074469E">
        <w:rPr>
          <w:rFonts w:eastAsia="ＭＳ Ｐゴシック"/>
          <w:color w:val="000000" w:themeColor="text1"/>
          <w:vertAlign w:val="superscript"/>
        </w:rPr>
        <w:t>-1</w:t>
      </w:r>
      <w:r w:rsidRPr="0074469E">
        <w:rPr>
          <w:rFonts w:eastAsia="ＭＳ Ｐゴシック"/>
          <w:color w:val="000000" w:themeColor="text1"/>
        </w:rPr>
        <w:t>,</w:t>
      </w:r>
      <w:r w:rsidRPr="0074469E">
        <w:rPr>
          <w:color w:val="000000" w:themeColor="text1"/>
        </w:rPr>
        <w:t xml:space="preserve"> respectively. </w:t>
      </w:r>
      <w:r w:rsidRPr="0074469E">
        <w:rPr>
          <w:rFonts w:eastAsia="ＭＳ Ｐゴシック"/>
          <w:color w:val="000000" w:themeColor="text1"/>
        </w:rPr>
        <w:t xml:space="preserve">The dual-gate AAT produced a Λ-shaped transfer curve (black line). </w:t>
      </w:r>
      <w:r w:rsidRPr="0074469E">
        <w:rPr>
          <w:i/>
          <w:iCs/>
          <w:color w:val="000000" w:themeColor="text1"/>
        </w:rPr>
        <w:t>I</w:t>
      </w:r>
      <w:r w:rsidR="00824D0B" w:rsidRPr="0074469E">
        <w:rPr>
          <w:color w:val="000000" w:themeColor="text1"/>
          <w:vertAlign w:val="subscript"/>
        </w:rPr>
        <w:t>d</w:t>
      </w:r>
      <w:r w:rsidRPr="0074469E">
        <w:rPr>
          <w:color w:val="000000" w:themeColor="text1"/>
        </w:rPr>
        <w:t xml:space="preserve"> increased sharply from</w:t>
      </w:r>
      <w:r w:rsidRPr="0074469E">
        <w:rPr>
          <w:rFonts w:eastAsia="ＭＳ Ｐゴシック"/>
          <w:i/>
          <w:iCs/>
          <w:color w:val="000000" w:themeColor="text1"/>
        </w:rPr>
        <w:t xml:space="preserve"> </w:t>
      </w:r>
      <w:r w:rsidRPr="0074469E">
        <w:rPr>
          <w:rFonts w:eastAsia="ＭＳ Ｐゴシック"/>
          <w:iCs/>
          <w:color w:val="000000" w:themeColor="text1"/>
        </w:rPr>
        <w:t xml:space="preserve">a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color w:val="000000" w:themeColor="text1"/>
        </w:rPr>
        <w:t xml:space="preserve"> of −4.8 V and reached −70 </w:t>
      </w:r>
      <w:proofErr w:type="spellStart"/>
      <w:r w:rsidRPr="0074469E">
        <w:rPr>
          <w:color w:val="000000" w:themeColor="text1"/>
        </w:rPr>
        <w:t>nA</w:t>
      </w:r>
      <w:proofErr w:type="spellEnd"/>
      <w:r w:rsidRPr="0074469E">
        <w:rPr>
          <w:color w:val="000000" w:themeColor="text1"/>
        </w:rPr>
        <w:t xml:space="preserve"> at a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color w:val="000000" w:themeColor="text1"/>
        </w:rPr>
        <w:t xml:space="preserve"> of −9.8 V. These turn-on and peak voltages are defined as </w:t>
      </w:r>
      <w:r w:rsidRPr="0074469E">
        <w:rPr>
          <w:i/>
          <w:iCs/>
          <w:color w:val="000000" w:themeColor="text1"/>
        </w:rPr>
        <w:t>V</w:t>
      </w:r>
      <w:r w:rsidRPr="0074469E">
        <w:rPr>
          <w:color w:val="000000" w:themeColor="text1"/>
          <w:vertAlign w:val="subscript"/>
        </w:rPr>
        <w:t>on</w:t>
      </w:r>
      <w:r w:rsidRPr="0074469E">
        <w:rPr>
          <w:color w:val="000000" w:themeColor="text1"/>
        </w:rPr>
        <w:t xml:space="preserve"> and </w:t>
      </w:r>
      <w:proofErr w:type="spellStart"/>
      <w:r w:rsidRPr="0074469E">
        <w:rPr>
          <w:i/>
          <w:iCs/>
          <w:color w:val="000000" w:themeColor="text1"/>
        </w:rPr>
        <w:t>V</w:t>
      </w:r>
      <w:r w:rsidRPr="0074469E">
        <w:rPr>
          <w:color w:val="000000" w:themeColor="text1"/>
          <w:vertAlign w:val="subscript"/>
        </w:rPr>
        <w:t>peak</w:t>
      </w:r>
      <w:proofErr w:type="spellEnd"/>
      <w:r w:rsidRPr="0074469E">
        <w:rPr>
          <w:color w:val="000000" w:themeColor="text1"/>
        </w:rPr>
        <w:t>, respectively</w:t>
      </w:r>
      <w:r w:rsidRPr="0074469E">
        <w:rPr>
          <w:color w:val="000000" w:themeColor="text1"/>
          <w:vertAlign w:val="subscript"/>
        </w:rPr>
        <w:t>.</w:t>
      </w:r>
      <w:r w:rsidRPr="0074469E">
        <w:rPr>
          <w:color w:val="000000" w:themeColor="text1"/>
        </w:rPr>
        <w:t xml:space="preserve"> Subsequently, </w:t>
      </w:r>
      <w:r w:rsidRPr="0074469E">
        <w:rPr>
          <w:i/>
          <w:iCs/>
          <w:color w:val="000000" w:themeColor="text1"/>
        </w:rPr>
        <w:t>I</w:t>
      </w:r>
      <w:r w:rsidR="00824D0B" w:rsidRPr="0074469E">
        <w:rPr>
          <w:color w:val="000000" w:themeColor="text1"/>
          <w:vertAlign w:val="subscript"/>
        </w:rPr>
        <w:t>d</w:t>
      </w:r>
      <w:r w:rsidRPr="0074469E">
        <w:rPr>
          <w:color w:val="000000" w:themeColor="text1"/>
        </w:rPr>
        <w:t xml:space="preserve"> started decreasing as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color w:val="000000" w:themeColor="text1"/>
        </w:rPr>
        <w:t xml:space="preserve"> increased up to −15 V.</w:t>
      </w:r>
      <w:r w:rsidRPr="0074469E">
        <w:rPr>
          <w:rFonts w:eastAsia="ＭＳ Ｐゴシック"/>
          <w:color w:val="000000" w:themeColor="text1"/>
        </w:rPr>
        <w:t xml:space="preserve"> </w:t>
      </w:r>
      <w:r w:rsidRPr="0074469E">
        <w:rPr>
          <w:color w:val="000000" w:themeColor="text1"/>
        </w:rPr>
        <w:t>Note that,</w:t>
      </w:r>
      <w:r w:rsidRPr="0074469E">
        <w:rPr>
          <w:rFonts w:eastAsia="ＭＳ Ｐゴシック"/>
          <w:color w:val="000000" w:themeColor="text1"/>
        </w:rPr>
        <w:t xml:space="preserve"> the Λ-shaped transfer curve</w:t>
      </w:r>
      <w:r w:rsidRPr="0074469E">
        <w:rPr>
          <w:color w:val="000000" w:themeColor="text1"/>
        </w:rPr>
        <w:t xml:space="preserve"> coincides with the overlap of the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rFonts w:eastAsia="游明朝"/>
          <w:color w:val="000000" w:themeColor="text1"/>
        </w:rPr>
        <w:t xml:space="preserve"> </w:t>
      </w:r>
      <w:r w:rsidRPr="0074469E">
        <w:rPr>
          <w:color w:val="000000" w:themeColor="text1"/>
        </w:rPr>
        <w:t xml:space="preserve">curves of the </w:t>
      </w:r>
      <w:r w:rsidRPr="0074469E">
        <w:rPr>
          <w:rFonts w:eastAsia="ＭＳ Ｐゴシック"/>
          <w:color w:val="000000" w:themeColor="text1"/>
        </w:rPr>
        <w:t>ReS</w:t>
      </w:r>
      <w:r w:rsidRPr="0074469E">
        <w:rPr>
          <w:rFonts w:eastAsia="ＭＳ Ｐゴシック"/>
          <w:color w:val="000000" w:themeColor="text1"/>
          <w:vertAlign w:val="subscript"/>
        </w:rPr>
        <w:t>2</w:t>
      </w:r>
      <w:r w:rsidRPr="0074469E">
        <w:rPr>
          <w:rFonts w:eastAsia="ＭＳ Ｐゴシック"/>
          <w:color w:val="000000" w:themeColor="text1"/>
        </w:rPr>
        <w:t xml:space="preserve"> and WSe</w:t>
      </w:r>
      <w:r w:rsidRPr="0074469E">
        <w:rPr>
          <w:rFonts w:eastAsia="ＭＳ Ｐゴシック"/>
          <w:color w:val="000000" w:themeColor="text1"/>
          <w:vertAlign w:val="subscript"/>
        </w:rPr>
        <w:t>2</w:t>
      </w:r>
      <w:r w:rsidRPr="0074469E">
        <w:rPr>
          <w:rFonts w:eastAsia="ＭＳ Ｐゴシック"/>
          <w:color w:val="000000" w:themeColor="text1"/>
        </w:rPr>
        <w:t xml:space="preserve"> transistors. This result shows clearly that the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ＭＳ Ｐゴシック"/>
          <w:color w:val="000000" w:themeColor="text1"/>
        </w:rPr>
        <w:t xml:space="preserve"> of the dual-gate AAT is analogous to </w:t>
      </w:r>
      <w:r w:rsidRPr="0074469E">
        <w:rPr>
          <w:color w:val="000000" w:themeColor="text1"/>
        </w:rPr>
        <w:t xml:space="preserve">the shoot-through current in a complementary metal-oxide semiconductor (CMOS) inverter because the equivalent circuit of the AAT is given by the series circuit of the </w:t>
      </w:r>
      <w:r w:rsidRPr="0074469E">
        <w:rPr>
          <w:rFonts w:eastAsia="ＭＳ Ｐゴシック"/>
          <w:color w:val="000000" w:themeColor="text1"/>
        </w:rPr>
        <w:t>ReS</w:t>
      </w:r>
      <w:r w:rsidRPr="0074469E">
        <w:rPr>
          <w:rFonts w:eastAsia="ＭＳ Ｐゴシック"/>
          <w:color w:val="000000" w:themeColor="text1"/>
          <w:vertAlign w:val="subscript"/>
        </w:rPr>
        <w:t>2</w:t>
      </w:r>
      <w:r w:rsidRPr="0074469E">
        <w:rPr>
          <w:rFonts w:eastAsia="ＭＳ Ｐゴシック"/>
          <w:color w:val="000000" w:themeColor="text1"/>
        </w:rPr>
        <w:t xml:space="preserve"> and WSe</w:t>
      </w:r>
      <w:r w:rsidRPr="0074469E">
        <w:rPr>
          <w:rFonts w:eastAsia="ＭＳ Ｐゴシック"/>
          <w:color w:val="000000" w:themeColor="text1"/>
          <w:vertAlign w:val="subscript"/>
        </w:rPr>
        <w:t>2</w:t>
      </w:r>
      <w:r w:rsidRPr="0074469E">
        <w:rPr>
          <w:rFonts w:eastAsia="ＭＳ Ｐゴシック"/>
          <w:color w:val="000000" w:themeColor="text1"/>
        </w:rPr>
        <w:t xml:space="preserve"> transistors</w:t>
      </w:r>
      <w:r w:rsidRPr="0074469E">
        <w:rPr>
          <w:rFonts w:eastAsia="ＭＳ Ｐゴシック"/>
          <w:noProof/>
          <w:color w:val="000000" w:themeColor="text1"/>
          <w:vertAlign w:val="superscript"/>
        </w:rPr>
        <w:t>50-52</w:t>
      </w:r>
      <w:r w:rsidRPr="0074469E">
        <w:rPr>
          <w:rFonts w:eastAsia="ＭＳ Ｐゴシック"/>
          <w:color w:val="000000" w:themeColor="text1"/>
        </w:rPr>
        <w:t xml:space="preserve">. These facts mean that the limiting factors of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ＭＳ Ｐゴシック"/>
          <w:color w:val="000000" w:themeColor="text1"/>
        </w:rPr>
        <w:t xml:space="preserve"> in the AAT are different below and above </w:t>
      </w:r>
      <w:proofErr w:type="spellStart"/>
      <w:r w:rsidRPr="0074469E">
        <w:rPr>
          <w:i/>
          <w:iCs/>
          <w:color w:val="000000" w:themeColor="text1"/>
        </w:rPr>
        <w:t>V</w:t>
      </w:r>
      <w:r w:rsidRPr="0074469E">
        <w:rPr>
          <w:color w:val="000000" w:themeColor="text1"/>
          <w:vertAlign w:val="subscript"/>
        </w:rPr>
        <w:t>peak</w:t>
      </w:r>
      <w:proofErr w:type="spellEnd"/>
      <w:r w:rsidRPr="0074469E">
        <w:rPr>
          <w:rFonts w:eastAsia="ＭＳ Ｐゴシック"/>
          <w:color w:val="000000" w:themeColor="text1"/>
        </w:rPr>
        <w:t xml:space="preser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color w:val="000000" w:themeColor="text1"/>
        </w:rPr>
        <w:t xml:space="preserve"> = −9.8 V</w:t>
      </w:r>
      <w:r w:rsidRPr="0074469E">
        <w:rPr>
          <w:rFonts w:eastAsia="ＭＳ Ｐゴシック"/>
          <w:color w:val="000000" w:themeColor="text1"/>
        </w:rPr>
        <w:t xml:space="preserve">). Below </w:t>
      </w:r>
      <w:proofErr w:type="spellStart"/>
      <w:r w:rsidRPr="0074469E">
        <w:rPr>
          <w:i/>
          <w:iCs/>
          <w:color w:val="000000" w:themeColor="text1"/>
        </w:rPr>
        <w:t>V</w:t>
      </w:r>
      <w:r w:rsidRPr="0074469E">
        <w:rPr>
          <w:color w:val="000000" w:themeColor="text1"/>
          <w:vertAlign w:val="subscript"/>
        </w:rPr>
        <w:t>peak</w:t>
      </w:r>
      <w:proofErr w:type="spellEnd"/>
      <w:r w:rsidRPr="0074469E">
        <w:rPr>
          <w:rFonts w:eastAsia="ＭＳ Ｐゴシック"/>
          <w:color w:val="000000" w:themeColor="text1"/>
        </w:rPr>
        <w:t xml:space="preserve">,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ＭＳ Ｐゴシック"/>
          <w:color w:val="000000" w:themeColor="text1"/>
        </w:rPr>
        <w:t xml:space="preserve"> is limited by the electron current in the ReS</w:t>
      </w:r>
      <w:r w:rsidRPr="0074469E">
        <w:rPr>
          <w:rFonts w:eastAsia="ＭＳ Ｐゴシック"/>
          <w:color w:val="000000" w:themeColor="text1"/>
          <w:vertAlign w:val="subscript"/>
        </w:rPr>
        <w:t>2</w:t>
      </w:r>
      <w:r w:rsidRPr="0074469E">
        <w:rPr>
          <w:rFonts w:eastAsia="ＭＳ Ｐゴシック"/>
          <w:color w:val="000000" w:themeColor="text1"/>
        </w:rPr>
        <w:t xml:space="preserve"> channel whereas that above</w:t>
      </w:r>
      <w:r w:rsidRPr="0074469E">
        <w:rPr>
          <w:color w:val="000000" w:themeColor="text1"/>
        </w:rPr>
        <w:t xml:space="preserve"> </w:t>
      </w:r>
      <w:proofErr w:type="spellStart"/>
      <w:r w:rsidRPr="0074469E">
        <w:rPr>
          <w:i/>
          <w:iCs/>
          <w:color w:val="000000" w:themeColor="text1"/>
        </w:rPr>
        <w:t>V</w:t>
      </w:r>
      <w:r w:rsidRPr="0074469E">
        <w:rPr>
          <w:color w:val="000000" w:themeColor="text1"/>
          <w:vertAlign w:val="subscript"/>
        </w:rPr>
        <w:t>peak</w:t>
      </w:r>
      <w:proofErr w:type="spellEnd"/>
      <w:r w:rsidRPr="0074469E">
        <w:rPr>
          <w:rFonts w:eastAsia="ＭＳ Ｐゴシック"/>
          <w:color w:val="000000" w:themeColor="text1"/>
        </w:rPr>
        <w:t xml:space="preserve"> is restricted by the hole current in the WSe</w:t>
      </w:r>
      <w:r w:rsidRPr="0074469E">
        <w:rPr>
          <w:rFonts w:eastAsia="ＭＳ Ｐゴシック"/>
          <w:color w:val="000000" w:themeColor="text1"/>
          <w:vertAlign w:val="subscript"/>
        </w:rPr>
        <w:t>2</w:t>
      </w:r>
      <w:r w:rsidRPr="0074469E">
        <w:rPr>
          <w:rFonts w:eastAsia="ＭＳ Ｐゴシック"/>
          <w:color w:val="000000" w:themeColor="text1"/>
        </w:rPr>
        <w:t xml:space="preserve"> channel.</w:t>
      </w:r>
    </w:p>
    <w:p w14:paraId="1585AE67" w14:textId="2152A7EB" w:rsidR="000C12BB" w:rsidRPr="00897AFB" w:rsidRDefault="000C12BB" w:rsidP="00897AFB">
      <w:pPr>
        <w:pStyle w:val="TAMainText"/>
        <w:rPr>
          <w:rFonts w:eastAsia="ＭＳ Ｐゴシック"/>
        </w:rPr>
      </w:pPr>
      <w:r w:rsidRPr="0074469E">
        <w:rPr>
          <w:rFonts w:eastAsia="ＭＳ Ｐゴシック"/>
          <w:color w:val="000000" w:themeColor="text1"/>
        </w:rPr>
        <w:t xml:space="preserve">The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effect in the dual-gate AAT is shown in </w:t>
      </w:r>
      <w:r w:rsidR="00217C3B" w:rsidRPr="0074469E">
        <w:rPr>
          <w:rFonts w:eastAsia="ＭＳ Ｐゴシック"/>
          <w:color w:val="000000" w:themeColor="text1"/>
        </w:rPr>
        <w:t>Figure</w:t>
      </w:r>
      <w:r w:rsidRPr="0074469E">
        <w:rPr>
          <w:rFonts w:eastAsia="ＭＳ Ｐゴシック"/>
          <w:color w:val="000000" w:themeColor="text1"/>
        </w:rPr>
        <w:t xml:space="preserve"> 1e, where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was varied from 0 V to </w:t>
      </w:r>
      <w:r w:rsidRPr="0074469E">
        <w:rPr>
          <w:rFonts w:eastAsia="游明朝"/>
          <w:color w:val="000000" w:themeColor="text1"/>
        </w:rPr>
        <w:t>−</w:t>
      </w:r>
      <w:r w:rsidRPr="0074469E">
        <w:rPr>
          <w:rFonts w:eastAsia="ＭＳ Ｐゴシック"/>
          <w:color w:val="000000" w:themeColor="text1"/>
        </w:rPr>
        <w:t xml:space="preserve">0.9 </w:t>
      </w:r>
      <w:r w:rsidRPr="00897AFB">
        <w:rPr>
          <w:rFonts w:eastAsia="ＭＳ Ｐゴシック"/>
        </w:rPr>
        <w:t xml:space="preserve">V and </w:t>
      </w:r>
      <w:proofErr w:type="spellStart"/>
      <w:r w:rsidRPr="00897AFB">
        <w:rPr>
          <w:rFonts w:eastAsia="ＭＳ Ｐゴシック"/>
          <w:i/>
          <w:iCs/>
        </w:rPr>
        <w:t>V</w:t>
      </w:r>
      <w:r w:rsidRPr="00897AFB">
        <w:rPr>
          <w:rFonts w:eastAsia="ＭＳ Ｐゴシック"/>
          <w:vertAlign w:val="subscript"/>
        </w:rPr>
        <w:t>d</w:t>
      </w:r>
      <w:proofErr w:type="spellEnd"/>
      <w:r w:rsidRPr="00897AFB">
        <w:rPr>
          <w:rFonts w:eastAsia="ＭＳ Ｐゴシック"/>
        </w:rPr>
        <w:t xml:space="preserve"> was fixed at </w:t>
      </w:r>
      <w:r w:rsidRPr="00897AFB">
        <w:rPr>
          <w:rFonts w:eastAsia="游明朝"/>
        </w:rPr>
        <w:t>−</w:t>
      </w:r>
      <w:r w:rsidRPr="00897AFB">
        <w:rPr>
          <w:rFonts w:eastAsia="ＭＳ Ｐゴシック"/>
        </w:rPr>
        <w:t xml:space="preserve">1.0 V. The Λ-shaped transfer curve was constantly shifted toward the </w:t>
      </w:r>
      <w:r w:rsidRPr="0074469E">
        <w:rPr>
          <w:rFonts w:eastAsia="ＭＳ Ｐゴシック"/>
          <w:color w:val="000000" w:themeColor="text1"/>
        </w:rPr>
        <w:t xml:space="preserve">positive </w:t>
      </w:r>
      <w:proofErr w:type="spellStart"/>
      <w:r w:rsidRPr="0074469E">
        <w:rPr>
          <w:i/>
          <w:iCs/>
          <w:color w:val="000000" w:themeColor="text1"/>
        </w:rPr>
        <w:t>V</w:t>
      </w:r>
      <w:r w:rsidRPr="0074469E">
        <w:rPr>
          <w:color w:val="000000" w:themeColor="text1"/>
          <w:vertAlign w:val="subscript"/>
        </w:rPr>
        <w:t>bg</w:t>
      </w:r>
      <w:proofErr w:type="spellEnd"/>
      <w:r w:rsidRPr="0074469E">
        <w:rPr>
          <w:rFonts w:eastAsia="ＭＳ Ｐゴシック"/>
          <w:color w:val="000000" w:themeColor="text1"/>
        </w:rPr>
        <w:t xml:space="preserve"> range. To evaluate the variation in</w:t>
      </w:r>
      <w:r w:rsidRPr="0074469E">
        <w:rPr>
          <w:rFonts w:eastAsia="ＭＳ Ｐゴシック"/>
          <w:i/>
          <w:iCs/>
          <w:color w:val="000000" w:themeColor="text1"/>
        </w:rPr>
        <w:t xml:space="preser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00FD5BBF" w:rsidRPr="0074469E">
        <w:rPr>
          <w:rFonts w:eastAsia="ＭＳ Ｐゴシック"/>
          <w:color w:val="000000" w:themeColor="text1"/>
        </w:rPr>
        <w:t xml:space="preserve"> in detail</w:t>
      </w:r>
      <w:r w:rsidRPr="0074469E">
        <w:rPr>
          <w:rFonts w:eastAsia="ＭＳ Ｐゴシック"/>
          <w:color w:val="000000" w:themeColor="text1"/>
        </w:rPr>
        <w:t>, the three-dimensional (3D)</w:t>
      </w:r>
      <w:r w:rsidR="007305BA" w:rsidRPr="0074469E">
        <w:rPr>
          <w:rFonts w:hint="eastAsia"/>
          <w:color w:val="000000" w:themeColor="text1"/>
          <w:lang w:eastAsia="ja-JP"/>
        </w:rPr>
        <w:t xml:space="preserve"> </w:t>
      </w:r>
      <w:r w:rsidRPr="0074469E">
        <w:rPr>
          <w:color w:val="000000" w:themeColor="text1"/>
        </w:rPr>
        <w:t>|</w:t>
      </w:r>
      <w:r w:rsidRPr="0074469E">
        <w:rPr>
          <w:i/>
          <w:iCs/>
          <w:color w:val="000000" w:themeColor="text1"/>
        </w:rPr>
        <w:t>I</w:t>
      </w:r>
      <w:r w:rsidRPr="0074469E">
        <w:rPr>
          <w:color w:val="000000" w:themeColor="text1"/>
          <w:vertAlign w:val="subscript"/>
        </w:rPr>
        <w:t>d</w:t>
      </w:r>
      <w:r w:rsidRPr="0074469E">
        <w:rPr>
          <w:color w:val="000000" w:themeColor="text1"/>
        </w:rPr>
        <w:t>|</w:t>
      </w:r>
      <w:r w:rsidRPr="0074469E">
        <w:rPr>
          <w:rFonts w:eastAsia="ＭＳ Ｐゴシック"/>
          <w:color w:val="000000" w:themeColor="text1"/>
        </w:rPr>
        <w:t xml:space="preserve"> plot</w:t>
      </w:r>
      <w:r w:rsidR="000101FB" w:rsidRPr="0074469E">
        <w:rPr>
          <w:rFonts w:eastAsia="ＭＳ Ｐゴシック"/>
          <w:color w:val="000000" w:themeColor="text1"/>
        </w:rPr>
        <w:t>s</w:t>
      </w:r>
      <w:r w:rsidRPr="0074469E">
        <w:rPr>
          <w:rFonts w:eastAsia="ＭＳ Ｐゴシック"/>
          <w:color w:val="000000" w:themeColor="text1"/>
        </w:rPr>
        <w:t xml:space="preserve"> as </w:t>
      </w:r>
      <w:r w:rsidR="000101FB" w:rsidRPr="0074469E">
        <w:rPr>
          <w:rFonts w:eastAsia="ＭＳ Ｐゴシック"/>
          <w:color w:val="000000" w:themeColor="text1"/>
        </w:rPr>
        <w:t xml:space="preserve">a </w:t>
      </w:r>
      <w:r w:rsidRPr="0074469E">
        <w:rPr>
          <w:rFonts w:eastAsia="ＭＳ Ｐゴシック"/>
          <w:color w:val="000000" w:themeColor="text1"/>
        </w:rPr>
        <w:t xml:space="preserve">function of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rFonts w:eastAsia="ＭＳ Ｐゴシック"/>
          <w:color w:val="000000" w:themeColor="text1"/>
        </w:rPr>
        <w:t xml:space="preserve"> and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w:t>
      </w:r>
      <w:r w:rsidR="000101FB" w:rsidRPr="0074469E">
        <w:rPr>
          <w:rFonts w:eastAsia="ＭＳ Ｐゴシック"/>
          <w:color w:val="000000" w:themeColor="text1"/>
          <w:lang w:eastAsia="ja-JP"/>
        </w:rPr>
        <w:t>are</w:t>
      </w:r>
      <w:r w:rsidR="000101FB" w:rsidRPr="0074469E">
        <w:rPr>
          <w:rFonts w:eastAsia="ＭＳ Ｐゴシック"/>
          <w:color w:val="000000" w:themeColor="text1"/>
        </w:rPr>
        <w:t xml:space="preserve"> </w:t>
      </w:r>
      <w:r w:rsidRPr="0074469E">
        <w:rPr>
          <w:rFonts w:eastAsia="ＭＳ Ｐゴシック"/>
          <w:color w:val="000000" w:themeColor="text1"/>
        </w:rPr>
        <w:t>given in Fig</w:t>
      </w:r>
      <w:r w:rsidR="00217C3B" w:rsidRPr="0074469E">
        <w:rPr>
          <w:rFonts w:eastAsia="ＭＳ Ｐゴシック"/>
          <w:color w:val="000000" w:themeColor="text1"/>
        </w:rPr>
        <w:t>ure</w:t>
      </w:r>
      <w:r w:rsidRPr="0074469E">
        <w:rPr>
          <w:rFonts w:eastAsia="ＭＳ Ｐゴシック"/>
          <w:color w:val="000000" w:themeColor="text1"/>
        </w:rPr>
        <w:t xml:space="preserve"> 1f.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Pr="0074469E">
        <w:rPr>
          <w:rFonts w:eastAsia="ＭＳ Ｐゴシック"/>
          <w:color w:val="000000" w:themeColor="text1"/>
        </w:rPr>
        <w:t xml:space="preserve"> was varied linearly from </w:t>
      </w:r>
      <w:r w:rsidRPr="0074469E">
        <w:rPr>
          <w:rFonts w:eastAsia="游明朝"/>
          <w:color w:val="000000" w:themeColor="text1"/>
        </w:rPr>
        <w:t>–</w:t>
      </w:r>
      <w:r w:rsidRPr="0074469E">
        <w:rPr>
          <w:rFonts w:eastAsia="ＭＳ Ｐゴシック"/>
          <w:color w:val="000000" w:themeColor="text1"/>
        </w:rPr>
        <w:t xml:space="preserve">12.5 V to </w:t>
      </w:r>
      <w:r w:rsidRPr="0074469E">
        <w:rPr>
          <w:rFonts w:eastAsia="游明朝"/>
          <w:color w:val="000000" w:themeColor="text1"/>
        </w:rPr>
        <w:t>−7.0</w:t>
      </w:r>
      <w:r w:rsidRPr="0074469E">
        <w:rPr>
          <w:rFonts w:eastAsia="ＭＳ Ｐゴシック"/>
          <w:color w:val="000000" w:themeColor="text1"/>
        </w:rPr>
        <w:t xml:space="preserve"> V by changing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from </w:t>
      </w:r>
      <w:r w:rsidRPr="0074469E">
        <w:rPr>
          <w:rFonts w:eastAsia="游明朝"/>
          <w:color w:val="000000" w:themeColor="text1"/>
        </w:rPr>
        <w:t>1.0</w:t>
      </w:r>
      <w:r w:rsidRPr="0074469E">
        <w:rPr>
          <w:rFonts w:eastAsia="ＭＳ Ｐゴシック"/>
          <w:color w:val="000000" w:themeColor="text1"/>
        </w:rPr>
        <w:t xml:space="preserve"> V to </w:t>
      </w:r>
      <w:r w:rsidRPr="0074469E">
        <w:rPr>
          <w:rFonts w:eastAsia="游明朝"/>
          <w:color w:val="000000" w:themeColor="text1"/>
        </w:rPr>
        <w:t>–1.4</w:t>
      </w:r>
      <w:r w:rsidRPr="0074469E">
        <w:rPr>
          <w:rFonts w:eastAsia="ＭＳ Ｐゴシック"/>
          <w:color w:val="000000" w:themeColor="text1"/>
        </w:rPr>
        <w:t xml:space="preserve"> V. It should be noted that the shifted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Pr="0074469E">
        <w:rPr>
          <w:rFonts w:eastAsia="ＭＳ Ｐゴシック"/>
          <w:color w:val="000000" w:themeColor="text1"/>
        </w:rPr>
        <w:t xml:space="preserve"> returned to its original </w:t>
      </w:r>
      <w:r w:rsidRPr="00897AFB">
        <w:rPr>
          <w:rFonts w:eastAsia="ＭＳ Ｐゴシック"/>
        </w:rPr>
        <w:lastRenderedPageBreak/>
        <w:t xml:space="preserve">position after turning off </w:t>
      </w:r>
      <w:proofErr w:type="spellStart"/>
      <w:r w:rsidRPr="00897AFB">
        <w:rPr>
          <w:rFonts w:eastAsia="ＭＳ Ｐゴシック"/>
          <w:i/>
          <w:iCs/>
        </w:rPr>
        <w:t>V</w:t>
      </w:r>
      <w:r w:rsidRPr="00897AFB">
        <w:rPr>
          <w:rFonts w:eastAsia="ＭＳ Ｐゴシック"/>
          <w:vertAlign w:val="subscript"/>
        </w:rPr>
        <w:t>tg</w:t>
      </w:r>
      <w:proofErr w:type="spellEnd"/>
      <w:r w:rsidRPr="00897AFB">
        <w:rPr>
          <w:rFonts w:eastAsia="ＭＳ Ｐゴシック"/>
        </w:rPr>
        <w:t>, indicating that carriers are not trapped in the ZnPc-PS</w:t>
      </w:r>
      <w:r w:rsidRPr="00897AFB">
        <w:rPr>
          <w:rFonts w:eastAsia="ＭＳ Ｐゴシック"/>
          <w:vertAlign w:val="subscript"/>
        </w:rPr>
        <w:t>4</w:t>
      </w:r>
      <w:r w:rsidRPr="00897AFB">
        <w:rPr>
          <w:rFonts w:eastAsia="ＭＳ Ｐゴシック"/>
        </w:rPr>
        <w:t xml:space="preserve"> nano-floating gate in the </w:t>
      </w:r>
      <w:r w:rsidRPr="00897AFB">
        <w:rPr>
          <w:rFonts w:eastAsia="游明朝"/>
        </w:rPr>
        <w:t>1.0 V</w:t>
      </w:r>
      <w:r w:rsidRPr="00897AFB">
        <w:rPr>
          <w:rFonts w:eastAsia="ＭＳ Ｐゴシック"/>
        </w:rPr>
        <w:t xml:space="preserve"> to </w:t>
      </w:r>
      <w:r w:rsidRPr="00897AFB">
        <w:rPr>
          <w:rFonts w:eastAsia="游明朝"/>
        </w:rPr>
        <w:t>–1.4</w:t>
      </w:r>
      <w:r w:rsidRPr="00897AFB">
        <w:rPr>
          <w:rFonts w:eastAsia="ＭＳ Ｐゴシック"/>
        </w:rPr>
        <w:t xml:space="preserve"> V</w:t>
      </w:r>
      <w:r w:rsidRPr="00897AFB">
        <w:rPr>
          <w:rFonts w:eastAsia="ＭＳ Ｐゴシック"/>
          <w:i/>
          <w:iCs/>
        </w:rPr>
        <w:t xml:space="preserve"> </w:t>
      </w:r>
      <w:proofErr w:type="spellStart"/>
      <w:r w:rsidRPr="00897AFB">
        <w:rPr>
          <w:rFonts w:eastAsia="ＭＳ Ｐゴシック"/>
          <w:i/>
          <w:iCs/>
        </w:rPr>
        <w:t>V</w:t>
      </w:r>
      <w:r w:rsidRPr="00897AFB">
        <w:rPr>
          <w:rFonts w:eastAsia="ＭＳ Ｐゴシック"/>
          <w:vertAlign w:val="subscript"/>
        </w:rPr>
        <w:t>tg</w:t>
      </w:r>
      <w:proofErr w:type="spellEnd"/>
      <w:r w:rsidRPr="00897AFB">
        <w:rPr>
          <w:rFonts w:eastAsia="ＭＳ Ｐゴシック"/>
        </w:rPr>
        <w:t xml:space="preserve"> range. </w:t>
      </w:r>
    </w:p>
    <w:p w14:paraId="4480511A" w14:textId="77777777" w:rsidR="000C12BB" w:rsidRPr="00897AFB" w:rsidRDefault="000C12BB" w:rsidP="00897AFB">
      <w:pPr>
        <w:pStyle w:val="TAMainText"/>
        <w:rPr>
          <w:rFonts w:eastAsia="ＭＳ Ｐゴシック"/>
        </w:rPr>
      </w:pPr>
    </w:p>
    <w:p w14:paraId="09B42851" w14:textId="754FB681" w:rsidR="000C12BB" w:rsidRPr="0074469E" w:rsidRDefault="004130A7" w:rsidP="00897AFB">
      <w:pPr>
        <w:pStyle w:val="TAMainText"/>
        <w:rPr>
          <w:rFonts w:eastAsia="ＭＳ Ｐゴシック"/>
          <w:b/>
          <w:bCs/>
          <w:color w:val="000000" w:themeColor="text1"/>
        </w:rPr>
      </w:pPr>
      <w:r w:rsidRPr="0074469E">
        <w:rPr>
          <w:rFonts w:eastAsia="ＭＳ Ｐゴシック"/>
          <w:b/>
          <w:bCs/>
          <w:color w:val="000000" w:themeColor="text1"/>
        </w:rPr>
        <w:t xml:space="preserve">2.2 </w:t>
      </w:r>
      <w:r w:rsidR="000C12BB" w:rsidRPr="0074469E">
        <w:rPr>
          <w:rFonts w:eastAsia="ＭＳ Ｐゴシック"/>
          <w:b/>
          <w:bCs/>
          <w:color w:val="000000" w:themeColor="text1"/>
        </w:rPr>
        <w:t>Reconfigurable Two-Input Logic Circuits</w:t>
      </w:r>
    </w:p>
    <w:p w14:paraId="5F7B650B" w14:textId="5956D954" w:rsidR="000C12BB" w:rsidRPr="0074469E" w:rsidRDefault="000C12BB" w:rsidP="00FB4AFC">
      <w:pPr>
        <w:pStyle w:val="TAMainText"/>
        <w:rPr>
          <w:rFonts w:ascii="Times New Roman" w:hAnsi="Times New Roman"/>
          <w:color w:val="000000" w:themeColor="text1"/>
          <w:szCs w:val="24"/>
        </w:rPr>
      </w:pPr>
      <w:r w:rsidRPr="00897AFB">
        <w:t xml:space="preserve">The dual-gate AAT is successfully applied to two-input logic circuits by the effective use of the </w:t>
      </w:r>
      <w:r w:rsidRPr="00897AFB">
        <w:rPr>
          <w:rFonts w:eastAsia="游明朝"/>
        </w:rPr>
        <w:t>Λ</w:t>
      </w:r>
      <w:r w:rsidRPr="00897AFB">
        <w:t xml:space="preserve">-shaped transfer characteristic. In these circuits, </w:t>
      </w:r>
      <w:proofErr w:type="spellStart"/>
      <w:r w:rsidRPr="00897AFB">
        <w:rPr>
          <w:rFonts w:eastAsia="ＭＳ Ｐゴシック"/>
          <w:i/>
          <w:iCs/>
        </w:rPr>
        <w:t>V</w:t>
      </w:r>
      <w:r w:rsidRPr="00897AFB">
        <w:rPr>
          <w:rFonts w:eastAsia="ＭＳ Ｐゴシック"/>
          <w:vertAlign w:val="subscript"/>
        </w:rPr>
        <w:t>tg</w:t>
      </w:r>
      <w:proofErr w:type="spellEnd"/>
      <w:r w:rsidRPr="00897AFB">
        <w:rPr>
          <w:rFonts w:eastAsia="ＭＳ Ｐゴシック"/>
        </w:rPr>
        <w:t xml:space="preserve"> and </w:t>
      </w:r>
      <w:proofErr w:type="spellStart"/>
      <w:r w:rsidRPr="00897AFB">
        <w:rPr>
          <w:rFonts w:eastAsia="ＭＳ Ｐゴシック"/>
          <w:i/>
          <w:iCs/>
        </w:rPr>
        <w:t>V</w:t>
      </w:r>
      <w:r w:rsidRPr="00897AFB">
        <w:rPr>
          <w:rFonts w:eastAsia="ＭＳ Ｐゴシック"/>
          <w:vertAlign w:val="subscript"/>
        </w:rPr>
        <w:t>bg</w:t>
      </w:r>
      <w:proofErr w:type="spellEnd"/>
      <w:r w:rsidRPr="00897AFB">
        <w:t xml:space="preserve"> were used as input signals 1 and 2, </w:t>
      </w:r>
      <w:r w:rsidRPr="0074469E">
        <w:rPr>
          <w:color w:val="000000" w:themeColor="text1"/>
        </w:rPr>
        <w:t xml:space="preserve">respectively, as shown in </w:t>
      </w:r>
      <w:r w:rsidR="00217C3B" w:rsidRPr="0074469E">
        <w:rPr>
          <w:color w:val="000000" w:themeColor="text1"/>
        </w:rPr>
        <w:t>Figure</w:t>
      </w:r>
      <w:r w:rsidRPr="0074469E">
        <w:rPr>
          <w:color w:val="000000" w:themeColor="text1"/>
        </w:rPr>
        <w:t xml:space="preserve"> 2a. </w:t>
      </w:r>
      <w:proofErr w:type="spellStart"/>
      <w:r w:rsidRPr="0074469E">
        <w:rPr>
          <w:i/>
          <w:iCs/>
          <w:color w:val="000000" w:themeColor="text1"/>
        </w:rPr>
        <w:t>I</w:t>
      </w:r>
      <w:r w:rsidRPr="0074469E">
        <w:rPr>
          <w:color w:val="000000" w:themeColor="text1"/>
          <w:vertAlign w:val="subscript"/>
        </w:rPr>
        <w:t>d</w:t>
      </w:r>
      <w:proofErr w:type="spellEnd"/>
      <w:r w:rsidRPr="0074469E">
        <w:rPr>
          <w:color w:val="000000" w:themeColor="text1"/>
        </w:rPr>
        <w:t xml:space="preserve"> was monitored as the output signal. Figures 2b-2f show the 2D</w:t>
      </w:r>
      <w:bookmarkStart w:id="25" w:name="OLE_LINK157"/>
      <w:bookmarkStart w:id="26" w:name="OLE_LINK158"/>
      <w:r w:rsidRPr="0074469E">
        <w:rPr>
          <w:color w:val="000000" w:themeColor="text1"/>
        </w:rPr>
        <w:t>−|</w:t>
      </w:r>
      <w:r w:rsidRPr="0074469E">
        <w:rPr>
          <w:i/>
          <w:iCs/>
          <w:color w:val="000000" w:themeColor="text1"/>
        </w:rPr>
        <w:t>I</w:t>
      </w:r>
      <w:r w:rsidRPr="0074469E">
        <w:rPr>
          <w:color w:val="000000" w:themeColor="text1"/>
          <w:vertAlign w:val="subscript"/>
        </w:rPr>
        <w:t>d</w:t>
      </w:r>
      <w:r w:rsidRPr="0074469E">
        <w:rPr>
          <w:color w:val="000000" w:themeColor="text1"/>
        </w:rPr>
        <w:t>|</w:t>
      </w:r>
      <w:bookmarkEnd w:id="25"/>
      <w:bookmarkEnd w:id="26"/>
      <w:r w:rsidRPr="0074469E">
        <w:rPr>
          <w:color w:val="000000" w:themeColor="text1"/>
        </w:rPr>
        <w:t xml:space="preserve"> plots of the </w:t>
      </w:r>
      <w:r w:rsidRPr="0074469E">
        <w:rPr>
          <w:rFonts w:eastAsia="ＭＳ Ｐゴシック"/>
          <w:color w:val="000000" w:themeColor="text1"/>
        </w:rPr>
        <w:t>five logic circuits</w:t>
      </w:r>
      <w:r w:rsidR="00A8560F" w:rsidRPr="0074469E">
        <w:rPr>
          <w:rFonts w:eastAsia="ＭＳ Ｐゴシック"/>
          <w:color w:val="000000" w:themeColor="text1"/>
        </w:rPr>
        <w:t xml:space="preserve"> namely</w:t>
      </w:r>
      <w:r w:rsidRPr="0074469E">
        <w:rPr>
          <w:rFonts w:eastAsia="ＭＳ Ｐゴシック"/>
          <w:color w:val="000000" w:themeColor="text1"/>
        </w:rPr>
        <w:t xml:space="preserve"> AND, OR, XOR, NAND, and NOR</w:t>
      </w:r>
      <w:r w:rsidR="00A8560F" w:rsidRPr="0074469E">
        <w:rPr>
          <w:rFonts w:eastAsia="ＭＳ Ｐゴシック"/>
          <w:color w:val="000000" w:themeColor="text1"/>
        </w:rPr>
        <w:t>, respectively</w:t>
      </w:r>
      <w:r w:rsidRPr="0074469E">
        <w:rPr>
          <w:rFonts w:eastAsia="ＭＳ Ｐゴシック"/>
          <w:color w:val="000000" w:themeColor="text1"/>
        </w:rPr>
        <w:t xml:space="preserve">. </w:t>
      </w:r>
      <w:r w:rsidRPr="0074469E">
        <w:rPr>
          <w:color w:val="000000" w:themeColor="text1"/>
        </w:rPr>
        <w:t>Here,</w:t>
      </w:r>
      <w:r w:rsidRPr="0074469E">
        <w:rPr>
          <w:rFonts w:eastAsia="ＭＳ Ｐゴシック"/>
          <w:color w:val="000000" w:themeColor="text1"/>
        </w:rPr>
        <w:t xml:space="preserve"> </w:t>
      </w:r>
      <w:r w:rsidRPr="0074469E">
        <w:rPr>
          <w:color w:val="000000" w:themeColor="text1"/>
        </w:rPr>
        <w:t>the 2D−|</w:t>
      </w:r>
      <w:r w:rsidRPr="0074469E">
        <w:rPr>
          <w:i/>
          <w:iCs/>
          <w:color w:val="000000" w:themeColor="text1"/>
        </w:rPr>
        <w:t>I</w:t>
      </w:r>
      <w:r w:rsidRPr="0074469E">
        <w:rPr>
          <w:color w:val="000000" w:themeColor="text1"/>
          <w:vertAlign w:val="subscript"/>
        </w:rPr>
        <w:t>d</w:t>
      </w:r>
      <w:r w:rsidRPr="0074469E">
        <w:rPr>
          <w:color w:val="000000" w:themeColor="text1"/>
        </w:rPr>
        <w:t xml:space="preserve">| plots are binarized with a </w:t>
      </w:r>
      <w:r w:rsidR="00FB4AFC" w:rsidRPr="0074469E">
        <w:rPr>
          <w:rFonts w:hint="eastAsia"/>
          <w:color w:val="000000" w:themeColor="text1"/>
          <w:lang w:eastAsia="ja-JP"/>
        </w:rPr>
        <w:t xml:space="preserve">common </w:t>
      </w:r>
      <w:r w:rsidRPr="0074469E">
        <w:rPr>
          <w:color w:val="000000" w:themeColor="text1"/>
        </w:rPr>
        <w:t xml:space="preserve">threshold current of 46 </w:t>
      </w:r>
      <w:proofErr w:type="spellStart"/>
      <w:r w:rsidRPr="0074469E">
        <w:rPr>
          <w:color w:val="000000" w:themeColor="text1"/>
        </w:rPr>
        <w:t>nA</w:t>
      </w:r>
      <w:proofErr w:type="spellEnd"/>
      <w:r w:rsidR="00FB4AFC" w:rsidRPr="0074469E">
        <w:rPr>
          <w:rFonts w:hint="eastAsia"/>
          <w:color w:val="000000" w:themeColor="text1"/>
          <w:lang w:eastAsia="ja-JP"/>
        </w:rPr>
        <w:t xml:space="preserve"> to realize the five logic circuits </w:t>
      </w:r>
      <w:r w:rsidR="000101FB" w:rsidRPr="0074469E">
        <w:rPr>
          <w:color w:val="000000" w:themeColor="text1"/>
          <w:lang w:eastAsia="ja-JP"/>
        </w:rPr>
        <w:t>with</w:t>
      </w:r>
      <w:r w:rsidR="000101FB" w:rsidRPr="0074469E">
        <w:rPr>
          <w:rFonts w:hint="eastAsia"/>
          <w:color w:val="000000" w:themeColor="text1"/>
          <w:lang w:eastAsia="ja-JP"/>
        </w:rPr>
        <w:t xml:space="preserve"> </w:t>
      </w:r>
      <w:r w:rsidR="00FB4AFC" w:rsidRPr="0074469E">
        <w:rPr>
          <w:rFonts w:hint="eastAsia"/>
          <w:color w:val="000000" w:themeColor="text1"/>
          <w:lang w:eastAsia="ja-JP"/>
        </w:rPr>
        <w:t xml:space="preserve">a </w:t>
      </w:r>
      <w:r w:rsidR="007C3F7A" w:rsidRPr="0074469E">
        <w:rPr>
          <w:rFonts w:hint="eastAsia"/>
          <w:color w:val="000000" w:themeColor="text1"/>
          <w:lang w:eastAsia="ja-JP"/>
        </w:rPr>
        <w:t xml:space="preserve">single </w:t>
      </w:r>
      <w:r w:rsidR="00FB4AFC" w:rsidRPr="0074469E">
        <w:rPr>
          <w:rFonts w:hint="eastAsia"/>
          <w:color w:val="000000" w:themeColor="text1"/>
          <w:lang w:eastAsia="ja-JP"/>
        </w:rPr>
        <w:t>dual-gate AAT</w:t>
      </w:r>
      <w:r w:rsidR="001729FF" w:rsidRPr="0074469E">
        <w:rPr>
          <w:rFonts w:ascii="Times New Roman" w:hAnsi="Times New Roman"/>
          <w:color w:val="000000" w:themeColor="text1"/>
          <w:szCs w:val="24"/>
        </w:rPr>
        <w:t xml:space="preserve">. </w:t>
      </w:r>
      <w:r w:rsidRPr="0074469E">
        <w:rPr>
          <w:color w:val="000000" w:themeColor="text1"/>
        </w:rPr>
        <w:t>The gray areas indicate an |</w:t>
      </w:r>
      <w:r w:rsidRPr="0074469E">
        <w:rPr>
          <w:i/>
          <w:iCs/>
          <w:color w:val="000000" w:themeColor="text1"/>
        </w:rPr>
        <w:t>I</w:t>
      </w:r>
      <w:r w:rsidRPr="0074469E">
        <w:rPr>
          <w:color w:val="000000" w:themeColor="text1"/>
          <w:vertAlign w:val="subscript"/>
        </w:rPr>
        <w:t>d</w:t>
      </w:r>
      <w:r w:rsidRPr="0074469E">
        <w:rPr>
          <w:color w:val="000000" w:themeColor="text1"/>
        </w:rPr>
        <w:t xml:space="preserve">| of higher than 46 </w:t>
      </w:r>
      <w:proofErr w:type="spellStart"/>
      <w:r w:rsidRPr="0074469E">
        <w:rPr>
          <w:color w:val="000000" w:themeColor="text1"/>
        </w:rPr>
        <w:t>nA</w:t>
      </w:r>
      <w:proofErr w:type="spellEnd"/>
      <w:r w:rsidRPr="0074469E">
        <w:rPr>
          <w:color w:val="000000" w:themeColor="text1"/>
        </w:rPr>
        <w:t>, representing logic state “1” in two-input logic circuits whereas the white areas indicate an |</w:t>
      </w:r>
      <w:r w:rsidRPr="0074469E">
        <w:rPr>
          <w:i/>
          <w:iCs/>
          <w:color w:val="000000" w:themeColor="text1"/>
        </w:rPr>
        <w:t>I</w:t>
      </w:r>
      <w:r w:rsidRPr="0074469E">
        <w:rPr>
          <w:color w:val="000000" w:themeColor="text1"/>
          <w:vertAlign w:val="subscript"/>
        </w:rPr>
        <w:t>d</w:t>
      </w:r>
      <w:r w:rsidRPr="0074469E">
        <w:rPr>
          <w:color w:val="000000" w:themeColor="text1"/>
        </w:rPr>
        <w:t xml:space="preserve">| of less than 46 </w:t>
      </w:r>
      <w:proofErr w:type="spellStart"/>
      <w:r w:rsidRPr="0074469E">
        <w:rPr>
          <w:color w:val="000000" w:themeColor="text1"/>
        </w:rPr>
        <w:t>nA</w:t>
      </w:r>
      <w:proofErr w:type="spellEnd"/>
      <w:r w:rsidRPr="0074469E">
        <w:rPr>
          <w:color w:val="000000" w:themeColor="text1"/>
        </w:rPr>
        <w:t xml:space="preserve">, representing logic state “0”. </w:t>
      </w:r>
    </w:p>
    <w:p w14:paraId="1BE04AFD" w14:textId="3E20BB36" w:rsidR="000C12BB" w:rsidRPr="00897AFB" w:rsidRDefault="000C12BB" w:rsidP="00897AFB">
      <w:pPr>
        <w:pStyle w:val="TAMainText"/>
      </w:pPr>
      <w:r w:rsidRPr="0074469E">
        <w:rPr>
          <w:color w:val="000000" w:themeColor="text1"/>
        </w:rPr>
        <w:t xml:space="preserve">In </w:t>
      </w:r>
      <w:r w:rsidR="002B2501" w:rsidRPr="0074469E">
        <w:rPr>
          <w:rFonts w:eastAsia="ＭＳ Ｐゴシック"/>
          <w:color w:val="000000" w:themeColor="text1"/>
        </w:rPr>
        <w:t>Figure</w:t>
      </w:r>
      <w:r w:rsidRPr="0074469E">
        <w:rPr>
          <w:color w:val="000000" w:themeColor="text1"/>
        </w:rPr>
        <w:t xml:space="preserve"> 2b, </w:t>
      </w:r>
      <w:r w:rsidRPr="0074469E">
        <w:rPr>
          <w:iCs/>
          <w:color w:val="000000" w:themeColor="text1"/>
        </w:rPr>
        <w:t>the 2D</w:t>
      </w:r>
      <w:r w:rsidRPr="0074469E">
        <w:rPr>
          <w:color w:val="000000" w:themeColor="text1"/>
        </w:rPr>
        <w:t>–|</w:t>
      </w:r>
      <w:r w:rsidRPr="0074469E">
        <w:rPr>
          <w:i/>
          <w:iCs/>
          <w:color w:val="000000" w:themeColor="text1"/>
        </w:rPr>
        <w:t>I</w:t>
      </w:r>
      <w:r w:rsidRPr="0074469E">
        <w:rPr>
          <w:color w:val="000000" w:themeColor="text1"/>
          <w:vertAlign w:val="subscript"/>
        </w:rPr>
        <w:t>d</w:t>
      </w:r>
      <w:r w:rsidRPr="0074469E">
        <w:rPr>
          <w:color w:val="000000" w:themeColor="text1"/>
        </w:rPr>
        <w:t>| plot</w:t>
      </w:r>
      <w:r w:rsidRPr="0074469E">
        <w:rPr>
          <w:iCs/>
          <w:color w:val="000000" w:themeColor="text1"/>
        </w:rPr>
        <w:t xml:space="preserve"> shows that the dual-gate AAT acted as an AND circuit. Here,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iCs/>
          <w:color w:val="000000" w:themeColor="text1"/>
        </w:rPr>
        <w:t xml:space="preserve"> values of </w:t>
      </w:r>
      <w:r w:rsidRPr="0074469E">
        <w:rPr>
          <w:color w:val="000000" w:themeColor="text1"/>
        </w:rPr>
        <w:t>−1.6 V</w:t>
      </w:r>
      <w:r w:rsidRPr="0074469E">
        <w:rPr>
          <w:iCs/>
          <w:color w:val="000000" w:themeColor="text1"/>
        </w:rPr>
        <w:t xml:space="preserve"> and </w:t>
      </w:r>
      <w:r w:rsidRPr="0074469E">
        <w:rPr>
          <w:color w:val="000000" w:themeColor="text1"/>
        </w:rPr>
        <w:t>−</w:t>
      </w:r>
      <w:r w:rsidRPr="0074469E">
        <w:rPr>
          <w:iCs/>
          <w:color w:val="000000" w:themeColor="text1"/>
        </w:rPr>
        <w:t xml:space="preserve">1.0 V are defined as the low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color w:val="000000" w:themeColor="text1"/>
        </w:rPr>
        <w:t xml:space="preserve"> </w:t>
      </w:r>
      <w:r w:rsidRPr="0074469E">
        <w:rPr>
          <w:iCs/>
          <w:color w:val="000000" w:themeColor="text1"/>
        </w:rPr>
        <w:t xml:space="preserve">(“0”) and high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iCs/>
          <w:color w:val="000000" w:themeColor="text1"/>
        </w:rPr>
        <w:t xml:space="preserve"> (“1”), and</w:t>
      </w:r>
      <w:r w:rsidRPr="0074469E">
        <w:rPr>
          <w:color w:val="000000" w:themeColor="text1"/>
        </w:rPr>
        <w:t xml:space="preserve"> </w:t>
      </w:r>
      <w:proofErr w:type="spellStart"/>
      <w:r w:rsidRPr="0074469E">
        <w:rPr>
          <w:i/>
          <w:color w:val="000000" w:themeColor="text1"/>
        </w:rPr>
        <w:t>V</w:t>
      </w:r>
      <w:r w:rsidRPr="0074469E">
        <w:rPr>
          <w:rFonts w:eastAsia="ＭＳ Ｐゴシック"/>
          <w:color w:val="000000" w:themeColor="text1"/>
          <w:vertAlign w:val="subscript"/>
        </w:rPr>
        <w:t>bg</w:t>
      </w:r>
      <w:proofErr w:type="spellEnd"/>
      <w:r w:rsidRPr="0074469E">
        <w:rPr>
          <w:color w:val="000000" w:themeColor="text1"/>
        </w:rPr>
        <w:t xml:space="preserve"> </w:t>
      </w:r>
      <w:r w:rsidR="005439E3" w:rsidRPr="0074469E">
        <w:rPr>
          <w:color w:val="000000" w:themeColor="text1"/>
        </w:rPr>
        <w:t xml:space="preserve">values </w:t>
      </w:r>
      <w:r w:rsidRPr="0074469E">
        <w:rPr>
          <w:color w:val="000000" w:themeColor="text1"/>
        </w:rPr>
        <w:t xml:space="preserve">of −10.0 </w:t>
      </w:r>
      <w:r w:rsidRPr="0074469E">
        <w:rPr>
          <w:iCs/>
          <w:color w:val="000000" w:themeColor="text1"/>
        </w:rPr>
        <w:t>V and</w:t>
      </w:r>
      <w:r w:rsidRPr="0074469E">
        <w:rPr>
          <w:i/>
          <w:color w:val="000000" w:themeColor="text1"/>
        </w:rPr>
        <w:t xml:space="preserve"> </w:t>
      </w:r>
      <w:r w:rsidRPr="0074469E">
        <w:rPr>
          <w:color w:val="000000" w:themeColor="text1"/>
        </w:rPr>
        <w:t>−8.5</w:t>
      </w:r>
      <w:r w:rsidRPr="0074469E">
        <w:rPr>
          <w:iCs/>
          <w:color w:val="000000" w:themeColor="text1"/>
        </w:rPr>
        <w:t> V are defined as the low</w:t>
      </w:r>
      <w:r w:rsidRPr="0074469E">
        <w:rPr>
          <w:i/>
          <w:color w:val="000000" w:themeColor="text1"/>
        </w:rPr>
        <w:t xml:space="preserve"> </w:t>
      </w:r>
      <w:proofErr w:type="spellStart"/>
      <w:r w:rsidRPr="0074469E">
        <w:rPr>
          <w:i/>
          <w:color w:val="000000" w:themeColor="text1"/>
        </w:rPr>
        <w:t>V</w:t>
      </w:r>
      <w:r w:rsidRPr="0074469E">
        <w:rPr>
          <w:rFonts w:eastAsia="ＭＳ Ｐゴシック"/>
          <w:color w:val="000000" w:themeColor="text1"/>
          <w:vertAlign w:val="subscript"/>
        </w:rPr>
        <w:t>bg</w:t>
      </w:r>
      <w:proofErr w:type="spellEnd"/>
      <w:r w:rsidRPr="0074469E">
        <w:rPr>
          <w:iCs/>
          <w:color w:val="000000" w:themeColor="text1"/>
        </w:rPr>
        <w:t xml:space="preserve"> (“0”) and the high </w:t>
      </w:r>
      <w:proofErr w:type="spellStart"/>
      <w:r w:rsidRPr="0074469E">
        <w:rPr>
          <w:i/>
          <w:color w:val="000000" w:themeColor="text1"/>
        </w:rPr>
        <w:t>V</w:t>
      </w:r>
      <w:r w:rsidRPr="0074469E">
        <w:rPr>
          <w:rFonts w:eastAsia="ＭＳ Ｐゴシック"/>
          <w:color w:val="000000" w:themeColor="text1"/>
          <w:vertAlign w:val="subscript"/>
        </w:rPr>
        <w:t>bg</w:t>
      </w:r>
      <w:proofErr w:type="spellEnd"/>
      <w:r w:rsidRPr="0074469E">
        <w:rPr>
          <w:color w:val="000000" w:themeColor="text1"/>
        </w:rPr>
        <w:t xml:space="preserve"> </w:t>
      </w:r>
      <w:r w:rsidRPr="0074469E">
        <w:rPr>
          <w:iCs/>
          <w:color w:val="000000" w:themeColor="text1"/>
        </w:rPr>
        <w:t>(“1”), respectively. The</w:t>
      </w:r>
      <w:r w:rsidRPr="0074469E">
        <w:rPr>
          <w:color w:val="000000" w:themeColor="text1"/>
        </w:rPr>
        <w:t xml:space="preserve"> high logic state “1” was output </w:t>
      </w:r>
      <w:r w:rsidRPr="0074469E">
        <w:rPr>
          <w:iCs/>
          <w:color w:val="000000" w:themeColor="text1"/>
        </w:rPr>
        <w:t>only when</w:t>
      </w:r>
      <w:r w:rsidRPr="0074469E">
        <w:rPr>
          <w:color w:val="000000" w:themeColor="text1"/>
        </w:rPr>
        <w:t xml:space="preserve"> (</w:t>
      </w:r>
      <w:proofErr w:type="spellStart"/>
      <w:r w:rsidRPr="0074469E">
        <w:rPr>
          <w:i/>
          <w:color w:val="000000" w:themeColor="text1"/>
        </w:rPr>
        <w:t>V</w:t>
      </w:r>
      <w:r w:rsidRPr="0074469E">
        <w:rPr>
          <w:iCs/>
          <w:color w:val="000000" w:themeColor="text1"/>
          <w:vertAlign w:val="subscript"/>
        </w:rPr>
        <w:t>tg</w:t>
      </w:r>
      <w:proofErr w:type="spellEnd"/>
      <w:r w:rsidRPr="0074469E">
        <w:rPr>
          <w:iCs/>
          <w:color w:val="000000" w:themeColor="text1"/>
        </w:rPr>
        <w:t>,</w:t>
      </w:r>
      <w:r w:rsidRPr="0074469E">
        <w:rPr>
          <w:i/>
          <w:color w:val="000000" w:themeColor="text1"/>
        </w:rPr>
        <w:t xml:space="preserve"> </w:t>
      </w:r>
      <w:proofErr w:type="spellStart"/>
      <w:r w:rsidRPr="0074469E">
        <w:rPr>
          <w:i/>
          <w:color w:val="000000" w:themeColor="text1"/>
        </w:rPr>
        <w:t>V</w:t>
      </w:r>
      <w:r w:rsidRPr="0074469E">
        <w:rPr>
          <w:iCs/>
          <w:color w:val="000000" w:themeColor="text1"/>
          <w:vertAlign w:val="subscript"/>
        </w:rPr>
        <w:t>bg</w:t>
      </w:r>
      <w:proofErr w:type="spellEnd"/>
      <w:r w:rsidRPr="0074469E">
        <w:rPr>
          <w:iCs/>
          <w:color w:val="000000" w:themeColor="text1"/>
        </w:rPr>
        <w:t>) were equal to (“1”, “1”).</w:t>
      </w:r>
      <w:r w:rsidRPr="0074469E">
        <w:rPr>
          <w:color w:val="000000" w:themeColor="text1"/>
        </w:rPr>
        <w:t xml:space="preserve"> </w:t>
      </w:r>
      <w:r w:rsidRPr="0074469E">
        <w:rPr>
          <w:rFonts w:eastAsia="ＭＳ Ｐゴシック"/>
          <w:color w:val="000000" w:themeColor="text1"/>
        </w:rPr>
        <w:t xml:space="preserve">Similarly, the dual-gate AAT worked as OR, XOR, NAND, and NOR </w:t>
      </w:r>
      <w:r w:rsidRPr="0074469E">
        <w:rPr>
          <w:iCs/>
          <w:color w:val="000000" w:themeColor="text1"/>
        </w:rPr>
        <w:t>circuits</w:t>
      </w:r>
      <w:r w:rsidRPr="0074469E">
        <w:rPr>
          <w:rFonts w:eastAsia="ＭＳ Ｐゴシック"/>
          <w:color w:val="000000" w:themeColor="text1"/>
        </w:rPr>
        <w:t xml:space="preserve"> as shown in </w:t>
      </w:r>
      <w:r w:rsidR="00217C3B" w:rsidRPr="0074469E">
        <w:rPr>
          <w:rFonts w:eastAsia="ＭＳ Ｐゴシック"/>
          <w:color w:val="000000" w:themeColor="text1"/>
        </w:rPr>
        <w:t>Figures</w:t>
      </w:r>
      <w:r w:rsidRPr="0074469E">
        <w:rPr>
          <w:rFonts w:eastAsia="ＭＳ Ｐゴシック"/>
          <w:color w:val="000000" w:themeColor="text1"/>
        </w:rPr>
        <w:t xml:space="preserve"> 2c-f</w:t>
      </w:r>
      <w:r w:rsidR="00A8560F" w:rsidRPr="0074469E">
        <w:rPr>
          <w:rFonts w:eastAsia="ＭＳ Ｐゴシック"/>
          <w:color w:val="000000" w:themeColor="text1"/>
        </w:rPr>
        <w:t>, respectively</w:t>
      </w:r>
      <w:r w:rsidRPr="0074469E">
        <w:rPr>
          <w:rFonts w:eastAsia="ＭＳ Ｐゴシック"/>
          <w:color w:val="000000" w:themeColor="text1"/>
        </w:rPr>
        <w:t xml:space="preserve">. An </w:t>
      </w:r>
      <w:r w:rsidRPr="00897AFB">
        <w:rPr>
          <w:rFonts w:eastAsia="ＭＳ Ｐゴシック"/>
        </w:rPr>
        <w:lastRenderedPageBreak/>
        <w:t xml:space="preserve">important fact is that the </w:t>
      </w:r>
      <w:r w:rsidR="00A8560F">
        <w:rPr>
          <w:rFonts w:eastAsia="ＭＳ Ｐゴシック"/>
        </w:rPr>
        <w:t xml:space="preserve">above </w:t>
      </w:r>
      <w:r w:rsidRPr="00897AFB">
        <w:rPr>
          <w:rFonts w:eastAsia="ＭＳ Ｐゴシック"/>
        </w:rPr>
        <w:t>five logic circuits were reconfigured by selecting appropriate two-input signals with a single dual-gate AAT. These device operations agree well with our previous work</w:t>
      </w:r>
      <w:r w:rsidRPr="00897AFB">
        <w:rPr>
          <w:rFonts w:eastAsia="ＭＳ Ｐゴシック"/>
          <w:noProof/>
          <w:vertAlign w:val="superscript"/>
        </w:rPr>
        <w:t>40</w:t>
      </w:r>
      <w:r w:rsidRPr="00897AFB">
        <w:rPr>
          <w:rFonts w:eastAsia="ＭＳ Ｐゴシック"/>
        </w:rPr>
        <w:t xml:space="preserve">. </w:t>
      </w:r>
    </w:p>
    <w:p w14:paraId="06A98648" w14:textId="2EE53400" w:rsidR="000C12BB" w:rsidRPr="0074469E" w:rsidRDefault="000C12BB" w:rsidP="00897AFB">
      <w:pPr>
        <w:pStyle w:val="TAMainText"/>
        <w:rPr>
          <w:rFonts w:eastAsia="ＭＳ Ｐゴシック"/>
          <w:color w:val="000000" w:themeColor="text1"/>
        </w:rPr>
      </w:pPr>
      <w:r w:rsidRPr="0074469E">
        <w:rPr>
          <w:rFonts w:eastAsia="ＭＳ Ｐゴシック"/>
          <w:color w:val="000000" w:themeColor="text1"/>
        </w:rPr>
        <w:t xml:space="preserve">One issue should be mentioned here, namely that the input voltages should be identical for all logic circuits for practical applications. However, the input signals must be varied to reconfigure the above-mentioned logic operations. A non-volatile memory function is used to address this issue. Our approach is that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Pr="0074469E">
        <w:rPr>
          <w:rFonts w:eastAsia="ＭＳ Ｐゴシック"/>
          <w:color w:val="000000" w:themeColor="text1"/>
        </w:rPr>
        <w:t xml:space="preserve"> is shifted by the carrier-trapping effect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to reconfigure the respective logic operations even with identical input signals. Figure 3a shows the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游明朝"/>
          <w:color w:val="000000" w:themeColor="text1"/>
        </w:rPr>
        <w:t xml:space="preserve"> </w:t>
      </w:r>
      <w:r w:rsidRPr="0074469E">
        <w:rPr>
          <w:rFonts w:eastAsia="ＭＳ Ｐゴシック"/>
          <w:color w:val="000000" w:themeColor="text1"/>
        </w:rPr>
        <w:t xml:space="preserve">curves of the dual-gate AAT. The black line represents the initial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curve. The blue line shows an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curve that is shifted to the negative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range by applying 4-times negative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vertAlign w:val="subscript"/>
        </w:rPr>
        <w:t xml:space="preserve"> </w:t>
      </w:r>
      <w:r w:rsidRPr="0074469E">
        <w:rPr>
          <w:rFonts w:eastAsia="ＭＳ Ｐゴシック"/>
          <w:color w:val="000000" w:themeColor="text1"/>
        </w:rPr>
        <w:t>(</w:t>
      </w:r>
      <w:r w:rsidRPr="0074469E">
        <w:rPr>
          <w:rFonts w:eastAsia="游明朝"/>
          <w:color w:val="000000" w:themeColor="text1"/>
        </w:rPr>
        <w:t>−</w:t>
      </w:r>
      <w:r w:rsidRPr="0074469E">
        <w:rPr>
          <w:rFonts w:eastAsia="ＭＳ Ｐゴシック"/>
          <w:color w:val="000000" w:themeColor="text1"/>
        </w:rPr>
        <w:t>15 V) pulses with a pulse width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of 10 s.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Pr="0074469E">
        <w:rPr>
          <w:rFonts w:eastAsia="ＭＳ Ｐゴシック"/>
          <w:color w:val="000000" w:themeColor="text1"/>
        </w:rPr>
        <w:t xml:space="preserve"> was varied from </w:t>
      </w:r>
      <w:r w:rsidRPr="0074469E">
        <w:rPr>
          <w:rFonts w:eastAsia="游明朝"/>
          <w:color w:val="000000" w:themeColor="text1"/>
        </w:rPr>
        <w:t>−</w:t>
      </w:r>
      <w:r w:rsidRPr="0074469E">
        <w:rPr>
          <w:rFonts w:eastAsia="ＭＳ Ｐゴシック"/>
          <w:color w:val="000000" w:themeColor="text1"/>
        </w:rPr>
        <w:t xml:space="preserve">0.50 V to </w:t>
      </w:r>
      <w:r w:rsidRPr="0074469E">
        <w:rPr>
          <w:rFonts w:eastAsia="游明朝"/>
          <w:color w:val="000000" w:themeColor="text1"/>
        </w:rPr>
        <w:t>−1.15 V. The</w:t>
      </w:r>
      <w:r w:rsidRPr="0074469E">
        <w:rPr>
          <w:rFonts w:eastAsia="ＭＳ Ｐゴシック"/>
          <w:color w:val="000000" w:themeColor="text1"/>
        </w:rPr>
        <w:t xml:space="preserve"> 4-times positive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 (</w:t>
      </w:r>
      <w:bookmarkStart w:id="27" w:name="OLE_LINK7"/>
      <w:bookmarkStart w:id="28" w:name="OLE_LINK8"/>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w:t>
      </w:r>
      <w:r w:rsidRPr="0074469E">
        <w:rPr>
          <w:rFonts w:eastAsia="游明朝"/>
          <w:color w:val="000000" w:themeColor="text1"/>
        </w:rPr>
        <w:t xml:space="preserve"> </w:t>
      </w:r>
      <w:r w:rsidRPr="0074469E">
        <w:rPr>
          <w:rFonts w:eastAsia="ＭＳ Ｐゴシック"/>
          <w:color w:val="000000" w:themeColor="text1"/>
        </w:rPr>
        <w:t xml:space="preserve">15V,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10 s</w:t>
      </w:r>
      <w:bookmarkEnd w:id="27"/>
      <w:bookmarkEnd w:id="28"/>
      <w:r w:rsidRPr="0074469E">
        <w:rPr>
          <w:rFonts w:eastAsia="ＭＳ Ｐゴシック"/>
          <w:color w:val="000000" w:themeColor="text1"/>
        </w:rPr>
        <w:t xml:space="preserve">) induced the opposite shift in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Pr="0074469E">
        <w:rPr>
          <w:rFonts w:eastAsia="ＭＳ Ｐゴシック"/>
          <w:color w:val="000000" w:themeColor="text1"/>
        </w:rPr>
        <w:t xml:space="preserve"> (red line);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Pr="0074469E">
        <w:rPr>
          <w:rFonts w:eastAsia="ＭＳ Ｐゴシック"/>
          <w:color w:val="000000" w:themeColor="text1"/>
        </w:rPr>
        <w:t xml:space="preserve"> was changed from </w:t>
      </w:r>
      <w:r w:rsidRPr="0074469E">
        <w:rPr>
          <w:rFonts w:eastAsia="游明朝"/>
          <w:color w:val="000000" w:themeColor="text1"/>
        </w:rPr>
        <w:t>−</w:t>
      </w:r>
      <w:r w:rsidRPr="0074469E">
        <w:rPr>
          <w:rFonts w:eastAsia="ＭＳ Ｐゴシック"/>
          <w:color w:val="000000" w:themeColor="text1"/>
        </w:rPr>
        <w:t xml:space="preserve">0.50 </w:t>
      </w:r>
      <w:r w:rsidR="00272EB5" w:rsidRPr="0074469E">
        <w:rPr>
          <w:rFonts w:eastAsia="ＭＳ Ｐゴシック"/>
          <w:color w:val="000000" w:themeColor="text1"/>
        </w:rPr>
        <w:t xml:space="preserve">V </w:t>
      </w:r>
      <w:r w:rsidRPr="0074469E">
        <w:rPr>
          <w:rFonts w:eastAsia="ＭＳ Ｐゴシック"/>
          <w:color w:val="000000" w:themeColor="text1"/>
        </w:rPr>
        <w:t xml:space="preserve">to </w:t>
      </w:r>
      <w:r w:rsidRPr="0074469E">
        <w:rPr>
          <w:rFonts w:eastAsia="游明朝"/>
          <w:color w:val="000000" w:themeColor="text1"/>
        </w:rPr>
        <w:t xml:space="preserve">−0.45 V. The respective peak voltages are denoted as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peak,i</w:t>
      </w:r>
      <w:proofErr w:type="spellEnd"/>
      <w:r w:rsidRPr="0074469E">
        <w:rPr>
          <w:rFonts w:eastAsia="游明朝"/>
          <w:color w:val="000000" w:themeColor="text1"/>
        </w:rPr>
        <w:t xml:space="preser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peak,n</w:t>
      </w:r>
      <w:proofErr w:type="spellEnd"/>
      <w:r w:rsidRPr="0074469E">
        <w:rPr>
          <w:rFonts w:eastAsia="ＭＳ Ｐゴシック"/>
          <w:i/>
          <w:iCs/>
          <w:color w:val="000000" w:themeColor="text1"/>
        </w:rPr>
        <w:t xml:space="preserve"> </w:t>
      </w:r>
      <w:r w:rsidRPr="0074469E">
        <w:rPr>
          <w:rFonts w:eastAsia="ＭＳ Ｐゴシック"/>
          <w:color w:val="000000" w:themeColor="text1"/>
        </w:rPr>
        <w:t xml:space="preserve">and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peak,p</w:t>
      </w:r>
      <w:proofErr w:type="spellEnd"/>
      <w:r w:rsidRPr="0074469E">
        <w:rPr>
          <w:rFonts w:eastAsia="ＭＳ Ｐゴシック"/>
          <w:color w:val="000000" w:themeColor="text1"/>
          <w:vertAlign w:val="subscript"/>
        </w:rPr>
        <w:t xml:space="preserve"> </w:t>
      </w:r>
      <w:r w:rsidRPr="0074469E">
        <w:rPr>
          <w:rFonts w:eastAsia="ＭＳ Ｐゴシック"/>
          <w:color w:val="000000" w:themeColor="text1"/>
        </w:rPr>
        <w:t xml:space="preserve">in </w:t>
      </w:r>
      <w:r w:rsidR="00217C3B" w:rsidRPr="0074469E">
        <w:rPr>
          <w:rFonts w:eastAsia="ＭＳ Ｐゴシック"/>
          <w:color w:val="000000" w:themeColor="text1"/>
        </w:rPr>
        <w:t>Figure</w:t>
      </w:r>
      <w:r w:rsidRPr="0074469E">
        <w:rPr>
          <w:rFonts w:eastAsia="ＭＳ Ｐゴシック"/>
          <w:color w:val="000000" w:themeColor="text1"/>
        </w:rPr>
        <w:t xml:space="preserve"> 3a. These variations in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Pr="0074469E">
        <w:rPr>
          <w:rFonts w:eastAsia="ＭＳ Ｐゴシック"/>
          <w:color w:val="000000" w:themeColor="text1"/>
        </w:rPr>
        <w:t xml:space="preserve"> are direct evidence of the carrier-trapping effect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w:t>
      </w:r>
      <w:r w:rsidR="00281C25" w:rsidRPr="0074469E">
        <w:rPr>
          <w:rFonts w:eastAsia="ＭＳ Ｐゴシック"/>
          <w:color w:val="000000" w:themeColor="text1"/>
        </w:rPr>
        <w:t xml:space="preserve">The </w:t>
      </w:r>
      <w:r w:rsidR="002764DD" w:rsidRPr="0074469E">
        <w:rPr>
          <w:rFonts w:eastAsia="ＭＳ Ｐゴシック" w:hint="eastAsia"/>
          <w:color w:val="000000" w:themeColor="text1"/>
          <w:lang w:eastAsia="ja-JP"/>
        </w:rPr>
        <w:t xml:space="preserve">switching property of </w:t>
      </w:r>
      <w:proofErr w:type="spellStart"/>
      <w:r w:rsidR="002764DD" w:rsidRPr="0074469E">
        <w:rPr>
          <w:rFonts w:eastAsia="ＭＳ Ｐゴシック"/>
          <w:i/>
          <w:iCs/>
          <w:color w:val="000000" w:themeColor="text1"/>
        </w:rPr>
        <w:t>V</w:t>
      </w:r>
      <w:r w:rsidR="002764DD" w:rsidRPr="0074469E">
        <w:rPr>
          <w:rFonts w:eastAsia="ＭＳ Ｐゴシック"/>
          <w:color w:val="000000" w:themeColor="text1"/>
          <w:vertAlign w:val="subscript"/>
        </w:rPr>
        <w:t>peak</w:t>
      </w:r>
      <w:proofErr w:type="spellEnd"/>
      <w:r w:rsidR="002764DD" w:rsidRPr="0074469E">
        <w:rPr>
          <w:rFonts w:eastAsia="ＭＳ Ｐゴシック" w:hint="eastAsia"/>
          <w:color w:val="000000" w:themeColor="text1"/>
          <w:lang w:eastAsia="ja-JP"/>
        </w:rPr>
        <w:t xml:space="preserve"> is</w:t>
      </w:r>
      <w:r w:rsidR="00281C25" w:rsidRPr="0074469E">
        <w:rPr>
          <w:rFonts w:eastAsia="ＭＳ Ｐゴシック"/>
          <w:color w:val="000000" w:themeColor="text1"/>
        </w:rPr>
        <w:t xml:space="preserve"> </w:t>
      </w:r>
      <w:r w:rsidR="00CD314C" w:rsidRPr="0074469E">
        <w:rPr>
          <w:rFonts w:eastAsia="ＭＳ Ｐゴシック" w:hint="eastAsia"/>
          <w:color w:val="000000" w:themeColor="text1"/>
          <w:lang w:eastAsia="ja-JP"/>
        </w:rPr>
        <w:t xml:space="preserve">exhibited </w:t>
      </w:r>
      <w:r w:rsidR="00281C25" w:rsidRPr="0074469E">
        <w:rPr>
          <w:rFonts w:eastAsia="ＭＳ Ｐゴシック"/>
          <w:color w:val="000000" w:themeColor="text1"/>
        </w:rPr>
        <w:t xml:space="preserve">in </w:t>
      </w:r>
      <w:r w:rsidR="002764DD" w:rsidRPr="0074469E">
        <w:rPr>
          <w:rFonts w:eastAsia="ＭＳ Ｐゴシック" w:hint="eastAsia"/>
          <w:color w:val="000000" w:themeColor="text1"/>
          <w:lang w:eastAsia="ja-JP"/>
        </w:rPr>
        <w:t xml:space="preserve">the </w:t>
      </w:r>
      <w:r w:rsidR="00897CB3" w:rsidRPr="0074469E">
        <w:rPr>
          <w:rFonts w:eastAsia="ＭＳ Ｐゴシック"/>
          <w:color w:val="000000" w:themeColor="text1"/>
        </w:rPr>
        <w:t>supporting information (</w:t>
      </w:r>
      <w:r w:rsidR="00281C25" w:rsidRPr="0074469E">
        <w:rPr>
          <w:rFonts w:eastAsia="ＭＳ Ｐゴシック"/>
          <w:color w:val="000000" w:themeColor="text1"/>
        </w:rPr>
        <w:t>Fig</w:t>
      </w:r>
      <w:r w:rsidR="00217C3B" w:rsidRPr="0074469E">
        <w:rPr>
          <w:rFonts w:eastAsia="ＭＳ Ｐゴシック"/>
          <w:color w:val="000000" w:themeColor="text1"/>
        </w:rPr>
        <w:t>ure</w:t>
      </w:r>
      <w:r w:rsidR="00281C25" w:rsidRPr="0074469E">
        <w:rPr>
          <w:rFonts w:eastAsia="ＭＳ Ｐゴシック"/>
          <w:color w:val="000000" w:themeColor="text1"/>
        </w:rPr>
        <w:t xml:space="preserve"> S3</w:t>
      </w:r>
      <w:r w:rsidR="00897CB3" w:rsidRPr="0074469E">
        <w:rPr>
          <w:rFonts w:eastAsia="ＭＳ Ｐゴシック"/>
          <w:color w:val="000000" w:themeColor="text1"/>
        </w:rPr>
        <w:t>)</w:t>
      </w:r>
      <w:r w:rsidR="00281C25" w:rsidRPr="0074469E">
        <w:rPr>
          <w:rFonts w:eastAsia="ＭＳ Ｐゴシック"/>
          <w:color w:val="000000" w:themeColor="text1"/>
        </w:rPr>
        <w:t xml:space="preserve">. </w:t>
      </w:r>
      <w:r w:rsidRPr="0074469E">
        <w:rPr>
          <w:rFonts w:eastAsia="ＭＳ Ｐゴシック"/>
          <w:color w:val="000000" w:themeColor="text1"/>
        </w:rPr>
        <w:t xml:space="preserve">As shown in </w:t>
      </w:r>
      <w:r w:rsidR="00217C3B" w:rsidRPr="0074469E">
        <w:rPr>
          <w:rFonts w:eastAsia="ＭＳ Ｐゴシック"/>
          <w:color w:val="000000" w:themeColor="text1"/>
        </w:rPr>
        <w:t>Figure</w:t>
      </w:r>
      <w:r w:rsidRPr="0074469E">
        <w:rPr>
          <w:rFonts w:eastAsia="ＭＳ Ｐゴシック"/>
          <w:color w:val="000000" w:themeColor="text1"/>
        </w:rPr>
        <w:t xml:space="preserve"> 3b, the conductive areas (gray areas) in the </w:t>
      </w:r>
      <w:r w:rsidRPr="0074469E">
        <w:rPr>
          <w:color w:val="000000" w:themeColor="text1"/>
        </w:rPr>
        <w:t>2D−|</w:t>
      </w:r>
      <w:r w:rsidRPr="0074469E">
        <w:rPr>
          <w:i/>
          <w:iCs/>
          <w:color w:val="000000" w:themeColor="text1"/>
        </w:rPr>
        <w:t>I</w:t>
      </w:r>
      <w:r w:rsidRPr="0074469E">
        <w:rPr>
          <w:color w:val="000000" w:themeColor="text1"/>
          <w:vertAlign w:val="subscript"/>
        </w:rPr>
        <w:t>d</w:t>
      </w:r>
      <w:r w:rsidRPr="0074469E">
        <w:rPr>
          <w:color w:val="000000" w:themeColor="text1"/>
        </w:rPr>
        <w:t>| plots</w:t>
      </w:r>
      <w:r w:rsidRPr="0074469E">
        <w:rPr>
          <w:rFonts w:eastAsia="ＭＳ Ｐゴシック"/>
          <w:color w:val="000000" w:themeColor="text1"/>
        </w:rPr>
        <w:t xml:space="preserve"> were greatly changed along with the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w:t>
      </w:r>
      <w:proofErr w:type="spellEnd"/>
      <w:r w:rsidRPr="0074469E">
        <w:rPr>
          <w:rFonts w:eastAsia="ＭＳ Ｐゴシック"/>
          <w:color w:val="000000" w:themeColor="text1"/>
        </w:rPr>
        <w:t xml:space="preserve"> shift after applying the negative (</w:t>
      </w:r>
      <w:r w:rsidR="00217C3B" w:rsidRPr="0074469E">
        <w:rPr>
          <w:rFonts w:eastAsia="ＭＳ Ｐゴシック"/>
          <w:color w:val="000000" w:themeColor="text1"/>
        </w:rPr>
        <w:t>Figure</w:t>
      </w:r>
      <w:r w:rsidRPr="0074469E">
        <w:rPr>
          <w:rFonts w:eastAsia="ＭＳ Ｐゴシック"/>
          <w:color w:val="000000" w:themeColor="text1"/>
        </w:rPr>
        <w:t xml:space="preserve"> 3b(</w:t>
      </w:r>
      <w:proofErr w:type="spellStart"/>
      <w:r w:rsidRPr="0074469E">
        <w:rPr>
          <w:rFonts w:eastAsia="ＭＳ Ｐゴシック"/>
          <w:color w:val="000000" w:themeColor="text1"/>
        </w:rPr>
        <w:t>i</w:t>
      </w:r>
      <w:proofErr w:type="spellEnd"/>
      <w:r w:rsidRPr="0074469E">
        <w:rPr>
          <w:rFonts w:eastAsia="ＭＳ Ｐゴシック"/>
          <w:color w:val="000000" w:themeColor="text1"/>
        </w:rPr>
        <w:t>)) and positive (</w:t>
      </w:r>
      <w:r w:rsidR="00217C3B" w:rsidRPr="0074469E">
        <w:rPr>
          <w:rFonts w:eastAsia="ＭＳ Ｐゴシック"/>
          <w:color w:val="000000" w:themeColor="text1"/>
        </w:rPr>
        <w:t>Figure</w:t>
      </w:r>
      <w:r w:rsidRPr="0074469E">
        <w:rPr>
          <w:rFonts w:eastAsia="ＭＳ Ｐゴシック"/>
          <w:color w:val="000000" w:themeColor="text1"/>
        </w:rPr>
        <w:t xml:space="preserve"> </w:t>
      </w:r>
      <w:r w:rsidRPr="0074469E">
        <w:rPr>
          <w:rFonts w:eastAsia="ＭＳ Ｐゴシック"/>
          <w:color w:val="000000" w:themeColor="text1"/>
        </w:rPr>
        <w:lastRenderedPageBreak/>
        <w:t xml:space="preserve">3b(ii))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The repeatability of the variations in the </w:t>
      </w:r>
      <w:r w:rsidRPr="0074469E">
        <w:rPr>
          <w:color w:val="000000" w:themeColor="text1"/>
        </w:rPr>
        <w:t>2D−|</w:t>
      </w:r>
      <w:r w:rsidRPr="0074469E">
        <w:rPr>
          <w:i/>
          <w:iCs/>
          <w:color w:val="000000" w:themeColor="text1"/>
        </w:rPr>
        <w:t>I</w:t>
      </w:r>
      <w:r w:rsidRPr="0074469E">
        <w:rPr>
          <w:color w:val="000000" w:themeColor="text1"/>
          <w:vertAlign w:val="subscript"/>
        </w:rPr>
        <w:t>d</w:t>
      </w:r>
      <w:r w:rsidRPr="0074469E">
        <w:rPr>
          <w:color w:val="000000" w:themeColor="text1"/>
        </w:rPr>
        <w:t>| plots</w:t>
      </w:r>
      <w:r w:rsidRPr="0074469E">
        <w:rPr>
          <w:rFonts w:eastAsia="ＭＳ Ｐゴシック"/>
          <w:color w:val="000000" w:themeColor="text1"/>
        </w:rPr>
        <w:t xml:space="preserve"> was confirmed </w:t>
      </w:r>
      <w:r w:rsidR="00272EB5" w:rsidRPr="0074469E">
        <w:rPr>
          <w:rFonts w:eastAsia="ＭＳ Ｐゴシック"/>
          <w:color w:val="000000" w:themeColor="text1"/>
        </w:rPr>
        <w:t xml:space="preserve">with </w:t>
      </w:r>
      <w:r w:rsidRPr="0074469E">
        <w:rPr>
          <w:rFonts w:eastAsia="ＭＳ Ｐゴシック"/>
          <w:color w:val="000000" w:themeColor="text1"/>
        </w:rPr>
        <w:t xml:space="preserve">the corresponding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w:t>
      </w:r>
    </w:p>
    <w:p w14:paraId="30913EBD" w14:textId="0D0686D0" w:rsidR="000C12BB" w:rsidRPr="0074469E" w:rsidRDefault="000C12BB" w:rsidP="00897AFB">
      <w:pPr>
        <w:pStyle w:val="TAMainText"/>
        <w:rPr>
          <w:rFonts w:eastAsia="ＭＳ Ｐゴシック"/>
          <w:color w:val="000000" w:themeColor="text1"/>
        </w:rPr>
      </w:pPr>
      <w:r w:rsidRPr="0074469E">
        <w:rPr>
          <w:rFonts w:eastAsia="ＭＳ Ｐゴシック"/>
          <w:color w:val="000000" w:themeColor="text1"/>
        </w:rPr>
        <w:t xml:space="preserve">Figures 3c and 3d, show the trapped charges in the dual-gate AAT and the corresponding energy level alignments when applying negative and positive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respectively. These figures are provided to allow a detailed discussion of the carrier-trapping mechanism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Initially, no carriers are trapped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When negative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of </w:t>
      </w:r>
      <w:r w:rsidRPr="0074469E">
        <w:rPr>
          <w:rFonts w:eastAsia="游明朝"/>
          <w:color w:val="000000" w:themeColor="text1"/>
        </w:rPr>
        <w:t>−</w:t>
      </w:r>
      <w:r w:rsidRPr="0074469E">
        <w:rPr>
          <w:rFonts w:eastAsia="ＭＳ Ｐゴシック"/>
          <w:color w:val="000000" w:themeColor="text1"/>
        </w:rPr>
        <w:t>15 V are applied, the WSe</w:t>
      </w:r>
      <w:r w:rsidRPr="0074469E">
        <w:rPr>
          <w:rFonts w:eastAsia="ＭＳ Ｐゴシック"/>
          <w:color w:val="000000" w:themeColor="text1"/>
          <w:vertAlign w:val="subscript"/>
        </w:rPr>
        <w:t>2</w:t>
      </w:r>
      <w:r w:rsidRPr="0074469E">
        <w:rPr>
          <w:rFonts w:eastAsia="ＭＳ Ｐゴシック"/>
          <w:color w:val="000000" w:themeColor="text1"/>
        </w:rPr>
        <w:t xml:space="preserve"> channel is in the ON state, and therefore holes are injected from the valence band of WSe</w:t>
      </w:r>
      <w:r w:rsidRPr="0074469E">
        <w:rPr>
          <w:rFonts w:eastAsia="ＭＳ Ｐゴシック"/>
          <w:color w:val="000000" w:themeColor="text1"/>
          <w:vertAlign w:val="subscript"/>
        </w:rPr>
        <w:t>2</w:t>
      </w:r>
      <w:r w:rsidRPr="0074469E">
        <w:rPr>
          <w:rFonts w:eastAsia="ＭＳ Ｐゴシック"/>
          <w:color w:val="000000" w:themeColor="text1"/>
        </w:rPr>
        <w:t xml:space="preserve"> to the highest occupied molecular orbital (HOMO) of the </w:t>
      </w:r>
      <w:proofErr w:type="spellStart"/>
      <w:r w:rsidRPr="0074469E">
        <w:rPr>
          <w:rFonts w:eastAsia="ＭＳ Ｐゴシック"/>
          <w:color w:val="000000" w:themeColor="text1"/>
        </w:rPr>
        <w:t>ZnPc</w:t>
      </w:r>
      <w:proofErr w:type="spellEnd"/>
      <w:r w:rsidRPr="0074469E">
        <w:rPr>
          <w:rFonts w:eastAsia="ＭＳ Ｐゴシック"/>
          <w:color w:val="000000" w:themeColor="text1"/>
        </w:rPr>
        <w:t xml:space="preserve"> core (</w:t>
      </w:r>
      <w:r w:rsidR="00217C3B" w:rsidRPr="0074469E">
        <w:rPr>
          <w:rFonts w:eastAsia="ＭＳ Ｐゴシック"/>
          <w:color w:val="000000" w:themeColor="text1"/>
        </w:rPr>
        <w:t>Figure</w:t>
      </w:r>
      <w:r w:rsidRPr="0074469E">
        <w:rPr>
          <w:rFonts w:eastAsia="ＭＳ Ｐゴシック"/>
          <w:color w:val="000000" w:themeColor="text1"/>
        </w:rPr>
        <w:t xml:space="preserve"> 3c (</w:t>
      </w:r>
      <w:proofErr w:type="spellStart"/>
      <w:r w:rsidRPr="0074469E">
        <w:rPr>
          <w:rFonts w:eastAsia="ＭＳ Ｐゴシック"/>
          <w:color w:val="000000" w:themeColor="text1"/>
        </w:rPr>
        <w:t>i</w:t>
      </w:r>
      <w:proofErr w:type="spellEnd"/>
      <w:r w:rsidRPr="0074469E">
        <w:rPr>
          <w:rFonts w:eastAsia="ＭＳ Ｐゴシック"/>
          <w:color w:val="000000" w:themeColor="text1"/>
        </w:rPr>
        <w:t>)</w:t>
      </w:r>
      <w:r w:rsidR="00FA2C80" w:rsidRPr="0074469E">
        <w:rPr>
          <w:rFonts w:eastAsia="ＭＳ Ｐゴシック"/>
          <w:color w:val="000000" w:themeColor="text1"/>
        </w:rPr>
        <w:t>,</w:t>
      </w:r>
      <w:r w:rsidRPr="0074469E">
        <w:rPr>
          <w:rFonts w:eastAsia="ＭＳ Ｐゴシック"/>
          <w:color w:val="000000" w:themeColor="text1"/>
        </w:rPr>
        <w:t xml:space="preserve"> (ii)). As a result, </w:t>
      </w:r>
      <w:r w:rsidRPr="0074469E">
        <w:rPr>
          <w:rFonts w:eastAsia="ＭＳ Ｐゴシック"/>
          <w:i/>
          <w:iCs/>
          <w:color w:val="000000" w:themeColor="text1"/>
        </w:rPr>
        <w:t>V</w:t>
      </w:r>
      <w:r w:rsidRPr="0074469E">
        <w:rPr>
          <w:rFonts w:eastAsia="ＭＳ Ｐゴシック"/>
          <w:color w:val="000000" w:themeColor="text1"/>
          <w:vertAlign w:val="subscript"/>
        </w:rPr>
        <w:t>on</w:t>
      </w:r>
      <w:r w:rsidRPr="0074469E">
        <w:rPr>
          <w:rFonts w:eastAsia="ＭＳ Ｐゴシック"/>
          <w:color w:val="000000" w:themeColor="text1"/>
        </w:rPr>
        <w:t xml:space="preserve"> in the dual-gate AAT changed from 0.95 </w:t>
      </w:r>
      <w:r w:rsidR="002C31CF" w:rsidRPr="0074469E">
        <w:rPr>
          <w:rFonts w:eastAsia="ＭＳ Ｐゴシック"/>
          <w:color w:val="000000" w:themeColor="text1"/>
        </w:rPr>
        <w:t xml:space="preserve">V </w:t>
      </w:r>
      <w:r w:rsidRPr="0074469E">
        <w:rPr>
          <w:rFonts w:eastAsia="ＭＳ Ｐゴシック"/>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on,i</w:t>
      </w:r>
      <w:proofErr w:type="spellEnd"/>
      <w:r w:rsidRPr="0074469E">
        <w:rPr>
          <w:rFonts w:eastAsia="ＭＳ Ｐゴシック"/>
          <w:color w:val="000000" w:themeColor="text1"/>
        </w:rPr>
        <w:t xml:space="preserve">) to </w:t>
      </w:r>
      <w:r w:rsidRPr="0074469E">
        <w:rPr>
          <w:rFonts w:eastAsia="游明朝"/>
          <w:color w:val="000000" w:themeColor="text1"/>
        </w:rPr>
        <w:t>0.75</w:t>
      </w:r>
      <w:r w:rsidRPr="0074469E">
        <w:rPr>
          <w:rFonts w:eastAsia="ＭＳ Ｐゴシック"/>
          <w:color w:val="000000" w:themeColor="text1"/>
        </w:rPr>
        <w:t xml:space="preserve"> V </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on,n</w:t>
      </w:r>
      <w:proofErr w:type="spellEnd"/>
      <w:r w:rsidRPr="0074469E">
        <w:rPr>
          <w:rFonts w:eastAsia="游明朝"/>
          <w:color w:val="000000" w:themeColor="text1"/>
        </w:rPr>
        <w:t>) (</w:t>
      </w:r>
      <w:r w:rsidR="00217C3B" w:rsidRPr="0074469E">
        <w:rPr>
          <w:rFonts w:eastAsia="游明朝"/>
          <w:color w:val="000000" w:themeColor="text1"/>
        </w:rPr>
        <w:t>Figure</w:t>
      </w:r>
      <w:r w:rsidRPr="0074469E">
        <w:rPr>
          <w:rFonts w:eastAsia="游明朝"/>
          <w:color w:val="000000" w:themeColor="text1"/>
        </w:rPr>
        <w:t xml:space="preserve"> 3a). </w:t>
      </w:r>
      <w:r w:rsidRPr="0074469E">
        <w:rPr>
          <w:rFonts w:eastAsia="ＭＳ Ｐゴシック"/>
          <w:color w:val="000000" w:themeColor="text1"/>
        </w:rPr>
        <w:t>In contrast, the ReS</w:t>
      </w:r>
      <w:r w:rsidRPr="0074469E">
        <w:rPr>
          <w:rFonts w:eastAsia="ＭＳ Ｐゴシック"/>
          <w:color w:val="000000" w:themeColor="text1"/>
          <w:vertAlign w:val="subscript"/>
        </w:rPr>
        <w:t>2</w:t>
      </w:r>
      <w:r w:rsidRPr="0074469E">
        <w:rPr>
          <w:rFonts w:eastAsia="ＭＳ Ｐゴシック"/>
          <w:color w:val="000000" w:themeColor="text1"/>
        </w:rPr>
        <w:t xml:space="preserve"> channel is in the OFF state at the same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and, therefore, </w:t>
      </w:r>
      <w:r w:rsidR="002C31CF" w:rsidRPr="0074469E">
        <w:rPr>
          <w:rFonts w:eastAsia="ＭＳ Ｐゴシック"/>
          <w:color w:val="000000" w:themeColor="text1"/>
        </w:rPr>
        <w:t xml:space="preserve">it is </w:t>
      </w:r>
      <w:r w:rsidRPr="0074469E">
        <w:rPr>
          <w:rFonts w:eastAsia="ＭＳ Ｐゴシック"/>
          <w:color w:val="000000" w:themeColor="text1"/>
        </w:rPr>
        <w:t xml:space="preserve">considered </w:t>
      </w:r>
      <w:r w:rsidR="002C31CF" w:rsidRPr="0074469E">
        <w:rPr>
          <w:rFonts w:eastAsia="ＭＳ Ｐゴシック"/>
          <w:color w:val="000000" w:themeColor="text1"/>
        </w:rPr>
        <w:t>that there are no carriers in</w:t>
      </w:r>
      <w:r w:rsidRPr="0074469E">
        <w:rPr>
          <w:rFonts w:eastAsia="ＭＳ Ｐゴシック"/>
          <w:color w:val="000000" w:themeColor="text1"/>
        </w:rPr>
        <w:t xml:space="preserve"> the ReS</w:t>
      </w:r>
      <w:r w:rsidRPr="0074469E">
        <w:rPr>
          <w:rFonts w:eastAsia="ＭＳ Ｐゴシック"/>
          <w:color w:val="000000" w:themeColor="text1"/>
          <w:vertAlign w:val="subscript"/>
        </w:rPr>
        <w:t>2</w:t>
      </w:r>
      <w:r w:rsidRPr="0074469E">
        <w:rPr>
          <w:rFonts w:eastAsia="ＭＳ Ｐゴシック"/>
          <w:color w:val="000000" w:themeColor="text1"/>
        </w:rPr>
        <w:t xml:space="preserve"> channel layer. Nevertheless, the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游明朝"/>
          <w:color w:val="000000" w:themeColor="text1"/>
        </w:rPr>
        <w:t xml:space="preserve"> </w:t>
      </w:r>
      <w:r w:rsidRPr="0074469E">
        <w:rPr>
          <w:rFonts w:eastAsia="ＭＳ Ｐゴシック"/>
          <w:color w:val="000000" w:themeColor="text1"/>
        </w:rPr>
        <w:t xml:space="preserve">curve of the dual-gate AAT was entirely shifted to the negative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range (blue line in </w:t>
      </w:r>
      <w:r w:rsidR="00217C3B" w:rsidRPr="0074469E">
        <w:rPr>
          <w:rFonts w:eastAsia="ＭＳ Ｐゴシック"/>
          <w:color w:val="000000" w:themeColor="text1"/>
        </w:rPr>
        <w:t>Figure</w:t>
      </w:r>
      <w:r w:rsidRPr="0074469E">
        <w:rPr>
          <w:rFonts w:eastAsia="ＭＳ Ｐゴシック"/>
          <w:color w:val="000000" w:themeColor="text1"/>
        </w:rPr>
        <w:t xml:space="preserve"> 3a), indicating that </w:t>
      </w:r>
      <w:r w:rsidR="002C31CF" w:rsidRPr="0074469E">
        <w:rPr>
          <w:rFonts w:eastAsia="ＭＳ Ｐゴシック"/>
          <w:color w:val="000000" w:themeColor="text1"/>
        </w:rPr>
        <w:t xml:space="preserve">there are </w:t>
      </w:r>
      <w:r w:rsidRPr="0074469E">
        <w:rPr>
          <w:rFonts w:eastAsia="ＭＳ Ｐゴシック"/>
          <w:color w:val="000000" w:themeColor="text1"/>
        </w:rPr>
        <w:t>holes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above the ReS</w:t>
      </w:r>
      <w:r w:rsidRPr="0074469E">
        <w:rPr>
          <w:rFonts w:eastAsia="ＭＳ Ｐゴシック"/>
          <w:color w:val="000000" w:themeColor="text1"/>
          <w:vertAlign w:val="subscript"/>
        </w:rPr>
        <w:t>2</w:t>
      </w:r>
      <w:r w:rsidRPr="0074469E">
        <w:rPr>
          <w:rFonts w:eastAsia="ＭＳ Ｐゴシック"/>
          <w:color w:val="000000" w:themeColor="text1"/>
        </w:rPr>
        <w:t xml:space="preserve"> channel. Given this result, we consider that electrons were transferred from the </w:t>
      </w:r>
      <w:proofErr w:type="spellStart"/>
      <w:r w:rsidRPr="0074469E">
        <w:rPr>
          <w:rFonts w:eastAsia="ＭＳ Ｐゴシック"/>
          <w:color w:val="000000" w:themeColor="text1"/>
        </w:rPr>
        <w:t>ZnPc</w:t>
      </w:r>
      <w:proofErr w:type="spellEnd"/>
      <w:r w:rsidRPr="0074469E">
        <w:rPr>
          <w:rFonts w:eastAsia="ＭＳ Ｐゴシック"/>
          <w:color w:val="000000" w:themeColor="text1"/>
        </w:rPr>
        <w:t xml:space="preserve"> to the conduction band of the ReS</w:t>
      </w:r>
      <w:r w:rsidRPr="0074469E">
        <w:rPr>
          <w:rFonts w:eastAsia="ＭＳ Ｐゴシック"/>
          <w:color w:val="000000" w:themeColor="text1"/>
          <w:vertAlign w:val="subscript"/>
        </w:rPr>
        <w:t>2</w:t>
      </w:r>
      <w:r w:rsidRPr="0074469E">
        <w:rPr>
          <w:rFonts w:eastAsia="ＭＳ Ｐゴシック"/>
          <w:color w:val="000000" w:themeColor="text1"/>
        </w:rPr>
        <w:t xml:space="preserve"> channel, leaving holes in the HOMO of the </w:t>
      </w:r>
      <w:proofErr w:type="spellStart"/>
      <w:r w:rsidRPr="0074469E">
        <w:rPr>
          <w:rFonts w:eastAsia="ＭＳ Ｐゴシック"/>
          <w:color w:val="000000" w:themeColor="text1"/>
        </w:rPr>
        <w:t>ZnPc</w:t>
      </w:r>
      <w:proofErr w:type="spellEnd"/>
      <w:r w:rsidRPr="0074469E">
        <w:rPr>
          <w:rFonts w:eastAsia="ＭＳ Ｐゴシック"/>
          <w:color w:val="000000" w:themeColor="text1"/>
        </w:rPr>
        <w:t xml:space="preserve"> core, as seen in </w:t>
      </w:r>
      <w:r w:rsidR="00217C3B" w:rsidRPr="0074469E">
        <w:rPr>
          <w:rFonts w:eastAsia="ＭＳ Ｐゴシック"/>
          <w:color w:val="000000" w:themeColor="text1"/>
        </w:rPr>
        <w:t>Figure</w:t>
      </w:r>
      <w:r w:rsidRPr="0074469E">
        <w:rPr>
          <w:rFonts w:eastAsia="ＭＳ Ｐゴシック"/>
          <w:color w:val="000000" w:themeColor="text1"/>
        </w:rPr>
        <w:t xml:space="preserve"> 3c (iii). Consequently, holes are generated uniformly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as shown in </w:t>
      </w:r>
      <w:r w:rsidR="00217C3B" w:rsidRPr="0074469E">
        <w:rPr>
          <w:rFonts w:eastAsia="ＭＳ Ｐゴシック"/>
          <w:color w:val="000000" w:themeColor="text1"/>
        </w:rPr>
        <w:t>Figure</w:t>
      </w:r>
      <w:r w:rsidRPr="0074469E">
        <w:rPr>
          <w:rFonts w:eastAsia="ＭＳ Ｐゴシック"/>
          <w:color w:val="000000" w:themeColor="text1"/>
        </w:rPr>
        <w:t xml:space="preserve"> 3c (</w:t>
      </w:r>
      <w:proofErr w:type="spellStart"/>
      <w:r w:rsidRPr="0074469E">
        <w:rPr>
          <w:rFonts w:eastAsia="ＭＳ Ｐゴシック"/>
          <w:color w:val="000000" w:themeColor="text1"/>
        </w:rPr>
        <w:t>i</w:t>
      </w:r>
      <w:proofErr w:type="spellEnd"/>
      <w:r w:rsidRPr="0074469E">
        <w:rPr>
          <w:rFonts w:eastAsia="ＭＳ Ｐゴシック"/>
          <w:color w:val="000000" w:themeColor="text1"/>
        </w:rPr>
        <w:t>). Meanwhile, both the ReS</w:t>
      </w:r>
      <w:r w:rsidRPr="0074469E">
        <w:rPr>
          <w:rFonts w:eastAsia="ＭＳ Ｐゴシック"/>
          <w:color w:val="000000" w:themeColor="text1"/>
          <w:vertAlign w:val="subscript"/>
        </w:rPr>
        <w:t>2</w:t>
      </w:r>
      <w:r w:rsidRPr="0074469E">
        <w:rPr>
          <w:rFonts w:eastAsia="ＭＳ Ｐゴシック"/>
          <w:color w:val="000000" w:themeColor="text1"/>
        </w:rPr>
        <w:t xml:space="preserve"> and WSe</w:t>
      </w:r>
      <w:r w:rsidRPr="0074469E">
        <w:rPr>
          <w:rFonts w:eastAsia="ＭＳ Ｐゴシック"/>
          <w:color w:val="000000" w:themeColor="text1"/>
          <w:vertAlign w:val="subscript"/>
        </w:rPr>
        <w:t>2</w:t>
      </w:r>
      <w:r w:rsidRPr="0074469E">
        <w:rPr>
          <w:rFonts w:eastAsia="ＭＳ Ｐゴシック"/>
          <w:color w:val="000000" w:themeColor="text1"/>
        </w:rPr>
        <w:t xml:space="preserve"> layers are in the ON state a positive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 of 15 V </w:t>
      </w:r>
      <w:r w:rsidR="002C31CF" w:rsidRPr="0074469E">
        <w:rPr>
          <w:rFonts w:eastAsia="ＭＳ Ｐゴシック"/>
          <w:color w:val="000000" w:themeColor="text1"/>
        </w:rPr>
        <w:t xml:space="preserve">is applied </w:t>
      </w:r>
      <w:r w:rsidRPr="0074469E">
        <w:rPr>
          <w:rFonts w:eastAsia="ＭＳ Ｐゴシック"/>
          <w:color w:val="000000" w:themeColor="text1"/>
        </w:rPr>
        <w:t>due to the n-type characteristic of the ReS</w:t>
      </w:r>
      <w:r w:rsidRPr="0074469E">
        <w:rPr>
          <w:rFonts w:eastAsia="ＭＳ Ｐゴシック"/>
          <w:color w:val="000000" w:themeColor="text1"/>
          <w:vertAlign w:val="subscript"/>
        </w:rPr>
        <w:t>2</w:t>
      </w:r>
      <w:r w:rsidRPr="0074469E">
        <w:rPr>
          <w:rFonts w:eastAsia="ＭＳ Ｐゴシック"/>
          <w:color w:val="000000" w:themeColor="text1"/>
        </w:rPr>
        <w:t xml:space="preserve"> channel and </w:t>
      </w:r>
      <w:r w:rsidRPr="0074469E">
        <w:rPr>
          <w:rFonts w:eastAsia="ＭＳ Ｐゴシック"/>
          <w:color w:val="000000" w:themeColor="text1"/>
        </w:rPr>
        <w:lastRenderedPageBreak/>
        <w:t>the ambipolar characteristic of the WSe</w:t>
      </w:r>
      <w:r w:rsidRPr="0074469E">
        <w:rPr>
          <w:rFonts w:eastAsia="ＭＳ Ｐゴシック"/>
          <w:color w:val="000000" w:themeColor="text1"/>
          <w:vertAlign w:val="subscript"/>
        </w:rPr>
        <w:t>2</w:t>
      </w:r>
      <w:r w:rsidRPr="0074469E">
        <w:rPr>
          <w:rFonts w:eastAsia="ＭＳ Ｐゴシック"/>
          <w:color w:val="000000" w:themeColor="text1"/>
        </w:rPr>
        <w:t xml:space="preserve"> channel. Hence, the electrons are injected from the conduction bands of both the ReS</w:t>
      </w:r>
      <w:r w:rsidRPr="0074469E">
        <w:rPr>
          <w:rFonts w:eastAsia="ＭＳ Ｐゴシック"/>
          <w:color w:val="000000" w:themeColor="text1"/>
          <w:vertAlign w:val="subscript"/>
        </w:rPr>
        <w:t>2</w:t>
      </w:r>
      <w:r w:rsidRPr="0074469E">
        <w:rPr>
          <w:rFonts w:eastAsia="ＭＳ Ｐゴシック"/>
          <w:color w:val="000000" w:themeColor="text1"/>
        </w:rPr>
        <w:t xml:space="preserve"> and WSe</w:t>
      </w:r>
      <w:r w:rsidRPr="0074469E">
        <w:rPr>
          <w:rFonts w:eastAsia="ＭＳ Ｐゴシック"/>
          <w:color w:val="000000" w:themeColor="text1"/>
          <w:vertAlign w:val="subscript"/>
        </w:rPr>
        <w:t>2</w:t>
      </w:r>
      <w:r w:rsidRPr="0074469E">
        <w:rPr>
          <w:rFonts w:eastAsia="ＭＳ Ｐゴシック"/>
          <w:color w:val="000000" w:themeColor="text1"/>
        </w:rPr>
        <w:t xml:space="preserve"> channels to the lowest unoccupied molecular orbital (LUMO) of the </w:t>
      </w:r>
      <w:proofErr w:type="spellStart"/>
      <w:r w:rsidRPr="0074469E">
        <w:rPr>
          <w:rFonts w:eastAsia="ＭＳ Ｐゴシック"/>
          <w:color w:val="000000" w:themeColor="text1"/>
        </w:rPr>
        <w:t>ZnPc</w:t>
      </w:r>
      <w:proofErr w:type="spellEnd"/>
      <w:r w:rsidRPr="0074469E">
        <w:rPr>
          <w:rFonts w:eastAsia="ＭＳ Ｐゴシック"/>
          <w:color w:val="000000" w:themeColor="text1"/>
        </w:rPr>
        <w:t xml:space="preserve"> core. These are shown in </w:t>
      </w:r>
      <w:r w:rsidR="00217C3B" w:rsidRPr="0074469E">
        <w:rPr>
          <w:rFonts w:eastAsia="ＭＳ Ｐゴシック"/>
          <w:color w:val="000000" w:themeColor="text1"/>
        </w:rPr>
        <w:t>Figures</w:t>
      </w:r>
      <w:r w:rsidRPr="0074469E">
        <w:rPr>
          <w:rFonts w:eastAsia="ＭＳ Ｐゴシック"/>
          <w:color w:val="000000" w:themeColor="text1"/>
        </w:rPr>
        <w:t xml:space="preserve"> 3d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)-(iii). As seen in </w:t>
      </w:r>
      <w:r w:rsidR="00217C3B" w:rsidRPr="0074469E">
        <w:rPr>
          <w:rFonts w:eastAsia="ＭＳ Ｐゴシック"/>
          <w:color w:val="000000" w:themeColor="text1"/>
        </w:rPr>
        <w:t>Figure</w:t>
      </w:r>
      <w:r w:rsidRPr="0074469E">
        <w:rPr>
          <w:rFonts w:eastAsia="ＭＳ Ｐゴシック"/>
          <w:color w:val="000000" w:themeColor="text1"/>
        </w:rPr>
        <w:t xml:space="preserve"> 3a, a corresponding peak</w:t>
      </w:r>
      <w:r w:rsidRPr="0074469E">
        <w:rPr>
          <w:rFonts w:eastAsia="ＭＳ Ｐゴシック"/>
          <w:i/>
          <w:iCs/>
          <w:color w:val="000000" w:themeColor="text1"/>
        </w:rPr>
        <w:t xml:space="preserve"> </w:t>
      </w:r>
      <w:r w:rsidRPr="0074469E">
        <w:rPr>
          <w:rFonts w:eastAsia="ＭＳ Ｐゴシック"/>
          <w:color w:val="000000" w:themeColor="text1"/>
        </w:rPr>
        <w:t xml:space="preserve">shift from </w:t>
      </w:r>
      <w:r w:rsidRPr="0074469E">
        <w:rPr>
          <w:rFonts w:eastAsia="游明朝"/>
          <w:color w:val="000000" w:themeColor="text1"/>
        </w:rPr>
        <w:t>−</w:t>
      </w:r>
      <w:r w:rsidRPr="0074469E">
        <w:rPr>
          <w:rFonts w:eastAsia="ＭＳ Ｐゴシック"/>
          <w:color w:val="000000" w:themeColor="text1"/>
        </w:rPr>
        <w:t xml:space="preserve">0.50 </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peak,i</w:t>
      </w:r>
      <w:proofErr w:type="spellEnd"/>
      <w:r w:rsidRPr="0074469E">
        <w:rPr>
          <w:rFonts w:eastAsia="游明朝"/>
          <w:color w:val="000000" w:themeColor="text1"/>
        </w:rPr>
        <w:t xml:space="preserve">) </w:t>
      </w:r>
      <w:r w:rsidRPr="0074469E">
        <w:rPr>
          <w:rFonts w:eastAsia="ＭＳ Ｐゴシック"/>
          <w:color w:val="000000" w:themeColor="text1"/>
        </w:rPr>
        <w:t xml:space="preserve">to </w:t>
      </w:r>
      <w:r w:rsidRPr="0074469E">
        <w:rPr>
          <w:rFonts w:eastAsia="游明朝"/>
          <w:color w:val="000000" w:themeColor="text1"/>
        </w:rPr>
        <w:t>−</w:t>
      </w:r>
      <w:r w:rsidRPr="0074469E">
        <w:rPr>
          <w:rFonts w:eastAsia="ＭＳ Ｐゴシック"/>
          <w:color w:val="000000" w:themeColor="text1"/>
        </w:rPr>
        <w:t>0.45</w:t>
      </w:r>
      <w:r w:rsidRPr="0074469E">
        <w:rPr>
          <w:rFonts w:eastAsia="游明朝"/>
          <w:color w:val="000000" w:themeColor="text1"/>
        </w:rPr>
        <w:t xml:space="preserve"> V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peak,p</w:t>
      </w:r>
      <w:proofErr w:type="spellEnd"/>
      <w:r w:rsidRPr="0074469E">
        <w:rPr>
          <w:rFonts w:eastAsia="游明朝"/>
          <w:color w:val="000000" w:themeColor="text1"/>
        </w:rPr>
        <w:t xml:space="preserve">) </w:t>
      </w:r>
      <w:r w:rsidRPr="0074469E">
        <w:rPr>
          <w:rFonts w:eastAsia="ＭＳ Ｐゴシック"/>
          <w:color w:val="000000" w:themeColor="text1"/>
        </w:rPr>
        <w:t xml:space="preserve">was observed after applying a positive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 of 15 V due to the electron trap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in the ReS</w:t>
      </w:r>
      <w:r w:rsidRPr="0074469E">
        <w:rPr>
          <w:rFonts w:eastAsia="ＭＳ Ｐゴシック"/>
          <w:color w:val="000000" w:themeColor="text1"/>
          <w:vertAlign w:val="subscript"/>
        </w:rPr>
        <w:t>2</w:t>
      </w:r>
      <w:r w:rsidRPr="0074469E">
        <w:rPr>
          <w:rFonts w:eastAsia="ＭＳ Ｐゴシック"/>
          <w:color w:val="000000" w:themeColor="text1"/>
        </w:rPr>
        <w:t xml:space="preserve"> channel. On the other hand, no shift was induced in </w:t>
      </w:r>
      <w:r w:rsidRPr="0074469E">
        <w:rPr>
          <w:rFonts w:eastAsia="ＭＳ Ｐゴシック"/>
          <w:i/>
          <w:iCs/>
          <w:color w:val="000000" w:themeColor="text1"/>
        </w:rPr>
        <w:t>V</w:t>
      </w:r>
      <w:r w:rsidRPr="0074469E">
        <w:rPr>
          <w:rFonts w:eastAsia="ＭＳ Ｐゴシック"/>
          <w:color w:val="000000" w:themeColor="text1"/>
          <w:vertAlign w:val="subscript"/>
        </w:rPr>
        <w:t>on</w:t>
      </w:r>
      <w:r w:rsidRPr="0074469E">
        <w:rPr>
          <w:rFonts w:eastAsia="ＭＳ Ｐゴシック"/>
          <w:color w:val="000000" w:themeColor="text1"/>
        </w:rPr>
        <w:t xml:space="preserve"> by applying a positive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 </w:t>
      </w:r>
      <w:r w:rsidRPr="0074469E">
        <w:rPr>
          <w:rFonts w:eastAsia="游明朝"/>
          <w:color w:val="000000" w:themeColor="text1"/>
        </w:rPr>
        <w:t xml:space="preserve">as indicated by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on,p</w:t>
      </w:r>
      <w:proofErr w:type="spellEnd"/>
      <w:r w:rsidRPr="0074469E">
        <w:rPr>
          <w:rFonts w:eastAsia="ＭＳ Ｐゴシック"/>
          <w:color w:val="000000" w:themeColor="text1"/>
        </w:rPr>
        <w:t xml:space="preserve"> and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on,i</w:t>
      </w:r>
      <w:proofErr w:type="spellEnd"/>
      <w:r w:rsidRPr="0074469E">
        <w:rPr>
          <w:rFonts w:eastAsia="ＭＳ Ｐゴシック"/>
          <w:color w:val="000000" w:themeColor="text1"/>
        </w:rPr>
        <w:t xml:space="preserve"> in </w:t>
      </w:r>
      <w:r w:rsidR="00217C3B" w:rsidRPr="0074469E">
        <w:rPr>
          <w:rFonts w:eastAsia="游明朝"/>
          <w:color w:val="000000" w:themeColor="text1"/>
        </w:rPr>
        <w:t>Figure</w:t>
      </w:r>
      <w:r w:rsidRPr="0074469E">
        <w:rPr>
          <w:rFonts w:eastAsia="游明朝"/>
          <w:color w:val="000000" w:themeColor="text1"/>
        </w:rPr>
        <w:t xml:space="preserve"> 3a</w:t>
      </w:r>
      <w:r w:rsidRPr="0074469E">
        <w:rPr>
          <w:rFonts w:eastAsia="ＭＳ Ｐゴシック"/>
          <w:color w:val="000000" w:themeColor="text1"/>
        </w:rPr>
        <w:t>. That is, the turn-on voltages in the WSe</w:t>
      </w:r>
      <w:r w:rsidRPr="0074469E">
        <w:rPr>
          <w:rFonts w:eastAsia="ＭＳ Ｐゴシック"/>
          <w:color w:val="000000" w:themeColor="text1"/>
          <w:vertAlign w:val="subscript"/>
        </w:rPr>
        <w:t>2</w:t>
      </w:r>
      <w:r w:rsidRPr="0074469E">
        <w:rPr>
          <w:rFonts w:eastAsia="ＭＳ Ｐゴシック"/>
          <w:color w:val="000000" w:themeColor="text1"/>
        </w:rPr>
        <w:t xml:space="preserve"> channel were consistent; the value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on,p</w:t>
      </w:r>
      <w:proofErr w:type="spellEnd"/>
      <w:r w:rsidRPr="0074469E">
        <w:rPr>
          <w:rFonts w:eastAsia="ＭＳ Ｐゴシック"/>
          <w:color w:val="000000" w:themeColor="text1"/>
        </w:rPr>
        <w:t xml:space="preserve"> = 0.95 V) was the same as that of the initial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curve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on,i</w:t>
      </w:r>
      <w:proofErr w:type="spellEnd"/>
      <w:r w:rsidRPr="0074469E">
        <w:rPr>
          <w:rFonts w:eastAsia="ＭＳ Ｐゴシック"/>
          <w:color w:val="000000" w:themeColor="text1"/>
        </w:rPr>
        <w:t xml:space="preserve"> = 0.95 V). This result probably originates from the short retention time of the trapped electrons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in the WSe</w:t>
      </w:r>
      <w:r w:rsidRPr="0074469E">
        <w:rPr>
          <w:rFonts w:eastAsia="ＭＳ Ｐゴシック"/>
          <w:color w:val="000000" w:themeColor="text1"/>
          <w:vertAlign w:val="subscript"/>
        </w:rPr>
        <w:t>2</w:t>
      </w:r>
      <w:r w:rsidRPr="0074469E">
        <w:rPr>
          <w:rFonts w:eastAsia="ＭＳ Ｐゴシック"/>
          <w:color w:val="000000" w:themeColor="text1"/>
        </w:rPr>
        <w:t xml:space="preserve"> channel. The electrons would be released immediately after being trapped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w:t>
      </w:r>
      <w:bookmarkStart w:id="29" w:name="OLE_LINK55"/>
      <w:bookmarkStart w:id="30" w:name="OLE_LINK56"/>
      <w:r w:rsidR="00FE5ED6" w:rsidRPr="0074469E">
        <w:rPr>
          <w:rFonts w:eastAsia="ＭＳ Ｐゴシック"/>
          <w:color w:val="000000" w:themeColor="text1"/>
        </w:rPr>
        <w:t xml:space="preserve">The </w:t>
      </w:r>
      <w:r w:rsidR="00E369CA" w:rsidRPr="0074469E">
        <w:rPr>
          <w:rFonts w:eastAsia="ＭＳ Ｐゴシック" w:hint="eastAsia"/>
          <w:color w:val="000000" w:themeColor="text1"/>
          <w:lang w:eastAsia="ja-JP"/>
        </w:rPr>
        <w:t xml:space="preserve">corresponding </w:t>
      </w:r>
      <w:r w:rsidR="00FE5ED6" w:rsidRPr="0074469E">
        <w:rPr>
          <w:rFonts w:eastAsia="ＭＳ Ｐゴシック"/>
          <w:color w:val="000000" w:themeColor="text1"/>
        </w:rPr>
        <w:t>retention propert</w:t>
      </w:r>
      <w:r w:rsidR="008A3E8C" w:rsidRPr="0074469E">
        <w:rPr>
          <w:rFonts w:eastAsia="ＭＳ Ｐゴシック" w:hint="eastAsia"/>
          <w:color w:val="000000" w:themeColor="text1"/>
          <w:lang w:eastAsia="ja-JP"/>
        </w:rPr>
        <w:t>ies of the hole and electrons</w:t>
      </w:r>
      <w:r w:rsidR="00FE5ED6" w:rsidRPr="0074469E">
        <w:rPr>
          <w:rFonts w:eastAsia="ＭＳ Ｐゴシック"/>
          <w:color w:val="000000" w:themeColor="text1"/>
        </w:rPr>
        <w:t xml:space="preserve"> </w:t>
      </w:r>
      <w:r w:rsidR="008A3E8C" w:rsidRPr="0074469E">
        <w:rPr>
          <w:rFonts w:eastAsia="ＭＳ Ｐゴシック" w:hint="eastAsia"/>
          <w:color w:val="000000" w:themeColor="text1"/>
          <w:lang w:eastAsia="ja-JP"/>
        </w:rPr>
        <w:t>trapped in</w:t>
      </w:r>
      <w:r w:rsidR="00FE5ED6" w:rsidRPr="0074469E">
        <w:rPr>
          <w:rFonts w:eastAsia="ＭＳ Ｐゴシック"/>
          <w:color w:val="000000" w:themeColor="text1"/>
        </w:rPr>
        <w:t xml:space="preserve"> </w:t>
      </w:r>
      <w:r w:rsidR="002C31CF" w:rsidRPr="0074469E">
        <w:rPr>
          <w:rFonts w:eastAsia="ＭＳ Ｐゴシック"/>
          <w:color w:val="000000" w:themeColor="text1"/>
        </w:rPr>
        <w:t xml:space="preserve">the </w:t>
      </w:r>
      <w:r w:rsidR="00FE5ED6" w:rsidRPr="0074469E">
        <w:rPr>
          <w:rFonts w:eastAsia="ＭＳ Ｐゴシック"/>
          <w:color w:val="000000" w:themeColor="text1"/>
        </w:rPr>
        <w:t>ZnPc-PS</w:t>
      </w:r>
      <w:r w:rsidR="00FE5ED6" w:rsidRPr="0074469E">
        <w:rPr>
          <w:rFonts w:eastAsia="ＭＳ Ｐゴシック"/>
          <w:color w:val="000000" w:themeColor="text1"/>
          <w:vertAlign w:val="subscript"/>
        </w:rPr>
        <w:t>4</w:t>
      </w:r>
      <w:r w:rsidR="00FE5ED6" w:rsidRPr="0074469E">
        <w:rPr>
          <w:rFonts w:eastAsia="ＭＳ Ｐゴシック"/>
          <w:color w:val="000000" w:themeColor="text1"/>
        </w:rPr>
        <w:t xml:space="preserve"> layer </w:t>
      </w:r>
      <w:r w:rsidR="008A3E8C" w:rsidRPr="0074469E">
        <w:rPr>
          <w:rFonts w:eastAsia="ＭＳ Ｐゴシック" w:hint="eastAsia"/>
          <w:color w:val="000000" w:themeColor="text1"/>
          <w:lang w:eastAsia="ja-JP"/>
        </w:rPr>
        <w:t>in</w:t>
      </w:r>
      <w:r w:rsidR="00FE5ED6" w:rsidRPr="0074469E">
        <w:rPr>
          <w:rFonts w:eastAsia="ＭＳ Ｐゴシック"/>
          <w:color w:val="000000" w:themeColor="text1"/>
        </w:rPr>
        <w:t xml:space="preserve"> </w:t>
      </w:r>
      <w:r w:rsidR="002C31CF" w:rsidRPr="0074469E">
        <w:rPr>
          <w:rFonts w:eastAsia="ＭＳ Ｐゴシック"/>
          <w:color w:val="000000" w:themeColor="text1"/>
        </w:rPr>
        <w:t xml:space="preserve">the </w:t>
      </w:r>
      <w:r w:rsidR="00FE5ED6" w:rsidRPr="0074469E">
        <w:rPr>
          <w:rFonts w:eastAsia="ＭＳ Ｐゴシック"/>
          <w:color w:val="000000" w:themeColor="text1"/>
        </w:rPr>
        <w:t>ReS</w:t>
      </w:r>
      <w:r w:rsidR="00FE5ED6" w:rsidRPr="0074469E">
        <w:rPr>
          <w:rFonts w:eastAsia="ＭＳ Ｐゴシック"/>
          <w:color w:val="000000" w:themeColor="text1"/>
          <w:vertAlign w:val="subscript"/>
        </w:rPr>
        <w:t>2</w:t>
      </w:r>
      <w:r w:rsidR="00FE5ED6" w:rsidRPr="0074469E">
        <w:rPr>
          <w:rFonts w:eastAsia="ＭＳ Ｐゴシック"/>
          <w:color w:val="000000" w:themeColor="text1"/>
        </w:rPr>
        <w:t xml:space="preserve"> and WSe</w:t>
      </w:r>
      <w:r w:rsidR="00FE5ED6" w:rsidRPr="0074469E">
        <w:rPr>
          <w:rFonts w:eastAsia="ＭＳ Ｐゴシック"/>
          <w:color w:val="000000" w:themeColor="text1"/>
          <w:vertAlign w:val="subscript"/>
        </w:rPr>
        <w:t>2</w:t>
      </w:r>
      <w:r w:rsidR="00FE5ED6" w:rsidRPr="0074469E">
        <w:rPr>
          <w:rFonts w:eastAsia="ＭＳ Ｐゴシック"/>
          <w:color w:val="000000" w:themeColor="text1"/>
        </w:rPr>
        <w:t xml:space="preserve"> </w:t>
      </w:r>
      <w:r w:rsidR="00A5731B" w:rsidRPr="0074469E">
        <w:rPr>
          <w:rFonts w:eastAsia="ＭＳ Ｐゴシック"/>
          <w:color w:val="000000" w:themeColor="text1"/>
        </w:rPr>
        <w:t>transistor</w:t>
      </w:r>
      <w:r w:rsidR="008A3E8C" w:rsidRPr="0074469E">
        <w:rPr>
          <w:rFonts w:eastAsia="ＭＳ Ｐゴシック" w:hint="eastAsia"/>
          <w:color w:val="000000" w:themeColor="text1"/>
          <w:lang w:eastAsia="ja-JP"/>
        </w:rPr>
        <w:t>s</w:t>
      </w:r>
      <w:r w:rsidR="00FE5ED6" w:rsidRPr="0074469E">
        <w:rPr>
          <w:rFonts w:eastAsia="ＭＳ Ｐゴシック"/>
          <w:color w:val="000000" w:themeColor="text1"/>
        </w:rPr>
        <w:t xml:space="preserve"> </w:t>
      </w:r>
      <w:r w:rsidR="008A3E8C" w:rsidRPr="0074469E">
        <w:rPr>
          <w:rFonts w:eastAsia="ＭＳ Ｐゴシック" w:hint="eastAsia"/>
          <w:color w:val="000000" w:themeColor="text1"/>
          <w:lang w:eastAsia="ja-JP"/>
        </w:rPr>
        <w:t>are given</w:t>
      </w:r>
      <w:r w:rsidR="00FE5ED6" w:rsidRPr="0074469E">
        <w:rPr>
          <w:rFonts w:eastAsia="ＭＳ Ｐゴシック"/>
          <w:color w:val="000000" w:themeColor="text1"/>
        </w:rPr>
        <w:t xml:space="preserve"> in Fig</w:t>
      </w:r>
      <w:r w:rsidR="00217C3B" w:rsidRPr="0074469E">
        <w:rPr>
          <w:rFonts w:eastAsia="ＭＳ Ｐゴシック"/>
          <w:color w:val="000000" w:themeColor="text1"/>
        </w:rPr>
        <w:t>ure</w:t>
      </w:r>
      <w:r w:rsidR="00FE5ED6" w:rsidRPr="0074469E">
        <w:rPr>
          <w:rFonts w:eastAsia="ＭＳ Ｐゴシック"/>
          <w:color w:val="000000" w:themeColor="text1"/>
        </w:rPr>
        <w:t xml:space="preserve"> S4</w:t>
      </w:r>
      <w:r w:rsidR="008A3E8C" w:rsidRPr="0074469E">
        <w:rPr>
          <w:rFonts w:eastAsia="ＭＳ Ｐゴシック" w:hint="eastAsia"/>
          <w:color w:val="000000" w:themeColor="text1"/>
          <w:lang w:eastAsia="ja-JP"/>
        </w:rPr>
        <w:t xml:space="preserve"> in the </w:t>
      </w:r>
      <w:r w:rsidR="008A3E8C" w:rsidRPr="0074469E">
        <w:rPr>
          <w:rFonts w:eastAsia="ＭＳ Ｐゴシック"/>
          <w:color w:val="000000" w:themeColor="text1"/>
        </w:rPr>
        <w:t>supporting information</w:t>
      </w:r>
      <w:r w:rsidR="00FE5ED6" w:rsidRPr="0074469E">
        <w:rPr>
          <w:rFonts w:eastAsia="ＭＳ Ｐゴシック"/>
          <w:color w:val="000000" w:themeColor="text1"/>
        </w:rPr>
        <w:t>.</w:t>
      </w:r>
    </w:p>
    <w:p w14:paraId="4F20B68B" w14:textId="2996BC47" w:rsidR="000C12BB" w:rsidRPr="0074469E" w:rsidRDefault="000C12BB" w:rsidP="00897AFB">
      <w:pPr>
        <w:pStyle w:val="TAMainText"/>
        <w:rPr>
          <w:color w:val="000000" w:themeColor="text1"/>
        </w:rPr>
      </w:pPr>
      <w:r w:rsidRPr="0074469E">
        <w:rPr>
          <w:rFonts w:eastAsia="ＭＳ Ｐゴシック"/>
          <w:color w:val="000000" w:themeColor="text1"/>
        </w:rPr>
        <w:t xml:space="preserve">On the basis of the above argument regarding the carrier-trapping mechanism, we </w:t>
      </w:r>
      <w:r w:rsidR="002C31CF" w:rsidRPr="0074469E">
        <w:rPr>
          <w:rFonts w:eastAsia="ＭＳ Ｐゴシック"/>
          <w:color w:val="000000" w:themeColor="text1"/>
        </w:rPr>
        <w:t xml:space="preserve">undertook </w:t>
      </w:r>
      <w:r w:rsidRPr="0074469E">
        <w:rPr>
          <w:rFonts w:eastAsia="ＭＳ Ｐゴシック"/>
          <w:color w:val="000000" w:themeColor="text1"/>
        </w:rPr>
        <w:t>the electrical switching of the respective logic circuits. Figure 4a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 shows the </w:t>
      </w:r>
      <w:r w:rsidRPr="0074469E">
        <w:rPr>
          <w:color w:val="000000" w:themeColor="text1"/>
        </w:rPr>
        <w:t>2D−|</w:t>
      </w:r>
      <w:r w:rsidRPr="0074469E">
        <w:rPr>
          <w:i/>
          <w:iCs/>
          <w:color w:val="000000" w:themeColor="text1"/>
        </w:rPr>
        <w:t>I</w:t>
      </w:r>
      <w:r w:rsidRPr="0074469E">
        <w:rPr>
          <w:color w:val="000000" w:themeColor="text1"/>
          <w:vertAlign w:val="subscript"/>
        </w:rPr>
        <w:t>d</w:t>
      </w:r>
      <w:r w:rsidRPr="0074469E">
        <w:rPr>
          <w:color w:val="000000" w:themeColor="text1"/>
        </w:rPr>
        <w:t>| plot</w:t>
      </w:r>
      <w:r w:rsidRPr="0074469E">
        <w:rPr>
          <w:rFonts w:eastAsia="ＭＳ Ｐゴシック"/>
          <w:color w:val="000000" w:themeColor="text1"/>
        </w:rPr>
        <w:t xml:space="preserve"> after applying 10-times positive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15 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10 s), where electrons are trapped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as illustrated in </w:t>
      </w:r>
      <w:r w:rsidR="00217C3B" w:rsidRPr="0074469E">
        <w:rPr>
          <w:rFonts w:eastAsia="ＭＳ Ｐゴシック"/>
          <w:color w:val="000000" w:themeColor="text1"/>
        </w:rPr>
        <w:t>Figure</w:t>
      </w:r>
      <w:r w:rsidRPr="0074469E">
        <w:rPr>
          <w:rFonts w:eastAsia="ＭＳ Ｐゴシック"/>
          <w:color w:val="000000" w:themeColor="text1"/>
        </w:rPr>
        <w:t xml:space="preserve"> 3c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 </w:t>
      </w:r>
      <w:r w:rsidRPr="0074469E">
        <w:rPr>
          <w:color w:val="000000" w:themeColor="text1"/>
        </w:rPr>
        <w:t>T</w:t>
      </w:r>
      <w:r w:rsidRPr="0074469E">
        <w:rPr>
          <w:rFonts w:eastAsia="ＭＳ Ｐゴシック"/>
          <w:color w:val="000000" w:themeColor="text1"/>
        </w:rPr>
        <w:t xml:space="preserve">he threshold of the output signal is assigned as 2.5 </w:t>
      </w:r>
      <w:proofErr w:type="spellStart"/>
      <w:r w:rsidRPr="0074469E">
        <w:rPr>
          <w:rFonts w:eastAsia="ＭＳ Ｐゴシック"/>
          <w:color w:val="000000" w:themeColor="text1"/>
        </w:rPr>
        <w:t>nA.</w:t>
      </w:r>
      <w:proofErr w:type="spellEnd"/>
      <w:r w:rsidRPr="0074469E">
        <w:rPr>
          <w:rFonts w:eastAsia="ＭＳ Ｐゴシック"/>
          <w:color w:val="000000" w:themeColor="text1"/>
        </w:rPr>
        <w:t xml:space="preserve"> First, the two-input signals,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and </w:t>
      </w:r>
      <w:proofErr w:type="spellStart"/>
      <w:r w:rsidRPr="0074469E">
        <w:rPr>
          <w:i/>
          <w:iCs/>
          <w:color w:val="000000" w:themeColor="text1"/>
        </w:rPr>
        <w:t>V</w:t>
      </w:r>
      <w:r w:rsidRPr="0074469E">
        <w:rPr>
          <w:rFonts w:eastAsia="ＭＳ Ｐゴシック"/>
          <w:color w:val="000000" w:themeColor="text1"/>
          <w:vertAlign w:val="subscript"/>
        </w:rPr>
        <w:t>bg</w:t>
      </w:r>
      <w:proofErr w:type="spellEnd"/>
      <w:r w:rsidRPr="0074469E">
        <w:rPr>
          <w:rFonts w:eastAsia="ＭＳ Ｐゴシック"/>
          <w:color w:val="000000" w:themeColor="text1"/>
        </w:rPr>
        <w:t>, are adjusted for the AND circuit (</w:t>
      </w:r>
      <w:r w:rsidR="00217C3B" w:rsidRPr="0074469E">
        <w:rPr>
          <w:rFonts w:eastAsia="ＭＳ Ｐゴシック"/>
          <w:color w:val="000000" w:themeColor="text1"/>
        </w:rPr>
        <w:t>Figure</w:t>
      </w:r>
      <w:r w:rsidRPr="0074469E">
        <w:rPr>
          <w:rFonts w:eastAsia="ＭＳ Ｐゴシック"/>
          <w:color w:val="000000" w:themeColor="text1"/>
        </w:rPr>
        <w:t xml:space="preserve"> 4a (</w:t>
      </w:r>
      <w:proofErr w:type="spellStart"/>
      <w:r w:rsidRPr="0074469E">
        <w:rPr>
          <w:rFonts w:eastAsia="ＭＳ Ｐゴシック"/>
          <w:color w:val="000000" w:themeColor="text1"/>
        </w:rPr>
        <w:t>i</w:t>
      </w:r>
      <w:proofErr w:type="spellEnd"/>
      <w:r w:rsidRPr="0074469E">
        <w:rPr>
          <w:rFonts w:eastAsia="ＭＳ Ｐゴシック"/>
          <w:color w:val="000000" w:themeColor="text1"/>
        </w:rPr>
        <w:t>)).</w:t>
      </w:r>
      <w:r w:rsidRPr="0074469E">
        <w:rPr>
          <w:color w:val="000000" w:themeColor="text1"/>
        </w:rPr>
        <w:t xml:space="preserve"> </w:t>
      </w:r>
      <w:r w:rsidRPr="0074469E">
        <w:rPr>
          <w:rFonts w:eastAsia="ＭＳ Ｐゴシック"/>
          <w:color w:val="000000" w:themeColor="text1"/>
        </w:rPr>
        <w:t xml:space="preserve">The </w:t>
      </w:r>
      <w:r w:rsidRPr="0074469E">
        <w:rPr>
          <w:color w:val="000000" w:themeColor="text1"/>
        </w:rPr>
        <w:lastRenderedPageBreak/>
        <w:t>low</w:t>
      </w:r>
      <w:r w:rsidRPr="0074469E">
        <w:rPr>
          <w:i/>
          <w:iCs/>
          <w:color w:val="000000" w:themeColor="text1"/>
        </w:rPr>
        <w:t xml:space="preserv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color w:val="000000" w:themeColor="text1"/>
        </w:rPr>
        <w:t xml:space="preserve"> (“0”) and the high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color w:val="000000" w:themeColor="text1"/>
        </w:rPr>
        <w:t xml:space="preserve"> (“1”) are −4.9 V and −4.0 V, respectively; </w:t>
      </w:r>
      <w:r w:rsidRPr="0074469E">
        <w:rPr>
          <w:rFonts w:eastAsia="ＭＳ Ｐゴシック"/>
          <w:color w:val="000000" w:themeColor="text1"/>
        </w:rPr>
        <w:t xml:space="preserve">the </w:t>
      </w:r>
      <w:r w:rsidRPr="0074469E">
        <w:rPr>
          <w:color w:val="000000" w:themeColor="text1"/>
        </w:rPr>
        <w:t>low</w:t>
      </w:r>
      <w:r w:rsidRPr="0074469E">
        <w:rPr>
          <w:i/>
          <w:iCs/>
          <w:color w:val="000000" w:themeColor="text1"/>
        </w:rPr>
        <w:t xml:space="preserve"> </w:t>
      </w:r>
      <w:proofErr w:type="spellStart"/>
      <w:r w:rsidRPr="0074469E">
        <w:rPr>
          <w:i/>
          <w:iCs/>
          <w:color w:val="000000" w:themeColor="text1"/>
        </w:rPr>
        <w:t>V</w:t>
      </w:r>
      <w:r w:rsidRPr="0074469E">
        <w:rPr>
          <w:rFonts w:eastAsia="ＭＳ Ｐゴシック"/>
          <w:color w:val="000000" w:themeColor="text1"/>
          <w:vertAlign w:val="subscript"/>
        </w:rPr>
        <w:t>bg</w:t>
      </w:r>
      <w:proofErr w:type="spellEnd"/>
      <w:r w:rsidRPr="0074469E">
        <w:rPr>
          <w:color w:val="000000" w:themeColor="text1"/>
        </w:rPr>
        <w:t xml:space="preserve"> (“0”) and the high </w:t>
      </w:r>
      <w:proofErr w:type="spellStart"/>
      <w:r w:rsidRPr="0074469E">
        <w:rPr>
          <w:i/>
          <w:iCs/>
          <w:color w:val="000000" w:themeColor="text1"/>
        </w:rPr>
        <w:t>V</w:t>
      </w:r>
      <w:r w:rsidRPr="0074469E">
        <w:rPr>
          <w:rFonts w:eastAsia="ＭＳ Ｐゴシック"/>
          <w:color w:val="000000" w:themeColor="text1"/>
          <w:vertAlign w:val="subscript"/>
        </w:rPr>
        <w:t>bg</w:t>
      </w:r>
      <w:proofErr w:type="spellEnd"/>
      <w:r w:rsidRPr="0074469E">
        <w:rPr>
          <w:color w:val="000000" w:themeColor="text1"/>
        </w:rPr>
        <w:t xml:space="preserve"> (“1”) are −12.9 V and −11.2 V, respectively. </w:t>
      </w:r>
      <w:r w:rsidRPr="0074469E">
        <w:rPr>
          <w:rFonts w:eastAsia="ＭＳ Ｐゴシック"/>
          <w:color w:val="000000" w:themeColor="text1"/>
        </w:rPr>
        <w:t>Figure 4b</w:t>
      </w:r>
      <w:r w:rsidRPr="0074469E">
        <w:rPr>
          <w:rFonts w:eastAsia="ＭＳ Ｐゴシック"/>
          <w:color w:val="000000" w:themeColor="text1"/>
        </w:rPr>
        <w:t xml:space="preserve">　</w:t>
      </w:r>
      <w:r w:rsidRPr="0074469E">
        <w:rPr>
          <w:rFonts w:eastAsia="ＭＳ Ｐゴシック"/>
          <w:color w:val="000000" w:themeColor="text1"/>
        </w:rPr>
        <w:t>represents the AND circuit operation</w:t>
      </w:r>
      <w:r w:rsidRPr="0074469E">
        <w:rPr>
          <w:color w:val="000000" w:themeColor="text1"/>
        </w:rPr>
        <w:t>. The high logic state “1” was output only when (</w:t>
      </w:r>
      <w:proofErr w:type="spellStart"/>
      <w:r w:rsidRPr="0074469E">
        <w:rPr>
          <w:i/>
          <w:iCs/>
          <w:color w:val="000000" w:themeColor="text1"/>
        </w:rPr>
        <w:t>V</w:t>
      </w:r>
      <w:r w:rsidRPr="0074469E">
        <w:rPr>
          <w:color w:val="000000" w:themeColor="text1"/>
          <w:vertAlign w:val="subscript"/>
        </w:rPr>
        <w:t>tg</w:t>
      </w:r>
      <w:proofErr w:type="spellEnd"/>
      <w:r w:rsidRPr="0074469E">
        <w:rPr>
          <w:color w:val="000000" w:themeColor="text1"/>
        </w:rPr>
        <w:t>,</w:t>
      </w:r>
      <w:r w:rsidRPr="0074469E">
        <w:rPr>
          <w:i/>
          <w:iCs/>
          <w:color w:val="000000" w:themeColor="text1"/>
        </w:rPr>
        <w:t xml:space="preserve"> </w:t>
      </w:r>
      <w:proofErr w:type="spellStart"/>
      <w:r w:rsidRPr="0074469E">
        <w:rPr>
          <w:i/>
          <w:iCs/>
          <w:color w:val="000000" w:themeColor="text1"/>
        </w:rPr>
        <w:t>V</w:t>
      </w:r>
      <w:r w:rsidRPr="0074469E">
        <w:rPr>
          <w:color w:val="000000" w:themeColor="text1"/>
          <w:vertAlign w:val="subscript"/>
        </w:rPr>
        <w:t>bg</w:t>
      </w:r>
      <w:proofErr w:type="spellEnd"/>
      <w:r w:rsidRPr="0074469E">
        <w:rPr>
          <w:color w:val="000000" w:themeColor="text1"/>
        </w:rPr>
        <w:t xml:space="preserve">) were equal to (“1”, “1”) in the </w:t>
      </w:r>
      <w:r w:rsidR="00C84225" w:rsidRPr="0074469E">
        <w:rPr>
          <w:color w:val="000000" w:themeColor="text1"/>
        </w:rPr>
        <w:t xml:space="preserve">6 sec to 8 sec </w:t>
      </w:r>
      <w:r w:rsidRPr="0074469E">
        <w:rPr>
          <w:color w:val="000000" w:themeColor="text1"/>
        </w:rPr>
        <w:t xml:space="preserve">time period. Meanwhile, </w:t>
      </w:r>
      <w:r w:rsidRPr="0074469E">
        <w:rPr>
          <w:i/>
          <w:color w:val="000000" w:themeColor="text1"/>
        </w:rPr>
        <w:t>I</w:t>
      </w:r>
      <w:r w:rsidRPr="0074469E">
        <w:rPr>
          <w:color w:val="000000" w:themeColor="text1"/>
          <w:vertAlign w:val="subscript"/>
        </w:rPr>
        <w:t>d</w:t>
      </w:r>
      <w:r w:rsidRPr="0074469E">
        <w:rPr>
          <w:color w:val="000000" w:themeColor="text1"/>
        </w:rPr>
        <w:t xml:space="preserve"> exhibited the low logic state “0” with other input signal combinations. </w:t>
      </w:r>
      <w:r w:rsidRPr="0074469E">
        <w:rPr>
          <w:rFonts w:eastAsia="ＭＳ Ｐゴシック"/>
          <w:color w:val="000000" w:themeColor="text1"/>
        </w:rPr>
        <w:t xml:space="preserve">The 10-times negative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w:t>
      </w:r>
      <w:r w:rsidRPr="0074469E">
        <w:rPr>
          <w:color w:val="000000" w:themeColor="text1"/>
        </w:rPr>
        <w:t>−</w:t>
      </w:r>
      <w:r w:rsidRPr="0074469E">
        <w:rPr>
          <w:rFonts w:eastAsia="ＭＳ Ｐゴシック"/>
          <w:color w:val="000000" w:themeColor="text1"/>
        </w:rPr>
        <w:t xml:space="preserve">15 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10 s) was then employed to </w:t>
      </w:r>
      <w:bookmarkEnd w:id="29"/>
      <w:bookmarkEnd w:id="30"/>
      <w:r w:rsidRPr="0074469E">
        <w:rPr>
          <w:rFonts w:eastAsia="ＭＳ Ｐゴシック"/>
          <w:color w:val="000000" w:themeColor="text1"/>
        </w:rPr>
        <w:t>inject holes into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w:t>
      </w:r>
      <w:r w:rsidR="00217C3B" w:rsidRPr="0074469E">
        <w:rPr>
          <w:rFonts w:eastAsia="ＭＳ Ｐゴシック"/>
          <w:color w:val="000000" w:themeColor="text1"/>
        </w:rPr>
        <w:t>Figure</w:t>
      </w:r>
      <w:r w:rsidRPr="0074469E">
        <w:rPr>
          <w:rFonts w:eastAsia="ＭＳ Ｐゴシック"/>
          <w:color w:val="000000" w:themeColor="text1"/>
        </w:rPr>
        <w:t xml:space="preserve"> 3c). The corresponding </w:t>
      </w:r>
      <w:r w:rsidRPr="0074469E">
        <w:rPr>
          <w:color w:val="000000" w:themeColor="text1"/>
        </w:rPr>
        <w:t>2D−|</w:t>
      </w:r>
      <w:r w:rsidRPr="0074469E">
        <w:rPr>
          <w:i/>
          <w:iCs/>
          <w:color w:val="000000" w:themeColor="text1"/>
        </w:rPr>
        <w:t>I</w:t>
      </w:r>
      <w:r w:rsidRPr="0074469E">
        <w:rPr>
          <w:color w:val="000000" w:themeColor="text1"/>
          <w:vertAlign w:val="subscript"/>
        </w:rPr>
        <w:t>d</w:t>
      </w:r>
      <w:r w:rsidRPr="0074469E">
        <w:rPr>
          <w:color w:val="000000" w:themeColor="text1"/>
        </w:rPr>
        <w:t xml:space="preserve">| plot is shown </w:t>
      </w:r>
      <w:r w:rsidRPr="0074469E">
        <w:rPr>
          <w:rFonts w:eastAsia="ＭＳ Ｐゴシック"/>
          <w:color w:val="000000" w:themeColor="text1"/>
        </w:rPr>
        <w:t xml:space="preserve">in </w:t>
      </w:r>
      <w:r w:rsidR="00217C3B" w:rsidRPr="0074469E">
        <w:rPr>
          <w:rFonts w:eastAsia="ＭＳ Ｐゴシック"/>
          <w:color w:val="000000" w:themeColor="text1"/>
        </w:rPr>
        <w:t>Figure</w:t>
      </w:r>
      <w:r w:rsidRPr="0074469E">
        <w:rPr>
          <w:rFonts w:eastAsia="ＭＳ Ｐゴシック"/>
          <w:color w:val="000000" w:themeColor="text1"/>
        </w:rPr>
        <w:t xml:space="preserve"> 4a (ii). The conductive area (logic state “1”) in the </w:t>
      </w:r>
      <w:r w:rsidRPr="0074469E">
        <w:rPr>
          <w:color w:val="000000" w:themeColor="text1"/>
        </w:rPr>
        <w:t>2D−|</w:t>
      </w:r>
      <w:r w:rsidRPr="0074469E">
        <w:rPr>
          <w:i/>
          <w:iCs/>
          <w:color w:val="000000" w:themeColor="text1"/>
        </w:rPr>
        <w:t>I</w:t>
      </w:r>
      <w:r w:rsidRPr="0074469E">
        <w:rPr>
          <w:color w:val="000000" w:themeColor="text1"/>
          <w:vertAlign w:val="subscript"/>
        </w:rPr>
        <w:t>d</w:t>
      </w:r>
      <w:r w:rsidRPr="0074469E">
        <w:rPr>
          <w:color w:val="000000" w:themeColor="text1"/>
        </w:rPr>
        <w:t>| plot</w:t>
      </w:r>
      <w:r w:rsidRPr="0074469E">
        <w:rPr>
          <w:rFonts w:eastAsia="ＭＳ Ｐゴシック"/>
          <w:color w:val="000000" w:themeColor="text1"/>
        </w:rPr>
        <w:t xml:space="preserve"> was expanded by applying the negative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 leading to electrical switching from AND to OR circuits. As depicted in </w:t>
      </w:r>
      <w:r w:rsidR="00217C3B" w:rsidRPr="0074469E">
        <w:rPr>
          <w:color w:val="000000" w:themeColor="text1"/>
        </w:rPr>
        <w:t>Figure</w:t>
      </w:r>
      <w:r w:rsidRPr="0074469E">
        <w:rPr>
          <w:color w:val="000000" w:themeColor="text1"/>
        </w:rPr>
        <w:t xml:space="preserve"> 4c, the high logic state “1” was output when either </w:t>
      </w:r>
      <w:proofErr w:type="spellStart"/>
      <w:r w:rsidRPr="0074469E">
        <w:rPr>
          <w:i/>
          <w:iCs/>
          <w:color w:val="000000" w:themeColor="text1"/>
        </w:rPr>
        <w:t>V</w:t>
      </w:r>
      <w:r w:rsidRPr="0074469E">
        <w:rPr>
          <w:color w:val="000000" w:themeColor="text1"/>
          <w:vertAlign w:val="subscript"/>
        </w:rPr>
        <w:t>tg</w:t>
      </w:r>
      <w:proofErr w:type="spellEnd"/>
      <w:r w:rsidRPr="0074469E">
        <w:rPr>
          <w:color w:val="000000" w:themeColor="text1"/>
        </w:rPr>
        <w:t xml:space="preserve"> or</w:t>
      </w:r>
      <w:r w:rsidRPr="0074469E">
        <w:rPr>
          <w:i/>
          <w:iCs/>
          <w:color w:val="000000" w:themeColor="text1"/>
        </w:rPr>
        <w:t xml:space="preserve"> </w:t>
      </w:r>
      <w:proofErr w:type="spellStart"/>
      <w:r w:rsidRPr="0074469E">
        <w:rPr>
          <w:i/>
          <w:iCs/>
          <w:color w:val="000000" w:themeColor="text1"/>
        </w:rPr>
        <w:t>V</w:t>
      </w:r>
      <w:r w:rsidRPr="0074469E">
        <w:rPr>
          <w:color w:val="000000" w:themeColor="text1"/>
          <w:vertAlign w:val="subscript"/>
        </w:rPr>
        <w:t>bg</w:t>
      </w:r>
      <w:proofErr w:type="spellEnd"/>
      <w:r w:rsidRPr="0074469E">
        <w:rPr>
          <w:color w:val="000000" w:themeColor="text1"/>
        </w:rPr>
        <w:t xml:space="preserve"> was the “1” input signal in the time period from 4 sec to 10 sec. </w:t>
      </w:r>
      <w:r w:rsidRPr="0074469E">
        <w:rPr>
          <w:rFonts w:eastAsia="ＭＳ Ｐゴシック"/>
          <w:color w:val="000000" w:themeColor="text1"/>
        </w:rPr>
        <w:t xml:space="preserve">Significantly, the conductive area (logic state “1”) was alternately controlled </w:t>
      </w:r>
      <w:bookmarkStart w:id="31" w:name="OLE_LINK37"/>
      <w:bookmarkStart w:id="32" w:name="OLE_LINK38"/>
      <w:r w:rsidRPr="0074469E">
        <w:rPr>
          <w:rFonts w:eastAsia="ＭＳ Ｐゴシック"/>
          <w:color w:val="000000" w:themeColor="text1"/>
        </w:rPr>
        <w:t xml:space="preserve">by fine tuning the non-volatile memory functions, </w:t>
      </w:r>
      <w:r w:rsidR="00BE086E" w:rsidRPr="0074469E">
        <w:rPr>
          <w:rFonts w:eastAsia="ＭＳ Ｐゴシック"/>
          <w:color w:val="000000" w:themeColor="text1"/>
        </w:rPr>
        <w:t xml:space="preserve">thus </w:t>
      </w:r>
      <w:r w:rsidRPr="0074469E">
        <w:rPr>
          <w:rFonts w:eastAsia="ＭＳ Ｐゴシック"/>
          <w:color w:val="000000" w:themeColor="text1"/>
        </w:rPr>
        <w:t xml:space="preserve">achieving the reconfiguration of AND </w:t>
      </w:r>
      <w:proofErr w:type="spellStart"/>
      <w:r w:rsidRPr="0074469E">
        <w:rPr>
          <w:rFonts w:eastAsia="ＭＳ Ｐゴシック"/>
          <w:color w:val="000000" w:themeColor="text1"/>
        </w:rPr>
        <w:t>and</w:t>
      </w:r>
      <w:proofErr w:type="spellEnd"/>
      <w:r w:rsidRPr="0074469E">
        <w:rPr>
          <w:rFonts w:eastAsia="ＭＳ Ｐゴシック"/>
          <w:color w:val="000000" w:themeColor="text1"/>
        </w:rPr>
        <w:t xml:space="preserve"> OR with identical input signals.</w:t>
      </w:r>
      <w:bookmarkEnd w:id="31"/>
      <w:bookmarkEnd w:id="32"/>
      <w:r w:rsidRPr="0074469E">
        <w:rPr>
          <w:rFonts w:eastAsia="ＭＳ Ｐゴシック"/>
          <w:color w:val="000000" w:themeColor="text1"/>
        </w:rPr>
        <w:t xml:space="preserve"> The OR circuit thus produced was returned to </w:t>
      </w:r>
      <w:r w:rsidR="00BE086E" w:rsidRPr="0074469E">
        <w:rPr>
          <w:rFonts w:eastAsia="ＭＳ Ｐゴシック"/>
          <w:color w:val="000000" w:themeColor="text1"/>
        </w:rPr>
        <w:t xml:space="preserve">an </w:t>
      </w:r>
      <w:r w:rsidRPr="0074469E">
        <w:rPr>
          <w:rFonts w:eastAsia="ＭＳ Ｐゴシック"/>
          <w:color w:val="000000" w:themeColor="text1"/>
        </w:rPr>
        <w:t xml:space="preserve">AND circuit by applying a 10-times positive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15V,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10 s). The electrical switches between the logic circuits were reproducible and repeatedly induced by the negative and positive </w:t>
      </w:r>
      <w:proofErr w:type="spellStart"/>
      <w:r w:rsidRPr="0074469E">
        <w:rPr>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In this manner, we attained the conversion of </w:t>
      </w:r>
      <w:r w:rsidR="00C84225" w:rsidRPr="0074469E">
        <w:rPr>
          <w:rFonts w:eastAsia="ＭＳ Ｐゴシック"/>
          <w:color w:val="000000" w:themeColor="text1"/>
        </w:rPr>
        <w:t xml:space="preserve">the following </w:t>
      </w:r>
      <w:r w:rsidRPr="0074469E">
        <w:rPr>
          <w:rFonts w:eastAsia="ＭＳ Ｐゴシック"/>
          <w:color w:val="000000" w:themeColor="text1"/>
        </w:rPr>
        <w:t>two-input logic circuits: NAND/NOR, XOR/NAND, OR/NAND, and OR/XOR, without changing the input signals as shown in the supporting information (</w:t>
      </w:r>
      <w:r w:rsidR="00217C3B" w:rsidRPr="0074469E">
        <w:rPr>
          <w:rFonts w:eastAsia="ＭＳ Ｐゴシック"/>
          <w:color w:val="000000" w:themeColor="text1"/>
        </w:rPr>
        <w:t>Figure</w:t>
      </w:r>
      <w:r w:rsidRPr="0074469E">
        <w:rPr>
          <w:rFonts w:eastAsia="ＭＳ Ｐゴシック"/>
          <w:color w:val="000000" w:themeColor="text1"/>
        </w:rPr>
        <w:t xml:space="preserve"> S1).</w:t>
      </w:r>
    </w:p>
    <w:p w14:paraId="3507E330" w14:textId="77777777" w:rsidR="000C12BB" w:rsidRPr="00897AFB" w:rsidRDefault="000C12BB" w:rsidP="00897AFB">
      <w:pPr>
        <w:pStyle w:val="TAMainText"/>
        <w:rPr>
          <w:rFonts w:eastAsia="ＭＳ Ｐゴシック"/>
        </w:rPr>
      </w:pPr>
    </w:p>
    <w:p w14:paraId="0AA38979" w14:textId="08021C9B" w:rsidR="000C12BB" w:rsidRPr="0074469E" w:rsidRDefault="004130A7" w:rsidP="00897AFB">
      <w:pPr>
        <w:pStyle w:val="TAMainText"/>
        <w:rPr>
          <w:rFonts w:eastAsia="ＭＳ Ｐゴシック"/>
          <w:b/>
          <w:bCs/>
          <w:color w:val="000000" w:themeColor="text1"/>
        </w:rPr>
      </w:pPr>
      <w:r w:rsidRPr="0074469E">
        <w:rPr>
          <w:b/>
          <w:bCs/>
          <w:color w:val="000000" w:themeColor="text1"/>
        </w:rPr>
        <w:t xml:space="preserve">2.3 </w:t>
      </w:r>
      <w:r w:rsidR="000C12BB" w:rsidRPr="0074469E">
        <w:rPr>
          <w:b/>
          <w:bCs/>
          <w:color w:val="000000" w:themeColor="text1"/>
        </w:rPr>
        <w:t>Multifunctional</w:t>
      </w:r>
      <w:r w:rsidR="000C12BB" w:rsidRPr="0074469E">
        <w:rPr>
          <w:rFonts w:eastAsia="ＭＳ Ｐゴシック"/>
          <w:b/>
          <w:bCs/>
          <w:color w:val="000000" w:themeColor="text1"/>
        </w:rPr>
        <w:t xml:space="preserve"> artificial synapses</w:t>
      </w:r>
    </w:p>
    <w:p w14:paraId="3EDDA30D" w14:textId="70C05EBF" w:rsidR="000C12BB" w:rsidRPr="0074469E" w:rsidRDefault="000C12BB" w:rsidP="00897AFB">
      <w:pPr>
        <w:pStyle w:val="TAMainText"/>
        <w:rPr>
          <w:rFonts w:eastAsia="ＭＳ Ｐゴシック"/>
          <w:color w:val="000000" w:themeColor="text1"/>
        </w:rPr>
      </w:pPr>
      <w:bookmarkStart w:id="33" w:name="OLE_LINK72"/>
      <w:bookmarkStart w:id="34" w:name="OLE_LINK73"/>
      <w:r w:rsidRPr="0074469E">
        <w:rPr>
          <w:rFonts w:eastAsia="ＭＳ Ｐゴシック"/>
          <w:color w:val="000000" w:themeColor="text1"/>
        </w:rPr>
        <w:t xml:space="preserve">Artificial synapses are a key element as regards the development of non-von Neumann computing architecture. In this section, we demonstrate multifunctional synaptic operations based on </w:t>
      </w:r>
      <w:r w:rsidR="009F06B7" w:rsidRPr="0074469E">
        <w:rPr>
          <w:rFonts w:eastAsia="ＭＳ Ｐゴシック"/>
          <w:color w:val="000000" w:themeColor="text1"/>
        </w:rPr>
        <w:t xml:space="preserve">a </w:t>
      </w:r>
      <w:r w:rsidRPr="0074469E">
        <w:rPr>
          <w:rFonts w:eastAsia="ＭＳ Ｐゴシック"/>
          <w:color w:val="000000" w:themeColor="text1"/>
        </w:rPr>
        <w:t xml:space="preserve">dual-gate AAT. Importantly, the inhibitory/excitatory and long-term potentiation/depression synaptic operations are electrically reconfigured simply by selecting an appropriate readout voltage. For the synaptic operation, the top gate and drain electrodes in the dual-gate AAT act as the presynaptic input and postsynaptic output terminals, respectively.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ＭＳ Ｐゴシック"/>
          <w:color w:val="000000" w:themeColor="text1"/>
        </w:rPr>
        <w:t xml:space="preserve"> represents the postsynaptic current (PSC).</w:t>
      </w:r>
    </w:p>
    <w:p w14:paraId="57C4F71F" w14:textId="1EFFBD59" w:rsidR="000C12BB" w:rsidRPr="0074469E" w:rsidRDefault="000C12BB" w:rsidP="00897AFB">
      <w:pPr>
        <w:pStyle w:val="TAMainText"/>
        <w:rPr>
          <w:rFonts w:eastAsia="ＭＳ Ｐゴシック"/>
          <w:color w:val="000000" w:themeColor="text1"/>
        </w:rPr>
      </w:pPr>
      <w:r w:rsidRPr="0074469E">
        <w:rPr>
          <w:rFonts w:eastAsia="ＭＳ Ｐゴシック"/>
          <w:color w:val="000000" w:themeColor="text1"/>
        </w:rPr>
        <w:t xml:space="preserve">Figure 5a shows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游明朝"/>
          <w:color w:val="000000" w:themeColor="text1"/>
        </w:rPr>
        <w:t xml:space="preserve"> </w:t>
      </w:r>
      <w:r w:rsidRPr="0074469E">
        <w:rPr>
          <w:rFonts w:eastAsia="ＭＳ Ｐゴシック"/>
          <w:color w:val="000000" w:themeColor="text1"/>
        </w:rPr>
        <w:t xml:space="preserve">curves obtained after applying negative and positive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These are duplicated in Fig</w:t>
      </w:r>
      <w:r w:rsidR="000B2DCD" w:rsidRPr="0074469E">
        <w:rPr>
          <w:rFonts w:eastAsia="ＭＳ Ｐゴシック"/>
          <w:color w:val="000000" w:themeColor="text1"/>
        </w:rPr>
        <w:t>ure</w:t>
      </w:r>
      <w:r w:rsidRPr="0074469E">
        <w:rPr>
          <w:rFonts w:eastAsia="ＭＳ Ｐゴシック"/>
          <w:color w:val="000000" w:themeColor="text1"/>
        </w:rPr>
        <w:t>s 5d</w:t>
      </w:r>
      <w:r w:rsidR="000B2DCD" w:rsidRPr="0074469E">
        <w:rPr>
          <w:rFonts w:eastAsia="ＭＳ Ｐゴシック"/>
          <w:color w:val="000000" w:themeColor="text1"/>
        </w:rPr>
        <w:t xml:space="preserve">, </w:t>
      </w:r>
      <w:r w:rsidRPr="0074469E">
        <w:rPr>
          <w:rFonts w:eastAsia="ＭＳ Ｐゴシック"/>
          <w:color w:val="000000" w:themeColor="text1"/>
        </w:rPr>
        <w:t xml:space="preserve">g. The blue and red lines show the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游明朝"/>
          <w:color w:val="000000" w:themeColor="text1"/>
        </w:rPr>
        <w:t xml:space="preserve"> </w:t>
      </w:r>
      <w:r w:rsidRPr="0074469E">
        <w:rPr>
          <w:rFonts w:eastAsia="ＭＳ Ｐゴシック"/>
          <w:color w:val="000000" w:themeColor="text1"/>
        </w:rPr>
        <w:t xml:space="preserve">curves obtained after applying negative and positive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respectively. Henceforth, the hole-trapped state induced by applying a 10-times negative presynaptic pulse (</w:t>
      </w:r>
      <w:proofErr w:type="spellStart"/>
      <w:r w:rsidRPr="0074469E">
        <w:rPr>
          <w:i/>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w:t>
      </w:r>
      <w:r w:rsidRPr="0074469E">
        <w:rPr>
          <w:rFonts w:eastAsia="游明朝"/>
          <w:color w:val="000000" w:themeColor="text1"/>
        </w:rPr>
        <w:t>−</w:t>
      </w:r>
      <w:r w:rsidRPr="0074469E">
        <w:rPr>
          <w:rFonts w:eastAsia="ＭＳ Ｐゴシック"/>
          <w:color w:val="000000" w:themeColor="text1"/>
        </w:rPr>
        <w:t xml:space="preserve">16 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10 s) is assigned as the initial state (blue line in </w:t>
      </w:r>
      <w:r w:rsidR="000B2DCD" w:rsidRPr="0074469E">
        <w:rPr>
          <w:rFonts w:eastAsia="ＭＳ Ｐゴシック"/>
          <w:color w:val="000000" w:themeColor="text1"/>
        </w:rPr>
        <w:t>Figure</w:t>
      </w:r>
      <w:r w:rsidRPr="0074469E">
        <w:rPr>
          <w:rFonts w:eastAsia="ＭＳ Ｐゴシック"/>
          <w:color w:val="000000" w:themeColor="text1"/>
        </w:rPr>
        <w:t xml:space="preserve"> 5a). Here, holes are trapped in the ZnPc-PS</w:t>
      </w:r>
      <w:r w:rsidRPr="0074469E">
        <w:rPr>
          <w:rFonts w:eastAsia="ＭＳ Ｐゴシック"/>
          <w:color w:val="000000" w:themeColor="text1"/>
          <w:vertAlign w:val="subscript"/>
        </w:rPr>
        <w:t>4</w:t>
      </w:r>
      <w:r w:rsidRPr="0074469E">
        <w:rPr>
          <w:rFonts w:eastAsia="ＭＳ Ｐゴシック"/>
          <w:color w:val="000000" w:themeColor="text1"/>
        </w:rPr>
        <w:t xml:space="preserve"> layer on both </w:t>
      </w:r>
      <w:r w:rsidR="009F06B7" w:rsidRPr="0074469E">
        <w:rPr>
          <w:rFonts w:eastAsia="ＭＳ Ｐゴシック"/>
          <w:color w:val="000000" w:themeColor="text1"/>
        </w:rPr>
        <w:t xml:space="preserve">the </w:t>
      </w:r>
      <w:r w:rsidRPr="0074469E">
        <w:rPr>
          <w:rFonts w:eastAsia="ＭＳ Ｐゴシック"/>
          <w:color w:val="000000" w:themeColor="text1"/>
        </w:rPr>
        <w:t>ReS</w:t>
      </w:r>
      <w:r w:rsidRPr="0074469E">
        <w:rPr>
          <w:rFonts w:eastAsia="ＭＳ Ｐゴシック"/>
          <w:color w:val="000000" w:themeColor="text1"/>
          <w:vertAlign w:val="subscript"/>
        </w:rPr>
        <w:t>2</w:t>
      </w:r>
      <w:r w:rsidRPr="0074469E">
        <w:rPr>
          <w:rFonts w:eastAsia="ＭＳ Ｐゴシック"/>
          <w:color w:val="000000" w:themeColor="text1"/>
        </w:rPr>
        <w:t xml:space="preserve"> and WSe</w:t>
      </w:r>
      <w:r w:rsidRPr="0074469E">
        <w:rPr>
          <w:rFonts w:eastAsia="ＭＳ Ｐゴシック"/>
          <w:color w:val="000000" w:themeColor="text1"/>
          <w:vertAlign w:val="subscript"/>
        </w:rPr>
        <w:t>2</w:t>
      </w:r>
      <w:r w:rsidRPr="0074469E">
        <w:rPr>
          <w:rFonts w:eastAsia="ＭＳ Ｐゴシック"/>
          <w:color w:val="000000" w:themeColor="text1"/>
        </w:rPr>
        <w:t xml:space="preserve"> layers</w:t>
      </w:r>
      <w:r w:rsidR="009F06B7" w:rsidRPr="0074469E">
        <w:rPr>
          <w:rFonts w:eastAsia="ＭＳ Ｐゴシック"/>
          <w:color w:val="000000" w:themeColor="text1"/>
        </w:rPr>
        <w:t>,</w:t>
      </w:r>
      <w:r w:rsidRPr="0074469E">
        <w:rPr>
          <w:rFonts w:eastAsia="ＭＳ Ｐゴシック"/>
          <w:color w:val="000000" w:themeColor="text1"/>
        </w:rPr>
        <w:t xml:space="preserve"> as shown in </w:t>
      </w:r>
      <w:r w:rsidR="000B2DCD" w:rsidRPr="0074469E">
        <w:rPr>
          <w:rFonts w:eastAsia="ＭＳ Ｐゴシック"/>
          <w:color w:val="000000" w:themeColor="text1"/>
        </w:rPr>
        <w:t xml:space="preserve">Figure </w:t>
      </w:r>
      <w:r w:rsidRPr="0074469E">
        <w:rPr>
          <w:rFonts w:eastAsia="ＭＳ Ｐゴシック"/>
          <w:color w:val="000000" w:themeColor="text1"/>
        </w:rPr>
        <w:t>3c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 </w:t>
      </w:r>
    </w:p>
    <w:p w14:paraId="3A495274" w14:textId="1E1C87E6" w:rsidR="000C12BB" w:rsidRPr="0074469E" w:rsidRDefault="000C12BB" w:rsidP="00897AFB">
      <w:pPr>
        <w:pStyle w:val="TAMainText"/>
        <w:rPr>
          <w:rFonts w:eastAsia="ＭＳ Ｐゴシック"/>
          <w:color w:val="000000" w:themeColor="text1"/>
        </w:rPr>
      </w:pPr>
      <w:r w:rsidRPr="0074469E">
        <w:rPr>
          <w:rFonts w:eastAsia="ＭＳ Ｐゴシック"/>
          <w:color w:val="000000" w:themeColor="text1"/>
        </w:rPr>
        <w:t xml:space="preserve">First, we examined the conventional inhibitory and </w:t>
      </w:r>
      <w:r w:rsidR="00906531">
        <w:rPr>
          <w:rFonts w:eastAsia="ＭＳ Ｐゴシック"/>
          <w:color w:val="000000" w:themeColor="text1"/>
        </w:rPr>
        <w:t>excitatory</w:t>
      </w:r>
      <w:r w:rsidRPr="0074469E">
        <w:rPr>
          <w:rFonts w:eastAsia="ＭＳ Ｐゴシック"/>
          <w:color w:val="000000" w:themeColor="text1"/>
        </w:rPr>
        <w:t xml:space="preserve"> operations. Then, the polarity of </w:t>
      </w:r>
      <w:r w:rsidR="009F06B7" w:rsidRPr="0074469E">
        <w:rPr>
          <w:rFonts w:eastAsia="ＭＳ Ｐゴシック"/>
          <w:color w:val="000000" w:themeColor="text1"/>
        </w:rPr>
        <w:t xml:space="preserve">the </w:t>
      </w:r>
      <w:r w:rsidRPr="0074469E">
        <w:rPr>
          <w:rFonts w:eastAsia="ＭＳ Ｐゴシック"/>
          <w:color w:val="000000" w:themeColor="text1"/>
        </w:rPr>
        <w:t>presynaptic pulse voltages was inverted for the respective operations. Figures 5b (</w:t>
      </w:r>
      <w:proofErr w:type="spellStart"/>
      <w:r w:rsidRPr="0074469E">
        <w:rPr>
          <w:rFonts w:eastAsia="ＭＳ Ｐゴシック"/>
          <w:color w:val="000000" w:themeColor="text1"/>
        </w:rPr>
        <w:t>i</w:t>
      </w:r>
      <w:proofErr w:type="spellEnd"/>
      <w:r w:rsidRPr="0074469E">
        <w:rPr>
          <w:rFonts w:eastAsia="ＭＳ Ｐゴシック"/>
          <w:color w:val="000000" w:themeColor="text1"/>
        </w:rPr>
        <w:t>)</w:t>
      </w:r>
      <w:r w:rsidR="00FA2C80" w:rsidRPr="0074469E">
        <w:rPr>
          <w:rFonts w:eastAsia="ＭＳ Ｐゴシック"/>
          <w:color w:val="000000" w:themeColor="text1"/>
        </w:rPr>
        <w:t>,</w:t>
      </w:r>
      <w:r w:rsidR="009F06B7" w:rsidRPr="0074469E">
        <w:rPr>
          <w:rFonts w:eastAsia="ＭＳ Ｐゴシック"/>
          <w:color w:val="000000" w:themeColor="text1"/>
        </w:rPr>
        <w:t xml:space="preserve"> </w:t>
      </w:r>
      <w:r w:rsidRPr="0074469E">
        <w:rPr>
          <w:rFonts w:eastAsia="ＭＳ Ｐゴシック"/>
          <w:color w:val="000000" w:themeColor="text1"/>
        </w:rPr>
        <w:t>5c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 show </w:t>
      </w:r>
      <w:r w:rsidRPr="0074469E">
        <w:rPr>
          <w:rFonts w:eastAsia="ＭＳ Ｐゴシック"/>
          <w:color w:val="000000" w:themeColor="text1"/>
        </w:rPr>
        <w:lastRenderedPageBreak/>
        <w:t>the variations in the PSC. The respective sequences of the applied voltages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rFonts w:eastAsia="ＭＳ Ｐゴシック"/>
          <w:color w:val="000000" w:themeColor="text1"/>
        </w:rPr>
        <w:t xml:space="preserve">) for controlling PSC are shown in </w:t>
      </w:r>
      <w:r w:rsidR="00BF59A4" w:rsidRPr="0074469E">
        <w:rPr>
          <w:rFonts w:eastAsia="ＭＳ Ｐゴシック"/>
          <w:color w:val="000000" w:themeColor="text1"/>
        </w:rPr>
        <w:t>Figures</w:t>
      </w:r>
      <w:r w:rsidRPr="0074469E">
        <w:rPr>
          <w:rFonts w:eastAsia="ＭＳ Ｐゴシック"/>
          <w:color w:val="000000" w:themeColor="text1"/>
        </w:rPr>
        <w:t xml:space="preserve"> 5b (ii)</w:t>
      </w:r>
      <w:r w:rsidR="00FA2C80" w:rsidRPr="0074469E">
        <w:rPr>
          <w:rFonts w:eastAsia="ＭＳ Ｐゴシック"/>
          <w:color w:val="000000" w:themeColor="text1"/>
        </w:rPr>
        <w:t>,</w:t>
      </w:r>
      <w:r w:rsidRPr="0074469E">
        <w:rPr>
          <w:rFonts w:eastAsia="ＭＳ Ｐゴシック"/>
          <w:color w:val="000000" w:themeColor="text1"/>
        </w:rPr>
        <w:t xml:space="preserve"> 5c (ii).</w:t>
      </w:r>
      <w:r w:rsidR="00C76D28" w:rsidRPr="0074469E">
        <w:rPr>
          <w:rFonts w:eastAsia="ＭＳ Ｐゴシック"/>
          <w:color w:val="000000" w:themeColor="text1"/>
        </w:rPr>
        <w:t xml:space="preserve"> </w:t>
      </w:r>
      <w:r w:rsidRPr="0074469E">
        <w:rPr>
          <w:rFonts w:eastAsia="ＭＳ Ｐゴシック"/>
          <w:color w:val="000000" w:themeColor="text1"/>
        </w:rPr>
        <w:t xml:space="preserve">A fixed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vertAlign w:val="subscript"/>
        </w:rPr>
        <w:t xml:space="preserve"> </w:t>
      </w:r>
      <w:r w:rsidRPr="0074469E">
        <w:rPr>
          <w:rFonts w:eastAsia="ＭＳ Ｐゴシック"/>
          <w:color w:val="000000" w:themeColor="text1"/>
        </w:rPr>
        <w:t xml:space="preserve">of </w:t>
      </w:r>
      <w:r w:rsidRPr="0074469E">
        <w:rPr>
          <w:rFonts w:eastAsia="游明朝"/>
          <w:color w:val="000000" w:themeColor="text1"/>
        </w:rPr>
        <w:t>−</w:t>
      </w:r>
      <w:r w:rsidRPr="0074469E">
        <w:rPr>
          <w:rFonts w:eastAsia="ＭＳ Ｐゴシック"/>
          <w:color w:val="000000" w:themeColor="text1"/>
        </w:rPr>
        <w:t>4.0 V, which corresponds to the readout voltage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read</w:t>
      </w:r>
      <w:proofErr w:type="spellEnd"/>
      <w:r w:rsidRPr="0074469E">
        <w:rPr>
          <w:rFonts w:eastAsia="ＭＳ Ｐゴシック"/>
          <w:color w:val="000000" w:themeColor="text1"/>
        </w:rPr>
        <w:t xml:space="preserve">), was constantly applied for both measurements. An additional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rFonts w:eastAsia="ＭＳ Ｐゴシック"/>
          <w:color w:val="000000" w:themeColor="text1"/>
          <w:vertAlign w:val="subscript"/>
        </w:rPr>
        <w:t xml:space="preserve"> </w:t>
      </w:r>
      <w:r w:rsidRPr="0074469E">
        <w:rPr>
          <w:rFonts w:eastAsia="ＭＳ Ｐゴシック"/>
          <w:color w:val="000000" w:themeColor="text1"/>
        </w:rPr>
        <w:t xml:space="preserve">of </w:t>
      </w:r>
      <w:r w:rsidRPr="0074469E">
        <w:rPr>
          <w:rFonts w:eastAsia="游明朝"/>
          <w:color w:val="000000" w:themeColor="text1"/>
        </w:rPr>
        <w:t>−</w:t>
      </w:r>
      <w:r w:rsidRPr="0074469E">
        <w:rPr>
          <w:rFonts w:eastAsia="ＭＳ Ｐゴシック"/>
          <w:color w:val="000000" w:themeColor="text1"/>
        </w:rPr>
        <w:t xml:space="preserve">10 V (black lines in </w:t>
      </w:r>
      <w:r w:rsidR="00BF59A4" w:rsidRPr="0074469E">
        <w:rPr>
          <w:rFonts w:eastAsia="ＭＳ Ｐゴシック"/>
          <w:color w:val="000000" w:themeColor="text1"/>
        </w:rPr>
        <w:t>Figures</w:t>
      </w:r>
      <w:r w:rsidRPr="0074469E">
        <w:rPr>
          <w:rFonts w:eastAsia="ＭＳ Ｐゴシック"/>
          <w:color w:val="000000" w:themeColor="text1"/>
        </w:rPr>
        <w:t xml:space="preserve"> 5b (ii)</w:t>
      </w:r>
      <w:r w:rsidR="00FA2C80" w:rsidRPr="0074469E">
        <w:rPr>
          <w:rFonts w:eastAsia="ＭＳ Ｐゴシック"/>
          <w:color w:val="000000" w:themeColor="text1"/>
        </w:rPr>
        <w:t>,</w:t>
      </w:r>
      <w:r w:rsidR="009F06B7" w:rsidRPr="0074469E">
        <w:rPr>
          <w:rFonts w:eastAsia="ＭＳ Ｐゴシック"/>
          <w:color w:val="000000" w:themeColor="text1"/>
        </w:rPr>
        <w:t xml:space="preserve"> </w:t>
      </w:r>
      <w:r w:rsidRPr="0074469E">
        <w:rPr>
          <w:rFonts w:eastAsia="ＭＳ Ｐゴシック"/>
          <w:color w:val="000000" w:themeColor="text1"/>
        </w:rPr>
        <w:t xml:space="preserve">5c (ii)) was </w:t>
      </w:r>
      <w:r w:rsidR="009F06B7" w:rsidRPr="0074469E">
        <w:rPr>
          <w:rFonts w:eastAsia="ＭＳ Ｐゴシック"/>
          <w:color w:val="000000" w:themeColor="text1"/>
        </w:rPr>
        <w:t xml:space="preserve">only </w:t>
      </w:r>
      <w:r w:rsidRPr="0074469E">
        <w:rPr>
          <w:rFonts w:eastAsia="ＭＳ Ｐゴシック"/>
          <w:color w:val="000000" w:themeColor="text1"/>
        </w:rPr>
        <w:t xml:space="preserve">necessary for yielding PSC signals. The first PSC in </w:t>
      </w:r>
      <w:r w:rsidR="00BF59A4" w:rsidRPr="0074469E">
        <w:rPr>
          <w:rFonts w:eastAsia="ＭＳ Ｐゴシック"/>
          <w:color w:val="000000" w:themeColor="text1"/>
        </w:rPr>
        <w:t>Figure</w:t>
      </w:r>
      <w:r w:rsidRPr="0074469E">
        <w:rPr>
          <w:rFonts w:eastAsia="ＭＳ Ｐゴシック"/>
          <w:color w:val="000000" w:themeColor="text1"/>
        </w:rPr>
        <w:t xml:space="preserve"> 5b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 was about </w:t>
      </w:r>
      <w:r w:rsidRPr="0074469E">
        <w:rPr>
          <w:rFonts w:eastAsia="游明朝"/>
          <w:color w:val="000000" w:themeColor="text1"/>
        </w:rPr>
        <w:t>−</w:t>
      </w:r>
      <w:r w:rsidRPr="0074469E">
        <w:rPr>
          <w:rFonts w:eastAsia="ＭＳ Ｐゴシック"/>
          <w:color w:val="000000" w:themeColor="text1"/>
        </w:rPr>
        <w:t xml:space="preserve">8.0 </w:t>
      </w:r>
      <w:proofErr w:type="spellStart"/>
      <w:r w:rsidRPr="0074469E">
        <w:rPr>
          <w:rFonts w:eastAsia="ＭＳ Ｐゴシック"/>
          <w:color w:val="000000" w:themeColor="text1"/>
        </w:rPr>
        <w:t>nA.</w:t>
      </w:r>
      <w:proofErr w:type="spellEnd"/>
      <w:r w:rsidRPr="0074469E">
        <w:rPr>
          <w:rFonts w:eastAsia="ＭＳ Ｐゴシック"/>
          <w:color w:val="000000" w:themeColor="text1"/>
        </w:rPr>
        <w:t xml:space="preserve"> Subsequently, each positive</w:t>
      </w:r>
      <w:r w:rsidRPr="0074469E">
        <w:rPr>
          <w:rFonts w:eastAsia="ＭＳ Ｐゴシック"/>
          <w:i/>
          <w:iCs/>
          <w:color w:val="000000" w:themeColor="text1"/>
        </w:rPr>
        <w:t xml:space="preserve"> </w:t>
      </w:r>
      <w:r w:rsidRPr="0074469E">
        <w:rPr>
          <w:rFonts w:eastAsia="ＭＳ Ｐゴシック"/>
          <w:color w:val="000000" w:themeColor="text1"/>
        </w:rPr>
        <w:t xml:space="preserve">presynaptic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15 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50 </w:t>
      </w:r>
      <w:proofErr w:type="spellStart"/>
      <w:r w:rsidRPr="0074469E">
        <w:rPr>
          <w:rFonts w:eastAsia="ＭＳ Ｐゴシック"/>
          <w:color w:val="000000" w:themeColor="text1"/>
        </w:rPr>
        <w:t>ms</w:t>
      </w:r>
      <w:proofErr w:type="spellEnd"/>
      <w:r w:rsidRPr="0074469E">
        <w:rPr>
          <w:rFonts w:eastAsia="ＭＳ Ｐゴシック"/>
          <w:color w:val="000000" w:themeColor="text1"/>
        </w:rPr>
        <w:t xml:space="preserve">) reduced the PSCs in stages because the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游明朝"/>
          <w:color w:val="000000" w:themeColor="text1"/>
        </w:rPr>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游明朝"/>
          <w:color w:val="000000" w:themeColor="text1"/>
        </w:rPr>
        <w:t xml:space="preserve"> </w:t>
      </w:r>
      <w:r w:rsidRPr="0074469E">
        <w:rPr>
          <w:rFonts w:eastAsia="ＭＳ Ｐゴシック"/>
          <w:color w:val="000000" w:themeColor="text1"/>
        </w:rPr>
        <w:t xml:space="preserve">curve shifted from blue to red in </w:t>
      </w:r>
      <w:r w:rsidR="00BF59A4" w:rsidRPr="0074469E">
        <w:rPr>
          <w:rFonts w:eastAsia="ＭＳ Ｐゴシック"/>
          <w:color w:val="000000" w:themeColor="text1"/>
        </w:rPr>
        <w:t>Figure</w:t>
      </w:r>
      <w:r w:rsidRPr="0074469E">
        <w:rPr>
          <w:rFonts w:eastAsia="ＭＳ Ｐゴシック"/>
          <w:color w:val="000000" w:themeColor="text1"/>
        </w:rPr>
        <w:t xml:space="preserve"> 5a. This decay in the PSC represents the inhibitory synaptic operation. Meanwhile, negative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pulses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w:t>
      </w:r>
      <w:r w:rsidRPr="0074469E">
        <w:rPr>
          <w:rFonts w:eastAsia="游明朝"/>
          <w:color w:val="000000" w:themeColor="text1"/>
        </w:rPr>
        <w:t>−</w:t>
      </w:r>
      <w:r w:rsidRPr="0074469E">
        <w:rPr>
          <w:rFonts w:eastAsia="ＭＳ Ｐゴシック"/>
          <w:color w:val="000000" w:themeColor="text1"/>
        </w:rPr>
        <w:t xml:space="preserve">16 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50 </w:t>
      </w:r>
      <w:proofErr w:type="spellStart"/>
      <w:r w:rsidRPr="0074469E">
        <w:rPr>
          <w:rFonts w:eastAsia="ＭＳ Ｐゴシック"/>
          <w:color w:val="000000" w:themeColor="text1"/>
        </w:rPr>
        <w:t>ms</w:t>
      </w:r>
      <w:proofErr w:type="spellEnd"/>
      <w:r w:rsidRPr="0074469E">
        <w:rPr>
          <w:rFonts w:eastAsia="ＭＳ Ｐゴシック"/>
          <w:color w:val="000000" w:themeColor="text1"/>
        </w:rPr>
        <w:t xml:space="preserve">) increased the PSC stepwise from </w:t>
      </w:r>
      <w:r w:rsidRPr="0074469E">
        <w:rPr>
          <w:rFonts w:eastAsia="游明朝"/>
          <w:color w:val="000000" w:themeColor="text1"/>
        </w:rPr>
        <w:t>–</w:t>
      </w:r>
      <w:r w:rsidRPr="0074469E">
        <w:rPr>
          <w:rFonts w:eastAsia="ＭＳ Ｐゴシック"/>
          <w:color w:val="000000" w:themeColor="text1"/>
        </w:rPr>
        <w:t xml:space="preserve">6.7 </w:t>
      </w:r>
      <w:proofErr w:type="spellStart"/>
      <w:r w:rsidRPr="0074469E">
        <w:rPr>
          <w:rFonts w:eastAsia="ＭＳ Ｐゴシック"/>
          <w:color w:val="000000" w:themeColor="text1"/>
        </w:rPr>
        <w:t>nA</w:t>
      </w:r>
      <w:proofErr w:type="spellEnd"/>
      <w:r w:rsidRPr="0074469E">
        <w:rPr>
          <w:rFonts w:eastAsia="ＭＳ Ｐゴシック"/>
          <w:color w:val="000000" w:themeColor="text1"/>
        </w:rPr>
        <w:t xml:space="preserve"> to </w:t>
      </w:r>
      <w:r w:rsidRPr="0074469E">
        <w:rPr>
          <w:rFonts w:eastAsia="游明朝"/>
          <w:color w:val="000000" w:themeColor="text1"/>
        </w:rPr>
        <w:t>−</w:t>
      </w:r>
      <w:r w:rsidRPr="0074469E">
        <w:rPr>
          <w:rFonts w:eastAsia="ＭＳ Ｐゴシック"/>
          <w:color w:val="000000" w:themeColor="text1"/>
        </w:rPr>
        <w:t xml:space="preserve">7.1 </w:t>
      </w:r>
      <w:proofErr w:type="spellStart"/>
      <w:r w:rsidRPr="0074469E">
        <w:rPr>
          <w:rFonts w:eastAsia="ＭＳ Ｐゴシック"/>
          <w:color w:val="000000" w:themeColor="text1"/>
        </w:rPr>
        <w:t>nA</w:t>
      </w:r>
      <w:proofErr w:type="spellEnd"/>
      <w:r w:rsidRPr="0074469E">
        <w:rPr>
          <w:rFonts w:eastAsia="ＭＳ Ｐゴシック"/>
          <w:color w:val="000000" w:themeColor="text1"/>
        </w:rPr>
        <w:t xml:space="preserve"> as shown in </w:t>
      </w:r>
      <w:r w:rsidR="00BF59A4" w:rsidRPr="0074469E">
        <w:rPr>
          <w:rFonts w:eastAsia="ＭＳ Ｐゴシック"/>
          <w:color w:val="000000" w:themeColor="text1"/>
        </w:rPr>
        <w:t>Figure</w:t>
      </w:r>
      <w:r w:rsidRPr="0074469E">
        <w:rPr>
          <w:rFonts w:eastAsia="ＭＳ Ｐゴシック"/>
          <w:color w:val="000000" w:themeColor="text1"/>
        </w:rPr>
        <w:t xml:space="preserve"> 5c (</w:t>
      </w:r>
      <w:proofErr w:type="spellStart"/>
      <w:r w:rsidRPr="0074469E">
        <w:rPr>
          <w:rFonts w:eastAsia="ＭＳ Ｐゴシック"/>
          <w:color w:val="000000" w:themeColor="text1"/>
        </w:rPr>
        <w:t>i</w:t>
      </w:r>
      <w:proofErr w:type="spellEnd"/>
      <w:r w:rsidRPr="0074469E">
        <w:rPr>
          <w:rFonts w:eastAsia="ＭＳ Ｐゴシック"/>
          <w:color w:val="000000" w:themeColor="text1"/>
        </w:rPr>
        <w:t>), which corresponds to the excitatory synaptic operation.</w:t>
      </w:r>
    </w:p>
    <w:p w14:paraId="29ECFF17" w14:textId="4DBDB657" w:rsidR="000C12BB" w:rsidRPr="0074469E" w:rsidRDefault="000C12BB" w:rsidP="00897AFB">
      <w:pPr>
        <w:pStyle w:val="TAMainText"/>
        <w:rPr>
          <w:rFonts w:eastAsia="ＭＳ Ｐゴシック"/>
          <w:color w:val="000000" w:themeColor="text1"/>
        </w:rPr>
      </w:pPr>
      <w:r w:rsidRPr="0074469E">
        <w:rPr>
          <w:rFonts w:eastAsia="ＭＳ Ｐゴシック"/>
          <w:color w:val="000000" w:themeColor="text1"/>
        </w:rPr>
        <w:t xml:space="preserve">Next, the opposite synaptic responses were obtained as shown in </w:t>
      </w:r>
      <w:r w:rsidR="00BF59A4" w:rsidRPr="0074469E">
        <w:rPr>
          <w:rFonts w:eastAsia="ＭＳ Ｐゴシック"/>
          <w:color w:val="000000" w:themeColor="text1"/>
        </w:rPr>
        <w:t>Figure</w:t>
      </w:r>
      <w:r w:rsidRPr="0074469E">
        <w:rPr>
          <w:rFonts w:eastAsia="ＭＳ Ｐゴシック"/>
          <w:color w:val="000000" w:themeColor="text1"/>
        </w:rPr>
        <w:t>s 5e</w:t>
      </w:r>
      <w:r w:rsidR="00FA2C80" w:rsidRPr="0074469E">
        <w:rPr>
          <w:rFonts w:eastAsia="ＭＳ Ｐゴシック"/>
          <w:color w:val="000000" w:themeColor="text1"/>
        </w:rPr>
        <w:t>,</w:t>
      </w:r>
      <w:r w:rsidR="001856F7" w:rsidRPr="0074469E">
        <w:rPr>
          <w:rFonts w:eastAsia="ＭＳ Ｐゴシック"/>
          <w:color w:val="000000" w:themeColor="text1"/>
        </w:rPr>
        <w:t xml:space="preserve"> </w:t>
      </w:r>
      <w:r w:rsidRPr="0074469E">
        <w:rPr>
          <w:rFonts w:eastAsia="ＭＳ Ｐゴシック"/>
          <w:color w:val="000000" w:themeColor="text1"/>
        </w:rPr>
        <w:t>5f. Here, the sequences and polarities of the applied voltages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and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bg</w:t>
      </w:r>
      <w:proofErr w:type="spellEnd"/>
      <w:r w:rsidRPr="0074469E">
        <w:rPr>
          <w:rFonts w:eastAsia="ＭＳ Ｐゴシック"/>
          <w:color w:val="000000" w:themeColor="text1"/>
        </w:rPr>
        <w:t xml:space="preserve"> in </w:t>
      </w:r>
      <w:r w:rsidR="00BF59A4" w:rsidRPr="0074469E">
        <w:rPr>
          <w:rFonts w:eastAsia="ＭＳ Ｐゴシック"/>
          <w:color w:val="000000" w:themeColor="text1"/>
        </w:rPr>
        <w:t>Figures</w:t>
      </w:r>
      <w:r w:rsidRPr="0074469E">
        <w:rPr>
          <w:rFonts w:eastAsia="ＭＳ Ｐゴシック"/>
          <w:color w:val="000000" w:themeColor="text1"/>
        </w:rPr>
        <w:t xml:space="preserve"> 5e (ii)</w:t>
      </w:r>
      <w:r w:rsidR="00FA2C80" w:rsidRPr="0074469E">
        <w:rPr>
          <w:rFonts w:eastAsia="ＭＳ Ｐゴシック"/>
          <w:color w:val="000000" w:themeColor="text1"/>
        </w:rPr>
        <w:t>,</w:t>
      </w:r>
      <w:r w:rsidRPr="0074469E">
        <w:rPr>
          <w:rFonts w:eastAsia="ＭＳ Ｐゴシック"/>
          <w:color w:val="000000" w:themeColor="text1"/>
        </w:rPr>
        <w:t xml:space="preserve"> 5f (ii)) were the same as those in </w:t>
      </w:r>
      <w:r w:rsidR="00BF59A4" w:rsidRPr="0074469E">
        <w:rPr>
          <w:rFonts w:eastAsia="ＭＳ Ｐゴシック"/>
          <w:color w:val="000000" w:themeColor="text1"/>
        </w:rPr>
        <w:t>Figures</w:t>
      </w:r>
      <w:r w:rsidRPr="0074469E">
        <w:rPr>
          <w:rFonts w:eastAsia="ＭＳ Ｐゴシック"/>
          <w:color w:val="000000" w:themeColor="text1"/>
        </w:rPr>
        <w:t xml:space="preserve"> 5b (ii)</w:t>
      </w:r>
      <w:r w:rsidR="00FA2C80" w:rsidRPr="0074469E">
        <w:rPr>
          <w:rFonts w:eastAsia="ＭＳ Ｐゴシック"/>
          <w:color w:val="000000" w:themeColor="text1"/>
        </w:rPr>
        <w:t>,</w:t>
      </w:r>
      <w:r w:rsidR="001856F7" w:rsidRPr="0074469E">
        <w:rPr>
          <w:rFonts w:eastAsia="ＭＳ Ｐゴシック"/>
          <w:color w:val="000000" w:themeColor="text1"/>
        </w:rPr>
        <w:t xml:space="preserve"> </w:t>
      </w:r>
      <w:r w:rsidRPr="0074469E">
        <w:rPr>
          <w:rFonts w:eastAsia="ＭＳ Ｐゴシック"/>
          <w:color w:val="000000" w:themeColor="text1"/>
        </w:rPr>
        <w:t xml:space="preserve">5c (ii). The </w:t>
      </w:r>
      <w:r w:rsidR="001856F7" w:rsidRPr="0074469E">
        <w:rPr>
          <w:rFonts w:eastAsia="ＭＳ Ｐゴシック"/>
          <w:color w:val="000000" w:themeColor="text1"/>
        </w:rPr>
        <w:t xml:space="preserve">only </w:t>
      </w:r>
      <w:r w:rsidRPr="0074469E">
        <w:rPr>
          <w:rFonts w:eastAsia="ＭＳ Ｐゴシック"/>
          <w:color w:val="000000" w:themeColor="text1"/>
        </w:rPr>
        <w:t>difference is the readout voltage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read</w:t>
      </w:r>
      <w:proofErr w:type="spellEnd"/>
      <w:r w:rsidRPr="0074469E">
        <w:rPr>
          <w:rFonts w:eastAsia="ＭＳ Ｐゴシック"/>
          <w:color w:val="000000" w:themeColor="text1"/>
        </w:rPr>
        <w:t xml:space="preserve">), which was changed from </w:t>
      </w:r>
      <w:r w:rsidRPr="0074469E">
        <w:rPr>
          <w:rFonts w:eastAsia="游明朝"/>
          <w:color w:val="000000" w:themeColor="text1"/>
        </w:rPr>
        <w:t>−</w:t>
      </w:r>
      <w:r w:rsidRPr="0074469E">
        <w:rPr>
          <w:rFonts w:eastAsia="ＭＳ Ｐゴシック"/>
          <w:color w:val="000000" w:themeColor="text1"/>
        </w:rPr>
        <w:t xml:space="preserve">4.0 V to 1.5 V. Then, the magnitude relation of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ＭＳ Ｐゴシック"/>
          <w:color w:val="000000" w:themeColor="text1"/>
        </w:rPr>
        <w:t xml:space="preserve"> was reversed;</w:t>
      </w:r>
      <w:r w:rsidRPr="0074469E">
        <w:rPr>
          <w:rFonts w:eastAsia="ＭＳ Ｐゴシック"/>
          <w:i/>
          <w:iCs/>
          <w:color w:val="000000" w:themeColor="text1"/>
        </w:rPr>
        <w:t xml:space="preserve"> </w:t>
      </w:r>
      <w:r w:rsidRPr="0074469E">
        <w:rPr>
          <w:rFonts w:eastAsia="ＭＳ Ｐゴシック"/>
          <w:iCs/>
          <w:color w:val="000000" w:themeColor="text1"/>
        </w:rPr>
        <w:t xml:space="preserve">the </w:t>
      </w:r>
      <w:r w:rsidRPr="0074469E">
        <w:rPr>
          <w:rFonts w:eastAsia="ＭＳ Ｐゴシック"/>
          <w:i/>
          <w:iCs/>
          <w:color w:val="000000" w:themeColor="text1"/>
        </w:rPr>
        <w:t>I</w:t>
      </w:r>
      <w:r w:rsidRPr="0074469E">
        <w:rPr>
          <w:rFonts w:eastAsia="ＭＳ Ｐゴシック"/>
          <w:color w:val="000000" w:themeColor="text1"/>
          <w:vertAlign w:val="subscript"/>
        </w:rPr>
        <w:t>d</w:t>
      </w:r>
      <w:r w:rsidRPr="0074469E">
        <w:rPr>
          <w:rFonts w:eastAsia="ＭＳ Ｐゴシック"/>
          <w:color w:val="000000" w:themeColor="text1"/>
        </w:rPr>
        <w:t xml:space="preserve"> </w:t>
      </w:r>
      <w:r w:rsidR="001856F7" w:rsidRPr="0074469E">
        <w:rPr>
          <w:rFonts w:eastAsia="ＭＳ Ｐゴシック"/>
          <w:color w:val="000000" w:themeColor="text1"/>
        </w:rPr>
        <w:t xml:space="preserve">value </w:t>
      </w:r>
      <w:r w:rsidRPr="0074469E">
        <w:rPr>
          <w:rFonts w:eastAsia="ＭＳ Ｐゴシック"/>
          <w:color w:val="000000" w:themeColor="text1"/>
        </w:rPr>
        <w:t xml:space="preserve">after negative pulse application (red line) was larger than that in the initial state (blue line) at a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read</w:t>
      </w:r>
      <w:proofErr w:type="spellEnd"/>
      <w:r w:rsidRPr="0074469E">
        <w:rPr>
          <w:rFonts w:eastAsia="ＭＳ Ｐゴシック"/>
          <w:color w:val="000000" w:themeColor="text1"/>
        </w:rPr>
        <w:t xml:space="preserve"> of 1.5 V. In consequence, the positive presynaptic pulse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15 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50 </w:t>
      </w:r>
      <w:proofErr w:type="spellStart"/>
      <w:r w:rsidRPr="0074469E">
        <w:rPr>
          <w:rFonts w:eastAsia="ＭＳ Ｐゴシック"/>
          <w:color w:val="000000" w:themeColor="text1"/>
        </w:rPr>
        <w:t>ms</w:t>
      </w:r>
      <w:proofErr w:type="spellEnd"/>
      <w:r w:rsidRPr="0074469E">
        <w:rPr>
          <w:rFonts w:eastAsia="ＭＳ Ｐゴシック"/>
          <w:color w:val="000000" w:themeColor="text1"/>
        </w:rPr>
        <w:t>) increased the PSC to induce an excitatory synaptic operation (</w:t>
      </w:r>
      <w:r w:rsidR="00137FD6" w:rsidRPr="0074469E">
        <w:rPr>
          <w:rFonts w:eastAsia="ＭＳ Ｐゴシック"/>
          <w:color w:val="000000" w:themeColor="text1"/>
        </w:rPr>
        <w:t>Figure</w:t>
      </w:r>
      <w:r w:rsidRPr="0074469E">
        <w:rPr>
          <w:rFonts w:eastAsia="ＭＳ Ｐゴシック"/>
          <w:color w:val="000000" w:themeColor="text1"/>
        </w:rPr>
        <w:t xml:space="preserve"> 5e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 Whereas, the negative presynaptic pulse </w:t>
      </w:r>
      <w:r w:rsidRPr="0074469E">
        <w:rPr>
          <w:rFonts w:eastAsia="ＭＳ Ｐゴシック"/>
          <w:color w:val="000000" w:themeColor="text1"/>
        </w:rPr>
        <w:lastRenderedPageBreak/>
        <w:t>(</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w:t>
      </w:r>
      <w:r w:rsidRPr="0074469E">
        <w:rPr>
          <w:rFonts w:eastAsia="游明朝"/>
          <w:color w:val="000000" w:themeColor="text1"/>
        </w:rPr>
        <w:t>−</w:t>
      </w:r>
      <w:r w:rsidRPr="0074469E">
        <w:rPr>
          <w:rFonts w:eastAsia="ＭＳ Ｐゴシック"/>
          <w:color w:val="000000" w:themeColor="text1"/>
        </w:rPr>
        <w:t xml:space="preserve">16 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50 </w:t>
      </w:r>
      <w:proofErr w:type="spellStart"/>
      <w:r w:rsidRPr="0074469E">
        <w:rPr>
          <w:rFonts w:eastAsia="ＭＳ Ｐゴシック"/>
          <w:color w:val="000000" w:themeColor="text1"/>
        </w:rPr>
        <w:t>ms</w:t>
      </w:r>
      <w:proofErr w:type="spellEnd"/>
      <w:r w:rsidRPr="0074469E">
        <w:rPr>
          <w:rFonts w:eastAsia="ＭＳ Ｐゴシック"/>
          <w:color w:val="000000" w:themeColor="text1"/>
        </w:rPr>
        <w:t>) reduced the PSC thus inducing an inhibitory synaptic operation (</w:t>
      </w:r>
      <w:r w:rsidR="00137FD6" w:rsidRPr="0074469E">
        <w:rPr>
          <w:rFonts w:eastAsia="ＭＳ Ｐゴシック"/>
          <w:color w:val="000000" w:themeColor="text1"/>
        </w:rPr>
        <w:t>Figure</w:t>
      </w:r>
      <w:r w:rsidRPr="0074469E">
        <w:rPr>
          <w:rFonts w:eastAsia="ＭＳ Ｐゴシック"/>
          <w:color w:val="000000" w:themeColor="text1"/>
        </w:rPr>
        <w:t xml:space="preserve"> 5f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 </w:t>
      </w:r>
    </w:p>
    <w:p w14:paraId="0402CBC2" w14:textId="08E76358" w:rsidR="000C12BB" w:rsidRPr="0074469E" w:rsidRDefault="000C12BB" w:rsidP="00897AFB">
      <w:pPr>
        <w:pStyle w:val="TAMainText"/>
        <w:rPr>
          <w:rFonts w:eastAsia="ＭＳ Ｐゴシック"/>
          <w:color w:val="000000" w:themeColor="text1"/>
        </w:rPr>
      </w:pPr>
      <w:r w:rsidRPr="0074469E">
        <w:rPr>
          <w:rFonts w:eastAsia="ＭＳ Ｐゴシック"/>
          <w:color w:val="000000" w:themeColor="text1"/>
        </w:rPr>
        <w:t xml:space="preserve">A noteworthy feature of the dual-gate AAT is that the conversion between excitatory and inhibitory synaptic operations can be achieved without changing the polarity of the presynaptic pulse as shown in </w:t>
      </w:r>
      <w:r w:rsidR="005E55CF" w:rsidRPr="0074469E">
        <w:rPr>
          <w:rFonts w:eastAsia="ＭＳ Ｐゴシック"/>
          <w:color w:val="000000" w:themeColor="text1"/>
        </w:rPr>
        <w:t>Figures</w:t>
      </w:r>
      <w:r w:rsidRPr="0074469E">
        <w:rPr>
          <w:rFonts w:eastAsia="ＭＳ Ｐゴシック"/>
          <w:color w:val="000000" w:themeColor="text1"/>
        </w:rPr>
        <w:t xml:space="preserve"> 5h</w:t>
      </w:r>
      <w:r w:rsidR="00FA2C80" w:rsidRPr="0074469E">
        <w:rPr>
          <w:rFonts w:eastAsia="ＭＳ Ｐゴシック"/>
          <w:color w:val="000000" w:themeColor="text1"/>
        </w:rPr>
        <w:t>,</w:t>
      </w:r>
      <w:r w:rsidR="001856F7" w:rsidRPr="0074469E">
        <w:rPr>
          <w:rFonts w:eastAsia="ＭＳ Ｐゴシック"/>
          <w:color w:val="000000" w:themeColor="text1"/>
        </w:rPr>
        <w:t xml:space="preserve"> </w:t>
      </w:r>
      <w:r w:rsidRPr="0074469E">
        <w:rPr>
          <w:rFonts w:eastAsia="ＭＳ Ｐゴシック"/>
          <w:color w:val="000000" w:themeColor="text1"/>
        </w:rPr>
        <w:t xml:space="preserve">5i. For these measurements, the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read</w:t>
      </w:r>
      <w:proofErr w:type="spellEnd"/>
      <w:r w:rsidRPr="0074469E">
        <w:rPr>
          <w:rFonts w:eastAsia="ＭＳ Ｐゴシック"/>
          <w:color w:val="000000" w:themeColor="text1"/>
        </w:rPr>
        <w:t xml:space="preserve"> was changed to </w:t>
      </w:r>
      <w:r w:rsidRPr="0074469E">
        <w:rPr>
          <w:rFonts w:eastAsia="游明朝"/>
          <w:color w:val="000000" w:themeColor="text1"/>
        </w:rPr>
        <w:t>−0</w:t>
      </w:r>
      <w:r w:rsidRPr="0074469E">
        <w:rPr>
          <w:rFonts w:eastAsia="ＭＳ Ｐゴシック"/>
          <w:color w:val="000000" w:themeColor="text1"/>
        </w:rPr>
        <w:t>.3 V but the applied voltage sequences were the same (</w:t>
      </w:r>
      <w:r w:rsidR="005E55CF" w:rsidRPr="0074469E">
        <w:rPr>
          <w:rFonts w:eastAsia="ＭＳ Ｐゴシック"/>
          <w:color w:val="000000" w:themeColor="text1"/>
        </w:rPr>
        <w:t>Figures</w:t>
      </w:r>
      <w:r w:rsidRPr="0074469E">
        <w:rPr>
          <w:rFonts w:eastAsia="ＭＳ Ｐゴシック"/>
          <w:color w:val="000000" w:themeColor="text1"/>
        </w:rPr>
        <w:t xml:space="preserve"> 5h (ii)</w:t>
      </w:r>
      <w:r w:rsidR="00FA2C80" w:rsidRPr="0074469E">
        <w:rPr>
          <w:rFonts w:eastAsia="ＭＳ Ｐゴシック"/>
          <w:color w:val="000000" w:themeColor="text1"/>
        </w:rPr>
        <w:t>,</w:t>
      </w:r>
      <w:r w:rsidR="002A374A" w:rsidRPr="0074469E">
        <w:rPr>
          <w:rFonts w:eastAsia="ＭＳ Ｐゴシック"/>
          <w:color w:val="000000" w:themeColor="text1"/>
        </w:rPr>
        <w:t xml:space="preserve"> </w:t>
      </w:r>
      <w:r w:rsidRPr="0074469E">
        <w:rPr>
          <w:rFonts w:eastAsia="ＭＳ Ｐゴシック"/>
          <w:color w:val="000000" w:themeColor="text1"/>
        </w:rPr>
        <w:t>5i (ii)). Initially, the positive presynaptic pulse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tg</w:t>
      </w:r>
      <w:proofErr w:type="spellEnd"/>
      <w:r w:rsidRPr="0074469E">
        <w:rPr>
          <w:rFonts w:eastAsia="ＭＳ Ｐゴシック"/>
          <w:color w:val="000000" w:themeColor="text1"/>
        </w:rPr>
        <w:t xml:space="preserve"> = 13 V, </w:t>
      </w:r>
      <w:proofErr w:type="spellStart"/>
      <w:r w:rsidRPr="0074469E">
        <w:rPr>
          <w:rFonts w:eastAsia="ＭＳ Ｐゴシック"/>
          <w:i/>
          <w:iCs/>
          <w:color w:val="000000" w:themeColor="text1"/>
        </w:rPr>
        <w:t>P</w:t>
      </w:r>
      <w:r w:rsidRPr="0074469E">
        <w:rPr>
          <w:rFonts w:eastAsia="ＭＳ Ｐゴシック"/>
          <w:color w:val="000000" w:themeColor="text1"/>
          <w:vertAlign w:val="subscript"/>
        </w:rPr>
        <w:t>width</w:t>
      </w:r>
      <w:proofErr w:type="spellEnd"/>
      <w:r w:rsidRPr="0074469E">
        <w:rPr>
          <w:rFonts w:eastAsia="ＭＳ Ｐゴシック"/>
          <w:color w:val="000000" w:themeColor="text1"/>
        </w:rPr>
        <w:t xml:space="preserve"> = 5 </w:t>
      </w:r>
      <w:proofErr w:type="spellStart"/>
      <w:r w:rsidRPr="0074469E">
        <w:rPr>
          <w:rFonts w:eastAsia="ＭＳ Ｐゴシック"/>
          <w:color w:val="000000" w:themeColor="text1"/>
        </w:rPr>
        <w:t>ms</w:t>
      </w:r>
      <w:proofErr w:type="spellEnd"/>
      <w:r w:rsidRPr="0074469E">
        <w:rPr>
          <w:rFonts w:eastAsia="ＭＳ Ｐゴシック"/>
          <w:color w:val="000000" w:themeColor="text1"/>
        </w:rPr>
        <w:t>) increased the P</w:t>
      </w:r>
      <w:r w:rsidR="006D56EC" w:rsidRPr="0074469E">
        <w:rPr>
          <w:rFonts w:eastAsia="ＭＳ Ｐゴシック"/>
          <w:color w:val="000000" w:themeColor="text1"/>
        </w:rPr>
        <w:t>SC</w:t>
      </w:r>
      <w:r w:rsidRPr="0074469E">
        <w:rPr>
          <w:rFonts w:eastAsia="ＭＳ Ｐゴシック"/>
          <w:color w:val="000000" w:themeColor="text1"/>
        </w:rPr>
        <w:t>, corresponding to an excitatory synaptic operation (</w:t>
      </w:r>
      <w:r w:rsidR="005E55CF" w:rsidRPr="0074469E">
        <w:rPr>
          <w:rFonts w:eastAsia="ＭＳ Ｐゴシック"/>
          <w:color w:val="000000" w:themeColor="text1"/>
        </w:rPr>
        <w:t xml:space="preserve">Figure </w:t>
      </w:r>
      <w:r w:rsidRPr="0074469E">
        <w:rPr>
          <w:rFonts w:eastAsia="ＭＳ Ｐゴシック"/>
          <w:color w:val="000000" w:themeColor="text1"/>
        </w:rPr>
        <w:t>5h (</w:t>
      </w:r>
      <w:proofErr w:type="spellStart"/>
      <w:r w:rsidRPr="0074469E">
        <w:rPr>
          <w:rFonts w:eastAsia="ＭＳ Ｐゴシック"/>
          <w:color w:val="000000" w:themeColor="text1"/>
        </w:rPr>
        <w:t>i</w:t>
      </w:r>
      <w:proofErr w:type="spellEnd"/>
      <w:r w:rsidRPr="0074469E">
        <w:rPr>
          <w:rFonts w:eastAsia="ＭＳ Ｐゴシック"/>
          <w:color w:val="000000" w:themeColor="text1"/>
        </w:rPr>
        <w:t xml:space="preserve">)). Subsequently, further positive presynaptic pulses were repeatedly applied. As a result, the excitatory synaptic operation was transformed to an inhibitory operation; the PSC was then reduced even by consecutive positive presynaptic pulses as shown in </w:t>
      </w:r>
      <w:r w:rsidR="00C63796" w:rsidRPr="0074469E">
        <w:rPr>
          <w:rFonts w:eastAsia="ＭＳ Ｐゴシック"/>
          <w:color w:val="000000" w:themeColor="text1"/>
        </w:rPr>
        <w:t xml:space="preserve">Figure </w:t>
      </w:r>
      <w:r w:rsidRPr="0074469E">
        <w:rPr>
          <w:rFonts w:eastAsia="ＭＳ Ｐゴシック"/>
          <w:color w:val="000000" w:themeColor="text1"/>
        </w:rPr>
        <w:t>5i (</w:t>
      </w:r>
      <w:proofErr w:type="spellStart"/>
      <w:r w:rsidRPr="0074469E">
        <w:rPr>
          <w:rFonts w:eastAsia="ＭＳ Ｐゴシック"/>
          <w:color w:val="000000" w:themeColor="text1"/>
        </w:rPr>
        <w:t>i</w:t>
      </w:r>
      <w:proofErr w:type="spellEnd"/>
      <w:r w:rsidRPr="0074469E">
        <w:rPr>
          <w:rFonts w:eastAsia="ＭＳ Ｐゴシック"/>
          <w:color w:val="000000" w:themeColor="text1"/>
        </w:rPr>
        <w:t>). This unique electrical reconfiguration was achievable by setting the readout voltage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read</w:t>
      </w:r>
      <w:proofErr w:type="spellEnd"/>
      <w:r w:rsidRPr="0074469E">
        <w:rPr>
          <w:rFonts w:eastAsia="ＭＳ Ｐゴシック"/>
          <w:color w:val="000000" w:themeColor="text1"/>
        </w:rPr>
        <w:t>) in between two peak voltages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peak,n</w:t>
      </w:r>
      <w:proofErr w:type="spellEnd"/>
      <w:r w:rsidRPr="0074469E">
        <w:rPr>
          <w:rFonts w:eastAsia="ＭＳ Ｐゴシック"/>
          <w:color w:val="000000" w:themeColor="text1"/>
        </w:rPr>
        <w:t xml:space="preserve">, </w:t>
      </w:r>
      <w:proofErr w:type="spellStart"/>
      <w:r w:rsidRPr="0074469E">
        <w:rPr>
          <w:rFonts w:eastAsia="ＭＳ Ｐゴシック"/>
          <w:i/>
          <w:iCs/>
          <w:color w:val="000000" w:themeColor="text1"/>
        </w:rPr>
        <w:t>V</w:t>
      </w:r>
      <w:r w:rsidRPr="0074469E">
        <w:rPr>
          <w:rFonts w:eastAsia="ＭＳ Ｐゴシック"/>
          <w:color w:val="000000" w:themeColor="text1"/>
          <w:vertAlign w:val="subscript"/>
        </w:rPr>
        <w:t>peak,p</w:t>
      </w:r>
      <w:proofErr w:type="spellEnd"/>
      <w:r w:rsidRPr="0074469E">
        <w:rPr>
          <w:rFonts w:eastAsia="ＭＳ Ｐゴシック"/>
          <w:color w:val="000000" w:themeColor="text1"/>
        </w:rPr>
        <w:t xml:space="preserve">) as indicated by the dotted line in </w:t>
      </w:r>
      <w:r w:rsidR="00C63796" w:rsidRPr="0074469E">
        <w:rPr>
          <w:rFonts w:eastAsia="ＭＳ Ｐゴシック"/>
          <w:color w:val="000000" w:themeColor="text1"/>
        </w:rPr>
        <w:t xml:space="preserve">Figure </w:t>
      </w:r>
      <w:r w:rsidRPr="0074469E">
        <w:rPr>
          <w:rFonts w:eastAsia="ＭＳ Ｐゴシック"/>
          <w:color w:val="000000" w:themeColor="text1"/>
        </w:rPr>
        <w:t xml:space="preserve">5g. This is possible owing to the Λ-shaped transfer curves and distinguishes this approach from conventional neuromorphic devices. </w:t>
      </w:r>
      <w:bookmarkEnd w:id="33"/>
      <w:bookmarkEnd w:id="34"/>
    </w:p>
    <w:p w14:paraId="7A4F8001" w14:textId="7BE6A2F8" w:rsidR="000C12BB" w:rsidRPr="0074469E" w:rsidRDefault="000C12BB" w:rsidP="00897AFB">
      <w:pPr>
        <w:pStyle w:val="TAMainText"/>
        <w:rPr>
          <w:rFonts w:eastAsia="ＭＳ Ｐゴシック"/>
          <w:color w:val="000000" w:themeColor="text1"/>
        </w:rPr>
      </w:pPr>
      <w:r w:rsidRPr="0074469E">
        <w:rPr>
          <w:rFonts w:eastAsia="ＭＳ Ｐゴシック"/>
          <w:color w:val="000000" w:themeColor="text1"/>
        </w:rPr>
        <w:t xml:space="preserve">In addition, long-term potentiation (LTP) and long-term depression (LTD) were investigated as shown in </w:t>
      </w:r>
      <w:r w:rsidR="00C63796" w:rsidRPr="0074469E">
        <w:rPr>
          <w:rFonts w:eastAsia="ＭＳ Ｐゴシック"/>
          <w:color w:val="000000" w:themeColor="text1"/>
        </w:rPr>
        <w:t>Figure</w:t>
      </w:r>
      <w:r w:rsidRPr="0074469E">
        <w:rPr>
          <w:rFonts w:eastAsia="ＭＳ Ｐゴシック"/>
          <w:color w:val="000000" w:themeColor="text1"/>
        </w:rPr>
        <w:t xml:space="preserve"> 6. Here, the PSCs are plotted as a function of applied pulse numbers. The PSC behaviors were clearly differentiated by changing the readout voltages, which were </w:t>
      </w:r>
      <w:r w:rsidRPr="0074469E">
        <w:rPr>
          <w:rFonts w:eastAsia="游明朝"/>
          <w:color w:val="000000" w:themeColor="text1"/>
        </w:rPr>
        <w:t>−4.0</w:t>
      </w:r>
      <w:r w:rsidRPr="0074469E">
        <w:rPr>
          <w:rFonts w:eastAsia="ＭＳ Ｐゴシック"/>
          <w:color w:val="000000" w:themeColor="text1"/>
        </w:rPr>
        <w:t xml:space="preserve"> V (</w:t>
      </w:r>
      <w:r w:rsidR="00C63796" w:rsidRPr="0074469E">
        <w:rPr>
          <w:rFonts w:eastAsia="ＭＳ Ｐゴシック"/>
          <w:color w:val="000000" w:themeColor="text1"/>
        </w:rPr>
        <w:t>Figure</w:t>
      </w:r>
      <w:r w:rsidRPr="0074469E">
        <w:rPr>
          <w:rFonts w:eastAsia="ＭＳ Ｐゴシック"/>
          <w:color w:val="000000" w:themeColor="text1"/>
        </w:rPr>
        <w:t xml:space="preserve"> </w:t>
      </w:r>
      <w:r w:rsidRPr="0074469E">
        <w:rPr>
          <w:rFonts w:eastAsia="ＭＳ Ｐゴシック"/>
          <w:color w:val="000000" w:themeColor="text1"/>
        </w:rPr>
        <w:lastRenderedPageBreak/>
        <w:t>6a), +1.5 V (</w:t>
      </w:r>
      <w:r w:rsidR="00C63796" w:rsidRPr="0074469E">
        <w:rPr>
          <w:rFonts w:eastAsia="ＭＳ Ｐゴシック"/>
          <w:color w:val="000000" w:themeColor="text1"/>
        </w:rPr>
        <w:t>Figure</w:t>
      </w:r>
      <w:r w:rsidRPr="0074469E">
        <w:rPr>
          <w:rFonts w:eastAsia="ＭＳ Ｐゴシック"/>
          <w:color w:val="000000" w:themeColor="text1"/>
        </w:rPr>
        <w:t xml:space="preserve"> 6b) and </w:t>
      </w:r>
      <w:r w:rsidRPr="0074469E">
        <w:rPr>
          <w:rFonts w:eastAsia="游明朝"/>
          <w:color w:val="000000" w:themeColor="text1"/>
        </w:rPr>
        <w:t>−0</w:t>
      </w:r>
      <w:r w:rsidRPr="0074469E">
        <w:rPr>
          <w:rFonts w:eastAsia="ＭＳ Ｐゴシック"/>
          <w:color w:val="000000" w:themeColor="text1"/>
        </w:rPr>
        <w:t>.3 V (</w:t>
      </w:r>
      <w:r w:rsidR="00C63796" w:rsidRPr="0074469E">
        <w:rPr>
          <w:rFonts w:eastAsia="ＭＳ Ｐゴシック"/>
          <w:color w:val="000000" w:themeColor="text1"/>
        </w:rPr>
        <w:t>Figure</w:t>
      </w:r>
      <w:r w:rsidRPr="0074469E">
        <w:rPr>
          <w:rFonts w:eastAsia="ＭＳ Ｐゴシック"/>
          <w:color w:val="000000" w:themeColor="text1"/>
        </w:rPr>
        <w:t xml:space="preserve"> 6c). In </w:t>
      </w:r>
      <w:r w:rsidR="00C63796" w:rsidRPr="0074469E">
        <w:rPr>
          <w:rFonts w:eastAsia="ＭＳ Ｐゴシック"/>
          <w:color w:val="000000" w:themeColor="text1"/>
        </w:rPr>
        <w:t>Figure</w:t>
      </w:r>
      <w:r w:rsidRPr="0074469E">
        <w:rPr>
          <w:rFonts w:eastAsia="ＭＳ Ｐゴシック"/>
          <w:color w:val="000000" w:themeColor="text1"/>
        </w:rPr>
        <w:t xml:space="preserve"> 6a, the positive pulses induced a depression response (red dots) first and subsequent negative pulses transformed this to a potentiation response (blue dots). In contrast, reverse responses were observed by changing </w:t>
      </w:r>
      <w:r w:rsidR="002A374A" w:rsidRPr="0074469E">
        <w:rPr>
          <w:rFonts w:eastAsia="ＭＳ Ｐゴシック"/>
          <w:color w:val="000000" w:themeColor="text1"/>
        </w:rPr>
        <w:t xml:space="preserve">the </w:t>
      </w:r>
      <w:r w:rsidRPr="0074469E">
        <w:rPr>
          <w:rFonts w:eastAsia="ＭＳ Ｐゴシック"/>
          <w:color w:val="000000" w:themeColor="text1"/>
        </w:rPr>
        <w:t xml:space="preserve">readout voltage to + 1.5 V as shown in </w:t>
      </w:r>
      <w:r w:rsidR="002B2501" w:rsidRPr="0074469E">
        <w:rPr>
          <w:rFonts w:eastAsia="ＭＳ Ｐゴシック"/>
          <w:color w:val="000000" w:themeColor="text1"/>
        </w:rPr>
        <w:t>Figure</w:t>
      </w:r>
      <w:r w:rsidRPr="0074469E">
        <w:rPr>
          <w:rFonts w:eastAsia="ＭＳ Ｐゴシック"/>
          <w:color w:val="000000" w:themeColor="text1"/>
        </w:rPr>
        <w:t xml:space="preserve"> 6b. Even though the polarities, applied voltages and pulse widths of the applied pulses were the same as those in </w:t>
      </w:r>
      <w:r w:rsidR="002B2501" w:rsidRPr="0074469E">
        <w:rPr>
          <w:rFonts w:eastAsia="ＭＳ Ｐゴシック"/>
          <w:color w:val="000000" w:themeColor="text1"/>
        </w:rPr>
        <w:t>Figure</w:t>
      </w:r>
      <w:r w:rsidRPr="0074469E">
        <w:rPr>
          <w:rFonts w:eastAsia="ＭＳ Ｐゴシック"/>
          <w:color w:val="000000" w:themeColor="text1"/>
        </w:rPr>
        <w:t xml:space="preserve"> 6a, the potentiation and depression responses appeared in totally opposite orders. It is noteworthy that a similar transformation from LTP to LTD was realized even by the continuous application of positive presynaptic pulses as shown in </w:t>
      </w:r>
      <w:r w:rsidR="002B2501" w:rsidRPr="0074469E">
        <w:rPr>
          <w:rFonts w:eastAsia="ＭＳ Ｐゴシック"/>
          <w:color w:val="000000" w:themeColor="text1"/>
        </w:rPr>
        <w:t>Figure</w:t>
      </w:r>
      <w:r w:rsidRPr="0074469E">
        <w:rPr>
          <w:rFonts w:eastAsia="ＭＳ Ｐゴシック"/>
          <w:color w:val="000000" w:themeColor="text1"/>
        </w:rPr>
        <w:t xml:space="preserve"> 6c. This operation was realized by setting the readout voltage at </w:t>
      </w:r>
      <w:r w:rsidRPr="0074469E">
        <w:rPr>
          <w:rFonts w:eastAsia="游明朝"/>
          <w:color w:val="000000" w:themeColor="text1"/>
        </w:rPr>
        <w:t>−0</w:t>
      </w:r>
      <w:r w:rsidRPr="0074469E">
        <w:rPr>
          <w:rFonts w:eastAsia="ＭＳ Ｐゴシック"/>
          <w:color w:val="000000" w:themeColor="text1"/>
        </w:rPr>
        <w:t xml:space="preserve">.3 V. This electrical switching of the synaptic operations was attained with the same analogy as those between the excitatory and inhibitory operations discussed in </w:t>
      </w:r>
      <w:r w:rsidR="002B2501" w:rsidRPr="0074469E">
        <w:rPr>
          <w:rFonts w:eastAsia="ＭＳ Ｐゴシック"/>
          <w:color w:val="000000" w:themeColor="text1"/>
        </w:rPr>
        <w:t>Figures</w:t>
      </w:r>
      <w:r w:rsidRPr="0074469E">
        <w:rPr>
          <w:rFonts w:eastAsia="ＭＳ Ｐゴシック"/>
          <w:color w:val="000000" w:themeColor="text1"/>
        </w:rPr>
        <w:t xml:space="preserve"> 5h</w:t>
      </w:r>
      <w:r w:rsidR="00FA2C80" w:rsidRPr="0074469E">
        <w:rPr>
          <w:rFonts w:eastAsia="ＭＳ Ｐゴシック"/>
          <w:color w:val="000000" w:themeColor="text1"/>
        </w:rPr>
        <w:t>,</w:t>
      </w:r>
      <w:r w:rsidR="002A374A" w:rsidRPr="0074469E">
        <w:rPr>
          <w:rFonts w:eastAsia="ＭＳ Ｐゴシック"/>
          <w:color w:val="000000" w:themeColor="text1"/>
        </w:rPr>
        <w:t xml:space="preserve"> </w:t>
      </w:r>
      <w:r w:rsidRPr="0074469E">
        <w:rPr>
          <w:rFonts w:eastAsia="ＭＳ Ｐゴシック"/>
          <w:color w:val="000000" w:themeColor="text1"/>
        </w:rPr>
        <w:t>5i.</w:t>
      </w:r>
    </w:p>
    <w:p w14:paraId="56EE9ED9" w14:textId="4A998A05" w:rsidR="000C12BB" w:rsidRPr="0074469E" w:rsidRDefault="000C12BB" w:rsidP="00897AFB">
      <w:pPr>
        <w:pStyle w:val="TAMainText"/>
        <w:rPr>
          <w:color w:val="000000" w:themeColor="text1"/>
        </w:rPr>
      </w:pPr>
      <w:r w:rsidRPr="0074469E">
        <w:rPr>
          <w:rFonts w:eastAsia="ＭＳ Ｐゴシック"/>
          <w:color w:val="000000" w:themeColor="text1"/>
        </w:rPr>
        <w:t>As discussed here, we realized reconfigurable and multifunctional synaptic operations, for example inhibitory/excitatory and LTP/LTD operations, employing presynaptic pulses with constant polarity.</w:t>
      </w:r>
      <w:r w:rsidRPr="0074469E">
        <w:rPr>
          <w:color w:val="000000" w:themeColor="text1"/>
        </w:rPr>
        <w:t xml:space="preserve"> Although similar reconfigurable synaptic operations have already </w:t>
      </w:r>
      <w:r w:rsidR="002A374A" w:rsidRPr="0074469E">
        <w:rPr>
          <w:color w:val="000000" w:themeColor="text1"/>
        </w:rPr>
        <w:t xml:space="preserve">been </w:t>
      </w:r>
      <w:r w:rsidRPr="0074469E">
        <w:rPr>
          <w:color w:val="000000" w:themeColor="text1"/>
        </w:rPr>
        <w:t xml:space="preserve">reported using ambipolar transistors </w:t>
      </w:r>
      <w:r w:rsidRPr="0074469E">
        <w:rPr>
          <w:rFonts w:eastAsia="ＭＳ Ｐゴシック"/>
          <w:noProof/>
          <w:color w:val="000000" w:themeColor="text1"/>
          <w:vertAlign w:val="superscript"/>
        </w:rPr>
        <w:t>53-56</w:t>
      </w:r>
      <w:r w:rsidRPr="0074469E">
        <w:rPr>
          <w:rFonts w:eastAsia="ＭＳ Ｐゴシック"/>
          <w:noProof/>
          <w:color w:val="000000" w:themeColor="text1"/>
        </w:rPr>
        <w:t>,</w:t>
      </w:r>
      <w:r w:rsidRPr="0074469E">
        <w:rPr>
          <w:color w:val="000000" w:themeColor="text1"/>
        </w:rPr>
        <w:t xml:space="preserve"> the polarity inversion of the presynaptic pulses </w:t>
      </w:r>
      <w:r w:rsidR="002A374A" w:rsidRPr="0074469E">
        <w:rPr>
          <w:color w:val="000000" w:themeColor="text1"/>
        </w:rPr>
        <w:t>was</w:t>
      </w:r>
      <w:r w:rsidRPr="0074469E">
        <w:rPr>
          <w:color w:val="000000" w:themeColor="text1"/>
        </w:rPr>
        <w:t xml:space="preserve"> necessary. In contrast, our transistor enabled different types of synaptic response, e.g., </w:t>
      </w:r>
      <w:r w:rsidRPr="0074469E">
        <w:rPr>
          <w:rFonts w:eastAsia="ＭＳ Ｐゴシック"/>
          <w:color w:val="000000" w:themeColor="text1"/>
        </w:rPr>
        <w:t>inhibitory/excitatory and LTP/LTD,</w:t>
      </w:r>
      <w:r w:rsidRPr="0074469E">
        <w:rPr>
          <w:color w:val="000000" w:themeColor="text1"/>
        </w:rPr>
        <w:t xml:space="preserve"> simply by changing the readout voltage. These findings are beneficial in terms of truly mimicking the human brain. </w:t>
      </w:r>
    </w:p>
    <w:p w14:paraId="1B50C7AC" w14:textId="77777777" w:rsidR="000C12BB" w:rsidRPr="0074469E" w:rsidRDefault="000C12BB" w:rsidP="00897AFB">
      <w:pPr>
        <w:pStyle w:val="TAMainText"/>
        <w:rPr>
          <w:color w:val="000000" w:themeColor="text1"/>
        </w:rPr>
      </w:pPr>
    </w:p>
    <w:p w14:paraId="0508C6FD" w14:textId="1CD38222" w:rsidR="000C12BB" w:rsidRPr="0074469E" w:rsidRDefault="000C12BB" w:rsidP="004130A7">
      <w:pPr>
        <w:pStyle w:val="TAMainText"/>
        <w:numPr>
          <w:ilvl w:val="0"/>
          <w:numId w:val="4"/>
        </w:numPr>
        <w:rPr>
          <w:color w:val="000000" w:themeColor="text1"/>
        </w:rPr>
      </w:pPr>
      <w:r w:rsidRPr="0074469E">
        <w:rPr>
          <w:color w:val="000000" w:themeColor="text1"/>
        </w:rPr>
        <w:t>CONCLUSION</w:t>
      </w:r>
    </w:p>
    <w:p w14:paraId="3CC67F8C" w14:textId="1F872D07" w:rsidR="000C12BB" w:rsidRPr="0074469E" w:rsidRDefault="000C12BB" w:rsidP="00897AFB">
      <w:pPr>
        <w:pStyle w:val="TAMainText"/>
        <w:rPr>
          <w:color w:val="000000" w:themeColor="text1"/>
        </w:rPr>
      </w:pPr>
      <w:r w:rsidRPr="0074469E">
        <w:rPr>
          <w:color w:val="000000" w:themeColor="text1"/>
        </w:rPr>
        <w:t>In summary, a multifunctional in-memory logic device was developed based on a dual-gate AAT with an ReS</w:t>
      </w:r>
      <w:r w:rsidRPr="0074469E">
        <w:rPr>
          <w:color w:val="000000" w:themeColor="text1"/>
          <w:vertAlign w:val="subscript"/>
        </w:rPr>
        <w:t>2</w:t>
      </w:r>
      <w:r w:rsidRPr="0074469E">
        <w:rPr>
          <w:color w:val="000000" w:themeColor="text1"/>
        </w:rPr>
        <w:t>/WSe</w:t>
      </w:r>
      <w:r w:rsidRPr="0074469E">
        <w:rPr>
          <w:color w:val="000000" w:themeColor="text1"/>
          <w:vertAlign w:val="subscript"/>
        </w:rPr>
        <w:t>2</w:t>
      </w:r>
      <w:r w:rsidRPr="0074469E">
        <w:rPr>
          <w:color w:val="000000" w:themeColor="text1"/>
        </w:rPr>
        <w:t xml:space="preserve"> heterojunction. </w:t>
      </w:r>
      <w:r w:rsidR="002A374A" w:rsidRPr="0074469E">
        <w:rPr>
          <w:color w:val="000000" w:themeColor="text1"/>
        </w:rPr>
        <w:t xml:space="preserve">The key </w:t>
      </w:r>
      <w:r w:rsidRPr="0074469E">
        <w:rPr>
          <w:color w:val="000000" w:themeColor="text1"/>
        </w:rPr>
        <w:t>features were the Λ-shaped transfer curve of the AAT and the memory function of the ZnPc-PS</w:t>
      </w:r>
      <w:r w:rsidRPr="0074469E">
        <w:rPr>
          <w:color w:val="000000" w:themeColor="text1"/>
          <w:vertAlign w:val="subscript"/>
        </w:rPr>
        <w:t>4</w:t>
      </w:r>
      <w:r w:rsidRPr="0074469E">
        <w:rPr>
          <w:color w:val="000000" w:themeColor="text1"/>
        </w:rPr>
        <w:t xml:space="preserve"> layer, which were effectively merged. First, five two-input logic circuits, namely AND, OR, NAND, NOR, and XOR circuits, were constructed by adjusting the top-gate and bottom-gate voltages. Notably, individual logic circuits were electrically switched, for instance, from AND to OR circuits and from NAND to NOR circuits under constant input voltages thanks to the non-volatile memory function. Second, the Λ-shaped transfer curve was precisely controlled by the trapped carriers in the ZnPc-PS</w:t>
      </w:r>
      <w:r w:rsidRPr="0074469E">
        <w:rPr>
          <w:color w:val="000000" w:themeColor="text1"/>
          <w:vertAlign w:val="subscript"/>
        </w:rPr>
        <w:t>4</w:t>
      </w:r>
      <w:r w:rsidRPr="0074469E">
        <w:rPr>
          <w:color w:val="000000" w:themeColor="text1"/>
        </w:rPr>
        <w:t xml:space="preserve"> layer. This feature achieved multifunctional synaptic operations.</w:t>
      </w:r>
      <w:r w:rsidRPr="0074469E">
        <w:rPr>
          <w:rFonts w:eastAsia="ＭＳ Ｐゴシック"/>
          <w:color w:val="000000" w:themeColor="text1"/>
        </w:rPr>
        <w:t xml:space="preserve"> Various types of synaptic operations, such as inhibitory/excitatory and LTP/LTD operations, were realized simply by changing the readout voltage</w:t>
      </w:r>
      <w:r w:rsidRPr="0074469E">
        <w:rPr>
          <w:color w:val="000000" w:themeColor="text1"/>
        </w:rPr>
        <w:t xml:space="preserve"> </w:t>
      </w:r>
      <w:r w:rsidRPr="0074469E">
        <w:rPr>
          <w:rFonts w:eastAsia="ＭＳ Ｐゴシック"/>
          <w:color w:val="000000" w:themeColor="text1"/>
        </w:rPr>
        <w:t xml:space="preserve">under constant presynaptic pulses. </w:t>
      </w:r>
      <w:bookmarkStart w:id="35" w:name="OLE_LINK54"/>
      <w:bookmarkStart w:id="36" w:name="OLE_LINK57"/>
      <w:r w:rsidR="007A530E" w:rsidRPr="0074469E">
        <w:rPr>
          <w:rFonts w:eastAsia="ＭＳ Ｐゴシック" w:hint="eastAsia"/>
          <w:color w:val="000000" w:themeColor="text1"/>
          <w:lang w:eastAsia="ja-JP"/>
        </w:rPr>
        <w:t xml:space="preserve">As shown here, we </w:t>
      </w:r>
      <w:bookmarkStart w:id="37" w:name="OLE_LINK21"/>
      <w:bookmarkStart w:id="38" w:name="OLE_LINK22"/>
      <w:r w:rsidR="007A530E" w:rsidRPr="0074469E">
        <w:rPr>
          <w:rFonts w:hint="eastAsia"/>
          <w:color w:val="000000" w:themeColor="text1"/>
          <w:lang w:eastAsia="ja-JP"/>
        </w:rPr>
        <w:t xml:space="preserve">attained unique logic </w:t>
      </w:r>
      <w:r w:rsidR="00026BE6" w:rsidRPr="0074469E">
        <w:rPr>
          <w:rFonts w:hint="eastAsia"/>
          <w:color w:val="000000" w:themeColor="text1"/>
          <w:lang w:eastAsia="ja-JP"/>
        </w:rPr>
        <w:t>circuits</w:t>
      </w:r>
      <w:r w:rsidR="007A530E" w:rsidRPr="0074469E">
        <w:rPr>
          <w:rFonts w:hint="eastAsia"/>
          <w:color w:val="000000" w:themeColor="text1"/>
          <w:lang w:eastAsia="ja-JP"/>
        </w:rPr>
        <w:t xml:space="preserve"> such as </w:t>
      </w:r>
      <w:r w:rsidR="007A530E" w:rsidRPr="0074469E">
        <w:rPr>
          <w:color w:val="000000" w:themeColor="text1"/>
          <w:lang w:eastAsia="ja-JP"/>
        </w:rPr>
        <w:t>reconfigurable</w:t>
      </w:r>
      <w:r w:rsidR="007A530E" w:rsidRPr="0074469E">
        <w:rPr>
          <w:rFonts w:hint="eastAsia"/>
          <w:color w:val="000000" w:themeColor="text1"/>
          <w:lang w:eastAsia="ja-JP"/>
        </w:rPr>
        <w:t xml:space="preserve"> logic circuits and </w:t>
      </w:r>
      <w:r w:rsidR="007A530E" w:rsidRPr="0074469E">
        <w:rPr>
          <w:color w:val="000000" w:themeColor="text1"/>
          <w:lang w:eastAsia="ja-JP"/>
        </w:rPr>
        <w:t>versatile</w:t>
      </w:r>
      <w:r w:rsidR="007A530E" w:rsidRPr="0074469E">
        <w:rPr>
          <w:rFonts w:hint="eastAsia"/>
          <w:color w:val="000000" w:themeColor="text1"/>
          <w:lang w:eastAsia="ja-JP"/>
        </w:rPr>
        <w:t xml:space="preserve"> synaptic </w:t>
      </w:r>
      <w:r w:rsidR="00026BE6" w:rsidRPr="0074469E">
        <w:rPr>
          <w:rFonts w:hint="eastAsia"/>
          <w:color w:val="000000" w:themeColor="text1"/>
          <w:lang w:eastAsia="ja-JP"/>
        </w:rPr>
        <w:t>systems</w:t>
      </w:r>
      <w:r w:rsidR="007A530E" w:rsidRPr="0074469E">
        <w:rPr>
          <w:rFonts w:hint="eastAsia"/>
          <w:color w:val="000000" w:themeColor="text1"/>
          <w:lang w:eastAsia="ja-JP"/>
        </w:rPr>
        <w:t xml:space="preserve"> by </w:t>
      </w:r>
      <w:r w:rsidR="002A374A" w:rsidRPr="0074469E">
        <w:rPr>
          <w:color w:val="000000" w:themeColor="text1"/>
          <w:lang w:eastAsia="ja-JP"/>
        </w:rPr>
        <w:t>integrating</w:t>
      </w:r>
      <w:r w:rsidR="007A530E" w:rsidRPr="0074469E">
        <w:rPr>
          <w:rFonts w:hint="eastAsia"/>
          <w:color w:val="000000" w:themeColor="text1"/>
          <w:lang w:eastAsia="ja-JP"/>
        </w:rPr>
        <w:t xml:space="preserve"> the non-volatile memory function </w:t>
      </w:r>
      <w:r w:rsidR="002A374A" w:rsidRPr="0074469E">
        <w:rPr>
          <w:color w:val="000000" w:themeColor="text1"/>
          <w:lang w:eastAsia="ja-JP"/>
        </w:rPr>
        <w:t>with</w:t>
      </w:r>
      <w:r w:rsidR="002A374A" w:rsidRPr="0074469E">
        <w:rPr>
          <w:rFonts w:hint="eastAsia"/>
          <w:color w:val="000000" w:themeColor="text1"/>
          <w:lang w:eastAsia="ja-JP"/>
        </w:rPr>
        <w:t xml:space="preserve"> </w:t>
      </w:r>
      <w:r w:rsidR="007A530E" w:rsidRPr="0074469E">
        <w:rPr>
          <w:rFonts w:hint="eastAsia"/>
          <w:color w:val="000000" w:themeColor="text1"/>
          <w:lang w:eastAsia="ja-JP"/>
        </w:rPr>
        <w:t xml:space="preserve">the dual-gate AAT, which </w:t>
      </w:r>
      <w:r w:rsidR="002A374A" w:rsidRPr="0074469E">
        <w:rPr>
          <w:color w:val="000000" w:themeColor="text1"/>
          <w:lang w:eastAsia="ja-JP"/>
        </w:rPr>
        <w:t>is</w:t>
      </w:r>
      <w:r w:rsidR="002A374A" w:rsidRPr="0074469E">
        <w:rPr>
          <w:rFonts w:hint="eastAsia"/>
          <w:color w:val="000000" w:themeColor="text1"/>
          <w:lang w:eastAsia="ja-JP"/>
        </w:rPr>
        <w:t xml:space="preserve"> </w:t>
      </w:r>
      <w:r w:rsidR="007A530E" w:rsidRPr="0074469E">
        <w:rPr>
          <w:rFonts w:hint="eastAsia"/>
          <w:color w:val="000000" w:themeColor="text1"/>
          <w:lang w:eastAsia="ja-JP"/>
        </w:rPr>
        <w:t xml:space="preserve">not </w:t>
      </w:r>
      <w:r w:rsidR="007A530E" w:rsidRPr="0074469E">
        <w:rPr>
          <w:color w:val="000000" w:themeColor="text1"/>
          <w:lang w:eastAsia="ja-JP"/>
        </w:rPr>
        <w:t>achieved</w:t>
      </w:r>
      <w:r w:rsidR="007A530E" w:rsidRPr="0074469E">
        <w:rPr>
          <w:rFonts w:hint="eastAsia"/>
          <w:color w:val="000000" w:themeColor="text1"/>
          <w:lang w:eastAsia="ja-JP"/>
        </w:rPr>
        <w:t xml:space="preserve"> in conventional memory devices. These findings have the potential to </w:t>
      </w:r>
      <w:r w:rsidR="002A374A" w:rsidRPr="0074469E">
        <w:rPr>
          <w:color w:val="000000" w:themeColor="text1"/>
          <w:lang w:eastAsia="ja-JP"/>
        </w:rPr>
        <w:t>lead to</w:t>
      </w:r>
      <w:r w:rsidR="002A374A" w:rsidRPr="0074469E">
        <w:rPr>
          <w:rFonts w:hint="eastAsia"/>
          <w:color w:val="000000" w:themeColor="text1"/>
          <w:lang w:eastAsia="ja-JP"/>
        </w:rPr>
        <w:t xml:space="preserve"> </w:t>
      </w:r>
      <w:r w:rsidR="007A530E" w:rsidRPr="0074469E">
        <w:rPr>
          <w:rFonts w:hint="eastAsia"/>
          <w:color w:val="000000" w:themeColor="text1"/>
          <w:lang w:eastAsia="ja-JP"/>
        </w:rPr>
        <w:t xml:space="preserve">new computing </w:t>
      </w:r>
      <w:r w:rsidR="007A530E" w:rsidRPr="0074469E">
        <w:rPr>
          <w:color w:val="000000" w:themeColor="text1"/>
          <w:lang w:eastAsia="ja-JP"/>
        </w:rPr>
        <w:t>architecture</w:t>
      </w:r>
      <w:r w:rsidR="007A530E" w:rsidRPr="0074469E">
        <w:rPr>
          <w:rFonts w:hint="eastAsia"/>
          <w:color w:val="000000" w:themeColor="text1"/>
          <w:lang w:eastAsia="ja-JP"/>
        </w:rPr>
        <w:t xml:space="preserve"> </w:t>
      </w:r>
      <w:r w:rsidR="002A374A" w:rsidRPr="0074469E">
        <w:rPr>
          <w:color w:val="000000" w:themeColor="text1"/>
          <w:lang w:eastAsia="ja-JP"/>
        </w:rPr>
        <w:t>with a view to realizing</w:t>
      </w:r>
      <w:r w:rsidR="002A374A" w:rsidRPr="0074469E">
        <w:rPr>
          <w:rFonts w:hint="eastAsia"/>
          <w:color w:val="000000" w:themeColor="text1"/>
          <w:lang w:eastAsia="ja-JP"/>
        </w:rPr>
        <w:t xml:space="preserve"> </w:t>
      </w:r>
      <w:r w:rsidR="00310672" w:rsidRPr="0074469E">
        <w:rPr>
          <w:color w:val="000000" w:themeColor="text1"/>
        </w:rPr>
        <w:t>non-von Neumann</w:t>
      </w:r>
      <w:r w:rsidR="007A530E" w:rsidRPr="0074469E">
        <w:rPr>
          <w:rFonts w:hint="eastAsia"/>
          <w:color w:val="000000" w:themeColor="text1"/>
          <w:lang w:eastAsia="ja-JP"/>
        </w:rPr>
        <w:t xml:space="preserve">-type </w:t>
      </w:r>
      <w:r w:rsidR="007A530E" w:rsidRPr="0074469E">
        <w:rPr>
          <w:color w:val="000000" w:themeColor="text1"/>
          <w:lang w:eastAsia="ja-JP"/>
        </w:rPr>
        <w:t>computing</w:t>
      </w:r>
      <w:r w:rsidR="00310672" w:rsidRPr="0074469E">
        <w:rPr>
          <w:color w:val="000000" w:themeColor="text1"/>
        </w:rPr>
        <w:t>.</w:t>
      </w:r>
      <w:bookmarkEnd w:id="37"/>
      <w:bookmarkEnd w:id="38"/>
    </w:p>
    <w:bookmarkEnd w:id="35"/>
    <w:bookmarkEnd w:id="36"/>
    <w:p w14:paraId="2617FB12" w14:textId="77777777" w:rsidR="000C12BB" w:rsidRPr="0074469E" w:rsidRDefault="000C12BB" w:rsidP="00897AFB">
      <w:pPr>
        <w:pStyle w:val="TAMainText"/>
        <w:rPr>
          <w:color w:val="000000" w:themeColor="text1"/>
        </w:rPr>
      </w:pPr>
    </w:p>
    <w:p w14:paraId="0107B9E2" w14:textId="52162F85" w:rsidR="000C12BB" w:rsidRPr="0074469E" w:rsidRDefault="004130A7" w:rsidP="004130A7">
      <w:pPr>
        <w:pStyle w:val="TAMainText"/>
        <w:numPr>
          <w:ilvl w:val="0"/>
          <w:numId w:val="4"/>
        </w:numPr>
        <w:rPr>
          <w:color w:val="000000" w:themeColor="text1"/>
        </w:rPr>
      </w:pPr>
      <w:r w:rsidRPr="0074469E">
        <w:rPr>
          <w:color w:val="000000" w:themeColor="text1"/>
        </w:rPr>
        <w:t>EXPERIMENTAL SECTION</w:t>
      </w:r>
    </w:p>
    <w:p w14:paraId="2072CC80" w14:textId="723E1093" w:rsidR="000C12BB" w:rsidRPr="0074469E" w:rsidRDefault="004130A7" w:rsidP="00897AFB">
      <w:pPr>
        <w:pStyle w:val="TAMainText"/>
        <w:rPr>
          <w:color w:val="000000" w:themeColor="text1"/>
          <w:szCs w:val="21"/>
        </w:rPr>
      </w:pPr>
      <w:r w:rsidRPr="0074469E">
        <w:rPr>
          <w:b/>
          <w:bCs/>
          <w:color w:val="000000" w:themeColor="text1"/>
          <w:szCs w:val="21"/>
        </w:rPr>
        <w:t xml:space="preserve">4.1 </w:t>
      </w:r>
      <w:r w:rsidR="000C12BB" w:rsidRPr="0074469E">
        <w:rPr>
          <w:b/>
          <w:bCs/>
          <w:color w:val="000000" w:themeColor="text1"/>
          <w:szCs w:val="21"/>
        </w:rPr>
        <w:t>Process for forming dual-gate AATs.</w:t>
      </w:r>
      <w:r w:rsidR="000C12BB" w:rsidRPr="0074469E">
        <w:rPr>
          <w:color w:val="000000" w:themeColor="text1"/>
          <w:szCs w:val="21"/>
        </w:rPr>
        <w:t>: A dual-gate AAT with two-dimensional materials was prepared by using a bubble-free dry transfer technique with a PPC/PDMS stamp</w:t>
      </w:r>
      <w:r w:rsidR="000C12BB" w:rsidRPr="0074469E">
        <w:rPr>
          <w:noProof/>
          <w:color w:val="000000" w:themeColor="text1"/>
          <w:szCs w:val="21"/>
          <w:vertAlign w:val="superscript"/>
        </w:rPr>
        <w:t>47-49</w:t>
      </w:r>
      <w:r w:rsidR="000C12BB" w:rsidRPr="0074469E">
        <w:rPr>
          <w:color w:val="000000" w:themeColor="text1"/>
          <w:szCs w:val="21"/>
        </w:rPr>
        <w:t>. ReS</w:t>
      </w:r>
      <w:r w:rsidR="000C12BB" w:rsidRPr="0074469E">
        <w:rPr>
          <w:color w:val="000000" w:themeColor="text1"/>
          <w:szCs w:val="21"/>
          <w:vertAlign w:val="subscript"/>
        </w:rPr>
        <w:t>2</w:t>
      </w:r>
      <w:r w:rsidR="000C12BB" w:rsidRPr="0074469E">
        <w:rPr>
          <w:color w:val="000000" w:themeColor="text1"/>
          <w:szCs w:val="21"/>
        </w:rPr>
        <w:t xml:space="preserve"> and WSe</w:t>
      </w:r>
      <w:r w:rsidR="000C12BB" w:rsidRPr="0074469E">
        <w:rPr>
          <w:color w:val="000000" w:themeColor="text1"/>
          <w:szCs w:val="21"/>
          <w:vertAlign w:val="subscript"/>
        </w:rPr>
        <w:t>2</w:t>
      </w:r>
      <w:r w:rsidR="000C12BB" w:rsidRPr="0074469E">
        <w:rPr>
          <w:color w:val="000000" w:themeColor="text1"/>
          <w:szCs w:val="21"/>
        </w:rPr>
        <w:t xml:space="preserve"> were employed for the n-type and p-type semiconductors, respectively. These films were prepared from commercial bulk crystals (HQ Graphene) by the mechanical exfoliation method. The home-built transfer system consisted of an optical microscope (BX53M, Olympus Co.), a manipulator, and a heater. First, an h-BN flake was transferred as the bottom-gate insulator on a highly doped Si substrate with a 90-nm-thick SiO</w:t>
      </w:r>
      <w:r w:rsidR="000C12BB" w:rsidRPr="0074469E">
        <w:rPr>
          <w:color w:val="000000" w:themeColor="text1"/>
          <w:szCs w:val="21"/>
          <w:vertAlign w:val="subscript"/>
        </w:rPr>
        <w:t xml:space="preserve">2 </w:t>
      </w:r>
      <w:r w:rsidR="000C12BB" w:rsidRPr="0074469E">
        <w:rPr>
          <w:color w:val="000000" w:themeColor="text1"/>
          <w:szCs w:val="21"/>
        </w:rPr>
        <w:t>layer, and then ReS</w:t>
      </w:r>
      <w:r w:rsidR="000C12BB" w:rsidRPr="0074469E">
        <w:rPr>
          <w:color w:val="000000" w:themeColor="text1"/>
          <w:szCs w:val="21"/>
          <w:vertAlign w:val="subscript"/>
        </w:rPr>
        <w:t>2</w:t>
      </w:r>
      <w:r w:rsidR="000C12BB" w:rsidRPr="0074469E">
        <w:rPr>
          <w:color w:val="000000" w:themeColor="text1"/>
          <w:szCs w:val="21"/>
        </w:rPr>
        <w:t xml:space="preserve"> and WSe</w:t>
      </w:r>
      <w:r w:rsidR="000C12BB" w:rsidRPr="0074469E">
        <w:rPr>
          <w:color w:val="000000" w:themeColor="text1"/>
          <w:szCs w:val="21"/>
          <w:vertAlign w:val="subscript"/>
        </w:rPr>
        <w:t>2</w:t>
      </w:r>
      <w:r w:rsidR="000C12BB" w:rsidRPr="0074469E">
        <w:rPr>
          <w:color w:val="000000" w:themeColor="text1"/>
          <w:szCs w:val="21"/>
        </w:rPr>
        <w:t xml:space="preserve"> were stacked on the top of the h-BN film to construct a p</w:t>
      </w:r>
      <w:r w:rsidR="000C12BB" w:rsidRPr="0074469E">
        <w:rPr>
          <w:rFonts w:eastAsia="Yu Gothic UI"/>
          <w:color w:val="000000" w:themeColor="text1"/>
          <w:szCs w:val="21"/>
        </w:rPr>
        <w:t>–</w:t>
      </w:r>
      <w:r w:rsidR="000C12BB" w:rsidRPr="0074469E">
        <w:rPr>
          <w:color w:val="000000" w:themeColor="text1"/>
          <w:szCs w:val="21"/>
        </w:rPr>
        <w:t xml:space="preserve">n heterojunction. </w:t>
      </w:r>
      <w:r w:rsidR="000C12BB" w:rsidRPr="0074469E">
        <w:rPr>
          <w:rFonts w:eastAsia="ＭＳ Ｐゴシック"/>
          <w:color w:val="000000" w:themeColor="text1"/>
          <w:szCs w:val="21"/>
        </w:rPr>
        <w:t>The WSe</w:t>
      </w:r>
      <w:r w:rsidR="000C12BB" w:rsidRPr="0074469E">
        <w:rPr>
          <w:rFonts w:eastAsia="ＭＳ Ｐゴシック"/>
          <w:color w:val="000000" w:themeColor="text1"/>
          <w:szCs w:val="21"/>
          <w:vertAlign w:val="subscript"/>
        </w:rPr>
        <w:t>2</w:t>
      </w:r>
      <w:r w:rsidR="000C12BB" w:rsidRPr="0074469E">
        <w:rPr>
          <w:rFonts w:eastAsia="ＭＳ Ｐゴシック"/>
          <w:color w:val="000000" w:themeColor="text1"/>
          <w:szCs w:val="21"/>
        </w:rPr>
        <w:t xml:space="preserve"> and ReS</w:t>
      </w:r>
      <w:r w:rsidR="000C12BB" w:rsidRPr="0074469E">
        <w:rPr>
          <w:rFonts w:eastAsia="ＭＳ Ｐゴシック"/>
          <w:color w:val="000000" w:themeColor="text1"/>
          <w:szCs w:val="21"/>
          <w:vertAlign w:val="subscript"/>
        </w:rPr>
        <w:t>2</w:t>
      </w:r>
      <w:r w:rsidR="000C12BB" w:rsidRPr="0074469E">
        <w:rPr>
          <w:rFonts w:eastAsia="ＭＳ Ｐゴシック"/>
          <w:color w:val="000000" w:themeColor="text1"/>
          <w:szCs w:val="21"/>
        </w:rPr>
        <w:t xml:space="preserve"> were 13 nm and 11 nm thick, respectively. </w:t>
      </w:r>
      <w:r w:rsidR="000C12BB" w:rsidRPr="0074469E">
        <w:rPr>
          <w:color w:val="000000" w:themeColor="text1"/>
          <w:szCs w:val="21"/>
        </w:rPr>
        <w:t>Then, Cr/Au (5/50 nm) electrodes were deposited on the ReS</w:t>
      </w:r>
      <w:r w:rsidR="000C12BB" w:rsidRPr="0074469E">
        <w:rPr>
          <w:color w:val="000000" w:themeColor="text1"/>
          <w:szCs w:val="21"/>
          <w:vertAlign w:val="subscript"/>
        </w:rPr>
        <w:t>2</w:t>
      </w:r>
      <w:r w:rsidR="000C12BB" w:rsidRPr="0074469E">
        <w:rPr>
          <w:color w:val="000000" w:themeColor="text1"/>
          <w:szCs w:val="21"/>
        </w:rPr>
        <w:t xml:space="preserve"> channel. Meanwhile, Pd/Au (20/30 nm) electrodes were formed on the WSe</w:t>
      </w:r>
      <w:r w:rsidR="000C12BB" w:rsidRPr="0074469E">
        <w:rPr>
          <w:color w:val="000000" w:themeColor="text1"/>
          <w:szCs w:val="21"/>
          <w:vertAlign w:val="subscript"/>
        </w:rPr>
        <w:t>2</w:t>
      </w:r>
      <w:r w:rsidR="000C12BB" w:rsidRPr="0074469E">
        <w:rPr>
          <w:color w:val="000000" w:themeColor="text1"/>
          <w:szCs w:val="21"/>
        </w:rPr>
        <w:t xml:space="preserve"> channel by combining electron-beam (EB) lithography and EB evaporation. After removing the resist residue with a contact-mode AFM system, the ZnPc-PS</w:t>
      </w:r>
      <w:r w:rsidR="000C12BB" w:rsidRPr="0074469E">
        <w:rPr>
          <w:color w:val="000000" w:themeColor="text1"/>
          <w:szCs w:val="21"/>
          <w:vertAlign w:val="subscript"/>
        </w:rPr>
        <w:t>4</w:t>
      </w:r>
      <w:r w:rsidR="000C12BB" w:rsidRPr="0074469E">
        <w:rPr>
          <w:color w:val="000000" w:themeColor="text1"/>
          <w:szCs w:val="21"/>
        </w:rPr>
        <w:t xml:space="preserve"> layer was spin-coated as a nano-floating gate, followed by vacuum annealing at 100 °C for 1 hour to remove the solvent. As a result, a 20-nm-thick ZnPc-PS</w:t>
      </w:r>
      <w:r w:rsidR="000C12BB" w:rsidRPr="0074469E">
        <w:rPr>
          <w:color w:val="000000" w:themeColor="text1"/>
          <w:szCs w:val="21"/>
          <w:vertAlign w:val="subscript"/>
        </w:rPr>
        <w:t>4</w:t>
      </w:r>
      <w:r w:rsidR="000C12BB" w:rsidRPr="0074469E">
        <w:rPr>
          <w:color w:val="000000" w:themeColor="text1"/>
          <w:szCs w:val="21"/>
        </w:rPr>
        <w:t xml:space="preserve"> film was formed on the ReS</w:t>
      </w:r>
      <w:r w:rsidR="000C12BB" w:rsidRPr="0074469E">
        <w:rPr>
          <w:color w:val="000000" w:themeColor="text1"/>
          <w:szCs w:val="21"/>
          <w:vertAlign w:val="subscript"/>
        </w:rPr>
        <w:t>2</w:t>
      </w:r>
      <w:r w:rsidR="000C12BB" w:rsidRPr="0074469E">
        <w:rPr>
          <w:color w:val="000000" w:themeColor="text1"/>
          <w:szCs w:val="21"/>
        </w:rPr>
        <w:t xml:space="preserve"> and WSe</w:t>
      </w:r>
      <w:r w:rsidR="000C12BB" w:rsidRPr="0074469E">
        <w:rPr>
          <w:color w:val="000000" w:themeColor="text1"/>
          <w:szCs w:val="21"/>
          <w:vertAlign w:val="subscript"/>
        </w:rPr>
        <w:t>2</w:t>
      </w:r>
      <w:r w:rsidR="000C12BB" w:rsidRPr="0074469E">
        <w:rPr>
          <w:color w:val="000000" w:themeColor="text1"/>
          <w:szCs w:val="21"/>
        </w:rPr>
        <w:t xml:space="preserve"> layers. </w:t>
      </w:r>
    </w:p>
    <w:p w14:paraId="6F1C0338" w14:textId="77777777" w:rsidR="000C12BB" w:rsidRPr="0074469E" w:rsidRDefault="000C12BB" w:rsidP="00897AFB">
      <w:pPr>
        <w:pStyle w:val="TAMainText"/>
        <w:rPr>
          <w:color w:val="000000" w:themeColor="text1"/>
          <w:szCs w:val="21"/>
        </w:rPr>
      </w:pPr>
      <w:r w:rsidRPr="0074469E">
        <w:rPr>
          <w:color w:val="000000" w:themeColor="text1"/>
          <w:szCs w:val="21"/>
        </w:rPr>
        <w:lastRenderedPageBreak/>
        <w:t>Subsequently, the h-BN layer was transferred onto the ZnPc-PS</w:t>
      </w:r>
      <w:r w:rsidRPr="0074469E">
        <w:rPr>
          <w:color w:val="000000" w:themeColor="text1"/>
          <w:szCs w:val="21"/>
          <w:vertAlign w:val="subscript"/>
        </w:rPr>
        <w:t>4</w:t>
      </w:r>
      <w:r w:rsidRPr="0074469E">
        <w:rPr>
          <w:color w:val="000000" w:themeColor="text1"/>
          <w:szCs w:val="21"/>
        </w:rPr>
        <w:t xml:space="preserve"> film as the top-gate insulator. Further, a 100-nm-thick SiO</w:t>
      </w:r>
      <w:r w:rsidRPr="0074469E">
        <w:rPr>
          <w:color w:val="000000" w:themeColor="text1"/>
          <w:szCs w:val="21"/>
          <w:vertAlign w:val="subscript"/>
        </w:rPr>
        <w:t>2</w:t>
      </w:r>
      <w:r w:rsidRPr="0074469E">
        <w:rPr>
          <w:color w:val="000000" w:themeColor="text1"/>
          <w:szCs w:val="21"/>
        </w:rPr>
        <w:t xml:space="preserve"> layer was deposited on the outside of the transistor channels to prevent the ZnPc-PS</w:t>
      </w:r>
      <w:r w:rsidRPr="0074469E">
        <w:rPr>
          <w:color w:val="000000" w:themeColor="text1"/>
          <w:szCs w:val="21"/>
          <w:vertAlign w:val="subscript"/>
        </w:rPr>
        <w:t>4</w:t>
      </w:r>
      <w:r w:rsidRPr="0074469E">
        <w:rPr>
          <w:color w:val="000000" w:themeColor="text1"/>
          <w:szCs w:val="21"/>
        </w:rPr>
        <w:t xml:space="preserve"> layer from dissolving in the organic solvents used in the following EB lithography processes. </w:t>
      </w:r>
      <w:proofErr w:type="spellStart"/>
      <w:r w:rsidRPr="0074469E">
        <w:rPr>
          <w:color w:val="000000" w:themeColor="text1"/>
          <w:szCs w:val="21"/>
        </w:rPr>
        <w:t>Ti</w:t>
      </w:r>
      <w:proofErr w:type="spellEnd"/>
      <w:r w:rsidRPr="0074469E">
        <w:rPr>
          <w:color w:val="000000" w:themeColor="text1"/>
          <w:szCs w:val="21"/>
        </w:rPr>
        <w:t xml:space="preserve">/Au (5/100 nm) electrodes were deposited as the top-gate electrode to complete the dual-gate AAT. </w:t>
      </w:r>
      <w:r w:rsidRPr="0074469E">
        <w:rPr>
          <w:rFonts w:eastAsia="ＭＳ Ｐゴシック"/>
          <w:color w:val="000000" w:themeColor="text1"/>
          <w:szCs w:val="21"/>
        </w:rPr>
        <w:t>The channel length of the AAT was estimated to be 7.1 µm, the channel widths were 5.1 µm for WSe</w:t>
      </w:r>
      <w:r w:rsidRPr="0074469E">
        <w:rPr>
          <w:rFonts w:eastAsia="ＭＳ Ｐゴシック"/>
          <w:color w:val="000000" w:themeColor="text1"/>
          <w:szCs w:val="21"/>
          <w:vertAlign w:val="subscript"/>
        </w:rPr>
        <w:t>2</w:t>
      </w:r>
      <w:r w:rsidRPr="0074469E">
        <w:rPr>
          <w:rFonts w:eastAsia="ＭＳ Ｐゴシック"/>
          <w:color w:val="000000" w:themeColor="text1"/>
          <w:szCs w:val="21"/>
        </w:rPr>
        <w:t xml:space="preserve"> and 1.6 µm for ReS</w:t>
      </w:r>
      <w:r w:rsidRPr="0074469E">
        <w:rPr>
          <w:rFonts w:eastAsia="ＭＳ Ｐゴシック"/>
          <w:color w:val="000000" w:themeColor="text1"/>
          <w:szCs w:val="21"/>
          <w:vertAlign w:val="subscript"/>
        </w:rPr>
        <w:t>2</w:t>
      </w:r>
      <w:r w:rsidRPr="0074469E">
        <w:rPr>
          <w:rFonts w:eastAsia="ＭＳ Ｐゴシック"/>
          <w:color w:val="000000" w:themeColor="text1"/>
          <w:szCs w:val="21"/>
        </w:rPr>
        <w:t>.</w:t>
      </w:r>
    </w:p>
    <w:p w14:paraId="20B473F1" w14:textId="77777777" w:rsidR="000C12BB" w:rsidRPr="0074469E" w:rsidRDefault="000C12BB" w:rsidP="00897AFB">
      <w:pPr>
        <w:pStyle w:val="TAMainText"/>
        <w:rPr>
          <w:color w:val="000000" w:themeColor="text1"/>
          <w:szCs w:val="21"/>
        </w:rPr>
      </w:pPr>
    </w:p>
    <w:p w14:paraId="393E695C" w14:textId="77777777" w:rsidR="00E54BB7" w:rsidRPr="0074469E" w:rsidRDefault="007A0164" w:rsidP="00897AFB">
      <w:pPr>
        <w:pStyle w:val="TAMainText"/>
        <w:rPr>
          <w:color w:val="000000" w:themeColor="text1"/>
          <w:szCs w:val="21"/>
        </w:rPr>
      </w:pPr>
      <w:r w:rsidRPr="0074469E">
        <w:rPr>
          <w:b/>
          <w:bCs/>
          <w:color w:val="000000" w:themeColor="text1"/>
          <w:szCs w:val="21"/>
        </w:rPr>
        <w:t xml:space="preserve">4.2 </w:t>
      </w:r>
      <w:r w:rsidR="000C12BB" w:rsidRPr="0074469E">
        <w:rPr>
          <w:b/>
          <w:bCs/>
          <w:color w:val="000000" w:themeColor="text1"/>
          <w:szCs w:val="21"/>
        </w:rPr>
        <w:t>Transistor measurements.</w:t>
      </w:r>
      <w:r w:rsidR="000C12BB" w:rsidRPr="0074469E">
        <w:rPr>
          <w:color w:val="000000" w:themeColor="text1"/>
          <w:szCs w:val="21"/>
        </w:rPr>
        <w:t>: The transistor measurements were performed at room temperature in a nitrogen atmosphere using a probe station. The current-voltage and current-time characteristics were measured using source-measurement units (Keysight Technology, B2912A and B2901A).</w:t>
      </w:r>
    </w:p>
    <w:p w14:paraId="45D0B8B2" w14:textId="0C477850" w:rsidR="000C12BB" w:rsidRPr="0074469E" w:rsidRDefault="00E54BB7" w:rsidP="00897AFB">
      <w:pPr>
        <w:pStyle w:val="TAMainText"/>
        <w:rPr>
          <w:color w:val="000000" w:themeColor="text1"/>
          <w:szCs w:val="21"/>
        </w:rPr>
      </w:pPr>
      <w:r w:rsidRPr="0074469E">
        <w:rPr>
          <w:b/>
          <w:bCs/>
          <w:color w:val="000000" w:themeColor="text1"/>
          <w:szCs w:val="21"/>
        </w:rPr>
        <w:t>4.3 AFM measurements.</w:t>
      </w:r>
      <w:r w:rsidRPr="0074469E">
        <w:rPr>
          <w:color w:val="000000" w:themeColor="text1"/>
          <w:szCs w:val="21"/>
        </w:rPr>
        <w:t>:</w:t>
      </w:r>
      <w:r w:rsidR="000C12BB" w:rsidRPr="0074469E">
        <w:rPr>
          <w:color w:val="000000" w:themeColor="text1"/>
          <w:szCs w:val="21"/>
        </w:rPr>
        <w:t xml:space="preserve"> An AFM (MFP-3D, Oxford Instruments) was used to examine the surface morphology and the film thickness of the constituent materials in the dual-gate AAT.</w:t>
      </w:r>
      <w:r w:rsidR="00310672" w:rsidRPr="0074469E">
        <w:rPr>
          <w:color w:val="000000" w:themeColor="text1"/>
          <w:szCs w:val="21"/>
        </w:rPr>
        <w:t xml:space="preserve"> </w:t>
      </w:r>
      <w:r w:rsidR="004526BB" w:rsidRPr="0074469E">
        <w:rPr>
          <w:rFonts w:hint="eastAsia"/>
          <w:color w:val="000000" w:themeColor="text1"/>
          <w:szCs w:val="21"/>
          <w:lang w:eastAsia="ja-JP"/>
        </w:rPr>
        <w:t xml:space="preserve">The corresponding </w:t>
      </w:r>
      <w:r w:rsidR="00310672" w:rsidRPr="0074469E">
        <w:rPr>
          <w:color w:val="000000" w:themeColor="text1"/>
          <w:szCs w:val="21"/>
        </w:rPr>
        <w:t>AFM images</w:t>
      </w:r>
      <w:r w:rsidR="004526BB" w:rsidRPr="0074469E">
        <w:rPr>
          <w:rFonts w:hint="eastAsia"/>
          <w:color w:val="000000" w:themeColor="text1"/>
          <w:szCs w:val="21"/>
          <w:lang w:eastAsia="ja-JP"/>
        </w:rPr>
        <w:t xml:space="preserve"> are</w:t>
      </w:r>
      <w:r w:rsidR="00310672" w:rsidRPr="0074469E">
        <w:rPr>
          <w:color w:val="000000" w:themeColor="text1"/>
          <w:szCs w:val="21"/>
        </w:rPr>
        <w:t xml:space="preserve"> indicated in Fig</w:t>
      </w:r>
      <w:r w:rsidR="002B2501" w:rsidRPr="0074469E">
        <w:rPr>
          <w:color w:val="000000" w:themeColor="text1"/>
          <w:szCs w:val="21"/>
        </w:rPr>
        <w:t>ure</w:t>
      </w:r>
      <w:r w:rsidR="00310672" w:rsidRPr="0074469E">
        <w:rPr>
          <w:color w:val="000000" w:themeColor="text1"/>
          <w:szCs w:val="21"/>
        </w:rPr>
        <w:t xml:space="preserve"> S2</w:t>
      </w:r>
      <w:r w:rsidR="00D85BAB" w:rsidRPr="0074469E">
        <w:rPr>
          <w:rFonts w:hint="eastAsia"/>
          <w:color w:val="000000" w:themeColor="text1"/>
          <w:szCs w:val="21"/>
          <w:lang w:eastAsia="ja-JP"/>
        </w:rPr>
        <w:t xml:space="preserve"> in the supporting information</w:t>
      </w:r>
      <w:r w:rsidR="00310672" w:rsidRPr="0074469E">
        <w:rPr>
          <w:color w:val="000000" w:themeColor="text1"/>
          <w:szCs w:val="21"/>
        </w:rPr>
        <w:t xml:space="preserve">. </w:t>
      </w:r>
    </w:p>
    <w:p w14:paraId="734A5DD3" w14:textId="77777777" w:rsidR="000C12BB" w:rsidRPr="0074469E" w:rsidRDefault="000C12BB" w:rsidP="00897AFB">
      <w:pPr>
        <w:pStyle w:val="TAMainText"/>
        <w:rPr>
          <w:color w:val="000000" w:themeColor="text1"/>
        </w:rPr>
      </w:pPr>
    </w:p>
    <w:p w14:paraId="06FE6DB4" w14:textId="77777777" w:rsidR="000C12BB" w:rsidRPr="0074469E" w:rsidRDefault="000C12BB" w:rsidP="00897AFB">
      <w:pPr>
        <w:pStyle w:val="TAMainText"/>
        <w:rPr>
          <w:color w:val="000000" w:themeColor="text1"/>
        </w:rPr>
      </w:pPr>
    </w:p>
    <w:p w14:paraId="69C34437" w14:textId="77777777" w:rsidR="000C12BB" w:rsidRPr="0074469E" w:rsidRDefault="000C12BB" w:rsidP="00F41421">
      <w:pPr>
        <w:pStyle w:val="TESupportingInformation"/>
        <w:spacing w:after="240"/>
        <w:ind w:firstLine="0"/>
        <w:jc w:val="left"/>
        <w:rPr>
          <w:color w:val="000000" w:themeColor="text1"/>
        </w:rPr>
      </w:pPr>
      <w:r w:rsidRPr="0074469E">
        <w:rPr>
          <w:color w:val="000000" w:themeColor="text1"/>
        </w:rPr>
        <w:t>ASSOCIATED CONTENT</w:t>
      </w:r>
    </w:p>
    <w:p w14:paraId="031CEA2B" w14:textId="77777777" w:rsidR="000C12BB" w:rsidRPr="0074469E" w:rsidRDefault="000C12BB" w:rsidP="00897AFB">
      <w:pPr>
        <w:pStyle w:val="TAMainText"/>
        <w:rPr>
          <w:b/>
          <w:bCs/>
          <w:color w:val="000000" w:themeColor="text1"/>
        </w:rPr>
      </w:pPr>
      <w:r w:rsidRPr="0074469E">
        <w:rPr>
          <w:b/>
          <w:bCs/>
          <w:color w:val="000000" w:themeColor="text1"/>
        </w:rPr>
        <w:lastRenderedPageBreak/>
        <w:t>Supporting Information</w:t>
      </w:r>
    </w:p>
    <w:p w14:paraId="07503496" w14:textId="7D4EFEE6" w:rsidR="000C12BB" w:rsidRPr="0074469E" w:rsidRDefault="000C12BB" w:rsidP="00474315">
      <w:pPr>
        <w:pStyle w:val="TESupportingInformation"/>
        <w:rPr>
          <w:rFonts w:ascii="Times New Roman" w:hAnsi="Times New Roman"/>
          <w:color w:val="000000" w:themeColor="text1"/>
          <w:szCs w:val="24"/>
        </w:rPr>
      </w:pPr>
      <w:r w:rsidRPr="0074469E">
        <w:rPr>
          <w:rFonts w:ascii="Times New Roman" w:hAnsi="Times New Roman"/>
          <w:color w:val="000000" w:themeColor="text1"/>
          <w:szCs w:val="24"/>
        </w:rPr>
        <w:t>The Supporting Information is available free of charge on the ACS Publications website.</w:t>
      </w:r>
    </w:p>
    <w:p w14:paraId="5A95B643" w14:textId="32C743AB" w:rsidR="00465487" w:rsidRPr="0074469E" w:rsidRDefault="00465487" w:rsidP="00474315">
      <w:pPr>
        <w:spacing w:line="480" w:lineRule="auto"/>
        <w:rPr>
          <w:rFonts w:ascii="Times New Roman" w:hAnsi="Times New Roman" w:cs="Times New Roman"/>
          <w:color w:val="000000" w:themeColor="text1"/>
          <w:sz w:val="24"/>
          <w:lang w:eastAsia="en-US"/>
        </w:rPr>
      </w:pPr>
      <w:r w:rsidRPr="0074469E">
        <w:rPr>
          <w:rFonts w:ascii="Times New Roman" w:hAnsi="Times New Roman" w:cs="Times New Roman"/>
          <w:color w:val="000000" w:themeColor="text1"/>
          <w:sz w:val="24"/>
          <w:lang w:eastAsia="en-US"/>
        </w:rPr>
        <w:t>Demonstration of electrical conversion between NAND/NOR, XOR/NAND, OR/NAND and OR/XOR</w:t>
      </w:r>
      <w:r w:rsidR="00474315" w:rsidRPr="0074469E">
        <w:rPr>
          <w:rFonts w:ascii="Times New Roman" w:hAnsi="Times New Roman" w:cs="Times New Roman"/>
          <w:color w:val="000000" w:themeColor="text1"/>
          <w:sz w:val="24"/>
          <w:lang w:eastAsia="en-US"/>
        </w:rPr>
        <w:t xml:space="preserve">; </w:t>
      </w:r>
      <w:r w:rsidRPr="0074469E">
        <w:rPr>
          <w:rFonts w:ascii="Times New Roman" w:hAnsi="Times New Roman" w:cs="Times New Roman"/>
          <w:color w:val="000000" w:themeColor="text1"/>
          <w:sz w:val="24"/>
          <w:lang w:eastAsia="en-US"/>
        </w:rPr>
        <w:t>AFM images of the fabricated device</w:t>
      </w:r>
      <w:r w:rsidR="00474315" w:rsidRPr="0074469E">
        <w:rPr>
          <w:rFonts w:ascii="Times New Roman" w:hAnsi="Times New Roman" w:cs="Times New Roman"/>
          <w:color w:val="000000" w:themeColor="text1"/>
          <w:sz w:val="24"/>
          <w:lang w:eastAsia="en-US"/>
        </w:rPr>
        <w:t>;</w:t>
      </w:r>
      <w:r w:rsidRPr="0074469E">
        <w:rPr>
          <w:rFonts w:ascii="Times New Roman" w:hAnsi="Times New Roman" w:cs="Times New Roman"/>
          <w:color w:val="000000" w:themeColor="text1"/>
          <w:sz w:val="24"/>
          <w:lang w:eastAsia="en-US"/>
        </w:rPr>
        <w:t xml:space="preserve"> </w:t>
      </w:r>
      <w:r w:rsidR="00C72833" w:rsidRPr="0074469E">
        <w:rPr>
          <w:rFonts w:ascii="Times New Roman" w:hAnsi="Times New Roman" w:cs="Times New Roman"/>
          <w:color w:val="000000" w:themeColor="text1"/>
          <w:sz w:val="24"/>
          <w:lang w:eastAsia="en-US"/>
        </w:rPr>
        <w:t xml:space="preserve">switching </w:t>
      </w:r>
      <w:r w:rsidR="000E398A" w:rsidRPr="0074469E">
        <w:rPr>
          <w:rFonts w:ascii="Times New Roman" w:hAnsi="Times New Roman" w:cs="Times New Roman"/>
          <w:color w:val="000000" w:themeColor="text1"/>
          <w:sz w:val="24"/>
          <w:lang w:eastAsia="en-US"/>
        </w:rPr>
        <w:t xml:space="preserve">property of </w:t>
      </w:r>
      <w:bookmarkStart w:id="39" w:name="OLE_LINK1"/>
      <w:bookmarkStart w:id="40" w:name="OLE_LINK2"/>
      <w:r w:rsidR="000E398A" w:rsidRPr="0074469E">
        <w:rPr>
          <w:rFonts w:ascii="Times New Roman" w:hAnsi="Times New Roman" w:cs="Times New Roman"/>
          <w:color w:val="000000" w:themeColor="text1"/>
          <w:sz w:val="24"/>
          <w:lang w:eastAsia="en-US"/>
        </w:rPr>
        <w:t xml:space="preserve">the dual-gate AAT with nano-floating </w:t>
      </w:r>
      <w:r w:rsidR="007A0164" w:rsidRPr="0074469E">
        <w:rPr>
          <w:rFonts w:ascii="Times New Roman" w:hAnsi="Times New Roman" w:cs="Times New Roman"/>
          <w:color w:val="000000" w:themeColor="text1"/>
          <w:sz w:val="24"/>
          <w:lang w:eastAsia="en-US"/>
        </w:rPr>
        <w:t>gate</w:t>
      </w:r>
      <w:bookmarkEnd w:id="39"/>
      <w:bookmarkEnd w:id="40"/>
      <w:r w:rsidR="00474315" w:rsidRPr="0074469E">
        <w:rPr>
          <w:rFonts w:ascii="Times New Roman" w:hAnsi="Times New Roman" w:cs="Times New Roman"/>
          <w:color w:val="000000" w:themeColor="text1"/>
          <w:sz w:val="24"/>
          <w:lang w:eastAsia="en-US"/>
        </w:rPr>
        <w:t xml:space="preserve">; </w:t>
      </w:r>
      <w:r w:rsidR="00C72833" w:rsidRPr="0074469E">
        <w:rPr>
          <w:rFonts w:ascii="Times New Roman" w:hAnsi="Times New Roman" w:cs="Times New Roman"/>
          <w:color w:val="000000" w:themeColor="text1"/>
          <w:sz w:val="24"/>
          <w:lang w:eastAsia="en-US"/>
        </w:rPr>
        <w:t xml:space="preserve">retention </w:t>
      </w:r>
      <w:r w:rsidR="007A0164" w:rsidRPr="0074469E">
        <w:rPr>
          <w:rFonts w:ascii="Times New Roman" w:hAnsi="Times New Roman" w:cs="Times New Roman"/>
          <w:color w:val="000000" w:themeColor="text1"/>
          <w:sz w:val="24"/>
          <w:lang w:eastAsia="en-US"/>
        </w:rPr>
        <w:t xml:space="preserve">property of </w:t>
      </w:r>
      <w:r w:rsidR="00D26FF9" w:rsidRPr="0074469E">
        <w:rPr>
          <w:rFonts w:ascii="Times New Roman" w:hAnsi="Times New Roman" w:cs="Times New Roman"/>
          <w:color w:val="000000" w:themeColor="text1"/>
          <w:sz w:val="24"/>
          <w:lang w:eastAsia="en-US"/>
        </w:rPr>
        <w:t>ZnPc-PS</w:t>
      </w:r>
      <w:r w:rsidR="00D26FF9" w:rsidRPr="0074469E">
        <w:rPr>
          <w:rFonts w:ascii="Times New Roman" w:hAnsi="Times New Roman" w:cs="Times New Roman"/>
          <w:color w:val="000000" w:themeColor="text1"/>
          <w:sz w:val="24"/>
          <w:vertAlign w:val="subscript"/>
          <w:lang w:eastAsia="en-US"/>
        </w:rPr>
        <w:t>4</w:t>
      </w:r>
      <w:r w:rsidR="00D26FF9" w:rsidRPr="0074469E">
        <w:rPr>
          <w:rFonts w:ascii="Times New Roman" w:hAnsi="Times New Roman" w:cs="Times New Roman"/>
          <w:color w:val="000000" w:themeColor="text1"/>
          <w:sz w:val="24"/>
          <w:lang w:eastAsia="en-US"/>
        </w:rPr>
        <w:t xml:space="preserve"> nano-floating gate </w:t>
      </w:r>
      <w:r w:rsidR="00A35E21" w:rsidRPr="0074469E">
        <w:rPr>
          <w:rFonts w:ascii="Times New Roman" w:hAnsi="Times New Roman" w:cs="Times New Roman" w:hint="eastAsia"/>
          <w:color w:val="000000" w:themeColor="text1"/>
          <w:sz w:val="24"/>
        </w:rPr>
        <w:t xml:space="preserve">in </w:t>
      </w:r>
      <w:r w:rsidR="007A0164" w:rsidRPr="0074469E">
        <w:rPr>
          <w:rFonts w:ascii="Times New Roman" w:hAnsi="Times New Roman" w:cs="Times New Roman"/>
          <w:color w:val="000000" w:themeColor="text1"/>
          <w:sz w:val="24"/>
          <w:lang w:eastAsia="en-US"/>
        </w:rPr>
        <w:t xml:space="preserve">the </w:t>
      </w:r>
      <w:r w:rsidR="008A6098" w:rsidRPr="0074469E">
        <w:rPr>
          <w:rFonts w:ascii="Times New Roman" w:hAnsi="Times New Roman" w:cs="Times New Roman"/>
          <w:color w:val="000000" w:themeColor="text1"/>
          <w:sz w:val="24"/>
          <w:lang w:eastAsia="en-US"/>
        </w:rPr>
        <w:t>ReS</w:t>
      </w:r>
      <w:r w:rsidR="008A6098" w:rsidRPr="0074469E">
        <w:rPr>
          <w:rFonts w:ascii="Times New Roman" w:hAnsi="Times New Roman" w:cs="Times New Roman"/>
          <w:color w:val="000000" w:themeColor="text1"/>
          <w:sz w:val="24"/>
          <w:vertAlign w:val="subscript"/>
          <w:lang w:eastAsia="en-US"/>
        </w:rPr>
        <w:t>2</w:t>
      </w:r>
      <w:r w:rsidR="008A6098" w:rsidRPr="0074469E">
        <w:rPr>
          <w:rFonts w:ascii="Times New Roman" w:hAnsi="Times New Roman" w:cs="Times New Roman"/>
          <w:color w:val="000000" w:themeColor="text1"/>
          <w:sz w:val="24"/>
          <w:lang w:eastAsia="en-US"/>
        </w:rPr>
        <w:t xml:space="preserve"> and WSe</w:t>
      </w:r>
      <w:r w:rsidR="008A6098" w:rsidRPr="0074469E">
        <w:rPr>
          <w:rFonts w:ascii="Times New Roman" w:hAnsi="Times New Roman" w:cs="Times New Roman"/>
          <w:color w:val="000000" w:themeColor="text1"/>
          <w:sz w:val="24"/>
          <w:vertAlign w:val="subscript"/>
          <w:lang w:eastAsia="en-US"/>
        </w:rPr>
        <w:t>2</w:t>
      </w:r>
      <w:r w:rsidR="008A6098" w:rsidRPr="0074469E">
        <w:rPr>
          <w:rFonts w:ascii="Times New Roman" w:hAnsi="Times New Roman" w:cs="Times New Roman"/>
          <w:color w:val="000000" w:themeColor="text1"/>
          <w:sz w:val="24"/>
          <w:lang w:eastAsia="en-US"/>
        </w:rPr>
        <w:t xml:space="preserve"> transistor</w:t>
      </w:r>
      <w:r w:rsidR="00A35E21" w:rsidRPr="0074469E">
        <w:rPr>
          <w:rFonts w:ascii="Times New Roman" w:hAnsi="Times New Roman" w:cs="Times New Roman" w:hint="eastAsia"/>
          <w:color w:val="000000" w:themeColor="text1"/>
          <w:sz w:val="24"/>
        </w:rPr>
        <w:t>s.</w:t>
      </w:r>
      <w:r w:rsidR="007A0164" w:rsidRPr="0074469E">
        <w:rPr>
          <w:rFonts w:ascii="Times New Roman" w:hAnsi="Times New Roman" w:cs="Times New Roman"/>
          <w:color w:val="000000" w:themeColor="text1"/>
          <w:sz w:val="24"/>
          <w:lang w:eastAsia="en-US"/>
        </w:rPr>
        <w:t xml:space="preserve"> </w:t>
      </w:r>
    </w:p>
    <w:p w14:paraId="2AFE247B" w14:textId="77777777" w:rsidR="000C12BB" w:rsidRPr="0074469E" w:rsidRDefault="000C12BB" w:rsidP="00F41421">
      <w:pPr>
        <w:pStyle w:val="FACorrespondingAuthorFootnote"/>
        <w:spacing w:after="0"/>
        <w:jc w:val="left"/>
        <w:rPr>
          <w:color w:val="000000" w:themeColor="text1"/>
        </w:rPr>
      </w:pPr>
    </w:p>
    <w:p w14:paraId="72CA3FD0" w14:textId="77777777" w:rsidR="000C12BB" w:rsidRPr="0074469E" w:rsidRDefault="000C12BB" w:rsidP="00F41421">
      <w:pPr>
        <w:pStyle w:val="FACorrespondingAuthorFootnote"/>
        <w:rPr>
          <w:color w:val="000000" w:themeColor="text1"/>
        </w:rPr>
      </w:pPr>
      <w:r w:rsidRPr="0074469E">
        <w:rPr>
          <w:color w:val="000000" w:themeColor="text1"/>
        </w:rPr>
        <w:t>AUTHOR INFORMATION</w:t>
      </w:r>
    </w:p>
    <w:p w14:paraId="53FF07E8" w14:textId="77777777" w:rsidR="000C12BB" w:rsidRPr="0074469E" w:rsidRDefault="000C12BB" w:rsidP="00F41421">
      <w:pPr>
        <w:pStyle w:val="FACorrespondingAuthorFootnote"/>
        <w:rPr>
          <w:b/>
          <w:bCs/>
          <w:color w:val="000000" w:themeColor="text1"/>
        </w:rPr>
      </w:pPr>
      <w:r w:rsidRPr="0074469E">
        <w:rPr>
          <w:b/>
          <w:bCs/>
          <w:color w:val="000000" w:themeColor="text1"/>
        </w:rPr>
        <w:t>Corresponding Authors</w:t>
      </w:r>
    </w:p>
    <w:p w14:paraId="79DF42BE" w14:textId="007067FD" w:rsidR="000C12BB" w:rsidRPr="0074469E" w:rsidRDefault="000C12BB" w:rsidP="00A17CB7">
      <w:pPr>
        <w:pStyle w:val="FACorrespondingAuthorFootnote"/>
        <w:rPr>
          <w:rStyle w:val="a4"/>
          <w:color w:val="000000" w:themeColor="text1"/>
          <w:szCs w:val="24"/>
          <w:u w:val="none"/>
        </w:rPr>
      </w:pPr>
      <w:r w:rsidRPr="0074469E">
        <w:rPr>
          <w:color w:val="000000" w:themeColor="text1"/>
          <w:szCs w:val="24"/>
        </w:rPr>
        <w:t xml:space="preserve">Yutaka Wakayama – Research Center for Materials </w:t>
      </w:r>
      <w:proofErr w:type="spellStart"/>
      <w:r w:rsidRPr="0074469E">
        <w:rPr>
          <w:color w:val="000000" w:themeColor="text1"/>
          <w:szCs w:val="24"/>
        </w:rPr>
        <w:t>Nanoarchitectonics</w:t>
      </w:r>
      <w:proofErr w:type="spellEnd"/>
      <w:r w:rsidRPr="0074469E">
        <w:rPr>
          <w:color w:val="000000" w:themeColor="text1"/>
          <w:szCs w:val="24"/>
        </w:rPr>
        <w:t xml:space="preserve"> (MANA), National Institute for Materials Science (NIMS), 1-1 </w:t>
      </w:r>
      <w:proofErr w:type="spellStart"/>
      <w:r w:rsidRPr="0074469E">
        <w:rPr>
          <w:color w:val="000000" w:themeColor="text1"/>
          <w:szCs w:val="24"/>
        </w:rPr>
        <w:t>Namiki</w:t>
      </w:r>
      <w:proofErr w:type="spellEnd"/>
      <w:r w:rsidRPr="0074469E">
        <w:rPr>
          <w:color w:val="000000" w:themeColor="text1"/>
          <w:szCs w:val="24"/>
        </w:rPr>
        <w:t>, Tsukuba, Ibaraki 305</w:t>
      </w:r>
      <w:r w:rsidR="00C72833" w:rsidRPr="0074469E">
        <w:rPr>
          <w:color w:val="000000" w:themeColor="text1"/>
          <w:szCs w:val="24"/>
        </w:rPr>
        <w:t>-</w:t>
      </w:r>
      <w:r w:rsidRPr="0074469E">
        <w:rPr>
          <w:color w:val="000000" w:themeColor="text1"/>
          <w:szCs w:val="24"/>
        </w:rPr>
        <w:t xml:space="preserve">0044, Japan; </w:t>
      </w:r>
      <w:r w:rsidR="00A17CB7" w:rsidRPr="0074469E">
        <w:rPr>
          <w:color w:val="000000" w:themeColor="text1"/>
          <w:szCs w:val="24"/>
        </w:rPr>
        <w:t xml:space="preserve">orcid.org/0000-0002-0801-8884; </w:t>
      </w:r>
      <w:r w:rsidRPr="0074469E">
        <w:rPr>
          <w:color w:val="000000" w:themeColor="text1"/>
          <w:szCs w:val="24"/>
        </w:rPr>
        <w:t xml:space="preserve">Email: </w:t>
      </w:r>
      <w:r w:rsidRPr="0074469E">
        <w:rPr>
          <w:rStyle w:val="a4"/>
          <w:color w:val="000000" w:themeColor="text1"/>
          <w:szCs w:val="24"/>
          <w:u w:val="none"/>
        </w:rPr>
        <w:t>WAKAYAMA.Yutaka@nims.go.jp</w:t>
      </w:r>
    </w:p>
    <w:p w14:paraId="05106FB5" w14:textId="50A82C90" w:rsidR="000C12BB" w:rsidRPr="0074469E" w:rsidRDefault="000C12BB" w:rsidP="00A17CB7">
      <w:pPr>
        <w:pStyle w:val="FACorrespondingAuthorFootnote"/>
        <w:rPr>
          <w:color w:val="000000" w:themeColor="text1"/>
          <w:szCs w:val="24"/>
        </w:rPr>
      </w:pPr>
      <w:proofErr w:type="spellStart"/>
      <w:r w:rsidRPr="0074469E">
        <w:rPr>
          <w:color w:val="000000" w:themeColor="text1"/>
          <w:szCs w:val="24"/>
        </w:rPr>
        <w:t>Ryoma</w:t>
      </w:r>
      <w:proofErr w:type="spellEnd"/>
      <w:r w:rsidRPr="0074469E">
        <w:rPr>
          <w:color w:val="000000" w:themeColor="text1"/>
          <w:szCs w:val="24"/>
        </w:rPr>
        <w:t xml:space="preserve"> Hayakawa –  Research Center for Materials </w:t>
      </w:r>
      <w:proofErr w:type="spellStart"/>
      <w:r w:rsidRPr="0074469E">
        <w:rPr>
          <w:color w:val="000000" w:themeColor="text1"/>
          <w:szCs w:val="24"/>
        </w:rPr>
        <w:t>Nanoarchitectonics</w:t>
      </w:r>
      <w:proofErr w:type="spellEnd"/>
      <w:r w:rsidRPr="0074469E">
        <w:rPr>
          <w:color w:val="000000" w:themeColor="text1"/>
          <w:szCs w:val="24"/>
        </w:rPr>
        <w:t xml:space="preserve"> (MANA), National Institute for Materials Science (NIMS), 1-1 </w:t>
      </w:r>
      <w:proofErr w:type="spellStart"/>
      <w:r w:rsidRPr="0074469E">
        <w:rPr>
          <w:color w:val="000000" w:themeColor="text1"/>
          <w:szCs w:val="24"/>
        </w:rPr>
        <w:t>Namiki</w:t>
      </w:r>
      <w:proofErr w:type="spellEnd"/>
      <w:r w:rsidRPr="0074469E">
        <w:rPr>
          <w:color w:val="000000" w:themeColor="text1"/>
          <w:szCs w:val="24"/>
        </w:rPr>
        <w:t>, Tsukuba, Ibaraki 305</w:t>
      </w:r>
      <w:r w:rsidR="00C72833" w:rsidRPr="0074469E">
        <w:rPr>
          <w:color w:val="000000" w:themeColor="text1"/>
          <w:szCs w:val="24"/>
        </w:rPr>
        <w:t>-</w:t>
      </w:r>
      <w:r w:rsidRPr="0074469E">
        <w:rPr>
          <w:color w:val="000000" w:themeColor="text1"/>
          <w:szCs w:val="24"/>
        </w:rPr>
        <w:t>0044, Japan;</w:t>
      </w:r>
      <w:r w:rsidR="00A17CB7" w:rsidRPr="0074469E">
        <w:rPr>
          <w:i/>
          <w:iCs/>
          <w:color w:val="000000" w:themeColor="text1"/>
          <w:szCs w:val="24"/>
        </w:rPr>
        <w:t xml:space="preserve"> </w:t>
      </w:r>
      <w:r w:rsidR="00A17CB7" w:rsidRPr="0074469E">
        <w:rPr>
          <w:color w:val="000000" w:themeColor="text1"/>
          <w:szCs w:val="24"/>
        </w:rPr>
        <w:t>orcid.org/0000-0002-1442-8230;</w:t>
      </w:r>
      <w:r w:rsidRPr="0074469E">
        <w:rPr>
          <w:color w:val="000000" w:themeColor="text1"/>
          <w:szCs w:val="24"/>
        </w:rPr>
        <w:t xml:space="preserve"> Email: HAYAKAWA.Ryoma@nims.go.jp</w:t>
      </w:r>
    </w:p>
    <w:p w14:paraId="629A2FD2" w14:textId="73DC60D7" w:rsidR="000C12BB" w:rsidRPr="0074469E" w:rsidRDefault="000C12BB" w:rsidP="00A17CB7">
      <w:pPr>
        <w:autoSpaceDE w:val="0"/>
        <w:autoSpaceDN w:val="0"/>
        <w:adjustRightInd w:val="0"/>
        <w:spacing w:line="480" w:lineRule="auto"/>
        <w:jc w:val="left"/>
        <w:rPr>
          <w:rFonts w:ascii="Times" w:hAnsi="Times"/>
          <w:color w:val="000000" w:themeColor="text1"/>
          <w:sz w:val="24"/>
        </w:rPr>
      </w:pPr>
      <w:r w:rsidRPr="0074469E">
        <w:rPr>
          <w:rFonts w:ascii="Times" w:hAnsi="Times"/>
          <w:color w:val="000000" w:themeColor="text1"/>
          <w:sz w:val="24"/>
        </w:rPr>
        <w:lastRenderedPageBreak/>
        <w:t xml:space="preserve">Junko Aimi – Research Center for Macromolecules and Biomaterials, National Institute for Materials Science (NIMS), 1-2-1 </w:t>
      </w:r>
      <w:proofErr w:type="spellStart"/>
      <w:r w:rsidRPr="0074469E">
        <w:rPr>
          <w:rFonts w:ascii="Times" w:hAnsi="Times"/>
          <w:color w:val="000000" w:themeColor="text1"/>
          <w:sz w:val="24"/>
        </w:rPr>
        <w:t>Sengen</w:t>
      </w:r>
      <w:proofErr w:type="spellEnd"/>
      <w:r w:rsidRPr="0074469E">
        <w:rPr>
          <w:rFonts w:ascii="Times" w:hAnsi="Times"/>
          <w:color w:val="000000" w:themeColor="text1"/>
          <w:sz w:val="24"/>
        </w:rPr>
        <w:t>, Tsukuba, Ibaraki 305</w:t>
      </w:r>
      <w:r w:rsidR="00C72833" w:rsidRPr="0074469E">
        <w:rPr>
          <w:rFonts w:ascii="Times" w:hAnsi="Times"/>
          <w:color w:val="000000" w:themeColor="text1"/>
          <w:sz w:val="24"/>
        </w:rPr>
        <w:t>-</w:t>
      </w:r>
      <w:r w:rsidRPr="0074469E">
        <w:rPr>
          <w:rFonts w:ascii="Times" w:hAnsi="Times"/>
          <w:color w:val="000000" w:themeColor="text1"/>
          <w:sz w:val="24"/>
        </w:rPr>
        <w:t>0047, Japan;</w:t>
      </w:r>
      <w:r w:rsidR="00A17CB7" w:rsidRPr="0074469E">
        <w:rPr>
          <w:rFonts w:ascii="Times" w:hAnsi="Times"/>
          <w:color w:val="000000" w:themeColor="text1"/>
          <w:sz w:val="24"/>
        </w:rPr>
        <w:t xml:space="preserve"> </w:t>
      </w:r>
      <w:r w:rsidR="00A17CB7" w:rsidRPr="0074469E">
        <w:rPr>
          <w:rFonts w:ascii="Times" w:hAnsi="Times" w:cs="Times New Roman"/>
          <w:color w:val="000000" w:themeColor="text1"/>
          <w:kern w:val="0"/>
          <w:sz w:val="24"/>
        </w:rPr>
        <w:t>orcid.org/0000-0003-1339-0581;</w:t>
      </w:r>
      <w:r w:rsidRPr="0074469E">
        <w:rPr>
          <w:rFonts w:ascii="Times" w:hAnsi="Times"/>
          <w:color w:val="000000" w:themeColor="text1"/>
          <w:sz w:val="24"/>
        </w:rPr>
        <w:t xml:space="preserve"> Email: </w:t>
      </w:r>
      <w:r w:rsidR="00A17CB7" w:rsidRPr="0074469E">
        <w:rPr>
          <w:rFonts w:ascii="Times" w:hAnsi="Times"/>
          <w:color w:val="000000" w:themeColor="text1"/>
          <w:sz w:val="24"/>
        </w:rPr>
        <w:t>AIMI.Junko@nims.go.jp</w:t>
      </w:r>
    </w:p>
    <w:p w14:paraId="4AD8D779" w14:textId="6DBEDEC8" w:rsidR="00A17CB7" w:rsidRPr="0074469E" w:rsidRDefault="00A17CB7" w:rsidP="00A17CB7">
      <w:pPr>
        <w:autoSpaceDE w:val="0"/>
        <w:autoSpaceDN w:val="0"/>
        <w:adjustRightInd w:val="0"/>
        <w:spacing w:line="480" w:lineRule="auto"/>
        <w:jc w:val="left"/>
        <w:rPr>
          <w:rFonts w:ascii="Times" w:hAnsi="Times" w:cs="Times New Roman"/>
          <w:color w:val="000000" w:themeColor="text1"/>
          <w:kern w:val="0"/>
          <w:sz w:val="24"/>
        </w:rPr>
      </w:pPr>
    </w:p>
    <w:p w14:paraId="4E757F17" w14:textId="4BEFF0E4" w:rsidR="00A17CB7" w:rsidRPr="0074469E" w:rsidRDefault="00A17CB7" w:rsidP="00A17CB7">
      <w:pPr>
        <w:autoSpaceDE w:val="0"/>
        <w:autoSpaceDN w:val="0"/>
        <w:adjustRightInd w:val="0"/>
        <w:spacing w:line="480" w:lineRule="auto"/>
        <w:jc w:val="left"/>
        <w:rPr>
          <w:rFonts w:ascii="Times" w:hAnsi="Times" w:cs="Times New Roman"/>
          <w:b/>
          <w:bCs/>
          <w:color w:val="000000" w:themeColor="text1"/>
          <w:kern w:val="0"/>
          <w:sz w:val="24"/>
        </w:rPr>
      </w:pPr>
      <w:r w:rsidRPr="0074469E">
        <w:rPr>
          <w:rFonts w:ascii="Times" w:hAnsi="Times" w:cs="Times New Roman" w:hint="eastAsia"/>
          <w:b/>
          <w:bCs/>
          <w:color w:val="000000" w:themeColor="text1"/>
          <w:kern w:val="0"/>
          <w:sz w:val="24"/>
        </w:rPr>
        <w:t>A</w:t>
      </w:r>
      <w:r w:rsidRPr="0074469E">
        <w:rPr>
          <w:rFonts w:ascii="Times" w:hAnsi="Times" w:cs="Times New Roman"/>
          <w:b/>
          <w:bCs/>
          <w:color w:val="000000" w:themeColor="text1"/>
          <w:kern w:val="0"/>
          <w:sz w:val="24"/>
        </w:rPr>
        <w:t>uthors</w:t>
      </w:r>
    </w:p>
    <w:p w14:paraId="4EF92CCD" w14:textId="519706AC" w:rsidR="00A17CB7" w:rsidRPr="0074469E" w:rsidRDefault="00A17CB7" w:rsidP="00A17CB7">
      <w:pPr>
        <w:autoSpaceDE w:val="0"/>
        <w:autoSpaceDN w:val="0"/>
        <w:adjustRightInd w:val="0"/>
        <w:spacing w:line="480" w:lineRule="auto"/>
        <w:jc w:val="left"/>
        <w:rPr>
          <w:rFonts w:ascii="Times" w:hAnsi="Times"/>
          <w:color w:val="000000" w:themeColor="text1"/>
          <w:sz w:val="24"/>
        </w:rPr>
      </w:pPr>
      <w:r w:rsidRPr="0074469E">
        <w:rPr>
          <w:rFonts w:ascii="Times" w:hAnsi="Times" w:cs="Times New Roman" w:hint="eastAsia"/>
          <w:color w:val="000000" w:themeColor="text1"/>
          <w:kern w:val="0"/>
          <w:sz w:val="24"/>
        </w:rPr>
        <w:t>Y</w:t>
      </w:r>
      <w:r w:rsidRPr="0074469E">
        <w:rPr>
          <w:rFonts w:ascii="Times" w:hAnsi="Times" w:cs="Times New Roman"/>
          <w:color w:val="000000" w:themeColor="text1"/>
          <w:kern w:val="0"/>
          <w:sz w:val="24"/>
        </w:rPr>
        <w:t xml:space="preserve">oshitaka </w:t>
      </w:r>
      <w:proofErr w:type="spellStart"/>
      <w:r w:rsidRPr="0074469E">
        <w:rPr>
          <w:rFonts w:ascii="Times" w:hAnsi="Times" w:cs="Times New Roman"/>
          <w:color w:val="000000" w:themeColor="text1"/>
          <w:kern w:val="0"/>
          <w:sz w:val="24"/>
        </w:rPr>
        <w:t>Shingaya</w:t>
      </w:r>
      <w:proofErr w:type="spellEnd"/>
      <w:r w:rsidRPr="0074469E">
        <w:rPr>
          <w:rFonts w:ascii="Times" w:hAnsi="Times" w:cs="Times New Roman"/>
          <w:b/>
          <w:bCs/>
          <w:color w:val="000000" w:themeColor="text1"/>
          <w:kern w:val="0"/>
          <w:sz w:val="24"/>
        </w:rPr>
        <w:t xml:space="preserve"> </w:t>
      </w:r>
      <w:r w:rsidRPr="0074469E">
        <w:rPr>
          <w:rFonts w:ascii="Times" w:hAnsi="Times"/>
          <w:color w:val="000000" w:themeColor="text1"/>
          <w:sz w:val="24"/>
        </w:rPr>
        <w:t xml:space="preserve">– Research Center for Materials </w:t>
      </w:r>
      <w:proofErr w:type="spellStart"/>
      <w:r w:rsidRPr="0074469E">
        <w:rPr>
          <w:rFonts w:ascii="Times" w:hAnsi="Times"/>
          <w:color w:val="000000" w:themeColor="text1"/>
          <w:sz w:val="24"/>
        </w:rPr>
        <w:t>Nanoarchitectonics</w:t>
      </w:r>
      <w:proofErr w:type="spellEnd"/>
      <w:r w:rsidRPr="0074469E">
        <w:rPr>
          <w:rFonts w:ascii="Times" w:hAnsi="Times"/>
          <w:color w:val="000000" w:themeColor="text1"/>
          <w:sz w:val="24"/>
        </w:rPr>
        <w:t xml:space="preserve"> (MANA), National Institute for Materials Science (NIMS), 1-1 </w:t>
      </w:r>
      <w:proofErr w:type="spellStart"/>
      <w:r w:rsidRPr="0074469E">
        <w:rPr>
          <w:rFonts w:ascii="Times" w:hAnsi="Times"/>
          <w:color w:val="000000" w:themeColor="text1"/>
          <w:sz w:val="24"/>
        </w:rPr>
        <w:t>Namiki</w:t>
      </w:r>
      <w:proofErr w:type="spellEnd"/>
      <w:r w:rsidRPr="0074469E">
        <w:rPr>
          <w:rFonts w:ascii="Times" w:hAnsi="Times"/>
          <w:color w:val="000000" w:themeColor="text1"/>
          <w:sz w:val="24"/>
        </w:rPr>
        <w:t>, Tsukuba, Ibaraki 305</w:t>
      </w:r>
      <w:r w:rsidR="00C72833" w:rsidRPr="0074469E">
        <w:rPr>
          <w:rFonts w:ascii="Times" w:hAnsi="Times"/>
          <w:color w:val="000000" w:themeColor="text1"/>
          <w:sz w:val="24"/>
        </w:rPr>
        <w:t>-</w:t>
      </w:r>
      <w:r w:rsidRPr="0074469E">
        <w:rPr>
          <w:rFonts w:ascii="Times" w:hAnsi="Times"/>
          <w:color w:val="000000" w:themeColor="text1"/>
          <w:sz w:val="24"/>
        </w:rPr>
        <w:t>0044, Japan;</w:t>
      </w:r>
      <w:r w:rsidR="006E7F26" w:rsidRPr="0074469E">
        <w:rPr>
          <w:rFonts w:ascii="Times" w:hAnsi="Times"/>
          <w:color w:val="000000" w:themeColor="text1"/>
          <w:sz w:val="24"/>
        </w:rPr>
        <w:t xml:space="preserve"> orcid.org/0000-0002-5926-3302</w:t>
      </w:r>
    </w:p>
    <w:p w14:paraId="1F8CFBAD" w14:textId="3644C85D" w:rsidR="006E7F26" w:rsidRPr="0074469E" w:rsidRDefault="00872578" w:rsidP="00872578">
      <w:pPr>
        <w:tabs>
          <w:tab w:val="left" w:pos="2813"/>
        </w:tabs>
        <w:autoSpaceDE w:val="0"/>
        <w:autoSpaceDN w:val="0"/>
        <w:adjustRightInd w:val="0"/>
        <w:spacing w:line="480" w:lineRule="auto"/>
        <w:jc w:val="left"/>
        <w:rPr>
          <w:rFonts w:ascii="Times" w:hAnsi="Times"/>
          <w:color w:val="000000" w:themeColor="text1"/>
          <w:sz w:val="24"/>
        </w:rPr>
      </w:pPr>
      <w:r w:rsidRPr="0074469E">
        <w:rPr>
          <w:rFonts w:ascii="Times" w:hAnsi="Times" w:cs="Times New Roman" w:hint="eastAsia"/>
          <w:color w:val="000000" w:themeColor="text1"/>
          <w:kern w:val="0"/>
          <w:sz w:val="24"/>
        </w:rPr>
        <w:t>T</w:t>
      </w:r>
      <w:r w:rsidRPr="0074469E">
        <w:rPr>
          <w:rFonts w:ascii="Times" w:hAnsi="Times" w:cs="Times New Roman"/>
          <w:color w:val="000000" w:themeColor="text1"/>
          <w:kern w:val="0"/>
          <w:sz w:val="24"/>
        </w:rPr>
        <w:t xml:space="preserve">akuya Iwasaki </w:t>
      </w:r>
      <w:r w:rsidRPr="0074469E">
        <w:rPr>
          <w:rFonts w:ascii="Times" w:hAnsi="Times"/>
          <w:color w:val="000000" w:themeColor="text1"/>
          <w:sz w:val="24"/>
        </w:rPr>
        <w:t xml:space="preserve">– Research Center for Materials </w:t>
      </w:r>
      <w:proofErr w:type="spellStart"/>
      <w:r w:rsidRPr="0074469E">
        <w:rPr>
          <w:rFonts w:ascii="Times" w:hAnsi="Times"/>
          <w:color w:val="000000" w:themeColor="text1"/>
          <w:sz w:val="24"/>
        </w:rPr>
        <w:t>Nanoarchitectonics</w:t>
      </w:r>
      <w:proofErr w:type="spellEnd"/>
      <w:r w:rsidRPr="0074469E">
        <w:rPr>
          <w:rFonts w:ascii="Times" w:hAnsi="Times"/>
          <w:color w:val="000000" w:themeColor="text1"/>
          <w:sz w:val="24"/>
        </w:rPr>
        <w:t xml:space="preserve"> (MANA), National Institute for Materials Science (NIMS), 1-1 </w:t>
      </w:r>
      <w:proofErr w:type="spellStart"/>
      <w:r w:rsidRPr="0074469E">
        <w:rPr>
          <w:rFonts w:ascii="Times" w:hAnsi="Times"/>
          <w:color w:val="000000" w:themeColor="text1"/>
          <w:sz w:val="24"/>
        </w:rPr>
        <w:t>Namiki</w:t>
      </w:r>
      <w:proofErr w:type="spellEnd"/>
      <w:r w:rsidRPr="0074469E">
        <w:rPr>
          <w:rFonts w:ascii="Times" w:hAnsi="Times"/>
          <w:color w:val="000000" w:themeColor="text1"/>
          <w:sz w:val="24"/>
        </w:rPr>
        <w:t>, Tsukuba, Ibaraki 305</w:t>
      </w:r>
      <w:r w:rsidR="00C72833" w:rsidRPr="0074469E">
        <w:rPr>
          <w:rFonts w:ascii="Times" w:hAnsi="Times"/>
          <w:color w:val="000000" w:themeColor="text1"/>
          <w:sz w:val="24"/>
        </w:rPr>
        <w:t>-</w:t>
      </w:r>
      <w:r w:rsidRPr="0074469E">
        <w:rPr>
          <w:rFonts w:ascii="Times" w:hAnsi="Times"/>
          <w:color w:val="000000" w:themeColor="text1"/>
          <w:sz w:val="24"/>
        </w:rPr>
        <w:t>0044, Japan; orcid.org/0000-0002- 1103-2433</w:t>
      </w:r>
    </w:p>
    <w:p w14:paraId="533D38B4" w14:textId="44C04C27" w:rsidR="00872578" w:rsidRPr="0074469E" w:rsidRDefault="00872578" w:rsidP="00872578">
      <w:pPr>
        <w:tabs>
          <w:tab w:val="left" w:pos="2813"/>
        </w:tabs>
        <w:autoSpaceDE w:val="0"/>
        <w:autoSpaceDN w:val="0"/>
        <w:adjustRightInd w:val="0"/>
        <w:spacing w:line="480" w:lineRule="auto"/>
        <w:jc w:val="left"/>
        <w:rPr>
          <w:rFonts w:ascii="Times" w:hAnsi="Times"/>
          <w:color w:val="000000" w:themeColor="text1"/>
          <w:sz w:val="24"/>
        </w:rPr>
      </w:pPr>
      <w:r w:rsidRPr="0074469E">
        <w:rPr>
          <w:rFonts w:ascii="Times" w:hAnsi="Times" w:cs="Times New Roman"/>
          <w:color w:val="000000" w:themeColor="text1"/>
          <w:kern w:val="0"/>
          <w:sz w:val="24"/>
        </w:rPr>
        <w:t xml:space="preserve">Shu </w:t>
      </w:r>
      <w:proofErr w:type="spellStart"/>
      <w:r w:rsidRPr="0074469E">
        <w:rPr>
          <w:rFonts w:ascii="Times" w:hAnsi="Times" w:cs="Times New Roman"/>
          <w:color w:val="000000" w:themeColor="text1"/>
          <w:kern w:val="0"/>
          <w:sz w:val="24"/>
        </w:rPr>
        <w:t>Nakaharai</w:t>
      </w:r>
      <w:proofErr w:type="spellEnd"/>
      <w:r w:rsidRPr="0074469E">
        <w:rPr>
          <w:rFonts w:ascii="Times" w:hAnsi="Times" w:cs="Times New Roman"/>
          <w:color w:val="000000" w:themeColor="text1"/>
          <w:kern w:val="0"/>
          <w:sz w:val="24"/>
        </w:rPr>
        <w:t xml:space="preserve"> </w:t>
      </w:r>
      <w:r w:rsidRPr="0074469E">
        <w:rPr>
          <w:rFonts w:ascii="Times" w:hAnsi="Times"/>
          <w:color w:val="000000" w:themeColor="text1"/>
          <w:sz w:val="24"/>
        </w:rPr>
        <w:t xml:space="preserve">– Research Center for Materials </w:t>
      </w:r>
      <w:proofErr w:type="spellStart"/>
      <w:r w:rsidRPr="0074469E">
        <w:rPr>
          <w:rFonts w:ascii="Times" w:hAnsi="Times"/>
          <w:color w:val="000000" w:themeColor="text1"/>
          <w:sz w:val="24"/>
        </w:rPr>
        <w:t>Nanoarchitectonics</w:t>
      </w:r>
      <w:proofErr w:type="spellEnd"/>
      <w:r w:rsidRPr="0074469E">
        <w:rPr>
          <w:rFonts w:ascii="Times" w:hAnsi="Times"/>
          <w:color w:val="000000" w:themeColor="text1"/>
          <w:sz w:val="24"/>
        </w:rPr>
        <w:t xml:space="preserve"> (MANA), National Institute for Materials Science (NIMS), 1-1 </w:t>
      </w:r>
      <w:proofErr w:type="spellStart"/>
      <w:r w:rsidRPr="0074469E">
        <w:rPr>
          <w:rFonts w:ascii="Times" w:hAnsi="Times"/>
          <w:color w:val="000000" w:themeColor="text1"/>
          <w:sz w:val="24"/>
        </w:rPr>
        <w:t>Namiki</w:t>
      </w:r>
      <w:proofErr w:type="spellEnd"/>
      <w:r w:rsidRPr="0074469E">
        <w:rPr>
          <w:rFonts w:ascii="Times" w:hAnsi="Times"/>
          <w:color w:val="000000" w:themeColor="text1"/>
          <w:sz w:val="24"/>
        </w:rPr>
        <w:t>, Tsukuba, Ibaraki 305</w:t>
      </w:r>
      <w:r w:rsidR="00C72833" w:rsidRPr="0074469E">
        <w:rPr>
          <w:rFonts w:ascii="Times" w:hAnsi="Times"/>
          <w:color w:val="000000" w:themeColor="text1"/>
          <w:sz w:val="24"/>
        </w:rPr>
        <w:t>-</w:t>
      </w:r>
      <w:r w:rsidRPr="0074469E">
        <w:rPr>
          <w:rFonts w:ascii="Times" w:hAnsi="Times"/>
          <w:color w:val="000000" w:themeColor="text1"/>
          <w:sz w:val="24"/>
        </w:rPr>
        <w:t>0044, Japan; orcid.org/0000-0002-6329-3942</w:t>
      </w:r>
    </w:p>
    <w:p w14:paraId="371D013A" w14:textId="7F5FACE1" w:rsidR="00872578" w:rsidRPr="0074469E" w:rsidRDefault="00872578" w:rsidP="00872578">
      <w:pPr>
        <w:tabs>
          <w:tab w:val="left" w:pos="2813"/>
        </w:tabs>
        <w:autoSpaceDE w:val="0"/>
        <w:autoSpaceDN w:val="0"/>
        <w:adjustRightInd w:val="0"/>
        <w:spacing w:line="480" w:lineRule="auto"/>
        <w:jc w:val="left"/>
        <w:rPr>
          <w:rFonts w:ascii="Times" w:hAnsi="Times"/>
          <w:color w:val="000000" w:themeColor="text1"/>
          <w:sz w:val="24"/>
        </w:rPr>
      </w:pPr>
      <w:r w:rsidRPr="0074469E">
        <w:rPr>
          <w:rFonts w:ascii="Times" w:hAnsi="Times" w:hint="eastAsia"/>
          <w:color w:val="000000" w:themeColor="text1"/>
          <w:sz w:val="24"/>
        </w:rPr>
        <w:t>K</w:t>
      </w:r>
      <w:r w:rsidRPr="0074469E">
        <w:rPr>
          <w:rFonts w:ascii="Times" w:hAnsi="Times"/>
          <w:color w:val="000000" w:themeColor="text1"/>
          <w:sz w:val="24"/>
        </w:rPr>
        <w:t>enji Watanabe</w:t>
      </w:r>
      <w:r w:rsidRPr="0074469E">
        <w:rPr>
          <w:rFonts w:ascii="Times" w:hAnsi="Times" w:cs="Times New Roman"/>
          <w:color w:val="000000" w:themeColor="text1"/>
          <w:kern w:val="0"/>
          <w:sz w:val="24"/>
        </w:rPr>
        <w:t xml:space="preserve"> </w:t>
      </w:r>
      <w:r w:rsidRPr="0074469E">
        <w:rPr>
          <w:rFonts w:ascii="Times" w:hAnsi="Times"/>
          <w:color w:val="000000" w:themeColor="text1"/>
          <w:sz w:val="24"/>
        </w:rPr>
        <w:t>– Research Center for Functional Materials, NIMS, Tsukuba, Ibaraki 305-0044, Japan; orcid.org/0000- 0003-3701-8119</w:t>
      </w:r>
    </w:p>
    <w:p w14:paraId="14784301" w14:textId="18D9320E" w:rsidR="00872578" w:rsidRPr="0074469E" w:rsidRDefault="00872578" w:rsidP="00872578">
      <w:pPr>
        <w:tabs>
          <w:tab w:val="left" w:pos="2813"/>
        </w:tabs>
        <w:autoSpaceDE w:val="0"/>
        <w:autoSpaceDN w:val="0"/>
        <w:adjustRightInd w:val="0"/>
        <w:spacing w:line="480" w:lineRule="auto"/>
        <w:jc w:val="left"/>
        <w:rPr>
          <w:rFonts w:ascii="Times" w:hAnsi="Times"/>
          <w:color w:val="000000" w:themeColor="text1"/>
          <w:sz w:val="24"/>
        </w:rPr>
      </w:pPr>
      <w:r w:rsidRPr="0074469E">
        <w:rPr>
          <w:rFonts w:ascii="Times" w:hAnsi="Times" w:cs="Times New Roman"/>
          <w:color w:val="000000" w:themeColor="text1"/>
          <w:kern w:val="0"/>
          <w:sz w:val="24"/>
        </w:rPr>
        <w:t>Takashi Taniguchi</w:t>
      </w:r>
      <w:r w:rsidRPr="0074469E">
        <w:rPr>
          <w:rFonts w:ascii="Times" w:hAnsi="Times"/>
          <w:color w:val="000000" w:themeColor="text1"/>
          <w:sz w:val="24"/>
        </w:rPr>
        <w:t xml:space="preserve">– Research Center for Materials </w:t>
      </w:r>
      <w:proofErr w:type="spellStart"/>
      <w:r w:rsidRPr="0074469E">
        <w:rPr>
          <w:rFonts w:ascii="Times" w:hAnsi="Times"/>
          <w:color w:val="000000" w:themeColor="text1"/>
          <w:sz w:val="24"/>
        </w:rPr>
        <w:t>Nanoarchitectonics</w:t>
      </w:r>
      <w:proofErr w:type="spellEnd"/>
      <w:r w:rsidRPr="0074469E">
        <w:rPr>
          <w:rFonts w:ascii="Times" w:hAnsi="Times"/>
          <w:color w:val="000000" w:themeColor="text1"/>
          <w:sz w:val="24"/>
        </w:rPr>
        <w:t xml:space="preserve"> (MANA), National </w:t>
      </w:r>
      <w:r w:rsidRPr="0074469E">
        <w:rPr>
          <w:rFonts w:ascii="Times" w:hAnsi="Times"/>
          <w:color w:val="000000" w:themeColor="text1"/>
          <w:sz w:val="24"/>
        </w:rPr>
        <w:lastRenderedPageBreak/>
        <w:t xml:space="preserve">Institute for Materials Science (NIMS), 1-1 </w:t>
      </w:r>
      <w:proofErr w:type="spellStart"/>
      <w:r w:rsidRPr="0074469E">
        <w:rPr>
          <w:rFonts w:ascii="Times" w:hAnsi="Times"/>
          <w:color w:val="000000" w:themeColor="text1"/>
          <w:sz w:val="24"/>
        </w:rPr>
        <w:t>Namiki</w:t>
      </w:r>
      <w:proofErr w:type="spellEnd"/>
      <w:r w:rsidRPr="0074469E">
        <w:rPr>
          <w:rFonts w:ascii="Times" w:hAnsi="Times"/>
          <w:color w:val="000000" w:themeColor="text1"/>
          <w:sz w:val="24"/>
        </w:rPr>
        <w:t>, Tsukuba, Ibaraki 305</w:t>
      </w:r>
      <w:r w:rsidR="00C72833" w:rsidRPr="0074469E">
        <w:rPr>
          <w:rFonts w:ascii="Times" w:hAnsi="Times"/>
          <w:color w:val="000000" w:themeColor="text1"/>
          <w:sz w:val="24"/>
        </w:rPr>
        <w:t>-</w:t>
      </w:r>
      <w:r w:rsidRPr="0074469E">
        <w:rPr>
          <w:rFonts w:ascii="Times" w:hAnsi="Times"/>
          <w:color w:val="000000" w:themeColor="text1"/>
          <w:sz w:val="24"/>
        </w:rPr>
        <w:t>0044, Japan;</w:t>
      </w:r>
      <w:r w:rsidRPr="0074469E">
        <w:rPr>
          <w:color w:val="000000" w:themeColor="text1"/>
        </w:rPr>
        <w:t xml:space="preserve"> </w:t>
      </w:r>
      <w:r w:rsidRPr="0074469E">
        <w:rPr>
          <w:rFonts w:ascii="Times" w:hAnsi="Times"/>
          <w:color w:val="000000" w:themeColor="text1"/>
          <w:sz w:val="24"/>
        </w:rPr>
        <w:t>orcid.org/0000-0002-1467- 3105</w:t>
      </w:r>
    </w:p>
    <w:p w14:paraId="53C1581A" w14:textId="77777777" w:rsidR="00872578" w:rsidRPr="0074469E" w:rsidRDefault="00872578" w:rsidP="00872578">
      <w:pPr>
        <w:tabs>
          <w:tab w:val="left" w:pos="2813"/>
        </w:tabs>
        <w:autoSpaceDE w:val="0"/>
        <w:autoSpaceDN w:val="0"/>
        <w:adjustRightInd w:val="0"/>
        <w:spacing w:line="480" w:lineRule="auto"/>
        <w:jc w:val="left"/>
        <w:rPr>
          <w:rFonts w:ascii="Times" w:hAnsi="Times" w:cs="Times New Roman"/>
          <w:b/>
          <w:bCs/>
          <w:color w:val="000000" w:themeColor="text1"/>
          <w:kern w:val="0"/>
          <w:sz w:val="24"/>
        </w:rPr>
      </w:pPr>
    </w:p>
    <w:p w14:paraId="5029668D" w14:textId="77777777" w:rsidR="000C12BB" w:rsidRPr="0074469E" w:rsidRDefault="000C12BB" w:rsidP="00D3565D">
      <w:pPr>
        <w:pStyle w:val="FACorrespondingAuthorFootnote"/>
        <w:rPr>
          <w:b/>
          <w:bCs/>
          <w:color w:val="000000" w:themeColor="text1"/>
        </w:rPr>
      </w:pPr>
      <w:r w:rsidRPr="0074469E">
        <w:rPr>
          <w:b/>
          <w:bCs/>
          <w:color w:val="000000" w:themeColor="text1"/>
        </w:rPr>
        <w:t>Author Contributions</w:t>
      </w:r>
    </w:p>
    <w:p w14:paraId="5F501234" w14:textId="2F7DC5BE" w:rsidR="000C12BB" w:rsidRPr="0074469E" w:rsidRDefault="000C12BB" w:rsidP="00D3565D">
      <w:pPr>
        <w:pStyle w:val="FACorrespondingAuthorFootnote"/>
        <w:rPr>
          <w:color w:val="000000" w:themeColor="text1"/>
        </w:rPr>
      </w:pPr>
      <w:r w:rsidRPr="0074469E">
        <w:rPr>
          <w:snapToGrid w:val="0"/>
          <w:color w:val="000000" w:themeColor="text1"/>
        </w:rPr>
        <w:t xml:space="preserve">R. H., J. A., and Y. W. proposed the concept of in-memory logics based on a dual-gate AAT.  J. A. synthesized </w:t>
      </w:r>
      <w:r w:rsidR="00C72833" w:rsidRPr="0074469E">
        <w:rPr>
          <w:snapToGrid w:val="0"/>
          <w:color w:val="000000" w:themeColor="text1"/>
        </w:rPr>
        <w:t xml:space="preserve">the </w:t>
      </w:r>
      <w:r w:rsidRPr="0074469E">
        <w:rPr>
          <w:snapToGrid w:val="0"/>
          <w:color w:val="000000" w:themeColor="text1"/>
        </w:rPr>
        <w:t>ZnPc-PS</w:t>
      </w:r>
      <w:r w:rsidRPr="0074469E">
        <w:rPr>
          <w:snapToGrid w:val="0"/>
          <w:color w:val="000000" w:themeColor="text1"/>
          <w:vertAlign w:val="subscript"/>
        </w:rPr>
        <w:t>4</w:t>
      </w:r>
      <w:r w:rsidRPr="0074469E">
        <w:rPr>
          <w:snapToGrid w:val="0"/>
          <w:color w:val="000000" w:themeColor="text1"/>
        </w:rPr>
        <w:t xml:space="preserve">. Y. S. performed the experiments, including the sample formation, electrical measurements, and the analysis of the experimental results. T. I and S. N. established </w:t>
      </w:r>
      <w:r w:rsidRPr="0074469E">
        <w:rPr>
          <w:color w:val="000000" w:themeColor="text1"/>
        </w:rPr>
        <w:t>the bubble-free dry transfer technique with a PPC/PDMS stamp. This technique was used to form the dual-gate AAT with two-dimensional materials. T. T. and K. W provided the h-BN crystal.</w:t>
      </w:r>
      <w:r w:rsidRPr="0074469E">
        <w:rPr>
          <w:rFonts w:hint="eastAsia"/>
          <w:snapToGrid w:val="0"/>
          <w:color w:val="000000" w:themeColor="text1"/>
        </w:rPr>
        <w:t xml:space="preserve"> </w:t>
      </w:r>
      <w:r w:rsidRPr="0074469E">
        <w:rPr>
          <w:snapToGrid w:val="0"/>
          <w:color w:val="000000" w:themeColor="text1"/>
        </w:rPr>
        <w:t>All authors contributed to the preparation of the manuscript</w:t>
      </w:r>
      <w:r w:rsidRPr="0074469E">
        <w:rPr>
          <w:color w:val="000000" w:themeColor="text1"/>
        </w:rPr>
        <w:t>.</w:t>
      </w:r>
    </w:p>
    <w:p w14:paraId="0717D003" w14:textId="77777777" w:rsidR="00D8592F" w:rsidRPr="0074469E" w:rsidRDefault="00D8592F" w:rsidP="00D8592F">
      <w:pPr>
        <w:pStyle w:val="TAMainText"/>
        <w:rPr>
          <w:color w:val="000000" w:themeColor="text1"/>
        </w:rPr>
      </w:pPr>
    </w:p>
    <w:p w14:paraId="20073195" w14:textId="500145E5" w:rsidR="00715783" w:rsidRPr="0074469E" w:rsidRDefault="00715783" w:rsidP="008A0CB0">
      <w:pPr>
        <w:pStyle w:val="FACorrespondingAuthorFootnote"/>
        <w:rPr>
          <w:b/>
          <w:bCs/>
          <w:color w:val="000000" w:themeColor="text1"/>
        </w:rPr>
      </w:pPr>
      <w:r w:rsidRPr="0074469E">
        <w:rPr>
          <w:b/>
          <w:bCs/>
          <w:color w:val="000000" w:themeColor="text1"/>
        </w:rPr>
        <w:t>Funding Sources</w:t>
      </w:r>
    </w:p>
    <w:p w14:paraId="5BE34B50" w14:textId="211B2C4B" w:rsidR="00715783" w:rsidRPr="0074469E" w:rsidRDefault="008A0CB0" w:rsidP="008A0CB0">
      <w:pPr>
        <w:pStyle w:val="TAMainText"/>
        <w:ind w:firstLine="0"/>
        <w:rPr>
          <w:color w:val="000000" w:themeColor="text1"/>
        </w:rPr>
      </w:pPr>
      <w:r w:rsidRPr="0074469E">
        <w:rPr>
          <w:color w:val="000000" w:themeColor="text1"/>
        </w:rPr>
        <w:t xml:space="preserve">JSPS </w:t>
      </w:r>
      <w:proofErr w:type="spellStart"/>
      <w:r w:rsidRPr="0074469E">
        <w:rPr>
          <w:color w:val="000000" w:themeColor="text1"/>
        </w:rPr>
        <w:t>Kakenhi</w:t>
      </w:r>
      <w:proofErr w:type="spellEnd"/>
      <w:r w:rsidRPr="0074469E">
        <w:rPr>
          <w:color w:val="000000" w:themeColor="text1"/>
        </w:rPr>
        <w:t xml:space="preserve"> grant numbers 19H00866, 21F21052, 23H00269</w:t>
      </w:r>
    </w:p>
    <w:p w14:paraId="64E22E31" w14:textId="77777777" w:rsidR="008A0CB0" w:rsidRPr="0074469E" w:rsidRDefault="008A0CB0" w:rsidP="008A0CB0">
      <w:pPr>
        <w:pStyle w:val="FACorrespondingAuthorFootnote"/>
        <w:rPr>
          <w:color w:val="000000" w:themeColor="text1"/>
        </w:rPr>
      </w:pPr>
      <w:r w:rsidRPr="0074469E">
        <w:rPr>
          <w:color w:val="000000" w:themeColor="text1"/>
        </w:rPr>
        <w:t>JST SCICORP grant number 22480325</w:t>
      </w:r>
    </w:p>
    <w:p w14:paraId="42246FC7" w14:textId="63162DA6" w:rsidR="008A0CB0" w:rsidRPr="0074469E" w:rsidRDefault="008A0CB0" w:rsidP="008A0CB0">
      <w:pPr>
        <w:pStyle w:val="FACorrespondingAuthorFootnote"/>
        <w:rPr>
          <w:color w:val="000000" w:themeColor="text1"/>
        </w:rPr>
      </w:pPr>
      <w:r w:rsidRPr="0074469E">
        <w:rPr>
          <w:color w:val="000000" w:themeColor="text1"/>
        </w:rPr>
        <w:t>Canon Foundation</w:t>
      </w:r>
    </w:p>
    <w:p w14:paraId="09790070" w14:textId="77777777" w:rsidR="008A0CB0" w:rsidRPr="0074469E" w:rsidRDefault="008A0CB0" w:rsidP="008A0CB0">
      <w:pPr>
        <w:pStyle w:val="TAMainText"/>
        <w:ind w:firstLine="0"/>
        <w:rPr>
          <w:color w:val="000000" w:themeColor="text1"/>
        </w:rPr>
      </w:pPr>
    </w:p>
    <w:p w14:paraId="62DAF118" w14:textId="77777777" w:rsidR="000C12BB" w:rsidRPr="0074469E" w:rsidRDefault="000C12BB" w:rsidP="00441530">
      <w:pPr>
        <w:pStyle w:val="FACorrespondingAuthorFootnote"/>
        <w:rPr>
          <w:b/>
          <w:bCs/>
          <w:color w:val="000000" w:themeColor="text1"/>
        </w:rPr>
      </w:pPr>
      <w:bookmarkStart w:id="41" w:name="OLE_LINK60"/>
      <w:bookmarkStart w:id="42" w:name="OLE_LINK61"/>
      <w:r w:rsidRPr="0074469E">
        <w:rPr>
          <w:rFonts w:hint="eastAsia"/>
          <w:b/>
          <w:bCs/>
          <w:color w:val="000000" w:themeColor="text1"/>
        </w:rPr>
        <w:t>N</w:t>
      </w:r>
      <w:r w:rsidRPr="0074469E">
        <w:rPr>
          <w:b/>
          <w:bCs/>
          <w:color w:val="000000" w:themeColor="text1"/>
        </w:rPr>
        <w:t>otes</w:t>
      </w:r>
    </w:p>
    <w:bookmarkEnd w:id="41"/>
    <w:bookmarkEnd w:id="42"/>
    <w:p w14:paraId="046021A7" w14:textId="77777777" w:rsidR="000C12BB" w:rsidRPr="0074469E" w:rsidRDefault="000C12BB" w:rsidP="00441530">
      <w:pPr>
        <w:pStyle w:val="FACorrespondingAuthorFootnote"/>
        <w:rPr>
          <w:color w:val="000000" w:themeColor="text1"/>
        </w:rPr>
      </w:pPr>
      <w:r w:rsidRPr="0074469E">
        <w:rPr>
          <w:color w:val="000000" w:themeColor="text1"/>
        </w:rPr>
        <w:t>The authors declare no competing financial interest.</w:t>
      </w:r>
    </w:p>
    <w:p w14:paraId="76F7C7C6" w14:textId="77777777" w:rsidR="000C12BB" w:rsidRPr="0074469E" w:rsidRDefault="000C12BB" w:rsidP="00897AFB">
      <w:pPr>
        <w:pStyle w:val="TAMainText"/>
        <w:rPr>
          <w:color w:val="000000" w:themeColor="text1"/>
        </w:rPr>
      </w:pPr>
    </w:p>
    <w:p w14:paraId="1AB7FB68" w14:textId="77777777" w:rsidR="000C12BB" w:rsidRPr="0074469E" w:rsidRDefault="000C12BB" w:rsidP="00897AFB">
      <w:pPr>
        <w:pStyle w:val="TAMainText"/>
        <w:rPr>
          <w:color w:val="000000" w:themeColor="text1"/>
        </w:rPr>
      </w:pPr>
      <w:r w:rsidRPr="0074469E">
        <w:rPr>
          <w:color w:val="000000" w:themeColor="text1"/>
        </w:rPr>
        <w:t>ACKNOWLEDGEMENTS</w:t>
      </w:r>
    </w:p>
    <w:p w14:paraId="1F347DA7" w14:textId="26BEC1E6" w:rsidR="000C12BB" w:rsidRPr="0074469E" w:rsidRDefault="000C12BB" w:rsidP="007024C0">
      <w:pPr>
        <w:pStyle w:val="TDAcknowledgments"/>
        <w:rPr>
          <w:color w:val="000000" w:themeColor="text1"/>
        </w:rPr>
      </w:pPr>
      <w:r w:rsidRPr="0074469E">
        <w:rPr>
          <w:color w:val="000000" w:themeColor="text1"/>
        </w:rPr>
        <w:t xml:space="preserve">This research was supported by the World Premier International Center (WPI) for Materials </w:t>
      </w:r>
      <w:proofErr w:type="spellStart"/>
      <w:r w:rsidRPr="0074469E">
        <w:rPr>
          <w:color w:val="000000" w:themeColor="text1"/>
        </w:rPr>
        <w:t>Nanoarchitectonics</w:t>
      </w:r>
      <w:proofErr w:type="spellEnd"/>
      <w:r w:rsidRPr="0074469E">
        <w:rPr>
          <w:color w:val="000000" w:themeColor="text1"/>
        </w:rPr>
        <w:t xml:space="preserve"> (MANA) of the National Institute for Materials Science (NIMS), Tsukuba, Japan, and </w:t>
      </w:r>
      <w:bookmarkStart w:id="43" w:name="OLE_LINK62"/>
      <w:bookmarkStart w:id="44" w:name="OLE_LINK63"/>
      <w:r w:rsidRPr="0074469E">
        <w:rPr>
          <w:color w:val="000000" w:themeColor="text1"/>
        </w:rPr>
        <w:t xml:space="preserve">JSPS </w:t>
      </w:r>
      <w:proofErr w:type="spellStart"/>
      <w:r w:rsidRPr="0074469E">
        <w:rPr>
          <w:color w:val="000000" w:themeColor="text1"/>
        </w:rPr>
        <w:t>Kakenhi</w:t>
      </w:r>
      <w:proofErr w:type="spellEnd"/>
      <w:r w:rsidRPr="0074469E">
        <w:rPr>
          <w:color w:val="000000" w:themeColor="text1"/>
        </w:rPr>
        <w:t xml:space="preserve"> grant numbers 19H00866, 21F21052, 23H00269</w:t>
      </w:r>
      <w:bookmarkEnd w:id="43"/>
      <w:bookmarkEnd w:id="44"/>
      <w:r w:rsidR="00BB4593" w:rsidRPr="0074469E">
        <w:rPr>
          <w:color w:val="000000" w:themeColor="text1"/>
        </w:rPr>
        <w:t xml:space="preserve">, </w:t>
      </w:r>
      <w:bookmarkStart w:id="45" w:name="OLE_LINK64"/>
      <w:bookmarkStart w:id="46" w:name="OLE_LINK65"/>
      <w:r w:rsidR="00BB4593" w:rsidRPr="0074469E">
        <w:rPr>
          <w:color w:val="000000" w:themeColor="text1"/>
        </w:rPr>
        <w:t>JST SCICORP grant number 22480325</w:t>
      </w:r>
      <w:bookmarkEnd w:id="45"/>
      <w:bookmarkEnd w:id="46"/>
      <w:r w:rsidRPr="0074469E">
        <w:rPr>
          <w:color w:val="000000" w:themeColor="text1"/>
        </w:rPr>
        <w:t xml:space="preserve"> and the </w:t>
      </w:r>
      <w:bookmarkStart w:id="47" w:name="OLE_LINK66"/>
      <w:bookmarkStart w:id="48" w:name="OLE_LINK67"/>
      <w:r w:rsidRPr="0074469E">
        <w:rPr>
          <w:color w:val="000000" w:themeColor="text1"/>
        </w:rPr>
        <w:t>Canon Foundation</w:t>
      </w:r>
      <w:bookmarkEnd w:id="47"/>
      <w:bookmarkEnd w:id="48"/>
      <w:r w:rsidRPr="0074469E">
        <w:rPr>
          <w:color w:val="000000" w:themeColor="text1"/>
        </w:rPr>
        <w:t>. A part of this work was supported by "Advanced Research Infrastructure for Materials and Nanotechnology in Japan (ARIM)" of the Ministry of Education, Culture, Sports, Science and Technology (MEXT). Proposal Number JPMXP1223NM5255.</w:t>
      </w:r>
    </w:p>
    <w:p w14:paraId="3BC54456" w14:textId="4C824BBE" w:rsidR="000C12BB" w:rsidRPr="0074469E" w:rsidRDefault="000C12BB" w:rsidP="00897AFB">
      <w:pPr>
        <w:pStyle w:val="TAMainText"/>
        <w:rPr>
          <w:rFonts w:eastAsia="ＭＳ Ｐゴシック"/>
          <w:color w:val="000000" w:themeColor="text1"/>
        </w:rPr>
      </w:pPr>
    </w:p>
    <w:p w14:paraId="24DE935F" w14:textId="77777777" w:rsidR="000C12BB" w:rsidRPr="0074469E" w:rsidRDefault="000C12BB" w:rsidP="00284822">
      <w:pPr>
        <w:widowControl/>
        <w:rPr>
          <w:rFonts w:ascii="Times New Roman" w:hAnsi="Times New Roman" w:cs="Times New Roman"/>
          <w:color w:val="000000" w:themeColor="text1"/>
          <w:sz w:val="24"/>
        </w:rPr>
      </w:pPr>
    </w:p>
    <w:p w14:paraId="09C871F7" w14:textId="77777777" w:rsidR="000C12BB" w:rsidRPr="0074469E" w:rsidRDefault="000C12BB" w:rsidP="00D45293">
      <w:pPr>
        <w:widowControl/>
        <w:rPr>
          <w:rFonts w:ascii="Times New Roman" w:hAnsi="Times New Roman" w:cs="Times New Roman"/>
          <w:color w:val="000000" w:themeColor="text1"/>
          <w:sz w:val="24"/>
        </w:rPr>
      </w:pPr>
      <w:r w:rsidRPr="0074469E">
        <w:rPr>
          <w:rFonts w:ascii="Times New Roman" w:hAnsi="Times New Roman" w:cs="Times New Roman"/>
          <w:color w:val="000000" w:themeColor="text1"/>
          <w:sz w:val="24"/>
        </w:rPr>
        <w:br w:type="page"/>
      </w:r>
    </w:p>
    <w:p w14:paraId="57218B28" w14:textId="66ED8A49" w:rsidR="000C12BB" w:rsidRPr="0074469E" w:rsidRDefault="000C12BB" w:rsidP="00BA5022">
      <w:pPr>
        <w:pStyle w:val="TFReferencesSection"/>
        <w:rPr>
          <w:color w:val="000000" w:themeColor="text1"/>
        </w:rPr>
      </w:pPr>
      <w:r w:rsidRPr="0074469E">
        <w:rPr>
          <w:color w:val="000000" w:themeColor="text1"/>
        </w:rPr>
        <w:lastRenderedPageBreak/>
        <w:t>REFERENCES</w:t>
      </w:r>
    </w:p>
    <w:p w14:paraId="713E1FF3" w14:textId="77777777" w:rsidR="003F70AC" w:rsidRPr="00693882" w:rsidRDefault="003F70AC" w:rsidP="003F70AC">
      <w:pPr>
        <w:pStyle w:val="EndNoteBibliography"/>
        <w:spacing w:line="480" w:lineRule="auto"/>
        <w:rPr>
          <w:noProof/>
        </w:rPr>
      </w:pPr>
      <w:r w:rsidRPr="00693882">
        <w:rPr>
          <w:noProof/>
        </w:rPr>
        <w:t xml:space="preserve">(1) Pei, J.; Deng, L.; Song, S.; Zhao, M.; Zhang, Y.; Wu, S.; Wang, G.; Zou, Z.; Wu, Z.; He, W.; Chen, F.; Deng, N.; Wu, S.; Wang, Y.; Wu, Y.; Yang, Z.; Ma, C.; Li, G.; Han, W.; Li, H.; Wu, H.; Zhao, R.; Xie, Y.; Shi, L. Towards artificial general intelligence with hybrid Tianjic chip architecture. </w:t>
      </w:r>
      <w:r w:rsidRPr="00693882">
        <w:rPr>
          <w:i/>
          <w:noProof/>
        </w:rPr>
        <w:t xml:space="preserve">Nature </w:t>
      </w:r>
      <w:r w:rsidRPr="00693882">
        <w:rPr>
          <w:b/>
          <w:noProof/>
        </w:rPr>
        <w:t>2019</w:t>
      </w:r>
      <w:r w:rsidRPr="00693882">
        <w:rPr>
          <w:noProof/>
        </w:rPr>
        <w:t xml:space="preserve">, </w:t>
      </w:r>
      <w:r w:rsidRPr="00693882">
        <w:rPr>
          <w:i/>
          <w:noProof/>
        </w:rPr>
        <w:t>572</w:t>
      </w:r>
      <w:r w:rsidRPr="00693882">
        <w:rPr>
          <w:noProof/>
        </w:rPr>
        <w:t xml:space="preserve"> (7767), 106-111, DOI: 10.1038/s41586-019-1424-8</w:t>
      </w:r>
    </w:p>
    <w:p w14:paraId="775C949A" w14:textId="77777777" w:rsidR="003F70AC" w:rsidRPr="00693882" w:rsidRDefault="003F70AC" w:rsidP="003F70AC">
      <w:pPr>
        <w:pStyle w:val="EndNoteBibliography"/>
        <w:spacing w:line="480" w:lineRule="auto"/>
        <w:rPr>
          <w:noProof/>
        </w:rPr>
      </w:pPr>
      <w:r w:rsidRPr="00693882">
        <w:rPr>
          <w:noProof/>
        </w:rPr>
        <w:t xml:space="preserve">(2) Wang, X. F.; Han, Y. W.; Wang, C. Y.; Zhao, Q. Y.; Chen, X.; Chen, M. In-edge AI: Intelligentizing mobile edge computing, caching and communication by federated learning. </w:t>
      </w:r>
      <w:r w:rsidRPr="00693882">
        <w:rPr>
          <w:i/>
          <w:noProof/>
        </w:rPr>
        <w:t xml:space="preserve">IEEE Netw. </w:t>
      </w:r>
      <w:r w:rsidRPr="00693882">
        <w:rPr>
          <w:b/>
          <w:noProof/>
        </w:rPr>
        <w:t>2019</w:t>
      </w:r>
      <w:r w:rsidRPr="00693882">
        <w:rPr>
          <w:noProof/>
        </w:rPr>
        <w:t xml:space="preserve">, </w:t>
      </w:r>
      <w:r w:rsidRPr="00693882">
        <w:rPr>
          <w:i/>
          <w:noProof/>
        </w:rPr>
        <w:t>33</w:t>
      </w:r>
      <w:r w:rsidRPr="00693882">
        <w:rPr>
          <w:noProof/>
        </w:rPr>
        <w:t xml:space="preserve"> (5), 156-165, DOI: 10.1109/mnet.2019.1800286</w:t>
      </w:r>
    </w:p>
    <w:p w14:paraId="35BDC45E" w14:textId="77777777" w:rsidR="003F70AC" w:rsidRPr="00693882" w:rsidRDefault="003F70AC" w:rsidP="003F70AC">
      <w:pPr>
        <w:pStyle w:val="EndNoteBibliography"/>
        <w:spacing w:line="480" w:lineRule="auto"/>
        <w:rPr>
          <w:noProof/>
        </w:rPr>
      </w:pPr>
      <w:r w:rsidRPr="00693882">
        <w:rPr>
          <w:noProof/>
        </w:rPr>
        <w:t xml:space="preserve">(3) Deng, R. L.; Lu, R. X.; Lai, C. Z.; Luan, T. H.; Liang, H. Optimal workload allocation in fog-cloud computing toward balanced delay and power consumption. </w:t>
      </w:r>
      <w:r w:rsidRPr="00693882">
        <w:rPr>
          <w:i/>
          <w:noProof/>
        </w:rPr>
        <w:t xml:space="preserve">IEEE Internet Things J. </w:t>
      </w:r>
      <w:r w:rsidRPr="00693882">
        <w:rPr>
          <w:b/>
          <w:noProof/>
        </w:rPr>
        <w:t>2016</w:t>
      </w:r>
      <w:r w:rsidRPr="00693882">
        <w:rPr>
          <w:noProof/>
        </w:rPr>
        <w:t xml:space="preserve">, </w:t>
      </w:r>
      <w:r w:rsidRPr="00693882">
        <w:rPr>
          <w:i/>
          <w:noProof/>
        </w:rPr>
        <w:t>3</w:t>
      </w:r>
      <w:r w:rsidRPr="00693882">
        <w:rPr>
          <w:noProof/>
        </w:rPr>
        <w:t xml:space="preserve"> (6), 1171-1181, DOI: 10.1109/jiot.2016.2565516</w:t>
      </w:r>
    </w:p>
    <w:p w14:paraId="4C231DB1" w14:textId="77777777" w:rsidR="003F70AC" w:rsidRPr="00693882" w:rsidRDefault="003F70AC" w:rsidP="003F70AC">
      <w:pPr>
        <w:pStyle w:val="EndNoteBibliography"/>
        <w:spacing w:line="480" w:lineRule="auto"/>
        <w:rPr>
          <w:noProof/>
        </w:rPr>
      </w:pPr>
      <w:r w:rsidRPr="00693882">
        <w:rPr>
          <w:noProof/>
        </w:rPr>
        <w:t xml:space="preserve">(4) Liu, C.; Chen, H.; Wang, S.; Liu, Q.; Jiang, Y. G.; Zhang, D. W.; Liu, M.; Zhou, P. Two-dimensional materials for next-generation computing technologies. </w:t>
      </w:r>
      <w:r w:rsidRPr="00693882">
        <w:rPr>
          <w:i/>
          <w:noProof/>
        </w:rPr>
        <w:t xml:space="preserve">Nat. Nanotechnol. </w:t>
      </w:r>
      <w:r w:rsidRPr="00693882">
        <w:rPr>
          <w:b/>
          <w:noProof/>
        </w:rPr>
        <w:t>2020</w:t>
      </w:r>
      <w:r w:rsidRPr="00693882">
        <w:rPr>
          <w:noProof/>
        </w:rPr>
        <w:t xml:space="preserve">, </w:t>
      </w:r>
      <w:r w:rsidRPr="00693882">
        <w:rPr>
          <w:i/>
          <w:noProof/>
        </w:rPr>
        <w:t>15</w:t>
      </w:r>
      <w:r w:rsidRPr="00693882">
        <w:rPr>
          <w:noProof/>
        </w:rPr>
        <w:t xml:space="preserve"> (7), 545-557, DOI: 10.1038/s41565-020-0724-3</w:t>
      </w:r>
    </w:p>
    <w:p w14:paraId="7A36FD71" w14:textId="77777777" w:rsidR="003F70AC" w:rsidRPr="00693882" w:rsidRDefault="003F70AC" w:rsidP="003F70AC">
      <w:pPr>
        <w:pStyle w:val="EndNoteBibliography"/>
        <w:spacing w:line="480" w:lineRule="auto"/>
        <w:rPr>
          <w:noProof/>
        </w:rPr>
      </w:pPr>
      <w:r w:rsidRPr="00693882">
        <w:rPr>
          <w:noProof/>
        </w:rPr>
        <w:t xml:space="preserve">(5) Pronold, J.; Jordan, J.; Wylie, B. J. N.; Kitayama, I.; Diesmann, M.; Kunkel, S. Routing brain traffic through the von Neumann bottleneck: Efficient cache usage in spiking neural network simulation code on general purpose computers. </w:t>
      </w:r>
      <w:r w:rsidRPr="00693882">
        <w:rPr>
          <w:i/>
          <w:noProof/>
        </w:rPr>
        <w:t xml:space="preserve">Parallel Computing </w:t>
      </w:r>
      <w:r w:rsidRPr="00693882">
        <w:rPr>
          <w:b/>
          <w:noProof/>
        </w:rPr>
        <w:t>2022</w:t>
      </w:r>
      <w:r w:rsidRPr="00693882">
        <w:rPr>
          <w:noProof/>
        </w:rPr>
        <w:t xml:space="preserve">, </w:t>
      </w:r>
      <w:r w:rsidRPr="00693882">
        <w:rPr>
          <w:i/>
          <w:noProof/>
        </w:rPr>
        <w:t>113</w:t>
      </w:r>
      <w:r w:rsidRPr="00693882">
        <w:rPr>
          <w:noProof/>
        </w:rPr>
        <w:t xml:space="preserve">, 102952, DOI: </w:t>
      </w:r>
      <w:r w:rsidRPr="00693882">
        <w:rPr>
          <w:noProof/>
        </w:rPr>
        <w:lastRenderedPageBreak/>
        <w:t>10.1016/j.parco.2022.102952</w:t>
      </w:r>
    </w:p>
    <w:p w14:paraId="2AA5D8B4" w14:textId="77777777" w:rsidR="003F70AC" w:rsidRPr="00693882" w:rsidRDefault="003F70AC" w:rsidP="003F70AC">
      <w:pPr>
        <w:pStyle w:val="EndNoteBibliography"/>
        <w:spacing w:line="480" w:lineRule="auto"/>
        <w:rPr>
          <w:noProof/>
        </w:rPr>
      </w:pPr>
      <w:r w:rsidRPr="00693882">
        <w:rPr>
          <w:noProof/>
        </w:rPr>
        <w:t xml:space="preserve">(6) Migliato Marega, G.; Zhao, Y.; Avsar, A.; Wang, Z.; Tripathi, M.; Radenovic, A.; Kis, A. Logic-in-memory based on an atomically thin semiconductor. </w:t>
      </w:r>
      <w:r w:rsidRPr="00693882">
        <w:rPr>
          <w:i/>
          <w:noProof/>
        </w:rPr>
        <w:t xml:space="preserve">Nature </w:t>
      </w:r>
      <w:r w:rsidRPr="00693882">
        <w:rPr>
          <w:b/>
          <w:noProof/>
        </w:rPr>
        <w:t>2020</w:t>
      </w:r>
      <w:r w:rsidRPr="00693882">
        <w:rPr>
          <w:noProof/>
        </w:rPr>
        <w:t xml:space="preserve">, </w:t>
      </w:r>
      <w:r w:rsidRPr="00693882">
        <w:rPr>
          <w:i/>
          <w:noProof/>
        </w:rPr>
        <w:t>587</w:t>
      </w:r>
      <w:r w:rsidRPr="00693882">
        <w:rPr>
          <w:noProof/>
        </w:rPr>
        <w:t xml:space="preserve"> (7832), 72-77, DOI: 10.1038/s41586-020-2861-0</w:t>
      </w:r>
    </w:p>
    <w:p w14:paraId="37774696" w14:textId="77777777" w:rsidR="003F70AC" w:rsidRPr="00693882" w:rsidRDefault="003F70AC" w:rsidP="003F70AC">
      <w:pPr>
        <w:pStyle w:val="EndNoteBibliography"/>
        <w:spacing w:line="480" w:lineRule="auto"/>
        <w:rPr>
          <w:noProof/>
        </w:rPr>
      </w:pPr>
      <w:r w:rsidRPr="00693882">
        <w:rPr>
          <w:noProof/>
        </w:rPr>
        <w:t xml:space="preserve">(7) Wang, Y.; Tang, H.; Xie, Y.; Chen, X.; Ma, S.; Sun, Z.; Sun, Q.; Chen, L.; Zhu, H.; Wan, J.; Xu, Z.; Zhang, D. W.; Zhou, P.; Bao, W. An in-memory computing architecture based on two-dimensional semiconductors for multiply-accumulate operations. </w:t>
      </w:r>
      <w:r w:rsidRPr="00693882">
        <w:rPr>
          <w:i/>
          <w:noProof/>
        </w:rPr>
        <w:t xml:space="preserve">Nat. Commun. </w:t>
      </w:r>
      <w:r w:rsidRPr="00693882">
        <w:rPr>
          <w:b/>
          <w:noProof/>
        </w:rPr>
        <w:t>2021</w:t>
      </w:r>
      <w:r w:rsidRPr="00693882">
        <w:rPr>
          <w:noProof/>
        </w:rPr>
        <w:t xml:space="preserve">, </w:t>
      </w:r>
      <w:r w:rsidRPr="00693882">
        <w:rPr>
          <w:i/>
          <w:noProof/>
        </w:rPr>
        <w:t>12</w:t>
      </w:r>
      <w:r w:rsidRPr="00693882">
        <w:rPr>
          <w:noProof/>
        </w:rPr>
        <w:t xml:space="preserve"> (1), 3347, DOI: 10.1038/s41467-021-23719-3</w:t>
      </w:r>
    </w:p>
    <w:p w14:paraId="75DBB01F" w14:textId="77777777" w:rsidR="003F70AC" w:rsidRPr="00693882" w:rsidRDefault="003F70AC" w:rsidP="003F70AC">
      <w:pPr>
        <w:pStyle w:val="EndNoteBibliography"/>
        <w:spacing w:line="480" w:lineRule="auto"/>
        <w:rPr>
          <w:noProof/>
        </w:rPr>
      </w:pPr>
      <w:r w:rsidRPr="00693882">
        <w:rPr>
          <w:noProof/>
        </w:rPr>
        <w:t xml:space="preserve">(8) Le Gallo, M.; Sebastian, A.; Mathis, R.; Manica, M.; Giefers, H.; Tuma, T.; Bekas, C.; Curioni, A.; Eleftheriou, E. Mixed-precision in-memory computing. </w:t>
      </w:r>
      <w:r w:rsidRPr="00693882">
        <w:rPr>
          <w:i/>
          <w:noProof/>
        </w:rPr>
        <w:t xml:space="preserve">Nat. Electron. </w:t>
      </w:r>
      <w:r w:rsidRPr="00693882">
        <w:rPr>
          <w:b/>
          <w:noProof/>
        </w:rPr>
        <w:t>2018</w:t>
      </w:r>
      <w:r w:rsidRPr="00693882">
        <w:rPr>
          <w:noProof/>
        </w:rPr>
        <w:t xml:space="preserve">, </w:t>
      </w:r>
      <w:r w:rsidRPr="00693882">
        <w:rPr>
          <w:i/>
          <w:noProof/>
        </w:rPr>
        <w:t>1</w:t>
      </w:r>
      <w:r w:rsidRPr="00693882">
        <w:rPr>
          <w:noProof/>
        </w:rPr>
        <w:t xml:space="preserve"> (4), 246-253, DOI: 10.1038/s41928-018-0054-8</w:t>
      </w:r>
    </w:p>
    <w:p w14:paraId="080087FB" w14:textId="77777777" w:rsidR="003F70AC" w:rsidRPr="00693882" w:rsidRDefault="003F70AC" w:rsidP="003F70AC">
      <w:pPr>
        <w:pStyle w:val="EndNoteBibliography"/>
        <w:spacing w:line="480" w:lineRule="auto"/>
        <w:rPr>
          <w:noProof/>
        </w:rPr>
      </w:pPr>
      <w:r w:rsidRPr="00693882">
        <w:rPr>
          <w:noProof/>
        </w:rPr>
        <w:t xml:space="preserve">(9) Sun, X. X.; Zhu, C. G.; Yi, J. L.; Xiang, L.; Ma, C.; Liu, H. W.; Zheng, B. Y.; Liu, Y.; You, W. X.; Zhang, W. J.; Liang, D. L.; Shuai, Q.; Zhu, X. L.; Duan, H. G.; Liao, L.; Liu, Y.; Li, D.; Pan, A. L. Reconfigurable logic-in-memory architectures based on a two-dimensional van der Waals heterostructure device. </w:t>
      </w:r>
      <w:r w:rsidRPr="00693882">
        <w:rPr>
          <w:i/>
          <w:noProof/>
        </w:rPr>
        <w:t xml:space="preserve">Nat. Electron. </w:t>
      </w:r>
      <w:r w:rsidRPr="00693882">
        <w:rPr>
          <w:b/>
          <w:noProof/>
        </w:rPr>
        <w:t>2022</w:t>
      </w:r>
      <w:r w:rsidRPr="00693882">
        <w:rPr>
          <w:noProof/>
        </w:rPr>
        <w:t xml:space="preserve">, </w:t>
      </w:r>
      <w:r w:rsidRPr="00693882">
        <w:rPr>
          <w:i/>
          <w:noProof/>
        </w:rPr>
        <w:t>5</w:t>
      </w:r>
      <w:r w:rsidRPr="00693882">
        <w:rPr>
          <w:noProof/>
        </w:rPr>
        <w:t xml:space="preserve"> (11), 752-760, DOI: 10.1038/s41928-022-00858-z</w:t>
      </w:r>
    </w:p>
    <w:p w14:paraId="176D5F42" w14:textId="77777777" w:rsidR="003F70AC" w:rsidRPr="00693882" w:rsidRDefault="003F70AC" w:rsidP="003F70AC">
      <w:pPr>
        <w:pStyle w:val="EndNoteBibliography"/>
        <w:spacing w:line="480" w:lineRule="auto"/>
        <w:rPr>
          <w:noProof/>
        </w:rPr>
      </w:pPr>
      <w:r w:rsidRPr="00693882">
        <w:rPr>
          <w:noProof/>
        </w:rPr>
        <w:t xml:space="preserve">(10) Sebastian, A.; Le Gallo, M.; Khaddam-Aljameh, R.; Eleftheriou, E. Memory devices and applications for in-memory computing. </w:t>
      </w:r>
      <w:r w:rsidRPr="00693882">
        <w:rPr>
          <w:i/>
          <w:noProof/>
        </w:rPr>
        <w:t xml:space="preserve">Nat. Nanotechnol. </w:t>
      </w:r>
      <w:r w:rsidRPr="00693882">
        <w:rPr>
          <w:b/>
          <w:noProof/>
        </w:rPr>
        <w:t>2020</w:t>
      </w:r>
      <w:r w:rsidRPr="00693882">
        <w:rPr>
          <w:noProof/>
        </w:rPr>
        <w:t xml:space="preserve">, </w:t>
      </w:r>
      <w:r w:rsidRPr="00693882">
        <w:rPr>
          <w:i/>
          <w:noProof/>
        </w:rPr>
        <w:t>15</w:t>
      </w:r>
      <w:r w:rsidRPr="00693882">
        <w:rPr>
          <w:noProof/>
        </w:rPr>
        <w:t xml:space="preserve"> (7), 529-544, DOI: </w:t>
      </w:r>
      <w:r w:rsidRPr="00693882">
        <w:rPr>
          <w:noProof/>
        </w:rPr>
        <w:lastRenderedPageBreak/>
        <w:t>10.1038/s41565-020-0655-z</w:t>
      </w:r>
    </w:p>
    <w:p w14:paraId="59EC2DDC" w14:textId="77777777" w:rsidR="003F70AC" w:rsidRPr="00693882" w:rsidRDefault="003F70AC" w:rsidP="003F70AC">
      <w:pPr>
        <w:pStyle w:val="EndNoteBibliography"/>
        <w:spacing w:line="480" w:lineRule="auto"/>
        <w:rPr>
          <w:noProof/>
        </w:rPr>
      </w:pPr>
      <w:r w:rsidRPr="00693882">
        <w:rPr>
          <w:noProof/>
        </w:rPr>
        <w:t xml:space="preserve">(11) You, W. X.; Huang, B. K.; Su, P. An alternative way for reconfigurable logic-in-memory with ferroelectric FET. </w:t>
      </w:r>
      <w:r w:rsidRPr="00693882">
        <w:rPr>
          <w:i/>
          <w:noProof/>
        </w:rPr>
        <w:t xml:space="preserve">IEEE Trans. Electron Devices </w:t>
      </w:r>
      <w:r w:rsidRPr="00693882">
        <w:rPr>
          <w:b/>
          <w:noProof/>
        </w:rPr>
        <w:t>2022</w:t>
      </w:r>
      <w:r w:rsidRPr="00693882">
        <w:rPr>
          <w:noProof/>
        </w:rPr>
        <w:t xml:space="preserve">, </w:t>
      </w:r>
      <w:r w:rsidRPr="00693882">
        <w:rPr>
          <w:i/>
          <w:noProof/>
        </w:rPr>
        <w:t>69</w:t>
      </w:r>
      <w:r w:rsidRPr="00693882">
        <w:rPr>
          <w:noProof/>
        </w:rPr>
        <w:t xml:space="preserve"> (1), 444-446, DOI: 10.1109/ted.2021.3130565</w:t>
      </w:r>
    </w:p>
    <w:p w14:paraId="54A82451" w14:textId="77777777" w:rsidR="003F70AC" w:rsidRPr="00693882" w:rsidRDefault="003F70AC" w:rsidP="003F70AC">
      <w:pPr>
        <w:pStyle w:val="EndNoteBibliography"/>
        <w:spacing w:line="480" w:lineRule="auto"/>
        <w:rPr>
          <w:noProof/>
        </w:rPr>
      </w:pPr>
      <w:r w:rsidRPr="00693882">
        <w:rPr>
          <w:noProof/>
        </w:rPr>
        <w:t xml:space="preserve">(12) Ielmini, D.; Wong, H. S. P. In-memory computing with resistive switching devices. </w:t>
      </w:r>
      <w:r w:rsidRPr="00693882">
        <w:rPr>
          <w:i/>
          <w:noProof/>
        </w:rPr>
        <w:t xml:space="preserve">Nat. Electron. </w:t>
      </w:r>
      <w:r w:rsidRPr="00693882">
        <w:rPr>
          <w:b/>
          <w:noProof/>
        </w:rPr>
        <w:t>2018</w:t>
      </w:r>
      <w:r w:rsidRPr="00693882">
        <w:rPr>
          <w:noProof/>
        </w:rPr>
        <w:t xml:space="preserve">, </w:t>
      </w:r>
      <w:r w:rsidRPr="00693882">
        <w:rPr>
          <w:i/>
          <w:noProof/>
        </w:rPr>
        <w:t>1</w:t>
      </w:r>
      <w:r w:rsidRPr="00693882">
        <w:rPr>
          <w:noProof/>
        </w:rPr>
        <w:t xml:space="preserve"> (6), 333-343, DOI: 10.1038/s41928-018-0092-2</w:t>
      </w:r>
    </w:p>
    <w:p w14:paraId="518617A2" w14:textId="77777777" w:rsidR="003F70AC" w:rsidRPr="00693882" w:rsidRDefault="003F70AC" w:rsidP="003F70AC">
      <w:pPr>
        <w:pStyle w:val="EndNoteBibliography"/>
        <w:spacing w:line="480" w:lineRule="auto"/>
        <w:rPr>
          <w:noProof/>
        </w:rPr>
      </w:pPr>
      <w:r w:rsidRPr="00693882">
        <w:rPr>
          <w:noProof/>
        </w:rPr>
        <w:t xml:space="preserve">(13) Yang, F. S.; Li, M.; Lee, M. P.; Ho, I. Y.; Chen, J. Y.; Ling, H.; Li, Y.; Chang, J. K.; Yang, S. H.; Chang, Y. M.; Lee, K. C.; Chou, Y. C.; Ho, C. H.; Li, W.; Lien, C. H.; Lin, Y. F. Oxidation-boosted charge trapping in ultra-sensitive van der Waals materials for artificial synaptic features. </w:t>
      </w:r>
      <w:r w:rsidRPr="00693882">
        <w:rPr>
          <w:i/>
          <w:noProof/>
        </w:rPr>
        <w:t xml:space="preserve">Nat. Commun. </w:t>
      </w:r>
      <w:r w:rsidRPr="00693882">
        <w:rPr>
          <w:b/>
          <w:noProof/>
        </w:rPr>
        <w:t>2020</w:t>
      </w:r>
      <w:r w:rsidRPr="00693882">
        <w:rPr>
          <w:noProof/>
        </w:rPr>
        <w:t xml:space="preserve">, </w:t>
      </w:r>
      <w:r w:rsidRPr="00693882">
        <w:rPr>
          <w:i/>
          <w:noProof/>
        </w:rPr>
        <w:t>11</w:t>
      </w:r>
      <w:r w:rsidRPr="00693882">
        <w:rPr>
          <w:noProof/>
        </w:rPr>
        <w:t xml:space="preserve"> (1), 2972, DOI: 10.1038/s41467-020-16766-9</w:t>
      </w:r>
    </w:p>
    <w:p w14:paraId="20458462" w14:textId="77777777" w:rsidR="003F70AC" w:rsidRPr="00693882" w:rsidRDefault="003F70AC" w:rsidP="003F70AC">
      <w:pPr>
        <w:pStyle w:val="EndNoteBibliography"/>
        <w:spacing w:line="480" w:lineRule="auto"/>
        <w:rPr>
          <w:noProof/>
        </w:rPr>
      </w:pPr>
      <w:r w:rsidRPr="00693882">
        <w:rPr>
          <w:noProof/>
        </w:rPr>
        <w:t xml:space="preserve">(14) Jo, S. H.; Chang, T.; Ebong, I.; Bhadviya, B. B.; Mazumder, P.; Lu, W. Nanoscale memristor device as synapse in neuromorphic systems. </w:t>
      </w:r>
      <w:r w:rsidRPr="00693882">
        <w:rPr>
          <w:i/>
          <w:noProof/>
        </w:rPr>
        <w:t xml:space="preserve">Nano Lett. </w:t>
      </w:r>
      <w:r w:rsidRPr="00693882">
        <w:rPr>
          <w:b/>
          <w:noProof/>
        </w:rPr>
        <w:t>2010</w:t>
      </w:r>
      <w:r w:rsidRPr="00693882">
        <w:rPr>
          <w:noProof/>
        </w:rPr>
        <w:t xml:space="preserve">, </w:t>
      </w:r>
      <w:r w:rsidRPr="00693882">
        <w:rPr>
          <w:i/>
          <w:noProof/>
        </w:rPr>
        <w:t>10</w:t>
      </w:r>
      <w:r w:rsidRPr="00693882">
        <w:rPr>
          <w:noProof/>
        </w:rPr>
        <w:t xml:space="preserve"> (4), 1297-1301, DOI: 10.1021/nl904092h</w:t>
      </w:r>
    </w:p>
    <w:p w14:paraId="25F477F9" w14:textId="77777777" w:rsidR="003F70AC" w:rsidRPr="00693882" w:rsidRDefault="003F70AC" w:rsidP="003F70AC">
      <w:pPr>
        <w:pStyle w:val="EndNoteBibliography"/>
        <w:spacing w:line="480" w:lineRule="auto"/>
        <w:rPr>
          <w:noProof/>
        </w:rPr>
      </w:pPr>
      <w:r w:rsidRPr="00693882">
        <w:rPr>
          <w:noProof/>
        </w:rPr>
        <w:t xml:space="preserve">(15) Chang, T.; Jo, S. H.; Lu, W. Short-term memory to long-term memory transition in a nanoscale memristor. </w:t>
      </w:r>
      <w:r w:rsidRPr="00693882">
        <w:rPr>
          <w:i/>
          <w:noProof/>
        </w:rPr>
        <w:t xml:space="preserve">ACS Nano </w:t>
      </w:r>
      <w:r w:rsidRPr="00693882">
        <w:rPr>
          <w:b/>
          <w:noProof/>
        </w:rPr>
        <w:t>2011</w:t>
      </w:r>
      <w:r w:rsidRPr="00693882">
        <w:rPr>
          <w:noProof/>
        </w:rPr>
        <w:t xml:space="preserve">, </w:t>
      </w:r>
      <w:r w:rsidRPr="00693882">
        <w:rPr>
          <w:i/>
          <w:noProof/>
        </w:rPr>
        <w:t>5</w:t>
      </w:r>
      <w:r w:rsidRPr="00693882">
        <w:rPr>
          <w:noProof/>
        </w:rPr>
        <w:t xml:space="preserve"> (9), 7669-7676, DOI: 10.1021/nn202983n</w:t>
      </w:r>
    </w:p>
    <w:p w14:paraId="2EAB532A" w14:textId="77777777" w:rsidR="003F70AC" w:rsidRPr="00693882" w:rsidRDefault="003F70AC" w:rsidP="003F70AC">
      <w:pPr>
        <w:pStyle w:val="EndNoteBibliography"/>
        <w:spacing w:line="480" w:lineRule="auto"/>
        <w:rPr>
          <w:noProof/>
        </w:rPr>
      </w:pPr>
      <w:r w:rsidRPr="00693882">
        <w:rPr>
          <w:noProof/>
        </w:rPr>
        <w:t xml:space="preserve">(16) Ohno, T.; Hasegawa, T.; Tsuruoka, T.; Terabe, K.; Gimzewski, J. K.; Aono, M. Short-term plasticity and long-term potentiation mimicked in single inorganic synapses. </w:t>
      </w:r>
      <w:r w:rsidRPr="00693882">
        <w:rPr>
          <w:i/>
          <w:noProof/>
        </w:rPr>
        <w:t xml:space="preserve">Nat. Mater. </w:t>
      </w:r>
      <w:r w:rsidRPr="00693882">
        <w:rPr>
          <w:b/>
          <w:noProof/>
        </w:rPr>
        <w:t>2011</w:t>
      </w:r>
      <w:r w:rsidRPr="00693882">
        <w:rPr>
          <w:noProof/>
        </w:rPr>
        <w:t xml:space="preserve">, </w:t>
      </w:r>
      <w:r w:rsidRPr="00693882">
        <w:rPr>
          <w:i/>
          <w:noProof/>
        </w:rPr>
        <w:t>10</w:t>
      </w:r>
      <w:r w:rsidRPr="00693882">
        <w:rPr>
          <w:noProof/>
        </w:rPr>
        <w:t xml:space="preserve"> </w:t>
      </w:r>
      <w:r w:rsidRPr="00693882">
        <w:rPr>
          <w:noProof/>
        </w:rPr>
        <w:lastRenderedPageBreak/>
        <w:t>(8), 591-595, DOI: 10.1038/nmat3054</w:t>
      </w:r>
    </w:p>
    <w:p w14:paraId="7DA24593" w14:textId="77777777" w:rsidR="003F70AC" w:rsidRPr="00693882" w:rsidRDefault="003F70AC" w:rsidP="003F70AC">
      <w:pPr>
        <w:pStyle w:val="EndNoteBibliography"/>
        <w:spacing w:line="480" w:lineRule="auto"/>
        <w:rPr>
          <w:noProof/>
        </w:rPr>
      </w:pPr>
      <w:r w:rsidRPr="00693882">
        <w:rPr>
          <w:noProof/>
        </w:rPr>
        <w:t xml:space="preserve">(17) Sangwan, V. K.; Lee, H. S.; Bergeron, H.; Balla, I.; Beck, M. E.; Chen, K. S.; Hersam, M. C. Multi-terminal memtransistors from polycrystalline monolayer molybdenum disulfide. </w:t>
      </w:r>
      <w:r w:rsidRPr="00693882">
        <w:rPr>
          <w:i/>
          <w:noProof/>
        </w:rPr>
        <w:t xml:space="preserve">Nature </w:t>
      </w:r>
      <w:r w:rsidRPr="00693882">
        <w:rPr>
          <w:b/>
          <w:noProof/>
        </w:rPr>
        <w:t>2018</w:t>
      </w:r>
      <w:r w:rsidRPr="00693882">
        <w:rPr>
          <w:noProof/>
        </w:rPr>
        <w:t xml:space="preserve">, </w:t>
      </w:r>
      <w:r w:rsidRPr="00693882">
        <w:rPr>
          <w:i/>
          <w:noProof/>
        </w:rPr>
        <w:t>554</w:t>
      </w:r>
      <w:r w:rsidRPr="00693882">
        <w:rPr>
          <w:noProof/>
        </w:rPr>
        <w:t xml:space="preserve"> (7693), 500-504, DOI: 10.1038/nature25747</w:t>
      </w:r>
    </w:p>
    <w:p w14:paraId="55541801" w14:textId="77777777" w:rsidR="003F70AC" w:rsidRPr="00693882" w:rsidRDefault="003F70AC" w:rsidP="003F70AC">
      <w:pPr>
        <w:pStyle w:val="EndNoteBibliography"/>
        <w:spacing w:line="480" w:lineRule="auto"/>
        <w:rPr>
          <w:noProof/>
        </w:rPr>
      </w:pPr>
      <w:r w:rsidRPr="00693882">
        <w:rPr>
          <w:noProof/>
        </w:rPr>
        <w:t>(18) Miyake, R.; Nagata, Z.; Adachi, K.; Hayashi, Y.; Tohei, T.; Sakai, A. Versatile functionality of four-terminal TiO</w:t>
      </w:r>
      <w:r w:rsidRPr="00693882">
        <w:rPr>
          <w:noProof/>
          <w:vertAlign w:val="subscript"/>
        </w:rPr>
        <w:t>2–x</w:t>
      </w:r>
      <w:r w:rsidRPr="00693882">
        <w:rPr>
          <w:noProof/>
        </w:rPr>
        <w:t xml:space="preserve"> memristive devices as artificial synapses for neuromorphic computing. </w:t>
      </w:r>
      <w:r w:rsidRPr="00693882">
        <w:rPr>
          <w:i/>
          <w:noProof/>
        </w:rPr>
        <w:t xml:space="preserve">ACS Appl. Electron. Mater. </w:t>
      </w:r>
      <w:r w:rsidRPr="00693882">
        <w:rPr>
          <w:b/>
          <w:noProof/>
        </w:rPr>
        <w:t>2022</w:t>
      </w:r>
      <w:r w:rsidRPr="00693882">
        <w:rPr>
          <w:noProof/>
        </w:rPr>
        <w:t xml:space="preserve">, </w:t>
      </w:r>
      <w:r w:rsidRPr="00693882">
        <w:rPr>
          <w:i/>
          <w:noProof/>
        </w:rPr>
        <w:t>4</w:t>
      </w:r>
      <w:r w:rsidRPr="00693882">
        <w:rPr>
          <w:noProof/>
        </w:rPr>
        <w:t xml:space="preserve"> (5), 2326-2336, DOI: 10.1021/acsaelm.2c00161</w:t>
      </w:r>
    </w:p>
    <w:p w14:paraId="1629C518" w14:textId="77777777" w:rsidR="003F70AC" w:rsidRPr="00693882" w:rsidRDefault="003F70AC" w:rsidP="003F70AC">
      <w:pPr>
        <w:pStyle w:val="EndNoteBibliography"/>
        <w:spacing w:line="480" w:lineRule="auto"/>
        <w:rPr>
          <w:noProof/>
        </w:rPr>
      </w:pPr>
      <w:r w:rsidRPr="00693882">
        <w:rPr>
          <w:noProof/>
        </w:rPr>
        <w:t xml:space="preserve">(19) van de Burgt, Y.; Lubberman, E.; Fuller, E. J.; Keene, S. T.; Faria, G. C.; Agarwal, S.; Marinella, M. J.; Talin, A. A.; Salleo, A. A non-volatile organic electrochemical device as a low-voltage artificial synapse for neuromorphic computing. </w:t>
      </w:r>
      <w:r w:rsidRPr="00693882">
        <w:rPr>
          <w:i/>
          <w:noProof/>
        </w:rPr>
        <w:t xml:space="preserve">Nat. Mater. </w:t>
      </w:r>
      <w:r w:rsidRPr="00693882">
        <w:rPr>
          <w:b/>
          <w:noProof/>
        </w:rPr>
        <w:t>2017</w:t>
      </w:r>
      <w:r w:rsidRPr="00693882">
        <w:rPr>
          <w:noProof/>
        </w:rPr>
        <w:t xml:space="preserve">, </w:t>
      </w:r>
      <w:r w:rsidRPr="00693882">
        <w:rPr>
          <w:i/>
          <w:noProof/>
        </w:rPr>
        <w:t>16</w:t>
      </w:r>
      <w:r w:rsidRPr="00693882">
        <w:rPr>
          <w:noProof/>
        </w:rPr>
        <w:t xml:space="preserve"> (4), 414-418, DOI: 10.1038/nmat4856</w:t>
      </w:r>
    </w:p>
    <w:p w14:paraId="5B7ADE51" w14:textId="77777777" w:rsidR="003F70AC" w:rsidRPr="00693882" w:rsidRDefault="003F70AC" w:rsidP="003F70AC">
      <w:pPr>
        <w:pStyle w:val="EndNoteBibliography"/>
        <w:spacing w:line="480" w:lineRule="auto"/>
        <w:rPr>
          <w:noProof/>
        </w:rPr>
      </w:pPr>
      <w:r w:rsidRPr="00693882">
        <w:rPr>
          <w:noProof/>
        </w:rPr>
        <w:t xml:space="preserve">(20) Fuller, E. J.; El Gabaly, F.; Léonard, F.; Agarwal, S.; Plimpton, S. J.; Jacobs-Gedrim, R. B.; James, C. D.; Marinella, M. J.; Talin, A. A. Li-ion synaptic transistor for low power analog computing. </w:t>
      </w:r>
      <w:r w:rsidRPr="00693882">
        <w:rPr>
          <w:i/>
          <w:noProof/>
        </w:rPr>
        <w:t xml:space="preserve">Adv. Mater. </w:t>
      </w:r>
      <w:r w:rsidRPr="00693882">
        <w:rPr>
          <w:b/>
          <w:noProof/>
        </w:rPr>
        <w:t>2017</w:t>
      </w:r>
      <w:r w:rsidRPr="00693882">
        <w:rPr>
          <w:noProof/>
        </w:rPr>
        <w:t xml:space="preserve">, </w:t>
      </w:r>
      <w:r w:rsidRPr="00693882">
        <w:rPr>
          <w:i/>
          <w:noProof/>
        </w:rPr>
        <w:t>29</w:t>
      </w:r>
      <w:r w:rsidRPr="00693882">
        <w:rPr>
          <w:noProof/>
        </w:rPr>
        <w:t xml:space="preserve"> (4), 8, DOI: 10.1002/adma.201604310</w:t>
      </w:r>
    </w:p>
    <w:p w14:paraId="13AFB6E6" w14:textId="77777777" w:rsidR="003F70AC" w:rsidRPr="00693882" w:rsidRDefault="003F70AC" w:rsidP="003F70AC">
      <w:pPr>
        <w:pStyle w:val="EndNoteBibliography"/>
        <w:spacing w:line="480" w:lineRule="auto"/>
        <w:rPr>
          <w:noProof/>
        </w:rPr>
      </w:pPr>
      <w:r w:rsidRPr="00693882">
        <w:rPr>
          <w:noProof/>
        </w:rPr>
        <w:t xml:space="preserve">(21) Wen, J.; Zhu, L. Q.; Fu, Y. M.; Xiao, H.; Guo, L. Q.; Wan, Q. Activity dependent synaptic plasticity mimicked on indium-tin-oxide electric-double-layer Transistor. </w:t>
      </w:r>
      <w:r w:rsidRPr="00693882">
        <w:rPr>
          <w:i/>
          <w:noProof/>
        </w:rPr>
        <w:t xml:space="preserve">ACS Appl. Mater. Interfaces </w:t>
      </w:r>
      <w:r w:rsidRPr="00693882">
        <w:rPr>
          <w:b/>
          <w:noProof/>
        </w:rPr>
        <w:t>2017</w:t>
      </w:r>
      <w:r w:rsidRPr="00693882">
        <w:rPr>
          <w:noProof/>
        </w:rPr>
        <w:t xml:space="preserve">, </w:t>
      </w:r>
      <w:r w:rsidRPr="00693882">
        <w:rPr>
          <w:i/>
          <w:noProof/>
        </w:rPr>
        <w:t>9</w:t>
      </w:r>
      <w:r w:rsidRPr="00693882">
        <w:rPr>
          <w:noProof/>
        </w:rPr>
        <w:t xml:space="preserve"> (42), 37064-37069, DOI: 10.1021/acsami.7b13215</w:t>
      </w:r>
    </w:p>
    <w:p w14:paraId="5708577E" w14:textId="77777777" w:rsidR="003F70AC" w:rsidRPr="00693882" w:rsidRDefault="003F70AC" w:rsidP="003F70AC">
      <w:pPr>
        <w:pStyle w:val="EndNoteBibliography"/>
        <w:spacing w:line="480" w:lineRule="auto"/>
        <w:rPr>
          <w:noProof/>
        </w:rPr>
      </w:pPr>
      <w:r w:rsidRPr="00693882">
        <w:rPr>
          <w:noProof/>
        </w:rPr>
        <w:lastRenderedPageBreak/>
        <w:t xml:space="preserve">(22) Yao, X.; Klyukin, K.; Lu, W.; Onen, M.; Ryu, S.; Kim, D.; Emond, N.; Waluyo, I.; Hunt, A.; del Alamo, J. A.; Li, J.; Yildiz, B. Protonic solid-state electrochemical synapse for physical neural networks. </w:t>
      </w:r>
      <w:r w:rsidRPr="00693882">
        <w:rPr>
          <w:i/>
          <w:noProof/>
        </w:rPr>
        <w:t xml:space="preserve">Nat. Commun. </w:t>
      </w:r>
      <w:r w:rsidRPr="00693882">
        <w:rPr>
          <w:b/>
          <w:noProof/>
        </w:rPr>
        <w:t>2020</w:t>
      </w:r>
      <w:r w:rsidRPr="00693882">
        <w:rPr>
          <w:noProof/>
        </w:rPr>
        <w:t xml:space="preserve">, </w:t>
      </w:r>
      <w:r w:rsidRPr="00693882">
        <w:rPr>
          <w:i/>
          <w:noProof/>
        </w:rPr>
        <w:t>11</w:t>
      </w:r>
      <w:r w:rsidRPr="00693882">
        <w:rPr>
          <w:noProof/>
        </w:rPr>
        <w:t xml:space="preserve"> (1), 3134, DOI: 10.1038/s41467-020-16866-6</w:t>
      </w:r>
    </w:p>
    <w:p w14:paraId="7611509D" w14:textId="77777777" w:rsidR="003F70AC" w:rsidRPr="00693882" w:rsidRDefault="003F70AC" w:rsidP="003F70AC">
      <w:pPr>
        <w:pStyle w:val="EndNoteBibliography"/>
        <w:spacing w:line="480" w:lineRule="auto"/>
        <w:rPr>
          <w:noProof/>
        </w:rPr>
      </w:pPr>
      <w:r w:rsidRPr="00693882">
        <w:rPr>
          <w:noProof/>
        </w:rPr>
        <w:t xml:space="preserve">(23) Zhu, L. Q.; Wan, C. J.; Guo, L. Q.; Shi, Y.; Wan, Q. Artificial synapse network on inorganic proton conductor for neuromorphic systems. </w:t>
      </w:r>
      <w:r w:rsidRPr="00693882">
        <w:rPr>
          <w:i/>
          <w:noProof/>
        </w:rPr>
        <w:t xml:space="preserve">Nat. Commun. </w:t>
      </w:r>
      <w:r w:rsidRPr="00693882">
        <w:rPr>
          <w:b/>
          <w:noProof/>
        </w:rPr>
        <w:t>2014</w:t>
      </w:r>
      <w:r w:rsidRPr="00693882">
        <w:rPr>
          <w:noProof/>
        </w:rPr>
        <w:t xml:space="preserve">, </w:t>
      </w:r>
      <w:r w:rsidRPr="00693882">
        <w:rPr>
          <w:i/>
          <w:noProof/>
        </w:rPr>
        <w:t>5</w:t>
      </w:r>
      <w:r w:rsidRPr="00693882">
        <w:rPr>
          <w:noProof/>
        </w:rPr>
        <w:t>, 3158, DOI: 10.1038/ncomms4158</w:t>
      </w:r>
    </w:p>
    <w:p w14:paraId="114EA10E" w14:textId="77777777" w:rsidR="003F70AC" w:rsidRPr="00693882" w:rsidRDefault="003F70AC" w:rsidP="003F70AC">
      <w:pPr>
        <w:pStyle w:val="EndNoteBibliography"/>
        <w:spacing w:line="480" w:lineRule="auto"/>
        <w:rPr>
          <w:noProof/>
        </w:rPr>
      </w:pPr>
      <w:r w:rsidRPr="00693882">
        <w:rPr>
          <w:noProof/>
        </w:rPr>
        <w:t xml:space="preserve">(24) Hawkins, R. D.; Abrams, T. W.; Carew, T. J.; Kandel, E. R. A cellular mechanism of classical conditioning in Aplysia: activity-dependent amplification of presynaptic facilitation. </w:t>
      </w:r>
      <w:r w:rsidRPr="00693882">
        <w:rPr>
          <w:i/>
          <w:noProof/>
        </w:rPr>
        <w:t xml:space="preserve">Science </w:t>
      </w:r>
      <w:r w:rsidRPr="00693882">
        <w:rPr>
          <w:b/>
          <w:noProof/>
        </w:rPr>
        <w:t>1983</w:t>
      </w:r>
      <w:r w:rsidRPr="00693882">
        <w:rPr>
          <w:noProof/>
        </w:rPr>
        <w:t xml:space="preserve">, </w:t>
      </w:r>
      <w:r w:rsidRPr="00693882">
        <w:rPr>
          <w:i/>
          <w:noProof/>
        </w:rPr>
        <w:t>219</w:t>
      </w:r>
      <w:r w:rsidRPr="00693882">
        <w:rPr>
          <w:noProof/>
        </w:rPr>
        <w:t xml:space="preserve"> (4583), 400-405, DOI: 10.1126/science.6294833</w:t>
      </w:r>
    </w:p>
    <w:p w14:paraId="1085600B" w14:textId="77777777" w:rsidR="003F70AC" w:rsidRPr="00693882" w:rsidRDefault="003F70AC" w:rsidP="003F70AC">
      <w:pPr>
        <w:pStyle w:val="EndNoteBibliography"/>
        <w:spacing w:line="480" w:lineRule="auto"/>
        <w:rPr>
          <w:noProof/>
        </w:rPr>
      </w:pPr>
      <w:r w:rsidRPr="00693882">
        <w:rPr>
          <w:noProof/>
        </w:rPr>
        <w:t xml:space="preserve">(25) Antonov, I.; Antonova, I.; Kandel, E. R.; Hawkins, R. D. Activity-dependent presynaptic facilitation and Hebbian LTP are both required and interact during classical conditioning in </w:t>
      </w:r>
      <w:r w:rsidRPr="00693882">
        <w:rPr>
          <w:i/>
          <w:noProof/>
        </w:rPr>
        <w:t>Aplysia</w:t>
      </w:r>
      <w:r w:rsidRPr="00693882">
        <w:rPr>
          <w:noProof/>
        </w:rPr>
        <w:t xml:space="preserve">. </w:t>
      </w:r>
      <w:r w:rsidRPr="00693882">
        <w:rPr>
          <w:i/>
          <w:noProof/>
        </w:rPr>
        <w:t xml:space="preserve">Neuron </w:t>
      </w:r>
      <w:r w:rsidRPr="00693882">
        <w:rPr>
          <w:b/>
          <w:noProof/>
        </w:rPr>
        <w:t>2003</w:t>
      </w:r>
      <w:r w:rsidRPr="00693882">
        <w:rPr>
          <w:noProof/>
        </w:rPr>
        <w:t xml:space="preserve">, </w:t>
      </w:r>
      <w:r w:rsidRPr="00693882">
        <w:rPr>
          <w:i/>
          <w:noProof/>
        </w:rPr>
        <w:t>37</w:t>
      </w:r>
      <w:r w:rsidRPr="00693882">
        <w:rPr>
          <w:noProof/>
        </w:rPr>
        <w:t xml:space="preserve"> (1), 135-147, DOI: 10.1016/s0896-6273(02)01129-7</w:t>
      </w:r>
    </w:p>
    <w:p w14:paraId="67C2442F" w14:textId="77777777" w:rsidR="003F70AC" w:rsidRPr="00693882" w:rsidRDefault="003F70AC" w:rsidP="003F70AC">
      <w:pPr>
        <w:pStyle w:val="EndNoteBibliography"/>
        <w:spacing w:line="480" w:lineRule="auto"/>
        <w:rPr>
          <w:noProof/>
        </w:rPr>
      </w:pPr>
      <w:r w:rsidRPr="00693882">
        <w:rPr>
          <w:noProof/>
        </w:rPr>
        <w:t xml:space="preserve">(26) Letellier, M.; Park, Y. K.; Chater, T. E.; Chipman, P. H.; Gautam, S. G.; Oshima-Takago, T.; Goda, Y. Astrocytes regulate heterogeneity of presynaptic strengths in hippocampal networks. </w:t>
      </w:r>
      <w:r w:rsidRPr="00693882">
        <w:rPr>
          <w:i/>
          <w:noProof/>
        </w:rPr>
        <w:t xml:space="preserve">Proc. Natl. Acad. Sci. U.S.A. </w:t>
      </w:r>
      <w:r w:rsidRPr="00693882">
        <w:rPr>
          <w:b/>
          <w:noProof/>
        </w:rPr>
        <w:t>2016</w:t>
      </w:r>
      <w:r w:rsidRPr="00693882">
        <w:rPr>
          <w:noProof/>
        </w:rPr>
        <w:t xml:space="preserve">, </w:t>
      </w:r>
      <w:r w:rsidRPr="00693882">
        <w:rPr>
          <w:i/>
          <w:noProof/>
        </w:rPr>
        <w:t>113</w:t>
      </w:r>
      <w:r w:rsidRPr="00693882">
        <w:rPr>
          <w:noProof/>
        </w:rPr>
        <w:t xml:space="preserve"> (19), E2685-2694, DOI: 10.1073/pnas.1523717113</w:t>
      </w:r>
    </w:p>
    <w:p w14:paraId="22BEB623" w14:textId="77777777" w:rsidR="003F70AC" w:rsidRPr="00693882" w:rsidRDefault="003F70AC" w:rsidP="003F70AC">
      <w:pPr>
        <w:pStyle w:val="EndNoteBibliography"/>
        <w:spacing w:line="480" w:lineRule="auto"/>
        <w:rPr>
          <w:noProof/>
        </w:rPr>
      </w:pPr>
      <w:r w:rsidRPr="00693882">
        <w:rPr>
          <w:noProof/>
        </w:rPr>
        <w:t xml:space="preserve">(27) Bailey, C. H.; Giustetto, M.; Huang, Y. Y.; Hawkins, R. D.; Kandel, E. R. Is heterosynaptic modulation essential for stabilizing Hebbian plasticity and memory? </w:t>
      </w:r>
      <w:r w:rsidRPr="00693882">
        <w:rPr>
          <w:i/>
          <w:noProof/>
        </w:rPr>
        <w:t xml:space="preserve">Nat. Rev. Neurosci. </w:t>
      </w:r>
      <w:r w:rsidRPr="00693882">
        <w:rPr>
          <w:b/>
          <w:noProof/>
        </w:rPr>
        <w:t>2000</w:t>
      </w:r>
      <w:r w:rsidRPr="00693882">
        <w:rPr>
          <w:noProof/>
        </w:rPr>
        <w:t xml:space="preserve">, </w:t>
      </w:r>
      <w:r w:rsidRPr="00693882">
        <w:rPr>
          <w:i/>
          <w:noProof/>
        </w:rPr>
        <w:t>1</w:t>
      </w:r>
      <w:r w:rsidRPr="00693882">
        <w:rPr>
          <w:noProof/>
        </w:rPr>
        <w:t xml:space="preserve"> </w:t>
      </w:r>
      <w:r w:rsidRPr="00693882">
        <w:rPr>
          <w:noProof/>
        </w:rPr>
        <w:lastRenderedPageBreak/>
        <w:t>(1), 11-20, DOI: 10.1038/35036191</w:t>
      </w:r>
    </w:p>
    <w:p w14:paraId="095E283F" w14:textId="77777777" w:rsidR="003F70AC" w:rsidRPr="00693882" w:rsidRDefault="003F70AC" w:rsidP="003F70AC">
      <w:pPr>
        <w:pStyle w:val="EndNoteBibliography"/>
        <w:spacing w:line="480" w:lineRule="auto"/>
        <w:rPr>
          <w:noProof/>
        </w:rPr>
      </w:pPr>
      <w:r w:rsidRPr="00693882">
        <w:rPr>
          <w:noProof/>
        </w:rPr>
        <w:t xml:space="preserve">(28) Kobashi, K.; Hayakawa, R.; Chikyow, T.; Wakayama, Y. Negative differential resistance transistor with organic p-n heterojunction. </w:t>
      </w:r>
      <w:r w:rsidRPr="00693882">
        <w:rPr>
          <w:i/>
          <w:noProof/>
        </w:rPr>
        <w:t xml:space="preserve">Adv. Electron. Mater. </w:t>
      </w:r>
      <w:r w:rsidRPr="00693882">
        <w:rPr>
          <w:b/>
          <w:noProof/>
        </w:rPr>
        <w:t>2017</w:t>
      </w:r>
      <w:r w:rsidRPr="00693882">
        <w:rPr>
          <w:noProof/>
        </w:rPr>
        <w:t xml:space="preserve">, </w:t>
      </w:r>
      <w:r w:rsidRPr="00693882">
        <w:rPr>
          <w:i/>
          <w:noProof/>
        </w:rPr>
        <w:t>3</w:t>
      </w:r>
      <w:r w:rsidRPr="00693882">
        <w:rPr>
          <w:noProof/>
        </w:rPr>
        <w:t xml:space="preserve"> (8), 1700106, DOI: 10.1002/aelm.201700106</w:t>
      </w:r>
    </w:p>
    <w:p w14:paraId="7C3AAFF5" w14:textId="77777777" w:rsidR="003F70AC" w:rsidRPr="00693882" w:rsidRDefault="003F70AC" w:rsidP="003F70AC">
      <w:pPr>
        <w:pStyle w:val="EndNoteBibliography"/>
        <w:spacing w:line="480" w:lineRule="auto"/>
        <w:rPr>
          <w:noProof/>
        </w:rPr>
      </w:pPr>
      <w:r w:rsidRPr="00693882">
        <w:rPr>
          <w:noProof/>
        </w:rPr>
        <w:t xml:space="preserve">(29) Kobashi, K.; Hayakawa, R.; Chikyow, T.; Wakayama, Y. Device geometry engineering for controlling organic antiambipolar transistor properties. </w:t>
      </w:r>
      <w:r w:rsidRPr="00693882">
        <w:rPr>
          <w:i/>
          <w:noProof/>
        </w:rPr>
        <w:t xml:space="preserve">J. Phys. Chem. C </w:t>
      </w:r>
      <w:r w:rsidRPr="00693882">
        <w:rPr>
          <w:b/>
          <w:noProof/>
        </w:rPr>
        <w:t>2018</w:t>
      </w:r>
      <w:r w:rsidRPr="00693882">
        <w:rPr>
          <w:noProof/>
        </w:rPr>
        <w:t xml:space="preserve">, </w:t>
      </w:r>
      <w:r w:rsidRPr="00693882">
        <w:rPr>
          <w:i/>
          <w:noProof/>
        </w:rPr>
        <w:t>122</w:t>
      </w:r>
      <w:r w:rsidRPr="00693882">
        <w:rPr>
          <w:noProof/>
        </w:rPr>
        <w:t xml:space="preserve"> (12), 6943-6946, DOI: 10.1021/acs.jpcc.8b00015</w:t>
      </w:r>
    </w:p>
    <w:p w14:paraId="727D373F" w14:textId="77777777" w:rsidR="003F70AC" w:rsidRPr="00693882" w:rsidRDefault="003F70AC" w:rsidP="003F70AC">
      <w:pPr>
        <w:pStyle w:val="EndNoteBibliography"/>
        <w:spacing w:line="480" w:lineRule="auto"/>
        <w:rPr>
          <w:noProof/>
        </w:rPr>
      </w:pPr>
      <w:r w:rsidRPr="00693882">
        <w:rPr>
          <w:noProof/>
        </w:rPr>
        <w:t xml:space="preserve">(30) Wakayama, Y.; Hayakawa, R. Antiambipolar transistor: A newcomer for future flexible electronics. </w:t>
      </w:r>
      <w:r w:rsidRPr="00693882">
        <w:rPr>
          <w:i/>
          <w:noProof/>
        </w:rPr>
        <w:t xml:space="preserve">Adv. Funct. Mater. </w:t>
      </w:r>
      <w:r w:rsidRPr="00693882">
        <w:rPr>
          <w:b/>
          <w:noProof/>
        </w:rPr>
        <w:t>2019</w:t>
      </w:r>
      <w:r w:rsidRPr="00693882">
        <w:rPr>
          <w:noProof/>
        </w:rPr>
        <w:t xml:space="preserve">, </w:t>
      </w:r>
      <w:r w:rsidRPr="00693882">
        <w:rPr>
          <w:i/>
          <w:noProof/>
        </w:rPr>
        <w:t>30</w:t>
      </w:r>
      <w:r w:rsidRPr="00693882">
        <w:rPr>
          <w:noProof/>
        </w:rPr>
        <w:t xml:space="preserve"> (20), 1903724, DOI: 10.1002/adfm.201903724</w:t>
      </w:r>
    </w:p>
    <w:p w14:paraId="48BD65CB" w14:textId="77777777" w:rsidR="003F70AC" w:rsidRPr="00693882" w:rsidRDefault="003F70AC" w:rsidP="003F70AC">
      <w:pPr>
        <w:pStyle w:val="EndNoteBibliography"/>
        <w:spacing w:line="480" w:lineRule="auto"/>
        <w:rPr>
          <w:noProof/>
          <w:lang w:val="fr-FR"/>
        </w:rPr>
      </w:pPr>
      <w:r w:rsidRPr="00693882">
        <w:rPr>
          <w:noProof/>
        </w:rPr>
        <w:t>(31) Radisavljevic, B.; Radenovic, A.; Brivio, J.; Giacometti, V.; Kis, A. Single-layer MoS</w:t>
      </w:r>
      <w:r w:rsidRPr="00693882">
        <w:rPr>
          <w:noProof/>
          <w:vertAlign w:val="subscript"/>
        </w:rPr>
        <w:t>2</w:t>
      </w:r>
      <w:r w:rsidRPr="00693882">
        <w:rPr>
          <w:noProof/>
        </w:rPr>
        <w:t xml:space="preserve"> transistors. </w:t>
      </w:r>
      <w:r w:rsidRPr="00693882">
        <w:rPr>
          <w:i/>
          <w:noProof/>
          <w:lang w:val="fr-FR"/>
        </w:rPr>
        <w:t xml:space="preserve">Nat. Nanotechnol. </w:t>
      </w:r>
      <w:r w:rsidRPr="00693882">
        <w:rPr>
          <w:b/>
          <w:noProof/>
          <w:lang w:val="fr-FR"/>
        </w:rPr>
        <w:t>2011</w:t>
      </w:r>
      <w:r w:rsidRPr="00693882">
        <w:rPr>
          <w:noProof/>
          <w:lang w:val="fr-FR"/>
        </w:rPr>
        <w:t xml:space="preserve">, </w:t>
      </w:r>
      <w:r w:rsidRPr="00693882">
        <w:rPr>
          <w:i/>
          <w:noProof/>
          <w:lang w:val="fr-FR"/>
        </w:rPr>
        <w:t>6</w:t>
      </w:r>
      <w:r w:rsidRPr="00693882">
        <w:rPr>
          <w:noProof/>
          <w:lang w:val="fr-FR"/>
        </w:rPr>
        <w:t xml:space="preserve"> (3), 147-150, DOI: 10.1038/nnano.2010.279</w:t>
      </w:r>
    </w:p>
    <w:p w14:paraId="24F70AF8" w14:textId="77777777" w:rsidR="003F70AC" w:rsidRPr="00693882" w:rsidRDefault="003F70AC" w:rsidP="003F70AC">
      <w:pPr>
        <w:pStyle w:val="EndNoteBibliography"/>
        <w:spacing w:line="480" w:lineRule="auto"/>
        <w:rPr>
          <w:noProof/>
          <w:lang w:val="fr-FR"/>
        </w:rPr>
      </w:pPr>
      <w:r w:rsidRPr="00693882">
        <w:rPr>
          <w:noProof/>
          <w:lang w:val="fr-FR"/>
        </w:rPr>
        <w:t xml:space="preserve">(32) Geim, A. K.; Grigorieva, I. V. Van der Waals heterostructures. </w:t>
      </w:r>
      <w:r w:rsidRPr="00693882">
        <w:rPr>
          <w:i/>
          <w:noProof/>
          <w:lang w:val="fr-FR"/>
        </w:rPr>
        <w:t xml:space="preserve">Nature </w:t>
      </w:r>
      <w:r w:rsidRPr="00693882">
        <w:rPr>
          <w:b/>
          <w:noProof/>
          <w:lang w:val="fr-FR"/>
        </w:rPr>
        <w:t>2013</w:t>
      </w:r>
      <w:r w:rsidRPr="00693882">
        <w:rPr>
          <w:noProof/>
          <w:lang w:val="fr-FR"/>
        </w:rPr>
        <w:t xml:space="preserve">, </w:t>
      </w:r>
      <w:r w:rsidRPr="00693882">
        <w:rPr>
          <w:i/>
          <w:noProof/>
          <w:lang w:val="fr-FR"/>
        </w:rPr>
        <w:t>499</w:t>
      </w:r>
      <w:r w:rsidRPr="00693882">
        <w:rPr>
          <w:noProof/>
          <w:lang w:val="fr-FR"/>
        </w:rPr>
        <w:t xml:space="preserve"> (7459), 419-425, DOI: 10.1038/nature12385</w:t>
      </w:r>
    </w:p>
    <w:p w14:paraId="346C86FD" w14:textId="77777777" w:rsidR="003F70AC" w:rsidRPr="00693882" w:rsidRDefault="003F70AC" w:rsidP="003F70AC">
      <w:pPr>
        <w:pStyle w:val="EndNoteBibliography"/>
        <w:spacing w:line="480" w:lineRule="auto"/>
        <w:rPr>
          <w:noProof/>
        </w:rPr>
      </w:pPr>
      <w:r w:rsidRPr="00693882">
        <w:rPr>
          <w:noProof/>
        </w:rPr>
        <w:t xml:space="preserve">(33) Wu, L. M.; Wang, A. W.; Shi, J. A.; Yan, J. H.; Zhou, Z.; Bian, C.; Ma, J. J.; Ma, R. S.; Liu, H. T.; Chen, J. C.; Huang, Y.; Zhou, W.; Bao, L. H.; Ouyang, M.; Pennycook, S. J.; Pantelides, S. T.; Gao, H. J. Atomically sharp interface enabled ultrahigh-speed non-volatile memory devices. </w:t>
      </w:r>
      <w:r w:rsidRPr="00693882">
        <w:rPr>
          <w:i/>
          <w:noProof/>
        </w:rPr>
        <w:t xml:space="preserve">Nat. Nanotechnol. </w:t>
      </w:r>
      <w:r w:rsidRPr="00693882">
        <w:rPr>
          <w:b/>
          <w:noProof/>
        </w:rPr>
        <w:t>2021</w:t>
      </w:r>
      <w:r w:rsidRPr="00693882">
        <w:rPr>
          <w:noProof/>
        </w:rPr>
        <w:t xml:space="preserve">, </w:t>
      </w:r>
      <w:r w:rsidRPr="00693882">
        <w:rPr>
          <w:i/>
          <w:noProof/>
        </w:rPr>
        <w:t>16</w:t>
      </w:r>
      <w:r w:rsidRPr="00693882">
        <w:rPr>
          <w:noProof/>
        </w:rPr>
        <w:t xml:space="preserve"> (8), 882-887, DOI: 10.1038/s41565-021-00904-5</w:t>
      </w:r>
    </w:p>
    <w:p w14:paraId="428368E8" w14:textId="77777777" w:rsidR="003F70AC" w:rsidRPr="00693882" w:rsidRDefault="003F70AC" w:rsidP="003F70AC">
      <w:pPr>
        <w:pStyle w:val="EndNoteBibliography"/>
        <w:spacing w:line="480" w:lineRule="auto"/>
        <w:rPr>
          <w:noProof/>
        </w:rPr>
      </w:pPr>
      <w:r w:rsidRPr="00693882">
        <w:rPr>
          <w:noProof/>
        </w:rPr>
        <w:lastRenderedPageBreak/>
        <w:t>(34) Mukherjee, B.; Zulkefli, A.; Watanabe, K.; Taniguchi, T.; Wakayama, Y.; Nakaharai, S. Laser‐assisted multilevel non‐volatile memory device based on 2D van‐der‐Waals few‐layer‐ReS</w:t>
      </w:r>
      <w:r w:rsidRPr="00693882">
        <w:rPr>
          <w:noProof/>
          <w:vertAlign w:val="subscript"/>
        </w:rPr>
        <w:t>2</w:t>
      </w:r>
      <w:r w:rsidRPr="00693882">
        <w:rPr>
          <w:noProof/>
        </w:rPr>
        <w:t xml:space="preserve">/h‐BN/graphene heterostructures. </w:t>
      </w:r>
      <w:r w:rsidRPr="00693882">
        <w:rPr>
          <w:i/>
          <w:noProof/>
        </w:rPr>
        <w:t xml:space="preserve">Adv. Funct. Mater. </w:t>
      </w:r>
      <w:r w:rsidRPr="00693882">
        <w:rPr>
          <w:b/>
          <w:noProof/>
        </w:rPr>
        <w:t>2020</w:t>
      </w:r>
      <w:r w:rsidRPr="00693882">
        <w:rPr>
          <w:noProof/>
        </w:rPr>
        <w:t xml:space="preserve">, </w:t>
      </w:r>
      <w:r w:rsidRPr="00693882">
        <w:rPr>
          <w:i/>
          <w:noProof/>
        </w:rPr>
        <w:t>30</w:t>
      </w:r>
      <w:r w:rsidRPr="00693882">
        <w:rPr>
          <w:noProof/>
        </w:rPr>
        <w:t xml:space="preserve"> (42), 2001688, DOI: 10.1002/adfm.202001688</w:t>
      </w:r>
    </w:p>
    <w:p w14:paraId="465C73AF" w14:textId="77777777" w:rsidR="003F70AC" w:rsidRPr="00693882" w:rsidRDefault="003F70AC" w:rsidP="003F70AC">
      <w:pPr>
        <w:pStyle w:val="EndNoteBibliography"/>
        <w:spacing w:line="480" w:lineRule="auto"/>
        <w:rPr>
          <w:noProof/>
        </w:rPr>
      </w:pPr>
      <w:r w:rsidRPr="00693882">
        <w:rPr>
          <w:noProof/>
        </w:rPr>
        <w:t xml:space="preserve">(35) Li, Y.; Wang, Y.; Huang, L.; Wang, X.; Li, X.; Deng, H.-X.; Wei, Z.; Li, J. Anti-ambipolar field-effect transistors based on few-layer 2D transition metal dichalcogenides. </w:t>
      </w:r>
      <w:r w:rsidRPr="00693882">
        <w:rPr>
          <w:i/>
          <w:noProof/>
        </w:rPr>
        <w:t xml:space="preserve">ACS Appl. Mater. Interfaces. </w:t>
      </w:r>
      <w:r w:rsidRPr="00693882">
        <w:rPr>
          <w:b/>
          <w:noProof/>
        </w:rPr>
        <w:t>2016</w:t>
      </w:r>
      <w:r w:rsidRPr="00693882">
        <w:rPr>
          <w:noProof/>
        </w:rPr>
        <w:t xml:space="preserve">, </w:t>
      </w:r>
      <w:r w:rsidRPr="00693882">
        <w:rPr>
          <w:i/>
          <w:noProof/>
        </w:rPr>
        <w:t>8</w:t>
      </w:r>
      <w:r w:rsidRPr="00693882">
        <w:rPr>
          <w:noProof/>
        </w:rPr>
        <w:t xml:space="preserve"> (24), 15574-15581, DOI: 10.1021/acsami.6b02513</w:t>
      </w:r>
    </w:p>
    <w:p w14:paraId="63CECD86" w14:textId="77777777" w:rsidR="003F70AC" w:rsidRPr="00693882" w:rsidRDefault="003F70AC" w:rsidP="003F70AC">
      <w:pPr>
        <w:pStyle w:val="EndNoteBibliography"/>
        <w:spacing w:line="480" w:lineRule="auto"/>
        <w:rPr>
          <w:noProof/>
        </w:rPr>
      </w:pPr>
      <w:r w:rsidRPr="00693882">
        <w:rPr>
          <w:noProof/>
        </w:rPr>
        <w:t xml:space="preserve">(36) Paul Inbaraj, C. R.; Mathew, R. J.; Ulaganathan, R. K.; Sankar, R.; Kataria, M.; Lin, H. Y.; Chen, Y. T.; Hofmann, M.; Lee, C. H.; Chen, Y. F. A bi-anti-ambipolar field effect Ttansistor. </w:t>
      </w:r>
      <w:r w:rsidRPr="00693882">
        <w:rPr>
          <w:i/>
          <w:noProof/>
        </w:rPr>
        <w:t xml:space="preserve">ACS Nano </w:t>
      </w:r>
      <w:r w:rsidRPr="00693882">
        <w:rPr>
          <w:b/>
          <w:noProof/>
        </w:rPr>
        <w:t>2021</w:t>
      </w:r>
      <w:r w:rsidRPr="00693882">
        <w:rPr>
          <w:noProof/>
        </w:rPr>
        <w:t xml:space="preserve">, </w:t>
      </w:r>
      <w:r w:rsidRPr="00693882">
        <w:rPr>
          <w:i/>
          <w:noProof/>
        </w:rPr>
        <w:t>15</w:t>
      </w:r>
      <w:r w:rsidRPr="00693882">
        <w:rPr>
          <w:noProof/>
        </w:rPr>
        <w:t xml:space="preserve"> (5), 8686-8693, DOI: 10.1021/acsnano.1c00762</w:t>
      </w:r>
    </w:p>
    <w:p w14:paraId="0FAF7C6D" w14:textId="77777777" w:rsidR="003F70AC" w:rsidRPr="00693882" w:rsidRDefault="003F70AC" w:rsidP="003F70AC">
      <w:pPr>
        <w:pStyle w:val="EndNoteBibliography"/>
        <w:spacing w:line="480" w:lineRule="auto"/>
        <w:rPr>
          <w:noProof/>
        </w:rPr>
      </w:pPr>
      <w:r w:rsidRPr="00693882">
        <w:rPr>
          <w:noProof/>
        </w:rPr>
        <w:t xml:space="preserve">(37) Sangwan, V. K.; Beck, M. E.; Henning, A.; Luo, J.; Bergeron, H.; Kang, J.; Balla, I.; Inbar, H.; Lauhon, L. J.; Hersam, M. C. Self-aligned van der Waals heterojunction diodes and transistors. </w:t>
      </w:r>
      <w:r w:rsidRPr="00693882">
        <w:rPr>
          <w:i/>
          <w:noProof/>
        </w:rPr>
        <w:t xml:space="preserve">Nano Lett. </w:t>
      </w:r>
      <w:r w:rsidRPr="00693882">
        <w:rPr>
          <w:b/>
          <w:noProof/>
        </w:rPr>
        <w:t>2018</w:t>
      </w:r>
      <w:r w:rsidRPr="00693882">
        <w:rPr>
          <w:noProof/>
        </w:rPr>
        <w:t xml:space="preserve">, </w:t>
      </w:r>
      <w:r w:rsidRPr="00693882">
        <w:rPr>
          <w:i/>
          <w:noProof/>
        </w:rPr>
        <w:t>18</w:t>
      </w:r>
      <w:r w:rsidRPr="00693882">
        <w:rPr>
          <w:noProof/>
        </w:rPr>
        <w:t xml:space="preserve"> (2), 1421-1427, DOI: 10.1021/acs.nanolett.7b05177</w:t>
      </w:r>
    </w:p>
    <w:p w14:paraId="5A4526E8" w14:textId="77777777" w:rsidR="003F70AC" w:rsidRPr="00693882" w:rsidRDefault="003F70AC" w:rsidP="003F70AC">
      <w:pPr>
        <w:pStyle w:val="EndNoteBibliography"/>
        <w:spacing w:line="480" w:lineRule="auto"/>
        <w:rPr>
          <w:noProof/>
        </w:rPr>
      </w:pPr>
      <w:r w:rsidRPr="00693882">
        <w:rPr>
          <w:noProof/>
        </w:rPr>
        <w:t xml:space="preserve">(38) Kobashi, K.; Hayakawa, R.; Chikyow, T.; Wakayama, Y. Multi-valued logic circuits based on organic anti-ambipolar transistors. </w:t>
      </w:r>
      <w:r w:rsidRPr="00693882">
        <w:rPr>
          <w:i/>
          <w:noProof/>
        </w:rPr>
        <w:t xml:space="preserve">Nano Lett. </w:t>
      </w:r>
      <w:r w:rsidRPr="00693882">
        <w:rPr>
          <w:b/>
          <w:noProof/>
        </w:rPr>
        <w:t>2018</w:t>
      </w:r>
      <w:r w:rsidRPr="00693882">
        <w:rPr>
          <w:noProof/>
        </w:rPr>
        <w:t xml:space="preserve">, </w:t>
      </w:r>
      <w:r w:rsidRPr="00693882">
        <w:rPr>
          <w:i/>
          <w:noProof/>
        </w:rPr>
        <w:t>18</w:t>
      </w:r>
      <w:r w:rsidRPr="00693882">
        <w:rPr>
          <w:noProof/>
        </w:rPr>
        <w:t xml:space="preserve"> (7), 4355-4359, DOI: 10.1021/acs.nanolett.8b01357</w:t>
      </w:r>
    </w:p>
    <w:p w14:paraId="29F26CCC" w14:textId="77777777" w:rsidR="003F70AC" w:rsidRPr="00693882" w:rsidRDefault="003F70AC" w:rsidP="003F70AC">
      <w:pPr>
        <w:pStyle w:val="EndNoteBibliography"/>
        <w:spacing w:line="480" w:lineRule="auto"/>
        <w:rPr>
          <w:noProof/>
        </w:rPr>
      </w:pPr>
      <w:r w:rsidRPr="00693882">
        <w:rPr>
          <w:noProof/>
        </w:rPr>
        <w:t xml:space="preserve">(39) Panigrahi, D.; Hayakawa, R.; Zhong, X. H.; Aimi, J.; Wakayama, Y. Optically controllable </w:t>
      </w:r>
      <w:r w:rsidRPr="00693882">
        <w:rPr>
          <w:noProof/>
        </w:rPr>
        <w:lastRenderedPageBreak/>
        <w:t xml:space="preserve">organic logic-in-memory: An Innovative approach toward ternary data processing and storage. </w:t>
      </w:r>
      <w:r w:rsidRPr="00693882">
        <w:rPr>
          <w:i/>
          <w:noProof/>
        </w:rPr>
        <w:t xml:space="preserve">Nano Lett. </w:t>
      </w:r>
      <w:r w:rsidRPr="00693882">
        <w:rPr>
          <w:b/>
          <w:noProof/>
        </w:rPr>
        <w:t>2023</w:t>
      </w:r>
      <w:r w:rsidRPr="00693882">
        <w:rPr>
          <w:noProof/>
        </w:rPr>
        <w:t xml:space="preserve">, </w:t>
      </w:r>
      <w:r w:rsidRPr="00693882">
        <w:rPr>
          <w:i/>
          <w:noProof/>
        </w:rPr>
        <w:t>23</w:t>
      </w:r>
      <w:r w:rsidRPr="00693882">
        <w:rPr>
          <w:noProof/>
        </w:rPr>
        <w:t xml:space="preserve"> (1), 319-325, DOI: 10.1021/acs.nanolett.2c04415</w:t>
      </w:r>
    </w:p>
    <w:p w14:paraId="544491C5" w14:textId="77777777" w:rsidR="003F70AC" w:rsidRPr="00693882" w:rsidRDefault="003F70AC" w:rsidP="003F70AC">
      <w:pPr>
        <w:pStyle w:val="EndNoteBibliography"/>
        <w:spacing w:line="480" w:lineRule="auto"/>
        <w:rPr>
          <w:noProof/>
        </w:rPr>
      </w:pPr>
      <w:r w:rsidRPr="00693882">
        <w:rPr>
          <w:noProof/>
        </w:rPr>
        <w:t>(40) Shingaya, Y.; Zulkefli, A.; Iwasaki, T.; Hayakawa, R.; Nakaharai, S.; Watanabe, K.; Taniguchi, T.; Wakayama, Y. Dual-gate anti-ambipolar transistor with van der Waals ReS</w:t>
      </w:r>
      <w:r w:rsidRPr="00693882">
        <w:rPr>
          <w:noProof/>
          <w:vertAlign w:val="subscript"/>
        </w:rPr>
        <w:t>2</w:t>
      </w:r>
      <w:r w:rsidRPr="00693882">
        <w:rPr>
          <w:noProof/>
        </w:rPr>
        <w:t>/WSe</w:t>
      </w:r>
      <w:r w:rsidRPr="00693882">
        <w:rPr>
          <w:noProof/>
          <w:vertAlign w:val="subscript"/>
        </w:rPr>
        <w:t>2</w:t>
      </w:r>
      <w:r w:rsidRPr="00693882">
        <w:rPr>
          <w:noProof/>
        </w:rPr>
        <w:t xml:space="preserve"> heterojunction for reconfigurable logic operations. </w:t>
      </w:r>
      <w:r w:rsidRPr="00693882">
        <w:rPr>
          <w:i/>
          <w:noProof/>
        </w:rPr>
        <w:t xml:space="preserve">Adv. Electron. Mater. </w:t>
      </w:r>
      <w:r w:rsidRPr="00693882">
        <w:rPr>
          <w:b/>
          <w:noProof/>
        </w:rPr>
        <w:t>2023</w:t>
      </w:r>
      <w:r w:rsidRPr="00693882">
        <w:rPr>
          <w:noProof/>
        </w:rPr>
        <w:t xml:space="preserve">, </w:t>
      </w:r>
      <w:r w:rsidRPr="00693882">
        <w:rPr>
          <w:i/>
          <w:noProof/>
        </w:rPr>
        <w:t>9</w:t>
      </w:r>
      <w:r w:rsidRPr="00693882">
        <w:rPr>
          <w:noProof/>
        </w:rPr>
        <w:t xml:space="preserve"> (1), 2200704, DOI: 10.1002/aelm.202200704</w:t>
      </w:r>
    </w:p>
    <w:p w14:paraId="65990D3A" w14:textId="77777777" w:rsidR="003F70AC" w:rsidRPr="00693882" w:rsidRDefault="003F70AC" w:rsidP="003F70AC">
      <w:pPr>
        <w:pStyle w:val="EndNoteBibliography"/>
        <w:spacing w:line="480" w:lineRule="auto"/>
        <w:rPr>
          <w:noProof/>
        </w:rPr>
      </w:pPr>
      <w:r w:rsidRPr="00693882">
        <w:rPr>
          <w:noProof/>
        </w:rPr>
        <w:t xml:space="preserve">(41) Hayakawa, R.; Takahashi, K.; Zhong, X.; Honma, K.; Panigrahi, D.; Aimi, J.; Kanai, K.; Wakayama, Y. Reconfigurable logic-in-memory constructed using an organic antiambipolar transistor. </w:t>
      </w:r>
      <w:r w:rsidRPr="00693882">
        <w:rPr>
          <w:i/>
          <w:noProof/>
        </w:rPr>
        <w:t xml:space="preserve">Nano Lett. </w:t>
      </w:r>
      <w:r w:rsidRPr="00693882">
        <w:rPr>
          <w:b/>
          <w:noProof/>
        </w:rPr>
        <w:t>2023</w:t>
      </w:r>
      <w:r w:rsidRPr="00693882">
        <w:rPr>
          <w:noProof/>
        </w:rPr>
        <w:t xml:space="preserve">, </w:t>
      </w:r>
      <w:r w:rsidRPr="00693882">
        <w:rPr>
          <w:i/>
          <w:noProof/>
        </w:rPr>
        <w:t>23</w:t>
      </w:r>
      <w:r w:rsidRPr="00693882">
        <w:rPr>
          <w:noProof/>
        </w:rPr>
        <w:t xml:space="preserve"> (17), 8339-8347, DOI: 10.1021/acs.nanolett.3c02726</w:t>
      </w:r>
    </w:p>
    <w:p w14:paraId="3B9D6208" w14:textId="77777777" w:rsidR="003F70AC" w:rsidRPr="00693882" w:rsidRDefault="003F70AC" w:rsidP="003F70AC">
      <w:pPr>
        <w:pStyle w:val="EndNoteBibliography"/>
        <w:spacing w:line="480" w:lineRule="auto"/>
        <w:rPr>
          <w:noProof/>
        </w:rPr>
      </w:pPr>
      <w:r w:rsidRPr="00693882">
        <w:rPr>
          <w:noProof/>
        </w:rPr>
        <w:t xml:space="preserve">(42) Hayakawa, R.; Honma, K.; Nakaharai, S.; Kanai, K.; Wakayama, Y. Electrically reconfigurable organic logic gates: A promising perspective on a dual-gate antiambipolar transistor. </w:t>
      </w:r>
      <w:r w:rsidRPr="00693882">
        <w:rPr>
          <w:i/>
          <w:noProof/>
        </w:rPr>
        <w:t xml:space="preserve">Adv. Mater. </w:t>
      </w:r>
      <w:r w:rsidRPr="00693882">
        <w:rPr>
          <w:b/>
          <w:noProof/>
        </w:rPr>
        <w:t>2022</w:t>
      </w:r>
      <w:r w:rsidRPr="00693882">
        <w:rPr>
          <w:noProof/>
        </w:rPr>
        <w:t xml:space="preserve">, </w:t>
      </w:r>
      <w:r w:rsidRPr="00693882">
        <w:rPr>
          <w:i/>
          <w:noProof/>
        </w:rPr>
        <w:t>34</w:t>
      </w:r>
      <w:r w:rsidRPr="00693882">
        <w:rPr>
          <w:noProof/>
        </w:rPr>
        <w:t xml:space="preserve"> (15), 2109491, DOI: 10.1002/adma.202109491</w:t>
      </w:r>
    </w:p>
    <w:p w14:paraId="1FC69F54" w14:textId="77777777" w:rsidR="003F70AC" w:rsidRPr="00693882" w:rsidRDefault="003F70AC" w:rsidP="003F70AC">
      <w:pPr>
        <w:pStyle w:val="EndNoteBibliography"/>
        <w:spacing w:line="480" w:lineRule="auto"/>
        <w:rPr>
          <w:noProof/>
        </w:rPr>
      </w:pPr>
      <w:r w:rsidRPr="00693882">
        <w:rPr>
          <w:noProof/>
        </w:rPr>
        <w:t xml:space="preserve">(43) Sang, W.; Xiang, D.; Cao, Y.; Tan, F.; Han, Z.; Songlu, W.; Zhou, P.; Liu, T. Highly reconfigurable logic‐in‐memory operations in tunable gaussian transistors for multifunctional image processing. </w:t>
      </w:r>
      <w:r w:rsidRPr="00693882">
        <w:rPr>
          <w:i/>
          <w:noProof/>
        </w:rPr>
        <w:t xml:space="preserve">Adv. Funct. Mater. </w:t>
      </w:r>
      <w:r w:rsidRPr="00693882">
        <w:rPr>
          <w:b/>
          <w:noProof/>
        </w:rPr>
        <w:t>2023</w:t>
      </w:r>
      <w:r w:rsidRPr="00693882">
        <w:rPr>
          <w:noProof/>
        </w:rPr>
        <w:t>, 2307675, DOI: 10.1002/adfm.202307675</w:t>
      </w:r>
    </w:p>
    <w:p w14:paraId="21DB2BDD" w14:textId="77777777" w:rsidR="003F70AC" w:rsidRPr="00693882" w:rsidRDefault="003F70AC" w:rsidP="003F70AC">
      <w:pPr>
        <w:pStyle w:val="EndNoteBibliography"/>
        <w:spacing w:line="480" w:lineRule="auto"/>
        <w:rPr>
          <w:noProof/>
        </w:rPr>
      </w:pPr>
      <w:r w:rsidRPr="00693882">
        <w:rPr>
          <w:noProof/>
        </w:rPr>
        <w:t xml:space="preserve">(44) Aimi, J.; Yasuda, T.; Huang, C.-F.; Yoshio, M.; Chen, W.-C. Fabrication of solution-processable OFET memory using a nano-floating gate based on a phthalocyanine-cored star-shaped </w:t>
      </w:r>
      <w:r w:rsidRPr="00693882">
        <w:rPr>
          <w:noProof/>
        </w:rPr>
        <w:lastRenderedPageBreak/>
        <w:t xml:space="preserve">polymer. </w:t>
      </w:r>
      <w:r w:rsidRPr="00693882">
        <w:rPr>
          <w:i/>
          <w:noProof/>
        </w:rPr>
        <w:t xml:space="preserve">Materials Advances </w:t>
      </w:r>
      <w:r w:rsidRPr="00693882">
        <w:rPr>
          <w:b/>
          <w:noProof/>
        </w:rPr>
        <w:t>2022</w:t>
      </w:r>
      <w:r w:rsidRPr="00693882">
        <w:rPr>
          <w:noProof/>
        </w:rPr>
        <w:t xml:space="preserve">, </w:t>
      </w:r>
      <w:r w:rsidRPr="00693882">
        <w:rPr>
          <w:i/>
          <w:noProof/>
        </w:rPr>
        <w:t>3</w:t>
      </w:r>
      <w:r w:rsidRPr="00693882">
        <w:rPr>
          <w:noProof/>
        </w:rPr>
        <w:t xml:space="preserve"> (7), 3128-3134, DOI: 10.1039/d1ma01081f</w:t>
      </w:r>
    </w:p>
    <w:p w14:paraId="702E88A9" w14:textId="77777777" w:rsidR="003F70AC" w:rsidRPr="00693882" w:rsidRDefault="003F70AC" w:rsidP="003F70AC">
      <w:pPr>
        <w:pStyle w:val="EndNoteBibliography"/>
        <w:spacing w:line="480" w:lineRule="auto"/>
        <w:rPr>
          <w:noProof/>
        </w:rPr>
      </w:pPr>
      <w:r w:rsidRPr="00693882">
        <w:rPr>
          <w:noProof/>
        </w:rPr>
        <w:t xml:space="preserve">(45) Aimi, J.; Wang, P.-H.; Shih, C.-C.; Huang, C.-F.; Nakanishi, T.; Takeuchi, M.; Hsueh, H.-Y.; Chen, W.-C. A star polymer with a metallo-phthalocyanine core as a tunable charge storage material for nonvolatile transistor memory devices. </w:t>
      </w:r>
      <w:r w:rsidRPr="00693882">
        <w:rPr>
          <w:i/>
          <w:noProof/>
        </w:rPr>
        <w:t xml:space="preserve">J. Mater. Chem. C </w:t>
      </w:r>
      <w:r w:rsidRPr="00693882">
        <w:rPr>
          <w:b/>
          <w:noProof/>
        </w:rPr>
        <w:t>2018</w:t>
      </w:r>
      <w:r w:rsidRPr="00693882">
        <w:rPr>
          <w:noProof/>
        </w:rPr>
        <w:t xml:space="preserve">, </w:t>
      </w:r>
      <w:r w:rsidRPr="00693882">
        <w:rPr>
          <w:i/>
          <w:noProof/>
        </w:rPr>
        <w:t>6</w:t>
      </w:r>
      <w:r w:rsidRPr="00693882">
        <w:rPr>
          <w:noProof/>
        </w:rPr>
        <w:t xml:space="preserve"> (11), 2724-2732, DOI: 10.1039/c7tc05790c</w:t>
      </w:r>
    </w:p>
    <w:p w14:paraId="443DB142" w14:textId="77777777" w:rsidR="003F70AC" w:rsidRPr="00693882" w:rsidRDefault="003F70AC" w:rsidP="003F70AC">
      <w:pPr>
        <w:pStyle w:val="EndNoteBibliography"/>
        <w:spacing w:line="480" w:lineRule="auto"/>
        <w:rPr>
          <w:noProof/>
        </w:rPr>
      </w:pPr>
      <w:r w:rsidRPr="00693882">
        <w:rPr>
          <w:noProof/>
        </w:rPr>
        <w:t xml:space="preserve">(46) Aimi, J.; Lo, C. T.; Wu, H. C.; Huang, C. F.; Nakanishi, T.; Takeuchi, M.; Chen, W. C. Phthalocyanine‐cored star‐shaped polystyrene for nano floating gate in nonvolatile organic transistor memory device. </w:t>
      </w:r>
      <w:r w:rsidRPr="00693882">
        <w:rPr>
          <w:i/>
          <w:noProof/>
        </w:rPr>
        <w:t xml:space="preserve">Adv. Electron. Mater. </w:t>
      </w:r>
      <w:r w:rsidRPr="00693882">
        <w:rPr>
          <w:b/>
          <w:noProof/>
        </w:rPr>
        <w:t>2015</w:t>
      </w:r>
      <w:r w:rsidRPr="00693882">
        <w:rPr>
          <w:noProof/>
        </w:rPr>
        <w:t xml:space="preserve">, </w:t>
      </w:r>
      <w:r w:rsidRPr="00693882">
        <w:rPr>
          <w:i/>
          <w:noProof/>
        </w:rPr>
        <w:t>2</w:t>
      </w:r>
      <w:r w:rsidRPr="00693882">
        <w:rPr>
          <w:noProof/>
        </w:rPr>
        <w:t xml:space="preserve"> (2), 1500300, DOI: 10.1002/aelm.201500300</w:t>
      </w:r>
    </w:p>
    <w:p w14:paraId="0DC6002E" w14:textId="77777777" w:rsidR="003F70AC" w:rsidRPr="00693882" w:rsidRDefault="003F70AC" w:rsidP="003F70AC">
      <w:pPr>
        <w:pStyle w:val="EndNoteBibliography"/>
        <w:spacing w:line="480" w:lineRule="auto"/>
        <w:rPr>
          <w:noProof/>
        </w:rPr>
      </w:pPr>
      <w:r w:rsidRPr="00693882">
        <w:rPr>
          <w:noProof/>
        </w:rPr>
        <w:t xml:space="preserve">(47) Iwasaki, T.; Endo, K.; Watanabe, E.; Tsuya, D.; Morita, Y.; Nakaharai, S.; Noguchi, Y.; Wakayama, Y.; Watanabe, K.; Taniguchi, T.; Moriyama, S. Bubble-free transfer technique for high-quality graphene/hexagonal boron nitride van der Waals heterostructures. </w:t>
      </w:r>
      <w:r w:rsidRPr="00693882">
        <w:rPr>
          <w:i/>
          <w:noProof/>
        </w:rPr>
        <w:t xml:space="preserve">ACS Appl. Mater. Interfaces </w:t>
      </w:r>
      <w:r w:rsidRPr="00693882">
        <w:rPr>
          <w:b/>
          <w:noProof/>
        </w:rPr>
        <w:t>2020</w:t>
      </w:r>
      <w:r w:rsidRPr="00693882">
        <w:rPr>
          <w:noProof/>
        </w:rPr>
        <w:t xml:space="preserve">, </w:t>
      </w:r>
      <w:r w:rsidRPr="00693882">
        <w:rPr>
          <w:i/>
          <w:noProof/>
        </w:rPr>
        <w:t>12</w:t>
      </w:r>
      <w:r w:rsidRPr="00693882">
        <w:rPr>
          <w:noProof/>
        </w:rPr>
        <w:t xml:space="preserve"> (7), 8533-8538, DOI: 10.1021/acsami.9b19191</w:t>
      </w:r>
    </w:p>
    <w:p w14:paraId="000197F7" w14:textId="77777777" w:rsidR="003F70AC" w:rsidRPr="00693882" w:rsidRDefault="003F70AC" w:rsidP="003F70AC">
      <w:pPr>
        <w:pStyle w:val="EndNoteBibliography"/>
        <w:spacing w:line="480" w:lineRule="auto"/>
        <w:rPr>
          <w:noProof/>
        </w:rPr>
      </w:pPr>
      <w:r w:rsidRPr="00693882">
        <w:rPr>
          <w:noProof/>
        </w:rPr>
        <w:t xml:space="preserve">(48) Wang, L.; Meric, I.; Huang, P. Y.; Gao, Q.; Gao, Y.; Tran, H.; Taniguchi, T.; Watanabe, K.; Campos, L. M.; Muller, D. A.; Guo, J.; Kim, P.; Hone, J.; Shepard, K. L.; Dean, C. R. One-dimensional electrical contact to a two-dimensional material. </w:t>
      </w:r>
      <w:r w:rsidRPr="00693882">
        <w:rPr>
          <w:i/>
          <w:noProof/>
        </w:rPr>
        <w:t xml:space="preserve">Science </w:t>
      </w:r>
      <w:r w:rsidRPr="00693882">
        <w:rPr>
          <w:b/>
          <w:noProof/>
        </w:rPr>
        <w:t>2013</w:t>
      </w:r>
      <w:r w:rsidRPr="00693882">
        <w:rPr>
          <w:noProof/>
        </w:rPr>
        <w:t xml:space="preserve">, </w:t>
      </w:r>
      <w:r w:rsidRPr="00693882">
        <w:rPr>
          <w:i/>
          <w:noProof/>
        </w:rPr>
        <w:t>342</w:t>
      </w:r>
      <w:r w:rsidRPr="00693882">
        <w:rPr>
          <w:noProof/>
        </w:rPr>
        <w:t xml:space="preserve"> (6158), 614-617, DOI: 10.1126/science.1244358</w:t>
      </w:r>
    </w:p>
    <w:p w14:paraId="582F9B7F" w14:textId="77777777" w:rsidR="003F70AC" w:rsidRPr="00693882" w:rsidRDefault="003F70AC" w:rsidP="003F70AC">
      <w:pPr>
        <w:pStyle w:val="EndNoteBibliography"/>
        <w:spacing w:line="480" w:lineRule="auto"/>
        <w:rPr>
          <w:noProof/>
        </w:rPr>
      </w:pPr>
      <w:r w:rsidRPr="00693882">
        <w:rPr>
          <w:noProof/>
        </w:rPr>
        <w:lastRenderedPageBreak/>
        <w:t xml:space="preserve">(49) Pizzocchero, F.; Gammelgaard, L.; Jessen, B. S.; Caridad, J. M.; Wang, L.; Hone, J.; Boggild, P.; Booth, T. J. The hot pick-up technique for batch assembly of van der Waals heterostructures. </w:t>
      </w:r>
      <w:r w:rsidRPr="00693882">
        <w:rPr>
          <w:i/>
          <w:noProof/>
        </w:rPr>
        <w:t xml:space="preserve">Nat. Commun. </w:t>
      </w:r>
      <w:r w:rsidRPr="00693882">
        <w:rPr>
          <w:b/>
          <w:noProof/>
        </w:rPr>
        <w:t>2016</w:t>
      </w:r>
      <w:r w:rsidRPr="00693882">
        <w:rPr>
          <w:noProof/>
        </w:rPr>
        <w:t xml:space="preserve">, </w:t>
      </w:r>
      <w:r w:rsidRPr="00693882">
        <w:rPr>
          <w:i/>
          <w:noProof/>
        </w:rPr>
        <w:t>7</w:t>
      </w:r>
      <w:r w:rsidRPr="00693882">
        <w:rPr>
          <w:noProof/>
        </w:rPr>
        <w:t>, 11894, DOI: 10.1038/ncomms11894</w:t>
      </w:r>
    </w:p>
    <w:p w14:paraId="356D3CE4" w14:textId="77777777" w:rsidR="003F70AC" w:rsidRPr="00693882" w:rsidRDefault="003F70AC" w:rsidP="003F70AC">
      <w:pPr>
        <w:pStyle w:val="EndNoteBibliography"/>
        <w:spacing w:line="480" w:lineRule="auto"/>
        <w:rPr>
          <w:noProof/>
        </w:rPr>
      </w:pPr>
      <w:r w:rsidRPr="00693882">
        <w:rPr>
          <w:noProof/>
        </w:rPr>
        <w:t xml:space="preserve">(50) Yoo, H.; Kim, C. H. Unified compact model for thin-film heterojunction anti-ambipolar transistors. </w:t>
      </w:r>
      <w:r w:rsidRPr="00693882">
        <w:rPr>
          <w:i/>
          <w:noProof/>
        </w:rPr>
        <w:t xml:space="preserve">IEEE Electron. Device Lett. </w:t>
      </w:r>
      <w:r w:rsidRPr="00693882">
        <w:rPr>
          <w:b/>
          <w:noProof/>
        </w:rPr>
        <w:t>2021</w:t>
      </w:r>
      <w:r w:rsidRPr="00693882">
        <w:rPr>
          <w:noProof/>
        </w:rPr>
        <w:t xml:space="preserve">, </w:t>
      </w:r>
      <w:r w:rsidRPr="00693882">
        <w:rPr>
          <w:i/>
          <w:noProof/>
        </w:rPr>
        <w:t>42</w:t>
      </w:r>
      <w:r w:rsidRPr="00693882">
        <w:rPr>
          <w:noProof/>
        </w:rPr>
        <w:t xml:space="preserve"> (9), 1323-1326, DOI: 10.1109/led.2021.3102219</w:t>
      </w:r>
    </w:p>
    <w:p w14:paraId="3AC5D1CB" w14:textId="77777777" w:rsidR="003F70AC" w:rsidRPr="00693882" w:rsidRDefault="003F70AC" w:rsidP="003F70AC">
      <w:pPr>
        <w:pStyle w:val="EndNoteBibliography"/>
        <w:spacing w:line="480" w:lineRule="auto"/>
        <w:rPr>
          <w:noProof/>
        </w:rPr>
      </w:pPr>
      <w:r w:rsidRPr="00693882">
        <w:rPr>
          <w:noProof/>
        </w:rPr>
        <w:t xml:space="preserve">(51) Hayakawa, R.; Takeiri, S.; Yamada, Y.; Wakayama, Y.; Fukumoto, K. Carrier-transport mechanism in organic antiambipolar transistors unveiled by operando photoemission electron microscopy. </w:t>
      </w:r>
      <w:r w:rsidRPr="00693882">
        <w:rPr>
          <w:i/>
          <w:noProof/>
        </w:rPr>
        <w:t xml:space="preserve">Adv. Mater. </w:t>
      </w:r>
      <w:r w:rsidRPr="00693882">
        <w:rPr>
          <w:b/>
          <w:noProof/>
        </w:rPr>
        <w:t>2022</w:t>
      </w:r>
      <w:r w:rsidRPr="00693882">
        <w:rPr>
          <w:noProof/>
        </w:rPr>
        <w:t xml:space="preserve">, </w:t>
      </w:r>
      <w:r w:rsidRPr="00693882">
        <w:rPr>
          <w:i/>
          <w:noProof/>
        </w:rPr>
        <w:t>34</w:t>
      </w:r>
      <w:r w:rsidRPr="00693882">
        <w:rPr>
          <w:noProof/>
        </w:rPr>
        <w:t xml:space="preserve"> (30), 2201277, DOI: 10.1002/adma.202201277</w:t>
      </w:r>
    </w:p>
    <w:p w14:paraId="520E1FDA" w14:textId="77777777" w:rsidR="003F70AC" w:rsidRPr="00693882" w:rsidRDefault="003F70AC" w:rsidP="003F70AC">
      <w:pPr>
        <w:pStyle w:val="EndNoteBibliography"/>
        <w:spacing w:line="480" w:lineRule="auto"/>
        <w:rPr>
          <w:noProof/>
        </w:rPr>
      </w:pPr>
      <w:r w:rsidRPr="00693882">
        <w:rPr>
          <w:noProof/>
        </w:rPr>
        <w:t xml:space="preserve">(52) Hayakawa, R.; Takeiri, S.; Yamada, Y.; Wakayama, Y. Surface potential visualization in organic antiambipolar transistors using operando kelvin probe force microscopy for understanding the comprehensive carrier transport mechanism. </w:t>
      </w:r>
      <w:r w:rsidRPr="00693882">
        <w:rPr>
          <w:i/>
          <w:noProof/>
        </w:rPr>
        <w:t xml:space="preserve">Adv. Mater. Interfaces </w:t>
      </w:r>
      <w:r w:rsidRPr="00693882">
        <w:rPr>
          <w:b/>
          <w:noProof/>
        </w:rPr>
        <w:t>2022</w:t>
      </w:r>
      <w:r w:rsidRPr="00693882">
        <w:rPr>
          <w:noProof/>
        </w:rPr>
        <w:t xml:space="preserve">, </w:t>
      </w:r>
      <w:r w:rsidRPr="00693882">
        <w:rPr>
          <w:i/>
          <w:noProof/>
        </w:rPr>
        <w:t>10</w:t>
      </w:r>
      <w:r w:rsidRPr="00693882">
        <w:rPr>
          <w:noProof/>
        </w:rPr>
        <w:t xml:space="preserve"> (19), 2201857, DOI: 10.1002/admi.202201857</w:t>
      </w:r>
    </w:p>
    <w:p w14:paraId="02E8D680" w14:textId="77777777" w:rsidR="003F70AC" w:rsidRPr="00693882" w:rsidRDefault="003F70AC" w:rsidP="003F70AC">
      <w:pPr>
        <w:pStyle w:val="EndNoteBibliography"/>
        <w:spacing w:line="480" w:lineRule="auto"/>
        <w:rPr>
          <w:noProof/>
        </w:rPr>
      </w:pPr>
      <w:r w:rsidRPr="00693882">
        <w:rPr>
          <w:noProof/>
        </w:rPr>
        <w:t xml:space="preserve">(53) Huang, C. H.; Zhang, Y.; Nomura, K. Reconfigurable artificial synapses with excitatory and inhibitory response enabled by an ambipolar oxide thin-film transistor. </w:t>
      </w:r>
      <w:r w:rsidRPr="00693882">
        <w:rPr>
          <w:i/>
          <w:noProof/>
        </w:rPr>
        <w:t xml:space="preserve">ACS Appl. Mater. Interfaces </w:t>
      </w:r>
      <w:r w:rsidRPr="00693882">
        <w:rPr>
          <w:b/>
          <w:noProof/>
        </w:rPr>
        <w:t>2022</w:t>
      </w:r>
      <w:r w:rsidRPr="00693882">
        <w:rPr>
          <w:noProof/>
        </w:rPr>
        <w:t xml:space="preserve">, </w:t>
      </w:r>
      <w:r w:rsidRPr="00693882">
        <w:rPr>
          <w:i/>
          <w:noProof/>
        </w:rPr>
        <w:t>14</w:t>
      </w:r>
      <w:r w:rsidRPr="00693882">
        <w:rPr>
          <w:noProof/>
        </w:rPr>
        <w:t xml:space="preserve"> (19), 22252-22262, DOI: 10.1021/acsami.1c24327</w:t>
      </w:r>
    </w:p>
    <w:p w14:paraId="397999FB" w14:textId="77777777" w:rsidR="003F70AC" w:rsidRPr="00693882" w:rsidRDefault="003F70AC" w:rsidP="003F70AC">
      <w:pPr>
        <w:pStyle w:val="EndNoteBibliography"/>
        <w:spacing w:line="480" w:lineRule="auto"/>
        <w:rPr>
          <w:noProof/>
        </w:rPr>
      </w:pPr>
      <w:r w:rsidRPr="00693882">
        <w:rPr>
          <w:noProof/>
        </w:rPr>
        <w:t xml:space="preserve">(54) Yao, C.; Wu, G.; Huang, M.; Wang, W.; Zhang, C.; Wu, J.; Liu, H.; Zheng, B.; Yi, J.; Zhu, C.; Tang, Z.; Wang, Y.; Huang, M.; Huang, L.; Li, Z.; Xiang, L.; Li, D.; Li, S.; Pan, A. Reconfigurable </w:t>
      </w:r>
      <w:r w:rsidRPr="00693882">
        <w:rPr>
          <w:noProof/>
        </w:rPr>
        <w:lastRenderedPageBreak/>
        <w:t xml:space="preserve">artificial synapse based on ambipolar floating gate memory. </w:t>
      </w:r>
      <w:r w:rsidRPr="00693882">
        <w:rPr>
          <w:i/>
          <w:noProof/>
        </w:rPr>
        <w:t xml:space="preserve">ACS Appl. Mater. Interfaces </w:t>
      </w:r>
      <w:r w:rsidRPr="00693882">
        <w:rPr>
          <w:b/>
          <w:noProof/>
        </w:rPr>
        <w:t>2023</w:t>
      </w:r>
      <w:r w:rsidRPr="00693882">
        <w:rPr>
          <w:noProof/>
        </w:rPr>
        <w:t xml:space="preserve">, </w:t>
      </w:r>
      <w:r w:rsidRPr="00693882">
        <w:rPr>
          <w:i/>
          <w:noProof/>
        </w:rPr>
        <w:t>15</w:t>
      </w:r>
      <w:r w:rsidRPr="00693882">
        <w:rPr>
          <w:noProof/>
        </w:rPr>
        <w:t xml:space="preserve"> (19), 23573-23582, DOI: 10.1021/acsami.3c00063</w:t>
      </w:r>
    </w:p>
    <w:p w14:paraId="091515D8" w14:textId="77777777" w:rsidR="003F70AC" w:rsidRPr="00693882" w:rsidRDefault="003F70AC" w:rsidP="003F70AC">
      <w:pPr>
        <w:pStyle w:val="EndNoteBibliography"/>
        <w:spacing w:line="480" w:lineRule="auto"/>
        <w:rPr>
          <w:noProof/>
        </w:rPr>
      </w:pPr>
      <w:r w:rsidRPr="00693882">
        <w:rPr>
          <w:noProof/>
        </w:rPr>
        <w:t xml:space="preserve">(55) Tian, H.; Cao, X.; Xie, Y. J.; Yan, X. D.; Kostelec, A.; DiMarzio, D.; Chang, C.; Zhao, L. D.; Wu, W.; Tice, J.; Cha, J. J.; Guo, J.; Wang, H. Emulating bilingual synaptic response using a junction-based artificial synaptic device. </w:t>
      </w:r>
      <w:r w:rsidRPr="00693882">
        <w:rPr>
          <w:i/>
          <w:noProof/>
        </w:rPr>
        <w:t xml:space="preserve">ACS Nano </w:t>
      </w:r>
      <w:r w:rsidRPr="00693882">
        <w:rPr>
          <w:b/>
          <w:noProof/>
        </w:rPr>
        <w:t>2017</w:t>
      </w:r>
      <w:r w:rsidRPr="00693882">
        <w:rPr>
          <w:noProof/>
        </w:rPr>
        <w:t xml:space="preserve">, </w:t>
      </w:r>
      <w:r w:rsidRPr="00693882">
        <w:rPr>
          <w:i/>
          <w:noProof/>
        </w:rPr>
        <w:t>11</w:t>
      </w:r>
      <w:r w:rsidRPr="00693882">
        <w:rPr>
          <w:noProof/>
        </w:rPr>
        <w:t xml:space="preserve"> (7), 7156-7163, DOI: 10.1021/acsnano.7b03033</w:t>
      </w:r>
    </w:p>
    <w:p w14:paraId="08F3B9EB" w14:textId="77777777" w:rsidR="003F70AC" w:rsidRPr="004A104E" w:rsidRDefault="003F70AC" w:rsidP="003F70AC">
      <w:pPr>
        <w:pStyle w:val="EndNoteBibliography"/>
        <w:spacing w:line="480" w:lineRule="auto"/>
        <w:rPr>
          <w:noProof/>
        </w:rPr>
      </w:pPr>
      <w:r w:rsidRPr="00693882">
        <w:rPr>
          <w:noProof/>
        </w:rPr>
        <w:t xml:space="preserve">(56) Wang, Y.; Liao, Q.; She, D.; Lv, Z.; Gong, Y.; Ding, G.; Ye, W.; Chen, J.; Xiong, Z.; Wang, G.; Zhou, Y.; Han, S. T. Modulation of binary neuroplasticity in a heterojunction-based ambipolar transistor. </w:t>
      </w:r>
      <w:r w:rsidRPr="00693882">
        <w:rPr>
          <w:i/>
          <w:noProof/>
        </w:rPr>
        <w:t xml:space="preserve">ACS Appl. Mater. Interfaces </w:t>
      </w:r>
      <w:r w:rsidRPr="00693882">
        <w:rPr>
          <w:b/>
          <w:noProof/>
        </w:rPr>
        <w:t>2020</w:t>
      </w:r>
      <w:r w:rsidRPr="00693882">
        <w:rPr>
          <w:noProof/>
        </w:rPr>
        <w:t xml:space="preserve">, </w:t>
      </w:r>
      <w:r w:rsidRPr="00693882">
        <w:rPr>
          <w:i/>
          <w:noProof/>
        </w:rPr>
        <w:t>12</w:t>
      </w:r>
      <w:r w:rsidRPr="00693882">
        <w:rPr>
          <w:noProof/>
        </w:rPr>
        <w:t xml:space="preserve"> (13), 15370-15379, DOI: 10.1021/acsami.0c00635</w:t>
      </w:r>
    </w:p>
    <w:p w14:paraId="09301390" w14:textId="77777777" w:rsidR="003F70AC" w:rsidRDefault="003F70AC" w:rsidP="003F70AC">
      <w:pPr>
        <w:spacing w:line="480" w:lineRule="auto"/>
      </w:pPr>
    </w:p>
    <w:p w14:paraId="146B2EB7" w14:textId="77777777" w:rsidR="003F70AC" w:rsidRDefault="003F70AC" w:rsidP="003F70AC">
      <w:pPr>
        <w:spacing w:line="480" w:lineRule="auto"/>
      </w:pPr>
    </w:p>
    <w:p w14:paraId="41DF02C3" w14:textId="77777777" w:rsidR="000C12BB" w:rsidRPr="00D3565D" w:rsidRDefault="000C12BB" w:rsidP="00BA5022">
      <w:pPr>
        <w:pStyle w:val="TFReferencesSection"/>
      </w:pPr>
    </w:p>
    <w:p w14:paraId="3CE45F8A" w14:textId="77777777" w:rsidR="000C12BB" w:rsidRPr="00805392" w:rsidRDefault="000C12BB" w:rsidP="00D45293">
      <w:pPr>
        <w:pStyle w:val="EndNoteBibliography"/>
        <w:ind w:left="720" w:hanging="720"/>
        <w:rPr>
          <w:noProof/>
        </w:rPr>
      </w:pPr>
    </w:p>
    <w:p w14:paraId="2031FB17" w14:textId="36DBFC1C" w:rsidR="000C12BB" w:rsidRPr="00805392" w:rsidRDefault="00FD424C" w:rsidP="006328CA">
      <w:pPr>
        <w:pStyle w:val="EndNoteBibliography"/>
        <w:jc w:val="center"/>
        <w:rPr>
          <w:noProof/>
        </w:rPr>
      </w:pPr>
      <w:r w:rsidRPr="00FD424C">
        <w:rPr>
          <w:noProof/>
        </w:rPr>
        <w:lastRenderedPageBreak/>
        <w:drawing>
          <wp:inline distT="0" distB="0" distL="0" distR="0" wp14:anchorId="30637DF0" wp14:editId="7B0AB9AE">
            <wp:extent cx="5971540" cy="485394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1540" cy="4853940"/>
                    </a:xfrm>
                    <a:prstGeom prst="rect">
                      <a:avLst/>
                    </a:prstGeom>
                  </pic:spPr>
                </pic:pic>
              </a:graphicData>
            </a:graphic>
          </wp:inline>
        </w:drawing>
      </w:r>
    </w:p>
    <w:p w14:paraId="387A5F8C" w14:textId="0D31DA9B" w:rsidR="000C12BB" w:rsidRPr="00767B9C" w:rsidRDefault="000C12BB" w:rsidP="004547D9">
      <w:pPr>
        <w:pStyle w:val="VAFigureCaption"/>
        <w:rPr>
          <w:color w:val="000000" w:themeColor="text1"/>
        </w:rPr>
      </w:pPr>
      <w:r w:rsidRPr="00767B9C">
        <w:rPr>
          <w:b/>
          <w:bCs/>
          <w:color w:val="000000" w:themeColor="text1"/>
        </w:rPr>
        <w:t>Figure 1</w:t>
      </w:r>
      <w:r w:rsidR="007024C0" w:rsidRPr="00767B9C">
        <w:rPr>
          <w:b/>
          <w:bCs/>
          <w:color w:val="000000" w:themeColor="text1"/>
        </w:rPr>
        <w:t>.</w:t>
      </w:r>
      <w:r w:rsidRPr="00767B9C">
        <w:rPr>
          <w:b/>
          <w:bCs/>
          <w:color w:val="000000" w:themeColor="text1"/>
        </w:rPr>
        <w:t xml:space="preserve"> </w:t>
      </w:r>
      <w:bookmarkStart w:id="49" w:name="OLE_LINK76"/>
      <w:bookmarkStart w:id="50" w:name="OLE_LINK77"/>
      <w:r w:rsidRPr="00767B9C">
        <w:rPr>
          <w:b/>
          <w:bCs/>
          <w:color w:val="000000" w:themeColor="text1"/>
        </w:rPr>
        <w:t>Fundamental</w:t>
      </w:r>
      <w:r w:rsidRPr="00767B9C">
        <w:rPr>
          <w:rFonts w:hint="eastAsia"/>
          <w:b/>
          <w:bCs/>
          <w:color w:val="000000" w:themeColor="text1"/>
        </w:rPr>
        <w:t xml:space="preserve">s </w:t>
      </w:r>
      <w:r w:rsidRPr="00767B9C">
        <w:rPr>
          <w:b/>
          <w:bCs/>
          <w:color w:val="000000" w:themeColor="text1"/>
        </w:rPr>
        <w:t>of dual-gate AAT operation. a,</w:t>
      </w:r>
      <w:r w:rsidRPr="00767B9C">
        <w:rPr>
          <w:color w:val="000000" w:themeColor="text1"/>
        </w:rPr>
        <w:t xml:space="preserve"> Schematic illustration of the dual-gate AAT and the chemical structure of </w:t>
      </w:r>
      <w:proofErr w:type="spellStart"/>
      <w:r w:rsidRPr="00767B9C">
        <w:rPr>
          <w:color w:val="000000" w:themeColor="text1"/>
        </w:rPr>
        <w:t>ZnPc</w:t>
      </w:r>
      <w:proofErr w:type="spellEnd"/>
      <w:r w:rsidRPr="00767B9C">
        <w:rPr>
          <w:color w:val="000000" w:themeColor="text1"/>
        </w:rPr>
        <w:t>-cored star-shaped polystyrene (ZnPc-PS</w:t>
      </w:r>
      <w:r w:rsidRPr="00767B9C">
        <w:rPr>
          <w:color w:val="000000" w:themeColor="text1"/>
          <w:vertAlign w:val="subscript"/>
        </w:rPr>
        <w:t>4</w:t>
      </w:r>
      <w:r w:rsidRPr="00767B9C">
        <w:rPr>
          <w:color w:val="000000" w:themeColor="text1"/>
        </w:rPr>
        <w:t xml:space="preserve">). </w:t>
      </w:r>
      <w:r w:rsidRPr="00767B9C">
        <w:rPr>
          <w:b/>
          <w:bCs/>
          <w:color w:val="000000" w:themeColor="text1"/>
        </w:rPr>
        <w:t>b, c,</w:t>
      </w:r>
      <w:r w:rsidRPr="00767B9C">
        <w:rPr>
          <w:color w:val="000000" w:themeColor="text1"/>
        </w:rPr>
        <w:t xml:space="preserve"> Optical microscope images of (b) the bottom-gate AAT before forming the top-gate configuration and (c) the completed dual-gate AAT. </w:t>
      </w:r>
      <w:r w:rsidR="00A55BBA" w:rsidRPr="00767B9C">
        <w:rPr>
          <w:color w:val="000000" w:themeColor="text1"/>
        </w:rPr>
        <w:t>The</w:t>
      </w:r>
      <w:r w:rsidR="004130A7" w:rsidRPr="00767B9C">
        <w:rPr>
          <w:color w:val="000000" w:themeColor="text1"/>
        </w:rPr>
        <w:t xml:space="preserve"> inset </w:t>
      </w:r>
      <w:r w:rsidR="00A55BBA" w:rsidRPr="00767B9C">
        <w:rPr>
          <w:color w:val="000000" w:themeColor="text1"/>
        </w:rPr>
        <w:t>in</w:t>
      </w:r>
      <w:r w:rsidR="004130A7" w:rsidRPr="00767B9C">
        <w:rPr>
          <w:color w:val="000000" w:themeColor="text1"/>
        </w:rPr>
        <w:t xml:space="preserve"> (b) shows </w:t>
      </w:r>
      <w:r w:rsidR="001E2AED" w:rsidRPr="00767B9C">
        <w:rPr>
          <w:color w:val="000000" w:themeColor="text1"/>
          <w:lang w:eastAsia="ja-JP"/>
        </w:rPr>
        <w:t>an</w:t>
      </w:r>
      <w:r w:rsidR="001E2AED" w:rsidRPr="00767B9C">
        <w:rPr>
          <w:rFonts w:hint="eastAsia"/>
          <w:color w:val="000000" w:themeColor="text1"/>
          <w:lang w:eastAsia="ja-JP"/>
        </w:rPr>
        <w:t xml:space="preserve"> </w:t>
      </w:r>
      <w:r w:rsidR="00A55BBA" w:rsidRPr="00767B9C">
        <w:rPr>
          <w:color w:val="000000" w:themeColor="text1"/>
        </w:rPr>
        <w:t>enlarged view</w:t>
      </w:r>
      <w:r w:rsidR="004130A7" w:rsidRPr="00767B9C">
        <w:rPr>
          <w:color w:val="000000" w:themeColor="text1"/>
        </w:rPr>
        <w:t xml:space="preserve"> of </w:t>
      </w:r>
      <w:r w:rsidR="00E43BA1" w:rsidRPr="00767B9C">
        <w:rPr>
          <w:rFonts w:hint="eastAsia"/>
          <w:color w:val="000000" w:themeColor="text1"/>
          <w:lang w:eastAsia="ja-JP"/>
        </w:rPr>
        <w:t xml:space="preserve">the </w:t>
      </w:r>
      <w:r w:rsidR="001E2AED" w:rsidRPr="00767B9C">
        <w:rPr>
          <w:color w:val="000000" w:themeColor="text1"/>
        </w:rPr>
        <w:t xml:space="preserve">overlapping </w:t>
      </w:r>
      <w:r w:rsidR="004130A7" w:rsidRPr="00767B9C">
        <w:rPr>
          <w:color w:val="000000" w:themeColor="text1"/>
        </w:rPr>
        <w:t>area</w:t>
      </w:r>
      <w:r w:rsidR="00E43BA1" w:rsidRPr="00767B9C">
        <w:rPr>
          <w:rFonts w:hint="eastAsia"/>
          <w:color w:val="000000" w:themeColor="text1"/>
          <w:lang w:eastAsia="ja-JP"/>
        </w:rPr>
        <w:t xml:space="preserve"> of</w:t>
      </w:r>
      <w:r w:rsidR="004130A7" w:rsidRPr="00767B9C">
        <w:rPr>
          <w:color w:val="000000" w:themeColor="text1"/>
        </w:rPr>
        <w:t xml:space="preserve"> ReS</w:t>
      </w:r>
      <w:r w:rsidR="004130A7" w:rsidRPr="00767B9C">
        <w:rPr>
          <w:color w:val="000000" w:themeColor="text1"/>
          <w:vertAlign w:val="subscript"/>
        </w:rPr>
        <w:t>2</w:t>
      </w:r>
      <w:r w:rsidR="004130A7" w:rsidRPr="00767B9C">
        <w:rPr>
          <w:color w:val="000000" w:themeColor="text1"/>
        </w:rPr>
        <w:t xml:space="preserve"> and WSe</w:t>
      </w:r>
      <w:r w:rsidR="004130A7" w:rsidRPr="00767B9C">
        <w:rPr>
          <w:color w:val="000000" w:themeColor="text1"/>
          <w:vertAlign w:val="subscript"/>
        </w:rPr>
        <w:t>2</w:t>
      </w:r>
      <w:r w:rsidR="00E43BA1" w:rsidRPr="00767B9C">
        <w:rPr>
          <w:rFonts w:hint="eastAsia"/>
          <w:color w:val="000000" w:themeColor="text1"/>
          <w:lang w:eastAsia="ja-JP"/>
        </w:rPr>
        <w:t xml:space="preserve"> channels</w:t>
      </w:r>
      <w:r w:rsidR="004130A7" w:rsidRPr="00767B9C">
        <w:rPr>
          <w:color w:val="000000" w:themeColor="text1"/>
        </w:rPr>
        <w:t>.</w:t>
      </w:r>
      <w:r w:rsidR="004130A7" w:rsidRPr="00767B9C">
        <w:rPr>
          <w:b/>
          <w:bCs/>
          <w:color w:val="000000" w:themeColor="text1"/>
        </w:rPr>
        <w:t xml:space="preserve"> </w:t>
      </w:r>
      <w:r w:rsidRPr="00767B9C">
        <w:rPr>
          <w:b/>
          <w:bCs/>
          <w:color w:val="000000" w:themeColor="text1"/>
        </w:rPr>
        <w:t>d,</w:t>
      </w:r>
      <w:r w:rsidRPr="00767B9C">
        <w:rPr>
          <w:color w:val="000000" w:themeColor="text1"/>
        </w:rPr>
        <w:t xml:space="preserve"> </w:t>
      </w:r>
      <w:r w:rsidRPr="00767B9C">
        <w:rPr>
          <w:i/>
          <w:iCs/>
          <w:color w:val="000000" w:themeColor="text1"/>
        </w:rPr>
        <w:t>I</w:t>
      </w:r>
      <w:r w:rsidRPr="00767B9C">
        <w:rPr>
          <w:color w:val="000000" w:themeColor="text1"/>
          <w:vertAlign w:val="subscript"/>
        </w:rPr>
        <w:t>d</w:t>
      </w:r>
      <w:r w:rsidRPr="00767B9C">
        <w:rPr>
          <w:color w:val="000000" w:themeColor="text1"/>
        </w:rPr>
        <w:t>–</w:t>
      </w:r>
      <w:proofErr w:type="spellStart"/>
      <w:r w:rsidRPr="00767B9C">
        <w:rPr>
          <w:i/>
          <w:iCs/>
          <w:color w:val="000000" w:themeColor="text1"/>
        </w:rPr>
        <w:t>V</w:t>
      </w:r>
      <w:r w:rsidRPr="00767B9C">
        <w:rPr>
          <w:color w:val="000000" w:themeColor="text1"/>
          <w:vertAlign w:val="subscript"/>
        </w:rPr>
        <w:t>bg</w:t>
      </w:r>
      <w:proofErr w:type="spellEnd"/>
      <w:r w:rsidRPr="00767B9C">
        <w:rPr>
          <w:color w:val="000000" w:themeColor="text1"/>
        </w:rPr>
        <w:t xml:space="preserve"> curves of the dual-gate AAT (black line), ReS</w:t>
      </w:r>
      <w:r w:rsidRPr="00767B9C">
        <w:rPr>
          <w:color w:val="000000" w:themeColor="text1"/>
          <w:vertAlign w:val="subscript"/>
        </w:rPr>
        <w:t>2</w:t>
      </w:r>
      <w:r w:rsidRPr="00767B9C">
        <w:rPr>
          <w:color w:val="000000" w:themeColor="text1"/>
        </w:rPr>
        <w:t xml:space="preserve"> transistor (blue </w:t>
      </w:r>
      <w:r w:rsidRPr="00767B9C">
        <w:rPr>
          <w:color w:val="000000" w:themeColor="text1"/>
        </w:rPr>
        <w:lastRenderedPageBreak/>
        <w:t>line) and WSe</w:t>
      </w:r>
      <w:r w:rsidRPr="00767B9C">
        <w:rPr>
          <w:color w:val="000000" w:themeColor="text1"/>
          <w:vertAlign w:val="subscript"/>
        </w:rPr>
        <w:t>2</w:t>
      </w:r>
      <w:r w:rsidRPr="00767B9C">
        <w:rPr>
          <w:color w:val="000000" w:themeColor="text1"/>
        </w:rPr>
        <w:t xml:space="preserve"> transistor (red line) at a fixed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of 0 V. </w:t>
      </w:r>
      <w:r w:rsidRPr="00767B9C">
        <w:rPr>
          <w:b/>
          <w:bCs/>
          <w:color w:val="000000" w:themeColor="text1"/>
        </w:rPr>
        <w:t>e,</w:t>
      </w:r>
      <w:r w:rsidRPr="00767B9C">
        <w:rPr>
          <w:color w:val="000000" w:themeColor="text1"/>
        </w:rPr>
        <w:t xml:space="preserve"> </w:t>
      </w:r>
      <w:r w:rsidRPr="00767B9C">
        <w:rPr>
          <w:i/>
          <w:iCs/>
          <w:color w:val="000000" w:themeColor="text1"/>
        </w:rPr>
        <w:t>I</w:t>
      </w:r>
      <w:r w:rsidRPr="00767B9C">
        <w:rPr>
          <w:color w:val="000000" w:themeColor="text1"/>
          <w:vertAlign w:val="subscript"/>
        </w:rPr>
        <w:t>d</w:t>
      </w:r>
      <w:bookmarkStart w:id="51" w:name="_Hlk150186081"/>
      <w:r w:rsidRPr="00767B9C">
        <w:rPr>
          <w:color w:val="000000" w:themeColor="text1"/>
        </w:rPr>
        <w:t>–</w:t>
      </w:r>
      <w:bookmarkEnd w:id="51"/>
      <w:proofErr w:type="spellStart"/>
      <w:r w:rsidRPr="00767B9C">
        <w:rPr>
          <w:i/>
          <w:iCs/>
          <w:color w:val="000000" w:themeColor="text1"/>
        </w:rPr>
        <w:t>V</w:t>
      </w:r>
      <w:r w:rsidRPr="00767B9C">
        <w:rPr>
          <w:color w:val="000000" w:themeColor="text1"/>
          <w:vertAlign w:val="subscript"/>
        </w:rPr>
        <w:t>bg</w:t>
      </w:r>
      <w:proofErr w:type="spellEnd"/>
      <w:r w:rsidRPr="00767B9C">
        <w:rPr>
          <w:color w:val="000000" w:themeColor="text1"/>
        </w:rPr>
        <w:t xml:space="preserve"> curves of the dual-gate AAT with different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values, where </w:t>
      </w:r>
      <w:proofErr w:type="spellStart"/>
      <w:r w:rsidRPr="00767B9C">
        <w:rPr>
          <w:i/>
          <w:iCs/>
          <w:color w:val="000000" w:themeColor="text1"/>
        </w:rPr>
        <w:t>V</w:t>
      </w:r>
      <w:r w:rsidRPr="00767B9C">
        <w:rPr>
          <w:color w:val="000000" w:themeColor="text1"/>
          <w:vertAlign w:val="subscript"/>
        </w:rPr>
        <w:t>d</w:t>
      </w:r>
      <w:proofErr w:type="spellEnd"/>
      <w:r w:rsidRPr="00767B9C">
        <w:rPr>
          <w:color w:val="000000" w:themeColor="text1"/>
        </w:rPr>
        <w:t xml:space="preserve"> was </w:t>
      </w:r>
      <w:bookmarkStart w:id="52" w:name="_Hlk139024131"/>
      <w:r w:rsidRPr="00767B9C">
        <w:rPr>
          <w:color w:val="000000" w:themeColor="text1"/>
        </w:rPr>
        <w:t>fixed at −</w:t>
      </w:r>
      <w:bookmarkEnd w:id="52"/>
      <w:r w:rsidRPr="00767B9C">
        <w:rPr>
          <w:color w:val="000000" w:themeColor="text1"/>
        </w:rPr>
        <w:t xml:space="preserve">1.0 V. </w:t>
      </w:r>
      <w:r w:rsidRPr="00767B9C">
        <w:rPr>
          <w:b/>
          <w:bCs/>
          <w:color w:val="000000" w:themeColor="text1"/>
        </w:rPr>
        <w:t>f,</w:t>
      </w:r>
      <w:r w:rsidRPr="00767B9C">
        <w:rPr>
          <w:color w:val="000000" w:themeColor="text1"/>
        </w:rPr>
        <w:t xml:space="preserve"> 3D plots of |</w:t>
      </w:r>
      <w:r w:rsidRPr="00767B9C">
        <w:rPr>
          <w:i/>
          <w:iCs/>
          <w:color w:val="000000" w:themeColor="text1"/>
        </w:rPr>
        <w:t>I</w:t>
      </w:r>
      <w:r w:rsidRPr="00767B9C">
        <w:rPr>
          <w:color w:val="000000" w:themeColor="text1"/>
          <w:vertAlign w:val="subscript"/>
        </w:rPr>
        <w:t>d</w:t>
      </w:r>
      <w:r w:rsidRPr="00767B9C">
        <w:rPr>
          <w:color w:val="000000" w:themeColor="text1"/>
        </w:rPr>
        <w:t xml:space="preserve">| as </w:t>
      </w:r>
      <w:r w:rsidR="000101FB" w:rsidRPr="00767B9C">
        <w:rPr>
          <w:color w:val="000000" w:themeColor="text1"/>
        </w:rPr>
        <w:t xml:space="preserve">a </w:t>
      </w:r>
      <w:r w:rsidRPr="00767B9C">
        <w:rPr>
          <w:color w:val="000000" w:themeColor="text1"/>
        </w:rPr>
        <w:t xml:space="preserve">function of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and </w:t>
      </w:r>
      <w:proofErr w:type="spellStart"/>
      <w:r w:rsidRPr="00767B9C">
        <w:rPr>
          <w:i/>
          <w:iCs/>
          <w:color w:val="000000" w:themeColor="text1"/>
        </w:rPr>
        <w:t>V</w:t>
      </w:r>
      <w:r w:rsidRPr="00767B9C">
        <w:rPr>
          <w:color w:val="000000" w:themeColor="text1"/>
          <w:vertAlign w:val="subscript"/>
        </w:rPr>
        <w:t>bg</w:t>
      </w:r>
      <w:proofErr w:type="spellEnd"/>
      <w:r w:rsidRPr="00767B9C">
        <w:rPr>
          <w:color w:val="000000" w:themeColor="text1"/>
        </w:rPr>
        <w:t>.</w:t>
      </w:r>
      <w:bookmarkEnd w:id="49"/>
      <w:bookmarkEnd w:id="50"/>
    </w:p>
    <w:p w14:paraId="49B04E8F" w14:textId="4E760B1D" w:rsidR="000C12BB" w:rsidRPr="00767B9C" w:rsidRDefault="000C12BB" w:rsidP="00D45293">
      <w:pPr>
        <w:widowControl/>
        <w:rPr>
          <w:rFonts w:ascii="Times New Roman" w:hAnsi="Times New Roman" w:cs="Times New Roman"/>
          <w:color w:val="000000" w:themeColor="text1"/>
          <w:sz w:val="24"/>
        </w:rPr>
      </w:pPr>
    </w:p>
    <w:p w14:paraId="0BC28F7B" w14:textId="77777777" w:rsidR="000C12BB" w:rsidRPr="00805392" w:rsidRDefault="000C12BB" w:rsidP="006328CA">
      <w:pPr>
        <w:widowControl/>
        <w:jc w:val="center"/>
        <w:rPr>
          <w:rFonts w:ascii="Times New Roman" w:hAnsi="Times New Roman" w:cs="Times New Roman"/>
          <w:sz w:val="24"/>
        </w:rPr>
      </w:pPr>
      <w:r w:rsidRPr="00805392">
        <w:rPr>
          <w:rFonts w:ascii="Times New Roman" w:hAnsi="Times New Roman" w:cs="Times New Roman" w:hint="eastAsia"/>
          <w:noProof/>
          <w:sz w:val="24"/>
        </w:rPr>
        <w:drawing>
          <wp:inline distT="0" distB="0" distL="0" distR="0" wp14:anchorId="2954C5E3" wp14:editId="34385F92">
            <wp:extent cx="5431790" cy="3216275"/>
            <wp:effectExtent l="0" t="0" r="0" b="3175"/>
            <wp:docPr id="20715970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1790" cy="3216275"/>
                    </a:xfrm>
                    <a:prstGeom prst="rect">
                      <a:avLst/>
                    </a:prstGeom>
                    <a:noFill/>
                    <a:ln>
                      <a:noFill/>
                    </a:ln>
                  </pic:spPr>
                </pic:pic>
              </a:graphicData>
            </a:graphic>
          </wp:inline>
        </w:drawing>
      </w:r>
    </w:p>
    <w:p w14:paraId="420718C2" w14:textId="6C17EB65" w:rsidR="000C12BB" w:rsidRPr="00A96245" w:rsidRDefault="000C12BB" w:rsidP="004547D9">
      <w:pPr>
        <w:pStyle w:val="VAFigureCaption"/>
        <w:rPr>
          <w:color w:val="000000" w:themeColor="text1"/>
        </w:rPr>
      </w:pPr>
      <w:r w:rsidRPr="00A96245">
        <w:rPr>
          <w:rFonts w:hint="eastAsia"/>
          <w:b/>
          <w:bCs/>
          <w:color w:val="000000" w:themeColor="text1"/>
        </w:rPr>
        <w:t>F</w:t>
      </w:r>
      <w:r w:rsidRPr="00A96245">
        <w:rPr>
          <w:b/>
          <w:bCs/>
          <w:color w:val="000000" w:themeColor="text1"/>
        </w:rPr>
        <w:t>igure 2</w:t>
      </w:r>
      <w:r w:rsidR="007024C0" w:rsidRPr="00A96245">
        <w:rPr>
          <w:b/>
          <w:bCs/>
          <w:color w:val="000000" w:themeColor="text1"/>
        </w:rPr>
        <w:t>.</w:t>
      </w:r>
      <w:r w:rsidRPr="00A96245">
        <w:rPr>
          <w:b/>
          <w:bCs/>
          <w:color w:val="000000" w:themeColor="text1"/>
        </w:rPr>
        <w:t xml:space="preserve"> </w:t>
      </w:r>
      <w:bookmarkStart w:id="53" w:name="OLE_LINK78"/>
      <w:bookmarkStart w:id="54" w:name="OLE_LINK79"/>
      <w:r w:rsidRPr="00A96245">
        <w:rPr>
          <w:b/>
          <w:bCs/>
          <w:color w:val="000000" w:themeColor="text1"/>
        </w:rPr>
        <w:t>Two-input logic circuits based on a dual-gate AAT.</w:t>
      </w:r>
      <w:r w:rsidRPr="00A96245">
        <w:rPr>
          <w:color w:val="000000" w:themeColor="text1"/>
        </w:rPr>
        <w:t xml:space="preserve"> </w:t>
      </w:r>
      <w:r w:rsidRPr="00A96245">
        <w:rPr>
          <w:b/>
          <w:bCs/>
          <w:color w:val="000000" w:themeColor="text1"/>
        </w:rPr>
        <w:t>a,</w:t>
      </w:r>
      <w:r w:rsidRPr="00A96245">
        <w:rPr>
          <w:color w:val="000000" w:themeColor="text1"/>
        </w:rPr>
        <w:t xml:space="preserve"> Equivalent circuit of the two-input logic circuit. </w:t>
      </w:r>
      <w:r w:rsidRPr="00A96245">
        <w:rPr>
          <w:b/>
          <w:bCs/>
          <w:color w:val="000000" w:themeColor="text1"/>
        </w:rPr>
        <w:t>b-f,</w:t>
      </w:r>
      <w:r w:rsidRPr="00A96245">
        <w:rPr>
          <w:color w:val="000000" w:themeColor="text1"/>
        </w:rPr>
        <w:t xml:space="preserve"> 2D–|</w:t>
      </w:r>
      <w:r w:rsidRPr="00A96245">
        <w:rPr>
          <w:i/>
          <w:iCs/>
          <w:color w:val="000000" w:themeColor="text1"/>
        </w:rPr>
        <w:t>I</w:t>
      </w:r>
      <w:r w:rsidRPr="00A96245">
        <w:rPr>
          <w:color w:val="000000" w:themeColor="text1"/>
          <w:vertAlign w:val="subscript"/>
        </w:rPr>
        <w:t>d</w:t>
      </w:r>
      <w:r w:rsidRPr="00A96245">
        <w:rPr>
          <w:color w:val="000000" w:themeColor="text1"/>
        </w:rPr>
        <w:t xml:space="preserve">| plots as functions of </w:t>
      </w:r>
      <w:proofErr w:type="spellStart"/>
      <w:r w:rsidRPr="00A96245">
        <w:rPr>
          <w:i/>
          <w:iCs/>
          <w:color w:val="000000" w:themeColor="text1"/>
        </w:rPr>
        <w:t>V</w:t>
      </w:r>
      <w:r w:rsidRPr="00A96245">
        <w:rPr>
          <w:color w:val="000000" w:themeColor="text1"/>
          <w:vertAlign w:val="subscript"/>
        </w:rPr>
        <w:t>tg</w:t>
      </w:r>
      <w:proofErr w:type="spellEnd"/>
      <w:r w:rsidRPr="00A96245">
        <w:rPr>
          <w:color w:val="000000" w:themeColor="text1"/>
        </w:rPr>
        <w:t xml:space="preserve"> and </w:t>
      </w:r>
      <w:proofErr w:type="spellStart"/>
      <w:r w:rsidRPr="00A96245">
        <w:rPr>
          <w:i/>
          <w:iCs/>
          <w:color w:val="000000" w:themeColor="text1"/>
        </w:rPr>
        <w:t>V</w:t>
      </w:r>
      <w:r w:rsidRPr="00A96245">
        <w:rPr>
          <w:color w:val="000000" w:themeColor="text1"/>
          <w:vertAlign w:val="subscript"/>
        </w:rPr>
        <w:t>bg</w:t>
      </w:r>
      <w:proofErr w:type="spellEnd"/>
      <w:r w:rsidRPr="00A96245">
        <w:rPr>
          <w:color w:val="000000" w:themeColor="text1"/>
        </w:rPr>
        <w:t xml:space="preserve">, corresponding to the following logic circuits: (b) AND, (c) OR (d) </w:t>
      </w:r>
      <w:r w:rsidR="004130A7" w:rsidRPr="00A96245">
        <w:rPr>
          <w:color w:val="000000" w:themeColor="text1"/>
        </w:rPr>
        <w:t>XOR</w:t>
      </w:r>
      <w:r w:rsidRPr="00A96245">
        <w:rPr>
          <w:color w:val="000000" w:themeColor="text1"/>
        </w:rPr>
        <w:t xml:space="preserve">, (e) </w:t>
      </w:r>
      <w:r w:rsidR="004130A7" w:rsidRPr="00A96245">
        <w:rPr>
          <w:color w:val="000000" w:themeColor="text1"/>
        </w:rPr>
        <w:t>NAND</w:t>
      </w:r>
      <w:r w:rsidRPr="00A96245">
        <w:rPr>
          <w:color w:val="000000" w:themeColor="text1"/>
        </w:rPr>
        <w:t xml:space="preserve"> and (f) </w:t>
      </w:r>
      <w:r w:rsidR="004130A7" w:rsidRPr="00A96245">
        <w:rPr>
          <w:color w:val="000000" w:themeColor="text1"/>
        </w:rPr>
        <w:t>NOR</w:t>
      </w:r>
      <w:r w:rsidRPr="00A96245">
        <w:rPr>
          <w:color w:val="000000" w:themeColor="text1"/>
        </w:rPr>
        <w:t xml:space="preserve"> circuits.</w:t>
      </w:r>
      <w:bookmarkStart w:id="55" w:name="OLE_LINK129"/>
      <w:bookmarkStart w:id="56" w:name="OLE_LINK130"/>
      <w:r w:rsidRPr="00A96245">
        <w:rPr>
          <w:color w:val="000000" w:themeColor="text1"/>
        </w:rPr>
        <w:t xml:space="preserve"> The |</w:t>
      </w:r>
      <w:r w:rsidRPr="00A96245">
        <w:rPr>
          <w:i/>
          <w:iCs/>
          <w:color w:val="000000" w:themeColor="text1"/>
        </w:rPr>
        <w:t>I</w:t>
      </w:r>
      <w:r w:rsidRPr="00A96245">
        <w:rPr>
          <w:color w:val="000000" w:themeColor="text1"/>
          <w:vertAlign w:val="subscript"/>
        </w:rPr>
        <w:t>d</w:t>
      </w:r>
      <w:r w:rsidRPr="00A96245">
        <w:rPr>
          <w:color w:val="000000" w:themeColor="text1"/>
        </w:rPr>
        <w:t xml:space="preserve">| plots were binarized with a threshold of −46 </w:t>
      </w:r>
      <w:proofErr w:type="spellStart"/>
      <w:r w:rsidRPr="00A96245">
        <w:rPr>
          <w:color w:val="000000" w:themeColor="text1"/>
        </w:rPr>
        <w:t>nA</w:t>
      </w:r>
      <w:bookmarkEnd w:id="55"/>
      <w:bookmarkEnd w:id="56"/>
      <w:r w:rsidRPr="00A96245">
        <w:rPr>
          <w:color w:val="000000" w:themeColor="text1"/>
        </w:rPr>
        <w:t>.</w:t>
      </w:r>
      <w:bookmarkEnd w:id="53"/>
      <w:bookmarkEnd w:id="54"/>
      <w:proofErr w:type="spellEnd"/>
    </w:p>
    <w:p w14:paraId="254D915C" w14:textId="77777777" w:rsidR="000C12BB" w:rsidRPr="00805392" w:rsidRDefault="000C12BB" w:rsidP="00D45293">
      <w:pPr>
        <w:widowControl/>
        <w:rPr>
          <w:rFonts w:ascii="Times New Roman" w:hAnsi="Times New Roman" w:cs="Times New Roman"/>
          <w:sz w:val="24"/>
        </w:rPr>
      </w:pPr>
      <w:r w:rsidRPr="00805392">
        <w:rPr>
          <w:rFonts w:ascii="Times New Roman" w:hAnsi="Times New Roman" w:cs="Times New Roman"/>
          <w:sz w:val="24"/>
        </w:rPr>
        <w:br w:type="page"/>
      </w:r>
    </w:p>
    <w:p w14:paraId="2BCE49D2" w14:textId="77777777" w:rsidR="000C12BB" w:rsidRPr="00805392" w:rsidRDefault="000C12BB" w:rsidP="006328CA">
      <w:pPr>
        <w:widowControl/>
        <w:jc w:val="center"/>
        <w:rPr>
          <w:rFonts w:ascii="Times New Roman" w:hAnsi="Times New Roman" w:cs="Times New Roman"/>
          <w:b/>
          <w:bCs/>
          <w:sz w:val="24"/>
        </w:rPr>
      </w:pPr>
      <w:bookmarkStart w:id="57" w:name="OLE_LINK125"/>
      <w:bookmarkStart w:id="58" w:name="OLE_LINK126"/>
      <w:r w:rsidRPr="00805392">
        <w:rPr>
          <w:rFonts w:ascii="Times New Roman" w:hAnsi="Times New Roman" w:cs="Times New Roman" w:hint="eastAsia"/>
          <w:noProof/>
          <w:sz w:val="24"/>
        </w:rPr>
        <w:lastRenderedPageBreak/>
        <w:drawing>
          <wp:inline distT="0" distB="0" distL="0" distR="0" wp14:anchorId="71B7302A" wp14:editId="1BBFAA14">
            <wp:extent cx="5492750" cy="4748530"/>
            <wp:effectExtent l="0" t="0" r="0" b="0"/>
            <wp:docPr id="22299938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2750" cy="4748530"/>
                    </a:xfrm>
                    <a:prstGeom prst="rect">
                      <a:avLst/>
                    </a:prstGeom>
                    <a:noFill/>
                    <a:ln>
                      <a:noFill/>
                    </a:ln>
                  </pic:spPr>
                </pic:pic>
              </a:graphicData>
            </a:graphic>
          </wp:inline>
        </w:drawing>
      </w:r>
    </w:p>
    <w:p w14:paraId="23F2B723" w14:textId="280C4E63" w:rsidR="000C12BB" w:rsidRPr="00767B9C" w:rsidRDefault="000C12BB" w:rsidP="004547D9">
      <w:pPr>
        <w:pStyle w:val="VAFigureCaption"/>
        <w:rPr>
          <w:color w:val="000000" w:themeColor="text1"/>
        </w:rPr>
      </w:pPr>
      <w:r w:rsidRPr="00767B9C">
        <w:rPr>
          <w:rFonts w:hint="eastAsia"/>
          <w:b/>
          <w:bCs/>
          <w:color w:val="000000" w:themeColor="text1"/>
        </w:rPr>
        <w:t>F</w:t>
      </w:r>
      <w:r w:rsidRPr="00767B9C">
        <w:rPr>
          <w:b/>
          <w:bCs/>
          <w:color w:val="000000" w:themeColor="text1"/>
        </w:rPr>
        <w:t>igure 3</w:t>
      </w:r>
      <w:r w:rsidR="007024C0" w:rsidRPr="00767B9C">
        <w:rPr>
          <w:b/>
          <w:bCs/>
          <w:color w:val="000000" w:themeColor="text1"/>
        </w:rPr>
        <w:t>.</w:t>
      </w:r>
      <w:r w:rsidRPr="00767B9C">
        <w:rPr>
          <w:b/>
          <w:bCs/>
          <w:color w:val="000000" w:themeColor="text1"/>
        </w:rPr>
        <w:t xml:space="preserve"> Nonvolatile memory functions induced by ZnPc-PS</w:t>
      </w:r>
      <w:r w:rsidRPr="00767B9C">
        <w:rPr>
          <w:b/>
          <w:bCs/>
          <w:color w:val="000000" w:themeColor="text1"/>
          <w:vertAlign w:val="subscript"/>
        </w:rPr>
        <w:t>4</w:t>
      </w:r>
      <w:r w:rsidRPr="00767B9C">
        <w:rPr>
          <w:b/>
          <w:bCs/>
          <w:color w:val="000000" w:themeColor="text1"/>
        </w:rPr>
        <w:t xml:space="preserve"> layer.</w:t>
      </w:r>
      <w:r w:rsidRPr="00767B9C">
        <w:rPr>
          <w:color w:val="000000" w:themeColor="text1"/>
        </w:rPr>
        <w:t xml:space="preserve"> </w:t>
      </w:r>
      <w:r w:rsidRPr="00767B9C">
        <w:rPr>
          <w:b/>
          <w:bCs/>
          <w:color w:val="000000" w:themeColor="text1"/>
        </w:rPr>
        <w:t>a,</w:t>
      </w:r>
      <w:r w:rsidRPr="00767B9C">
        <w:rPr>
          <w:color w:val="000000" w:themeColor="text1"/>
        </w:rPr>
        <w:t xml:space="preserve"> </w:t>
      </w:r>
      <w:r w:rsidRPr="00767B9C">
        <w:rPr>
          <w:i/>
          <w:iCs/>
          <w:color w:val="000000" w:themeColor="text1"/>
        </w:rPr>
        <w:t>I</w:t>
      </w:r>
      <w:r w:rsidRPr="00767B9C">
        <w:rPr>
          <w:color w:val="000000" w:themeColor="text1"/>
          <w:vertAlign w:val="subscript"/>
        </w:rPr>
        <w:t>d</w:t>
      </w:r>
      <w:r w:rsidRPr="00767B9C">
        <w:rPr>
          <w:color w:val="000000" w:themeColor="text1"/>
        </w:rPr>
        <w:t>–</w:t>
      </w:r>
      <w:proofErr w:type="spellStart"/>
      <w:r w:rsidRPr="00767B9C">
        <w:rPr>
          <w:i/>
          <w:iCs/>
          <w:color w:val="000000" w:themeColor="text1"/>
        </w:rPr>
        <w:t>V</w:t>
      </w:r>
      <w:r w:rsidRPr="00767B9C">
        <w:rPr>
          <w:color w:val="000000" w:themeColor="text1"/>
          <w:vertAlign w:val="subscript"/>
        </w:rPr>
        <w:t>bg</w:t>
      </w:r>
      <w:proofErr w:type="spellEnd"/>
      <w:r w:rsidRPr="00767B9C">
        <w:rPr>
          <w:color w:val="000000" w:themeColor="text1"/>
        </w:rPr>
        <w:t xml:space="preserve"> curves of </w:t>
      </w:r>
      <w:r w:rsidR="001E2AED" w:rsidRPr="00767B9C">
        <w:rPr>
          <w:color w:val="000000" w:themeColor="text1"/>
        </w:rPr>
        <w:t xml:space="preserve">a </w:t>
      </w:r>
      <w:r w:rsidRPr="00767B9C">
        <w:rPr>
          <w:color w:val="000000" w:themeColor="text1"/>
        </w:rPr>
        <w:t xml:space="preserve">dual-gate AAT in the initial state (black line) and after </w:t>
      </w:r>
      <w:bookmarkStart w:id="59" w:name="OLE_LINK127"/>
      <w:bookmarkStart w:id="60" w:name="OLE_LINK128"/>
      <w:r w:rsidRPr="00767B9C">
        <w:rPr>
          <w:color w:val="000000" w:themeColor="text1"/>
        </w:rPr>
        <w:t xml:space="preserve">applying 4-times negative (blue line) and positive (red line)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pulses. The pulse amplitude and the pulse width, respectively, are −15 V and 10 s</w:t>
      </w:r>
      <w:bookmarkEnd w:id="59"/>
      <w:bookmarkEnd w:id="60"/>
      <w:r w:rsidRPr="00767B9C">
        <w:rPr>
          <w:color w:val="000000" w:themeColor="text1"/>
        </w:rPr>
        <w:t xml:space="preserve"> for the negative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 and 15 V and 10 s for the positive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 </w:t>
      </w:r>
      <w:r w:rsidRPr="00767B9C">
        <w:rPr>
          <w:b/>
          <w:bCs/>
          <w:color w:val="000000" w:themeColor="text1"/>
        </w:rPr>
        <w:t>b,</w:t>
      </w:r>
      <w:r w:rsidRPr="00767B9C">
        <w:rPr>
          <w:color w:val="000000" w:themeColor="text1"/>
        </w:rPr>
        <w:t xml:space="preserve"> 2D–|</w:t>
      </w:r>
      <w:r w:rsidRPr="00767B9C">
        <w:rPr>
          <w:i/>
          <w:iCs/>
          <w:color w:val="000000" w:themeColor="text1"/>
        </w:rPr>
        <w:t>I</w:t>
      </w:r>
      <w:r w:rsidRPr="00767B9C">
        <w:rPr>
          <w:color w:val="000000" w:themeColor="text1"/>
          <w:vertAlign w:val="subscript"/>
        </w:rPr>
        <w:t>d</w:t>
      </w:r>
      <w:r w:rsidRPr="00767B9C">
        <w:rPr>
          <w:color w:val="000000" w:themeColor="text1"/>
        </w:rPr>
        <w:t>| plots after applying (</w:t>
      </w:r>
      <w:proofErr w:type="spellStart"/>
      <w:r w:rsidRPr="00767B9C">
        <w:rPr>
          <w:color w:val="000000" w:themeColor="text1"/>
        </w:rPr>
        <w:t>i</w:t>
      </w:r>
      <w:proofErr w:type="spellEnd"/>
      <w:r w:rsidRPr="00767B9C">
        <w:rPr>
          <w:color w:val="000000" w:themeColor="text1"/>
        </w:rPr>
        <w:t xml:space="preserve">) negative and (ii) positive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pulses. The </w:t>
      </w:r>
      <w:proofErr w:type="spellStart"/>
      <w:r w:rsidRPr="00767B9C">
        <w:rPr>
          <w:i/>
          <w:iCs/>
          <w:color w:val="000000" w:themeColor="text1"/>
        </w:rPr>
        <w:t>V</w:t>
      </w:r>
      <w:r w:rsidR="00B77DFB" w:rsidRPr="00767B9C">
        <w:rPr>
          <w:i/>
          <w:iCs/>
          <w:color w:val="000000" w:themeColor="text1"/>
          <w:vertAlign w:val="subscript"/>
        </w:rPr>
        <w:t>d</w:t>
      </w:r>
      <w:proofErr w:type="spellEnd"/>
      <w:r w:rsidRPr="00767B9C">
        <w:rPr>
          <w:color w:val="000000" w:themeColor="text1"/>
        </w:rPr>
        <w:t xml:space="preserve"> was fixed at −1.0 V. The |</w:t>
      </w:r>
      <w:r w:rsidRPr="00767B9C">
        <w:rPr>
          <w:i/>
          <w:iCs/>
          <w:color w:val="000000" w:themeColor="text1"/>
        </w:rPr>
        <w:t>I</w:t>
      </w:r>
      <w:r w:rsidRPr="00767B9C">
        <w:rPr>
          <w:color w:val="000000" w:themeColor="text1"/>
          <w:vertAlign w:val="subscript"/>
        </w:rPr>
        <w:t>d</w:t>
      </w:r>
      <w:r w:rsidRPr="00767B9C">
        <w:rPr>
          <w:color w:val="000000" w:themeColor="text1"/>
        </w:rPr>
        <w:t xml:space="preserve">| plots were binarized with a threshold of 40 </w:t>
      </w:r>
      <w:proofErr w:type="spellStart"/>
      <w:r w:rsidRPr="00767B9C">
        <w:rPr>
          <w:color w:val="000000" w:themeColor="text1"/>
        </w:rPr>
        <w:t>nA.</w:t>
      </w:r>
      <w:proofErr w:type="spellEnd"/>
      <w:r w:rsidRPr="00767B9C">
        <w:rPr>
          <w:color w:val="000000" w:themeColor="text1"/>
        </w:rPr>
        <w:t xml:space="preserve"> </w:t>
      </w:r>
      <w:r w:rsidRPr="00767B9C">
        <w:rPr>
          <w:b/>
          <w:bCs/>
          <w:color w:val="000000" w:themeColor="text1"/>
        </w:rPr>
        <w:t>c,</w:t>
      </w:r>
      <w:r w:rsidRPr="00767B9C">
        <w:rPr>
          <w:color w:val="000000" w:themeColor="text1"/>
        </w:rPr>
        <w:t xml:space="preserve"> Hole-trapping processes with negative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pulses: (</w:t>
      </w:r>
      <w:proofErr w:type="spellStart"/>
      <w:r w:rsidRPr="00767B9C">
        <w:rPr>
          <w:color w:val="000000" w:themeColor="text1"/>
        </w:rPr>
        <w:t>i</w:t>
      </w:r>
      <w:proofErr w:type="spellEnd"/>
      <w:r w:rsidRPr="00767B9C">
        <w:rPr>
          <w:color w:val="000000" w:themeColor="text1"/>
        </w:rPr>
        <w:t xml:space="preserve">) a schematic </w:t>
      </w:r>
      <w:r w:rsidRPr="00767B9C">
        <w:rPr>
          <w:color w:val="000000" w:themeColor="text1"/>
        </w:rPr>
        <w:lastRenderedPageBreak/>
        <w:t>illustration of the energy level alignments for hole-injection from (ii) WSe</w:t>
      </w:r>
      <w:r w:rsidRPr="00767B9C">
        <w:rPr>
          <w:color w:val="000000" w:themeColor="text1"/>
          <w:vertAlign w:val="subscript"/>
        </w:rPr>
        <w:t>2</w:t>
      </w:r>
      <w:r w:rsidRPr="00767B9C">
        <w:rPr>
          <w:color w:val="000000" w:themeColor="text1"/>
        </w:rPr>
        <w:t xml:space="preserve"> and from (iii) ReS</w:t>
      </w:r>
      <w:r w:rsidRPr="00767B9C">
        <w:rPr>
          <w:color w:val="000000" w:themeColor="text1"/>
          <w:vertAlign w:val="subscript"/>
        </w:rPr>
        <w:t>2</w:t>
      </w:r>
      <w:r w:rsidRPr="00767B9C">
        <w:rPr>
          <w:color w:val="000000" w:themeColor="text1"/>
        </w:rPr>
        <w:t xml:space="preserve"> channels into the </w:t>
      </w:r>
      <w:r w:rsidRPr="00767B9C">
        <w:rPr>
          <w:bCs/>
          <w:color w:val="000000" w:themeColor="text1"/>
        </w:rPr>
        <w:t>ZnPc-PS</w:t>
      </w:r>
      <w:r w:rsidRPr="00767B9C">
        <w:rPr>
          <w:bCs/>
          <w:color w:val="000000" w:themeColor="text1"/>
          <w:vertAlign w:val="subscript"/>
        </w:rPr>
        <w:t>4</w:t>
      </w:r>
      <w:r w:rsidRPr="00767B9C">
        <w:rPr>
          <w:color w:val="000000" w:themeColor="text1"/>
        </w:rPr>
        <w:t xml:space="preserve"> layer. </w:t>
      </w:r>
      <w:r w:rsidRPr="00767B9C">
        <w:rPr>
          <w:b/>
          <w:bCs/>
          <w:color w:val="000000" w:themeColor="text1"/>
        </w:rPr>
        <w:t>d,</w:t>
      </w:r>
      <w:r w:rsidRPr="00767B9C">
        <w:rPr>
          <w:color w:val="000000" w:themeColor="text1"/>
        </w:rPr>
        <w:t xml:space="preserve"> Electron-trapping processes with positive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pulses: (</w:t>
      </w:r>
      <w:proofErr w:type="spellStart"/>
      <w:r w:rsidRPr="00767B9C">
        <w:rPr>
          <w:color w:val="000000" w:themeColor="text1"/>
        </w:rPr>
        <w:t>i</w:t>
      </w:r>
      <w:proofErr w:type="spellEnd"/>
      <w:r w:rsidRPr="00767B9C">
        <w:rPr>
          <w:color w:val="000000" w:themeColor="text1"/>
        </w:rPr>
        <w:t>) a schematic illustration of the energy level alignments for electron</w:t>
      </w:r>
      <w:r w:rsidR="001E2AED" w:rsidRPr="00767B9C">
        <w:rPr>
          <w:color w:val="000000" w:themeColor="text1"/>
        </w:rPr>
        <w:t xml:space="preserve"> </w:t>
      </w:r>
      <w:r w:rsidRPr="00767B9C">
        <w:rPr>
          <w:color w:val="000000" w:themeColor="text1"/>
        </w:rPr>
        <w:t>injection from (ii) WSe</w:t>
      </w:r>
      <w:r w:rsidRPr="00767B9C">
        <w:rPr>
          <w:color w:val="000000" w:themeColor="text1"/>
          <w:vertAlign w:val="subscript"/>
        </w:rPr>
        <w:t>2</w:t>
      </w:r>
      <w:r w:rsidRPr="00767B9C">
        <w:rPr>
          <w:color w:val="000000" w:themeColor="text1"/>
        </w:rPr>
        <w:t xml:space="preserve"> and from (iii) ReS</w:t>
      </w:r>
      <w:r w:rsidRPr="00767B9C">
        <w:rPr>
          <w:color w:val="000000" w:themeColor="text1"/>
          <w:vertAlign w:val="subscript"/>
        </w:rPr>
        <w:t>2</w:t>
      </w:r>
      <w:r w:rsidRPr="00767B9C">
        <w:rPr>
          <w:color w:val="000000" w:themeColor="text1"/>
        </w:rPr>
        <w:t xml:space="preserve"> channels into the </w:t>
      </w:r>
      <w:r w:rsidRPr="00767B9C">
        <w:rPr>
          <w:bCs/>
          <w:color w:val="000000" w:themeColor="text1"/>
        </w:rPr>
        <w:t>ZnPc-PS</w:t>
      </w:r>
      <w:r w:rsidRPr="00767B9C">
        <w:rPr>
          <w:bCs/>
          <w:color w:val="000000" w:themeColor="text1"/>
          <w:vertAlign w:val="subscript"/>
        </w:rPr>
        <w:t>4</w:t>
      </w:r>
      <w:r w:rsidRPr="00767B9C">
        <w:rPr>
          <w:color w:val="000000" w:themeColor="text1"/>
        </w:rPr>
        <w:t xml:space="preserve"> layer.</w:t>
      </w:r>
    </w:p>
    <w:p w14:paraId="316875E2" w14:textId="77777777" w:rsidR="000C12BB" w:rsidRPr="00767B9C" w:rsidRDefault="000C12BB" w:rsidP="00D45293">
      <w:pPr>
        <w:widowControl/>
        <w:rPr>
          <w:rFonts w:ascii="Times New Roman" w:hAnsi="Times New Roman" w:cs="Times New Roman"/>
          <w:color w:val="000000" w:themeColor="text1"/>
          <w:sz w:val="24"/>
        </w:rPr>
      </w:pPr>
    </w:p>
    <w:p w14:paraId="0F7F3379" w14:textId="77777777" w:rsidR="000C12BB" w:rsidRPr="00767B9C" w:rsidRDefault="000C12BB" w:rsidP="00D45293">
      <w:pPr>
        <w:widowControl/>
        <w:rPr>
          <w:rFonts w:ascii="Times New Roman" w:hAnsi="Times New Roman" w:cs="Times New Roman"/>
          <w:color w:val="000000" w:themeColor="text1"/>
          <w:sz w:val="24"/>
        </w:rPr>
      </w:pPr>
    </w:p>
    <w:p w14:paraId="1DE670AA" w14:textId="77777777" w:rsidR="000C12BB" w:rsidRPr="00805392" w:rsidRDefault="000C12BB" w:rsidP="00690124">
      <w:pPr>
        <w:pStyle w:val="TFReferencesSection"/>
        <w:spacing w:after="0" w:line="240" w:lineRule="auto"/>
        <w:ind w:firstLine="0"/>
        <w:jc w:val="center"/>
        <w:rPr>
          <w:rFonts w:ascii="Times New Roman" w:hAnsi="Times New Roman"/>
          <w:b/>
          <w:bCs/>
        </w:rPr>
      </w:pPr>
      <w:bookmarkStart w:id="61" w:name="_Hlk151364716"/>
      <w:r w:rsidRPr="00805392">
        <w:rPr>
          <w:rFonts w:ascii="Times New Roman" w:hAnsi="Times New Roman" w:hint="eastAsia"/>
          <w:noProof/>
        </w:rPr>
        <w:drawing>
          <wp:inline distT="0" distB="0" distL="0" distR="0" wp14:anchorId="22EC8D9F" wp14:editId="3952E471">
            <wp:extent cx="5335905" cy="4406265"/>
            <wp:effectExtent l="0" t="0" r="0" b="0"/>
            <wp:docPr id="141895359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5905" cy="4406265"/>
                    </a:xfrm>
                    <a:prstGeom prst="rect">
                      <a:avLst/>
                    </a:prstGeom>
                    <a:noFill/>
                    <a:ln>
                      <a:noFill/>
                    </a:ln>
                  </pic:spPr>
                </pic:pic>
              </a:graphicData>
            </a:graphic>
          </wp:inline>
        </w:drawing>
      </w:r>
    </w:p>
    <w:p w14:paraId="2C7CFD14" w14:textId="4F12DA2F" w:rsidR="000C12BB" w:rsidRPr="00767B9C" w:rsidRDefault="000C12BB" w:rsidP="004547D9">
      <w:pPr>
        <w:pStyle w:val="VAFigureCaption"/>
        <w:rPr>
          <w:color w:val="000000" w:themeColor="text1"/>
          <w:lang w:eastAsia="ja-JP"/>
        </w:rPr>
      </w:pPr>
      <w:r w:rsidRPr="00767B9C">
        <w:rPr>
          <w:rFonts w:hint="eastAsia"/>
          <w:b/>
          <w:bCs/>
          <w:color w:val="000000" w:themeColor="text1"/>
        </w:rPr>
        <w:t>F</w:t>
      </w:r>
      <w:r w:rsidRPr="00767B9C">
        <w:rPr>
          <w:b/>
          <w:bCs/>
          <w:color w:val="000000" w:themeColor="text1"/>
        </w:rPr>
        <w:t>igure 4</w:t>
      </w:r>
      <w:r w:rsidR="007024C0" w:rsidRPr="00767B9C">
        <w:rPr>
          <w:b/>
          <w:bCs/>
          <w:color w:val="000000" w:themeColor="text1"/>
        </w:rPr>
        <w:t>.</w:t>
      </w:r>
      <w:r w:rsidRPr="00767B9C">
        <w:rPr>
          <w:b/>
          <w:bCs/>
          <w:color w:val="000000" w:themeColor="text1"/>
        </w:rPr>
        <w:t xml:space="preserve"> </w:t>
      </w:r>
      <w:bookmarkStart w:id="62" w:name="OLE_LINK80"/>
      <w:bookmarkStart w:id="63" w:name="OLE_LINK81"/>
      <w:r w:rsidRPr="00767B9C">
        <w:rPr>
          <w:b/>
          <w:bCs/>
          <w:color w:val="000000" w:themeColor="text1"/>
        </w:rPr>
        <w:t xml:space="preserve">Reconfigurable two-input logic circuits. a, </w:t>
      </w:r>
      <w:r w:rsidRPr="00767B9C">
        <w:rPr>
          <w:color w:val="000000" w:themeColor="text1"/>
        </w:rPr>
        <w:t>Electrical switching between (</w:t>
      </w:r>
      <w:proofErr w:type="spellStart"/>
      <w:r w:rsidRPr="00767B9C">
        <w:rPr>
          <w:color w:val="000000" w:themeColor="text1"/>
        </w:rPr>
        <w:t>i</w:t>
      </w:r>
      <w:proofErr w:type="spellEnd"/>
      <w:r w:rsidRPr="00767B9C">
        <w:rPr>
          <w:color w:val="000000" w:themeColor="text1"/>
        </w:rPr>
        <w:t>) AND (ii) OR circuits induced by the carrier trapping effect in a dual-gate AAT. The 2D–|</w:t>
      </w:r>
      <w:r w:rsidRPr="00767B9C">
        <w:rPr>
          <w:i/>
          <w:iCs/>
          <w:color w:val="000000" w:themeColor="text1"/>
        </w:rPr>
        <w:t>I</w:t>
      </w:r>
      <w:r w:rsidRPr="00767B9C">
        <w:rPr>
          <w:color w:val="000000" w:themeColor="text1"/>
          <w:vertAlign w:val="subscript"/>
        </w:rPr>
        <w:t>d</w:t>
      </w:r>
      <w:r w:rsidRPr="00767B9C">
        <w:rPr>
          <w:color w:val="000000" w:themeColor="text1"/>
        </w:rPr>
        <w:t xml:space="preserve">| plots were </w:t>
      </w:r>
      <w:r w:rsidRPr="00767B9C">
        <w:rPr>
          <w:color w:val="000000" w:themeColor="text1"/>
        </w:rPr>
        <w:lastRenderedPageBreak/>
        <w:t xml:space="preserve">binarized with a threshold of 2.5 </w:t>
      </w:r>
      <w:proofErr w:type="spellStart"/>
      <w:r w:rsidRPr="00767B9C">
        <w:rPr>
          <w:color w:val="000000" w:themeColor="text1"/>
        </w:rPr>
        <w:t>nA.</w:t>
      </w:r>
      <w:proofErr w:type="spellEnd"/>
      <w:r w:rsidRPr="00767B9C">
        <w:rPr>
          <w:color w:val="000000" w:themeColor="text1"/>
        </w:rPr>
        <w:t xml:space="preserve"> </w:t>
      </w:r>
      <w:r w:rsidRPr="00767B9C">
        <w:rPr>
          <w:b/>
          <w:bCs/>
          <w:color w:val="000000" w:themeColor="text1"/>
        </w:rPr>
        <w:t>b,</w:t>
      </w:r>
      <w:r w:rsidR="001E2AED" w:rsidRPr="00767B9C">
        <w:rPr>
          <w:b/>
          <w:bCs/>
          <w:color w:val="000000" w:themeColor="text1"/>
        </w:rPr>
        <w:t xml:space="preserve"> </w:t>
      </w:r>
      <w:r w:rsidRPr="00767B9C">
        <w:rPr>
          <w:b/>
          <w:bCs/>
          <w:color w:val="000000" w:themeColor="text1"/>
        </w:rPr>
        <w:t xml:space="preserve">c, </w:t>
      </w:r>
      <w:r w:rsidRPr="00767B9C">
        <w:rPr>
          <w:color w:val="000000" w:themeColor="text1"/>
        </w:rPr>
        <w:t xml:space="preserve">Logic operations of (b) AND (c) OR circuits. </w:t>
      </w:r>
      <w:r w:rsidRPr="00767B9C">
        <w:rPr>
          <w:color w:val="000000" w:themeColor="text1"/>
          <w:lang w:eastAsia="ja-JP"/>
        </w:rPr>
        <w:t xml:space="preserve">The output signal, “1” or “0”, is defined by an </w:t>
      </w:r>
      <w:r w:rsidRPr="00767B9C">
        <w:rPr>
          <w:color w:val="000000" w:themeColor="text1"/>
        </w:rPr>
        <w:t>|</w:t>
      </w:r>
      <w:r w:rsidRPr="00767B9C">
        <w:rPr>
          <w:i/>
          <w:iCs/>
          <w:color w:val="000000" w:themeColor="text1"/>
        </w:rPr>
        <w:t>I</w:t>
      </w:r>
      <w:r w:rsidRPr="00767B9C">
        <w:rPr>
          <w:color w:val="000000" w:themeColor="text1"/>
          <w:vertAlign w:val="subscript"/>
        </w:rPr>
        <w:t>d</w:t>
      </w:r>
      <w:r w:rsidRPr="00767B9C">
        <w:rPr>
          <w:color w:val="000000" w:themeColor="text1"/>
        </w:rPr>
        <w:t xml:space="preserve">| </w:t>
      </w:r>
      <w:r w:rsidRPr="00767B9C">
        <w:rPr>
          <w:color w:val="000000" w:themeColor="text1"/>
          <w:lang w:eastAsia="ja-JP"/>
        </w:rPr>
        <w:t xml:space="preserve">of below or above </w:t>
      </w:r>
      <w:r w:rsidRPr="00767B9C">
        <w:rPr>
          <w:color w:val="000000" w:themeColor="text1"/>
        </w:rPr>
        <w:t>2.5</w:t>
      </w:r>
      <w:r w:rsidRPr="00767B9C">
        <w:rPr>
          <w:color w:val="000000" w:themeColor="text1"/>
          <w:lang w:eastAsia="ja-JP"/>
        </w:rPr>
        <w:t> </w:t>
      </w:r>
      <w:proofErr w:type="spellStart"/>
      <w:r w:rsidRPr="00767B9C">
        <w:rPr>
          <w:color w:val="000000" w:themeColor="text1"/>
          <w:lang w:eastAsia="ja-JP"/>
        </w:rPr>
        <w:t>nA</w:t>
      </w:r>
      <w:proofErr w:type="spellEnd"/>
      <w:r w:rsidR="001E2AED" w:rsidRPr="00767B9C">
        <w:rPr>
          <w:color w:val="000000" w:themeColor="text1"/>
          <w:lang w:eastAsia="ja-JP"/>
        </w:rPr>
        <w:t>, respectively</w:t>
      </w:r>
      <w:r w:rsidRPr="00767B9C">
        <w:rPr>
          <w:color w:val="000000" w:themeColor="text1"/>
          <w:lang w:eastAsia="ja-JP"/>
        </w:rPr>
        <w:t>.</w:t>
      </w:r>
    </w:p>
    <w:bookmarkEnd w:id="61"/>
    <w:bookmarkEnd w:id="62"/>
    <w:bookmarkEnd w:id="63"/>
    <w:p w14:paraId="5205C181" w14:textId="77777777" w:rsidR="000C12BB" w:rsidRPr="00805392" w:rsidRDefault="000C12BB" w:rsidP="00D45293">
      <w:pPr>
        <w:widowControl/>
        <w:rPr>
          <w:rFonts w:ascii="Times New Roman" w:hAnsi="Times New Roman" w:cs="Times New Roman"/>
          <w:sz w:val="24"/>
        </w:rPr>
      </w:pPr>
      <w:r w:rsidRPr="00805392">
        <w:rPr>
          <w:rFonts w:ascii="Times New Roman" w:hAnsi="Times New Roman" w:cs="Times New Roman"/>
          <w:sz w:val="24"/>
        </w:rPr>
        <w:br w:type="page"/>
      </w:r>
    </w:p>
    <w:p w14:paraId="41DD5884" w14:textId="77777777" w:rsidR="000C12BB" w:rsidRPr="00805392" w:rsidRDefault="000C12BB" w:rsidP="004D3576">
      <w:pPr>
        <w:jc w:val="center"/>
        <w:rPr>
          <w:rFonts w:ascii="Times New Roman" w:hAnsi="Times New Roman" w:cs="Times New Roman"/>
          <w:sz w:val="24"/>
        </w:rPr>
      </w:pPr>
      <w:r w:rsidRPr="00805392">
        <w:rPr>
          <w:rFonts w:hint="eastAsia"/>
          <w:noProof/>
        </w:rPr>
        <w:lastRenderedPageBreak/>
        <w:drawing>
          <wp:inline distT="0" distB="0" distL="0" distR="0" wp14:anchorId="26BFCFC1" wp14:editId="2791F6A2">
            <wp:extent cx="5759450" cy="4147185"/>
            <wp:effectExtent l="0" t="0" r="0" b="0"/>
            <wp:docPr id="9395164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4147185"/>
                    </a:xfrm>
                    <a:prstGeom prst="rect">
                      <a:avLst/>
                    </a:prstGeom>
                    <a:noFill/>
                    <a:ln>
                      <a:noFill/>
                    </a:ln>
                  </pic:spPr>
                </pic:pic>
              </a:graphicData>
            </a:graphic>
          </wp:inline>
        </w:drawing>
      </w:r>
    </w:p>
    <w:p w14:paraId="639993F2" w14:textId="2D082887" w:rsidR="000C12BB" w:rsidRPr="00767B9C" w:rsidRDefault="000C12BB" w:rsidP="004547D9">
      <w:pPr>
        <w:pStyle w:val="VAFigureCaption"/>
        <w:rPr>
          <w:color w:val="000000" w:themeColor="text1"/>
        </w:rPr>
      </w:pPr>
      <w:r w:rsidRPr="00767B9C">
        <w:rPr>
          <w:rFonts w:hint="eastAsia"/>
          <w:b/>
          <w:bCs/>
          <w:color w:val="000000" w:themeColor="text1"/>
        </w:rPr>
        <w:t>F</w:t>
      </w:r>
      <w:r w:rsidRPr="00767B9C">
        <w:rPr>
          <w:b/>
          <w:bCs/>
          <w:color w:val="000000" w:themeColor="text1"/>
        </w:rPr>
        <w:t>igure 5</w:t>
      </w:r>
      <w:r w:rsidR="007024C0" w:rsidRPr="00767B9C">
        <w:rPr>
          <w:b/>
          <w:bCs/>
          <w:color w:val="000000" w:themeColor="text1"/>
        </w:rPr>
        <w:t>.</w:t>
      </w:r>
      <w:r w:rsidRPr="00767B9C">
        <w:rPr>
          <w:b/>
          <w:bCs/>
          <w:color w:val="000000" w:themeColor="text1"/>
        </w:rPr>
        <w:t xml:space="preserve"> Inhibitory and excitatory synaptic operations.</w:t>
      </w:r>
      <w:r w:rsidRPr="00767B9C">
        <w:rPr>
          <w:color w:val="000000" w:themeColor="text1"/>
        </w:rPr>
        <w:t xml:space="preserve"> </w:t>
      </w:r>
      <w:r w:rsidRPr="00767B9C">
        <w:rPr>
          <w:b/>
          <w:bCs/>
          <w:color w:val="000000" w:themeColor="text1"/>
        </w:rPr>
        <w:t>a,</w:t>
      </w:r>
      <w:r w:rsidRPr="00767B9C">
        <w:rPr>
          <w:color w:val="000000" w:themeColor="text1"/>
        </w:rPr>
        <w:t xml:space="preserve"> </w:t>
      </w:r>
      <w:r w:rsidRPr="00767B9C">
        <w:rPr>
          <w:i/>
          <w:iCs/>
          <w:color w:val="000000" w:themeColor="text1"/>
        </w:rPr>
        <w:t>I</w:t>
      </w:r>
      <w:r w:rsidRPr="00767B9C">
        <w:rPr>
          <w:color w:val="000000" w:themeColor="text1"/>
          <w:vertAlign w:val="subscript"/>
        </w:rPr>
        <w:t>d</w:t>
      </w:r>
      <w:r w:rsidRPr="00767B9C">
        <w:rPr>
          <w:rFonts w:eastAsia="游明朝"/>
          <w:color w:val="000000" w:themeColor="text1"/>
        </w:rPr>
        <w:t>−</w:t>
      </w:r>
      <w:proofErr w:type="spellStart"/>
      <w:r w:rsidRPr="00767B9C">
        <w:rPr>
          <w:i/>
          <w:iCs/>
          <w:color w:val="000000" w:themeColor="text1"/>
        </w:rPr>
        <w:t>V</w:t>
      </w:r>
      <w:r w:rsidRPr="00767B9C">
        <w:rPr>
          <w:color w:val="000000" w:themeColor="text1"/>
          <w:vertAlign w:val="subscript"/>
        </w:rPr>
        <w:t>tg</w:t>
      </w:r>
      <w:proofErr w:type="spellEnd"/>
      <w:r w:rsidRPr="00767B9C">
        <w:rPr>
          <w:rFonts w:eastAsia="游明朝"/>
          <w:color w:val="000000" w:themeColor="text1"/>
        </w:rPr>
        <w:t xml:space="preserve"> </w:t>
      </w:r>
      <w:r w:rsidRPr="00767B9C">
        <w:rPr>
          <w:color w:val="000000" w:themeColor="text1"/>
        </w:rPr>
        <w:t xml:space="preserve">curves after 10-times </w:t>
      </w:r>
      <w:r w:rsidRPr="00767B9C">
        <w:rPr>
          <w:rFonts w:hint="eastAsia"/>
          <w:color w:val="000000" w:themeColor="text1"/>
        </w:rPr>
        <w:t>n</w:t>
      </w:r>
      <w:r w:rsidRPr="00767B9C">
        <w:rPr>
          <w:color w:val="000000" w:themeColor="text1"/>
        </w:rPr>
        <w:t>egative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 −16 V, </w:t>
      </w:r>
      <w:proofErr w:type="spellStart"/>
      <w:r w:rsidRPr="00767B9C">
        <w:rPr>
          <w:i/>
          <w:iCs/>
          <w:color w:val="000000" w:themeColor="text1"/>
        </w:rPr>
        <w:t>P</w:t>
      </w:r>
      <w:r w:rsidRPr="00767B9C">
        <w:rPr>
          <w:color w:val="000000" w:themeColor="text1"/>
          <w:vertAlign w:val="subscript"/>
        </w:rPr>
        <w:t>width</w:t>
      </w:r>
      <w:proofErr w:type="spellEnd"/>
      <w:r w:rsidRPr="00767B9C">
        <w:rPr>
          <w:color w:val="000000" w:themeColor="text1"/>
        </w:rPr>
        <w:t xml:space="preserve"> = 10 s, blue line) and positive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 15 V, </w:t>
      </w:r>
      <w:proofErr w:type="spellStart"/>
      <w:r w:rsidRPr="00767B9C">
        <w:rPr>
          <w:i/>
          <w:iCs/>
          <w:color w:val="000000" w:themeColor="text1"/>
        </w:rPr>
        <w:t>P</w:t>
      </w:r>
      <w:r w:rsidRPr="00767B9C">
        <w:rPr>
          <w:color w:val="000000" w:themeColor="text1"/>
          <w:vertAlign w:val="subscript"/>
        </w:rPr>
        <w:t>width</w:t>
      </w:r>
      <w:proofErr w:type="spellEnd"/>
      <w:r w:rsidRPr="00767B9C">
        <w:rPr>
          <w:color w:val="000000" w:themeColor="text1"/>
        </w:rPr>
        <w:t xml:space="preserve"> =10 s, red line) </w:t>
      </w:r>
      <w:proofErr w:type="spellStart"/>
      <w:r w:rsidRPr="00767B9C">
        <w:rPr>
          <w:i/>
          <w:color w:val="000000" w:themeColor="text1"/>
        </w:rPr>
        <w:t>V</w:t>
      </w:r>
      <w:r w:rsidRPr="00767B9C">
        <w:rPr>
          <w:color w:val="000000" w:themeColor="text1"/>
          <w:vertAlign w:val="subscript"/>
        </w:rPr>
        <w:t>tg</w:t>
      </w:r>
      <w:proofErr w:type="spellEnd"/>
      <w:r w:rsidRPr="00767B9C">
        <w:rPr>
          <w:color w:val="000000" w:themeColor="text1"/>
        </w:rPr>
        <w:t xml:space="preserve"> pulses, where </w:t>
      </w:r>
      <w:proofErr w:type="spellStart"/>
      <w:r w:rsidRPr="00767B9C">
        <w:rPr>
          <w:i/>
          <w:iCs/>
          <w:color w:val="000000" w:themeColor="text1"/>
        </w:rPr>
        <w:t>V</w:t>
      </w:r>
      <w:r w:rsidRPr="00767B9C">
        <w:rPr>
          <w:color w:val="000000" w:themeColor="text1"/>
          <w:vertAlign w:val="subscript"/>
        </w:rPr>
        <w:t>bg</w:t>
      </w:r>
      <w:proofErr w:type="spellEnd"/>
      <w:r w:rsidRPr="00767B9C">
        <w:rPr>
          <w:color w:val="000000" w:themeColor="text1"/>
        </w:rPr>
        <w:t xml:space="preserve"> and </w:t>
      </w:r>
      <w:proofErr w:type="spellStart"/>
      <w:r w:rsidRPr="00767B9C">
        <w:rPr>
          <w:i/>
          <w:iCs/>
          <w:color w:val="000000" w:themeColor="text1"/>
        </w:rPr>
        <w:t>V</w:t>
      </w:r>
      <w:r w:rsidRPr="00767B9C">
        <w:rPr>
          <w:color w:val="000000" w:themeColor="text1"/>
          <w:vertAlign w:val="subscript"/>
        </w:rPr>
        <w:t>d</w:t>
      </w:r>
      <w:proofErr w:type="spellEnd"/>
      <w:r w:rsidRPr="00767B9C">
        <w:rPr>
          <w:color w:val="000000" w:themeColor="text1"/>
        </w:rPr>
        <w:t xml:space="preserve"> are fixed at </w:t>
      </w:r>
      <w:r w:rsidRPr="00767B9C">
        <w:rPr>
          <w:rFonts w:eastAsia="游明朝"/>
          <w:color w:val="000000" w:themeColor="text1"/>
        </w:rPr>
        <w:t>−10</w:t>
      </w:r>
      <w:r w:rsidRPr="00767B9C">
        <w:rPr>
          <w:color w:val="000000" w:themeColor="text1"/>
        </w:rPr>
        <w:t xml:space="preserve"> and </w:t>
      </w:r>
      <w:r w:rsidRPr="00767B9C">
        <w:rPr>
          <w:rFonts w:eastAsia="游明朝"/>
          <w:color w:val="000000" w:themeColor="text1"/>
        </w:rPr>
        <w:t>−</w:t>
      </w:r>
      <w:r w:rsidRPr="00767B9C">
        <w:rPr>
          <w:color w:val="000000" w:themeColor="text1"/>
        </w:rPr>
        <w:t xml:space="preserve">0.5 V, respectively. </w:t>
      </w:r>
      <w:r w:rsidRPr="00767B9C">
        <w:rPr>
          <w:b/>
          <w:bCs/>
          <w:color w:val="000000" w:themeColor="text1"/>
        </w:rPr>
        <w:t>b, c,</w:t>
      </w:r>
      <w:r w:rsidRPr="00767B9C">
        <w:rPr>
          <w:color w:val="000000" w:themeColor="text1"/>
        </w:rPr>
        <w:t xml:space="preserve"> Inhibitory synaptic operation with positive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pulses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 15 V and </w:t>
      </w:r>
      <w:proofErr w:type="spellStart"/>
      <w:r w:rsidRPr="00767B9C">
        <w:rPr>
          <w:i/>
          <w:iCs/>
          <w:color w:val="000000" w:themeColor="text1"/>
        </w:rPr>
        <w:t>P</w:t>
      </w:r>
      <w:r w:rsidRPr="00767B9C">
        <w:rPr>
          <w:color w:val="000000" w:themeColor="text1"/>
          <w:vertAlign w:val="subscript"/>
        </w:rPr>
        <w:t>width</w:t>
      </w:r>
      <w:proofErr w:type="spellEnd"/>
      <w:r w:rsidRPr="00767B9C">
        <w:rPr>
          <w:color w:val="000000" w:themeColor="text1"/>
        </w:rPr>
        <w:t xml:space="preserve"> = 50 </w:t>
      </w:r>
      <w:proofErr w:type="spellStart"/>
      <w:r w:rsidRPr="00767B9C">
        <w:rPr>
          <w:color w:val="000000" w:themeColor="text1"/>
        </w:rPr>
        <w:t>ms</w:t>
      </w:r>
      <w:proofErr w:type="spellEnd"/>
      <w:r w:rsidRPr="00767B9C">
        <w:rPr>
          <w:color w:val="000000" w:themeColor="text1"/>
        </w:rPr>
        <w:t xml:space="preserve">) and excitatory synaptic operations with a negative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 −15 V and </w:t>
      </w:r>
      <w:proofErr w:type="spellStart"/>
      <w:r w:rsidRPr="00767B9C">
        <w:rPr>
          <w:i/>
          <w:iCs/>
          <w:color w:val="000000" w:themeColor="text1"/>
        </w:rPr>
        <w:t>P</w:t>
      </w:r>
      <w:r w:rsidRPr="00767B9C">
        <w:rPr>
          <w:color w:val="000000" w:themeColor="text1"/>
          <w:vertAlign w:val="subscript"/>
        </w:rPr>
        <w:t>width</w:t>
      </w:r>
      <w:proofErr w:type="spellEnd"/>
      <w:r w:rsidRPr="00767B9C">
        <w:rPr>
          <w:color w:val="000000" w:themeColor="text1"/>
        </w:rPr>
        <w:t xml:space="preserve"> = 50 </w:t>
      </w:r>
      <w:proofErr w:type="spellStart"/>
      <w:r w:rsidRPr="00767B9C">
        <w:rPr>
          <w:color w:val="000000" w:themeColor="text1"/>
        </w:rPr>
        <w:t>ms</w:t>
      </w:r>
      <w:proofErr w:type="spellEnd"/>
      <w:r w:rsidRPr="00767B9C">
        <w:rPr>
          <w:color w:val="000000" w:themeColor="text1"/>
        </w:rPr>
        <w:t>) were realized. The readout voltage (</w:t>
      </w:r>
      <w:proofErr w:type="spellStart"/>
      <w:r w:rsidRPr="00767B9C">
        <w:rPr>
          <w:i/>
          <w:iCs/>
          <w:color w:val="000000" w:themeColor="text1"/>
        </w:rPr>
        <w:t>V</w:t>
      </w:r>
      <w:r w:rsidRPr="00767B9C">
        <w:rPr>
          <w:color w:val="000000" w:themeColor="text1"/>
          <w:vertAlign w:val="subscript"/>
        </w:rPr>
        <w:t>read</w:t>
      </w:r>
      <w:proofErr w:type="spellEnd"/>
      <w:r w:rsidRPr="00767B9C">
        <w:rPr>
          <w:color w:val="000000" w:themeColor="text1"/>
        </w:rPr>
        <w:t xml:space="preserve">) was set at −4.0 V for these measurements. </w:t>
      </w:r>
      <w:r w:rsidRPr="00767B9C">
        <w:rPr>
          <w:b/>
          <w:bCs/>
          <w:color w:val="000000" w:themeColor="text1"/>
        </w:rPr>
        <w:t>d,</w:t>
      </w:r>
      <w:r w:rsidRPr="00767B9C">
        <w:rPr>
          <w:i/>
          <w:iCs/>
          <w:color w:val="000000" w:themeColor="text1"/>
        </w:rPr>
        <w:t xml:space="preserve"> I</w:t>
      </w:r>
      <w:r w:rsidRPr="00767B9C">
        <w:rPr>
          <w:color w:val="000000" w:themeColor="text1"/>
          <w:vertAlign w:val="subscript"/>
        </w:rPr>
        <w:t>d</w:t>
      </w:r>
      <w:r w:rsidRPr="00767B9C">
        <w:rPr>
          <w:rFonts w:eastAsia="游明朝"/>
          <w:color w:val="000000" w:themeColor="text1"/>
        </w:rPr>
        <w:t>−</w:t>
      </w:r>
      <w:proofErr w:type="spellStart"/>
      <w:r w:rsidRPr="00767B9C">
        <w:rPr>
          <w:i/>
          <w:iCs/>
          <w:color w:val="000000" w:themeColor="text1"/>
        </w:rPr>
        <w:t>V</w:t>
      </w:r>
      <w:r w:rsidRPr="00767B9C">
        <w:rPr>
          <w:color w:val="000000" w:themeColor="text1"/>
          <w:vertAlign w:val="subscript"/>
        </w:rPr>
        <w:t>tg</w:t>
      </w:r>
      <w:proofErr w:type="spellEnd"/>
      <w:r w:rsidRPr="00767B9C">
        <w:rPr>
          <w:rFonts w:eastAsia="游明朝"/>
          <w:color w:val="000000" w:themeColor="text1"/>
        </w:rPr>
        <w:t xml:space="preserve"> </w:t>
      </w:r>
      <w:r w:rsidRPr="00767B9C">
        <w:rPr>
          <w:color w:val="000000" w:themeColor="text1"/>
        </w:rPr>
        <w:t>curves duplicated from (a). The readout voltage (</w:t>
      </w:r>
      <w:proofErr w:type="spellStart"/>
      <w:r w:rsidRPr="00767B9C">
        <w:rPr>
          <w:i/>
          <w:iCs/>
          <w:color w:val="000000" w:themeColor="text1"/>
        </w:rPr>
        <w:t>V</w:t>
      </w:r>
      <w:r w:rsidRPr="00767B9C">
        <w:rPr>
          <w:color w:val="000000" w:themeColor="text1"/>
          <w:vertAlign w:val="subscript"/>
        </w:rPr>
        <w:t>read</w:t>
      </w:r>
      <w:proofErr w:type="spellEnd"/>
      <w:r w:rsidRPr="00767B9C">
        <w:rPr>
          <w:color w:val="000000" w:themeColor="text1"/>
        </w:rPr>
        <w:t xml:space="preserve">) was changed to 1.5 V. </w:t>
      </w:r>
      <w:r w:rsidRPr="00767B9C">
        <w:rPr>
          <w:b/>
          <w:bCs/>
          <w:color w:val="000000" w:themeColor="text1"/>
        </w:rPr>
        <w:t>e, f,</w:t>
      </w:r>
      <w:r w:rsidRPr="00767B9C">
        <w:rPr>
          <w:color w:val="000000" w:themeColor="text1"/>
        </w:rPr>
        <w:t xml:space="preserve"> Excitatory and inhibitory synaptic operations were observed, although the </w:t>
      </w:r>
      <w:r w:rsidRPr="00767B9C">
        <w:rPr>
          <w:color w:val="000000" w:themeColor="text1"/>
        </w:rPr>
        <w:lastRenderedPageBreak/>
        <w:t xml:space="preserve">applied voltages were the same as those in (b) and (c). </w:t>
      </w:r>
      <w:r w:rsidRPr="00767B9C">
        <w:rPr>
          <w:b/>
          <w:bCs/>
          <w:color w:val="000000" w:themeColor="text1"/>
        </w:rPr>
        <w:t>g,</w:t>
      </w:r>
      <w:r w:rsidRPr="00767B9C">
        <w:rPr>
          <w:i/>
          <w:iCs/>
          <w:color w:val="000000" w:themeColor="text1"/>
        </w:rPr>
        <w:t xml:space="preserve"> I</w:t>
      </w:r>
      <w:r w:rsidRPr="00767B9C">
        <w:rPr>
          <w:color w:val="000000" w:themeColor="text1"/>
          <w:vertAlign w:val="subscript"/>
        </w:rPr>
        <w:t>d</w:t>
      </w:r>
      <w:r w:rsidRPr="00767B9C">
        <w:rPr>
          <w:rFonts w:eastAsia="游明朝"/>
          <w:color w:val="000000" w:themeColor="text1"/>
        </w:rPr>
        <w:t>−</w:t>
      </w:r>
      <w:proofErr w:type="spellStart"/>
      <w:r w:rsidRPr="00767B9C">
        <w:rPr>
          <w:i/>
          <w:iCs/>
          <w:color w:val="000000" w:themeColor="text1"/>
        </w:rPr>
        <w:t>V</w:t>
      </w:r>
      <w:r w:rsidRPr="00767B9C">
        <w:rPr>
          <w:color w:val="000000" w:themeColor="text1"/>
          <w:vertAlign w:val="subscript"/>
        </w:rPr>
        <w:t>tg</w:t>
      </w:r>
      <w:proofErr w:type="spellEnd"/>
      <w:r w:rsidRPr="00767B9C">
        <w:rPr>
          <w:rFonts w:eastAsia="游明朝"/>
          <w:color w:val="000000" w:themeColor="text1"/>
        </w:rPr>
        <w:t xml:space="preserve"> </w:t>
      </w:r>
      <w:r w:rsidRPr="00767B9C">
        <w:rPr>
          <w:color w:val="000000" w:themeColor="text1"/>
        </w:rPr>
        <w:t>curves duplicated from (a). The readout voltage (</w:t>
      </w:r>
      <w:proofErr w:type="spellStart"/>
      <w:r w:rsidRPr="00767B9C">
        <w:rPr>
          <w:i/>
          <w:iCs/>
          <w:color w:val="000000" w:themeColor="text1"/>
        </w:rPr>
        <w:t>V</w:t>
      </w:r>
      <w:r w:rsidRPr="00767B9C">
        <w:rPr>
          <w:color w:val="000000" w:themeColor="text1"/>
          <w:vertAlign w:val="subscript"/>
        </w:rPr>
        <w:t>read</w:t>
      </w:r>
      <w:proofErr w:type="spellEnd"/>
      <w:r w:rsidRPr="00767B9C">
        <w:rPr>
          <w:color w:val="000000" w:themeColor="text1"/>
        </w:rPr>
        <w:t xml:space="preserve">) was changed to −0.3 V. </w:t>
      </w:r>
      <w:r w:rsidRPr="00767B9C">
        <w:rPr>
          <w:b/>
          <w:bCs/>
          <w:color w:val="000000" w:themeColor="text1"/>
        </w:rPr>
        <w:t xml:space="preserve">h, </w:t>
      </w:r>
      <w:proofErr w:type="spellStart"/>
      <w:r w:rsidRPr="00767B9C">
        <w:rPr>
          <w:b/>
          <w:bCs/>
          <w:color w:val="000000" w:themeColor="text1"/>
        </w:rPr>
        <w:t>i</w:t>
      </w:r>
      <w:proofErr w:type="spellEnd"/>
      <w:r w:rsidRPr="00767B9C">
        <w:rPr>
          <w:b/>
          <w:bCs/>
          <w:color w:val="000000" w:themeColor="text1"/>
        </w:rPr>
        <w:t>,</w:t>
      </w:r>
      <w:r w:rsidRPr="00767B9C">
        <w:rPr>
          <w:color w:val="000000" w:themeColor="text1"/>
        </w:rPr>
        <w:t xml:space="preserve"> Excitatory and inhibitory synaptic operations were observed although consecutive positive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pulses (</w:t>
      </w:r>
      <w:proofErr w:type="spellStart"/>
      <w:r w:rsidRPr="00767B9C">
        <w:rPr>
          <w:i/>
          <w:iCs/>
          <w:color w:val="000000" w:themeColor="text1"/>
        </w:rPr>
        <w:t>V</w:t>
      </w:r>
      <w:r w:rsidRPr="00767B9C">
        <w:rPr>
          <w:color w:val="000000" w:themeColor="text1"/>
          <w:vertAlign w:val="subscript"/>
        </w:rPr>
        <w:t>tg</w:t>
      </w:r>
      <w:proofErr w:type="spellEnd"/>
      <w:r w:rsidRPr="00767B9C">
        <w:rPr>
          <w:color w:val="000000" w:themeColor="text1"/>
        </w:rPr>
        <w:t xml:space="preserve"> = 13 V and </w:t>
      </w:r>
      <w:proofErr w:type="spellStart"/>
      <w:r w:rsidRPr="00767B9C">
        <w:rPr>
          <w:i/>
          <w:iCs/>
          <w:color w:val="000000" w:themeColor="text1"/>
        </w:rPr>
        <w:t>P</w:t>
      </w:r>
      <w:r w:rsidRPr="00767B9C">
        <w:rPr>
          <w:color w:val="000000" w:themeColor="text1"/>
          <w:vertAlign w:val="subscript"/>
        </w:rPr>
        <w:t>width</w:t>
      </w:r>
      <w:proofErr w:type="spellEnd"/>
      <w:r w:rsidRPr="00767B9C">
        <w:rPr>
          <w:color w:val="000000" w:themeColor="text1"/>
        </w:rPr>
        <w:t xml:space="preserve"> = 5 </w:t>
      </w:r>
      <w:proofErr w:type="spellStart"/>
      <w:r w:rsidRPr="00767B9C">
        <w:rPr>
          <w:color w:val="000000" w:themeColor="text1"/>
        </w:rPr>
        <w:t>ms</w:t>
      </w:r>
      <w:proofErr w:type="spellEnd"/>
      <w:r w:rsidRPr="00767B9C">
        <w:rPr>
          <w:color w:val="000000" w:themeColor="text1"/>
        </w:rPr>
        <w:t xml:space="preserve">) were applied repeatedly. </w:t>
      </w:r>
      <w:bookmarkEnd w:id="57"/>
      <w:bookmarkEnd w:id="58"/>
    </w:p>
    <w:p w14:paraId="15CD9C82" w14:textId="77777777" w:rsidR="000C12BB" w:rsidRPr="00805392" w:rsidRDefault="000C12BB" w:rsidP="00D45293">
      <w:pPr>
        <w:widowControl/>
        <w:rPr>
          <w:rFonts w:ascii="Times New Roman" w:eastAsia="ＭＳ Ｐゴシック" w:hAnsi="Times New Roman" w:cs="Times New Roman"/>
          <w:kern w:val="0"/>
          <w:sz w:val="24"/>
        </w:rPr>
      </w:pPr>
      <w:r w:rsidRPr="00805392">
        <w:rPr>
          <w:rFonts w:ascii="Times New Roman" w:eastAsia="ＭＳ Ｐゴシック" w:hAnsi="Times New Roman" w:cs="Times New Roman"/>
          <w:kern w:val="0"/>
          <w:sz w:val="24"/>
        </w:rPr>
        <w:br w:type="page"/>
      </w:r>
    </w:p>
    <w:p w14:paraId="0BF9E8CB" w14:textId="77777777" w:rsidR="000C12BB" w:rsidRPr="00805392" w:rsidRDefault="000C12BB" w:rsidP="00333D3A">
      <w:pPr>
        <w:widowControl/>
        <w:jc w:val="center"/>
        <w:rPr>
          <w:rFonts w:ascii="Times New Roman" w:hAnsi="Times New Roman" w:cs="Times New Roman"/>
          <w:b/>
          <w:bCs/>
          <w:sz w:val="24"/>
        </w:rPr>
      </w:pPr>
      <w:r w:rsidRPr="00805392">
        <w:rPr>
          <w:rFonts w:ascii="Times New Roman" w:eastAsia="ＭＳ Ｐゴシック" w:hAnsi="Times New Roman" w:cs="Times New Roman" w:hint="eastAsia"/>
          <w:noProof/>
          <w:kern w:val="0"/>
          <w:sz w:val="24"/>
        </w:rPr>
        <w:lastRenderedPageBreak/>
        <w:drawing>
          <wp:inline distT="0" distB="0" distL="0" distR="0" wp14:anchorId="25AF5E53" wp14:editId="53C255D7">
            <wp:extent cx="3965575" cy="5664835"/>
            <wp:effectExtent l="0" t="0" r="0" b="0"/>
            <wp:docPr id="111013922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5575" cy="5664835"/>
                    </a:xfrm>
                    <a:prstGeom prst="rect">
                      <a:avLst/>
                    </a:prstGeom>
                    <a:noFill/>
                    <a:ln>
                      <a:noFill/>
                    </a:ln>
                  </pic:spPr>
                </pic:pic>
              </a:graphicData>
            </a:graphic>
          </wp:inline>
        </w:drawing>
      </w:r>
    </w:p>
    <w:p w14:paraId="0D6464C1" w14:textId="7D833811" w:rsidR="000C12BB" w:rsidRPr="00767B9C" w:rsidRDefault="000C12BB" w:rsidP="004547D9">
      <w:pPr>
        <w:pStyle w:val="VAFigureCaption"/>
        <w:rPr>
          <w:color w:val="000000" w:themeColor="text1"/>
        </w:rPr>
      </w:pPr>
      <w:r w:rsidRPr="00767B9C">
        <w:rPr>
          <w:rFonts w:hint="eastAsia"/>
          <w:b/>
          <w:bCs/>
          <w:color w:val="000000" w:themeColor="text1"/>
        </w:rPr>
        <w:t>F</w:t>
      </w:r>
      <w:r w:rsidRPr="00767B9C">
        <w:rPr>
          <w:b/>
          <w:bCs/>
          <w:color w:val="000000" w:themeColor="text1"/>
        </w:rPr>
        <w:t>igure 6</w:t>
      </w:r>
      <w:r w:rsidR="007024C0" w:rsidRPr="00767B9C">
        <w:rPr>
          <w:b/>
          <w:bCs/>
          <w:color w:val="000000" w:themeColor="text1"/>
        </w:rPr>
        <w:t>.</w:t>
      </w:r>
      <w:r w:rsidRPr="00767B9C">
        <w:rPr>
          <w:b/>
          <w:bCs/>
          <w:color w:val="000000" w:themeColor="text1"/>
        </w:rPr>
        <w:t xml:space="preserve"> </w:t>
      </w:r>
      <w:bookmarkStart w:id="64" w:name="OLE_LINK82"/>
      <w:bookmarkStart w:id="65" w:name="OLE_LINK83"/>
      <w:r w:rsidRPr="00767B9C">
        <w:rPr>
          <w:b/>
          <w:bCs/>
          <w:color w:val="000000" w:themeColor="text1"/>
        </w:rPr>
        <w:t xml:space="preserve">Long-term potentiation and depression. a, b, </w:t>
      </w:r>
      <w:r w:rsidRPr="00767B9C">
        <w:rPr>
          <w:color w:val="000000" w:themeColor="text1"/>
        </w:rPr>
        <w:t xml:space="preserve">Long-term potentiation and depression operations as a function of applied pulse numbers. The depression and potentiation operations were observed with the opposite orders depending on the </w:t>
      </w:r>
      <w:proofErr w:type="spellStart"/>
      <w:r w:rsidRPr="00767B9C">
        <w:rPr>
          <w:i/>
          <w:iCs/>
          <w:color w:val="000000" w:themeColor="text1"/>
        </w:rPr>
        <w:t>V</w:t>
      </w:r>
      <w:r w:rsidRPr="00767B9C">
        <w:rPr>
          <w:color w:val="000000" w:themeColor="text1"/>
          <w:vertAlign w:val="subscript"/>
        </w:rPr>
        <w:t>read</w:t>
      </w:r>
      <w:proofErr w:type="spellEnd"/>
      <w:r w:rsidRPr="00767B9C">
        <w:rPr>
          <w:color w:val="000000" w:themeColor="text1"/>
        </w:rPr>
        <w:t xml:space="preserve"> at (a) </w:t>
      </w:r>
      <w:r w:rsidRPr="00767B9C">
        <w:rPr>
          <w:rFonts w:eastAsia="游明朝"/>
          <w:color w:val="000000" w:themeColor="text1"/>
        </w:rPr>
        <w:t>−4.0</w:t>
      </w:r>
      <w:r w:rsidRPr="00767B9C">
        <w:rPr>
          <w:color w:val="000000" w:themeColor="text1"/>
        </w:rPr>
        <w:t xml:space="preserve"> V or (b) 1.5 V. </w:t>
      </w:r>
      <w:r w:rsidRPr="00767B9C">
        <w:rPr>
          <w:b/>
          <w:bCs/>
          <w:color w:val="000000" w:themeColor="text1"/>
        </w:rPr>
        <w:t>c,</w:t>
      </w:r>
      <w:r w:rsidRPr="00767B9C">
        <w:rPr>
          <w:color w:val="000000" w:themeColor="text1"/>
        </w:rPr>
        <w:t xml:space="preserve"> Transition from potentiation to depression induced by continuous pulse application. A similar transformation </w:t>
      </w:r>
      <w:r w:rsidRPr="00767B9C">
        <w:rPr>
          <w:color w:val="000000" w:themeColor="text1"/>
        </w:rPr>
        <w:lastRenderedPageBreak/>
        <w:t xml:space="preserve">from potentiation to depression was </w:t>
      </w:r>
      <w:r w:rsidR="00272991" w:rsidRPr="00767B9C">
        <w:rPr>
          <w:color w:val="000000" w:themeColor="text1"/>
        </w:rPr>
        <w:t xml:space="preserve">even </w:t>
      </w:r>
      <w:r w:rsidRPr="00767B9C">
        <w:rPr>
          <w:color w:val="000000" w:themeColor="text1"/>
        </w:rPr>
        <w:t xml:space="preserve">realized by the continuous application of positive presynaptic pulses with an appropriate </w:t>
      </w:r>
      <w:proofErr w:type="spellStart"/>
      <w:r w:rsidRPr="00767B9C">
        <w:rPr>
          <w:i/>
          <w:iCs/>
          <w:color w:val="000000" w:themeColor="text1"/>
        </w:rPr>
        <w:t>V</w:t>
      </w:r>
      <w:r w:rsidRPr="00767B9C">
        <w:rPr>
          <w:color w:val="000000" w:themeColor="text1"/>
          <w:vertAlign w:val="subscript"/>
        </w:rPr>
        <w:t>read</w:t>
      </w:r>
      <w:proofErr w:type="spellEnd"/>
      <w:r w:rsidRPr="00767B9C">
        <w:rPr>
          <w:color w:val="000000" w:themeColor="text1"/>
        </w:rPr>
        <w:t xml:space="preserve"> of </w:t>
      </w:r>
      <w:r w:rsidRPr="00767B9C">
        <w:rPr>
          <w:rFonts w:eastAsia="游明朝"/>
          <w:color w:val="000000" w:themeColor="text1"/>
        </w:rPr>
        <w:t>−0</w:t>
      </w:r>
      <w:r w:rsidRPr="00767B9C">
        <w:rPr>
          <w:color w:val="000000" w:themeColor="text1"/>
        </w:rPr>
        <w:t>.3 V.</w:t>
      </w:r>
      <w:bookmarkEnd w:id="64"/>
      <w:bookmarkEnd w:id="65"/>
    </w:p>
    <w:p w14:paraId="5F79EBA5" w14:textId="1175A741" w:rsidR="000C12BB" w:rsidRDefault="000C12BB" w:rsidP="00D45293">
      <w:pPr>
        <w:widowControl/>
        <w:rPr>
          <w:rFonts w:ascii="Times New Roman" w:eastAsia="ＭＳ Ｐゴシック" w:hAnsi="Times New Roman" w:cs="Times New Roman"/>
          <w:kern w:val="0"/>
          <w:sz w:val="24"/>
        </w:rPr>
      </w:pPr>
    </w:p>
    <w:p w14:paraId="699E1D36" w14:textId="71D38E16" w:rsidR="00D41CB0" w:rsidRDefault="00D41CB0" w:rsidP="00D45293">
      <w:pPr>
        <w:widowControl/>
        <w:rPr>
          <w:rFonts w:ascii="Times New Roman" w:eastAsia="ＭＳ Ｐゴシック" w:hAnsi="Times New Roman" w:cs="Times New Roman"/>
          <w:kern w:val="0"/>
          <w:sz w:val="24"/>
        </w:rPr>
      </w:pPr>
    </w:p>
    <w:p w14:paraId="5BFECA4A" w14:textId="759F1269" w:rsidR="00D41CB0" w:rsidRDefault="00D41CB0" w:rsidP="00D45293">
      <w:pPr>
        <w:widowControl/>
        <w:rPr>
          <w:rFonts w:ascii="Times New Roman" w:eastAsia="ＭＳ Ｐゴシック" w:hAnsi="Times New Roman" w:cs="Times New Roman"/>
          <w:kern w:val="0"/>
          <w:sz w:val="24"/>
        </w:rPr>
      </w:pPr>
      <w:r>
        <w:rPr>
          <w:rFonts w:ascii="Times New Roman" w:eastAsia="ＭＳ Ｐゴシック" w:hAnsi="Times New Roman" w:cs="Times New Roman"/>
          <w:kern w:val="0"/>
          <w:sz w:val="24"/>
        </w:rPr>
        <w:t>TOC graphic</w:t>
      </w:r>
    </w:p>
    <w:p w14:paraId="6352073C" w14:textId="139699F0" w:rsidR="000C12BB" w:rsidRDefault="00D41CB0" w:rsidP="00D45293">
      <w:pPr>
        <w:widowControl/>
        <w:rPr>
          <w:rFonts w:ascii="Times New Roman" w:eastAsia="ＭＳ Ｐゴシック" w:hAnsi="Times New Roman" w:cs="Times New Roman"/>
          <w:kern w:val="0"/>
          <w:sz w:val="24"/>
        </w:rPr>
      </w:pPr>
      <w:r>
        <w:rPr>
          <w:rFonts w:ascii="Times New Roman" w:eastAsia="ＭＳ Ｐゴシック" w:hAnsi="Times New Roman" w:cs="Times New Roman"/>
          <w:noProof/>
          <w:kern w:val="0"/>
          <w:sz w:val="24"/>
        </w:rPr>
        <w:drawing>
          <wp:inline distT="0" distB="0" distL="0" distR="0" wp14:anchorId="139C4489" wp14:editId="6839EE3E">
            <wp:extent cx="2870200" cy="14351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0200" cy="1435100"/>
                    </a:xfrm>
                    <a:prstGeom prst="rect">
                      <a:avLst/>
                    </a:prstGeom>
                  </pic:spPr>
                </pic:pic>
              </a:graphicData>
            </a:graphic>
          </wp:inline>
        </w:drawing>
      </w:r>
    </w:p>
    <w:p w14:paraId="379728E3" w14:textId="77777777" w:rsidR="000C12BB" w:rsidRDefault="000C12BB" w:rsidP="0071164C">
      <w:pPr>
        <w:rPr>
          <w:rFonts w:ascii="Times New Roman" w:eastAsia="ＭＳ Ｐゴシック" w:hAnsi="Times New Roman" w:cs="Times New Roman"/>
          <w:kern w:val="0"/>
          <w:sz w:val="24"/>
        </w:rPr>
      </w:pPr>
    </w:p>
    <w:p w14:paraId="3D085645" w14:textId="77777777" w:rsidR="00073F85" w:rsidRDefault="00073F85"/>
    <w:sectPr w:rsidR="00073F85" w:rsidSect="009F71BB">
      <w:footerReference w:type="even" r:id="rId15"/>
      <w:footerReference w:type="default" r:id="rId16"/>
      <w:pgSz w:w="12240" w:h="15840"/>
      <w:pgMar w:top="1985"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D3EE7" w14:textId="77777777" w:rsidR="009B67F9" w:rsidRDefault="009B67F9">
      <w:r>
        <w:separator/>
      </w:r>
    </w:p>
  </w:endnote>
  <w:endnote w:type="continuationSeparator" w:id="0">
    <w:p w14:paraId="0C698472" w14:textId="77777777" w:rsidR="009B67F9" w:rsidRDefault="009B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w:panose1 w:val="02000500000000000000"/>
    <w:charset w:val="00"/>
    <w:family w:val="auto"/>
    <w:pitch w:val="variable"/>
    <w:sig w:usb0="E00002FF" w:usb1="5000205A"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no Pro">
    <w:altName w:val="Times New Roman"/>
    <w:panose1 w:val="020B0604020202020204"/>
    <w:charset w:val="00"/>
    <w:family w:val="roman"/>
    <w:notTrueType/>
    <w:pitch w:val="variable"/>
    <w:sig w:usb0="60000287" w:usb1="00000001" w:usb2="00000000" w:usb3="00000000" w:csb0="0000019F" w:csb1="00000000"/>
  </w:font>
  <w:font w:name="Yu Gothic UI">
    <w:panose1 w:val="020B05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0214" w14:textId="77777777" w:rsidR="00E372D9" w:rsidRDefault="000D2F86" w:rsidP="001729FF">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p w14:paraId="54B0A576" w14:textId="77777777" w:rsidR="00E372D9" w:rsidRDefault="00E372D9" w:rsidP="001729F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044617"/>
      <w:docPartObj>
        <w:docPartGallery w:val="Page Numbers (Bottom of Page)"/>
        <w:docPartUnique/>
      </w:docPartObj>
    </w:sdtPr>
    <w:sdtContent>
      <w:p w14:paraId="530A2491" w14:textId="3F7B0EA6" w:rsidR="00926789" w:rsidRDefault="00926789">
        <w:pPr>
          <w:pStyle w:val="a5"/>
          <w:jc w:val="center"/>
        </w:pPr>
        <w:r>
          <w:fldChar w:fldCharType="begin"/>
        </w:r>
        <w:r>
          <w:instrText>PAGE   \* MERGEFORMAT</w:instrText>
        </w:r>
        <w:r>
          <w:fldChar w:fldCharType="separate"/>
        </w:r>
        <w:r>
          <w:rPr>
            <w:lang w:val="ja-JP"/>
          </w:rPr>
          <w:t>2</w:t>
        </w:r>
        <w:r>
          <w:fldChar w:fldCharType="end"/>
        </w:r>
      </w:p>
    </w:sdtContent>
  </w:sdt>
  <w:p w14:paraId="1BD6F4CF" w14:textId="77777777" w:rsidR="00E372D9" w:rsidRDefault="00E372D9" w:rsidP="001729F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EC412" w14:textId="77777777" w:rsidR="009B67F9" w:rsidRDefault="009B67F9">
      <w:r>
        <w:separator/>
      </w:r>
    </w:p>
  </w:footnote>
  <w:footnote w:type="continuationSeparator" w:id="0">
    <w:p w14:paraId="02C69C5A" w14:textId="77777777" w:rsidR="009B67F9" w:rsidRDefault="009B6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92F68"/>
    <w:multiLevelType w:val="hybridMultilevel"/>
    <w:tmpl w:val="7808541E"/>
    <w:lvl w:ilvl="0" w:tplc="1C4ACB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D30F59"/>
    <w:multiLevelType w:val="hybridMultilevel"/>
    <w:tmpl w:val="523C4B2E"/>
    <w:lvl w:ilvl="0" w:tplc="8E68B41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2C24A8"/>
    <w:multiLevelType w:val="hybridMultilevel"/>
    <w:tmpl w:val="DFFEBEFC"/>
    <w:lvl w:ilvl="0" w:tplc="92D21D4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2E4081"/>
    <w:multiLevelType w:val="hybridMultilevel"/>
    <w:tmpl w:val="924CD28A"/>
    <w:lvl w:ilvl="0" w:tplc="CBC628EE">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num w:numId="1" w16cid:durableId="2137016717">
    <w:abstractNumId w:val="0"/>
  </w:num>
  <w:num w:numId="2" w16cid:durableId="1964268197">
    <w:abstractNumId w:val="1"/>
  </w:num>
  <w:num w:numId="3" w16cid:durableId="793333420">
    <w:abstractNumId w:val="2"/>
  </w:num>
  <w:num w:numId="4" w16cid:durableId="1173489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C12BB"/>
    <w:rsid w:val="00001941"/>
    <w:rsid w:val="00005E58"/>
    <w:rsid w:val="000101FB"/>
    <w:rsid w:val="00016130"/>
    <w:rsid w:val="00026BE6"/>
    <w:rsid w:val="000363F2"/>
    <w:rsid w:val="00073F85"/>
    <w:rsid w:val="000B2DCD"/>
    <w:rsid w:val="000B5023"/>
    <w:rsid w:val="000C12BB"/>
    <w:rsid w:val="000C36D7"/>
    <w:rsid w:val="000D2F86"/>
    <w:rsid w:val="000E398A"/>
    <w:rsid w:val="000F251B"/>
    <w:rsid w:val="00137FD6"/>
    <w:rsid w:val="001409B4"/>
    <w:rsid w:val="001729FF"/>
    <w:rsid w:val="00183FD1"/>
    <w:rsid w:val="001856F7"/>
    <w:rsid w:val="001C07E1"/>
    <w:rsid w:val="001C56B7"/>
    <w:rsid w:val="001C7750"/>
    <w:rsid w:val="001D5572"/>
    <w:rsid w:val="001E2AED"/>
    <w:rsid w:val="00214F8D"/>
    <w:rsid w:val="00217C3B"/>
    <w:rsid w:val="00226A62"/>
    <w:rsid w:val="00227BD7"/>
    <w:rsid w:val="00230629"/>
    <w:rsid w:val="00232F69"/>
    <w:rsid w:val="00272991"/>
    <w:rsid w:val="00272EB5"/>
    <w:rsid w:val="002764DD"/>
    <w:rsid w:val="00281C25"/>
    <w:rsid w:val="0029347D"/>
    <w:rsid w:val="002A374A"/>
    <w:rsid w:val="002B2501"/>
    <w:rsid w:val="002B3B6C"/>
    <w:rsid w:val="002C31CF"/>
    <w:rsid w:val="002F42F1"/>
    <w:rsid w:val="00304767"/>
    <w:rsid w:val="00310672"/>
    <w:rsid w:val="00325624"/>
    <w:rsid w:val="00331313"/>
    <w:rsid w:val="003350A0"/>
    <w:rsid w:val="00350D7F"/>
    <w:rsid w:val="00351A06"/>
    <w:rsid w:val="00364D96"/>
    <w:rsid w:val="00393502"/>
    <w:rsid w:val="00393BE4"/>
    <w:rsid w:val="003C6760"/>
    <w:rsid w:val="003E5DC7"/>
    <w:rsid w:val="003F70AC"/>
    <w:rsid w:val="00401A02"/>
    <w:rsid w:val="004130A7"/>
    <w:rsid w:val="00415E33"/>
    <w:rsid w:val="00450B55"/>
    <w:rsid w:val="004526BB"/>
    <w:rsid w:val="00453CCF"/>
    <w:rsid w:val="00453E81"/>
    <w:rsid w:val="00465487"/>
    <w:rsid w:val="00473B0E"/>
    <w:rsid w:val="00474315"/>
    <w:rsid w:val="00477E96"/>
    <w:rsid w:val="004A34A5"/>
    <w:rsid w:val="004A7974"/>
    <w:rsid w:val="004C5CA6"/>
    <w:rsid w:val="00511661"/>
    <w:rsid w:val="00514878"/>
    <w:rsid w:val="00515123"/>
    <w:rsid w:val="005216AF"/>
    <w:rsid w:val="005272AB"/>
    <w:rsid w:val="00531362"/>
    <w:rsid w:val="00534C2A"/>
    <w:rsid w:val="00536914"/>
    <w:rsid w:val="00540262"/>
    <w:rsid w:val="005439E3"/>
    <w:rsid w:val="00555CFA"/>
    <w:rsid w:val="00577360"/>
    <w:rsid w:val="00581F4A"/>
    <w:rsid w:val="005C258B"/>
    <w:rsid w:val="005C53AE"/>
    <w:rsid w:val="005D6407"/>
    <w:rsid w:val="005E55CF"/>
    <w:rsid w:val="005E7EC9"/>
    <w:rsid w:val="005F4877"/>
    <w:rsid w:val="00626B4A"/>
    <w:rsid w:val="00632576"/>
    <w:rsid w:val="00653AB1"/>
    <w:rsid w:val="006578D4"/>
    <w:rsid w:val="0068544F"/>
    <w:rsid w:val="00693882"/>
    <w:rsid w:val="006A0850"/>
    <w:rsid w:val="006A5A06"/>
    <w:rsid w:val="006A7253"/>
    <w:rsid w:val="006C3B84"/>
    <w:rsid w:val="006C5D66"/>
    <w:rsid w:val="006D56EC"/>
    <w:rsid w:val="006E7F26"/>
    <w:rsid w:val="007024C0"/>
    <w:rsid w:val="00703D3C"/>
    <w:rsid w:val="00715783"/>
    <w:rsid w:val="007305BA"/>
    <w:rsid w:val="0073381C"/>
    <w:rsid w:val="00736773"/>
    <w:rsid w:val="0074469E"/>
    <w:rsid w:val="0076228B"/>
    <w:rsid w:val="00767B9C"/>
    <w:rsid w:val="007703D4"/>
    <w:rsid w:val="00781D77"/>
    <w:rsid w:val="00792125"/>
    <w:rsid w:val="00792FAA"/>
    <w:rsid w:val="00794DD0"/>
    <w:rsid w:val="007A0164"/>
    <w:rsid w:val="007A530E"/>
    <w:rsid w:val="007A65B2"/>
    <w:rsid w:val="007C3F7A"/>
    <w:rsid w:val="007E24C7"/>
    <w:rsid w:val="007F3791"/>
    <w:rsid w:val="00824D0B"/>
    <w:rsid w:val="00835AA5"/>
    <w:rsid w:val="0085384D"/>
    <w:rsid w:val="00866928"/>
    <w:rsid w:val="00872578"/>
    <w:rsid w:val="00874EEC"/>
    <w:rsid w:val="00897CB3"/>
    <w:rsid w:val="008A0CB0"/>
    <w:rsid w:val="008A3E8C"/>
    <w:rsid w:val="008A6098"/>
    <w:rsid w:val="008B7B78"/>
    <w:rsid w:val="008C1A18"/>
    <w:rsid w:val="00906531"/>
    <w:rsid w:val="00926789"/>
    <w:rsid w:val="00934030"/>
    <w:rsid w:val="009A5003"/>
    <w:rsid w:val="009B67F9"/>
    <w:rsid w:val="009C2C60"/>
    <w:rsid w:val="009D1828"/>
    <w:rsid w:val="009D4A32"/>
    <w:rsid w:val="009E1FDC"/>
    <w:rsid w:val="009F06B7"/>
    <w:rsid w:val="009F40A6"/>
    <w:rsid w:val="009F6E8A"/>
    <w:rsid w:val="009F71BB"/>
    <w:rsid w:val="00A17CB7"/>
    <w:rsid w:val="00A35E21"/>
    <w:rsid w:val="00A53127"/>
    <w:rsid w:val="00A555AD"/>
    <w:rsid w:val="00A55BBA"/>
    <w:rsid w:val="00A5731B"/>
    <w:rsid w:val="00A57C79"/>
    <w:rsid w:val="00A8560F"/>
    <w:rsid w:val="00A96245"/>
    <w:rsid w:val="00AD73C4"/>
    <w:rsid w:val="00AE2392"/>
    <w:rsid w:val="00AE4E2E"/>
    <w:rsid w:val="00B77DFB"/>
    <w:rsid w:val="00B9670A"/>
    <w:rsid w:val="00BA5022"/>
    <w:rsid w:val="00BB4593"/>
    <w:rsid w:val="00BE086E"/>
    <w:rsid w:val="00BF59A4"/>
    <w:rsid w:val="00C1153B"/>
    <w:rsid w:val="00C11E11"/>
    <w:rsid w:val="00C13364"/>
    <w:rsid w:val="00C24DF2"/>
    <w:rsid w:val="00C57B63"/>
    <w:rsid w:val="00C6020D"/>
    <w:rsid w:val="00C62363"/>
    <w:rsid w:val="00C63796"/>
    <w:rsid w:val="00C72833"/>
    <w:rsid w:val="00C76D28"/>
    <w:rsid w:val="00C84225"/>
    <w:rsid w:val="00C866CE"/>
    <w:rsid w:val="00C87900"/>
    <w:rsid w:val="00CA3E7E"/>
    <w:rsid w:val="00CD314C"/>
    <w:rsid w:val="00CF2823"/>
    <w:rsid w:val="00D045AD"/>
    <w:rsid w:val="00D26FF9"/>
    <w:rsid w:val="00D36223"/>
    <w:rsid w:val="00D41CB0"/>
    <w:rsid w:val="00D82F4E"/>
    <w:rsid w:val="00D8592F"/>
    <w:rsid w:val="00D85BAB"/>
    <w:rsid w:val="00DC2652"/>
    <w:rsid w:val="00DC4F8A"/>
    <w:rsid w:val="00DD618F"/>
    <w:rsid w:val="00DE2107"/>
    <w:rsid w:val="00DF249D"/>
    <w:rsid w:val="00E369CA"/>
    <w:rsid w:val="00E372D9"/>
    <w:rsid w:val="00E43BA1"/>
    <w:rsid w:val="00E54BB7"/>
    <w:rsid w:val="00E702FE"/>
    <w:rsid w:val="00E84FC0"/>
    <w:rsid w:val="00E8699E"/>
    <w:rsid w:val="00E96C4E"/>
    <w:rsid w:val="00E97E4E"/>
    <w:rsid w:val="00EB1BAC"/>
    <w:rsid w:val="00EB6436"/>
    <w:rsid w:val="00F55BF7"/>
    <w:rsid w:val="00F56B9E"/>
    <w:rsid w:val="00F72E1F"/>
    <w:rsid w:val="00FA2C80"/>
    <w:rsid w:val="00FA7A79"/>
    <w:rsid w:val="00FB4AFC"/>
    <w:rsid w:val="00FC4843"/>
    <w:rsid w:val="00FD1A77"/>
    <w:rsid w:val="00FD424C"/>
    <w:rsid w:val="00FD5BBF"/>
    <w:rsid w:val="00FE3431"/>
    <w:rsid w:val="00FE5ED6"/>
    <w:rsid w:val="00FF2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C30E37"/>
  <w15:chartTrackingRefBased/>
  <w15:docId w15:val="{E4D24911-541E-5544-ABA8-AAA77B9C9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2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2BB"/>
    <w:pPr>
      <w:ind w:leftChars="400" w:left="840"/>
    </w:pPr>
  </w:style>
  <w:style w:type="character" w:styleId="a4">
    <w:name w:val="Hyperlink"/>
    <w:basedOn w:val="a0"/>
    <w:uiPriority w:val="99"/>
    <w:unhideWhenUsed/>
    <w:rsid w:val="000C12BB"/>
    <w:rPr>
      <w:color w:val="0000FF"/>
      <w:u w:val="single"/>
    </w:rPr>
  </w:style>
  <w:style w:type="paragraph" w:styleId="a5">
    <w:name w:val="footer"/>
    <w:basedOn w:val="a"/>
    <w:link w:val="a6"/>
    <w:uiPriority w:val="99"/>
    <w:unhideWhenUsed/>
    <w:rsid w:val="000C12BB"/>
    <w:pPr>
      <w:tabs>
        <w:tab w:val="center" w:pos="4252"/>
        <w:tab w:val="right" w:pos="8504"/>
      </w:tabs>
      <w:snapToGrid w:val="0"/>
    </w:pPr>
  </w:style>
  <w:style w:type="character" w:customStyle="1" w:styleId="a6">
    <w:name w:val="フッター (文字)"/>
    <w:basedOn w:val="a0"/>
    <w:link w:val="a5"/>
    <w:uiPriority w:val="99"/>
    <w:rsid w:val="000C12BB"/>
  </w:style>
  <w:style w:type="character" w:styleId="a7">
    <w:name w:val="page number"/>
    <w:basedOn w:val="a0"/>
    <w:uiPriority w:val="99"/>
    <w:semiHidden/>
    <w:unhideWhenUsed/>
    <w:rsid w:val="000C12BB"/>
  </w:style>
  <w:style w:type="paragraph" w:customStyle="1" w:styleId="EndNoteBibliographyTitle">
    <w:name w:val="EndNote Bibliography Title"/>
    <w:basedOn w:val="a"/>
    <w:link w:val="EndNoteBibliographyTitle0"/>
    <w:rsid w:val="000C12BB"/>
    <w:pPr>
      <w:jc w:val="center"/>
    </w:pPr>
    <w:rPr>
      <w:rFonts w:ascii="Times New Roman" w:eastAsia="游明朝" w:hAnsi="Times New Roman" w:cs="Times New Roman"/>
      <w:sz w:val="24"/>
    </w:rPr>
  </w:style>
  <w:style w:type="character" w:customStyle="1" w:styleId="EndNoteBibliographyTitle0">
    <w:name w:val="EndNote Bibliography Title (文字)"/>
    <w:basedOn w:val="a0"/>
    <w:link w:val="EndNoteBibliographyTitle"/>
    <w:rsid w:val="000C12BB"/>
    <w:rPr>
      <w:rFonts w:ascii="Times New Roman" w:eastAsia="游明朝" w:hAnsi="Times New Roman" w:cs="Times New Roman"/>
      <w:sz w:val="24"/>
    </w:rPr>
  </w:style>
  <w:style w:type="paragraph" w:customStyle="1" w:styleId="EndNoteBibliography">
    <w:name w:val="EndNote Bibliography"/>
    <w:basedOn w:val="a"/>
    <w:link w:val="EndNoteBibliography0"/>
    <w:rsid w:val="000C12BB"/>
    <w:rPr>
      <w:rFonts w:ascii="Times New Roman" w:eastAsia="游明朝" w:hAnsi="Times New Roman" w:cs="Times New Roman"/>
      <w:sz w:val="24"/>
    </w:rPr>
  </w:style>
  <w:style w:type="character" w:customStyle="1" w:styleId="EndNoteBibliography0">
    <w:name w:val="EndNote Bibliography (文字)"/>
    <w:basedOn w:val="a0"/>
    <w:link w:val="EndNoteBibliography"/>
    <w:rsid w:val="000C12BB"/>
    <w:rPr>
      <w:rFonts w:ascii="Times New Roman" w:eastAsia="游明朝" w:hAnsi="Times New Roman" w:cs="Times New Roman"/>
      <w:sz w:val="24"/>
    </w:rPr>
  </w:style>
  <w:style w:type="character" w:styleId="a8">
    <w:name w:val="Unresolved Mention"/>
    <w:basedOn w:val="a0"/>
    <w:uiPriority w:val="99"/>
    <w:semiHidden/>
    <w:unhideWhenUsed/>
    <w:rsid w:val="000C12BB"/>
    <w:rPr>
      <w:color w:val="605E5C"/>
      <w:shd w:val="clear" w:color="auto" w:fill="E1DFDD"/>
    </w:rPr>
  </w:style>
  <w:style w:type="character" w:styleId="a9">
    <w:name w:val="annotation reference"/>
    <w:basedOn w:val="a0"/>
    <w:uiPriority w:val="99"/>
    <w:semiHidden/>
    <w:unhideWhenUsed/>
    <w:rsid w:val="000C12BB"/>
    <w:rPr>
      <w:sz w:val="18"/>
      <w:szCs w:val="18"/>
    </w:rPr>
  </w:style>
  <w:style w:type="paragraph" w:styleId="aa">
    <w:name w:val="annotation text"/>
    <w:basedOn w:val="a"/>
    <w:link w:val="ab"/>
    <w:uiPriority w:val="99"/>
    <w:unhideWhenUsed/>
    <w:rsid w:val="000C12BB"/>
    <w:pPr>
      <w:jc w:val="left"/>
    </w:pPr>
  </w:style>
  <w:style w:type="character" w:customStyle="1" w:styleId="ab">
    <w:name w:val="コメント文字列 (文字)"/>
    <w:basedOn w:val="a0"/>
    <w:link w:val="aa"/>
    <w:uiPriority w:val="99"/>
    <w:rsid w:val="000C12BB"/>
  </w:style>
  <w:style w:type="paragraph" w:customStyle="1" w:styleId="BGKeywords">
    <w:name w:val="BG_Keywords"/>
    <w:basedOn w:val="a"/>
    <w:rsid w:val="00217C3B"/>
    <w:pPr>
      <w:widowControl/>
      <w:spacing w:after="200" w:line="480" w:lineRule="auto"/>
    </w:pPr>
    <w:rPr>
      <w:rFonts w:ascii="Times" w:hAnsi="Times" w:cs="Times New Roman"/>
      <w:kern w:val="0"/>
      <w:sz w:val="24"/>
      <w:szCs w:val="20"/>
      <w:lang w:eastAsia="en-US"/>
    </w:rPr>
  </w:style>
  <w:style w:type="paragraph" w:customStyle="1" w:styleId="BCAuthorAddress">
    <w:name w:val="BC_Author_Address"/>
    <w:basedOn w:val="a"/>
    <w:next w:val="BIEmailAddress"/>
    <w:rsid w:val="00217C3B"/>
    <w:pPr>
      <w:widowControl/>
      <w:spacing w:after="240" w:line="480" w:lineRule="auto"/>
      <w:jc w:val="center"/>
    </w:pPr>
    <w:rPr>
      <w:rFonts w:ascii="Times" w:hAnsi="Times" w:cs="Times New Roman"/>
      <w:kern w:val="0"/>
      <w:sz w:val="24"/>
      <w:szCs w:val="20"/>
      <w:lang w:eastAsia="en-US"/>
    </w:rPr>
  </w:style>
  <w:style w:type="paragraph" w:customStyle="1" w:styleId="FACorrespondingAuthorFootnote">
    <w:name w:val="FA_Corresponding_Author_Footnote"/>
    <w:basedOn w:val="a"/>
    <w:next w:val="TAMainText"/>
    <w:rsid w:val="00217C3B"/>
    <w:pPr>
      <w:widowControl/>
      <w:spacing w:after="200" w:line="480" w:lineRule="auto"/>
    </w:pPr>
    <w:rPr>
      <w:rFonts w:ascii="Times" w:hAnsi="Times" w:cs="Times New Roman"/>
      <w:kern w:val="0"/>
      <w:sz w:val="24"/>
      <w:szCs w:val="20"/>
      <w:lang w:eastAsia="en-US"/>
    </w:rPr>
  </w:style>
  <w:style w:type="paragraph" w:styleId="ac">
    <w:name w:val="header"/>
    <w:basedOn w:val="a"/>
    <w:link w:val="ad"/>
    <w:uiPriority w:val="99"/>
    <w:unhideWhenUsed/>
    <w:rsid w:val="000C12BB"/>
    <w:pPr>
      <w:tabs>
        <w:tab w:val="center" w:pos="4252"/>
        <w:tab w:val="right" w:pos="8504"/>
      </w:tabs>
      <w:snapToGrid w:val="0"/>
    </w:pPr>
  </w:style>
  <w:style w:type="character" w:customStyle="1" w:styleId="ad">
    <w:name w:val="ヘッダー (文字)"/>
    <w:basedOn w:val="a0"/>
    <w:link w:val="ac"/>
    <w:uiPriority w:val="99"/>
    <w:rsid w:val="000C12BB"/>
  </w:style>
  <w:style w:type="paragraph" w:customStyle="1" w:styleId="TFReferencesSection">
    <w:name w:val="TF_References_Section"/>
    <w:basedOn w:val="a"/>
    <w:rsid w:val="00217C3B"/>
    <w:pPr>
      <w:widowControl/>
      <w:spacing w:after="200" w:line="480" w:lineRule="auto"/>
      <w:ind w:firstLine="187"/>
    </w:pPr>
    <w:rPr>
      <w:rFonts w:ascii="Times" w:hAnsi="Times" w:cs="Times New Roman"/>
      <w:kern w:val="0"/>
      <w:sz w:val="24"/>
      <w:szCs w:val="20"/>
      <w:lang w:eastAsia="en-US"/>
    </w:rPr>
  </w:style>
  <w:style w:type="paragraph" w:customStyle="1" w:styleId="Head1">
    <w:name w:val="Head 1"/>
    <w:basedOn w:val="a"/>
    <w:autoRedefine/>
    <w:rsid w:val="000C12BB"/>
    <w:pPr>
      <w:widowControl/>
    </w:pPr>
    <w:rPr>
      <w:rFonts w:ascii="Times New Roman" w:eastAsia="ＭＳ 明朝" w:hAnsi="Times New Roman" w:cs="Times New Roman"/>
      <w:b/>
      <w:bCs/>
      <w:color w:val="000000"/>
      <w:kern w:val="0"/>
      <w:sz w:val="24"/>
    </w:rPr>
  </w:style>
  <w:style w:type="paragraph" w:customStyle="1" w:styleId="Acknowledgements">
    <w:name w:val="Acknowledgements"/>
    <w:basedOn w:val="a"/>
    <w:rsid w:val="000C12BB"/>
    <w:pPr>
      <w:widowControl/>
      <w:jc w:val="left"/>
    </w:pPr>
    <w:rPr>
      <w:rFonts w:ascii="Times New Roman" w:eastAsia="ＭＳ 明朝" w:hAnsi="Times New Roman" w:cs="Times New Roman"/>
      <w:kern w:val="0"/>
      <w:sz w:val="24"/>
    </w:rPr>
  </w:style>
  <w:style w:type="paragraph" w:styleId="ae">
    <w:name w:val="annotation subject"/>
    <w:basedOn w:val="aa"/>
    <w:next w:val="aa"/>
    <w:link w:val="af"/>
    <w:uiPriority w:val="99"/>
    <w:semiHidden/>
    <w:unhideWhenUsed/>
    <w:rsid w:val="000C12BB"/>
    <w:pPr>
      <w:jc w:val="both"/>
    </w:pPr>
    <w:rPr>
      <w:b/>
      <w:bCs/>
      <w:sz w:val="20"/>
      <w:szCs w:val="20"/>
    </w:rPr>
  </w:style>
  <w:style w:type="character" w:customStyle="1" w:styleId="af">
    <w:name w:val="コメント内容 (文字)"/>
    <w:basedOn w:val="ab"/>
    <w:link w:val="ae"/>
    <w:uiPriority w:val="99"/>
    <w:semiHidden/>
    <w:rsid w:val="000C12BB"/>
    <w:rPr>
      <w:b/>
      <w:bCs/>
      <w:sz w:val="20"/>
      <w:szCs w:val="20"/>
    </w:rPr>
  </w:style>
  <w:style w:type="paragraph" w:styleId="af0">
    <w:name w:val="Revision"/>
    <w:hidden/>
    <w:uiPriority w:val="99"/>
    <w:semiHidden/>
    <w:rsid w:val="000C12BB"/>
  </w:style>
  <w:style w:type="paragraph" w:styleId="af1">
    <w:name w:val="Balloon Text"/>
    <w:basedOn w:val="a"/>
    <w:link w:val="af2"/>
    <w:uiPriority w:val="99"/>
    <w:semiHidden/>
    <w:unhideWhenUsed/>
    <w:rsid w:val="000C12BB"/>
    <w:rPr>
      <w:rFonts w:ascii="Segoe UI" w:hAnsi="Segoe UI" w:cs="Segoe UI"/>
      <w:sz w:val="18"/>
      <w:szCs w:val="18"/>
    </w:rPr>
  </w:style>
  <w:style w:type="character" w:customStyle="1" w:styleId="af2">
    <w:name w:val="吹き出し (文字)"/>
    <w:basedOn w:val="a0"/>
    <w:link w:val="af1"/>
    <w:uiPriority w:val="99"/>
    <w:semiHidden/>
    <w:rsid w:val="000C12BB"/>
    <w:rPr>
      <w:rFonts w:ascii="Segoe UI" w:hAnsi="Segoe UI" w:cs="Segoe UI"/>
      <w:sz w:val="18"/>
      <w:szCs w:val="18"/>
    </w:rPr>
  </w:style>
  <w:style w:type="paragraph" w:customStyle="1" w:styleId="AFTitleRunningHead">
    <w:name w:val="AF_Title_Running_Head"/>
    <w:basedOn w:val="a"/>
    <w:next w:val="TAMainText"/>
    <w:rsid w:val="00217C3B"/>
    <w:pPr>
      <w:widowControl/>
      <w:spacing w:after="200" w:line="480" w:lineRule="auto"/>
    </w:pPr>
    <w:rPr>
      <w:rFonts w:ascii="Times" w:hAnsi="Times" w:cs="Times New Roman"/>
      <w:kern w:val="0"/>
      <w:sz w:val="24"/>
      <w:szCs w:val="20"/>
      <w:lang w:eastAsia="en-US"/>
    </w:rPr>
  </w:style>
  <w:style w:type="paragraph" w:customStyle="1" w:styleId="AIReceivedDate">
    <w:name w:val="AI_Received_Date"/>
    <w:basedOn w:val="a"/>
    <w:next w:val="BDAbstract"/>
    <w:rsid w:val="00217C3B"/>
    <w:pPr>
      <w:widowControl/>
      <w:spacing w:after="240" w:line="480" w:lineRule="auto"/>
    </w:pPr>
    <w:rPr>
      <w:rFonts w:ascii="Times" w:hAnsi="Times" w:cs="Times New Roman"/>
      <w:b/>
      <w:kern w:val="0"/>
      <w:sz w:val="24"/>
      <w:szCs w:val="20"/>
      <w:lang w:eastAsia="en-US"/>
    </w:rPr>
  </w:style>
  <w:style w:type="paragraph" w:customStyle="1" w:styleId="BATitle">
    <w:name w:val="BA_Title"/>
    <w:basedOn w:val="a"/>
    <w:next w:val="BBAuthorName"/>
    <w:rsid w:val="00217C3B"/>
    <w:pPr>
      <w:widowControl/>
      <w:spacing w:before="720" w:after="360" w:line="480" w:lineRule="auto"/>
      <w:jc w:val="center"/>
    </w:pPr>
    <w:rPr>
      <w:rFonts w:ascii="Times New Roman" w:hAnsi="Times New Roman" w:cs="Times New Roman"/>
      <w:kern w:val="0"/>
      <w:sz w:val="44"/>
      <w:szCs w:val="20"/>
      <w:lang w:eastAsia="en-US"/>
    </w:rPr>
  </w:style>
  <w:style w:type="paragraph" w:customStyle="1" w:styleId="BBAuthorName">
    <w:name w:val="BB_Author_Name"/>
    <w:basedOn w:val="a"/>
    <w:next w:val="BCAuthorAddress"/>
    <w:rsid w:val="00217C3B"/>
    <w:pPr>
      <w:widowControl/>
      <w:spacing w:after="240" w:line="480" w:lineRule="auto"/>
      <w:jc w:val="center"/>
    </w:pPr>
    <w:rPr>
      <w:rFonts w:ascii="Times" w:hAnsi="Times" w:cs="Times New Roman"/>
      <w:i/>
      <w:kern w:val="0"/>
      <w:sz w:val="24"/>
      <w:szCs w:val="20"/>
      <w:lang w:eastAsia="en-US"/>
    </w:rPr>
  </w:style>
  <w:style w:type="paragraph" w:customStyle="1" w:styleId="BDAbstract">
    <w:name w:val="BD_Abstract"/>
    <w:basedOn w:val="a"/>
    <w:next w:val="TAMainText"/>
    <w:rsid w:val="00217C3B"/>
    <w:pPr>
      <w:widowControl/>
      <w:spacing w:before="360" w:after="360" w:line="480" w:lineRule="auto"/>
    </w:pPr>
    <w:rPr>
      <w:rFonts w:ascii="Times" w:hAnsi="Times" w:cs="Times New Roman"/>
      <w:kern w:val="0"/>
      <w:sz w:val="24"/>
      <w:szCs w:val="20"/>
      <w:lang w:eastAsia="en-US"/>
    </w:rPr>
  </w:style>
  <w:style w:type="paragraph" w:customStyle="1" w:styleId="BEAuthorBiography">
    <w:name w:val="BE_Author_Biography"/>
    <w:basedOn w:val="a"/>
    <w:rsid w:val="00217C3B"/>
    <w:pPr>
      <w:widowControl/>
      <w:spacing w:after="200" w:line="480" w:lineRule="auto"/>
    </w:pPr>
    <w:rPr>
      <w:rFonts w:ascii="Times" w:hAnsi="Times" w:cs="Times New Roman"/>
      <w:kern w:val="0"/>
      <w:sz w:val="24"/>
      <w:szCs w:val="20"/>
      <w:lang w:eastAsia="en-US"/>
    </w:rPr>
  </w:style>
  <w:style w:type="paragraph" w:customStyle="1" w:styleId="BHBriefs">
    <w:name w:val="BH_Briefs"/>
    <w:basedOn w:val="a"/>
    <w:rsid w:val="00217C3B"/>
    <w:pPr>
      <w:widowControl/>
      <w:spacing w:after="200" w:line="480" w:lineRule="auto"/>
    </w:pPr>
    <w:rPr>
      <w:rFonts w:ascii="Times" w:hAnsi="Times" w:cs="Times New Roman"/>
      <w:kern w:val="0"/>
      <w:sz w:val="24"/>
      <w:szCs w:val="20"/>
      <w:lang w:eastAsia="en-US"/>
    </w:rPr>
  </w:style>
  <w:style w:type="paragraph" w:customStyle="1" w:styleId="BIEmailAddress">
    <w:name w:val="BI_Email_Address"/>
    <w:basedOn w:val="a"/>
    <w:next w:val="AIReceivedDate"/>
    <w:rsid w:val="00217C3B"/>
    <w:pPr>
      <w:widowControl/>
      <w:spacing w:after="200" w:line="480" w:lineRule="auto"/>
    </w:pPr>
    <w:rPr>
      <w:rFonts w:ascii="Times" w:hAnsi="Times" w:cs="Times New Roman"/>
      <w:kern w:val="0"/>
      <w:sz w:val="24"/>
      <w:szCs w:val="20"/>
      <w:lang w:eastAsia="en-US"/>
    </w:rPr>
  </w:style>
  <w:style w:type="paragraph" w:customStyle="1" w:styleId="Default">
    <w:name w:val="Default"/>
    <w:rsid w:val="00217C3B"/>
    <w:pPr>
      <w:autoSpaceDE w:val="0"/>
      <w:autoSpaceDN w:val="0"/>
      <w:adjustRightInd w:val="0"/>
    </w:pPr>
    <w:rPr>
      <w:rFonts w:ascii="Symbol" w:hAnsi="Symbol" w:cs="Symbol"/>
      <w:color w:val="000000"/>
      <w:kern w:val="0"/>
      <w:sz w:val="24"/>
      <w:lang w:eastAsia="en-US"/>
    </w:rPr>
  </w:style>
  <w:style w:type="paragraph" w:customStyle="1" w:styleId="FAAuthorInfoSubtitle">
    <w:name w:val="FA_Author_Info_Subtitle"/>
    <w:basedOn w:val="a"/>
    <w:link w:val="FAAuthorInfoSubtitleChar"/>
    <w:autoRedefine/>
    <w:rsid w:val="00217C3B"/>
    <w:pPr>
      <w:widowControl/>
      <w:spacing w:before="120" w:after="60" w:line="480" w:lineRule="auto"/>
      <w:jc w:val="left"/>
    </w:pPr>
    <w:rPr>
      <w:rFonts w:ascii="Times" w:hAnsi="Times" w:cs="Times New Roman"/>
      <w:b/>
      <w:kern w:val="0"/>
      <w:sz w:val="24"/>
      <w:szCs w:val="20"/>
      <w:lang w:eastAsia="en-US"/>
    </w:rPr>
  </w:style>
  <w:style w:type="character" w:customStyle="1" w:styleId="FAAuthorInfoSubtitleChar">
    <w:name w:val="FA_Author_Info_Subtitle Char"/>
    <w:link w:val="FAAuthorInfoSubtitle"/>
    <w:rsid w:val="00217C3B"/>
    <w:rPr>
      <w:rFonts w:ascii="Times" w:hAnsi="Times" w:cs="Times New Roman"/>
      <w:b/>
      <w:kern w:val="0"/>
      <w:sz w:val="24"/>
      <w:szCs w:val="20"/>
      <w:lang w:eastAsia="en-US"/>
    </w:rPr>
  </w:style>
  <w:style w:type="paragraph" w:customStyle="1" w:styleId="FCChartFootnote">
    <w:name w:val="FC_Chart_Footnote"/>
    <w:basedOn w:val="a"/>
    <w:next w:val="a"/>
    <w:rsid w:val="00217C3B"/>
    <w:pPr>
      <w:widowControl/>
      <w:spacing w:after="200"/>
      <w:ind w:firstLine="187"/>
    </w:pPr>
    <w:rPr>
      <w:rFonts w:ascii="Times" w:hAnsi="Times" w:cs="Times New Roman"/>
      <w:kern w:val="0"/>
      <w:sz w:val="24"/>
      <w:szCs w:val="20"/>
      <w:lang w:eastAsia="en-US"/>
    </w:rPr>
  </w:style>
  <w:style w:type="paragraph" w:customStyle="1" w:styleId="FDSchemeFootnote">
    <w:name w:val="FD_Scheme_Footnote"/>
    <w:basedOn w:val="a"/>
    <w:next w:val="a"/>
    <w:rsid w:val="00217C3B"/>
    <w:pPr>
      <w:widowControl/>
      <w:spacing w:after="200"/>
      <w:ind w:firstLine="187"/>
    </w:pPr>
    <w:rPr>
      <w:rFonts w:ascii="Times" w:hAnsi="Times" w:cs="Times New Roman"/>
      <w:kern w:val="0"/>
      <w:sz w:val="24"/>
      <w:szCs w:val="20"/>
      <w:lang w:eastAsia="en-US"/>
    </w:rPr>
  </w:style>
  <w:style w:type="paragraph" w:customStyle="1" w:styleId="FETableFootnote">
    <w:name w:val="FE_Table_Footnote"/>
    <w:basedOn w:val="a"/>
    <w:next w:val="a"/>
    <w:rsid w:val="00217C3B"/>
    <w:pPr>
      <w:widowControl/>
      <w:spacing w:after="200"/>
      <w:ind w:firstLine="187"/>
    </w:pPr>
    <w:rPr>
      <w:rFonts w:ascii="Times" w:hAnsi="Times" w:cs="Times New Roman"/>
      <w:kern w:val="0"/>
      <w:sz w:val="24"/>
      <w:szCs w:val="20"/>
      <w:lang w:eastAsia="en-US"/>
    </w:rPr>
  </w:style>
  <w:style w:type="paragraph" w:customStyle="1" w:styleId="SNSynopsisTOC">
    <w:name w:val="SN_Synopsis_TOC"/>
    <w:basedOn w:val="a"/>
    <w:rsid w:val="00217C3B"/>
    <w:pPr>
      <w:widowControl/>
      <w:spacing w:after="200" w:line="480" w:lineRule="auto"/>
    </w:pPr>
    <w:rPr>
      <w:rFonts w:ascii="Times" w:hAnsi="Times" w:cs="Times New Roman"/>
      <w:kern w:val="0"/>
      <w:sz w:val="24"/>
      <w:szCs w:val="20"/>
      <w:lang w:eastAsia="en-US"/>
    </w:rPr>
  </w:style>
  <w:style w:type="paragraph" w:customStyle="1" w:styleId="StyleFACorrespondingAuthorFootnote7pt">
    <w:name w:val="Style FA_Corresponding_Author_Footnote + 7 pt"/>
    <w:basedOn w:val="a"/>
    <w:next w:val="BGKeywords"/>
    <w:link w:val="StyleFACorrespondingAuthorFootnote7ptChar"/>
    <w:autoRedefine/>
    <w:rsid w:val="00217C3B"/>
    <w:pPr>
      <w:widowControl/>
      <w:jc w:val="left"/>
    </w:pPr>
    <w:rPr>
      <w:rFonts w:ascii="Arno Pro"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217C3B"/>
    <w:rPr>
      <w:rFonts w:ascii="Arno Pro" w:hAnsi="Arno Pro" w:cs="Times New Roman"/>
      <w:kern w:val="20"/>
      <w:sz w:val="18"/>
      <w:szCs w:val="20"/>
      <w:lang w:eastAsia="en-US"/>
    </w:rPr>
  </w:style>
  <w:style w:type="paragraph" w:customStyle="1" w:styleId="TAMainText">
    <w:name w:val="TA_Main_Text"/>
    <w:basedOn w:val="a"/>
    <w:rsid w:val="00217C3B"/>
    <w:pPr>
      <w:widowControl/>
      <w:spacing w:line="480" w:lineRule="auto"/>
      <w:ind w:firstLine="202"/>
    </w:pPr>
    <w:rPr>
      <w:rFonts w:ascii="Times" w:hAnsi="Times" w:cs="Times New Roman"/>
      <w:kern w:val="0"/>
      <w:sz w:val="24"/>
      <w:szCs w:val="20"/>
      <w:lang w:eastAsia="en-US"/>
    </w:rPr>
  </w:style>
  <w:style w:type="paragraph" w:customStyle="1" w:styleId="TCTableBody">
    <w:name w:val="TC_Table_Body"/>
    <w:basedOn w:val="a"/>
    <w:rsid w:val="00217C3B"/>
    <w:pPr>
      <w:widowControl/>
      <w:spacing w:after="200"/>
    </w:pPr>
    <w:rPr>
      <w:rFonts w:ascii="Times" w:hAnsi="Times" w:cs="Times New Roman"/>
      <w:kern w:val="0"/>
      <w:sz w:val="24"/>
      <w:szCs w:val="20"/>
      <w:lang w:eastAsia="en-US"/>
    </w:rPr>
  </w:style>
  <w:style w:type="paragraph" w:customStyle="1" w:styleId="TDAcknowledgments">
    <w:name w:val="TD_Acknowledgments"/>
    <w:basedOn w:val="a"/>
    <w:next w:val="a"/>
    <w:rsid w:val="00217C3B"/>
    <w:pPr>
      <w:widowControl/>
      <w:spacing w:before="200" w:after="200" w:line="480" w:lineRule="auto"/>
      <w:ind w:firstLine="202"/>
    </w:pPr>
    <w:rPr>
      <w:rFonts w:ascii="Times" w:hAnsi="Times" w:cs="Times New Roman"/>
      <w:kern w:val="0"/>
      <w:sz w:val="24"/>
      <w:szCs w:val="20"/>
      <w:lang w:eastAsia="en-US"/>
    </w:rPr>
  </w:style>
  <w:style w:type="paragraph" w:customStyle="1" w:styleId="TESupportingInformation">
    <w:name w:val="TE_Supporting_Information"/>
    <w:basedOn w:val="a"/>
    <w:next w:val="a"/>
    <w:rsid w:val="00217C3B"/>
    <w:pPr>
      <w:widowControl/>
      <w:spacing w:after="200" w:line="480" w:lineRule="auto"/>
      <w:ind w:firstLine="187"/>
    </w:pPr>
    <w:rPr>
      <w:rFonts w:ascii="Times" w:hAnsi="Times" w:cs="Times New Roman"/>
      <w:kern w:val="0"/>
      <w:sz w:val="24"/>
      <w:szCs w:val="20"/>
      <w:lang w:eastAsia="en-US"/>
    </w:rPr>
  </w:style>
  <w:style w:type="paragraph" w:customStyle="1" w:styleId="VAFigureCaption">
    <w:name w:val="VA_Figure_Caption"/>
    <w:basedOn w:val="a"/>
    <w:next w:val="a"/>
    <w:rsid w:val="00217C3B"/>
    <w:pPr>
      <w:widowControl/>
      <w:spacing w:after="200" w:line="480" w:lineRule="auto"/>
    </w:pPr>
    <w:rPr>
      <w:rFonts w:ascii="Times" w:hAnsi="Times" w:cs="Times New Roman"/>
      <w:kern w:val="0"/>
      <w:sz w:val="24"/>
      <w:szCs w:val="20"/>
      <w:lang w:eastAsia="en-US"/>
    </w:rPr>
  </w:style>
  <w:style w:type="paragraph" w:customStyle="1" w:styleId="VBChartTitle">
    <w:name w:val="VB_Chart_Title"/>
    <w:basedOn w:val="a"/>
    <w:next w:val="a"/>
    <w:rsid w:val="00217C3B"/>
    <w:pPr>
      <w:widowControl/>
      <w:spacing w:after="200" w:line="480" w:lineRule="auto"/>
    </w:pPr>
    <w:rPr>
      <w:rFonts w:ascii="Times" w:hAnsi="Times" w:cs="Times New Roman"/>
      <w:kern w:val="0"/>
      <w:sz w:val="24"/>
      <w:szCs w:val="20"/>
      <w:lang w:eastAsia="en-US"/>
    </w:rPr>
  </w:style>
  <w:style w:type="paragraph" w:customStyle="1" w:styleId="VCSchemeTitle">
    <w:name w:val="VC_Scheme_Title"/>
    <w:basedOn w:val="a"/>
    <w:next w:val="a"/>
    <w:rsid w:val="00217C3B"/>
    <w:pPr>
      <w:widowControl/>
      <w:spacing w:after="200" w:line="480" w:lineRule="auto"/>
    </w:pPr>
    <w:rPr>
      <w:rFonts w:ascii="Times" w:hAnsi="Times" w:cs="Times New Roman"/>
      <w:kern w:val="0"/>
      <w:sz w:val="24"/>
      <w:szCs w:val="20"/>
      <w:lang w:eastAsia="en-US"/>
    </w:rPr>
  </w:style>
  <w:style w:type="paragraph" w:customStyle="1" w:styleId="VDTableTitle">
    <w:name w:val="VD_Table_Title"/>
    <w:basedOn w:val="a"/>
    <w:next w:val="a"/>
    <w:rsid w:val="00217C3B"/>
    <w:pPr>
      <w:widowControl/>
      <w:spacing w:after="200" w:line="480" w:lineRule="auto"/>
    </w:pPr>
    <w:rPr>
      <w:rFonts w:ascii="Times"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30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9F5CE-031E-4A87-85E5-3E4E2614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7502</Words>
  <Characters>42764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新ヶ谷 義隆</dc:creator>
  <cp:keywords/>
  <dc:description/>
  <cp:lastModifiedBy>新ヶ谷 義隆</cp:lastModifiedBy>
  <cp:revision>3</cp:revision>
  <dcterms:created xsi:type="dcterms:W3CDTF">2024-06-23T15:42:00Z</dcterms:created>
  <dcterms:modified xsi:type="dcterms:W3CDTF">2024-06-27T06:54:00Z</dcterms:modified>
</cp:coreProperties>
</file>